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A2032" w14:textId="6241F2D5" w:rsidR="00BA0A2A" w:rsidRDefault="00BA0A2A" w:rsidP="009D1E61">
      <w:pPr>
        <w:spacing w:after="0" w:line="360" w:lineRule="auto"/>
        <w:jc w:val="right"/>
        <w:rPr>
          <w:rFonts w:ascii="Arial" w:hAnsi="Arial" w:cs="Arial"/>
          <w:b/>
          <w:bCs/>
          <w:sz w:val="36"/>
          <w:szCs w:val="36"/>
        </w:rPr>
      </w:pPr>
      <w:bookmarkStart w:id="0" w:name="_Hlk221046599"/>
      <w:r w:rsidRPr="005C7243">
        <w:rPr>
          <w:rFonts w:ascii="Arial" w:hAnsi="Arial" w:cs="Arial"/>
          <w:sz w:val="18"/>
          <w:szCs w:val="18"/>
        </w:rPr>
        <w:t>Original Research Article</w:t>
      </w:r>
    </w:p>
    <w:p w14:paraId="05440F80" w14:textId="2E69896F" w:rsidR="00B062F2" w:rsidRPr="009D1E61" w:rsidRDefault="00B062F2" w:rsidP="009D1E61">
      <w:pPr>
        <w:spacing w:after="0" w:line="360" w:lineRule="auto"/>
        <w:jc w:val="right"/>
        <w:rPr>
          <w:rFonts w:ascii="Arial" w:hAnsi="Arial" w:cs="Arial"/>
          <w:b/>
          <w:bCs/>
          <w:sz w:val="36"/>
          <w:szCs w:val="36"/>
        </w:rPr>
      </w:pPr>
      <w:r w:rsidRPr="009D1E61">
        <w:rPr>
          <w:rFonts w:ascii="Arial" w:hAnsi="Arial" w:cs="Arial"/>
          <w:b/>
          <w:bCs/>
          <w:sz w:val="36"/>
          <w:szCs w:val="36"/>
        </w:rPr>
        <w:t xml:space="preserve">Production of Polyhydroxyalkanoates (PHAs) by </w:t>
      </w:r>
      <w:r w:rsidRPr="009D1E61">
        <w:rPr>
          <w:rFonts w:ascii="Arial" w:hAnsi="Arial" w:cs="Arial"/>
          <w:b/>
          <w:bCs/>
          <w:i/>
          <w:iCs/>
          <w:sz w:val="36"/>
          <w:szCs w:val="36"/>
        </w:rPr>
        <w:t>Bacillus</w:t>
      </w:r>
      <w:r w:rsidRPr="009D1E61">
        <w:rPr>
          <w:rFonts w:ascii="Arial" w:hAnsi="Arial" w:cs="Arial"/>
          <w:b/>
          <w:bCs/>
          <w:sz w:val="36"/>
          <w:szCs w:val="36"/>
        </w:rPr>
        <w:t xml:space="preserve"> spp. </w:t>
      </w:r>
      <w:r w:rsidR="00F54166">
        <w:rPr>
          <w:rFonts w:ascii="Arial" w:hAnsi="Arial" w:cs="Arial"/>
          <w:b/>
          <w:bCs/>
          <w:sz w:val="36"/>
          <w:szCs w:val="36"/>
        </w:rPr>
        <w:t>I</w:t>
      </w:r>
      <w:r w:rsidRPr="009D1E61">
        <w:rPr>
          <w:rFonts w:ascii="Arial" w:hAnsi="Arial" w:cs="Arial"/>
          <w:b/>
          <w:bCs/>
          <w:sz w:val="36"/>
          <w:szCs w:val="36"/>
        </w:rPr>
        <w:t>solated from Garbage Soil</w:t>
      </w:r>
    </w:p>
    <w:bookmarkEnd w:id="0"/>
    <w:p w14:paraId="23F35F4B" w14:textId="77777777" w:rsidR="00375E57" w:rsidRPr="005C318C" w:rsidRDefault="00375E57" w:rsidP="007C64F4">
      <w:pPr>
        <w:spacing w:after="0" w:line="360" w:lineRule="auto"/>
        <w:rPr>
          <w:rFonts w:ascii="Arial" w:hAnsi="Arial" w:cs="Arial"/>
          <w:sz w:val="20"/>
          <w:szCs w:val="20"/>
        </w:rPr>
      </w:pPr>
    </w:p>
    <w:p w14:paraId="17865DC5" w14:textId="4C5F2D87" w:rsidR="007C64F4" w:rsidRPr="009D1E61" w:rsidRDefault="007C64F4" w:rsidP="009D1E61">
      <w:pPr>
        <w:spacing w:after="0" w:line="360" w:lineRule="auto"/>
        <w:jc w:val="right"/>
        <w:rPr>
          <w:rFonts w:ascii="Arial" w:hAnsi="Arial" w:cs="Arial"/>
          <w:sz w:val="20"/>
          <w:szCs w:val="20"/>
        </w:rPr>
      </w:pPr>
      <w:r>
        <w:rPr>
          <w:rFonts w:ascii="Arial" w:hAnsi="Arial" w:cs="Arial"/>
          <w:sz w:val="20"/>
          <w:szCs w:val="20"/>
        </w:rPr>
        <w:t xml:space="preserve"> </w:t>
      </w:r>
    </w:p>
    <w:p w14:paraId="34330A78" w14:textId="42D1281A" w:rsidR="009D1E61" w:rsidRPr="001523E3" w:rsidRDefault="009D1E61" w:rsidP="009D1E61">
      <w:pPr>
        <w:spacing w:after="0" w:line="360" w:lineRule="auto"/>
        <w:jc w:val="center"/>
        <w:rPr>
          <w:rFonts w:ascii="Times New Roman" w:hAnsi="Times New Roman" w:cs="Times New Roman"/>
          <w:sz w:val="24"/>
          <w:szCs w:val="24"/>
        </w:rPr>
      </w:pPr>
      <w:r>
        <w:rPr>
          <w:rFonts w:ascii="Arial" w:hAnsi="Arial" w:cs="Arial"/>
          <w:noProof/>
        </w:rPr>
        <mc:AlternateContent>
          <mc:Choice Requires="wps">
            <w:drawing>
              <wp:inline distT="0" distB="0" distL="0" distR="0" wp14:anchorId="21B183EA" wp14:editId="15BBDD9D">
                <wp:extent cx="5905500" cy="45719"/>
                <wp:effectExtent l="0" t="0" r="19050" b="31115"/>
                <wp:docPr id="179333703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CEF7C69" id="_x0000_t32" coordsize="21600,21600" o:spt="32" o:oned="t" path="m,l21600,21600e" filled="f">
                <v:path arrowok="t" fillok="f" o:connecttype="none"/>
                <o:lock v:ext="edit" shapetype="t"/>
              </v:shapetype>
              <v:shape id="Straight Arrow Connector 1" o:spid="_x0000_s1026" type="#_x0000_t32" style="width:46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" strokeweight="1.5pt">
                <w10:anchorlock/>
              </v:shape>
            </w:pict>
          </mc:Fallback>
        </mc:AlternateContent>
      </w:r>
    </w:p>
    <w:p w14:paraId="7C454584" w14:textId="4E8984F1" w:rsidR="009D1E61" w:rsidRPr="009D1E61" w:rsidRDefault="009D1E61" w:rsidP="001C5B92">
      <w:pPr>
        <w:spacing w:after="0" w:line="360" w:lineRule="auto"/>
        <w:jc w:val="both"/>
        <w:rPr>
          <w:rFonts w:ascii="Arial" w:hAnsi="Arial" w:cs="Arial"/>
          <w:b/>
          <w:bCs/>
        </w:rPr>
      </w:pPr>
      <w:r w:rsidRPr="009D1E61">
        <w:rPr>
          <w:rFonts w:ascii="Arial" w:hAnsi="Arial" w:cs="Arial"/>
          <w:b/>
          <w:bCs/>
        </w:rPr>
        <w:t>ABSTRACT</w:t>
      </w:r>
    </w:p>
    <w:p w14:paraId="54EFAA0A" w14:textId="243A3BD3" w:rsidR="00F9532A" w:rsidRDefault="009D1E61" w:rsidP="00F63E63">
      <w:pPr>
        <w:pBdr>
          <w:top w:val="single" w:sz="4" w:space="1" w:color="auto"/>
          <w:left w:val="single" w:sz="4" w:space="4" w:color="auto"/>
          <w:bottom w:val="single" w:sz="4" w:space="1" w:color="auto"/>
          <w:right w:val="single" w:sz="4" w:space="4" w:color="auto"/>
        </w:pBdr>
        <w:shd w:val="clear" w:color="auto" w:fill="E7E6E6"/>
        <w:spacing w:after="0" w:line="360" w:lineRule="auto"/>
        <w:jc w:val="both"/>
        <w:rPr>
          <w:rFonts w:ascii="Arial" w:hAnsi="Arial" w:cs="Arial"/>
          <w:sz w:val="20"/>
          <w:szCs w:val="20"/>
        </w:rPr>
      </w:pPr>
      <w:r w:rsidRPr="009D1E61">
        <w:rPr>
          <w:rFonts w:ascii="Arial" w:hAnsi="Arial" w:cs="Arial"/>
          <w:b/>
          <w:bCs/>
          <w:sz w:val="20"/>
          <w:szCs w:val="20"/>
        </w:rPr>
        <w:t>Aims:</w:t>
      </w:r>
      <w:r>
        <w:rPr>
          <w:rFonts w:ascii="Arial" w:hAnsi="Arial" w:cs="Arial"/>
          <w:b/>
          <w:bCs/>
          <w:sz w:val="20"/>
          <w:szCs w:val="20"/>
        </w:rPr>
        <w:t xml:space="preserve"> </w:t>
      </w:r>
      <w:r>
        <w:rPr>
          <w:rFonts w:ascii="Arial" w:hAnsi="Arial" w:cs="Arial"/>
          <w:sz w:val="20"/>
          <w:szCs w:val="20"/>
        </w:rPr>
        <w:t>T</w:t>
      </w:r>
      <w:r w:rsidRPr="009D1E61">
        <w:rPr>
          <w:rFonts w:ascii="Arial" w:hAnsi="Arial" w:cs="Arial"/>
          <w:sz w:val="20"/>
          <w:szCs w:val="20"/>
        </w:rPr>
        <w:t xml:space="preserve">o produce </w:t>
      </w:r>
      <w:proofErr w:type="spellStart"/>
      <w:r w:rsidRPr="009D1E61">
        <w:rPr>
          <w:rFonts w:ascii="Arial" w:hAnsi="Arial" w:cs="Arial"/>
          <w:sz w:val="20"/>
          <w:szCs w:val="20"/>
        </w:rPr>
        <w:t>Polyhydroxyalkonates</w:t>
      </w:r>
      <w:proofErr w:type="spellEnd"/>
      <w:r>
        <w:rPr>
          <w:rFonts w:ascii="Arial" w:hAnsi="Arial" w:cs="Arial"/>
          <w:b/>
          <w:bCs/>
          <w:sz w:val="20"/>
          <w:szCs w:val="20"/>
        </w:rPr>
        <w:t xml:space="preserve"> </w:t>
      </w:r>
      <w:r>
        <w:rPr>
          <w:rFonts w:ascii="Arial" w:hAnsi="Arial" w:cs="Arial"/>
          <w:sz w:val="20"/>
          <w:szCs w:val="20"/>
        </w:rPr>
        <w:t xml:space="preserve">(PHAs) from bacteria isolated from garbage soil and confirm the production of PHAs by various techniques. </w:t>
      </w:r>
    </w:p>
    <w:p w14:paraId="3658A6D5" w14:textId="54B37D32" w:rsidR="00F9532A" w:rsidRDefault="00F9532A" w:rsidP="00F63E63">
      <w:pPr>
        <w:pBdr>
          <w:top w:val="single" w:sz="4" w:space="1" w:color="auto"/>
          <w:left w:val="single" w:sz="4" w:space="4" w:color="auto"/>
          <w:bottom w:val="single" w:sz="4" w:space="1" w:color="auto"/>
          <w:right w:val="single" w:sz="4" w:space="4" w:color="auto"/>
        </w:pBdr>
        <w:shd w:val="clear" w:color="auto" w:fill="E7E6E6"/>
        <w:spacing w:after="0" w:line="360" w:lineRule="auto"/>
        <w:jc w:val="both"/>
        <w:rPr>
          <w:rFonts w:ascii="Arial" w:hAnsi="Arial" w:cs="Arial"/>
          <w:sz w:val="20"/>
          <w:szCs w:val="20"/>
        </w:rPr>
      </w:pPr>
      <w:r w:rsidRPr="00F9532A">
        <w:rPr>
          <w:rFonts w:ascii="Arial" w:hAnsi="Arial" w:cs="Arial"/>
          <w:b/>
          <w:bCs/>
          <w:sz w:val="20"/>
          <w:szCs w:val="20"/>
        </w:rPr>
        <w:t>Background:</w:t>
      </w:r>
      <w:r>
        <w:rPr>
          <w:rFonts w:ascii="Arial" w:hAnsi="Arial" w:cs="Arial"/>
          <w:sz w:val="20"/>
          <w:szCs w:val="20"/>
        </w:rPr>
        <w:t xml:space="preserve"> </w:t>
      </w:r>
      <w:r w:rsidR="00A36942" w:rsidRPr="009D1E61">
        <w:rPr>
          <w:rFonts w:ascii="Arial" w:hAnsi="Arial" w:cs="Arial"/>
          <w:sz w:val="20"/>
          <w:szCs w:val="20"/>
        </w:rPr>
        <w:t>The use of synthetic plastics and their products on a</w:t>
      </w:r>
      <w:r w:rsidR="00C429E1" w:rsidRPr="009D1E61">
        <w:rPr>
          <w:rFonts w:ascii="Arial" w:hAnsi="Arial" w:cs="Arial"/>
          <w:sz w:val="20"/>
          <w:szCs w:val="20"/>
        </w:rPr>
        <w:t xml:space="preserve"> big scale</w:t>
      </w:r>
      <w:r w:rsidR="00A36942" w:rsidRPr="009D1E61">
        <w:rPr>
          <w:rFonts w:ascii="Arial" w:hAnsi="Arial" w:cs="Arial"/>
          <w:sz w:val="20"/>
          <w:szCs w:val="20"/>
        </w:rPr>
        <w:t xml:space="preserve"> </w:t>
      </w:r>
      <w:r w:rsidR="00EB303C" w:rsidRPr="009D1E61">
        <w:rPr>
          <w:rFonts w:ascii="Arial" w:hAnsi="Arial" w:cs="Arial"/>
          <w:sz w:val="20"/>
          <w:szCs w:val="20"/>
        </w:rPr>
        <w:t>causes</w:t>
      </w:r>
      <w:r w:rsidR="00A36942" w:rsidRPr="009D1E61">
        <w:rPr>
          <w:rFonts w:ascii="Arial" w:hAnsi="Arial" w:cs="Arial"/>
          <w:sz w:val="20"/>
          <w:szCs w:val="20"/>
        </w:rPr>
        <w:t xml:space="preserve"> waste </w:t>
      </w:r>
      <w:r w:rsidR="001523E3" w:rsidRPr="009D1E61">
        <w:rPr>
          <w:rFonts w:ascii="Arial" w:hAnsi="Arial" w:cs="Arial"/>
          <w:sz w:val="20"/>
          <w:szCs w:val="20"/>
        </w:rPr>
        <w:t>disposal</w:t>
      </w:r>
      <w:r w:rsidR="00A36942" w:rsidRPr="009D1E61">
        <w:rPr>
          <w:rFonts w:ascii="Arial" w:hAnsi="Arial" w:cs="Arial"/>
          <w:sz w:val="20"/>
          <w:szCs w:val="20"/>
        </w:rPr>
        <w:t xml:space="preserve"> problem</w:t>
      </w:r>
      <w:r w:rsidR="00EB303C" w:rsidRPr="009D1E61">
        <w:rPr>
          <w:rFonts w:ascii="Arial" w:hAnsi="Arial" w:cs="Arial"/>
          <w:sz w:val="20"/>
          <w:szCs w:val="20"/>
        </w:rPr>
        <w:t>s</w:t>
      </w:r>
      <w:r w:rsidR="001523E3" w:rsidRPr="009D1E61">
        <w:rPr>
          <w:rFonts w:ascii="Arial" w:hAnsi="Arial" w:cs="Arial"/>
          <w:sz w:val="20"/>
          <w:szCs w:val="20"/>
        </w:rPr>
        <w:t>,</w:t>
      </w:r>
      <w:r w:rsidR="00EB303C" w:rsidRPr="009D1E61">
        <w:rPr>
          <w:rFonts w:ascii="Arial" w:hAnsi="Arial" w:cs="Arial"/>
          <w:sz w:val="20"/>
          <w:szCs w:val="20"/>
        </w:rPr>
        <w:t xml:space="preserve"> leading</w:t>
      </w:r>
      <w:r w:rsidR="00A36942" w:rsidRPr="009D1E61">
        <w:rPr>
          <w:rFonts w:ascii="Arial" w:hAnsi="Arial" w:cs="Arial"/>
          <w:sz w:val="20"/>
          <w:szCs w:val="20"/>
        </w:rPr>
        <w:t xml:space="preserve"> to environmental pollution</w:t>
      </w:r>
      <w:r w:rsidR="00EB303C" w:rsidRPr="009D1E61">
        <w:rPr>
          <w:rFonts w:ascii="Arial" w:hAnsi="Arial" w:cs="Arial"/>
          <w:sz w:val="20"/>
          <w:szCs w:val="20"/>
        </w:rPr>
        <w:t>.</w:t>
      </w:r>
      <w:r w:rsidR="00C429E1" w:rsidRPr="009D1E61">
        <w:rPr>
          <w:rFonts w:ascii="Arial" w:hAnsi="Arial" w:cs="Arial"/>
          <w:sz w:val="20"/>
          <w:szCs w:val="20"/>
        </w:rPr>
        <w:t xml:space="preserve"> Synthetic plastics derived from petroleum products like polyethylene, polypropylene, polyvinyl chloride, and polystyrene all are </w:t>
      </w:r>
      <w:r w:rsidR="001523E3" w:rsidRPr="009D1E61">
        <w:rPr>
          <w:rFonts w:ascii="Arial" w:hAnsi="Arial" w:cs="Arial"/>
          <w:sz w:val="20"/>
          <w:szCs w:val="20"/>
        </w:rPr>
        <w:t xml:space="preserve">all </w:t>
      </w:r>
      <w:r w:rsidR="00C429E1" w:rsidRPr="009D1E61">
        <w:rPr>
          <w:rFonts w:ascii="Arial" w:hAnsi="Arial" w:cs="Arial"/>
          <w:sz w:val="20"/>
          <w:szCs w:val="20"/>
        </w:rPr>
        <w:t xml:space="preserve">non-degradable and recalcitrant in the environment. </w:t>
      </w:r>
      <w:r w:rsidR="0099704C" w:rsidRPr="009D1E61">
        <w:rPr>
          <w:rFonts w:ascii="Arial" w:hAnsi="Arial" w:cs="Arial"/>
          <w:sz w:val="20"/>
          <w:szCs w:val="20"/>
        </w:rPr>
        <w:t xml:space="preserve">The continuous and tremendous use of plastic and its waste </w:t>
      </w:r>
      <w:r w:rsidR="003F4ADB" w:rsidRPr="009D1E61">
        <w:rPr>
          <w:rFonts w:ascii="Arial" w:hAnsi="Arial" w:cs="Arial"/>
          <w:sz w:val="20"/>
          <w:szCs w:val="20"/>
        </w:rPr>
        <w:t>enter</w:t>
      </w:r>
      <w:r w:rsidR="0099704C" w:rsidRPr="009D1E61">
        <w:rPr>
          <w:rFonts w:ascii="Arial" w:hAnsi="Arial" w:cs="Arial"/>
          <w:sz w:val="20"/>
          <w:szCs w:val="20"/>
        </w:rPr>
        <w:t xml:space="preserve"> landfills, especially crop fields, and forms polluted land</w:t>
      </w:r>
      <w:r w:rsidR="005427E5" w:rsidRPr="009D1E61">
        <w:rPr>
          <w:rFonts w:ascii="Arial" w:hAnsi="Arial" w:cs="Arial"/>
          <w:sz w:val="20"/>
          <w:szCs w:val="20"/>
        </w:rPr>
        <w:t xml:space="preserve">. All such problems </w:t>
      </w:r>
      <w:r w:rsidR="001523E3" w:rsidRPr="009D1E61">
        <w:rPr>
          <w:rFonts w:ascii="Arial" w:hAnsi="Arial" w:cs="Arial"/>
          <w:sz w:val="20"/>
          <w:szCs w:val="20"/>
        </w:rPr>
        <w:t>highlight</w:t>
      </w:r>
      <w:r w:rsidR="005427E5" w:rsidRPr="009D1E61">
        <w:rPr>
          <w:rFonts w:ascii="Arial" w:hAnsi="Arial" w:cs="Arial"/>
          <w:sz w:val="20"/>
          <w:szCs w:val="20"/>
        </w:rPr>
        <w:t xml:space="preserve"> the need </w:t>
      </w:r>
      <w:r w:rsidR="00624B7B" w:rsidRPr="009D1E61">
        <w:rPr>
          <w:rFonts w:ascii="Arial" w:hAnsi="Arial" w:cs="Arial"/>
          <w:sz w:val="20"/>
          <w:szCs w:val="20"/>
        </w:rPr>
        <w:t>for</w:t>
      </w:r>
      <w:r w:rsidR="005427E5" w:rsidRPr="009D1E61">
        <w:rPr>
          <w:rFonts w:ascii="Arial" w:hAnsi="Arial" w:cs="Arial"/>
          <w:sz w:val="20"/>
          <w:szCs w:val="20"/>
        </w:rPr>
        <w:t xml:space="preserve"> an alternative to </w:t>
      </w:r>
      <w:r w:rsidR="00624B7B" w:rsidRPr="009D1E61">
        <w:rPr>
          <w:rFonts w:ascii="Arial" w:hAnsi="Arial" w:cs="Arial"/>
          <w:sz w:val="20"/>
          <w:szCs w:val="20"/>
        </w:rPr>
        <w:t xml:space="preserve">produce degradable plastics such as </w:t>
      </w:r>
      <w:r w:rsidR="003F4ADB">
        <w:rPr>
          <w:rFonts w:ascii="Arial" w:hAnsi="Arial" w:cs="Arial"/>
          <w:sz w:val="20"/>
          <w:szCs w:val="20"/>
        </w:rPr>
        <w:t>PHAs</w:t>
      </w:r>
      <w:r w:rsidR="00624B7B" w:rsidRPr="009D1E61">
        <w:rPr>
          <w:rFonts w:ascii="Arial" w:hAnsi="Arial" w:cs="Arial"/>
          <w:sz w:val="20"/>
          <w:szCs w:val="20"/>
        </w:rPr>
        <w:t xml:space="preserve">. </w:t>
      </w:r>
      <w:r w:rsidR="003F4ADB">
        <w:rPr>
          <w:rFonts w:ascii="Arial" w:hAnsi="Arial" w:cs="Arial"/>
          <w:sz w:val="20"/>
          <w:szCs w:val="20"/>
        </w:rPr>
        <w:t>These</w:t>
      </w:r>
      <w:r w:rsidR="00A36942" w:rsidRPr="009D1E61">
        <w:rPr>
          <w:rFonts w:ascii="Arial" w:hAnsi="Arial" w:cs="Arial"/>
          <w:sz w:val="20"/>
          <w:szCs w:val="20"/>
        </w:rPr>
        <w:t xml:space="preserve"> are</w:t>
      </w:r>
      <w:r w:rsidR="00624B7B" w:rsidRPr="009D1E61">
        <w:rPr>
          <w:rFonts w:ascii="Arial" w:hAnsi="Arial" w:cs="Arial"/>
          <w:sz w:val="20"/>
          <w:szCs w:val="20"/>
        </w:rPr>
        <w:t xml:space="preserve"> </w:t>
      </w:r>
      <w:r w:rsidR="003F4ADB">
        <w:rPr>
          <w:rFonts w:ascii="Arial" w:hAnsi="Arial" w:cs="Arial"/>
          <w:sz w:val="20"/>
          <w:szCs w:val="20"/>
        </w:rPr>
        <w:t>the</w:t>
      </w:r>
      <w:r w:rsidR="00093BFD" w:rsidRPr="009D1E61">
        <w:rPr>
          <w:rFonts w:ascii="Arial" w:hAnsi="Arial" w:cs="Arial"/>
          <w:sz w:val="20"/>
          <w:szCs w:val="20"/>
        </w:rPr>
        <w:t xml:space="preserve"> type of </w:t>
      </w:r>
      <w:r w:rsidR="00624B7B" w:rsidRPr="009D1E61">
        <w:rPr>
          <w:rFonts w:ascii="Arial" w:hAnsi="Arial" w:cs="Arial"/>
          <w:sz w:val="20"/>
          <w:szCs w:val="20"/>
        </w:rPr>
        <w:t>bi</w:t>
      </w:r>
      <w:r w:rsidR="00093BFD" w:rsidRPr="009D1E61">
        <w:rPr>
          <w:rFonts w:ascii="Arial" w:hAnsi="Arial" w:cs="Arial"/>
          <w:sz w:val="20"/>
          <w:szCs w:val="20"/>
        </w:rPr>
        <w:t>o</w:t>
      </w:r>
      <w:r w:rsidR="00624B7B" w:rsidRPr="009D1E61">
        <w:rPr>
          <w:rFonts w:ascii="Arial" w:hAnsi="Arial" w:cs="Arial"/>
          <w:sz w:val="20"/>
          <w:szCs w:val="20"/>
        </w:rPr>
        <w:t xml:space="preserve">polymer </w:t>
      </w:r>
      <w:r w:rsidR="00093BFD" w:rsidRPr="009D1E61">
        <w:rPr>
          <w:rFonts w:ascii="Arial" w:hAnsi="Arial" w:cs="Arial"/>
          <w:sz w:val="20"/>
          <w:szCs w:val="20"/>
        </w:rPr>
        <w:t>produced by microorganisms as intracellular compounds identified as granular inclusion bodies</w:t>
      </w:r>
      <w:r w:rsidR="001523E3" w:rsidRPr="009D1E61">
        <w:rPr>
          <w:rFonts w:ascii="Arial" w:hAnsi="Arial" w:cs="Arial"/>
          <w:sz w:val="20"/>
          <w:szCs w:val="20"/>
        </w:rPr>
        <w:t>,</w:t>
      </w:r>
      <w:r w:rsidR="00093BFD" w:rsidRPr="009D1E61">
        <w:rPr>
          <w:rFonts w:ascii="Arial" w:hAnsi="Arial" w:cs="Arial"/>
          <w:sz w:val="20"/>
          <w:szCs w:val="20"/>
        </w:rPr>
        <w:t xml:space="preserve"> such as carbon</w:t>
      </w:r>
      <w:r w:rsidR="0099704C" w:rsidRPr="009D1E61">
        <w:rPr>
          <w:rFonts w:ascii="Arial" w:hAnsi="Arial" w:cs="Arial"/>
          <w:sz w:val="20"/>
          <w:szCs w:val="20"/>
        </w:rPr>
        <w:t>,</w:t>
      </w:r>
      <w:r w:rsidR="00093BFD" w:rsidRPr="009D1E61">
        <w:rPr>
          <w:rFonts w:ascii="Arial" w:hAnsi="Arial" w:cs="Arial"/>
          <w:sz w:val="20"/>
          <w:szCs w:val="20"/>
        </w:rPr>
        <w:t xml:space="preserve"> as well as energy storage materials. </w:t>
      </w:r>
      <w:r w:rsidR="006C72F8" w:rsidRPr="009D1E61">
        <w:rPr>
          <w:rFonts w:ascii="Arial" w:hAnsi="Arial" w:cs="Arial"/>
          <w:sz w:val="20"/>
          <w:szCs w:val="20"/>
        </w:rPr>
        <w:t xml:space="preserve">The most studied and observed </w:t>
      </w:r>
      <w:r w:rsidR="00093BFD" w:rsidRPr="009D1E61">
        <w:rPr>
          <w:rFonts w:ascii="Arial" w:hAnsi="Arial" w:cs="Arial"/>
          <w:sz w:val="20"/>
          <w:szCs w:val="20"/>
        </w:rPr>
        <w:t>PHA is poly</w:t>
      </w:r>
      <w:r w:rsidR="006C72F8" w:rsidRPr="009D1E61">
        <w:rPr>
          <w:rFonts w:ascii="Arial" w:hAnsi="Arial" w:cs="Arial"/>
          <w:sz w:val="20"/>
          <w:szCs w:val="20"/>
        </w:rPr>
        <w:t>-3-hydroxybutyrate (</w:t>
      </w:r>
      <w:r w:rsidR="00652898" w:rsidRPr="009D1E61">
        <w:rPr>
          <w:rFonts w:ascii="Arial" w:hAnsi="Arial" w:cs="Arial"/>
          <w:sz w:val="20"/>
          <w:szCs w:val="20"/>
        </w:rPr>
        <w:t>PH</w:t>
      </w:r>
      <w:r w:rsidR="00A643E6" w:rsidRPr="009D1E61">
        <w:rPr>
          <w:rFonts w:ascii="Arial" w:hAnsi="Arial" w:cs="Arial"/>
          <w:sz w:val="20"/>
          <w:szCs w:val="20"/>
        </w:rPr>
        <w:t>B</w:t>
      </w:r>
      <w:r w:rsidR="006C72F8" w:rsidRPr="009D1E61">
        <w:rPr>
          <w:rFonts w:ascii="Arial" w:hAnsi="Arial" w:cs="Arial"/>
          <w:sz w:val="20"/>
          <w:szCs w:val="20"/>
        </w:rPr>
        <w:t xml:space="preserve">) stored </w:t>
      </w:r>
      <w:r w:rsidR="001523E3" w:rsidRPr="009D1E61">
        <w:rPr>
          <w:rFonts w:ascii="Arial" w:hAnsi="Arial" w:cs="Arial"/>
          <w:sz w:val="20"/>
          <w:szCs w:val="20"/>
        </w:rPr>
        <w:t xml:space="preserve">in intracellular </w:t>
      </w:r>
      <w:r w:rsidR="006C72F8" w:rsidRPr="009D1E61">
        <w:rPr>
          <w:rFonts w:ascii="Arial" w:hAnsi="Arial" w:cs="Arial"/>
          <w:sz w:val="20"/>
          <w:szCs w:val="20"/>
        </w:rPr>
        <w:t xml:space="preserve">granules. </w:t>
      </w:r>
    </w:p>
    <w:p w14:paraId="7A2D2243" w14:textId="77777777" w:rsidR="00F9532A" w:rsidRDefault="00F9532A" w:rsidP="00F63E63">
      <w:pPr>
        <w:pBdr>
          <w:top w:val="single" w:sz="4" w:space="1" w:color="auto"/>
          <w:left w:val="single" w:sz="4" w:space="4" w:color="auto"/>
          <w:bottom w:val="single" w:sz="4" w:space="1" w:color="auto"/>
          <w:right w:val="single" w:sz="4" w:space="4" w:color="auto"/>
        </w:pBdr>
        <w:shd w:val="clear" w:color="auto" w:fill="E7E6E6"/>
        <w:spacing w:after="0" w:line="360" w:lineRule="auto"/>
        <w:jc w:val="both"/>
        <w:rPr>
          <w:rFonts w:ascii="Arial" w:hAnsi="Arial" w:cs="Arial"/>
          <w:sz w:val="20"/>
          <w:szCs w:val="20"/>
        </w:rPr>
      </w:pPr>
      <w:r w:rsidRPr="00F9532A">
        <w:rPr>
          <w:rFonts w:ascii="Arial" w:hAnsi="Arial" w:cs="Arial"/>
          <w:b/>
          <w:bCs/>
          <w:sz w:val="20"/>
          <w:szCs w:val="20"/>
        </w:rPr>
        <w:t>Methodology:</w:t>
      </w:r>
      <w:r>
        <w:rPr>
          <w:rFonts w:ascii="Arial" w:hAnsi="Arial" w:cs="Arial"/>
          <w:sz w:val="20"/>
          <w:szCs w:val="20"/>
        </w:rPr>
        <w:t xml:space="preserve"> The production of</w:t>
      </w:r>
      <w:r w:rsidR="006C72F8" w:rsidRPr="009D1E61">
        <w:rPr>
          <w:rFonts w:ascii="Arial" w:hAnsi="Arial" w:cs="Arial"/>
          <w:sz w:val="20"/>
          <w:szCs w:val="20"/>
        </w:rPr>
        <w:t xml:space="preserve"> PHA from</w:t>
      </w:r>
      <w:r>
        <w:rPr>
          <w:rFonts w:ascii="Arial" w:hAnsi="Arial" w:cs="Arial"/>
          <w:sz w:val="20"/>
          <w:szCs w:val="20"/>
        </w:rPr>
        <w:t xml:space="preserve"> the bacteria isolated from </w:t>
      </w:r>
      <w:r w:rsidR="006C72F8" w:rsidRPr="009D1E61">
        <w:rPr>
          <w:rFonts w:ascii="Arial" w:hAnsi="Arial" w:cs="Arial"/>
          <w:sz w:val="20"/>
          <w:szCs w:val="20"/>
        </w:rPr>
        <w:t>garbage soil</w:t>
      </w:r>
      <w:r w:rsidR="001523E3" w:rsidRPr="009D1E61">
        <w:rPr>
          <w:rFonts w:ascii="Arial" w:hAnsi="Arial" w:cs="Arial"/>
          <w:sz w:val="20"/>
          <w:szCs w:val="20"/>
        </w:rPr>
        <w:t>,</w:t>
      </w:r>
      <w:r w:rsidR="006C72F8" w:rsidRPr="009D1E61">
        <w:rPr>
          <w:rFonts w:ascii="Arial" w:hAnsi="Arial" w:cs="Arial"/>
          <w:sz w:val="20"/>
          <w:szCs w:val="20"/>
        </w:rPr>
        <w:t xml:space="preserve"> especially collected in </w:t>
      </w:r>
      <w:r w:rsidR="001523E3" w:rsidRPr="009D1E61">
        <w:rPr>
          <w:rFonts w:ascii="Arial" w:hAnsi="Arial" w:cs="Arial"/>
          <w:sz w:val="20"/>
          <w:szCs w:val="20"/>
        </w:rPr>
        <w:t xml:space="preserve">the </w:t>
      </w:r>
      <w:r w:rsidR="006C72F8" w:rsidRPr="009D1E61">
        <w:rPr>
          <w:rFonts w:ascii="Arial" w:hAnsi="Arial" w:cs="Arial"/>
          <w:sz w:val="20"/>
          <w:szCs w:val="20"/>
        </w:rPr>
        <w:t>Solapur district</w:t>
      </w:r>
      <w:r w:rsidR="001523E3" w:rsidRPr="009D1E61">
        <w:rPr>
          <w:rFonts w:ascii="Arial" w:hAnsi="Arial" w:cs="Arial"/>
          <w:sz w:val="20"/>
          <w:szCs w:val="20"/>
        </w:rPr>
        <w:t>. Further</w:t>
      </w:r>
      <w:r w:rsidR="00F10BEA" w:rsidRPr="009D1E61">
        <w:rPr>
          <w:rFonts w:ascii="Arial" w:hAnsi="Arial" w:cs="Arial"/>
          <w:sz w:val="20"/>
          <w:szCs w:val="20"/>
        </w:rPr>
        <w:t xml:space="preserve"> isolates were </w:t>
      </w:r>
      <w:r w:rsidR="0099704C" w:rsidRPr="009D1E61">
        <w:rPr>
          <w:rFonts w:ascii="Arial" w:hAnsi="Arial" w:cs="Arial"/>
          <w:sz w:val="20"/>
          <w:szCs w:val="20"/>
        </w:rPr>
        <w:t xml:space="preserve">characterized using morphological, cultural, biochemical, and molecular methods, including 16S rRNA gene sequencing, with phylogenetic analysis. </w:t>
      </w:r>
    </w:p>
    <w:p w14:paraId="6DE183FB" w14:textId="628293E3" w:rsidR="00420454" w:rsidRPr="00F9532A" w:rsidRDefault="00F9532A" w:rsidP="00F63E63">
      <w:pPr>
        <w:pBdr>
          <w:top w:val="single" w:sz="4" w:space="1" w:color="auto"/>
          <w:left w:val="single" w:sz="4" w:space="4" w:color="auto"/>
          <w:bottom w:val="single" w:sz="4" w:space="1" w:color="auto"/>
          <w:right w:val="single" w:sz="4" w:space="4" w:color="auto"/>
        </w:pBdr>
        <w:shd w:val="clear" w:color="auto" w:fill="E7E6E6"/>
        <w:spacing w:after="0" w:line="360" w:lineRule="auto"/>
        <w:jc w:val="both"/>
        <w:rPr>
          <w:rFonts w:ascii="Arial" w:hAnsi="Arial" w:cs="Arial"/>
          <w:b/>
          <w:bCs/>
          <w:sz w:val="20"/>
          <w:szCs w:val="20"/>
        </w:rPr>
      </w:pPr>
      <w:r w:rsidRPr="00F9532A">
        <w:rPr>
          <w:rFonts w:ascii="Arial" w:hAnsi="Arial" w:cs="Arial"/>
          <w:b/>
          <w:bCs/>
          <w:sz w:val="20"/>
          <w:szCs w:val="20"/>
        </w:rPr>
        <w:t>Results</w:t>
      </w:r>
      <w:r>
        <w:rPr>
          <w:rFonts w:ascii="Arial" w:hAnsi="Arial" w:cs="Arial"/>
          <w:b/>
          <w:bCs/>
          <w:sz w:val="20"/>
          <w:szCs w:val="20"/>
        </w:rPr>
        <w:t xml:space="preserve">: </w:t>
      </w:r>
      <w:r w:rsidR="0099704C" w:rsidRPr="009D1E61">
        <w:rPr>
          <w:rFonts w:ascii="Arial" w:hAnsi="Arial" w:cs="Arial"/>
          <w:sz w:val="20"/>
          <w:szCs w:val="20"/>
        </w:rPr>
        <w:t xml:space="preserve">The strains predominantly identified were </w:t>
      </w:r>
      <w:r w:rsidR="0099704C" w:rsidRPr="009D1E61">
        <w:rPr>
          <w:rFonts w:ascii="Arial" w:hAnsi="Arial" w:cs="Arial"/>
          <w:i/>
          <w:iCs/>
          <w:sz w:val="20"/>
          <w:szCs w:val="20"/>
        </w:rPr>
        <w:t xml:space="preserve">Bacillus </w:t>
      </w:r>
      <w:proofErr w:type="spellStart"/>
      <w:r w:rsidR="0099704C" w:rsidRPr="009D1E61">
        <w:rPr>
          <w:rFonts w:ascii="Arial" w:hAnsi="Arial" w:cs="Arial"/>
          <w:i/>
          <w:iCs/>
          <w:sz w:val="20"/>
          <w:szCs w:val="20"/>
        </w:rPr>
        <w:t>paramycoides</w:t>
      </w:r>
      <w:proofErr w:type="spellEnd"/>
      <w:r w:rsidR="0099704C" w:rsidRPr="009D1E61">
        <w:rPr>
          <w:rFonts w:ascii="Arial" w:hAnsi="Arial" w:cs="Arial"/>
          <w:sz w:val="20"/>
          <w:szCs w:val="20"/>
        </w:rPr>
        <w:t xml:space="preserve"> and </w:t>
      </w:r>
      <w:r w:rsidR="0099704C" w:rsidRPr="009D1E61">
        <w:rPr>
          <w:rFonts w:ascii="Arial" w:hAnsi="Arial" w:cs="Arial"/>
          <w:i/>
          <w:iCs/>
          <w:sz w:val="20"/>
          <w:szCs w:val="20"/>
        </w:rPr>
        <w:t>Bacillus cereus</w:t>
      </w:r>
      <w:r w:rsidR="00F10BEA" w:rsidRPr="009D1E61">
        <w:rPr>
          <w:rFonts w:ascii="Arial" w:hAnsi="Arial" w:cs="Arial"/>
          <w:sz w:val="20"/>
          <w:szCs w:val="20"/>
        </w:rPr>
        <w:t xml:space="preserve">. </w:t>
      </w:r>
      <w:r w:rsidR="000F6696" w:rsidRPr="009D1E61">
        <w:rPr>
          <w:rFonts w:ascii="Arial" w:hAnsi="Arial" w:cs="Arial"/>
          <w:sz w:val="20"/>
          <w:szCs w:val="20"/>
        </w:rPr>
        <w:t xml:space="preserve">In further studies, the </w:t>
      </w:r>
      <w:r w:rsidR="00F10BEA" w:rsidRPr="009D1E61">
        <w:rPr>
          <w:rFonts w:ascii="Arial" w:hAnsi="Arial" w:cs="Arial"/>
          <w:sz w:val="20"/>
          <w:szCs w:val="20"/>
        </w:rPr>
        <w:t>production of PH</w:t>
      </w:r>
      <w:r w:rsidR="00652898" w:rsidRPr="009D1E61">
        <w:rPr>
          <w:rFonts w:ascii="Arial" w:hAnsi="Arial" w:cs="Arial"/>
          <w:sz w:val="20"/>
          <w:szCs w:val="20"/>
        </w:rPr>
        <w:t>A</w:t>
      </w:r>
      <w:r w:rsidR="00F10BEA" w:rsidRPr="009D1E61">
        <w:rPr>
          <w:rFonts w:ascii="Arial" w:hAnsi="Arial" w:cs="Arial"/>
          <w:sz w:val="20"/>
          <w:szCs w:val="20"/>
        </w:rPr>
        <w:t xml:space="preserve"> </w:t>
      </w:r>
      <w:r w:rsidR="000F6696" w:rsidRPr="009D1E61">
        <w:rPr>
          <w:rFonts w:ascii="Arial" w:hAnsi="Arial" w:cs="Arial"/>
          <w:sz w:val="20"/>
          <w:szCs w:val="20"/>
        </w:rPr>
        <w:t>took place and was characterized by FTIR analysis</w:t>
      </w:r>
      <w:r w:rsidR="001523E3" w:rsidRPr="009D1E61">
        <w:rPr>
          <w:rFonts w:ascii="Arial" w:hAnsi="Arial" w:cs="Arial"/>
          <w:sz w:val="20"/>
          <w:szCs w:val="20"/>
        </w:rPr>
        <w:t>,</w:t>
      </w:r>
      <w:r w:rsidR="000F6696" w:rsidRPr="009D1E61">
        <w:rPr>
          <w:rFonts w:ascii="Arial" w:hAnsi="Arial" w:cs="Arial"/>
          <w:sz w:val="20"/>
          <w:szCs w:val="20"/>
        </w:rPr>
        <w:t xml:space="preserve"> which confirmed</w:t>
      </w:r>
      <w:r w:rsidR="00167BCA" w:rsidRPr="009D1E61">
        <w:rPr>
          <w:rFonts w:ascii="Arial" w:hAnsi="Arial" w:cs="Arial"/>
          <w:sz w:val="20"/>
          <w:szCs w:val="20"/>
        </w:rPr>
        <w:t xml:space="preserve"> </w:t>
      </w:r>
      <w:r w:rsidR="000F6696" w:rsidRPr="009D1E61">
        <w:rPr>
          <w:rFonts w:ascii="Arial" w:hAnsi="Arial" w:cs="Arial"/>
          <w:sz w:val="20"/>
          <w:szCs w:val="20"/>
        </w:rPr>
        <w:t>the possible functional groups in PH</w:t>
      </w:r>
      <w:r w:rsidR="00652898" w:rsidRPr="009D1E61">
        <w:rPr>
          <w:rFonts w:ascii="Arial" w:hAnsi="Arial" w:cs="Arial"/>
          <w:sz w:val="20"/>
          <w:szCs w:val="20"/>
        </w:rPr>
        <w:t>A</w:t>
      </w:r>
      <w:r w:rsidR="000F6696" w:rsidRPr="009D1E61">
        <w:rPr>
          <w:rFonts w:ascii="Arial" w:hAnsi="Arial" w:cs="Arial"/>
          <w:sz w:val="20"/>
          <w:szCs w:val="20"/>
        </w:rPr>
        <w:t xml:space="preserve">. </w:t>
      </w:r>
      <w:r w:rsidR="00167BCA" w:rsidRPr="009D1E61">
        <w:rPr>
          <w:rFonts w:ascii="Arial" w:hAnsi="Arial" w:cs="Arial"/>
          <w:sz w:val="20"/>
          <w:szCs w:val="20"/>
        </w:rPr>
        <w:t xml:space="preserve">Also studied the effect of environmental </w:t>
      </w:r>
      <w:r w:rsidR="0066376E" w:rsidRPr="009D1E61">
        <w:rPr>
          <w:rFonts w:ascii="Arial" w:hAnsi="Arial" w:cs="Arial"/>
          <w:sz w:val="20"/>
          <w:szCs w:val="20"/>
        </w:rPr>
        <w:t>parameters</w:t>
      </w:r>
      <w:r w:rsidR="00167BCA" w:rsidRPr="009D1E61">
        <w:rPr>
          <w:rFonts w:ascii="Arial" w:hAnsi="Arial" w:cs="Arial"/>
          <w:sz w:val="20"/>
          <w:szCs w:val="20"/>
        </w:rPr>
        <w:t xml:space="preserve"> on </w:t>
      </w:r>
      <w:r w:rsidR="00652898" w:rsidRPr="009D1E61">
        <w:rPr>
          <w:rFonts w:ascii="Arial" w:hAnsi="Arial" w:cs="Arial"/>
          <w:sz w:val="20"/>
          <w:szCs w:val="20"/>
        </w:rPr>
        <w:t>PHA</w:t>
      </w:r>
      <w:r w:rsidR="0066376E" w:rsidRPr="009D1E61">
        <w:rPr>
          <w:rFonts w:ascii="Arial" w:hAnsi="Arial" w:cs="Arial"/>
          <w:sz w:val="20"/>
          <w:szCs w:val="20"/>
        </w:rPr>
        <w:t>-producing</w:t>
      </w:r>
      <w:r w:rsidR="00167BCA" w:rsidRPr="009D1E61">
        <w:rPr>
          <w:rFonts w:ascii="Arial" w:hAnsi="Arial" w:cs="Arial"/>
          <w:sz w:val="20"/>
          <w:szCs w:val="20"/>
        </w:rPr>
        <w:t xml:space="preserve"> strains.</w:t>
      </w:r>
    </w:p>
    <w:p w14:paraId="7BF9016C" w14:textId="77777777" w:rsidR="0019783A" w:rsidRPr="001523E3" w:rsidRDefault="0019783A" w:rsidP="001C5B92">
      <w:pPr>
        <w:spacing w:after="0" w:line="360" w:lineRule="auto"/>
        <w:jc w:val="both"/>
        <w:rPr>
          <w:rFonts w:ascii="Times New Roman" w:hAnsi="Times New Roman" w:cs="Times New Roman"/>
          <w:sz w:val="24"/>
          <w:szCs w:val="24"/>
        </w:rPr>
      </w:pPr>
    </w:p>
    <w:p w14:paraId="34975A5F" w14:textId="262E603C" w:rsidR="0019783A" w:rsidRPr="00F63E63" w:rsidRDefault="0019783A" w:rsidP="001C5B92">
      <w:pPr>
        <w:spacing w:after="0" w:line="360" w:lineRule="auto"/>
        <w:jc w:val="both"/>
        <w:rPr>
          <w:rFonts w:ascii="Arial" w:hAnsi="Arial" w:cs="Arial"/>
          <w:i/>
          <w:iCs/>
          <w:sz w:val="20"/>
          <w:szCs w:val="20"/>
        </w:rPr>
      </w:pPr>
      <w:r w:rsidRPr="00F63E63">
        <w:rPr>
          <w:rFonts w:ascii="Arial" w:hAnsi="Arial" w:cs="Arial"/>
          <w:i/>
          <w:iCs/>
          <w:sz w:val="20"/>
          <w:szCs w:val="20"/>
        </w:rPr>
        <w:t>Keywords</w:t>
      </w:r>
      <w:r w:rsidR="00F63E63">
        <w:rPr>
          <w:rFonts w:ascii="Arial" w:hAnsi="Arial" w:cs="Arial"/>
          <w:i/>
          <w:iCs/>
          <w:sz w:val="20"/>
          <w:szCs w:val="20"/>
        </w:rPr>
        <w:t xml:space="preserve"> </w:t>
      </w:r>
      <w:r w:rsidRPr="00F63E63">
        <w:rPr>
          <w:rFonts w:ascii="Arial" w:hAnsi="Arial" w:cs="Arial"/>
          <w:i/>
          <w:iCs/>
          <w:sz w:val="20"/>
          <w:szCs w:val="20"/>
        </w:rPr>
        <w:t>-</w:t>
      </w:r>
      <w:r w:rsidR="00F63E63">
        <w:rPr>
          <w:rFonts w:ascii="Arial" w:hAnsi="Arial" w:cs="Arial"/>
          <w:i/>
          <w:iCs/>
          <w:sz w:val="20"/>
          <w:szCs w:val="20"/>
        </w:rPr>
        <w:t xml:space="preserve"> </w:t>
      </w:r>
      <w:proofErr w:type="spellStart"/>
      <w:r w:rsidRPr="00F63E63">
        <w:rPr>
          <w:rFonts w:ascii="Arial" w:hAnsi="Arial" w:cs="Arial"/>
          <w:i/>
          <w:iCs/>
          <w:sz w:val="20"/>
          <w:szCs w:val="20"/>
        </w:rPr>
        <w:t>Polyhydroxyalkonates</w:t>
      </w:r>
      <w:proofErr w:type="spellEnd"/>
      <w:r w:rsidRPr="00F63E63">
        <w:rPr>
          <w:rFonts w:ascii="Arial" w:hAnsi="Arial" w:cs="Arial"/>
          <w:i/>
          <w:iCs/>
          <w:sz w:val="20"/>
          <w:szCs w:val="20"/>
        </w:rPr>
        <w:t xml:space="preserve"> (PHAs), </w:t>
      </w:r>
      <w:r w:rsidR="00B40C7F" w:rsidRPr="00F63E63">
        <w:rPr>
          <w:rFonts w:ascii="Arial" w:hAnsi="Arial" w:cs="Arial"/>
          <w:i/>
          <w:iCs/>
          <w:sz w:val="20"/>
          <w:szCs w:val="20"/>
        </w:rPr>
        <w:t>Poly-hydroxybutyrate (PH</w:t>
      </w:r>
      <w:r w:rsidR="00652898" w:rsidRPr="00F63E63">
        <w:rPr>
          <w:rFonts w:ascii="Arial" w:hAnsi="Arial" w:cs="Arial"/>
          <w:i/>
          <w:iCs/>
          <w:sz w:val="20"/>
          <w:szCs w:val="20"/>
        </w:rPr>
        <w:t>B</w:t>
      </w:r>
      <w:r w:rsidR="00B40C7F" w:rsidRPr="00F63E63">
        <w:rPr>
          <w:rFonts w:ascii="Arial" w:hAnsi="Arial" w:cs="Arial"/>
          <w:i/>
          <w:iCs/>
          <w:sz w:val="20"/>
          <w:szCs w:val="20"/>
        </w:rPr>
        <w:t xml:space="preserve">), </w:t>
      </w:r>
      <w:r w:rsidRPr="00F63E63">
        <w:rPr>
          <w:rFonts w:ascii="Arial" w:hAnsi="Arial" w:cs="Arial"/>
          <w:i/>
          <w:iCs/>
          <w:sz w:val="20"/>
          <w:szCs w:val="20"/>
        </w:rPr>
        <w:t xml:space="preserve">synthetic plastic, </w:t>
      </w:r>
      <w:r w:rsidR="00B40C7F" w:rsidRPr="00F63E63">
        <w:rPr>
          <w:rFonts w:ascii="Arial" w:hAnsi="Arial" w:cs="Arial"/>
          <w:i/>
          <w:iCs/>
          <w:sz w:val="20"/>
          <w:szCs w:val="20"/>
        </w:rPr>
        <w:t>Garbage soil. FTIR.</w:t>
      </w:r>
    </w:p>
    <w:p w14:paraId="67B7521E" w14:textId="77777777" w:rsidR="0023594B" w:rsidRPr="00F63E63" w:rsidRDefault="0023594B" w:rsidP="001C5B92">
      <w:pPr>
        <w:spacing w:after="0" w:line="360" w:lineRule="auto"/>
        <w:jc w:val="both"/>
        <w:rPr>
          <w:rFonts w:ascii="Arial" w:hAnsi="Arial" w:cs="Arial"/>
          <w:sz w:val="20"/>
          <w:szCs w:val="20"/>
        </w:rPr>
      </w:pPr>
    </w:p>
    <w:p w14:paraId="7DF019EA" w14:textId="77777777" w:rsidR="0023594B" w:rsidRPr="001523E3" w:rsidRDefault="0023594B" w:rsidP="001C5B92">
      <w:pPr>
        <w:spacing w:after="0" w:line="360" w:lineRule="auto"/>
        <w:jc w:val="both"/>
        <w:rPr>
          <w:rFonts w:ascii="Times New Roman" w:hAnsi="Times New Roman" w:cs="Times New Roman"/>
          <w:sz w:val="24"/>
          <w:szCs w:val="24"/>
        </w:rPr>
      </w:pPr>
    </w:p>
    <w:p w14:paraId="69FB2C80" w14:textId="77777777" w:rsidR="0023594B" w:rsidRPr="001523E3" w:rsidRDefault="0023594B" w:rsidP="001C5B92">
      <w:pPr>
        <w:spacing w:after="0" w:line="360" w:lineRule="auto"/>
        <w:jc w:val="both"/>
        <w:rPr>
          <w:rFonts w:ascii="Times New Roman" w:hAnsi="Times New Roman" w:cs="Times New Roman"/>
          <w:sz w:val="24"/>
          <w:szCs w:val="24"/>
        </w:rPr>
      </w:pPr>
    </w:p>
    <w:p w14:paraId="3178C573" w14:textId="77777777" w:rsidR="0023594B" w:rsidRPr="001523E3" w:rsidRDefault="0023594B" w:rsidP="001C5B92">
      <w:pPr>
        <w:spacing w:after="0" w:line="360" w:lineRule="auto"/>
        <w:jc w:val="both"/>
        <w:rPr>
          <w:rFonts w:ascii="Times New Roman" w:hAnsi="Times New Roman" w:cs="Times New Roman"/>
          <w:sz w:val="24"/>
          <w:szCs w:val="24"/>
        </w:rPr>
      </w:pPr>
    </w:p>
    <w:p w14:paraId="16C2E2B0" w14:textId="69841B44" w:rsidR="009D1E61" w:rsidRDefault="00F63E63" w:rsidP="00F63E63">
      <w:pPr>
        <w:tabs>
          <w:tab w:val="left" w:pos="5304"/>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72DAA32D" w14:textId="77777777" w:rsidR="005C318C" w:rsidRDefault="005C318C" w:rsidP="00F63E63">
      <w:pPr>
        <w:tabs>
          <w:tab w:val="left" w:pos="5304"/>
        </w:tabs>
        <w:spacing w:line="360" w:lineRule="auto"/>
        <w:rPr>
          <w:rFonts w:ascii="Times New Roman" w:hAnsi="Times New Roman" w:cs="Times New Roman"/>
          <w:sz w:val="24"/>
          <w:szCs w:val="24"/>
        </w:rPr>
      </w:pPr>
    </w:p>
    <w:p w14:paraId="0BA3A337" w14:textId="6424C40D" w:rsidR="005E6DD6" w:rsidRPr="003F4ADB" w:rsidRDefault="003F4ADB" w:rsidP="001C5B92">
      <w:pPr>
        <w:spacing w:line="360" w:lineRule="auto"/>
        <w:rPr>
          <w:rFonts w:ascii="Arial" w:hAnsi="Arial" w:cs="Arial"/>
          <w:b/>
          <w:bCs/>
        </w:rPr>
      </w:pPr>
      <w:r>
        <w:rPr>
          <w:rFonts w:ascii="Arial" w:hAnsi="Arial" w:cs="Arial"/>
          <w:b/>
          <w:bCs/>
        </w:rPr>
        <w:lastRenderedPageBreak/>
        <w:t xml:space="preserve">1. </w:t>
      </w:r>
      <w:r w:rsidRPr="003F4ADB">
        <w:rPr>
          <w:rFonts w:ascii="Arial" w:hAnsi="Arial" w:cs="Arial"/>
          <w:b/>
          <w:bCs/>
        </w:rPr>
        <w:t>INTRODUCTION:</w:t>
      </w:r>
    </w:p>
    <w:p w14:paraId="2E2B53D6" w14:textId="77777777" w:rsidR="001C5B92"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The accumulation of petroleum-based plastic waste poses a significant environmental challenge, with thousands of tons generated daily, contributing to non-biodegradable landfills and increasing waste disposal costs (Geyer et al., 2017; Sudesh et al., 2018). The persistence of plastics in the environment is primarily due to their non-degradable nature, leading to serious pollution problems, as they can take hundreds of years to decompose naturally (Geyer et al., 2017). Despite their detrimental impact, plastics are widely used across various industries due to their durability, versatility, and low cost of production. For instance, global plastic production reached approximately 413.8 million metric tons in 2022, up from just 1.5 million metric tons in 1950 (Geyer et al., 2017).</w:t>
      </w:r>
    </w:p>
    <w:p w14:paraId="200C62C0" w14:textId="209C7B1A"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In response to the environmental crisis posed by plastic waste, researchers are investigating biodegradable alternatives, such as Polyhydroxyalkanoates (PHAs) (Sudesh et al., 2018). PHAs are a family of high-performance, biodegradable polymers produced by certain microorganisms, especially bacterial strains, under specific environmental conditions. These biodegradable plastics not only offer potential solutions for reducing plastic waste but also possess excellent physical properties suitable for a diverse range of industrial applications (Laycock et al., 2017; Sudesh et al., 2018).</w:t>
      </w:r>
    </w:p>
    <w:p w14:paraId="045D4DDF" w14:textId="77777777" w:rsidR="001C5B92"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Research indicates that over 300 bacterial species, including Gram-positive and Gram-negative bacteria, can synthesize PHAs under varying environmental conditions. Key bacterial strains such as </w:t>
      </w:r>
      <w:r w:rsidRPr="003F4ADB">
        <w:rPr>
          <w:rFonts w:ascii="Arial" w:hAnsi="Arial" w:cs="Arial"/>
          <w:i/>
          <w:iCs/>
          <w:sz w:val="20"/>
          <w:szCs w:val="20"/>
        </w:rPr>
        <w:t>Bacillus megaterium</w:t>
      </w:r>
      <w:r w:rsidRPr="003F4ADB">
        <w:rPr>
          <w:rFonts w:ascii="Arial" w:hAnsi="Arial" w:cs="Arial"/>
          <w:sz w:val="20"/>
          <w:szCs w:val="20"/>
        </w:rPr>
        <w:t xml:space="preserve">, </w:t>
      </w:r>
      <w:proofErr w:type="spellStart"/>
      <w:r w:rsidRPr="003F4ADB">
        <w:rPr>
          <w:rFonts w:ascii="Arial" w:hAnsi="Arial" w:cs="Arial"/>
          <w:i/>
          <w:iCs/>
          <w:sz w:val="20"/>
          <w:szCs w:val="20"/>
        </w:rPr>
        <w:t>Ralstonia</w:t>
      </w:r>
      <w:proofErr w:type="spellEnd"/>
      <w:r w:rsidRPr="003F4ADB">
        <w:rPr>
          <w:rFonts w:ascii="Arial" w:hAnsi="Arial" w:cs="Arial"/>
          <w:i/>
          <w:iCs/>
          <w:sz w:val="20"/>
          <w:szCs w:val="20"/>
        </w:rPr>
        <w:t xml:space="preserve"> </w:t>
      </w:r>
      <w:proofErr w:type="spellStart"/>
      <w:r w:rsidRPr="003F4ADB">
        <w:rPr>
          <w:rFonts w:ascii="Arial" w:hAnsi="Arial" w:cs="Arial"/>
          <w:i/>
          <w:iCs/>
          <w:sz w:val="20"/>
          <w:szCs w:val="20"/>
        </w:rPr>
        <w:t>eutropha</w:t>
      </w:r>
      <w:proofErr w:type="spellEnd"/>
      <w:r w:rsidRPr="003F4ADB">
        <w:rPr>
          <w:rFonts w:ascii="Arial" w:hAnsi="Arial" w:cs="Arial"/>
          <w:sz w:val="20"/>
          <w:szCs w:val="20"/>
        </w:rPr>
        <w:t xml:space="preserve">, and </w:t>
      </w:r>
      <w:r w:rsidRPr="003F4ADB">
        <w:rPr>
          <w:rFonts w:ascii="Arial" w:hAnsi="Arial" w:cs="Arial"/>
          <w:i/>
          <w:iCs/>
          <w:sz w:val="20"/>
          <w:szCs w:val="20"/>
        </w:rPr>
        <w:t>Pseudomonas putida</w:t>
      </w:r>
      <w:r w:rsidRPr="003F4ADB">
        <w:rPr>
          <w:rFonts w:ascii="Arial" w:hAnsi="Arial" w:cs="Arial"/>
          <w:sz w:val="20"/>
          <w:szCs w:val="20"/>
        </w:rPr>
        <w:t xml:space="preserve"> are among the most extensively studied for their ability to produce PHAs (Laycock et al., 2017). These bacteria can utilize different carbon substrates, including agro-industrial waste, which presents an opportunity for sustainable PHA production while simultaneously addressing waste management issues (Chan et al., 2018; Koller et al., 2013).</w:t>
      </w:r>
    </w:p>
    <w:p w14:paraId="12458F29" w14:textId="4C0C065F"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The process of cultivating bacteria for PHA production typically involves specific growth conditions and media preparation. For example, the culturing of bacteria often occurs in a fed-batch process vessel, where conditions such as temperature and carbon substrate concentration are carefully controlled to optimize PHA synthesis (Lee et al., 1999; Sudesh et al., 2018). As efforts to mitigate plastic pollution continue to grow, the exploration of PHA production from waste sources emerges as a promising avenue for developing environmentally sustainable materials (Geyer et al., 2017; </w:t>
      </w:r>
      <w:proofErr w:type="spellStart"/>
      <w:r w:rsidRPr="003F4ADB">
        <w:rPr>
          <w:rFonts w:ascii="Arial" w:hAnsi="Arial" w:cs="Arial"/>
          <w:sz w:val="20"/>
          <w:szCs w:val="20"/>
        </w:rPr>
        <w:t>Sabdono</w:t>
      </w:r>
      <w:proofErr w:type="spellEnd"/>
      <w:r w:rsidRPr="003F4ADB">
        <w:rPr>
          <w:rFonts w:ascii="Arial" w:hAnsi="Arial" w:cs="Arial"/>
          <w:sz w:val="20"/>
          <w:szCs w:val="20"/>
        </w:rPr>
        <w:t xml:space="preserve"> et al., 2019).</w:t>
      </w:r>
    </w:p>
    <w:p w14:paraId="51768176" w14:textId="77777777" w:rsidR="00E623B0" w:rsidRPr="003F4ADB" w:rsidRDefault="005E6DD6" w:rsidP="00E623B0">
      <w:pPr>
        <w:spacing w:after="0" w:line="360" w:lineRule="auto"/>
        <w:ind w:firstLine="720"/>
        <w:jc w:val="both"/>
        <w:rPr>
          <w:rFonts w:ascii="Arial" w:hAnsi="Arial" w:cs="Arial"/>
          <w:sz w:val="20"/>
          <w:szCs w:val="20"/>
        </w:rPr>
      </w:pPr>
      <w:r w:rsidRPr="003F4ADB">
        <w:rPr>
          <w:rFonts w:ascii="Arial" w:hAnsi="Arial" w:cs="Arial"/>
          <w:sz w:val="20"/>
          <w:szCs w:val="20"/>
        </w:rPr>
        <w:t xml:space="preserve">The escalating global plastic waste crisis has necessitated the search for sustainable and biodegradable alternatives to conventional, petroleum-derived plastics. The widespread use and improper disposal of materials such as polyethylene (PE), polypropylene (PP), and polyvinyl chloride (PVC) have led to severe environmental pollution, including the accumulation of microplastics in both terrestrial and marine ecosystems (Horton et al., 2017; </w:t>
      </w:r>
      <w:proofErr w:type="spellStart"/>
      <w:r w:rsidRPr="003F4ADB">
        <w:rPr>
          <w:rFonts w:ascii="Arial" w:hAnsi="Arial" w:cs="Arial"/>
          <w:sz w:val="20"/>
          <w:szCs w:val="20"/>
        </w:rPr>
        <w:t>Jambeck</w:t>
      </w:r>
      <w:proofErr w:type="spellEnd"/>
      <w:r w:rsidRPr="003F4ADB">
        <w:rPr>
          <w:rFonts w:ascii="Arial" w:hAnsi="Arial" w:cs="Arial"/>
          <w:sz w:val="20"/>
          <w:szCs w:val="20"/>
        </w:rPr>
        <w:t xml:space="preserve"> et al., 2015). This ecological challenge is particularly pronounced in areas with high concentrations of organic and municipal waste, such as waste-garbage disposal sites, where the slow or negligible degradation of synthetic polymers poses a long-term threat. In response to this crisis, bioplastics, specifically Polyhydroxyalkanoates (PHAs), have emerged as a highly promising class of biodegradable polymers (Chen &amp; Wu, 2005).</w:t>
      </w:r>
    </w:p>
    <w:p w14:paraId="2313D797" w14:textId="320DAB6F" w:rsidR="005E6DD6" w:rsidRPr="003F4ADB" w:rsidRDefault="005E6DD6" w:rsidP="00E623B0">
      <w:pPr>
        <w:spacing w:after="0" w:line="360" w:lineRule="auto"/>
        <w:ind w:firstLine="720"/>
        <w:jc w:val="both"/>
        <w:rPr>
          <w:rFonts w:ascii="Arial" w:hAnsi="Arial" w:cs="Arial"/>
          <w:sz w:val="20"/>
          <w:szCs w:val="20"/>
        </w:rPr>
      </w:pPr>
      <w:r w:rsidRPr="003F4ADB">
        <w:rPr>
          <w:rFonts w:ascii="Arial" w:hAnsi="Arial" w:cs="Arial"/>
          <w:sz w:val="20"/>
          <w:szCs w:val="20"/>
        </w:rPr>
        <w:lastRenderedPageBreak/>
        <w:t>PHAs are intracellular carbon and energy storage compounds naturally accumulated by various microorganisms, primarily bacteria, under conditions of nutrient limitation (e.g., nitrogen or phosphorus) but an excess of a carbon source (</w:t>
      </w:r>
      <w:proofErr w:type="spellStart"/>
      <w:r w:rsidRPr="003F4ADB">
        <w:rPr>
          <w:rFonts w:ascii="Arial" w:hAnsi="Arial" w:cs="Arial"/>
          <w:sz w:val="20"/>
          <w:szCs w:val="20"/>
        </w:rPr>
        <w:t>Lageveen</w:t>
      </w:r>
      <w:proofErr w:type="spellEnd"/>
      <w:r w:rsidRPr="003F4ADB">
        <w:rPr>
          <w:rFonts w:ascii="Arial" w:hAnsi="Arial" w:cs="Arial"/>
          <w:sz w:val="20"/>
          <w:szCs w:val="20"/>
        </w:rPr>
        <w:t xml:space="preserve"> et al., 1988). They are linear polyesters that exhibit properties comparable to conventional plastics but possess the crucial advantage of being fully biodegradable in various natural environments, including soil, water, and activated sludge, leading to their complete assimilation by microbes into carbon dioxide and water (Reddy et al., 2003).</w:t>
      </w:r>
    </w:p>
    <w:p w14:paraId="4EFDBE51" w14:textId="77777777"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While PHAs can be produced by a wide range of bacteria, including </w:t>
      </w:r>
      <w:proofErr w:type="spellStart"/>
      <w:r w:rsidRPr="003F4ADB">
        <w:rPr>
          <w:rFonts w:ascii="Arial" w:hAnsi="Arial" w:cs="Arial"/>
          <w:i/>
          <w:iCs/>
          <w:sz w:val="20"/>
          <w:szCs w:val="20"/>
        </w:rPr>
        <w:t>Ralstonia</w:t>
      </w:r>
      <w:proofErr w:type="spellEnd"/>
      <w:r w:rsidRPr="003F4ADB">
        <w:rPr>
          <w:rFonts w:ascii="Arial" w:hAnsi="Arial" w:cs="Arial"/>
          <w:i/>
          <w:iCs/>
          <w:sz w:val="20"/>
          <w:szCs w:val="20"/>
        </w:rPr>
        <w:t xml:space="preserve"> </w:t>
      </w:r>
      <w:proofErr w:type="spellStart"/>
      <w:r w:rsidRPr="003F4ADB">
        <w:rPr>
          <w:rFonts w:ascii="Arial" w:hAnsi="Arial" w:cs="Arial"/>
          <w:i/>
          <w:iCs/>
          <w:sz w:val="20"/>
          <w:szCs w:val="20"/>
        </w:rPr>
        <w:t>eutropha</w:t>
      </w:r>
      <w:proofErr w:type="spellEnd"/>
      <w:r w:rsidRPr="003F4ADB">
        <w:rPr>
          <w:rFonts w:ascii="Arial" w:hAnsi="Arial" w:cs="Arial"/>
          <w:sz w:val="20"/>
          <w:szCs w:val="20"/>
        </w:rPr>
        <w:t xml:space="preserve"> and </w:t>
      </w:r>
      <w:r w:rsidRPr="003F4ADB">
        <w:rPr>
          <w:rFonts w:ascii="Arial" w:hAnsi="Arial" w:cs="Arial"/>
          <w:i/>
          <w:iCs/>
          <w:sz w:val="20"/>
          <w:szCs w:val="20"/>
        </w:rPr>
        <w:t>Pseudomonas</w:t>
      </w:r>
      <w:r w:rsidRPr="003F4ADB">
        <w:rPr>
          <w:rFonts w:ascii="Arial" w:hAnsi="Arial" w:cs="Arial"/>
          <w:sz w:val="20"/>
          <w:szCs w:val="20"/>
        </w:rPr>
        <w:t xml:space="preserve"> species, the production costs remain a major barrier to widespread commercial application (Choi &amp; Lee, 1997). A significant portion of this cost is attributed to the use of expensive, pure substrates as the carbon source. Therefore, research is intensely focused on identifying novel bacterial strains with high PHA accumulation potential and, critically, the ability to utilize low-cost substrates, such as organic waste materials, as their primary carbon source (Kahar et al., 2008).</w:t>
      </w:r>
    </w:p>
    <w:p w14:paraId="46F6A554" w14:textId="77777777"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i/>
          <w:iCs/>
          <w:sz w:val="20"/>
          <w:szCs w:val="20"/>
        </w:rPr>
        <w:t>Bacillus</w:t>
      </w:r>
      <w:r w:rsidRPr="003F4ADB">
        <w:rPr>
          <w:rFonts w:ascii="Arial" w:hAnsi="Arial" w:cs="Arial"/>
          <w:sz w:val="20"/>
          <w:szCs w:val="20"/>
        </w:rPr>
        <w:t xml:space="preserve"> is a genus of Gram-positive, rod-shaped bacteria in the phylum Firmicutes. Members of this genus can be found in various environments, including soil, aquatic habitats, wastewater treatment systems, and even extreme environments like deep oceans and ocean vents (</w:t>
      </w:r>
      <w:proofErr w:type="spellStart"/>
      <w:r w:rsidRPr="003F4ADB">
        <w:rPr>
          <w:rFonts w:ascii="Arial" w:hAnsi="Arial" w:cs="Arial"/>
          <w:sz w:val="20"/>
          <w:szCs w:val="20"/>
        </w:rPr>
        <w:t>Mozejko-Czekaj</w:t>
      </w:r>
      <w:proofErr w:type="spellEnd"/>
      <w:r w:rsidRPr="003F4ADB">
        <w:rPr>
          <w:rFonts w:ascii="Arial" w:hAnsi="Arial" w:cs="Arial"/>
          <w:sz w:val="20"/>
          <w:szCs w:val="20"/>
        </w:rPr>
        <w:t xml:space="preserve"> et al., 2020; Sudesh et al., 2018). These bacteria are classified as either obligate aerobes, which require oxygen for growth, or facultative anaerobes, which can thrive in both aerobic and anaerobic conditions (Sudesh et al., 2018).</w:t>
      </w:r>
    </w:p>
    <w:p w14:paraId="7F316E63" w14:textId="77777777"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i/>
          <w:iCs/>
          <w:sz w:val="20"/>
          <w:szCs w:val="20"/>
        </w:rPr>
        <w:t>Bacillus</w:t>
      </w:r>
      <w:r w:rsidRPr="003F4ADB">
        <w:rPr>
          <w:rFonts w:ascii="Arial" w:hAnsi="Arial" w:cs="Arial"/>
          <w:sz w:val="20"/>
          <w:szCs w:val="20"/>
        </w:rPr>
        <w:t xml:space="preserve"> species are recognized for their capability to produce PHAs, a type of biodegradable polymer synthesized as intracellular granules. Among the most common </w:t>
      </w:r>
      <w:r w:rsidRPr="003F4ADB">
        <w:rPr>
          <w:rFonts w:ascii="Arial" w:hAnsi="Arial" w:cs="Arial"/>
          <w:i/>
          <w:iCs/>
          <w:sz w:val="20"/>
          <w:szCs w:val="20"/>
        </w:rPr>
        <w:t>Bacillus</w:t>
      </w:r>
      <w:r w:rsidRPr="003F4ADB">
        <w:rPr>
          <w:rFonts w:ascii="Arial" w:hAnsi="Arial" w:cs="Arial"/>
          <w:sz w:val="20"/>
          <w:szCs w:val="20"/>
        </w:rPr>
        <w:t xml:space="preserve"> species used for PHA production are </w:t>
      </w:r>
      <w:r w:rsidRPr="003F4ADB">
        <w:rPr>
          <w:rFonts w:ascii="Arial" w:hAnsi="Arial" w:cs="Arial"/>
          <w:i/>
          <w:iCs/>
          <w:sz w:val="20"/>
          <w:szCs w:val="20"/>
        </w:rPr>
        <w:t>Bacillus subtilis</w:t>
      </w:r>
      <w:r w:rsidRPr="003F4ADB">
        <w:rPr>
          <w:rFonts w:ascii="Arial" w:hAnsi="Arial" w:cs="Arial"/>
          <w:sz w:val="20"/>
          <w:szCs w:val="20"/>
        </w:rPr>
        <w:t xml:space="preserve">, </w:t>
      </w:r>
      <w:r w:rsidRPr="003F4ADB">
        <w:rPr>
          <w:rFonts w:ascii="Arial" w:hAnsi="Arial" w:cs="Arial"/>
          <w:i/>
          <w:iCs/>
          <w:sz w:val="20"/>
          <w:szCs w:val="20"/>
        </w:rPr>
        <w:t>Bacillus pumilus</w:t>
      </w:r>
      <w:r w:rsidRPr="003F4ADB">
        <w:rPr>
          <w:rFonts w:ascii="Arial" w:hAnsi="Arial" w:cs="Arial"/>
          <w:sz w:val="20"/>
          <w:szCs w:val="20"/>
        </w:rPr>
        <w:t xml:space="preserve">, </w:t>
      </w:r>
      <w:r w:rsidRPr="003F4ADB">
        <w:rPr>
          <w:rFonts w:ascii="Arial" w:hAnsi="Arial" w:cs="Arial"/>
          <w:i/>
          <w:iCs/>
          <w:sz w:val="20"/>
          <w:szCs w:val="20"/>
        </w:rPr>
        <w:t>Bacillus megaterium</w:t>
      </w:r>
      <w:r w:rsidRPr="003F4ADB">
        <w:rPr>
          <w:rFonts w:ascii="Arial" w:hAnsi="Arial" w:cs="Arial"/>
          <w:sz w:val="20"/>
          <w:szCs w:val="20"/>
        </w:rPr>
        <w:t xml:space="preserve">, and </w:t>
      </w:r>
      <w:r w:rsidRPr="003F4ADB">
        <w:rPr>
          <w:rFonts w:ascii="Arial" w:hAnsi="Arial" w:cs="Arial"/>
          <w:i/>
          <w:iCs/>
          <w:sz w:val="20"/>
          <w:szCs w:val="20"/>
        </w:rPr>
        <w:t>Bacillus thuringiensis</w:t>
      </w:r>
      <w:r w:rsidRPr="003F4ADB">
        <w:rPr>
          <w:rFonts w:ascii="Arial" w:hAnsi="Arial" w:cs="Arial"/>
          <w:sz w:val="20"/>
          <w:szCs w:val="20"/>
        </w:rPr>
        <w:t>, among others (</w:t>
      </w:r>
      <w:proofErr w:type="spellStart"/>
      <w:r w:rsidRPr="003F4ADB">
        <w:rPr>
          <w:rFonts w:ascii="Arial" w:hAnsi="Arial" w:cs="Arial"/>
          <w:sz w:val="20"/>
          <w:szCs w:val="20"/>
        </w:rPr>
        <w:t>Mozejko-Czekaj</w:t>
      </w:r>
      <w:proofErr w:type="spellEnd"/>
      <w:r w:rsidRPr="003F4ADB">
        <w:rPr>
          <w:rFonts w:ascii="Arial" w:hAnsi="Arial" w:cs="Arial"/>
          <w:sz w:val="20"/>
          <w:szCs w:val="20"/>
        </w:rPr>
        <w:t xml:space="preserve"> et al., 2020; Sudesh et al., 2018). These organisms demonstrate a remarkable versatility, allowing them to utilize a wide range of carbon sources, including simple sugars and complex waste materials, which enhances their potential for industrial applications in PHA production (Sudesh et al., 2018; Khanna &amp; Srivastava, 2014). The biosynthesis of PHAs in </w:t>
      </w:r>
      <w:r w:rsidRPr="003F4ADB">
        <w:rPr>
          <w:rFonts w:ascii="Arial" w:hAnsi="Arial" w:cs="Arial"/>
          <w:i/>
          <w:iCs/>
          <w:sz w:val="20"/>
          <w:szCs w:val="20"/>
        </w:rPr>
        <w:t>Bacillus</w:t>
      </w:r>
      <w:r w:rsidRPr="003F4ADB">
        <w:rPr>
          <w:rFonts w:ascii="Arial" w:hAnsi="Arial" w:cs="Arial"/>
          <w:sz w:val="20"/>
          <w:szCs w:val="20"/>
        </w:rPr>
        <w:t xml:space="preserve"> species involves multiple metabolic pathways that can utilize different substrates. The primary pathways include </w:t>
      </w:r>
      <w:proofErr w:type="spellStart"/>
      <w:r w:rsidRPr="003F4ADB">
        <w:rPr>
          <w:rFonts w:ascii="Arial" w:hAnsi="Arial" w:cs="Arial"/>
          <w:sz w:val="20"/>
          <w:szCs w:val="20"/>
        </w:rPr>
        <w:t>acetoacetyl</w:t>
      </w:r>
      <w:proofErr w:type="spellEnd"/>
      <w:r w:rsidRPr="003F4ADB">
        <w:rPr>
          <w:rFonts w:ascii="Arial" w:hAnsi="Arial" w:cs="Arial"/>
          <w:sz w:val="20"/>
          <w:szCs w:val="20"/>
        </w:rPr>
        <w:t>-CoA synthesis, fatty acid biosynthesis, and fatty acid beta-oxidation, all of which contribute to the production of various PHA monomers (</w:t>
      </w:r>
      <w:proofErr w:type="spellStart"/>
      <w:r w:rsidRPr="003F4ADB">
        <w:rPr>
          <w:rFonts w:ascii="Arial" w:hAnsi="Arial" w:cs="Arial"/>
          <w:sz w:val="20"/>
          <w:szCs w:val="20"/>
        </w:rPr>
        <w:t>Steinbüchel</w:t>
      </w:r>
      <w:proofErr w:type="spellEnd"/>
      <w:r w:rsidRPr="003F4ADB">
        <w:rPr>
          <w:rFonts w:ascii="Arial" w:hAnsi="Arial" w:cs="Arial"/>
          <w:sz w:val="20"/>
          <w:szCs w:val="20"/>
        </w:rPr>
        <w:t xml:space="preserve"> &amp; </w:t>
      </w:r>
      <w:proofErr w:type="spellStart"/>
      <w:r w:rsidRPr="003F4ADB">
        <w:rPr>
          <w:rFonts w:ascii="Arial" w:hAnsi="Arial" w:cs="Arial"/>
          <w:sz w:val="20"/>
          <w:szCs w:val="20"/>
        </w:rPr>
        <w:t>Füchtenbusch</w:t>
      </w:r>
      <w:proofErr w:type="spellEnd"/>
      <w:r w:rsidRPr="003F4ADB">
        <w:rPr>
          <w:rFonts w:ascii="Arial" w:hAnsi="Arial" w:cs="Arial"/>
          <w:sz w:val="20"/>
          <w:szCs w:val="20"/>
        </w:rPr>
        <w:t xml:space="preserve">, 1998). </w:t>
      </w:r>
      <w:r w:rsidRPr="003F4ADB">
        <w:rPr>
          <w:rFonts w:ascii="Arial" w:hAnsi="Arial" w:cs="Arial"/>
          <w:i/>
          <w:iCs/>
          <w:sz w:val="20"/>
          <w:szCs w:val="20"/>
        </w:rPr>
        <w:t>Bacillus</w:t>
      </w:r>
      <w:r w:rsidRPr="003F4ADB">
        <w:rPr>
          <w:rFonts w:ascii="Arial" w:hAnsi="Arial" w:cs="Arial"/>
          <w:sz w:val="20"/>
          <w:szCs w:val="20"/>
        </w:rPr>
        <w:t xml:space="preserve"> species are particularly adept at leveraging their natural hydrolytic enzymes to efficiently metabolize complex carbon sources, thus supporting higher yields of PHA production (Koller, 2018). Furthermore, advancements in metabolic engineering have allowed for enhanced production capabilities, as specific pathways can be optimized to reduce byproduct formation and maximize carbon yield (Khanna &amp; Srivastava, 2014).</w:t>
      </w:r>
    </w:p>
    <w:p w14:paraId="6479692B" w14:textId="20C475DB" w:rsidR="00AD7CE7" w:rsidRDefault="005E6DD6" w:rsidP="00AD7CE7">
      <w:pPr>
        <w:spacing w:after="0" w:line="360" w:lineRule="auto"/>
        <w:ind w:firstLine="720"/>
        <w:jc w:val="both"/>
        <w:rPr>
          <w:rFonts w:ascii="Arial" w:hAnsi="Arial" w:cs="Arial"/>
          <w:sz w:val="20"/>
          <w:szCs w:val="20"/>
        </w:rPr>
      </w:pPr>
      <w:r w:rsidRPr="003F4ADB">
        <w:rPr>
          <w:rFonts w:ascii="Arial" w:hAnsi="Arial" w:cs="Arial"/>
          <w:sz w:val="20"/>
          <w:szCs w:val="20"/>
        </w:rPr>
        <w:t xml:space="preserve">The waste-garbage soil environment is a unique ecological niche, rich in diverse microbial communities constantly exposed to a variety of decomposing organic matter and complex carbon polymers. This environment serves as a potential source for isolating robust, resilient bacterial strains, particularly members of the </w:t>
      </w:r>
      <w:r w:rsidRPr="003F4ADB">
        <w:rPr>
          <w:rFonts w:ascii="Arial" w:hAnsi="Arial" w:cs="Arial"/>
          <w:i/>
          <w:iCs/>
          <w:sz w:val="20"/>
          <w:szCs w:val="20"/>
        </w:rPr>
        <w:t>Bacillus</w:t>
      </w:r>
      <w:r w:rsidRPr="003F4ADB">
        <w:rPr>
          <w:rFonts w:ascii="Arial" w:hAnsi="Arial" w:cs="Arial"/>
          <w:sz w:val="20"/>
          <w:szCs w:val="20"/>
        </w:rPr>
        <w:t xml:space="preserve"> genus, known for their versatile metabolic capabilities, ability to form heat-resistant spores, and propensity for large-scale industrial fermentation (</w:t>
      </w:r>
      <w:proofErr w:type="spellStart"/>
      <w:r w:rsidRPr="003F4ADB">
        <w:rPr>
          <w:rFonts w:ascii="Arial" w:hAnsi="Arial" w:cs="Arial"/>
          <w:sz w:val="20"/>
          <w:szCs w:val="20"/>
        </w:rPr>
        <w:t>Mozejko-Czekaj</w:t>
      </w:r>
      <w:proofErr w:type="spellEnd"/>
      <w:r w:rsidRPr="003F4ADB">
        <w:rPr>
          <w:rFonts w:ascii="Arial" w:hAnsi="Arial" w:cs="Arial"/>
          <w:sz w:val="20"/>
          <w:szCs w:val="20"/>
        </w:rPr>
        <w:t xml:space="preserve"> et al., 2020). The hypothesis </w:t>
      </w:r>
      <w:r w:rsidRPr="003F4ADB">
        <w:rPr>
          <w:rFonts w:ascii="Arial" w:hAnsi="Arial" w:cs="Arial"/>
          <w:sz w:val="20"/>
          <w:szCs w:val="20"/>
        </w:rPr>
        <w:lastRenderedPageBreak/>
        <w:t xml:space="preserve">underpinning this study is that </w:t>
      </w:r>
      <w:r w:rsidRPr="003F4ADB">
        <w:rPr>
          <w:rFonts w:ascii="Arial" w:hAnsi="Arial" w:cs="Arial"/>
          <w:i/>
          <w:iCs/>
          <w:sz w:val="20"/>
          <w:szCs w:val="20"/>
        </w:rPr>
        <w:t>Bacillus</w:t>
      </w:r>
      <w:r w:rsidRPr="003F4ADB">
        <w:rPr>
          <w:rFonts w:ascii="Arial" w:hAnsi="Arial" w:cs="Arial"/>
          <w:sz w:val="20"/>
          <w:szCs w:val="20"/>
        </w:rPr>
        <w:t xml:space="preserve"> strains indigenous to waste-garbage soil possess a superior ability to metabolize the complex and heterogeneous carbon sources characteristic of this environment, thus offering a cost-effective and efficient pathway for PHA biosynthesis. This study, therefore, aims to isolate, characterize, and optimize the production of PHAs by </w:t>
      </w:r>
      <w:r w:rsidRPr="003F4ADB">
        <w:rPr>
          <w:rFonts w:ascii="Arial" w:hAnsi="Arial" w:cs="Arial"/>
          <w:i/>
          <w:iCs/>
          <w:sz w:val="20"/>
          <w:szCs w:val="20"/>
        </w:rPr>
        <w:t>Bacillus</w:t>
      </w:r>
      <w:r w:rsidRPr="003F4ADB">
        <w:rPr>
          <w:rFonts w:ascii="Arial" w:hAnsi="Arial" w:cs="Arial"/>
          <w:sz w:val="20"/>
          <w:szCs w:val="20"/>
        </w:rPr>
        <w:t xml:space="preserve"> species recovered directly from waste-garbage soil, ultimately contributing to a sustainable, waste-valorization approach to bioplastic production.</w:t>
      </w:r>
    </w:p>
    <w:p w14:paraId="6DD9D79E" w14:textId="77777777" w:rsidR="00F54166" w:rsidRPr="003F4ADB" w:rsidRDefault="00F54166" w:rsidP="00AD7CE7">
      <w:pPr>
        <w:spacing w:after="0" w:line="360" w:lineRule="auto"/>
        <w:ind w:firstLine="720"/>
        <w:jc w:val="both"/>
        <w:rPr>
          <w:rFonts w:ascii="Arial" w:hAnsi="Arial" w:cs="Arial"/>
          <w:sz w:val="20"/>
          <w:szCs w:val="20"/>
        </w:rPr>
      </w:pPr>
    </w:p>
    <w:p w14:paraId="2612BDA9" w14:textId="0E5FDA54" w:rsidR="005E6DD6" w:rsidRPr="00AD7CE7" w:rsidRDefault="00AD7CE7" w:rsidP="001C5B92">
      <w:pPr>
        <w:spacing w:after="0" w:line="360" w:lineRule="auto"/>
        <w:jc w:val="both"/>
        <w:rPr>
          <w:rFonts w:ascii="Arial" w:hAnsi="Arial" w:cs="Arial"/>
          <w:b/>
          <w:bCs/>
        </w:rPr>
      </w:pPr>
      <w:r>
        <w:rPr>
          <w:rFonts w:ascii="Arial" w:hAnsi="Arial" w:cs="Arial"/>
          <w:b/>
          <w:bCs/>
        </w:rPr>
        <w:t xml:space="preserve">2. </w:t>
      </w:r>
      <w:r w:rsidRPr="00AD7CE7">
        <w:rPr>
          <w:rFonts w:ascii="Arial" w:hAnsi="Arial" w:cs="Arial"/>
          <w:b/>
          <w:bCs/>
        </w:rPr>
        <w:t>MATERIALS AND METHODS</w:t>
      </w:r>
    </w:p>
    <w:p w14:paraId="3802C932" w14:textId="695DDA92" w:rsidR="005E6DD6" w:rsidRPr="00AD7CE7" w:rsidRDefault="00AD7CE7" w:rsidP="001C5B92">
      <w:pPr>
        <w:spacing w:after="0" w:line="360" w:lineRule="auto"/>
        <w:jc w:val="both"/>
        <w:rPr>
          <w:rFonts w:ascii="Arial" w:hAnsi="Arial" w:cs="Arial"/>
          <w:b/>
          <w:bCs/>
        </w:rPr>
      </w:pPr>
      <w:r w:rsidRPr="00AD7CE7">
        <w:rPr>
          <w:rFonts w:ascii="Arial" w:hAnsi="Arial" w:cs="Arial"/>
          <w:b/>
          <w:bCs/>
        </w:rPr>
        <w:t>2</w:t>
      </w:r>
      <w:r w:rsidR="005E6DD6" w:rsidRPr="00AD7CE7">
        <w:rPr>
          <w:rFonts w:ascii="Arial" w:hAnsi="Arial" w:cs="Arial"/>
          <w:b/>
          <w:bCs/>
        </w:rPr>
        <w:t>.1. Sample Collection and Serial Dilution</w:t>
      </w:r>
    </w:p>
    <w:p w14:paraId="5DED63F8" w14:textId="4A5651BF"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Soil samples were collected from diverse ecological niches within the Solapur district, Maharashtra, India—including garden soil, waste-garbage soil, roadside soil, and crop field soil—to maximize the likelihood of isolating polyhydroxybutyrate (</w:t>
      </w:r>
      <w:r w:rsidR="00652898" w:rsidRPr="003F4ADB">
        <w:rPr>
          <w:rFonts w:ascii="Arial" w:hAnsi="Arial" w:cs="Arial"/>
          <w:sz w:val="20"/>
          <w:szCs w:val="20"/>
        </w:rPr>
        <w:t>PHA</w:t>
      </w:r>
      <w:r w:rsidRPr="003F4ADB">
        <w:rPr>
          <w:rFonts w:ascii="Arial" w:hAnsi="Arial" w:cs="Arial"/>
          <w:sz w:val="20"/>
          <w:szCs w:val="20"/>
        </w:rPr>
        <w:t>)-producing microorganisms, as environmental heterogeneity enhances microbial diversity. One gram of each soil sample was suspended in 9 mL of sterile saline solution (0.9% w/v NaCl) to obtain homogenized microbial suspensions, following standard soil microbiology protocols. The suspensions were subjected to serial dilution from 10</w:t>
      </w:r>
      <w:r w:rsidRPr="003F4ADB">
        <w:rPr>
          <w:rFonts w:ascii="Arial" w:hAnsi="Arial" w:cs="Arial"/>
          <w:sz w:val="20"/>
          <w:szCs w:val="20"/>
          <w:vertAlign w:val="superscript"/>
        </w:rPr>
        <w:t>-1</w:t>
      </w:r>
      <w:r w:rsidRPr="003F4ADB">
        <w:rPr>
          <w:rFonts w:ascii="Arial" w:hAnsi="Arial" w:cs="Arial"/>
          <w:sz w:val="20"/>
          <w:szCs w:val="20"/>
        </w:rPr>
        <w:t>to 10</w:t>
      </w:r>
      <w:r w:rsidRPr="003F4ADB">
        <w:rPr>
          <w:rFonts w:ascii="Arial" w:hAnsi="Arial" w:cs="Arial"/>
          <w:sz w:val="20"/>
          <w:szCs w:val="20"/>
          <w:vertAlign w:val="superscript"/>
        </w:rPr>
        <w:t>-6</w:t>
      </w:r>
      <w:r w:rsidRPr="003F4ADB">
        <w:rPr>
          <w:rFonts w:ascii="Arial" w:hAnsi="Arial" w:cs="Arial"/>
          <w:sz w:val="20"/>
          <w:szCs w:val="20"/>
        </w:rPr>
        <w:t>, and dilutions between 10</w:t>
      </w:r>
      <w:r w:rsidRPr="003F4ADB">
        <w:rPr>
          <w:rFonts w:ascii="Arial" w:hAnsi="Arial" w:cs="Arial"/>
          <w:sz w:val="20"/>
          <w:szCs w:val="20"/>
          <w:vertAlign w:val="superscript"/>
        </w:rPr>
        <w:t>- 4</w:t>
      </w:r>
      <w:r w:rsidRPr="003F4ADB">
        <w:rPr>
          <w:rFonts w:ascii="Arial" w:hAnsi="Arial" w:cs="Arial"/>
          <w:sz w:val="20"/>
          <w:szCs w:val="20"/>
        </w:rPr>
        <w:t xml:space="preserve"> and 10</w:t>
      </w:r>
      <w:r w:rsidRPr="003F4ADB">
        <w:rPr>
          <w:rFonts w:ascii="Arial" w:hAnsi="Arial" w:cs="Arial"/>
          <w:sz w:val="20"/>
          <w:szCs w:val="20"/>
          <w:vertAlign w:val="superscript"/>
        </w:rPr>
        <w:t>-5</w:t>
      </w:r>
      <w:r w:rsidRPr="003F4ADB">
        <w:rPr>
          <w:rFonts w:ascii="Arial" w:hAnsi="Arial" w:cs="Arial"/>
          <w:sz w:val="20"/>
          <w:szCs w:val="20"/>
        </w:rPr>
        <w:t xml:space="preserve"> were selected for microbial isolation, consistent with established methods for isolating soil bacteria. Aliquots of 0.1 mL from each selected dilution were spread onto Modified Nutrient Agar plates formulated with an elevated carbon-to-nitrogen ratio, a condition known to promote intracellular </w:t>
      </w:r>
      <w:r w:rsidR="00652898" w:rsidRPr="003F4ADB">
        <w:rPr>
          <w:rFonts w:ascii="Arial" w:hAnsi="Arial" w:cs="Arial"/>
          <w:sz w:val="20"/>
          <w:szCs w:val="20"/>
        </w:rPr>
        <w:t>PHA</w:t>
      </w:r>
      <w:r w:rsidRPr="003F4ADB">
        <w:rPr>
          <w:rFonts w:ascii="Arial" w:hAnsi="Arial" w:cs="Arial"/>
          <w:sz w:val="20"/>
          <w:szCs w:val="20"/>
        </w:rPr>
        <w:t xml:space="preserve"> accumulation in bacteria (Khanna &amp; Srivastava, 2005). The plates were incubated at 37°C for 24–48 hours, after which morphologically distinct colonies were isolated and purified with standard procedures for </w:t>
      </w:r>
      <w:r w:rsidR="00652898" w:rsidRPr="003F4ADB">
        <w:rPr>
          <w:rFonts w:ascii="Arial" w:hAnsi="Arial" w:cs="Arial"/>
          <w:sz w:val="20"/>
          <w:szCs w:val="20"/>
        </w:rPr>
        <w:t>PHA</w:t>
      </w:r>
      <w:r w:rsidRPr="003F4ADB">
        <w:rPr>
          <w:rFonts w:ascii="Arial" w:hAnsi="Arial" w:cs="Arial"/>
          <w:sz w:val="20"/>
          <w:szCs w:val="20"/>
        </w:rPr>
        <w:t>-producing bacteria (Singh et al., 2009).</w:t>
      </w:r>
    </w:p>
    <w:p w14:paraId="77211501" w14:textId="4B5D4AA4" w:rsidR="005E6DD6" w:rsidRPr="00AD7CE7" w:rsidRDefault="00AD7CE7" w:rsidP="001C5B92">
      <w:pPr>
        <w:spacing w:after="0" w:line="360" w:lineRule="auto"/>
        <w:jc w:val="both"/>
        <w:rPr>
          <w:rFonts w:ascii="Arial" w:hAnsi="Arial" w:cs="Arial"/>
          <w:b/>
          <w:bCs/>
        </w:rPr>
      </w:pPr>
      <w:r w:rsidRPr="00AD7CE7">
        <w:rPr>
          <w:rFonts w:ascii="Arial" w:hAnsi="Arial" w:cs="Arial"/>
          <w:b/>
          <w:bCs/>
        </w:rPr>
        <w:t>2</w:t>
      </w:r>
      <w:r w:rsidR="005E6DD6" w:rsidRPr="00AD7CE7">
        <w:rPr>
          <w:rFonts w:ascii="Arial" w:hAnsi="Arial" w:cs="Arial"/>
          <w:b/>
          <w:bCs/>
        </w:rPr>
        <w:t>.2. Screening for PH</w:t>
      </w:r>
      <w:r w:rsidR="001C5B92" w:rsidRPr="00AD7CE7">
        <w:rPr>
          <w:rFonts w:ascii="Arial" w:hAnsi="Arial" w:cs="Arial"/>
          <w:b/>
          <w:bCs/>
        </w:rPr>
        <w:t>A</w:t>
      </w:r>
      <w:r w:rsidR="005E6DD6" w:rsidRPr="00AD7CE7">
        <w:rPr>
          <w:rFonts w:ascii="Arial" w:hAnsi="Arial" w:cs="Arial"/>
          <w:b/>
          <w:bCs/>
        </w:rPr>
        <w:t xml:space="preserve"> Accumulation by Sudan Black Staining</w:t>
      </w:r>
    </w:p>
    <w:p w14:paraId="4B2FC77E" w14:textId="39572B5B"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Screening of purified bacterial isolates for intracellular </w:t>
      </w:r>
      <w:r w:rsidR="00652898" w:rsidRPr="003F4ADB">
        <w:rPr>
          <w:rFonts w:ascii="Arial" w:hAnsi="Arial" w:cs="Arial"/>
          <w:sz w:val="20"/>
          <w:szCs w:val="20"/>
        </w:rPr>
        <w:t>PHA</w:t>
      </w:r>
      <w:r w:rsidRPr="003F4ADB">
        <w:rPr>
          <w:rFonts w:ascii="Arial" w:hAnsi="Arial" w:cs="Arial"/>
          <w:sz w:val="20"/>
          <w:szCs w:val="20"/>
        </w:rPr>
        <w:t xml:space="preserve"> accumulation was performed using Sudan Black B staining, a classical lipophilic dye-based detection method (Khanna &amp; Srivastava, 2005). Sudan Black B, a water-insoluble diazo dye, selectively stains neutral lipids and imparts a dark blue to black coloration to intracellular </w:t>
      </w:r>
      <w:r w:rsidR="00652898" w:rsidRPr="003F4ADB">
        <w:rPr>
          <w:rFonts w:ascii="Arial" w:hAnsi="Arial" w:cs="Arial"/>
          <w:sz w:val="20"/>
          <w:szCs w:val="20"/>
        </w:rPr>
        <w:t>PHA</w:t>
      </w:r>
      <w:r w:rsidRPr="003F4ADB">
        <w:rPr>
          <w:rFonts w:ascii="Arial" w:hAnsi="Arial" w:cs="Arial"/>
          <w:sz w:val="20"/>
          <w:szCs w:val="20"/>
        </w:rPr>
        <w:t xml:space="preserve"> granules. For staining, a thin smear of a 24-hour bacterial culture was prepared, heat-fixed, treated with Sudan Black B solution, and counterstained with Safranin. The appearance of distinct dark intracellular inclusions under the light microscope indicated a positive reaction for </w:t>
      </w:r>
      <w:r w:rsidR="00652898" w:rsidRPr="003F4ADB">
        <w:rPr>
          <w:rFonts w:ascii="Arial" w:hAnsi="Arial" w:cs="Arial"/>
          <w:sz w:val="20"/>
          <w:szCs w:val="20"/>
        </w:rPr>
        <w:t>PHA</w:t>
      </w:r>
      <w:r w:rsidRPr="003F4ADB">
        <w:rPr>
          <w:rFonts w:ascii="Arial" w:hAnsi="Arial" w:cs="Arial"/>
          <w:sz w:val="20"/>
          <w:szCs w:val="20"/>
        </w:rPr>
        <w:t xml:space="preserve"> accumulation.</w:t>
      </w:r>
    </w:p>
    <w:p w14:paraId="0304F7A1" w14:textId="0F657CFA" w:rsidR="005E6DD6" w:rsidRPr="00AD7CE7" w:rsidRDefault="005E6DD6" w:rsidP="001C5B92">
      <w:pPr>
        <w:spacing w:after="0" w:line="360" w:lineRule="auto"/>
        <w:jc w:val="both"/>
        <w:rPr>
          <w:rFonts w:ascii="Arial" w:hAnsi="Arial" w:cs="Arial"/>
          <w:b/>
          <w:bCs/>
        </w:rPr>
      </w:pPr>
      <w:r w:rsidRPr="00AD7CE7">
        <w:rPr>
          <w:rFonts w:ascii="Arial" w:hAnsi="Arial" w:cs="Arial"/>
          <w:b/>
          <w:bCs/>
        </w:rPr>
        <w:t>2.</w:t>
      </w:r>
      <w:r w:rsidR="00AD7CE7">
        <w:rPr>
          <w:rFonts w:ascii="Arial" w:hAnsi="Arial" w:cs="Arial"/>
          <w:b/>
          <w:bCs/>
        </w:rPr>
        <w:t>3</w:t>
      </w:r>
      <w:r w:rsidRPr="00AD7CE7">
        <w:rPr>
          <w:rFonts w:ascii="Arial" w:hAnsi="Arial" w:cs="Arial"/>
          <w:b/>
          <w:bCs/>
        </w:rPr>
        <w:t xml:space="preserve"> Morphological, Cultural, and Biochemical Characterization</w:t>
      </w:r>
    </w:p>
    <w:p w14:paraId="709CA092" w14:textId="77777777"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Isolates that exhibited positive Sudan Black staining were subjected to detailed cultural, morphological, and biochemical characterization using standard microbiological procedures (Cappuccino &amp; Sherman, 2014; Tortora et al., 2019). Cultural characteristics such as colony size, pigmentation, texture, elevation, margin, and opacity were documented from growth on solid media. Gram staining was performed to determine cellular morphology, arrangement, and Gram reaction, and motility was assessed using conventional motility assays.</w:t>
      </w:r>
    </w:p>
    <w:p w14:paraId="43C8ED03" w14:textId="77777777"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Biochemical characterization of the isolates involved a series of established metabolic tests (Cappuccino &amp; Sherman, 2014; Tortora et al., 2019). Indole production was determined in tryptone broth using Kovac’s </w:t>
      </w:r>
      <w:r w:rsidRPr="003F4ADB">
        <w:rPr>
          <w:rFonts w:ascii="Arial" w:hAnsi="Arial" w:cs="Arial"/>
          <w:sz w:val="20"/>
          <w:szCs w:val="20"/>
        </w:rPr>
        <w:lastRenderedPageBreak/>
        <w:t xml:space="preserve">reagent to detect tryptophanase activity. The Methyl Red test evaluated the production of stable acidic end products from glucose fermentation, while the Voges–Proskauer test detected acetoin in glucose phosphate broth using alpha-naphthol and potassium hydroxide. Citrate utilization was assessed on Simmons Citrate Agar containing bromothymol blue indicator at pH 7. Additional assays included gelatin liquefaction for detecting gelatinase; oxidase activity using tetramethyl-p-phenylenediamine dihydrochloride; carbohydrate fermentation using sugar broths with Durham tubes; catalase activity by adding 3% hydrogen peroxide; nitrate reduction using nitrate broth with </w:t>
      </w:r>
      <w:proofErr w:type="spellStart"/>
      <w:r w:rsidRPr="003F4ADB">
        <w:rPr>
          <w:rFonts w:ascii="Arial" w:hAnsi="Arial" w:cs="Arial"/>
          <w:sz w:val="20"/>
          <w:szCs w:val="20"/>
        </w:rPr>
        <w:t>sulphanilic</w:t>
      </w:r>
      <w:proofErr w:type="spellEnd"/>
      <w:r w:rsidRPr="003F4ADB">
        <w:rPr>
          <w:rFonts w:ascii="Arial" w:hAnsi="Arial" w:cs="Arial"/>
          <w:sz w:val="20"/>
          <w:szCs w:val="20"/>
        </w:rPr>
        <w:t xml:space="preserve"> acid and alpha naphthylamine; starch hydrolysis using iodine-flooded starch agar; and hydrogen sulfide production using Triple Sugar Iron Agar incubated at 35- 37 °C.</w:t>
      </w:r>
    </w:p>
    <w:p w14:paraId="0E39731F" w14:textId="25575FDD" w:rsidR="005E6DD6" w:rsidRPr="00AD7CE7" w:rsidRDefault="00AD7CE7" w:rsidP="001C5B92">
      <w:pPr>
        <w:spacing w:after="0" w:line="360" w:lineRule="auto"/>
        <w:jc w:val="both"/>
        <w:rPr>
          <w:rFonts w:ascii="Arial" w:hAnsi="Arial" w:cs="Arial"/>
          <w:b/>
          <w:bCs/>
        </w:rPr>
      </w:pPr>
      <w:r w:rsidRPr="00AD7CE7">
        <w:rPr>
          <w:rFonts w:ascii="Arial" w:hAnsi="Arial" w:cs="Arial"/>
          <w:b/>
          <w:bCs/>
        </w:rPr>
        <w:t>2.4</w:t>
      </w:r>
      <w:r w:rsidR="005E6DD6" w:rsidRPr="00AD7CE7">
        <w:rPr>
          <w:rFonts w:ascii="Arial" w:hAnsi="Arial" w:cs="Arial"/>
          <w:b/>
          <w:bCs/>
        </w:rPr>
        <w:t xml:space="preserve"> Molecular Identification and Phylogenetic Analysis</w:t>
      </w:r>
    </w:p>
    <w:p w14:paraId="4D02165F" w14:textId="547AB9DA"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Molecular identification of promising </w:t>
      </w:r>
      <w:r w:rsidR="00652898" w:rsidRPr="003F4ADB">
        <w:rPr>
          <w:rFonts w:ascii="Arial" w:hAnsi="Arial" w:cs="Arial"/>
          <w:sz w:val="20"/>
          <w:szCs w:val="20"/>
        </w:rPr>
        <w:t>PHA</w:t>
      </w:r>
      <w:r w:rsidRPr="003F4ADB">
        <w:rPr>
          <w:rFonts w:ascii="Arial" w:hAnsi="Arial" w:cs="Arial"/>
          <w:sz w:val="20"/>
          <w:szCs w:val="20"/>
        </w:rPr>
        <w:t>-producing isolates was carried out by amplifying and sequencing the 16S rRNA gene using universal bacterial primers 16S27F and 16S1492R (Lane, 1991). PCR products were purified by salt precipitation, examined on agarose gel electrophoresis, and sequenced on an ABI 3500XL Genetic Analyzer using BDT v3.1 chemistry. Raw sequence chromatograms were curated, assembled into contiguous FASTA files, and subjected to taxonomic identification using BLAST searches against the SILVA rRNA database (v138) (Altschul et al., 1990; Quast et al., 2013).</w:t>
      </w:r>
    </w:p>
    <w:p w14:paraId="6421177F" w14:textId="77777777"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Phylogenetic analysis was performed by retrieving up to ten closest-related sequences from SILVA, aligning them using MUSCLE (Edgar, 2004), and constructing a Maximum Likelihood phylogenetic tree with 1000 bootstrap replications in MEGA11 software (Tamura et al., 2021) to determine evolutionary relationships.</w:t>
      </w:r>
    </w:p>
    <w:p w14:paraId="648F4CEF" w14:textId="3BD30A3C" w:rsidR="005E6DD6" w:rsidRPr="00AD7CE7" w:rsidRDefault="00AD7CE7" w:rsidP="001C5B92">
      <w:pPr>
        <w:spacing w:after="0" w:line="360" w:lineRule="auto"/>
        <w:jc w:val="both"/>
        <w:rPr>
          <w:rFonts w:ascii="Arial" w:hAnsi="Arial" w:cs="Arial"/>
          <w:b/>
          <w:bCs/>
        </w:rPr>
      </w:pPr>
      <w:r w:rsidRPr="00AD7CE7">
        <w:rPr>
          <w:rFonts w:ascii="Arial" w:hAnsi="Arial" w:cs="Arial"/>
          <w:b/>
          <w:bCs/>
        </w:rPr>
        <w:t>2.5</w:t>
      </w:r>
      <w:r w:rsidR="005E6DD6" w:rsidRPr="00AD7CE7">
        <w:rPr>
          <w:rFonts w:ascii="Arial" w:hAnsi="Arial" w:cs="Arial"/>
          <w:b/>
          <w:bCs/>
        </w:rPr>
        <w:t xml:space="preserve"> PH</w:t>
      </w:r>
      <w:r w:rsidR="001C5B92" w:rsidRPr="00AD7CE7">
        <w:rPr>
          <w:rFonts w:ascii="Arial" w:hAnsi="Arial" w:cs="Arial"/>
          <w:b/>
          <w:bCs/>
        </w:rPr>
        <w:t>A</w:t>
      </w:r>
      <w:r w:rsidR="005E6DD6" w:rsidRPr="00AD7CE7">
        <w:rPr>
          <w:rFonts w:ascii="Arial" w:hAnsi="Arial" w:cs="Arial"/>
          <w:b/>
          <w:bCs/>
        </w:rPr>
        <w:t xml:space="preserve"> Production, Extraction, and Optimization</w:t>
      </w:r>
    </w:p>
    <w:p w14:paraId="688758F2" w14:textId="6E85D443"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Growth kinetics and PH</w:t>
      </w:r>
      <w:r w:rsidR="001C5B92" w:rsidRPr="003F4ADB">
        <w:rPr>
          <w:rFonts w:ascii="Arial" w:hAnsi="Arial" w:cs="Arial"/>
          <w:sz w:val="20"/>
          <w:szCs w:val="20"/>
        </w:rPr>
        <w:t>A</w:t>
      </w:r>
      <w:r w:rsidRPr="003F4ADB">
        <w:rPr>
          <w:rFonts w:ascii="Arial" w:hAnsi="Arial" w:cs="Arial"/>
          <w:sz w:val="20"/>
          <w:szCs w:val="20"/>
        </w:rPr>
        <w:t xml:space="preserve"> production were assessed by cultivating isolates in a defined </w:t>
      </w:r>
      <w:r w:rsidR="00652898" w:rsidRPr="003F4ADB">
        <w:rPr>
          <w:rFonts w:ascii="Arial" w:hAnsi="Arial" w:cs="Arial"/>
          <w:sz w:val="20"/>
          <w:szCs w:val="20"/>
        </w:rPr>
        <w:t>PHA</w:t>
      </w:r>
      <w:r w:rsidRPr="003F4ADB">
        <w:rPr>
          <w:rFonts w:ascii="Arial" w:hAnsi="Arial" w:cs="Arial"/>
          <w:sz w:val="20"/>
          <w:szCs w:val="20"/>
        </w:rPr>
        <w:t xml:space="preserve">-production medium containing glucose (1.5 g/L), peptone (1.0 g/L), yeast extract (0.3 g/L), and NaCl (0.5 g/L) at pH 7 (Khanna &amp; Srivastava, 2005; Law &amp; Slepecky, 1961). A 1% inoculum was incubated at 37 °C with intermittent shaking, and samples collected at 30-minute intervals over 48 hours were analyzed for biomass (optical density at 640 nm) and </w:t>
      </w:r>
      <w:r w:rsidR="00652898" w:rsidRPr="003F4ADB">
        <w:rPr>
          <w:rFonts w:ascii="Arial" w:hAnsi="Arial" w:cs="Arial"/>
          <w:sz w:val="20"/>
          <w:szCs w:val="20"/>
        </w:rPr>
        <w:t>PHA</w:t>
      </w:r>
      <w:r w:rsidRPr="003F4ADB">
        <w:rPr>
          <w:rFonts w:ascii="Arial" w:hAnsi="Arial" w:cs="Arial"/>
          <w:sz w:val="20"/>
          <w:szCs w:val="20"/>
        </w:rPr>
        <w:t xml:space="preserve"> accumulation via Sudan Black staining.</w:t>
      </w:r>
    </w:p>
    <w:p w14:paraId="6A044F19" w14:textId="09B16A89" w:rsidR="00344119"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PH</w:t>
      </w:r>
      <w:r w:rsidR="001C5B92" w:rsidRPr="003F4ADB">
        <w:rPr>
          <w:rFonts w:ascii="Arial" w:hAnsi="Arial" w:cs="Arial"/>
          <w:sz w:val="20"/>
          <w:szCs w:val="20"/>
        </w:rPr>
        <w:t>A</w:t>
      </w:r>
      <w:r w:rsidRPr="003F4ADB">
        <w:rPr>
          <w:rFonts w:ascii="Arial" w:hAnsi="Arial" w:cs="Arial"/>
          <w:sz w:val="20"/>
          <w:szCs w:val="20"/>
        </w:rPr>
        <w:t xml:space="preserve"> extraction was carried out using the sodium hypochlorite digestion method (Law &amp; Slepecky, 1961). After 48 hours of incubation, cultures were centrifuged at 5000 rpm for 25 minutes, and pellets were washed sequentially with acetone and ethanol. Pellets were then treated with 6% sodium hypochlorite at 37 °C for 10 minutes to lyse cells. Subsequent centrifugation (5000 rpm, 30 minutes) yielded </w:t>
      </w:r>
      <w:r w:rsidR="001C5B92" w:rsidRPr="003F4ADB">
        <w:rPr>
          <w:rFonts w:ascii="Arial" w:hAnsi="Arial" w:cs="Arial"/>
          <w:sz w:val="20"/>
          <w:szCs w:val="20"/>
        </w:rPr>
        <w:t>PHA</w:t>
      </w:r>
      <w:r w:rsidRPr="003F4ADB">
        <w:rPr>
          <w:rFonts w:ascii="Arial" w:hAnsi="Arial" w:cs="Arial"/>
          <w:sz w:val="20"/>
          <w:szCs w:val="20"/>
        </w:rPr>
        <w:t xml:space="preserve"> granules, which were washed again, dissolved in hot chloroform, and evaporated at 37 °C to obtain dry </w:t>
      </w:r>
      <w:r w:rsidR="001C5B92" w:rsidRPr="003F4ADB">
        <w:rPr>
          <w:rFonts w:ascii="Arial" w:hAnsi="Arial" w:cs="Arial"/>
          <w:sz w:val="20"/>
          <w:szCs w:val="20"/>
        </w:rPr>
        <w:t>PHA</w:t>
      </w:r>
      <w:r w:rsidRPr="003F4ADB">
        <w:rPr>
          <w:rFonts w:ascii="Arial" w:hAnsi="Arial" w:cs="Arial"/>
          <w:sz w:val="20"/>
          <w:szCs w:val="20"/>
        </w:rPr>
        <w:t xml:space="preserve"> for quantification.</w:t>
      </w:r>
    </w:p>
    <w:p w14:paraId="6D2977AB" w14:textId="037401E5" w:rsidR="005E6DD6" w:rsidRPr="00AD7CE7" w:rsidRDefault="00AD7CE7" w:rsidP="001C5B92">
      <w:pPr>
        <w:spacing w:after="0" w:line="360" w:lineRule="auto"/>
        <w:jc w:val="both"/>
        <w:rPr>
          <w:rFonts w:ascii="Arial" w:hAnsi="Arial" w:cs="Arial"/>
          <w:b/>
          <w:bCs/>
        </w:rPr>
      </w:pPr>
      <w:r w:rsidRPr="00AD7CE7">
        <w:rPr>
          <w:rFonts w:ascii="Arial" w:hAnsi="Arial" w:cs="Arial"/>
          <w:b/>
          <w:bCs/>
        </w:rPr>
        <w:t>2</w:t>
      </w:r>
      <w:r w:rsidR="005E6DD6" w:rsidRPr="00AD7CE7">
        <w:rPr>
          <w:rFonts w:ascii="Arial" w:hAnsi="Arial" w:cs="Arial"/>
          <w:b/>
          <w:bCs/>
        </w:rPr>
        <w:t>.</w:t>
      </w:r>
      <w:r w:rsidRPr="00AD7CE7">
        <w:rPr>
          <w:rFonts w:ascii="Arial" w:hAnsi="Arial" w:cs="Arial"/>
          <w:b/>
          <w:bCs/>
        </w:rPr>
        <w:t>6</w:t>
      </w:r>
      <w:r w:rsidR="005E6DD6" w:rsidRPr="00AD7CE7">
        <w:rPr>
          <w:rFonts w:ascii="Arial" w:hAnsi="Arial" w:cs="Arial"/>
          <w:b/>
          <w:bCs/>
        </w:rPr>
        <w:t xml:space="preserve"> Effect of Environmental Factors on </w:t>
      </w:r>
      <w:r w:rsidR="001C5B92" w:rsidRPr="00AD7CE7">
        <w:rPr>
          <w:rFonts w:ascii="Arial" w:hAnsi="Arial" w:cs="Arial"/>
          <w:b/>
          <w:bCs/>
        </w:rPr>
        <w:t>PHA</w:t>
      </w:r>
      <w:r w:rsidR="005E6DD6" w:rsidRPr="00AD7CE7">
        <w:rPr>
          <w:rFonts w:ascii="Arial" w:hAnsi="Arial" w:cs="Arial"/>
          <w:b/>
          <w:bCs/>
        </w:rPr>
        <w:t xml:space="preserve"> Production</w:t>
      </w:r>
    </w:p>
    <w:p w14:paraId="6AE0DE65" w14:textId="2B94D255" w:rsidR="005E6DD6" w:rsidRPr="003F4ADB"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The effect of environmental conditions on </w:t>
      </w:r>
      <w:r w:rsidR="001C5B92" w:rsidRPr="003F4ADB">
        <w:rPr>
          <w:rFonts w:ascii="Arial" w:hAnsi="Arial" w:cs="Arial"/>
          <w:sz w:val="20"/>
          <w:szCs w:val="20"/>
        </w:rPr>
        <w:t>PHA</w:t>
      </w:r>
      <w:r w:rsidRPr="003F4ADB">
        <w:rPr>
          <w:rFonts w:ascii="Arial" w:hAnsi="Arial" w:cs="Arial"/>
          <w:sz w:val="20"/>
          <w:szCs w:val="20"/>
        </w:rPr>
        <w:t xml:space="preserve"> production was assessed by cultivating isolates under different pH values (3, 5, 7, 9, and 11) and NaCl concentrations (0.1%, 0.5%, 1%, 1.5%, and 2%). Growth at 37 °C and Sudan Black staining intensity after 48 hours were used to evaluate optimal </w:t>
      </w:r>
      <w:r w:rsidR="001C5B92" w:rsidRPr="003F4ADB">
        <w:rPr>
          <w:rFonts w:ascii="Arial" w:hAnsi="Arial" w:cs="Arial"/>
          <w:sz w:val="20"/>
          <w:szCs w:val="20"/>
        </w:rPr>
        <w:t>PHA</w:t>
      </w:r>
      <w:r w:rsidRPr="003F4ADB">
        <w:rPr>
          <w:rFonts w:ascii="Arial" w:hAnsi="Arial" w:cs="Arial"/>
          <w:sz w:val="20"/>
          <w:szCs w:val="20"/>
        </w:rPr>
        <w:t>-producing conditions (Khanna &amp; Srivastava, 2005; Law &amp; Slepecky, 1961).</w:t>
      </w:r>
    </w:p>
    <w:p w14:paraId="4FC0AB85" w14:textId="58B282CA" w:rsidR="005E6DD6" w:rsidRPr="00AD7CE7" w:rsidRDefault="00AD7CE7" w:rsidP="001C5B92">
      <w:pPr>
        <w:spacing w:after="0" w:line="360" w:lineRule="auto"/>
        <w:jc w:val="both"/>
        <w:rPr>
          <w:rFonts w:ascii="Arial" w:hAnsi="Arial" w:cs="Arial"/>
          <w:b/>
          <w:bCs/>
        </w:rPr>
      </w:pPr>
      <w:r w:rsidRPr="00AD7CE7">
        <w:rPr>
          <w:rFonts w:ascii="Arial" w:hAnsi="Arial" w:cs="Arial"/>
          <w:b/>
          <w:bCs/>
        </w:rPr>
        <w:lastRenderedPageBreak/>
        <w:t>2.7</w:t>
      </w:r>
      <w:r w:rsidR="005E6DD6" w:rsidRPr="00AD7CE7">
        <w:rPr>
          <w:rFonts w:ascii="Arial" w:hAnsi="Arial" w:cs="Arial"/>
          <w:b/>
          <w:bCs/>
        </w:rPr>
        <w:t xml:space="preserve"> Characterization of Extracted </w:t>
      </w:r>
      <w:r w:rsidR="001C5B92" w:rsidRPr="00AD7CE7">
        <w:rPr>
          <w:rFonts w:ascii="Arial" w:hAnsi="Arial" w:cs="Arial"/>
          <w:b/>
          <w:bCs/>
        </w:rPr>
        <w:t>PHA</w:t>
      </w:r>
      <w:r w:rsidR="005E6DD6" w:rsidRPr="00AD7CE7">
        <w:rPr>
          <w:rFonts w:ascii="Arial" w:hAnsi="Arial" w:cs="Arial"/>
          <w:b/>
          <w:bCs/>
        </w:rPr>
        <w:t xml:space="preserve"> by FTIR Analysis</w:t>
      </w:r>
    </w:p>
    <w:p w14:paraId="59B58CDC" w14:textId="1B50F4CB" w:rsidR="00344119" w:rsidRDefault="005E6DD6"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Chemical confirmation of </w:t>
      </w:r>
      <w:r w:rsidR="001C5B92" w:rsidRPr="003F4ADB">
        <w:rPr>
          <w:rFonts w:ascii="Arial" w:hAnsi="Arial" w:cs="Arial"/>
          <w:sz w:val="20"/>
          <w:szCs w:val="20"/>
        </w:rPr>
        <w:t>PHA</w:t>
      </w:r>
      <w:r w:rsidRPr="003F4ADB">
        <w:rPr>
          <w:rFonts w:ascii="Arial" w:hAnsi="Arial" w:cs="Arial"/>
          <w:sz w:val="20"/>
          <w:szCs w:val="20"/>
        </w:rPr>
        <w:t xml:space="preserve"> was conducted using Fourier-Transform Infrared Spectroscopy (FTIR) (Saba et al., 2020). About 1 mg of extracted </w:t>
      </w:r>
      <w:r w:rsidR="001C5B92" w:rsidRPr="003F4ADB">
        <w:rPr>
          <w:rFonts w:ascii="Arial" w:hAnsi="Arial" w:cs="Arial"/>
          <w:sz w:val="20"/>
          <w:szCs w:val="20"/>
        </w:rPr>
        <w:t>PHA</w:t>
      </w:r>
      <w:r w:rsidRPr="003F4ADB">
        <w:rPr>
          <w:rFonts w:ascii="Arial" w:hAnsi="Arial" w:cs="Arial"/>
          <w:sz w:val="20"/>
          <w:szCs w:val="20"/>
        </w:rPr>
        <w:t xml:space="preserve"> was dissolved in chloroform, mixed with KBr to form a pellet, and analyzed in the 4000-400 range using a Spectrum 65 FT-IR instrument. The presence of characteristic absorption peaks, including ester carbonyl C=O stretching and C-O-C vibrations, validated the structural identity of the extracted </w:t>
      </w:r>
      <w:r w:rsidR="001C5B92" w:rsidRPr="003F4ADB">
        <w:rPr>
          <w:rFonts w:ascii="Arial" w:hAnsi="Arial" w:cs="Arial"/>
          <w:sz w:val="20"/>
          <w:szCs w:val="20"/>
        </w:rPr>
        <w:t>PHA</w:t>
      </w:r>
      <w:r w:rsidRPr="003F4ADB">
        <w:rPr>
          <w:rFonts w:ascii="Arial" w:hAnsi="Arial" w:cs="Arial"/>
          <w:sz w:val="20"/>
          <w:szCs w:val="20"/>
        </w:rPr>
        <w:t>.</w:t>
      </w:r>
    </w:p>
    <w:p w14:paraId="5EF8BE8B" w14:textId="77777777" w:rsidR="00F54166" w:rsidRPr="003F4ADB" w:rsidRDefault="00F54166" w:rsidP="001C5B92">
      <w:pPr>
        <w:spacing w:after="0" w:line="360" w:lineRule="auto"/>
        <w:ind w:firstLine="720"/>
        <w:jc w:val="both"/>
        <w:rPr>
          <w:rFonts w:ascii="Arial" w:hAnsi="Arial" w:cs="Arial"/>
          <w:sz w:val="20"/>
          <w:szCs w:val="20"/>
        </w:rPr>
      </w:pPr>
    </w:p>
    <w:p w14:paraId="66B0821F" w14:textId="469BFDB9" w:rsidR="004E1C82" w:rsidRPr="00AD7CE7" w:rsidRDefault="00AD7CE7" w:rsidP="001C5B92">
      <w:pPr>
        <w:spacing w:after="0" w:line="360" w:lineRule="auto"/>
        <w:jc w:val="both"/>
        <w:rPr>
          <w:rFonts w:ascii="Arial" w:hAnsi="Arial" w:cs="Arial"/>
          <w:b/>
          <w:bCs/>
        </w:rPr>
      </w:pPr>
      <w:r w:rsidRPr="00AD7CE7">
        <w:rPr>
          <w:rFonts w:ascii="Arial" w:hAnsi="Arial" w:cs="Arial"/>
          <w:b/>
          <w:bCs/>
        </w:rPr>
        <w:t>3. RESULTS AND DISCUSSION</w:t>
      </w:r>
    </w:p>
    <w:p w14:paraId="0B0EEDF6" w14:textId="050F33DB" w:rsidR="00780950" w:rsidRPr="00AD7CE7" w:rsidRDefault="00AD7CE7" w:rsidP="001C5B92">
      <w:pPr>
        <w:spacing w:after="0" w:line="360" w:lineRule="auto"/>
        <w:jc w:val="both"/>
        <w:rPr>
          <w:rFonts w:ascii="Arial" w:hAnsi="Arial" w:cs="Arial"/>
          <w:b/>
          <w:bCs/>
        </w:rPr>
      </w:pPr>
      <w:r w:rsidRPr="00AD7CE7">
        <w:rPr>
          <w:rFonts w:ascii="Arial" w:hAnsi="Arial" w:cs="Arial"/>
          <w:b/>
          <w:bCs/>
        </w:rPr>
        <w:t>3.</w:t>
      </w:r>
      <w:r w:rsidR="00780950" w:rsidRPr="00AD7CE7">
        <w:rPr>
          <w:rFonts w:ascii="Arial" w:hAnsi="Arial" w:cs="Arial"/>
          <w:b/>
          <w:bCs/>
        </w:rPr>
        <w:t>1. Isolation</w:t>
      </w:r>
      <w:r w:rsidRPr="00AD7CE7">
        <w:rPr>
          <w:rFonts w:ascii="Arial" w:hAnsi="Arial" w:cs="Arial"/>
          <w:b/>
          <w:bCs/>
        </w:rPr>
        <w:t xml:space="preserve"> and s</w:t>
      </w:r>
      <w:r w:rsidR="00780950" w:rsidRPr="00AD7CE7">
        <w:rPr>
          <w:rFonts w:ascii="Arial" w:hAnsi="Arial" w:cs="Arial"/>
          <w:b/>
          <w:bCs/>
        </w:rPr>
        <w:t>creening</w:t>
      </w:r>
      <w:r w:rsidRPr="00AD7CE7">
        <w:rPr>
          <w:rFonts w:ascii="Arial" w:hAnsi="Arial" w:cs="Arial"/>
          <w:b/>
          <w:bCs/>
        </w:rPr>
        <w:t xml:space="preserve"> </w:t>
      </w:r>
      <w:r w:rsidR="00780950" w:rsidRPr="00AD7CE7">
        <w:rPr>
          <w:rFonts w:ascii="Arial" w:hAnsi="Arial" w:cs="Arial"/>
          <w:b/>
          <w:bCs/>
        </w:rPr>
        <w:t xml:space="preserve">of </w:t>
      </w:r>
      <w:r w:rsidR="001C5B92" w:rsidRPr="00AD7CE7">
        <w:rPr>
          <w:rFonts w:ascii="Arial" w:hAnsi="Arial" w:cs="Arial"/>
          <w:b/>
          <w:bCs/>
        </w:rPr>
        <w:t>PHA</w:t>
      </w:r>
      <w:r w:rsidRPr="00AD7CE7">
        <w:rPr>
          <w:rFonts w:ascii="Arial" w:hAnsi="Arial" w:cs="Arial"/>
          <w:b/>
          <w:bCs/>
        </w:rPr>
        <w:t xml:space="preserve"> p</w:t>
      </w:r>
      <w:r w:rsidR="00780950" w:rsidRPr="00AD7CE7">
        <w:rPr>
          <w:rFonts w:ascii="Arial" w:hAnsi="Arial" w:cs="Arial"/>
          <w:b/>
          <w:bCs/>
        </w:rPr>
        <w:t xml:space="preserve">roducing </w:t>
      </w:r>
      <w:r w:rsidRPr="00AD7CE7">
        <w:rPr>
          <w:rFonts w:ascii="Arial" w:hAnsi="Arial" w:cs="Arial"/>
          <w:b/>
          <w:bCs/>
        </w:rPr>
        <w:t>i</w:t>
      </w:r>
      <w:r w:rsidR="00780950" w:rsidRPr="00AD7CE7">
        <w:rPr>
          <w:rFonts w:ascii="Arial" w:hAnsi="Arial" w:cs="Arial"/>
          <w:b/>
          <w:bCs/>
        </w:rPr>
        <w:t>solate</w:t>
      </w:r>
    </w:p>
    <w:p w14:paraId="108A3990" w14:textId="1081FC3C" w:rsidR="007550A5" w:rsidRDefault="00780950" w:rsidP="001C5B92">
      <w:pPr>
        <w:spacing w:after="0" w:line="360" w:lineRule="auto"/>
        <w:ind w:firstLine="720"/>
        <w:jc w:val="both"/>
        <w:rPr>
          <w:rFonts w:ascii="Arial" w:hAnsi="Arial" w:cs="Arial"/>
          <w:sz w:val="20"/>
          <w:szCs w:val="20"/>
        </w:rPr>
      </w:pPr>
      <w:r w:rsidRPr="003F4ADB">
        <w:rPr>
          <w:rFonts w:ascii="Arial" w:hAnsi="Arial" w:cs="Arial"/>
          <w:sz w:val="20"/>
          <w:szCs w:val="20"/>
        </w:rPr>
        <w:t>A total of twenty-one distinct bacterial colonies were isolated from the soil sample</w:t>
      </w:r>
      <w:r w:rsidR="00220E7A">
        <w:rPr>
          <w:rFonts w:ascii="Arial" w:hAnsi="Arial" w:cs="Arial"/>
          <w:sz w:val="20"/>
          <w:szCs w:val="20"/>
        </w:rPr>
        <w:t xml:space="preserve"> and grown on modified nutrient agar plate as shown in Figure 1(a)</w:t>
      </w:r>
      <w:r w:rsidRPr="003F4ADB">
        <w:rPr>
          <w:rFonts w:ascii="Arial" w:hAnsi="Arial" w:cs="Arial"/>
          <w:sz w:val="20"/>
          <w:szCs w:val="20"/>
        </w:rPr>
        <w:t>. Primary screening for intracellular PHA granules was performed using the Sudan Black B staining technique (Law &amp; Slepecky, 1961)</w:t>
      </w:r>
      <w:r w:rsidR="006F3AE7" w:rsidRPr="003F4ADB">
        <w:rPr>
          <w:rFonts w:ascii="Arial" w:hAnsi="Arial" w:cs="Arial"/>
          <w:sz w:val="20"/>
          <w:szCs w:val="20"/>
        </w:rPr>
        <w:t>, as shown in Figure 1(b).</w:t>
      </w:r>
      <w:r w:rsidRPr="003F4ADB">
        <w:rPr>
          <w:rFonts w:ascii="Arial" w:hAnsi="Arial" w:cs="Arial"/>
          <w:sz w:val="20"/>
          <w:szCs w:val="20"/>
        </w:rPr>
        <w:t xml:space="preserve"> </w:t>
      </w:r>
      <w:r w:rsidR="00225C16" w:rsidRPr="003F4ADB">
        <w:rPr>
          <w:rFonts w:ascii="Arial" w:hAnsi="Arial" w:cs="Arial"/>
          <w:sz w:val="20"/>
          <w:szCs w:val="20"/>
        </w:rPr>
        <w:t xml:space="preserve">The </w:t>
      </w:r>
      <w:r w:rsidRPr="003F4ADB">
        <w:rPr>
          <w:rFonts w:ascii="Arial" w:hAnsi="Arial" w:cs="Arial"/>
          <w:sz w:val="20"/>
          <w:szCs w:val="20"/>
        </w:rPr>
        <w:t>isolate</w:t>
      </w:r>
      <w:r w:rsidR="00225C16" w:rsidRPr="003F4ADB">
        <w:rPr>
          <w:rFonts w:ascii="Arial" w:hAnsi="Arial" w:cs="Arial"/>
          <w:sz w:val="20"/>
          <w:szCs w:val="20"/>
        </w:rPr>
        <w:t xml:space="preserve">s </w:t>
      </w:r>
      <w:r w:rsidRPr="003F4ADB">
        <w:rPr>
          <w:rFonts w:ascii="Arial" w:hAnsi="Arial" w:cs="Arial"/>
          <w:sz w:val="20"/>
          <w:szCs w:val="20"/>
        </w:rPr>
        <w:t xml:space="preserve">exhibited intense staining, indicating significant accumulation of lipid-like intracellular granules, characteristic of PHA accumulation. </w:t>
      </w:r>
      <w:r w:rsidR="001E3EDC" w:rsidRPr="003F4ADB">
        <w:rPr>
          <w:rFonts w:ascii="Arial" w:hAnsi="Arial" w:cs="Arial"/>
          <w:sz w:val="20"/>
          <w:szCs w:val="20"/>
        </w:rPr>
        <w:t xml:space="preserve"> </w:t>
      </w:r>
      <w:r w:rsidR="00225C16" w:rsidRPr="003F4ADB">
        <w:rPr>
          <w:rFonts w:ascii="Arial" w:hAnsi="Arial" w:cs="Arial"/>
          <w:sz w:val="20"/>
          <w:szCs w:val="20"/>
        </w:rPr>
        <w:t>Five</w:t>
      </w:r>
      <w:r w:rsidR="001E3EDC" w:rsidRPr="003F4ADB">
        <w:rPr>
          <w:rFonts w:ascii="Arial" w:hAnsi="Arial" w:cs="Arial"/>
          <w:sz w:val="20"/>
          <w:szCs w:val="20"/>
        </w:rPr>
        <w:t xml:space="preserve"> </w:t>
      </w:r>
      <w:r w:rsidR="001C5B92" w:rsidRPr="003F4ADB">
        <w:rPr>
          <w:rFonts w:ascii="Arial" w:hAnsi="Arial" w:cs="Arial"/>
          <w:sz w:val="20"/>
          <w:szCs w:val="20"/>
        </w:rPr>
        <w:t>PHA</w:t>
      </w:r>
      <w:r w:rsidR="001E3EDC" w:rsidRPr="003F4ADB">
        <w:rPr>
          <w:rFonts w:ascii="Arial" w:hAnsi="Arial" w:cs="Arial"/>
          <w:sz w:val="20"/>
          <w:szCs w:val="20"/>
        </w:rPr>
        <w:t>-producing bacterial isolates (</w:t>
      </w:r>
      <w:r w:rsidR="001C5B92" w:rsidRPr="003F4ADB">
        <w:rPr>
          <w:rFonts w:ascii="Arial" w:hAnsi="Arial" w:cs="Arial"/>
          <w:sz w:val="20"/>
          <w:szCs w:val="20"/>
        </w:rPr>
        <w:t>PHA</w:t>
      </w:r>
      <w:r w:rsidR="001E3EDC" w:rsidRPr="003F4ADB">
        <w:rPr>
          <w:rFonts w:ascii="Arial" w:hAnsi="Arial" w:cs="Arial"/>
          <w:sz w:val="20"/>
          <w:szCs w:val="20"/>
        </w:rPr>
        <w:t>1–</w:t>
      </w:r>
      <w:r w:rsidR="001C5B92" w:rsidRPr="003F4ADB">
        <w:rPr>
          <w:rFonts w:ascii="Arial" w:hAnsi="Arial" w:cs="Arial"/>
          <w:sz w:val="20"/>
          <w:szCs w:val="20"/>
        </w:rPr>
        <w:t>PHA</w:t>
      </w:r>
      <w:r w:rsidR="001E3EDC" w:rsidRPr="003F4ADB">
        <w:rPr>
          <w:rFonts w:ascii="Arial" w:hAnsi="Arial" w:cs="Arial"/>
          <w:sz w:val="20"/>
          <w:szCs w:val="20"/>
        </w:rPr>
        <w:t xml:space="preserve">5) were </w:t>
      </w:r>
      <w:r w:rsidR="00225C16" w:rsidRPr="003F4ADB">
        <w:rPr>
          <w:rFonts w:ascii="Arial" w:hAnsi="Arial" w:cs="Arial"/>
          <w:sz w:val="20"/>
          <w:szCs w:val="20"/>
        </w:rPr>
        <w:t xml:space="preserve">selected and </w:t>
      </w:r>
      <w:r w:rsidR="001E3EDC" w:rsidRPr="003F4ADB">
        <w:rPr>
          <w:rFonts w:ascii="Arial" w:hAnsi="Arial" w:cs="Arial"/>
          <w:sz w:val="20"/>
          <w:szCs w:val="20"/>
        </w:rPr>
        <w:t>characterized based on their colony morphology and Gram reaction. All five isolates (</w:t>
      </w:r>
      <w:r w:rsidR="001C5B92" w:rsidRPr="003F4ADB">
        <w:rPr>
          <w:rFonts w:ascii="Arial" w:hAnsi="Arial" w:cs="Arial"/>
          <w:sz w:val="20"/>
          <w:szCs w:val="20"/>
        </w:rPr>
        <w:t>PHA</w:t>
      </w:r>
      <w:r w:rsidR="001E3EDC" w:rsidRPr="003F4ADB">
        <w:rPr>
          <w:rFonts w:ascii="Arial" w:hAnsi="Arial" w:cs="Arial"/>
          <w:sz w:val="20"/>
          <w:szCs w:val="20"/>
        </w:rPr>
        <w:t>1–</w:t>
      </w:r>
      <w:r w:rsidR="001C5B92" w:rsidRPr="003F4ADB">
        <w:rPr>
          <w:rFonts w:ascii="Arial" w:hAnsi="Arial" w:cs="Arial"/>
          <w:sz w:val="20"/>
          <w:szCs w:val="20"/>
        </w:rPr>
        <w:t>PHA</w:t>
      </w:r>
      <w:r w:rsidR="001E3EDC" w:rsidRPr="003F4ADB">
        <w:rPr>
          <w:rFonts w:ascii="Arial" w:hAnsi="Arial" w:cs="Arial"/>
          <w:sz w:val="20"/>
          <w:szCs w:val="20"/>
        </w:rPr>
        <w:t xml:space="preserve">5) produced white, circular, opaque, flat colonies with regular margins. Colony size ranged from 1–3 mm, with a moist consistency in most isolates except </w:t>
      </w:r>
      <w:r w:rsidR="001C5B92" w:rsidRPr="003F4ADB">
        <w:rPr>
          <w:rFonts w:ascii="Arial" w:hAnsi="Arial" w:cs="Arial"/>
          <w:sz w:val="20"/>
          <w:szCs w:val="20"/>
        </w:rPr>
        <w:t>PHA</w:t>
      </w:r>
      <w:r w:rsidR="001E3EDC" w:rsidRPr="003F4ADB">
        <w:rPr>
          <w:rFonts w:ascii="Arial" w:hAnsi="Arial" w:cs="Arial"/>
          <w:sz w:val="20"/>
          <w:szCs w:val="20"/>
        </w:rPr>
        <w:t xml:space="preserve">3 and </w:t>
      </w:r>
      <w:r w:rsidR="001C5B92" w:rsidRPr="003F4ADB">
        <w:rPr>
          <w:rFonts w:ascii="Arial" w:hAnsi="Arial" w:cs="Arial"/>
          <w:sz w:val="20"/>
          <w:szCs w:val="20"/>
        </w:rPr>
        <w:t>PHA</w:t>
      </w:r>
      <w:r w:rsidR="001E3EDC" w:rsidRPr="003F4ADB">
        <w:rPr>
          <w:rFonts w:ascii="Arial" w:hAnsi="Arial" w:cs="Arial"/>
          <w:sz w:val="20"/>
          <w:szCs w:val="20"/>
        </w:rPr>
        <w:t>4, which were sticky, as shown in Table 1. All isolates were Gram-positive and rod-shaped bacteria</w:t>
      </w:r>
      <w:r w:rsidR="0089749E" w:rsidRPr="003F4ADB">
        <w:rPr>
          <w:rFonts w:ascii="Arial" w:hAnsi="Arial" w:cs="Arial"/>
          <w:sz w:val="20"/>
          <w:szCs w:val="20"/>
        </w:rPr>
        <w:t>,</w:t>
      </w:r>
      <w:r w:rsidR="001E3EDC" w:rsidRPr="003F4ADB">
        <w:rPr>
          <w:rFonts w:ascii="Arial" w:hAnsi="Arial" w:cs="Arial"/>
          <w:sz w:val="20"/>
          <w:szCs w:val="20"/>
        </w:rPr>
        <w:t xml:space="preserve"> as shown in Figure 1(c).</w:t>
      </w:r>
      <w:r w:rsidR="00A32B0C">
        <w:rPr>
          <w:rFonts w:ascii="Arial" w:hAnsi="Arial" w:cs="Arial"/>
          <w:sz w:val="20"/>
          <w:szCs w:val="20"/>
        </w:rPr>
        <w:t xml:space="preserve"> </w:t>
      </w:r>
      <w:r w:rsidRPr="003F4ADB">
        <w:rPr>
          <w:rFonts w:ascii="Arial" w:hAnsi="Arial" w:cs="Arial"/>
          <w:sz w:val="20"/>
          <w:szCs w:val="20"/>
        </w:rPr>
        <w:t xml:space="preserve">The selected isolates </w:t>
      </w:r>
      <w:r w:rsidR="006F3AE7" w:rsidRPr="003F4ADB">
        <w:rPr>
          <w:rFonts w:ascii="Arial" w:hAnsi="Arial" w:cs="Arial"/>
          <w:sz w:val="20"/>
          <w:szCs w:val="20"/>
        </w:rPr>
        <w:t>underwent standard biochemical characterization to determine their metabolic profiles and confirm</w:t>
      </w:r>
      <w:r w:rsidRPr="003F4ADB">
        <w:rPr>
          <w:rFonts w:ascii="Arial" w:hAnsi="Arial" w:cs="Arial"/>
          <w:sz w:val="20"/>
          <w:szCs w:val="20"/>
        </w:rPr>
        <w:t xml:space="preserve"> </w:t>
      </w:r>
      <w:r w:rsidR="006F3AE7" w:rsidRPr="003F4ADB">
        <w:rPr>
          <w:rFonts w:ascii="Arial" w:hAnsi="Arial" w:cs="Arial"/>
          <w:sz w:val="20"/>
          <w:szCs w:val="20"/>
        </w:rPr>
        <w:t>their</w:t>
      </w:r>
      <w:r w:rsidRPr="003F4ADB">
        <w:rPr>
          <w:rFonts w:ascii="Arial" w:hAnsi="Arial" w:cs="Arial"/>
          <w:sz w:val="20"/>
          <w:szCs w:val="20"/>
        </w:rPr>
        <w:t xml:space="preserve"> classificatio</w:t>
      </w:r>
      <w:r w:rsidR="006F3AE7" w:rsidRPr="003F4ADB">
        <w:rPr>
          <w:rFonts w:ascii="Arial" w:hAnsi="Arial" w:cs="Arial"/>
          <w:sz w:val="20"/>
          <w:szCs w:val="20"/>
        </w:rPr>
        <w:t xml:space="preserve">n. </w:t>
      </w:r>
      <w:r w:rsidRPr="003F4ADB">
        <w:rPr>
          <w:rFonts w:ascii="Arial" w:hAnsi="Arial" w:cs="Arial"/>
          <w:sz w:val="20"/>
          <w:szCs w:val="20"/>
        </w:rPr>
        <w:t>(Tortora et al., 2019)</w:t>
      </w:r>
      <w:r w:rsidR="00F80F3E" w:rsidRPr="003F4ADB">
        <w:rPr>
          <w:rFonts w:ascii="Arial" w:hAnsi="Arial" w:cs="Arial"/>
          <w:sz w:val="20"/>
          <w:szCs w:val="20"/>
        </w:rPr>
        <w:t xml:space="preserve">, as shown in </w:t>
      </w:r>
      <w:r w:rsidR="005C575C">
        <w:rPr>
          <w:rFonts w:ascii="Arial" w:hAnsi="Arial" w:cs="Arial"/>
          <w:sz w:val="20"/>
          <w:szCs w:val="20"/>
        </w:rPr>
        <w:t xml:space="preserve">Figure 2 and </w:t>
      </w:r>
      <w:r w:rsidR="00D3024D" w:rsidRPr="003F4ADB">
        <w:rPr>
          <w:rFonts w:ascii="Arial" w:hAnsi="Arial" w:cs="Arial"/>
          <w:sz w:val="20"/>
          <w:szCs w:val="20"/>
        </w:rPr>
        <w:t>Table</w:t>
      </w:r>
      <w:r w:rsidR="00FE2944">
        <w:rPr>
          <w:rFonts w:ascii="Arial" w:hAnsi="Arial" w:cs="Arial"/>
          <w:sz w:val="20"/>
          <w:szCs w:val="20"/>
        </w:rPr>
        <w:t xml:space="preserve"> No. 1</w:t>
      </w:r>
      <w:r w:rsidR="00D272B7">
        <w:rPr>
          <w:rFonts w:ascii="Arial" w:hAnsi="Arial" w:cs="Arial"/>
          <w:sz w:val="20"/>
          <w:szCs w:val="20"/>
        </w:rPr>
        <w:t xml:space="preserve"> </w:t>
      </w:r>
      <w:r w:rsidR="00FE2944">
        <w:rPr>
          <w:rFonts w:ascii="Arial" w:hAnsi="Arial" w:cs="Arial"/>
          <w:sz w:val="20"/>
          <w:szCs w:val="20"/>
        </w:rPr>
        <w:t xml:space="preserve">and </w:t>
      </w:r>
      <w:r w:rsidR="00F80F3E" w:rsidRPr="003F4ADB">
        <w:rPr>
          <w:rFonts w:ascii="Arial" w:hAnsi="Arial" w:cs="Arial"/>
          <w:sz w:val="20"/>
          <w:szCs w:val="20"/>
        </w:rPr>
        <w:t>2.</w:t>
      </w:r>
    </w:p>
    <w:tbl>
      <w:tblPr>
        <w:tblStyle w:val="TableGrid"/>
        <w:tblpPr w:leftFromText="180" w:rightFromText="180" w:vertAnchor="page" w:horzAnchor="margin" w:tblpY="7134"/>
        <w:tblW w:w="0" w:type="auto"/>
        <w:tblLook w:val="04A0" w:firstRow="1" w:lastRow="0" w:firstColumn="1" w:lastColumn="0" w:noHBand="0" w:noVBand="1"/>
      </w:tblPr>
      <w:tblGrid>
        <w:gridCol w:w="2286"/>
        <w:gridCol w:w="1350"/>
        <w:gridCol w:w="1350"/>
        <w:gridCol w:w="1350"/>
        <w:gridCol w:w="1350"/>
        <w:gridCol w:w="1350"/>
      </w:tblGrid>
      <w:tr w:rsidR="001511BD" w:rsidRPr="005C575C" w14:paraId="6B719A0C" w14:textId="77777777" w:rsidTr="001511BD">
        <w:trPr>
          <w:trHeight w:val="806"/>
        </w:trPr>
        <w:tc>
          <w:tcPr>
            <w:tcW w:w="2286" w:type="dxa"/>
          </w:tcPr>
          <w:p w14:paraId="29DF13D5" w14:textId="77777777" w:rsidR="001511BD" w:rsidRPr="005C575C" w:rsidRDefault="001511BD" w:rsidP="001511BD">
            <w:pPr>
              <w:tabs>
                <w:tab w:val="left" w:pos="7170"/>
              </w:tabs>
              <w:spacing w:line="276" w:lineRule="auto"/>
              <w:jc w:val="both"/>
              <w:rPr>
                <w:rFonts w:ascii="Arial" w:hAnsi="Arial" w:cs="Arial"/>
                <w:b/>
                <w:sz w:val="20"/>
                <w:szCs w:val="20"/>
              </w:rPr>
            </w:pPr>
            <w:r w:rsidRPr="005C575C">
              <w:rPr>
                <w:rFonts w:ascii="Arial" w:hAnsi="Arial" w:cs="Arial"/>
                <w:b/>
                <w:sz w:val="20"/>
                <w:szCs w:val="20"/>
              </w:rPr>
              <w:t>Cultural Characteristics</w:t>
            </w:r>
          </w:p>
        </w:tc>
        <w:tc>
          <w:tcPr>
            <w:tcW w:w="1350" w:type="dxa"/>
          </w:tcPr>
          <w:p w14:paraId="6E089B22" w14:textId="77777777" w:rsidR="001511BD" w:rsidRPr="005C575C" w:rsidRDefault="001511BD" w:rsidP="001511BD">
            <w:pPr>
              <w:tabs>
                <w:tab w:val="left" w:pos="7170"/>
              </w:tabs>
              <w:spacing w:line="276" w:lineRule="auto"/>
              <w:jc w:val="both"/>
              <w:rPr>
                <w:rFonts w:ascii="Arial" w:hAnsi="Arial" w:cs="Arial"/>
                <w:b/>
                <w:sz w:val="20"/>
                <w:szCs w:val="20"/>
              </w:rPr>
            </w:pPr>
            <w:r w:rsidRPr="005C575C">
              <w:rPr>
                <w:rFonts w:ascii="Arial" w:hAnsi="Arial" w:cs="Arial"/>
                <w:b/>
                <w:sz w:val="20"/>
                <w:szCs w:val="20"/>
              </w:rPr>
              <w:t>PHA1</w:t>
            </w:r>
          </w:p>
        </w:tc>
        <w:tc>
          <w:tcPr>
            <w:tcW w:w="1350" w:type="dxa"/>
          </w:tcPr>
          <w:p w14:paraId="5B344F80" w14:textId="77777777" w:rsidR="001511BD" w:rsidRPr="005C575C" w:rsidRDefault="001511BD" w:rsidP="001511BD">
            <w:pPr>
              <w:tabs>
                <w:tab w:val="left" w:pos="7170"/>
              </w:tabs>
              <w:spacing w:line="276" w:lineRule="auto"/>
              <w:jc w:val="both"/>
              <w:rPr>
                <w:rFonts w:ascii="Arial" w:hAnsi="Arial" w:cs="Arial"/>
                <w:b/>
                <w:sz w:val="20"/>
                <w:szCs w:val="20"/>
              </w:rPr>
            </w:pPr>
            <w:r w:rsidRPr="005C575C">
              <w:rPr>
                <w:rFonts w:ascii="Arial" w:hAnsi="Arial" w:cs="Arial"/>
                <w:b/>
                <w:sz w:val="20"/>
                <w:szCs w:val="20"/>
              </w:rPr>
              <w:t>PHA2</w:t>
            </w:r>
          </w:p>
        </w:tc>
        <w:tc>
          <w:tcPr>
            <w:tcW w:w="1350" w:type="dxa"/>
          </w:tcPr>
          <w:p w14:paraId="00DACDED" w14:textId="77777777" w:rsidR="001511BD" w:rsidRPr="005C575C" w:rsidRDefault="001511BD" w:rsidP="001511BD">
            <w:pPr>
              <w:tabs>
                <w:tab w:val="left" w:pos="7170"/>
              </w:tabs>
              <w:spacing w:line="276" w:lineRule="auto"/>
              <w:jc w:val="both"/>
              <w:rPr>
                <w:rFonts w:ascii="Arial" w:hAnsi="Arial" w:cs="Arial"/>
                <w:b/>
                <w:sz w:val="20"/>
                <w:szCs w:val="20"/>
              </w:rPr>
            </w:pPr>
            <w:r w:rsidRPr="005C575C">
              <w:rPr>
                <w:rFonts w:ascii="Arial" w:hAnsi="Arial" w:cs="Arial"/>
                <w:b/>
                <w:sz w:val="20"/>
                <w:szCs w:val="20"/>
              </w:rPr>
              <w:t>PHA3</w:t>
            </w:r>
          </w:p>
        </w:tc>
        <w:tc>
          <w:tcPr>
            <w:tcW w:w="1350" w:type="dxa"/>
          </w:tcPr>
          <w:p w14:paraId="651AAA34" w14:textId="77777777" w:rsidR="001511BD" w:rsidRPr="005C575C" w:rsidRDefault="001511BD" w:rsidP="001511BD">
            <w:pPr>
              <w:tabs>
                <w:tab w:val="left" w:pos="7170"/>
              </w:tabs>
              <w:spacing w:line="276" w:lineRule="auto"/>
              <w:jc w:val="both"/>
              <w:rPr>
                <w:rFonts w:ascii="Arial" w:hAnsi="Arial" w:cs="Arial"/>
                <w:b/>
                <w:sz w:val="20"/>
                <w:szCs w:val="20"/>
              </w:rPr>
            </w:pPr>
            <w:r w:rsidRPr="005C575C">
              <w:rPr>
                <w:rFonts w:ascii="Arial" w:hAnsi="Arial" w:cs="Arial"/>
                <w:b/>
                <w:sz w:val="20"/>
                <w:szCs w:val="20"/>
              </w:rPr>
              <w:t>PHA4</w:t>
            </w:r>
          </w:p>
        </w:tc>
        <w:tc>
          <w:tcPr>
            <w:tcW w:w="1350" w:type="dxa"/>
          </w:tcPr>
          <w:p w14:paraId="4B007411" w14:textId="77777777" w:rsidR="001511BD" w:rsidRPr="005C575C" w:rsidRDefault="001511BD" w:rsidP="001511BD">
            <w:pPr>
              <w:tabs>
                <w:tab w:val="left" w:pos="7170"/>
              </w:tabs>
              <w:spacing w:line="276" w:lineRule="auto"/>
              <w:jc w:val="both"/>
              <w:rPr>
                <w:rFonts w:ascii="Arial" w:hAnsi="Arial" w:cs="Arial"/>
                <w:b/>
                <w:sz w:val="20"/>
                <w:szCs w:val="20"/>
              </w:rPr>
            </w:pPr>
            <w:r w:rsidRPr="005C575C">
              <w:rPr>
                <w:rFonts w:ascii="Arial" w:hAnsi="Arial" w:cs="Arial"/>
                <w:b/>
                <w:sz w:val="20"/>
                <w:szCs w:val="20"/>
              </w:rPr>
              <w:t>PHA5</w:t>
            </w:r>
          </w:p>
        </w:tc>
      </w:tr>
      <w:tr w:rsidR="001511BD" w:rsidRPr="005C575C" w14:paraId="122E7036" w14:textId="77777777" w:rsidTr="001511BD">
        <w:trPr>
          <w:trHeight w:val="399"/>
        </w:trPr>
        <w:tc>
          <w:tcPr>
            <w:tcW w:w="2286" w:type="dxa"/>
          </w:tcPr>
          <w:p w14:paraId="002FB174"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Size</w:t>
            </w:r>
          </w:p>
        </w:tc>
        <w:tc>
          <w:tcPr>
            <w:tcW w:w="1350" w:type="dxa"/>
          </w:tcPr>
          <w:p w14:paraId="40B7629E"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2mm</w:t>
            </w:r>
          </w:p>
        </w:tc>
        <w:tc>
          <w:tcPr>
            <w:tcW w:w="1350" w:type="dxa"/>
          </w:tcPr>
          <w:p w14:paraId="564F1912"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2mm</w:t>
            </w:r>
          </w:p>
        </w:tc>
        <w:tc>
          <w:tcPr>
            <w:tcW w:w="1350" w:type="dxa"/>
          </w:tcPr>
          <w:p w14:paraId="3381AF51"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1mm</w:t>
            </w:r>
          </w:p>
        </w:tc>
        <w:tc>
          <w:tcPr>
            <w:tcW w:w="1350" w:type="dxa"/>
          </w:tcPr>
          <w:p w14:paraId="112F7FDC"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3mm</w:t>
            </w:r>
          </w:p>
        </w:tc>
        <w:tc>
          <w:tcPr>
            <w:tcW w:w="1350" w:type="dxa"/>
          </w:tcPr>
          <w:p w14:paraId="6648CEB2"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1mm</w:t>
            </w:r>
          </w:p>
        </w:tc>
      </w:tr>
      <w:tr w:rsidR="001511BD" w:rsidRPr="005C575C" w14:paraId="2CE439C4" w14:textId="77777777" w:rsidTr="001511BD">
        <w:trPr>
          <w:trHeight w:val="406"/>
        </w:trPr>
        <w:tc>
          <w:tcPr>
            <w:tcW w:w="2286" w:type="dxa"/>
          </w:tcPr>
          <w:p w14:paraId="1A939086" w14:textId="77777777" w:rsidR="001511BD" w:rsidRPr="005C575C" w:rsidRDefault="001511BD" w:rsidP="001511BD">
            <w:pPr>
              <w:tabs>
                <w:tab w:val="left" w:pos="7170"/>
              </w:tabs>
              <w:spacing w:line="276" w:lineRule="auto"/>
              <w:jc w:val="both"/>
              <w:rPr>
                <w:rFonts w:ascii="Arial" w:hAnsi="Arial" w:cs="Arial"/>
                <w:bCs/>
                <w:sz w:val="20"/>
                <w:szCs w:val="20"/>
              </w:rPr>
            </w:pPr>
            <w:proofErr w:type="spellStart"/>
            <w:r w:rsidRPr="005C575C">
              <w:rPr>
                <w:rFonts w:ascii="Arial" w:hAnsi="Arial" w:cs="Arial"/>
                <w:bCs/>
                <w:sz w:val="20"/>
                <w:szCs w:val="20"/>
              </w:rPr>
              <w:t>Colour</w:t>
            </w:r>
            <w:proofErr w:type="spellEnd"/>
          </w:p>
        </w:tc>
        <w:tc>
          <w:tcPr>
            <w:tcW w:w="1350" w:type="dxa"/>
          </w:tcPr>
          <w:p w14:paraId="2A1C3468"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White</w:t>
            </w:r>
          </w:p>
        </w:tc>
        <w:tc>
          <w:tcPr>
            <w:tcW w:w="1350" w:type="dxa"/>
          </w:tcPr>
          <w:p w14:paraId="17133773"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White</w:t>
            </w:r>
          </w:p>
        </w:tc>
        <w:tc>
          <w:tcPr>
            <w:tcW w:w="1350" w:type="dxa"/>
          </w:tcPr>
          <w:p w14:paraId="5742FD0F"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White</w:t>
            </w:r>
          </w:p>
        </w:tc>
        <w:tc>
          <w:tcPr>
            <w:tcW w:w="1350" w:type="dxa"/>
          </w:tcPr>
          <w:p w14:paraId="3FF310D3"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White</w:t>
            </w:r>
          </w:p>
        </w:tc>
        <w:tc>
          <w:tcPr>
            <w:tcW w:w="1350" w:type="dxa"/>
          </w:tcPr>
          <w:p w14:paraId="6AD94977"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White</w:t>
            </w:r>
          </w:p>
        </w:tc>
      </w:tr>
      <w:tr w:rsidR="001511BD" w:rsidRPr="005C575C" w14:paraId="26C26779" w14:textId="77777777" w:rsidTr="001511BD">
        <w:trPr>
          <w:trHeight w:val="399"/>
        </w:trPr>
        <w:tc>
          <w:tcPr>
            <w:tcW w:w="2286" w:type="dxa"/>
          </w:tcPr>
          <w:p w14:paraId="4A88DE75"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Shape</w:t>
            </w:r>
          </w:p>
        </w:tc>
        <w:tc>
          <w:tcPr>
            <w:tcW w:w="1350" w:type="dxa"/>
          </w:tcPr>
          <w:p w14:paraId="7FCB0890"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Circular</w:t>
            </w:r>
          </w:p>
        </w:tc>
        <w:tc>
          <w:tcPr>
            <w:tcW w:w="1350" w:type="dxa"/>
          </w:tcPr>
          <w:p w14:paraId="2B148941"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Circular</w:t>
            </w:r>
          </w:p>
        </w:tc>
        <w:tc>
          <w:tcPr>
            <w:tcW w:w="1350" w:type="dxa"/>
          </w:tcPr>
          <w:p w14:paraId="4DE24FB7"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Circular</w:t>
            </w:r>
          </w:p>
        </w:tc>
        <w:tc>
          <w:tcPr>
            <w:tcW w:w="1350" w:type="dxa"/>
          </w:tcPr>
          <w:p w14:paraId="7E18F5CB"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Circular</w:t>
            </w:r>
          </w:p>
        </w:tc>
        <w:tc>
          <w:tcPr>
            <w:tcW w:w="1350" w:type="dxa"/>
          </w:tcPr>
          <w:p w14:paraId="1E9A768B"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Circular</w:t>
            </w:r>
          </w:p>
        </w:tc>
      </w:tr>
      <w:tr w:rsidR="001511BD" w:rsidRPr="005C575C" w14:paraId="2E5A4E30" w14:textId="77777777" w:rsidTr="001511BD">
        <w:trPr>
          <w:trHeight w:val="406"/>
        </w:trPr>
        <w:tc>
          <w:tcPr>
            <w:tcW w:w="2286" w:type="dxa"/>
          </w:tcPr>
          <w:p w14:paraId="0B08508C"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Margin</w:t>
            </w:r>
          </w:p>
        </w:tc>
        <w:tc>
          <w:tcPr>
            <w:tcW w:w="1350" w:type="dxa"/>
          </w:tcPr>
          <w:p w14:paraId="5906B831"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Regular</w:t>
            </w:r>
          </w:p>
        </w:tc>
        <w:tc>
          <w:tcPr>
            <w:tcW w:w="1350" w:type="dxa"/>
          </w:tcPr>
          <w:p w14:paraId="71D50584"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Regular</w:t>
            </w:r>
          </w:p>
        </w:tc>
        <w:tc>
          <w:tcPr>
            <w:tcW w:w="1350" w:type="dxa"/>
          </w:tcPr>
          <w:p w14:paraId="1441915E"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Regular</w:t>
            </w:r>
          </w:p>
        </w:tc>
        <w:tc>
          <w:tcPr>
            <w:tcW w:w="1350" w:type="dxa"/>
          </w:tcPr>
          <w:p w14:paraId="327272BB"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Regular</w:t>
            </w:r>
          </w:p>
        </w:tc>
        <w:tc>
          <w:tcPr>
            <w:tcW w:w="1350" w:type="dxa"/>
          </w:tcPr>
          <w:p w14:paraId="6BA83085"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Regular</w:t>
            </w:r>
          </w:p>
        </w:tc>
      </w:tr>
      <w:tr w:rsidR="001511BD" w:rsidRPr="005C575C" w14:paraId="29C0783C" w14:textId="77777777" w:rsidTr="001511BD">
        <w:trPr>
          <w:trHeight w:val="399"/>
        </w:trPr>
        <w:tc>
          <w:tcPr>
            <w:tcW w:w="2286" w:type="dxa"/>
          </w:tcPr>
          <w:p w14:paraId="59764241"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Consistency</w:t>
            </w:r>
          </w:p>
        </w:tc>
        <w:tc>
          <w:tcPr>
            <w:tcW w:w="1350" w:type="dxa"/>
          </w:tcPr>
          <w:p w14:paraId="28D8A802"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Moist</w:t>
            </w:r>
          </w:p>
        </w:tc>
        <w:tc>
          <w:tcPr>
            <w:tcW w:w="1350" w:type="dxa"/>
          </w:tcPr>
          <w:p w14:paraId="1AB219E3"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Moist</w:t>
            </w:r>
          </w:p>
        </w:tc>
        <w:tc>
          <w:tcPr>
            <w:tcW w:w="1350" w:type="dxa"/>
          </w:tcPr>
          <w:p w14:paraId="3D97E60B"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Sticky</w:t>
            </w:r>
          </w:p>
        </w:tc>
        <w:tc>
          <w:tcPr>
            <w:tcW w:w="1350" w:type="dxa"/>
          </w:tcPr>
          <w:p w14:paraId="0760FFE7"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Sticky</w:t>
            </w:r>
          </w:p>
        </w:tc>
        <w:tc>
          <w:tcPr>
            <w:tcW w:w="1350" w:type="dxa"/>
          </w:tcPr>
          <w:p w14:paraId="2F45F478"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Moist</w:t>
            </w:r>
          </w:p>
        </w:tc>
      </w:tr>
      <w:tr w:rsidR="001511BD" w:rsidRPr="005C575C" w14:paraId="79B895BD" w14:textId="77777777" w:rsidTr="001511BD">
        <w:trPr>
          <w:trHeight w:val="406"/>
        </w:trPr>
        <w:tc>
          <w:tcPr>
            <w:tcW w:w="2286" w:type="dxa"/>
          </w:tcPr>
          <w:p w14:paraId="57D16B10"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Elevation</w:t>
            </w:r>
          </w:p>
        </w:tc>
        <w:tc>
          <w:tcPr>
            <w:tcW w:w="1350" w:type="dxa"/>
          </w:tcPr>
          <w:p w14:paraId="180539C7"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Flat</w:t>
            </w:r>
          </w:p>
        </w:tc>
        <w:tc>
          <w:tcPr>
            <w:tcW w:w="1350" w:type="dxa"/>
          </w:tcPr>
          <w:p w14:paraId="1B864F87"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Flat</w:t>
            </w:r>
          </w:p>
        </w:tc>
        <w:tc>
          <w:tcPr>
            <w:tcW w:w="1350" w:type="dxa"/>
          </w:tcPr>
          <w:p w14:paraId="0AA5A56B"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Flat</w:t>
            </w:r>
          </w:p>
        </w:tc>
        <w:tc>
          <w:tcPr>
            <w:tcW w:w="1350" w:type="dxa"/>
          </w:tcPr>
          <w:p w14:paraId="0FC7B644"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Flat</w:t>
            </w:r>
          </w:p>
        </w:tc>
        <w:tc>
          <w:tcPr>
            <w:tcW w:w="1350" w:type="dxa"/>
          </w:tcPr>
          <w:p w14:paraId="7BA8119C"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Flat</w:t>
            </w:r>
          </w:p>
        </w:tc>
      </w:tr>
      <w:tr w:rsidR="001511BD" w:rsidRPr="005C575C" w14:paraId="2BB0209D" w14:textId="77777777" w:rsidTr="001511BD">
        <w:trPr>
          <w:trHeight w:val="399"/>
        </w:trPr>
        <w:tc>
          <w:tcPr>
            <w:tcW w:w="2286" w:type="dxa"/>
          </w:tcPr>
          <w:p w14:paraId="39556E78"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Opacity</w:t>
            </w:r>
          </w:p>
        </w:tc>
        <w:tc>
          <w:tcPr>
            <w:tcW w:w="1350" w:type="dxa"/>
          </w:tcPr>
          <w:p w14:paraId="1D7BC059"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Opaque</w:t>
            </w:r>
          </w:p>
        </w:tc>
        <w:tc>
          <w:tcPr>
            <w:tcW w:w="1350" w:type="dxa"/>
          </w:tcPr>
          <w:p w14:paraId="2F8EC623"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Opaque</w:t>
            </w:r>
          </w:p>
        </w:tc>
        <w:tc>
          <w:tcPr>
            <w:tcW w:w="1350" w:type="dxa"/>
          </w:tcPr>
          <w:p w14:paraId="13540236"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Opaque</w:t>
            </w:r>
          </w:p>
        </w:tc>
        <w:tc>
          <w:tcPr>
            <w:tcW w:w="1350" w:type="dxa"/>
          </w:tcPr>
          <w:p w14:paraId="18E58EC3"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Opaque</w:t>
            </w:r>
          </w:p>
        </w:tc>
        <w:tc>
          <w:tcPr>
            <w:tcW w:w="1350" w:type="dxa"/>
          </w:tcPr>
          <w:p w14:paraId="39A28AB5"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Opaque</w:t>
            </w:r>
          </w:p>
        </w:tc>
      </w:tr>
      <w:tr w:rsidR="001511BD" w:rsidRPr="005C575C" w14:paraId="12B86703" w14:textId="77777777" w:rsidTr="001511BD">
        <w:trPr>
          <w:trHeight w:val="406"/>
        </w:trPr>
        <w:tc>
          <w:tcPr>
            <w:tcW w:w="2286" w:type="dxa"/>
          </w:tcPr>
          <w:p w14:paraId="1EDFFF3A" w14:textId="77777777" w:rsidR="001511BD" w:rsidRPr="005C575C" w:rsidRDefault="001511BD" w:rsidP="001511BD">
            <w:pPr>
              <w:tabs>
                <w:tab w:val="left" w:pos="7170"/>
              </w:tabs>
              <w:spacing w:line="276" w:lineRule="auto"/>
              <w:jc w:val="both"/>
              <w:rPr>
                <w:rFonts w:ascii="Arial" w:hAnsi="Arial" w:cs="Arial"/>
                <w:bCs/>
                <w:sz w:val="20"/>
                <w:szCs w:val="20"/>
              </w:rPr>
            </w:pPr>
            <w:r w:rsidRPr="005C575C">
              <w:rPr>
                <w:rFonts w:ascii="Arial" w:hAnsi="Arial" w:cs="Arial"/>
                <w:bCs/>
                <w:sz w:val="20"/>
                <w:szCs w:val="20"/>
              </w:rPr>
              <w:t>Gram Staining</w:t>
            </w:r>
          </w:p>
        </w:tc>
        <w:tc>
          <w:tcPr>
            <w:tcW w:w="1350" w:type="dxa"/>
          </w:tcPr>
          <w:p w14:paraId="124F25E5" w14:textId="77777777" w:rsidR="001511BD" w:rsidRPr="005C575C" w:rsidRDefault="001511BD" w:rsidP="001511BD">
            <w:pPr>
              <w:tabs>
                <w:tab w:val="left" w:pos="7170"/>
              </w:tabs>
              <w:spacing w:line="276" w:lineRule="auto"/>
              <w:jc w:val="both"/>
              <w:rPr>
                <w:rFonts w:ascii="Arial" w:hAnsi="Arial" w:cs="Arial"/>
                <w:bCs/>
                <w:sz w:val="20"/>
                <w:szCs w:val="20"/>
              </w:rPr>
            </w:pPr>
            <w:proofErr w:type="spellStart"/>
            <w:r w:rsidRPr="005C575C">
              <w:rPr>
                <w:rFonts w:ascii="Arial" w:hAnsi="Arial" w:cs="Arial"/>
                <w:bCs/>
                <w:sz w:val="20"/>
                <w:szCs w:val="20"/>
              </w:rPr>
              <w:t>GM+ve</w:t>
            </w:r>
            <w:proofErr w:type="spellEnd"/>
          </w:p>
        </w:tc>
        <w:tc>
          <w:tcPr>
            <w:tcW w:w="1350" w:type="dxa"/>
          </w:tcPr>
          <w:p w14:paraId="016D8329" w14:textId="77777777" w:rsidR="001511BD" w:rsidRPr="005C575C" w:rsidRDefault="001511BD" w:rsidP="001511BD">
            <w:pPr>
              <w:tabs>
                <w:tab w:val="left" w:pos="7170"/>
              </w:tabs>
              <w:spacing w:line="276" w:lineRule="auto"/>
              <w:jc w:val="both"/>
              <w:rPr>
                <w:rFonts w:ascii="Arial" w:hAnsi="Arial" w:cs="Arial"/>
                <w:bCs/>
                <w:sz w:val="20"/>
                <w:szCs w:val="20"/>
              </w:rPr>
            </w:pPr>
            <w:proofErr w:type="spellStart"/>
            <w:r w:rsidRPr="005C575C">
              <w:rPr>
                <w:rFonts w:ascii="Arial" w:hAnsi="Arial" w:cs="Arial"/>
                <w:bCs/>
                <w:sz w:val="20"/>
                <w:szCs w:val="20"/>
              </w:rPr>
              <w:t>GM+ve</w:t>
            </w:r>
            <w:proofErr w:type="spellEnd"/>
          </w:p>
        </w:tc>
        <w:tc>
          <w:tcPr>
            <w:tcW w:w="1350" w:type="dxa"/>
          </w:tcPr>
          <w:p w14:paraId="614D5B83" w14:textId="77777777" w:rsidR="001511BD" w:rsidRPr="005C575C" w:rsidRDefault="001511BD" w:rsidP="001511BD">
            <w:pPr>
              <w:tabs>
                <w:tab w:val="left" w:pos="7170"/>
              </w:tabs>
              <w:spacing w:line="276" w:lineRule="auto"/>
              <w:jc w:val="both"/>
              <w:rPr>
                <w:rFonts w:ascii="Arial" w:hAnsi="Arial" w:cs="Arial"/>
                <w:bCs/>
                <w:sz w:val="20"/>
                <w:szCs w:val="20"/>
              </w:rPr>
            </w:pPr>
            <w:proofErr w:type="spellStart"/>
            <w:r w:rsidRPr="005C575C">
              <w:rPr>
                <w:rFonts w:ascii="Arial" w:hAnsi="Arial" w:cs="Arial"/>
                <w:bCs/>
                <w:sz w:val="20"/>
                <w:szCs w:val="20"/>
              </w:rPr>
              <w:t>GM+ve</w:t>
            </w:r>
            <w:proofErr w:type="spellEnd"/>
          </w:p>
        </w:tc>
        <w:tc>
          <w:tcPr>
            <w:tcW w:w="1350" w:type="dxa"/>
          </w:tcPr>
          <w:p w14:paraId="6FBCA374" w14:textId="77777777" w:rsidR="001511BD" w:rsidRPr="005C575C" w:rsidRDefault="001511BD" w:rsidP="001511BD">
            <w:pPr>
              <w:tabs>
                <w:tab w:val="left" w:pos="7170"/>
              </w:tabs>
              <w:spacing w:line="276" w:lineRule="auto"/>
              <w:jc w:val="both"/>
              <w:rPr>
                <w:rFonts w:ascii="Arial" w:hAnsi="Arial" w:cs="Arial"/>
                <w:bCs/>
                <w:sz w:val="20"/>
                <w:szCs w:val="20"/>
              </w:rPr>
            </w:pPr>
            <w:proofErr w:type="spellStart"/>
            <w:r w:rsidRPr="005C575C">
              <w:rPr>
                <w:rFonts w:ascii="Arial" w:hAnsi="Arial" w:cs="Arial"/>
                <w:bCs/>
                <w:sz w:val="20"/>
                <w:szCs w:val="20"/>
              </w:rPr>
              <w:t>GM+ve</w:t>
            </w:r>
            <w:proofErr w:type="spellEnd"/>
          </w:p>
        </w:tc>
        <w:tc>
          <w:tcPr>
            <w:tcW w:w="1350" w:type="dxa"/>
          </w:tcPr>
          <w:p w14:paraId="32D78FE7" w14:textId="77777777" w:rsidR="001511BD" w:rsidRPr="005C575C" w:rsidRDefault="001511BD" w:rsidP="001511BD">
            <w:pPr>
              <w:tabs>
                <w:tab w:val="left" w:pos="7170"/>
              </w:tabs>
              <w:spacing w:line="276" w:lineRule="auto"/>
              <w:jc w:val="both"/>
              <w:rPr>
                <w:rFonts w:ascii="Arial" w:hAnsi="Arial" w:cs="Arial"/>
                <w:bCs/>
                <w:sz w:val="20"/>
                <w:szCs w:val="20"/>
              </w:rPr>
            </w:pPr>
            <w:proofErr w:type="spellStart"/>
            <w:r w:rsidRPr="005C575C">
              <w:rPr>
                <w:rFonts w:ascii="Arial" w:hAnsi="Arial" w:cs="Arial"/>
                <w:bCs/>
                <w:sz w:val="20"/>
                <w:szCs w:val="20"/>
              </w:rPr>
              <w:t>GM+ve</w:t>
            </w:r>
            <w:proofErr w:type="spellEnd"/>
          </w:p>
        </w:tc>
      </w:tr>
    </w:tbl>
    <w:p w14:paraId="79496F0D" w14:textId="4754AC9D" w:rsidR="00220E7A" w:rsidRDefault="001511BD" w:rsidP="005C575C">
      <w:pPr>
        <w:spacing w:after="0" w:line="360" w:lineRule="auto"/>
        <w:ind w:firstLine="720"/>
        <w:jc w:val="center"/>
        <w:rPr>
          <w:rFonts w:ascii="Arial" w:hAnsi="Arial" w:cs="Arial"/>
          <w:sz w:val="20"/>
          <w:szCs w:val="20"/>
        </w:rPr>
      </w:pPr>
      <w:r>
        <w:rPr>
          <w:noProof/>
        </w:rPr>
        <w:lastRenderedPageBreak/>
        <w:t xml:space="preserve"> </w:t>
      </w:r>
      <w:r w:rsidR="00220E7A">
        <w:rPr>
          <w:noProof/>
        </w:rPr>
        <w:drawing>
          <wp:inline distT="0" distB="0" distL="0" distR="0" wp14:anchorId="6AFA1D46" wp14:editId="48F9C938">
            <wp:extent cx="4038600" cy="1266713"/>
            <wp:effectExtent l="19050" t="19050" r="19050" b="10160"/>
            <wp:docPr id="957393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3163" cy="1302646"/>
                    </a:xfrm>
                    <a:prstGeom prst="rect">
                      <a:avLst/>
                    </a:prstGeom>
                    <a:noFill/>
                    <a:ln w="12700">
                      <a:solidFill>
                        <a:schemeClr val="tx1"/>
                      </a:solidFill>
                    </a:ln>
                  </pic:spPr>
                </pic:pic>
              </a:graphicData>
            </a:graphic>
          </wp:inline>
        </w:drawing>
      </w:r>
    </w:p>
    <w:p w14:paraId="5AC751DB" w14:textId="694BD4E9" w:rsidR="005C575C" w:rsidRPr="005C575C" w:rsidRDefault="005C575C" w:rsidP="005C575C">
      <w:pPr>
        <w:spacing w:after="0" w:line="360" w:lineRule="auto"/>
        <w:jc w:val="center"/>
        <w:rPr>
          <w:rFonts w:ascii="Arial" w:hAnsi="Arial" w:cs="Arial"/>
          <w:b/>
          <w:bCs/>
        </w:rPr>
      </w:pPr>
      <w:r w:rsidRPr="005C575C">
        <w:rPr>
          <w:rFonts w:ascii="Arial" w:hAnsi="Arial" w:cs="Arial"/>
          <w:b/>
          <w:bCs/>
        </w:rPr>
        <w:t>Fig. 1 a) Growth of organism b) Sudan black B staining c) Gram Staining</w:t>
      </w:r>
    </w:p>
    <w:p w14:paraId="1B8A54ED" w14:textId="4F66D39B" w:rsidR="00220E7A" w:rsidRDefault="005C575C" w:rsidP="00220E7A">
      <w:pPr>
        <w:spacing w:after="0" w:line="360" w:lineRule="auto"/>
        <w:ind w:firstLine="720"/>
        <w:rPr>
          <w:rFonts w:ascii="Arial" w:hAnsi="Arial" w:cs="Arial"/>
          <w:sz w:val="20"/>
          <w:szCs w:val="20"/>
        </w:rPr>
      </w:pPr>
      <w:r w:rsidRPr="001523E3">
        <w:rPr>
          <w:rFonts w:ascii="Times New Roman" w:hAnsi="Times New Roman" w:cs="Times New Roman"/>
          <w:bCs/>
          <w:noProof/>
          <w:sz w:val="24"/>
          <w:szCs w:val="24"/>
        </w:rPr>
        <w:drawing>
          <wp:anchor distT="0" distB="0" distL="114300" distR="114300" simplePos="0" relativeHeight="251659264" behindDoc="0" locked="0" layoutInCell="1" allowOverlap="1" wp14:anchorId="0EAE5777" wp14:editId="23206EDA">
            <wp:simplePos x="0" y="0"/>
            <wp:positionH relativeFrom="margin">
              <wp:posOffset>1219200</wp:posOffset>
            </wp:positionH>
            <wp:positionV relativeFrom="paragraph">
              <wp:posOffset>111125</wp:posOffset>
            </wp:positionV>
            <wp:extent cx="3966845" cy="1309370"/>
            <wp:effectExtent l="76200" t="76200" r="128905" b="138430"/>
            <wp:wrapSquare wrapText="bothSides"/>
            <wp:docPr id="28" name="Picture 2097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097156"/>
                    <pic:cNvPicPr>
                      <a:picLocks/>
                    </pic:cNvPicPr>
                  </pic:nvPicPr>
                  <pic:blipFill>
                    <a:blip r:embed="rId9" cstate="print">
                      <a:extLst>
                        <a:ext uri="{28A0092B-C50C-407E-A947-70E740481C1C}">
                          <a14:useLocalDpi xmlns:a14="http://schemas.microsoft.com/office/drawing/2010/main" val="0"/>
                        </a:ext>
                      </a:extLst>
                    </a:blip>
                    <a:stretch>
                      <a:fillRect/>
                    </a:stretch>
                  </pic:blipFill>
                  <pic:spPr>
                    <a:xfrm rot="21600000">
                      <a:off x="0" y="0"/>
                      <a:ext cx="3966845" cy="13093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1BEDE67F" w14:textId="34EDE096" w:rsidR="00220E7A" w:rsidRDefault="00220E7A" w:rsidP="00220E7A">
      <w:pPr>
        <w:spacing w:after="0" w:line="360" w:lineRule="auto"/>
        <w:ind w:firstLine="720"/>
        <w:rPr>
          <w:rFonts w:ascii="Arial" w:hAnsi="Arial" w:cs="Arial"/>
          <w:sz w:val="20"/>
          <w:szCs w:val="20"/>
        </w:rPr>
      </w:pPr>
    </w:p>
    <w:p w14:paraId="3639D85C" w14:textId="77777777" w:rsidR="005C575C" w:rsidRDefault="005C575C" w:rsidP="00AD7CE7">
      <w:pPr>
        <w:spacing w:after="0" w:line="360" w:lineRule="auto"/>
        <w:jc w:val="both"/>
        <w:rPr>
          <w:rFonts w:ascii="Arial" w:hAnsi="Arial" w:cs="Arial"/>
          <w:b/>
          <w:bCs/>
        </w:rPr>
      </w:pPr>
    </w:p>
    <w:p w14:paraId="58FAFDF3" w14:textId="77777777" w:rsidR="005C575C" w:rsidRDefault="005C575C" w:rsidP="00AD7CE7">
      <w:pPr>
        <w:spacing w:after="0" w:line="360" w:lineRule="auto"/>
        <w:jc w:val="both"/>
        <w:rPr>
          <w:rFonts w:ascii="Arial" w:hAnsi="Arial" w:cs="Arial"/>
          <w:b/>
          <w:bCs/>
        </w:rPr>
      </w:pPr>
    </w:p>
    <w:p w14:paraId="30FCAF5D" w14:textId="77777777" w:rsidR="005C575C" w:rsidRDefault="005C575C" w:rsidP="00AD7CE7">
      <w:pPr>
        <w:spacing w:after="0" w:line="360" w:lineRule="auto"/>
        <w:jc w:val="both"/>
        <w:rPr>
          <w:rFonts w:ascii="Arial" w:hAnsi="Arial" w:cs="Arial"/>
          <w:b/>
          <w:bCs/>
        </w:rPr>
      </w:pPr>
    </w:p>
    <w:p w14:paraId="555B4556" w14:textId="0A1E3CD4" w:rsidR="00220E7A" w:rsidRDefault="00220E7A" w:rsidP="00AD7CE7">
      <w:pPr>
        <w:spacing w:after="0" w:line="360" w:lineRule="auto"/>
        <w:jc w:val="both"/>
        <w:rPr>
          <w:rFonts w:ascii="Arial" w:hAnsi="Arial" w:cs="Arial"/>
          <w:b/>
          <w:bCs/>
        </w:rPr>
      </w:pPr>
    </w:p>
    <w:p w14:paraId="28F1D7B4" w14:textId="4A4A238A" w:rsidR="00220E7A" w:rsidRDefault="00220E7A" w:rsidP="005C575C">
      <w:pPr>
        <w:spacing w:after="0" w:line="360" w:lineRule="auto"/>
        <w:jc w:val="center"/>
        <w:rPr>
          <w:rFonts w:ascii="Arial" w:hAnsi="Arial" w:cs="Arial"/>
          <w:b/>
          <w:bCs/>
        </w:rPr>
      </w:pPr>
    </w:p>
    <w:p w14:paraId="22D00C5B" w14:textId="484B6C0D" w:rsidR="005C575C" w:rsidRPr="005C575C" w:rsidRDefault="005C575C" w:rsidP="005C575C">
      <w:pPr>
        <w:spacing w:after="0" w:line="360" w:lineRule="auto"/>
        <w:jc w:val="center"/>
        <w:rPr>
          <w:rFonts w:ascii="Arial" w:hAnsi="Arial" w:cs="Arial"/>
          <w:b/>
          <w:bCs/>
        </w:rPr>
      </w:pPr>
      <w:r w:rsidRPr="005C575C">
        <w:rPr>
          <w:rFonts w:ascii="Arial" w:hAnsi="Arial" w:cs="Arial"/>
          <w:b/>
          <w:bCs/>
        </w:rPr>
        <w:t>Fig. 2 Biochemical characterization of the isolates</w:t>
      </w:r>
    </w:p>
    <w:p w14:paraId="3A4F89AC" w14:textId="441AB38C" w:rsidR="00220E7A" w:rsidRDefault="00220E7A" w:rsidP="00AD7CE7">
      <w:pPr>
        <w:spacing w:after="0" w:line="360" w:lineRule="auto"/>
        <w:jc w:val="both"/>
        <w:rPr>
          <w:rFonts w:ascii="Arial" w:hAnsi="Arial" w:cs="Arial"/>
          <w:b/>
          <w:bCs/>
        </w:rPr>
      </w:pPr>
    </w:p>
    <w:p w14:paraId="240FA096" w14:textId="476F9ED3" w:rsidR="005C575C" w:rsidRPr="0005579B" w:rsidRDefault="005C575C" w:rsidP="005C575C">
      <w:pPr>
        <w:spacing w:after="0"/>
        <w:rPr>
          <w:rFonts w:ascii="Arial" w:hAnsi="Arial" w:cs="Arial"/>
          <w:b/>
          <w:bCs/>
        </w:rPr>
      </w:pPr>
      <w:r w:rsidRPr="0005579B">
        <w:rPr>
          <w:rFonts w:ascii="Arial" w:hAnsi="Arial" w:cs="Arial"/>
          <w:b/>
          <w:bCs/>
        </w:rPr>
        <w:t xml:space="preserve">Table 1. Cultural characterization of the isolates  </w:t>
      </w:r>
    </w:p>
    <w:p w14:paraId="6B64D3BA" w14:textId="77777777" w:rsidR="00220E7A" w:rsidRDefault="00220E7A" w:rsidP="00AD7CE7">
      <w:pPr>
        <w:spacing w:after="0" w:line="360" w:lineRule="auto"/>
        <w:jc w:val="both"/>
        <w:rPr>
          <w:rFonts w:ascii="Arial" w:hAnsi="Arial" w:cs="Arial"/>
          <w:b/>
          <w:bCs/>
        </w:rPr>
      </w:pPr>
    </w:p>
    <w:p w14:paraId="378FDCF4" w14:textId="77777777" w:rsidR="00220E7A" w:rsidRDefault="00220E7A" w:rsidP="00AD7CE7">
      <w:pPr>
        <w:spacing w:after="0" w:line="360" w:lineRule="auto"/>
        <w:jc w:val="both"/>
        <w:rPr>
          <w:rFonts w:ascii="Arial" w:hAnsi="Arial" w:cs="Arial"/>
          <w:b/>
          <w:bCs/>
        </w:rPr>
      </w:pPr>
    </w:p>
    <w:p w14:paraId="75464F19" w14:textId="1D9FCC6D" w:rsidR="005C575C" w:rsidRPr="0005579B" w:rsidRDefault="005C575C" w:rsidP="005C575C">
      <w:pPr>
        <w:spacing w:after="0"/>
        <w:rPr>
          <w:rFonts w:ascii="Arial" w:hAnsi="Arial" w:cs="Arial"/>
        </w:rPr>
      </w:pPr>
    </w:p>
    <w:p w14:paraId="491AB648" w14:textId="77777777" w:rsidR="00220E7A" w:rsidRDefault="00220E7A" w:rsidP="00AD7CE7">
      <w:pPr>
        <w:spacing w:after="0" w:line="360" w:lineRule="auto"/>
        <w:jc w:val="both"/>
        <w:rPr>
          <w:rFonts w:ascii="Arial" w:hAnsi="Arial" w:cs="Arial"/>
          <w:b/>
          <w:bCs/>
        </w:rPr>
      </w:pPr>
    </w:p>
    <w:p w14:paraId="44D7BA07" w14:textId="77777777" w:rsidR="005C575C" w:rsidRDefault="005C575C" w:rsidP="00AD7CE7">
      <w:pPr>
        <w:spacing w:after="0" w:line="360" w:lineRule="auto"/>
        <w:jc w:val="both"/>
        <w:rPr>
          <w:rFonts w:ascii="Arial" w:hAnsi="Arial" w:cs="Arial"/>
          <w:b/>
          <w:bCs/>
        </w:rPr>
      </w:pPr>
    </w:p>
    <w:p w14:paraId="3421DA48" w14:textId="77777777" w:rsidR="001511BD" w:rsidRDefault="001511BD" w:rsidP="00AD7CE7">
      <w:pPr>
        <w:spacing w:after="0" w:line="360" w:lineRule="auto"/>
        <w:jc w:val="both"/>
        <w:rPr>
          <w:rFonts w:ascii="Arial" w:hAnsi="Arial" w:cs="Arial"/>
          <w:b/>
          <w:bCs/>
        </w:rPr>
      </w:pPr>
    </w:p>
    <w:p w14:paraId="0702EF01" w14:textId="619BEB9A" w:rsidR="001511BD" w:rsidRDefault="001511BD" w:rsidP="00AD7CE7">
      <w:pPr>
        <w:spacing w:after="0" w:line="360" w:lineRule="auto"/>
        <w:jc w:val="both"/>
        <w:rPr>
          <w:rFonts w:ascii="Arial" w:hAnsi="Arial" w:cs="Arial"/>
          <w:b/>
          <w:bCs/>
        </w:rPr>
      </w:pPr>
      <w:r w:rsidRPr="0005579B">
        <w:rPr>
          <w:rFonts w:ascii="Arial" w:hAnsi="Arial" w:cs="Arial"/>
          <w:b/>
          <w:bCs/>
        </w:rPr>
        <w:t>Table 2. Biochemical characterization of the isolates</w:t>
      </w:r>
    </w:p>
    <w:p w14:paraId="616D4B65" w14:textId="77777777" w:rsidR="001511BD" w:rsidRDefault="001511BD" w:rsidP="00AD7CE7">
      <w:pPr>
        <w:spacing w:after="0" w:line="360" w:lineRule="auto"/>
        <w:jc w:val="both"/>
        <w:rPr>
          <w:rFonts w:ascii="Arial" w:hAnsi="Arial" w:cs="Arial"/>
          <w:b/>
          <w:bCs/>
        </w:rPr>
      </w:pPr>
    </w:p>
    <w:tbl>
      <w:tblPr>
        <w:tblStyle w:val="TableGrid"/>
        <w:tblpPr w:leftFromText="180" w:rightFromText="180" w:vertAnchor="page" w:horzAnchor="margin" w:tblpY="2462"/>
        <w:tblW w:w="0" w:type="auto"/>
        <w:tblLook w:val="04A0" w:firstRow="1" w:lastRow="0" w:firstColumn="1" w:lastColumn="0" w:noHBand="0" w:noVBand="1"/>
      </w:tblPr>
      <w:tblGrid>
        <w:gridCol w:w="2300"/>
        <w:gridCol w:w="1344"/>
        <w:gridCol w:w="1343"/>
        <w:gridCol w:w="1343"/>
        <w:gridCol w:w="1343"/>
        <w:gridCol w:w="1343"/>
      </w:tblGrid>
      <w:tr w:rsidR="001511BD" w:rsidRPr="005C575C" w14:paraId="30609AB5" w14:textId="77777777" w:rsidTr="00050EA1">
        <w:tc>
          <w:tcPr>
            <w:tcW w:w="2300" w:type="dxa"/>
          </w:tcPr>
          <w:p w14:paraId="294F1CFC" w14:textId="77777777" w:rsidR="001511BD" w:rsidRPr="005C575C" w:rsidRDefault="001511BD" w:rsidP="00050EA1">
            <w:pPr>
              <w:tabs>
                <w:tab w:val="left" w:pos="7170"/>
              </w:tabs>
              <w:spacing w:line="276" w:lineRule="auto"/>
              <w:jc w:val="center"/>
              <w:rPr>
                <w:rFonts w:ascii="Arial" w:hAnsi="Arial" w:cs="Arial"/>
                <w:b/>
                <w:sz w:val="20"/>
                <w:szCs w:val="20"/>
              </w:rPr>
            </w:pPr>
            <w:r w:rsidRPr="005C575C">
              <w:rPr>
                <w:rFonts w:ascii="Arial" w:hAnsi="Arial" w:cs="Arial"/>
                <w:b/>
                <w:sz w:val="20"/>
                <w:szCs w:val="20"/>
              </w:rPr>
              <w:lastRenderedPageBreak/>
              <w:t>Biochemical Characteristics</w:t>
            </w:r>
          </w:p>
        </w:tc>
        <w:tc>
          <w:tcPr>
            <w:tcW w:w="1344" w:type="dxa"/>
          </w:tcPr>
          <w:p w14:paraId="5B17ABB7" w14:textId="77777777" w:rsidR="001511BD" w:rsidRPr="005C575C" w:rsidRDefault="001511BD" w:rsidP="00050EA1">
            <w:pPr>
              <w:tabs>
                <w:tab w:val="left" w:pos="7170"/>
              </w:tabs>
              <w:spacing w:line="276" w:lineRule="auto"/>
              <w:jc w:val="center"/>
              <w:rPr>
                <w:rFonts w:ascii="Arial" w:hAnsi="Arial" w:cs="Arial"/>
                <w:b/>
                <w:sz w:val="20"/>
                <w:szCs w:val="20"/>
              </w:rPr>
            </w:pPr>
            <w:r w:rsidRPr="005C575C">
              <w:rPr>
                <w:rFonts w:ascii="Arial" w:hAnsi="Arial" w:cs="Arial"/>
                <w:b/>
                <w:sz w:val="20"/>
                <w:szCs w:val="20"/>
              </w:rPr>
              <w:t>PHA1</w:t>
            </w:r>
          </w:p>
        </w:tc>
        <w:tc>
          <w:tcPr>
            <w:tcW w:w="1343" w:type="dxa"/>
          </w:tcPr>
          <w:p w14:paraId="36235FDA" w14:textId="77777777" w:rsidR="001511BD" w:rsidRPr="005C575C" w:rsidRDefault="001511BD" w:rsidP="00050EA1">
            <w:pPr>
              <w:tabs>
                <w:tab w:val="left" w:pos="7170"/>
              </w:tabs>
              <w:spacing w:line="276" w:lineRule="auto"/>
              <w:jc w:val="center"/>
              <w:rPr>
                <w:rFonts w:ascii="Arial" w:hAnsi="Arial" w:cs="Arial"/>
                <w:b/>
                <w:sz w:val="20"/>
                <w:szCs w:val="20"/>
              </w:rPr>
            </w:pPr>
            <w:r w:rsidRPr="005C575C">
              <w:rPr>
                <w:rFonts w:ascii="Arial" w:hAnsi="Arial" w:cs="Arial"/>
                <w:b/>
                <w:sz w:val="20"/>
                <w:szCs w:val="20"/>
              </w:rPr>
              <w:t>PHA2</w:t>
            </w:r>
          </w:p>
        </w:tc>
        <w:tc>
          <w:tcPr>
            <w:tcW w:w="1343" w:type="dxa"/>
          </w:tcPr>
          <w:p w14:paraId="0620F5E8" w14:textId="77777777" w:rsidR="001511BD" w:rsidRPr="005C575C" w:rsidRDefault="001511BD" w:rsidP="00050EA1">
            <w:pPr>
              <w:tabs>
                <w:tab w:val="left" w:pos="7170"/>
              </w:tabs>
              <w:spacing w:line="276" w:lineRule="auto"/>
              <w:jc w:val="center"/>
              <w:rPr>
                <w:rFonts w:ascii="Arial" w:hAnsi="Arial" w:cs="Arial"/>
                <w:b/>
                <w:sz w:val="20"/>
                <w:szCs w:val="20"/>
              </w:rPr>
            </w:pPr>
            <w:r w:rsidRPr="005C575C">
              <w:rPr>
                <w:rFonts w:ascii="Arial" w:hAnsi="Arial" w:cs="Arial"/>
                <w:b/>
                <w:sz w:val="20"/>
                <w:szCs w:val="20"/>
              </w:rPr>
              <w:t>PHA3</w:t>
            </w:r>
          </w:p>
        </w:tc>
        <w:tc>
          <w:tcPr>
            <w:tcW w:w="1343" w:type="dxa"/>
          </w:tcPr>
          <w:p w14:paraId="3986723D" w14:textId="77777777" w:rsidR="001511BD" w:rsidRPr="005C575C" w:rsidRDefault="001511BD" w:rsidP="00050EA1">
            <w:pPr>
              <w:tabs>
                <w:tab w:val="left" w:pos="7170"/>
              </w:tabs>
              <w:spacing w:line="276" w:lineRule="auto"/>
              <w:jc w:val="center"/>
              <w:rPr>
                <w:rFonts w:ascii="Arial" w:hAnsi="Arial" w:cs="Arial"/>
                <w:b/>
                <w:sz w:val="20"/>
                <w:szCs w:val="20"/>
              </w:rPr>
            </w:pPr>
            <w:r w:rsidRPr="005C575C">
              <w:rPr>
                <w:rFonts w:ascii="Arial" w:hAnsi="Arial" w:cs="Arial"/>
                <w:b/>
                <w:sz w:val="20"/>
                <w:szCs w:val="20"/>
              </w:rPr>
              <w:t>PHA4</w:t>
            </w:r>
          </w:p>
        </w:tc>
        <w:tc>
          <w:tcPr>
            <w:tcW w:w="1343" w:type="dxa"/>
          </w:tcPr>
          <w:p w14:paraId="75D96766" w14:textId="77777777" w:rsidR="001511BD" w:rsidRPr="005C575C" w:rsidRDefault="001511BD" w:rsidP="00050EA1">
            <w:pPr>
              <w:tabs>
                <w:tab w:val="left" w:pos="7170"/>
              </w:tabs>
              <w:spacing w:line="276" w:lineRule="auto"/>
              <w:jc w:val="center"/>
              <w:rPr>
                <w:rFonts w:ascii="Arial" w:hAnsi="Arial" w:cs="Arial"/>
                <w:b/>
                <w:sz w:val="20"/>
                <w:szCs w:val="20"/>
              </w:rPr>
            </w:pPr>
            <w:r w:rsidRPr="005C575C">
              <w:rPr>
                <w:rFonts w:ascii="Arial" w:hAnsi="Arial" w:cs="Arial"/>
                <w:b/>
                <w:sz w:val="20"/>
                <w:szCs w:val="20"/>
              </w:rPr>
              <w:t>PHA5</w:t>
            </w:r>
          </w:p>
        </w:tc>
      </w:tr>
      <w:tr w:rsidR="001511BD" w:rsidRPr="005C575C" w14:paraId="56C77E59" w14:textId="77777777" w:rsidTr="00050EA1">
        <w:tc>
          <w:tcPr>
            <w:tcW w:w="2300" w:type="dxa"/>
          </w:tcPr>
          <w:p w14:paraId="051BE5E7"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Indole</w:t>
            </w:r>
          </w:p>
        </w:tc>
        <w:tc>
          <w:tcPr>
            <w:tcW w:w="1344" w:type="dxa"/>
          </w:tcPr>
          <w:p w14:paraId="1A4F81B9"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77304F8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367C629"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0F29DDC0"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42CD3D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0B82CD65" w14:textId="77777777" w:rsidTr="00050EA1">
        <w:trPr>
          <w:trHeight w:val="368"/>
        </w:trPr>
        <w:tc>
          <w:tcPr>
            <w:tcW w:w="2300" w:type="dxa"/>
          </w:tcPr>
          <w:p w14:paraId="3E4712B8" w14:textId="77777777" w:rsidR="001511BD" w:rsidRPr="005C575C" w:rsidRDefault="001511BD" w:rsidP="00050EA1">
            <w:pPr>
              <w:tabs>
                <w:tab w:val="left" w:pos="7170"/>
              </w:tabs>
              <w:spacing w:line="276" w:lineRule="auto"/>
              <w:rPr>
                <w:rFonts w:ascii="Arial" w:hAnsi="Arial" w:cs="Arial"/>
                <w:bCs/>
                <w:sz w:val="20"/>
                <w:szCs w:val="20"/>
              </w:rPr>
            </w:pPr>
            <w:r w:rsidRPr="005C575C">
              <w:rPr>
                <w:rFonts w:ascii="Arial" w:hAnsi="Arial" w:cs="Arial"/>
                <w:bCs/>
                <w:sz w:val="20"/>
                <w:szCs w:val="20"/>
              </w:rPr>
              <w:t xml:space="preserve">      Methyl red</w:t>
            </w:r>
          </w:p>
        </w:tc>
        <w:tc>
          <w:tcPr>
            <w:tcW w:w="1344" w:type="dxa"/>
          </w:tcPr>
          <w:p w14:paraId="47A5F66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44E9E9C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CB9C7B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E2F843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FEFBF17"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64663284" w14:textId="77777777" w:rsidTr="00050EA1">
        <w:tc>
          <w:tcPr>
            <w:tcW w:w="2300" w:type="dxa"/>
          </w:tcPr>
          <w:p w14:paraId="340E4EB8"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VP</w:t>
            </w:r>
          </w:p>
        </w:tc>
        <w:tc>
          <w:tcPr>
            <w:tcW w:w="1344" w:type="dxa"/>
          </w:tcPr>
          <w:p w14:paraId="23EEB71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7F1F94B"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8F57E39"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CF83197"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8934261"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60474FB9" w14:textId="77777777" w:rsidTr="00050EA1">
        <w:tc>
          <w:tcPr>
            <w:tcW w:w="2300" w:type="dxa"/>
          </w:tcPr>
          <w:p w14:paraId="3FACE36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Citrate</w:t>
            </w:r>
          </w:p>
        </w:tc>
        <w:tc>
          <w:tcPr>
            <w:tcW w:w="1344" w:type="dxa"/>
          </w:tcPr>
          <w:p w14:paraId="669C73AE"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B0EB9D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EFB7E70"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12E5DAA"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ACC0777"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6265B5A8" w14:textId="77777777" w:rsidTr="00050EA1">
        <w:tc>
          <w:tcPr>
            <w:tcW w:w="2300" w:type="dxa"/>
          </w:tcPr>
          <w:p w14:paraId="2ACA50D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Nitrate</w:t>
            </w:r>
          </w:p>
        </w:tc>
        <w:tc>
          <w:tcPr>
            <w:tcW w:w="1344" w:type="dxa"/>
          </w:tcPr>
          <w:p w14:paraId="2E8BF969"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4AEBF88D"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9AB1708"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39F77A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67BD40A4"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6CA89117" w14:textId="77777777" w:rsidTr="00050EA1">
        <w:tc>
          <w:tcPr>
            <w:tcW w:w="2300" w:type="dxa"/>
          </w:tcPr>
          <w:p w14:paraId="72F6E550"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Glucose</w:t>
            </w:r>
          </w:p>
        </w:tc>
        <w:tc>
          <w:tcPr>
            <w:tcW w:w="1344" w:type="dxa"/>
          </w:tcPr>
          <w:p w14:paraId="04C834DD"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0FA0AD1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221C5A84"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4C93EAA"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2775C8E4"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33D30E8C" w14:textId="77777777" w:rsidTr="00050EA1">
        <w:tc>
          <w:tcPr>
            <w:tcW w:w="2300" w:type="dxa"/>
          </w:tcPr>
          <w:p w14:paraId="19D31D6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Sucrose</w:t>
            </w:r>
          </w:p>
        </w:tc>
        <w:tc>
          <w:tcPr>
            <w:tcW w:w="1344" w:type="dxa"/>
          </w:tcPr>
          <w:p w14:paraId="531B268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3A1A810"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7BB94F4A"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0F23D627"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6CDB4AD7"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6CFEE45C" w14:textId="77777777" w:rsidTr="00050EA1">
        <w:tc>
          <w:tcPr>
            <w:tcW w:w="2300" w:type="dxa"/>
          </w:tcPr>
          <w:p w14:paraId="42E1CED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Lactose</w:t>
            </w:r>
          </w:p>
        </w:tc>
        <w:tc>
          <w:tcPr>
            <w:tcW w:w="1344" w:type="dxa"/>
          </w:tcPr>
          <w:p w14:paraId="6BC856CE"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7FB71B1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2E971DBE"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765CDA8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6337C148"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34980CD8" w14:textId="77777777" w:rsidTr="00050EA1">
        <w:trPr>
          <w:trHeight w:val="411"/>
        </w:trPr>
        <w:tc>
          <w:tcPr>
            <w:tcW w:w="2300" w:type="dxa"/>
          </w:tcPr>
          <w:p w14:paraId="098B8B4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Mannitol</w:t>
            </w:r>
          </w:p>
        </w:tc>
        <w:tc>
          <w:tcPr>
            <w:tcW w:w="1344" w:type="dxa"/>
          </w:tcPr>
          <w:p w14:paraId="496A94A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8D4D808"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87061D4"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4A65E15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418208CA"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4FBB0550" w14:textId="77777777" w:rsidTr="00050EA1">
        <w:tc>
          <w:tcPr>
            <w:tcW w:w="2300" w:type="dxa"/>
          </w:tcPr>
          <w:p w14:paraId="48317DAE"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H2S Production</w:t>
            </w:r>
          </w:p>
        </w:tc>
        <w:tc>
          <w:tcPr>
            <w:tcW w:w="1344" w:type="dxa"/>
          </w:tcPr>
          <w:p w14:paraId="2DAF536E"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A2066EC"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08193BE9"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4B1C1AC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03B586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4F738356" w14:textId="77777777" w:rsidTr="00050EA1">
        <w:tc>
          <w:tcPr>
            <w:tcW w:w="2300" w:type="dxa"/>
          </w:tcPr>
          <w:p w14:paraId="54C7BA1C"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Catalase</w:t>
            </w:r>
          </w:p>
        </w:tc>
        <w:tc>
          <w:tcPr>
            <w:tcW w:w="1344" w:type="dxa"/>
          </w:tcPr>
          <w:p w14:paraId="0D3B9B2B"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42BC6FAD"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2151C62"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0EEEC1F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78938C1F"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2265683F" w14:textId="77777777" w:rsidTr="00050EA1">
        <w:tc>
          <w:tcPr>
            <w:tcW w:w="2300" w:type="dxa"/>
          </w:tcPr>
          <w:p w14:paraId="1D8260AC"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Oxidase</w:t>
            </w:r>
          </w:p>
        </w:tc>
        <w:tc>
          <w:tcPr>
            <w:tcW w:w="1344" w:type="dxa"/>
          </w:tcPr>
          <w:p w14:paraId="2DC36593"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C1C8FFE"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2ECCEA14"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063CBCD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632520BA"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r w:rsidR="001511BD" w:rsidRPr="005C575C" w14:paraId="0677A8CC" w14:textId="77777777" w:rsidTr="00050EA1">
        <w:tc>
          <w:tcPr>
            <w:tcW w:w="2300" w:type="dxa"/>
          </w:tcPr>
          <w:p w14:paraId="275D0936"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Starch Hydrolysis</w:t>
            </w:r>
          </w:p>
        </w:tc>
        <w:tc>
          <w:tcPr>
            <w:tcW w:w="1344" w:type="dxa"/>
          </w:tcPr>
          <w:p w14:paraId="37372BAB"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A930ACC"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56121F7B"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104E96B1"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c>
          <w:tcPr>
            <w:tcW w:w="1343" w:type="dxa"/>
          </w:tcPr>
          <w:p w14:paraId="31F7B215" w14:textId="77777777" w:rsidR="001511BD" w:rsidRPr="005C575C" w:rsidRDefault="001511BD" w:rsidP="00050EA1">
            <w:pPr>
              <w:tabs>
                <w:tab w:val="left" w:pos="7170"/>
              </w:tabs>
              <w:spacing w:line="276" w:lineRule="auto"/>
              <w:jc w:val="center"/>
              <w:rPr>
                <w:rFonts w:ascii="Arial" w:hAnsi="Arial" w:cs="Arial"/>
                <w:bCs/>
                <w:sz w:val="20"/>
                <w:szCs w:val="20"/>
              </w:rPr>
            </w:pPr>
            <w:r w:rsidRPr="005C575C">
              <w:rPr>
                <w:rFonts w:ascii="Arial" w:hAnsi="Arial" w:cs="Arial"/>
                <w:bCs/>
                <w:sz w:val="20"/>
                <w:szCs w:val="20"/>
              </w:rPr>
              <w:t>-</w:t>
            </w:r>
          </w:p>
        </w:tc>
      </w:tr>
    </w:tbl>
    <w:p w14:paraId="4523E58E" w14:textId="77777777" w:rsidR="001511BD" w:rsidRDefault="001511BD" w:rsidP="00AD7CE7">
      <w:pPr>
        <w:spacing w:after="0" w:line="360" w:lineRule="auto"/>
        <w:jc w:val="both"/>
        <w:rPr>
          <w:rFonts w:ascii="Arial" w:hAnsi="Arial" w:cs="Arial"/>
          <w:b/>
          <w:bCs/>
        </w:rPr>
      </w:pPr>
    </w:p>
    <w:p w14:paraId="522AD8A8" w14:textId="77777777" w:rsidR="001511BD" w:rsidRDefault="001511BD" w:rsidP="00AD7CE7">
      <w:pPr>
        <w:spacing w:after="0" w:line="360" w:lineRule="auto"/>
        <w:jc w:val="both"/>
        <w:rPr>
          <w:rFonts w:ascii="Arial" w:hAnsi="Arial" w:cs="Arial"/>
          <w:b/>
          <w:bCs/>
        </w:rPr>
      </w:pPr>
    </w:p>
    <w:p w14:paraId="6DDAD631" w14:textId="77777777" w:rsidR="001511BD" w:rsidRDefault="001511BD" w:rsidP="00AD7CE7">
      <w:pPr>
        <w:spacing w:after="0" w:line="360" w:lineRule="auto"/>
        <w:jc w:val="both"/>
        <w:rPr>
          <w:rFonts w:ascii="Arial" w:hAnsi="Arial" w:cs="Arial"/>
          <w:b/>
          <w:bCs/>
        </w:rPr>
      </w:pPr>
    </w:p>
    <w:p w14:paraId="7184B3C8" w14:textId="77777777" w:rsidR="001511BD" w:rsidRDefault="001511BD" w:rsidP="00AD7CE7">
      <w:pPr>
        <w:spacing w:after="0" w:line="360" w:lineRule="auto"/>
        <w:jc w:val="both"/>
        <w:rPr>
          <w:rFonts w:ascii="Arial" w:hAnsi="Arial" w:cs="Arial"/>
          <w:b/>
          <w:bCs/>
        </w:rPr>
      </w:pPr>
    </w:p>
    <w:p w14:paraId="7C905F1A" w14:textId="77777777" w:rsidR="001511BD" w:rsidRDefault="001511BD" w:rsidP="00AD7CE7">
      <w:pPr>
        <w:spacing w:after="0" w:line="360" w:lineRule="auto"/>
        <w:jc w:val="both"/>
        <w:rPr>
          <w:rFonts w:ascii="Arial" w:hAnsi="Arial" w:cs="Arial"/>
          <w:b/>
          <w:bCs/>
        </w:rPr>
      </w:pPr>
    </w:p>
    <w:p w14:paraId="372355B6" w14:textId="77777777" w:rsidR="001511BD" w:rsidRDefault="001511BD" w:rsidP="00AD7CE7">
      <w:pPr>
        <w:spacing w:after="0" w:line="360" w:lineRule="auto"/>
        <w:jc w:val="both"/>
        <w:rPr>
          <w:rFonts w:ascii="Arial" w:hAnsi="Arial" w:cs="Arial"/>
          <w:b/>
          <w:bCs/>
        </w:rPr>
      </w:pPr>
    </w:p>
    <w:p w14:paraId="2B2D533A" w14:textId="499D6B1F" w:rsidR="000F6180" w:rsidRPr="00AD7CE7" w:rsidRDefault="00AD7CE7" w:rsidP="00AD7CE7">
      <w:pPr>
        <w:spacing w:after="0" w:line="360" w:lineRule="auto"/>
        <w:jc w:val="both"/>
        <w:rPr>
          <w:rFonts w:ascii="Arial" w:hAnsi="Arial" w:cs="Arial"/>
          <w:b/>
          <w:bCs/>
        </w:rPr>
      </w:pPr>
      <w:r w:rsidRPr="00AD7CE7">
        <w:rPr>
          <w:rFonts w:ascii="Arial" w:hAnsi="Arial" w:cs="Arial"/>
          <w:b/>
          <w:bCs/>
        </w:rPr>
        <w:t xml:space="preserve">3.2 </w:t>
      </w:r>
      <w:r w:rsidR="000F6180" w:rsidRPr="00AD7CE7">
        <w:rPr>
          <w:rFonts w:ascii="Arial" w:hAnsi="Arial" w:cs="Arial"/>
          <w:b/>
          <w:bCs/>
        </w:rPr>
        <w:t>16S rRNA Gene Sequence Analysis</w:t>
      </w:r>
    </w:p>
    <w:p w14:paraId="351EC237" w14:textId="564BC28B" w:rsidR="0019295B" w:rsidRPr="003F4ADB" w:rsidRDefault="007550A5" w:rsidP="00CD6370">
      <w:pPr>
        <w:spacing w:after="0" w:line="360" w:lineRule="auto"/>
        <w:ind w:firstLine="420"/>
        <w:jc w:val="both"/>
        <w:rPr>
          <w:rFonts w:ascii="Arial" w:hAnsi="Arial" w:cs="Arial"/>
          <w:sz w:val="20"/>
          <w:szCs w:val="20"/>
        </w:rPr>
      </w:pPr>
      <w:r w:rsidRPr="003F4ADB">
        <w:rPr>
          <w:rFonts w:ascii="Arial" w:hAnsi="Arial" w:cs="Arial"/>
          <w:bCs/>
          <w:sz w:val="20"/>
          <w:szCs w:val="20"/>
        </w:rPr>
        <w:t xml:space="preserve">The molecular identification of the </w:t>
      </w:r>
      <w:r w:rsidR="001C5B92" w:rsidRPr="003F4ADB">
        <w:rPr>
          <w:rFonts w:ascii="Arial" w:hAnsi="Arial" w:cs="Arial"/>
          <w:bCs/>
          <w:sz w:val="20"/>
          <w:szCs w:val="20"/>
        </w:rPr>
        <w:t>PHA</w:t>
      </w:r>
      <w:r w:rsidRPr="003F4ADB">
        <w:rPr>
          <w:rFonts w:ascii="Arial" w:hAnsi="Arial" w:cs="Arial"/>
          <w:bCs/>
          <w:sz w:val="20"/>
          <w:szCs w:val="20"/>
        </w:rPr>
        <w:t xml:space="preserve">-producing bacterial isolates was performed through amplification and sequencing of the 16S rRNA gene. The nearly full-length 16S rRNA sequences obtained for the isolates </w:t>
      </w:r>
      <w:r w:rsidRPr="00AD7CE7">
        <w:rPr>
          <w:rFonts w:ascii="Arial" w:hAnsi="Arial" w:cs="Arial"/>
          <w:sz w:val="20"/>
          <w:szCs w:val="20"/>
        </w:rPr>
        <w:t>24B110_358_</w:t>
      </w:r>
      <w:r w:rsidR="001C5B92" w:rsidRPr="00AD7CE7">
        <w:rPr>
          <w:rFonts w:ascii="Arial" w:hAnsi="Arial" w:cs="Arial"/>
          <w:sz w:val="20"/>
          <w:szCs w:val="20"/>
        </w:rPr>
        <w:t>PHA</w:t>
      </w:r>
      <w:r w:rsidRPr="00AD7CE7">
        <w:rPr>
          <w:rFonts w:ascii="Arial" w:hAnsi="Arial" w:cs="Arial"/>
          <w:sz w:val="20"/>
          <w:szCs w:val="20"/>
        </w:rPr>
        <w:t>_1, 24B110_359_</w:t>
      </w:r>
      <w:r w:rsidR="001C5B92" w:rsidRPr="00AD7CE7">
        <w:rPr>
          <w:rFonts w:ascii="Arial" w:hAnsi="Arial" w:cs="Arial"/>
          <w:sz w:val="20"/>
          <w:szCs w:val="20"/>
        </w:rPr>
        <w:t>PHA</w:t>
      </w:r>
      <w:r w:rsidRPr="00AD7CE7">
        <w:rPr>
          <w:rFonts w:ascii="Arial" w:hAnsi="Arial" w:cs="Arial"/>
          <w:sz w:val="20"/>
          <w:szCs w:val="20"/>
        </w:rPr>
        <w:t>_2, and 24B110_360_</w:t>
      </w:r>
      <w:r w:rsidR="001C5B92" w:rsidRPr="00AD7CE7">
        <w:rPr>
          <w:rFonts w:ascii="Arial" w:hAnsi="Arial" w:cs="Arial"/>
          <w:sz w:val="20"/>
          <w:szCs w:val="20"/>
        </w:rPr>
        <w:t>PHA</w:t>
      </w:r>
      <w:r w:rsidRPr="00AD7CE7">
        <w:rPr>
          <w:rFonts w:ascii="Arial" w:hAnsi="Arial" w:cs="Arial"/>
          <w:sz w:val="20"/>
          <w:szCs w:val="20"/>
        </w:rPr>
        <w:t>_3</w:t>
      </w:r>
      <w:r w:rsidRPr="003F4ADB">
        <w:rPr>
          <w:rFonts w:ascii="Arial" w:hAnsi="Arial" w:cs="Arial"/>
          <w:bCs/>
          <w:sz w:val="20"/>
          <w:szCs w:val="20"/>
        </w:rPr>
        <w:t xml:space="preserve"> are provided below in FASTA format</w:t>
      </w:r>
      <w:r w:rsidR="00225C16" w:rsidRPr="003F4ADB">
        <w:rPr>
          <w:rFonts w:ascii="Arial" w:hAnsi="Arial" w:cs="Arial"/>
          <w:bCs/>
          <w:sz w:val="20"/>
          <w:szCs w:val="20"/>
        </w:rPr>
        <w:t xml:space="preserve">, as shown in Figure 3. </w:t>
      </w:r>
      <w:r w:rsidRPr="003F4ADB">
        <w:rPr>
          <w:rFonts w:ascii="Arial" w:hAnsi="Arial" w:cs="Arial"/>
          <w:bCs/>
          <w:sz w:val="20"/>
          <w:szCs w:val="20"/>
        </w:rPr>
        <w:t>These sequences were used for BLAST-based taxonomic identification and phylogenetic analysis.</w:t>
      </w:r>
      <w:r w:rsidR="000F6180" w:rsidRPr="003F4ADB">
        <w:rPr>
          <w:rFonts w:ascii="Arial" w:hAnsi="Arial" w:cs="Arial"/>
          <w:bCs/>
          <w:sz w:val="20"/>
          <w:szCs w:val="20"/>
        </w:rPr>
        <w:t xml:space="preserve"> </w:t>
      </w:r>
      <w:r w:rsidRPr="003F4ADB">
        <w:rPr>
          <w:rFonts w:ascii="Arial" w:hAnsi="Arial" w:cs="Arial"/>
          <w:sz w:val="20"/>
          <w:szCs w:val="20"/>
        </w:rPr>
        <w:t>The obtained sequence was compared against the NCBI database using the Basic Local Alignment Search Tool (BLAST) (Altschul et al., 1990) and aligned using MUSCLE (Edgar, 2004). Phylogenetic analysis using software such as MEGA11 (Tamura et al., 2021)</w:t>
      </w:r>
      <w:r w:rsidR="00225C16" w:rsidRPr="003F4ADB">
        <w:rPr>
          <w:rFonts w:ascii="Arial" w:hAnsi="Arial" w:cs="Arial"/>
          <w:sz w:val="20"/>
          <w:szCs w:val="20"/>
        </w:rPr>
        <w:t>.</w:t>
      </w:r>
    </w:p>
    <w:p w14:paraId="6CDAA5A5" w14:textId="6EB83AB3" w:rsidR="009B06DE" w:rsidRPr="003F4ADB" w:rsidRDefault="009B06DE" w:rsidP="00220E7A">
      <w:pPr>
        <w:spacing w:after="0" w:line="360" w:lineRule="auto"/>
        <w:ind w:firstLine="720"/>
        <w:jc w:val="both"/>
        <w:rPr>
          <w:rFonts w:ascii="Arial" w:hAnsi="Arial" w:cs="Arial"/>
          <w:sz w:val="20"/>
          <w:szCs w:val="20"/>
        </w:rPr>
      </w:pPr>
      <w:r w:rsidRPr="003F4ADB">
        <w:rPr>
          <w:rFonts w:ascii="Arial" w:hAnsi="Arial" w:cs="Arial"/>
          <w:sz w:val="20"/>
          <w:szCs w:val="20"/>
        </w:rPr>
        <w:t>Molecular identification, using 16S rRNA gene sequencing and subsequent closest-match BLAST analysis, confirmed that all three Polyhydroxybutyrate (</w:t>
      </w:r>
      <w:r w:rsidR="001C5B92" w:rsidRPr="003F4ADB">
        <w:rPr>
          <w:rFonts w:ascii="Arial" w:hAnsi="Arial" w:cs="Arial"/>
          <w:sz w:val="20"/>
          <w:szCs w:val="20"/>
        </w:rPr>
        <w:t>PHA</w:t>
      </w:r>
      <w:r w:rsidRPr="003F4ADB">
        <w:rPr>
          <w:rFonts w:ascii="Arial" w:hAnsi="Arial" w:cs="Arial"/>
          <w:sz w:val="20"/>
          <w:szCs w:val="20"/>
        </w:rPr>
        <w:t xml:space="preserve">)-producing isolates belong to the highly conserved Bacillus </w:t>
      </w:r>
      <w:r w:rsidRPr="003F4ADB">
        <w:rPr>
          <w:rFonts w:ascii="Arial" w:hAnsi="Arial" w:cs="Arial"/>
          <w:i/>
          <w:iCs/>
          <w:sz w:val="20"/>
          <w:szCs w:val="20"/>
        </w:rPr>
        <w:t>cereus</w:t>
      </w:r>
      <w:r w:rsidRPr="003F4ADB">
        <w:rPr>
          <w:rFonts w:ascii="Arial" w:hAnsi="Arial" w:cs="Arial"/>
          <w:sz w:val="20"/>
          <w:szCs w:val="20"/>
        </w:rPr>
        <w:t xml:space="preserve"> sensu lato complex (Altschul et al., 1990; Quast et al., 2013</w:t>
      </w:r>
      <w:proofErr w:type="gramStart"/>
      <w:r w:rsidRPr="003F4ADB">
        <w:rPr>
          <w:rFonts w:ascii="Arial" w:hAnsi="Arial" w:cs="Arial"/>
          <w:sz w:val="20"/>
          <w:szCs w:val="20"/>
        </w:rPr>
        <w:t>).Phylogenetic</w:t>
      </w:r>
      <w:proofErr w:type="gramEnd"/>
      <w:r w:rsidRPr="003F4ADB">
        <w:rPr>
          <w:rFonts w:ascii="Arial" w:hAnsi="Arial" w:cs="Arial"/>
          <w:sz w:val="20"/>
          <w:szCs w:val="20"/>
        </w:rPr>
        <w:t xml:space="preserve"> analysis, constructed using the Maximum Likelihood method, further delineated the taxonomic placement of the isolates</w:t>
      </w:r>
      <w:r w:rsidR="00760702" w:rsidRPr="003F4ADB">
        <w:rPr>
          <w:rFonts w:ascii="Arial" w:hAnsi="Arial" w:cs="Arial"/>
          <w:sz w:val="20"/>
          <w:szCs w:val="20"/>
        </w:rPr>
        <w:t xml:space="preserve"> as shown in Figures </w:t>
      </w:r>
      <w:r w:rsidR="005C575C">
        <w:rPr>
          <w:rFonts w:ascii="Arial" w:hAnsi="Arial" w:cs="Arial"/>
          <w:sz w:val="20"/>
          <w:szCs w:val="20"/>
        </w:rPr>
        <w:t>3,4</w:t>
      </w:r>
      <w:r w:rsidR="00CD6370">
        <w:rPr>
          <w:rFonts w:ascii="Arial" w:hAnsi="Arial" w:cs="Arial"/>
          <w:sz w:val="20"/>
          <w:szCs w:val="20"/>
        </w:rPr>
        <w:t xml:space="preserve">,5 and Table </w:t>
      </w:r>
      <w:r w:rsidR="009D7A56">
        <w:rPr>
          <w:rFonts w:ascii="Arial" w:hAnsi="Arial" w:cs="Arial"/>
          <w:sz w:val="20"/>
          <w:szCs w:val="20"/>
        </w:rPr>
        <w:t xml:space="preserve">No. </w:t>
      </w:r>
      <w:r w:rsidR="00CD6370">
        <w:rPr>
          <w:rFonts w:ascii="Arial" w:hAnsi="Arial" w:cs="Arial"/>
          <w:sz w:val="20"/>
          <w:szCs w:val="20"/>
        </w:rPr>
        <w:t xml:space="preserve">3. </w:t>
      </w:r>
    </w:p>
    <w:p w14:paraId="1D506F16" w14:textId="349D0A2A" w:rsidR="00AF4094" w:rsidRPr="003F4ADB" w:rsidRDefault="009B06DE" w:rsidP="00220E7A">
      <w:pPr>
        <w:spacing w:after="0" w:line="360" w:lineRule="auto"/>
        <w:ind w:firstLine="720"/>
        <w:jc w:val="both"/>
        <w:rPr>
          <w:rFonts w:ascii="Arial" w:hAnsi="Arial" w:cs="Arial"/>
          <w:sz w:val="20"/>
          <w:szCs w:val="20"/>
        </w:rPr>
      </w:pPr>
      <w:r w:rsidRPr="003F4ADB">
        <w:rPr>
          <w:rFonts w:ascii="Arial" w:hAnsi="Arial" w:cs="Arial"/>
          <w:sz w:val="20"/>
          <w:szCs w:val="20"/>
        </w:rPr>
        <w:t xml:space="preserve">Isolates </w:t>
      </w:r>
      <w:r w:rsidR="001C5B92" w:rsidRPr="003F4ADB">
        <w:rPr>
          <w:rFonts w:ascii="Arial" w:hAnsi="Arial" w:cs="Arial"/>
          <w:sz w:val="20"/>
          <w:szCs w:val="20"/>
        </w:rPr>
        <w:t>PHA</w:t>
      </w:r>
      <w:r w:rsidRPr="003F4ADB">
        <w:rPr>
          <w:rFonts w:ascii="Arial" w:hAnsi="Arial" w:cs="Arial"/>
          <w:sz w:val="20"/>
          <w:szCs w:val="20"/>
        </w:rPr>
        <w:t xml:space="preserve">-1 (HM Code: 24B110_358) and </w:t>
      </w:r>
      <w:r w:rsidR="001C5B92" w:rsidRPr="003F4ADB">
        <w:rPr>
          <w:rFonts w:ascii="Arial" w:hAnsi="Arial" w:cs="Arial"/>
          <w:sz w:val="20"/>
          <w:szCs w:val="20"/>
        </w:rPr>
        <w:t>PHA</w:t>
      </w:r>
      <w:r w:rsidRPr="003F4ADB">
        <w:rPr>
          <w:rFonts w:ascii="Arial" w:hAnsi="Arial" w:cs="Arial"/>
          <w:sz w:val="20"/>
          <w:szCs w:val="20"/>
        </w:rPr>
        <w:t xml:space="preserve">-2 (HM Code: 24B110_359) consistently clustered with reference strains of </w:t>
      </w:r>
      <w:r w:rsidRPr="003F4ADB">
        <w:rPr>
          <w:rFonts w:ascii="Arial" w:hAnsi="Arial" w:cs="Arial"/>
          <w:i/>
          <w:iCs/>
          <w:sz w:val="20"/>
          <w:szCs w:val="20"/>
        </w:rPr>
        <w:t xml:space="preserve">Bacillus </w:t>
      </w:r>
      <w:proofErr w:type="spellStart"/>
      <w:r w:rsidRPr="003F4ADB">
        <w:rPr>
          <w:rFonts w:ascii="Arial" w:hAnsi="Arial" w:cs="Arial"/>
          <w:i/>
          <w:iCs/>
          <w:sz w:val="20"/>
          <w:szCs w:val="20"/>
        </w:rPr>
        <w:t>paramycoides</w:t>
      </w:r>
      <w:proofErr w:type="spellEnd"/>
      <w:r w:rsidRPr="003F4ADB">
        <w:rPr>
          <w:rFonts w:ascii="Arial" w:hAnsi="Arial" w:cs="Arial"/>
          <w:sz w:val="20"/>
          <w:szCs w:val="20"/>
        </w:rPr>
        <w:t xml:space="preserve">. </w:t>
      </w:r>
      <w:r w:rsidR="001C5B92" w:rsidRPr="003F4ADB">
        <w:rPr>
          <w:rFonts w:ascii="Arial" w:hAnsi="Arial" w:cs="Arial"/>
          <w:sz w:val="20"/>
          <w:szCs w:val="20"/>
        </w:rPr>
        <w:t>PHA</w:t>
      </w:r>
      <w:r w:rsidRPr="003F4ADB">
        <w:rPr>
          <w:rFonts w:ascii="Arial" w:hAnsi="Arial" w:cs="Arial"/>
          <w:sz w:val="20"/>
          <w:szCs w:val="20"/>
        </w:rPr>
        <w:t xml:space="preserve">-1 showed the highest sequence similarity to </w:t>
      </w:r>
      <w:r w:rsidRPr="003F4ADB">
        <w:rPr>
          <w:rFonts w:ascii="Arial" w:hAnsi="Arial" w:cs="Arial"/>
          <w:i/>
          <w:iCs/>
          <w:sz w:val="20"/>
          <w:szCs w:val="20"/>
        </w:rPr>
        <w:t xml:space="preserve">B. </w:t>
      </w:r>
      <w:proofErr w:type="spellStart"/>
      <w:r w:rsidRPr="003F4ADB">
        <w:rPr>
          <w:rFonts w:ascii="Arial" w:hAnsi="Arial" w:cs="Arial"/>
          <w:i/>
          <w:iCs/>
          <w:sz w:val="20"/>
          <w:szCs w:val="20"/>
        </w:rPr>
        <w:t>paramycoides</w:t>
      </w:r>
      <w:proofErr w:type="spellEnd"/>
      <w:r w:rsidRPr="003F4ADB">
        <w:rPr>
          <w:rFonts w:ascii="Arial" w:hAnsi="Arial" w:cs="Arial"/>
          <w:sz w:val="20"/>
          <w:szCs w:val="20"/>
        </w:rPr>
        <w:t xml:space="preserve"> (Accession: MH900215), and </w:t>
      </w:r>
      <w:r w:rsidR="001C5B92" w:rsidRPr="003F4ADB">
        <w:rPr>
          <w:rFonts w:ascii="Arial" w:hAnsi="Arial" w:cs="Arial"/>
          <w:sz w:val="20"/>
          <w:szCs w:val="20"/>
        </w:rPr>
        <w:t>PHA</w:t>
      </w:r>
      <w:r w:rsidRPr="003F4ADB">
        <w:rPr>
          <w:rFonts w:ascii="Arial" w:hAnsi="Arial" w:cs="Arial"/>
          <w:sz w:val="20"/>
          <w:szCs w:val="20"/>
        </w:rPr>
        <w:t xml:space="preserve">-2 demonstrated its closest sequence identity to </w:t>
      </w:r>
      <w:r w:rsidRPr="003F4ADB">
        <w:rPr>
          <w:rFonts w:ascii="Arial" w:hAnsi="Arial" w:cs="Arial"/>
          <w:i/>
          <w:iCs/>
          <w:sz w:val="20"/>
          <w:szCs w:val="20"/>
        </w:rPr>
        <w:t xml:space="preserve">B. </w:t>
      </w:r>
      <w:proofErr w:type="spellStart"/>
      <w:r w:rsidRPr="003F4ADB">
        <w:rPr>
          <w:rFonts w:ascii="Arial" w:hAnsi="Arial" w:cs="Arial"/>
          <w:i/>
          <w:iCs/>
          <w:sz w:val="20"/>
          <w:szCs w:val="20"/>
        </w:rPr>
        <w:t>paramycoides</w:t>
      </w:r>
      <w:proofErr w:type="spellEnd"/>
      <w:r w:rsidRPr="003F4ADB">
        <w:rPr>
          <w:rFonts w:ascii="Arial" w:hAnsi="Arial" w:cs="Arial"/>
          <w:sz w:val="20"/>
          <w:szCs w:val="20"/>
        </w:rPr>
        <w:t xml:space="preserve"> (Accession: MH100693). The strong clustering of these two isolates within the </w:t>
      </w:r>
      <w:r w:rsidRPr="003F4ADB">
        <w:rPr>
          <w:rFonts w:ascii="Arial" w:hAnsi="Arial" w:cs="Arial"/>
          <w:i/>
          <w:iCs/>
          <w:sz w:val="20"/>
          <w:szCs w:val="20"/>
        </w:rPr>
        <w:t>Bacillus</w:t>
      </w:r>
      <w:r w:rsidRPr="003F4ADB">
        <w:rPr>
          <w:rFonts w:ascii="Arial" w:hAnsi="Arial" w:cs="Arial"/>
          <w:sz w:val="20"/>
          <w:szCs w:val="20"/>
        </w:rPr>
        <w:t xml:space="preserve"> </w:t>
      </w:r>
      <w:proofErr w:type="spellStart"/>
      <w:r w:rsidRPr="003F4ADB">
        <w:rPr>
          <w:rFonts w:ascii="Arial" w:hAnsi="Arial" w:cs="Arial"/>
          <w:i/>
          <w:iCs/>
          <w:sz w:val="20"/>
          <w:szCs w:val="20"/>
        </w:rPr>
        <w:t>aramycoides</w:t>
      </w:r>
      <w:proofErr w:type="spellEnd"/>
      <w:r w:rsidRPr="003F4ADB">
        <w:rPr>
          <w:rFonts w:ascii="Arial" w:hAnsi="Arial" w:cs="Arial"/>
          <w:sz w:val="20"/>
          <w:szCs w:val="20"/>
        </w:rPr>
        <w:t xml:space="preserve"> and </w:t>
      </w:r>
      <w:r w:rsidRPr="003F4ADB">
        <w:rPr>
          <w:rFonts w:ascii="Arial" w:hAnsi="Arial" w:cs="Arial"/>
          <w:i/>
          <w:iCs/>
          <w:sz w:val="20"/>
          <w:szCs w:val="20"/>
        </w:rPr>
        <w:t xml:space="preserve">Bacillus </w:t>
      </w:r>
      <w:proofErr w:type="spellStart"/>
      <w:r w:rsidRPr="003F4ADB">
        <w:rPr>
          <w:rFonts w:ascii="Arial" w:hAnsi="Arial" w:cs="Arial"/>
          <w:i/>
          <w:iCs/>
          <w:sz w:val="20"/>
          <w:szCs w:val="20"/>
        </w:rPr>
        <w:t>tropicus</w:t>
      </w:r>
      <w:proofErr w:type="spellEnd"/>
      <w:r w:rsidRPr="003F4ADB">
        <w:rPr>
          <w:rFonts w:ascii="Arial" w:hAnsi="Arial" w:cs="Arial"/>
          <w:sz w:val="20"/>
          <w:szCs w:val="20"/>
        </w:rPr>
        <w:t xml:space="preserve"> clade strongly supports their affiliation with the </w:t>
      </w:r>
      <w:r w:rsidRPr="003F4ADB">
        <w:rPr>
          <w:rFonts w:ascii="Arial" w:hAnsi="Arial" w:cs="Arial"/>
          <w:i/>
          <w:iCs/>
          <w:sz w:val="20"/>
          <w:szCs w:val="20"/>
        </w:rPr>
        <w:t xml:space="preserve">B. </w:t>
      </w:r>
      <w:proofErr w:type="spellStart"/>
      <w:r w:rsidRPr="003F4ADB">
        <w:rPr>
          <w:rFonts w:ascii="Arial" w:hAnsi="Arial" w:cs="Arial"/>
          <w:i/>
          <w:iCs/>
          <w:sz w:val="20"/>
          <w:szCs w:val="20"/>
        </w:rPr>
        <w:t>paramycoides</w:t>
      </w:r>
      <w:proofErr w:type="spellEnd"/>
      <w:r w:rsidRPr="003F4ADB">
        <w:rPr>
          <w:rFonts w:ascii="Arial" w:hAnsi="Arial" w:cs="Arial"/>
          <w:sz w:val="20"/>
          <w:szCs w:val="20"/>
        </w:rPr>
        <w:t xml:space="preserve"> lineage </w:t>
      </w:r>
      <w:r w:rsidRPr="003F4ADB">
        <w:rPr>
          <w:rFonts w:ascii="Arial" w:hAnsi="Arial" w:cs="Arial"/>
          <w:sz w:val="20"/>
          <w:szCs w:val="20"/>
        </w:rPr>
        <w:lastRenderedPageBreak/>
        <w:t>(</w:t>
      </w:r>
      <w:proofErr w:type="spellStart"/>
      <w:r w:rsidRPr="003F4ADB">
        <w:rPr>
          <w:rFonts w:ascii="Arial" w:hAnsi="Arial" w:cs="Arial"/>
          <w:sz w:val="20"/>
          <w:szCs w:val="20"/>
        </w:rPr>
        <w:t>Mozejko-Czekaj</w:t>
      </w:r>
      <w:proofErr w:type="spellEnd"/>
      <w:r w:rsidRPr="003F4ADB">
        <w:rPr>
          <w:rFonts w:ascii="Arial" w:hAnsi="Arial" w:cs="Arial"/>
          <w:sz w:val="20"/>
          <w:szCs w:val="20"/>
        </w:rPr>
        <w:t xml:space="preserve"> et al., 2020</w:t>
      </w:r>
      <w:proofErr w:type="gramStart"/>
      <w:r w:rsidRPr="003F4ADB">
        <w:rPr>
          <w:rFonts w:ascii="Arial" w:hAnsi="Arial" w:cs="Arial"/>
          <w:sz w:val="20"/>
          <w:szCs w:val="20"/>
        </w:rPr>
        <w:t>).In</w:t>
      </w:r>
      <w:proofErr w:type="gramEnd"/>
      <w:r w:rsidRPr="003F4ADB">
        <w:rPr>
          <w:rFonts w:ascii="Arial" w:hAnsi="Arial" w:cs="Arial"/>
          <w:sz w:val="20"/>
          <w:szCs w:val="20"/>
        </w:rPr>
        <w:t xml:space="preserve"> contrast, Isolate </w:t>
      </w:r>
      <w:r w:rsidR="001C5B92" w:rsidRPr="003F4ADB">
        <w:rPr>
          <w:rFonts w:ascii="Arial" w:hAnsi="Arial" w:cs="Arial"/>
          <w:sz w:val="20"/>
          <w:szCs w:val="20"/>
        </w:rPr>
        <w:t>PHA</w:t>
      </w:r>
      <w:r w:rsidRPr="003F4ADB">
        <w:rPr>
          <w:rFonts w:ascii="Arial" w:hAnsi="Arial" w:cs="Arial"/>
          <w:sz w:val="20"/>
          <w:szCs w:val="20"/>
        </w:rPr>
        <w:t xml:space="preserve">-3 (HM Code: 24B110_360) formed a distinct and separate branch within the </w:t>
      </w:r>
      <w:r w:rsidRPr="003F4ADB">
        <w:rPr>
          <w:rFonts w:ascii="Arial" w:hAnsi="Arial" w:cs="Arial"/>
          <w:i/>
          <w:iCs/>
          <w:sz w:val="20"/>
          <w:szCs w:val="20"/>
        </w:rPr>
        <w:t>Bacillus cereus</w:t>
      </w:r>
      <w:r w:rsidRPr="003F4ADB">
        <w:rPr>
          <w:rFonts w:ascii="Arial" w:hAnsi="Arial" w:cs="Arial"/>
          <w:sz w:val="20"/>
          <w:szCs w:val="20"/>
        </w:rPr>
        <w:t xml:space="preserve"> clade. Its maximum sequence similarity was recorded for </w:t>
      </w:r>
      <w:r w:rsidRPr="003F4ADB">
        <w:rPr>
          <w:rFonts w:ascii="Arial" w:hAnsi="Arial" w:cs="Arial"/>
          <w:i/>
          <w:iCs/>
          <w:sz w:val="20"/>
          <w:szCs w:val="20"/>
        </w:rPr>
        <w:t>Bacillus cereus</w:t>
      </w:r>
      <w:r w:rsidRPr="003F4ADB">
        <w:rPr>
          <w:rFonts w:ascii="Arial" w:hAnsi="Arial" w:cs="Arial"/>
          <w:sz w:val="20"/>
          <w:szCs w:val="20"/>
        </w:rPr>
        <w:t xml:space="preserve"> (Accession: GQ406846). </w:t>
      </w:r>
      <w:r w:rsidR="001C5B92" w:rsidRPr="003F4ADB">
        <w:rPr>
          <w:rFonts w:ascii="Arial" w:hAnsi="Arial" w:cs="Arial"/>
          <w:sz w:val="20"/>
          <w:szCs w:val="20"/>
        </w:rPr>
        <w:t>PHA</w:t>
      </w:r>
      <w:r w:rsidRPr="003F4ADB">
        <w:rPr>
          <w:rFonts w:ascii="Arial" w:hAnsi="Arial" w:cs="Arial"/>
          <w:sz w:val="20"/>
          <w:szCs w:val="20"/>
        </w:rPr>
        <w:t>-3’s consistent grouping with reference strains of</w:t>
      </w:r>
      <w:r w:rsidR="0055367E" w:rsidRPr="003F4ADB">
        <w:rPr>
          <w:rFonts w:ascii="Arial" w:hAnsi="Arial" w:cs="Arial"/>
          <w:sz w:val="20"/>
          <w:szCs w:val="20"/>
        </w:rPr>
        <w:t xml:space="preserve"> </w:t>
      </w:r>
      <w:r w:rsidR="0055367E" w:rsidRPr="003F4ADB">
        <w:rPr>
          <w:rFonts w:ascii="Arial" w:hAnsi="Arial" w:cs="Arial"/>
          <w:i/>
          <w:iCs/>
          <w:sz w:val="20"/>
          <w:szCs w:val="20"/>
        </w:rPr>
        <w:t xml:space="preserve">Bacillus </w:t>
      </w:r>
      <w:r w:rsidRPr="003F4ADB">
        <w:rPr>
          <w:rFonts w:ascii="Arial" w:hAnsi="Arial" w:cs="Arial"/>
          <w:i/>
          <w:iCs/>
          <w:sz w:val="20"/>
          <w:szCs w:val="20"/>
        </w:rPr>
        <w:t>cereus</w:t>
      </w:r>
      <w:r w:rsidRPr="003F4ADB">
        <w:rPr>
          <w:rFonts w:ascii="Arial" w:hAnsi="Arial" w:cs="Arial"/>
          <w:sz w:val="20"/>
          <w:szCs w:val="20"/>
        </w:rPr>
        <w:t xml:space="preserve"> and </w:t>
      </w:r>
      <w:r w:rsidR="0055367E" w:rsidRPr="003F4ADB">
        <w:rPr>
          <w:rFonts w:ascii="Arial" w:hAnsi="Arial" w:cs="Arial"/>
          <w:i/>
          <w:iCs/>
          <w:sz w:val="20"/>
          <w:szCs w:val="20"/>
        </w:rPr>
        <w:t>Bacillus thuringiensis</w:t>
      </w:r>
      <w:r w:rsidRPr="003F4ADB">
        <w:rPr>
          <w:rFonts w:ascii="Arial" w:hAnsi="Arial" w:cs="Arial"/>
          <w:sz w:val="20"/>
          <w:szCs w:val="20"/>
        </w:rPr>
        <w:t xml:space="preserve"> confirms its strong affiliation with the </w:t>
      </w:r>
      <w:r w:rsidR="00FE5FE5" w:rsidRPr="003F4ADB">
        <w:rPr>
          <w:rFonts w:ascii="Arial" w:hAnsi="Arial" w:cs="Arial"/>
          <w:i/>
          <w:iCs/>
          <w:sz w:val="20"/>
          <w:szCs w:val="20"/>
        </w:rPr>
        <w:t>Bacillus</w:t>
      </w:r>
      <w:r w:rsidRPr="003F4ADB">
        <w:rPr>
          <w:rFonts w:ascii="Arial" w:hAnsi="Arial" w:cs="Arial"/>
          <w:i/>
          <w:iCs/>
          <w:sz w:val="20"/>
          <w:szCs w:val="20"/>
        </w:rPr>
        <w:t xml:space="preserve"> cereus</w:t>
      </w:r>
      <w:r w:rsidR="00FE5FE5" w:rsidRPr="003F4ADB">
        <w:rPr>
          <w:rFonts w:ascii="Arial" w:hAnsi="Arial" w:cs="Arial"/>
          <w:sz w:val="20"/>
          <w:szCs w:val="20"/>
        </w:rPr>
        <w:t xml:space="preserve"> evolutionary branch</w:t>
      </w:r>
      <w:r w:rsidRPr="003F4ADB">
        <w:rPr>
          <w:rFonts w:ascii="Arial" w:hAnsi="Arial" w:cs="Arial"/>
          <w:sz w:val="20"/>
          <w:szCs w:val="20"/>
        </w:rPr>
        <w:t>.</w:t>
      </w:r>
    </w:p>
    <w:p w14:paraId="65D2C5C9" w14:textId="664594DA" w:rsidR="009B06DE" w:rsidRPr="003F4ADB" w:rsidRDefault="009B06DE"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Overall, the combined molecular data from both sequence similarity and phylogenetic tree topology confirm that </w:t>
      </w:r>
      <w:r w:rsidR="001C5B92" w:rsidRPr="003F4ADB">
        <w:rPr>
          <w:rFonts w:ascii="Arial" w:hAnsi="Arial" w:cs="Arial"/>
          <w:sz w:val="20"/>
          <w:szCs w:val="20"/>
        </w:rPr>
        <w:t>PHA</w:t>
      </w:r>
      <w:r w:rsidRPr="003F4ADB">
        <w:rPr>
          <w:rFonts w:ascii="Arial" w:hAnsi="Arial" w:cs="Arial"/>
          <w:sz w:val="20"/>
          <w:szCs w:val="20"/>
        </w:rPr>
        <w:t xml:space="preserve">-1 and </w:t>
      </w:r>
      <w:r w:rsidR="001C5B92" w:rsidRPr="003F4ADB">
        <w:rPr>
          <w:rFonts w:ascii="Arial" w:hAnsi="Arial" w:cs="Arial"/>
          <w:sz w:val="20"/>
          <w:szCs w:val="20"/>
        </w:rPr>
        <w:t>PHA</w:t>
      </w:r>
      <w:r w:rsidRPr="003F4ADB">
        <w:rPr>
          <w:rFonts w:ascii="Arial" w:hAnsi="Arial" w:cs="Arial"/>
          <w:sz w:val="20"/>
          <w:szCs w:val="20"/>
        </w:rPr>
        <w:t xml:space="preserve">-2 are closely related to </w:t>
      </w:r>
      <w:r w:rsidRPr="003F4ADB">
        <w:rPr>
          <w:rFonts w:ascii="Arial" w:hAnsi="Arial" w:cs="Arial"/>
          <w:i/>
          <w:iCs/>
          <w:sz w:val="20"/>
          <w:szCs w:val="20"/>
        </w:rPr>
        <w:t xml:space="preserve">Bacillus </w:t>
      </w:r>
      <w:proofErr w:type="spellStart"/>
      <w:r w:rsidRPr="003F4ADB">
        <w:rPr>
          <w:rFonts w:ascii="Arial" w:hAnsi="Arial" w:cs="Arial"/>
          <w:i/>
          <w:iCs/>
          <w:sz w:val="20"/>
          <w:szCs w:val="20"/>
        </w:rPr>
        <w:t>paramycoides</w:t>
      </w:r>
      <w:proofErr w:type="spellEnd"/>
      <w:r w:rsidRPr="003F4ADB">
        <w:rPr>
          <w:rFonts w:ascii="Arial" w:hAnsi="Arial" w:cs="Arial"/>
          <w:sz w:val="20"/>
          <w:szCs w:val="20"/>
        </w:rPr>
        <w:t xml:space="preserve">, while </w:t>
      </w:r>
      <w:r w:rsidR="001C5B92" w:rsidRPr="003F4ADB">
        <w:rPr>
          <w:rFonts w:ascii="Arial" w:hAnsi="Arial" w:cs="Arial"/>
          <w:sz w:val="20"/>
          <w:szCs w:val="20"/>
        </w:rPr>
        <w:t>PHA</w:t>
      </w:r>
      <w:r w:rsidRPr="003F4ADB">
        <w:rPr>
          <w:rFonts w:ascii="Arial" w:hAnsi="Arial" w:cs="Arial"/>
          <w:sz w:val="20"/>
          <w:szCs w:val="20"/>
        </w:rPr>
        <w:t xml:space="preserve">-3 is most closely related to </w:t>
      </w:r>
      <w:r w:rsidRPr="003F4ADB">
        <w:rPr>
          <w:rFonts w:ascii="Arial" w:hAnsi="Arial" w:cs="Arial"/>
          <w:i/>
          <w:iCs/>
          <w:sz w:val="20"/>
          <w:szCs w:val="20"/>
        </w:rPr>
        <w:t>Bacillus cereus</w:t>
      </w:r>
      <w:r w:rsidRPr="003F4ADB">
        <w:rPr>
          <w:rFonts w:ascii="Arial" w:hAnsi="Arial" w:cs="Arial"/>
          <w:sz w:val="20"/>
          <w:szCs w:val="20"/>
        </w:rPr>
        <w:t xml:space="preserve">. These results clearly place all three isolates within the </w:t>
      </w:r>
      <w:r w:rsidR="00FE5FE5" w:rsidRPr="003F4ADB">
        <w:rPr>
          <w:rFonts w:ascii="Arial" w:hAnsi="Arial" w:cs="Arial"/>
          <w:i/>
          <w:iCs/>
          <w:sz w:val="20"/>
          <w:szCs w:val="20"/>
        </w:rPr>
        <w:t>Bacillus cereus</w:t>
      </w:r>
      <w:r w:rsidR="00FE5FE5" w:rsidRPr="003F4ADB">
        <w:rPr>
          <w:rFonts w:ascii="Arial" w:hAnsi="Arial" w:cs="Arial"/>
          <w:sz w:val="20"/>
          <w:szCs w:val="20"/>
        </w:rPr>
        <w:t xml:space="preserve"> </w:t>
      </w:r>
      <w:r w:rsidRPr="003F4ADB">
        <w:rPr>
          <w:rFonts w:ascii="Arial" w:hAnsi="Arial" w:cs="Arial"/>
          <w:sz w:val="20"/>
          <w:szCs w:val="20"/>
        </w:rPr>
        <w:t>group, although minor intra-group divergence differentiates them into distinct sub-clusters, reflecting the genetic diversity within this complex (Tamura et al., 2021)</w:t>
      </w:r>
      <w:r w:rsidR="00073E5D" w:rsidRPr="003F4ADB">
        <w:rPr>
          <w:rFonts w:ascii="Arial" w:hAnsi="Arial" w:cs="Arial"/>
          <w:sz w:val="20"/>
          <w:szCs w:val="20"/>
        </w:rPr>
        <w:t xml:space="preserve">, as shown in the </w:t>
      </w:r>
    </w:p>
    <w:p w14:paraId="49767DA8" w14:textId="0957DC5F" w:rsidR="00220E7A" w:rsidRDefault="004A3AE2" w:rsidP="0005579B">
      <w:pPr>
        <w:spacing w:after="0" w:line="360" w:lineRule="auto"/>
        <w:ind w:firstLine="720"/>
        <w:jc w:val="both"/>
        <w:rPr>
          <w:rFonts w:ascii="Arial" w:eastAsia="Times New Roman" w:hAnsi="Arial" w:cs="Arial"/>
          <w:kern w:val="0"/>
          <w:sz w:val="20"/>
          <w:szCs w:val="20"/>
          <w14:ligatures w14:val="none"/>
        </w:rPr>
      </w:pPr>
      <w:r w:rsidRPr="003F4ADB">
        <w:rPr>
          <w:rFonts w:ascii="Arial" w:eastAsia="Times New Roman" w:hAnsi="Arial" w:cs="Arial"/>
          <w:kern w:val="0"/>
          <w:sz w:val="20"/>
          <w:szCs w:val="20"/>
          <w14:ligatures w14:val="none"/>
        </w:rPr>
        <w:t xml:space="preserve">This molecular data, in conjunction with the Gram-positive, rod-shaped morphology, provides a robust taxonomic placement, demonstrating the genetic diversity and </w:t>
      </w:r>
      <w:r w:rsidR="001C5B92" w:rsidRPr="003F4ADB">
        <w:rPr>
          <w:rFonts w:ascii="Arial" w:eastAsia="Times New Roman" w:hAnsi="Arial" w:cs="Arial"/>
          <w:kern w:val="0"/>
          <w:sz w:val="20"/>
          <w:szCs w:val="20"/>
          <w14:ligatures w14:val="none"/>
        </w:rPr>
        <w:t>PHA</w:t>
      </w:r>
      <w:r w:rsidRPr="003F4ADB">
        <w:rPr>
          <w:rFonts w:ascii="Arial" w:eastAsia="Times New Roman" w:hAnsi="Arial" w:cs="Arial"/>
          <w:kern w:val="0"/>
          <w:sz w:val="20"/>
          <w:szCs w:val="20"/>
          <w14:ligatures w14:val="none"/>
        </w:rPr>
        <w:t xml:space="preserve">-producing capacity within the </w:t>
      </w:r>
      <w:r w:rsidRPr="003F4ADB">
        <w:rPr>
          <w:rFonts w:ascii="Arial" w:eastAsia="Times New Roman" w:hAnsi="Arial" w:cs="Arial"/>
          <w:i/>
          <w:iCs/>
          <w:kern w:val="0"/>
          <w:sz w:val="20"/>
          <w:szCs w:val="20"/>
          <w14:ligatures w14:val="none"/>
        </w:rPr>
        <w:t>Bacillus cereus</w:t>
      </w:r>
      <w:r w:rsidRPr="003F4ADB">
        <w:rPr>
          <w:rFonts w:ascii="Arial" w:eastAsia="Times New Roman" w:hAnsi="Arial" w:cs="Arial"/>
          <w:kern w:val="0"/>
          <w:sz w:val="20"/>
          <w:szCs w:val="20"/>
          <w14:ligatures w14:val="none"/>
        </w:rPr>
        <w:t xml:space="preserve"> complex (Tamura et al., 2021).</w:t>
      </w:r>
    </w:p>
    <w:p w14:paraId="0A64261E" w14:textId="3F170672" w:rsidR="00220E7A" w:rsidRDefault="00220E7A" w:rsidP="00220E7A">
      <w:pPr>
        <w:spacing w:after="0" w:line="360" w:lineRule="auto"/>
        <w:ind w:firstLine="720"/>
        <w:jc w:val="both"/>
        <w:rPr>
          <w:rFonts w:ascii="Arial" w:eastAsia="Times New Roman" w:hAnsi="Arial" w:cs="Arial"/>
          <w:kern w:val="0"/>
          <w:sz w:val="20"/>
          <w:szCs w:val="20"/>
          <w14:ligatures w14:val="none"/>
        </w:rPr>
      </w:pPr>
      <w:r w:rsidRPr="001523E3">
        <w:rPr>
          <w:rFonts w:ascii="Times New Roman" w:hAnsi="Times New Roman" w:cs="Times New Roman"/>
          <w:bCs/>
          <w:noProof/>
          <w:sz w:val="24"/>
          <w:szCs w:val="24"/>
        </w:rPr>
        <w:drawing>
          <wp:inline distT="0" distB="0" distL="0" distR="0" wp14:anchorId="715F0A12" wp14:editId="66123964">
            <wp:extent cx="5480501" cy="263366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HB_1_phy-removebg-preview (1).png"/>
                    <pic:cNvPicPr/>
                  </pic:nvPicPr>
                  <pic:blipFill>
                    <a:blip r:embed="rId10">
                      <a:extLst>
                        <a:ext uri="{28A0092B-C50C-407E-A947-70E740481C1C}">
                          <a14:useLocalDpi xmlns:a14="http://schemas.microsoft.com/office/drawing/2010/main" val="0"/>
                        </a:ext>
                      </a:extLst>
                    </a:blip>
                    <a:stretch>
                      <a:fillRect/>
                    </a:stretch>
                  </pic:blipFill>
                  <pic:spPr>
                    <a:xfrm>
                      <a:off x="0" y="0"/>
                      <a:ext cx="5564053" cy="2673818"/>
                    </a:xfrm>
                    <a:prstGeom prst="rect">
                      <a:avLst/>
                    </a:prstGeom>
                  </pic:spPr>
                </pic:pic>
              </a:graphicData>
            </a:graphic>
          </wp:inline>
        </w:drawing>
      </w:r>
    </w:p>
    <w:p w14:paraId="1BB4BA25" w14:textId="3F4FE72E" w:rsidR="005C575C" w:rsidRPr="005C575C" w:rsidRDefault="005C575C" w:rsidP="005C575C">
      <w:pPr>
        <w:spacing w:after="0" w:line="360" w:lineRule="auto"/>
        <w:jc w:val="center"/>
        <w:rPr>
          <w:rFonts w:ascii="Arial" w:hAnsi="Arial" w:cs="Arial"/>
          <w:b/>
        </w:rPr>
      </w:pPr>
      <w:r w:rsidRPr="005C575C">
        <w:rPr>
          <w:rFonts w:ascii="Arial" w:hAnsi="Arial" w:cs="Arial"/>
          <w:b/>
        </w:rPr>
        <w:t>Fig. 3 Phylogenetic Analysis of PHB 1 isolate</w:t>
      </w:r>
    </w:p>
    <w:p w14:paraId="0A1F1993" w14:textId="77777777" w:rsidR="00220E7A" w:rsidRDefault="00220E7A" w:rsidP="00220E7A">
      <w:pPr>
        <w:spacing w:after="0" w:line="360" w:lineRule="auto"/>
        <w:ind w:firstLine="720"/>
        <w:jc w:val="both"/>
        <w:rPr>
          <w:rFonts w:ascii="Arial" w:eastAsia="Times New Roman" w:hAnsi="Arial" w:cs="Arial"/>
          <w:kern w:val="0"/>
          <w:sz w:val="20"/>
          <w:szCs w:val="20"/>
          <w14:ligatures w14:val="none"/>
        </w:rPr>
      </w:pPr>
    </w:p>
    <w:p w14:paraId="729E91FC" w14:textId="38758BE2" w:rsidR="005C575C" w:rsidRDefault="005C575C" w:rsidP="00220E7A">
      <w:pPr>
        <w:spacing w:after="0" w:line="360" w:lineRule="auto"/>
        <w:ind w:firstLine="720"/>
        <w:jc w:val="both"/>
        <w:rPr>
          <w:rFonts w:ascii="Arial" w:eastAsia="Times New Roman" w:hAnsi="Arial" w:cs="Arial"/>
          <w:kern w:val="0"/>
          <w:sz w:val="20"/>
          <w:szCs w:val="20"/>
          <w14:ligatures w14:val="none"/>
        </w:rPr>
      </w:pPr>
      <w:r w:rsidRPr="001523E3">
        <w:rPr>
          <w:rFonts w:ascii="Times New Roman" w:hAnsi="Times New Roman" w:cs="Times New Roman"/>
          <w:bCs/>
          <w:noProof/>
          <w:sz w:val="24"/>
          <w:szCs w:val="24"/>
        </w:rPr>
        <w:lastRenderedPageBreak/>
        <w:drawing>
          <wp:anchor distT="0" distB="0" distL="114300" distR="114300" simplePos="0" relativeHeight="251661312" behindDoc="0" locked="0" layoutInCell="1" allowOverlap="1" wp14:anchorId="2C6DC60F" wp14:editId="73DF3DCC">
            <wp:simplePos x="0" y="0"/>
            <wp:positionH relativeFrom="margin">
              <wp:posOffset>625475</wp:posOffset>
            </wp:positionH>
            <wp:positionV relativeFrom="paragraph">
              <wp:posOffset>0</wp:posOffset>
            </wp:positionV>
            <wp:extent cx="5184775" cy="304355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HB_2_phy-removebg-preview.png"/>
                    <pic:cNvPicPr/>
                  </pic:nvPicPr>
                  <pic:blipFill>
                    <a:blip r:embed="rId11">
                      <a:extLst>
                        <a:ext uri="{28A0092B-C50C-407E-A947-70E740481C1C}">
                          <a14:useLocalDpi xmlns:a14="http://schemas.microsoft.com/office/drawing/2010/main" val="0"/>
                        </a:ext>
                      </a:extLst>
                    </a:blip>
                    <a:stretch>
                      <a:fillRect/>
                    </a:stretch>
                  </pic:blipFill>
                  <pic:spPr>
                    <a:xfrm>
                      <a:off x="0" y="0"/>
                      <a:ext cx="5184775" cy="3043555"/>
                    </a:xfrm>
                    <a:prstGeom prst="rect">
                      <a:avLst/>
                    </a:prstGeom>
                  </pic:spPr>
                </pic:pic>
              </a:graphicData>
            </a:graphic>
            <wp14:sizeRelH relativeFrom="margin">
              <wp14:pctWidth>0</wp14:pctWidth>
            </wp14:sizeRelH>
            <wp14:sizeRelV relativeFrom="margin">
              <wp14:pctHeight>0</wp14:pctHeight>
            </wp14:sizeRelV>
          </wp:anchor>
        </w:drawing>
      </w:r>
    </w:p>
    <w:p w14:paraId="4147C7E2" w14:textId="455FD30B"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2251CC75" w14:textId="2E2A4C2E"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7FA79D1B" w14:textId="1B0A415D"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138171BD"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403993E5" w14:textId="66EFA00D"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17CF68C3"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1CE24EC1" w14:textId="53804BD3"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1C661968"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3C02E44D"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0839FE01"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1D140430"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7F681E18"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311A0522"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15BA4484" w14:textId="38F572C8" w:rsidR="005C575C" w:rsidRPr="005C575C" w:rsidRDefault="005C575C" w:rsidP="005C575C">
      <w:pPr>
        <w:spacing w:after="0" w:line="360" w:lineRule="auto"/>
        <w:jc w:val="center"/>
        <w:rPr>
          <w:rFonts w:ascii="Arial" w:hAnsi="Arial" w:cs="Arial"/>
          <w:b/>
        </w:rPr>
      </w:pPr>
      <w:r w:rsidRPr="005C575C">
        <w:rPr>
          <w:rFonts w:ascii="Arial" w:hAnsi="Arial" w:cs="Arial"/>
          <w:b/>
        </w:rPr>
        <w:t xml:space="preserve">Fig. </w:t>
      </w:r>
      <w:r>
        <w:rPr>
          <w:rFonts w:ascii="Arial" w:hAnsi="Arial" w:cs="Arial"/>
          <w:b/>
        </w:rPr>
        <w:t>4</w:t>
      </w:r>
      <w:r w:rsidRPr="005C575C">
        <w:rPr>
          <w:rFonts w:ascii="Arial" w:hAnsi="Arial" w:cs="Arial"/>
          <w:b/>
        </w:rPr>
        <w:t xml:space="preserve"> Phylogenetic Analysis of PHB 2 isolate</w:t>
      </w:r>
    </w:p>
    <w:p w14:paraId="16F7B3BF"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04231D65" w14:textId="522B5414" w:rsidR="005C575C" w:rsidRDefault="005C575C" w:rsidP="00220E7A">
      <w:pPr>
        <w:spacing w:after="0" w:line="360" w:lineRule="auto"/>
        <w:ind w:firstLine="720"/>
        <w:jc w:val="both"/>
        <w:rPr>
          <w:rFonts w:ascii="Arial" w:eastAsia="Times New Roman" w:hAnsi="Arial" w:cs="Arial"/>
          <w:kern w:val="0"/>
          <w:sz w:val="20"/>
          <w:szCs w:val="20"/>
          <w14:ligatures w14:val="none"/>
        </w:rPr>
      </w:pPr>
      <w:r w:rsidRPr="001523E3">
        <w:rPr>
          <w:rFonts w:ascii="Times New Roman" w:hAnsi="Times New Roman" w:cs="Times New Roman"/>
          <w:bCs/>
          <w:noProof/>
          <w:sz w:val="24"/>
          <w:szCs w:val="24"/>
        </w:rPr>
        <w:drawing>
          <wp:inline distT="0" distB="0" distL="0" distR="0" wp14:anchorId="6345596E" wp14:editId="7684CCD0">
            <wp:extent cx="5769569" cy="336057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HB_3_phy-removebg-preview.png"/>
                    <pic:cNvPicPr/>
                  </pic:nvPicPr>
                  <pic:blipFill>
                    <a:blip r:embed="rId12">
                      <a:extLst>
                        <a:ext uri="{28A0092B-C50C-407E-A947-70E740481C1C}">
                          <a14:useLocalDpi xmlns:a14="http://schemas.microsoft.com/office/drawing/2010/main" val="0"/>
                        </a:ext>
                      </a:extLst>
                    </a:blip>
                    <a:stretch>
                      <a:fillRect/>
                    </a:stretch>
                  </pic:blipFill>
                  <pic:spPr>
                    <a:xfrm>
                      <a:off x="0" y="0"/>
                      <a:ext cx="5786569" cy="3370475"/>
                    </a:xfrm>
                    <a:prstGeom prst="rect">
                      <a:avLst/>
                    </a:prstGeom>
                  </pic:spPr>
                </pic:pic>
              </a:graphicData>
            </a:graphic>
          </wp:inline>
        </w:drawing>
      </w:r>
    </w:p>
    <w:p w14:paraId="304C30DB" w14:textId="4E39A2A6" w:rsidR="005C575C" w:rsidRPr="005C575C" w:rsidRDefault="005C575C" w:rsidP="005C575C">
      <w:pPr>
        <w:spacing w:after="0" w:line="360" w:lineRule="auto"/>
        <w:jc w:val="center"/>
        <w:rPr>
          <w:rFonts w:ascii="Arial" w:hAnsi="Arial" w:cs="Arial"/>
          <w:b/>
        </w:rPr>
      </w:pPr>
      <w:r w:rsidRPr="005C575C">
        <w:rPr>
          <w:rFonts w:ascii="Arial" w:hAnsi="Arial" w:cs="Arial"/>
          <w:b/>
        </w:rPr>
        <w:t>Fig. 5 Phylogenetic Analysis of PHB 3 isolate</w:t>
      </w:r>
    </w:p>
    <w:p w14:paraId="0FF6A559"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0E38B450" w14:textId="77777777" w:rsidR="005C575C" w:rsidRDefault="005C575C" w:rsidP="00220E7A">
      <w:pPr>
        <w:spacing w:after="0" w:line="360" w:lineRule="auto"/>
        <w:ind w:firstLine="720"/>
        <w:jc w:val="both"/>
        <w:rPr>
          <w:rFonts w:ascii="Arial" w:eastAsia="Times New Roman" w:hAnsi="Arial" w:cs="Arial"/>
          <w:kern w:val="0"/>
          <w:sz w:val="20"/>
          <w:szCs w:val="20"/>
          <w14:ligatures w14:val="none"/>
        </w:rPr>
      </w:pPr>
    </w:p>
    <w:p w14:paraId="2B1735A1" w14:textId="06BA69B2" w:rsidR="00220E7A" w:rsidRDefault="00220E7A" w:rsidP="005C575C">
      <w:pPr>
        <w:spacing w:after="0" w:line="360" w:lineRule="auto"/>
        <w:jc w:val="both"/>
        <w:rPr>
          <w:rFonts w:ascii="Arial" w:eastAsia="Times New Roman" w:hAnsi="Arial" w:cs="Arial"/>
          <w:kern w:val="0"/>
          <w:sz w:val="20"/>
          <w:szCs w:val="20"/>
          <w14:ligatures w14:val="none"/>
        </w:rPr>
      </w:pPr>
    </w:p>
    <w:p w14:paraId="70187C94" w14:textId="4E15C663" w:rsidR="005C575C" w:rsidRPr="003F4ADB" w:rsidRDefault="009D7A56" w:rsidP="005C575C">
      <w:pPr>
        <w:spacing w:after="0" w:line="360" w:lineRule="auto"/>
        <w:jc w:val="both"/>
        <w:rPr>
          <w:rFonts w:ascii="Arial" w:eastAsia="Times New Roman" w:hAnsi="Arial" w:cs="Arial"/>
          <w:kern w:val="0"/>
          <w:sz w:val="20"/>
          <w:szCs w:val="20"/>
          <w14:ligatures w14:val="none"/>
        </w:rPr>
      </w:pPr>
      <w:r w:rsidRPr="0005579B">
        <w:rPr>
          <w:rFonts w:ascii="Arial" w:hAnsi="Arial" w:cs="Arial"/>
          <w:b/>
          <w:bCs/>
        </w:rPr>
        <w:t>Table 3. Phylogenetic analysis</w:t>
      </w:r>
    </w:p>
    <w:p w14:paraId="704B3F3F" w14:textId="31E8E13E" w:rsidR="005C575C" w:rsidRPr="0005579B" w:rsidRDefault="005C575C" w:rsidP="00CD6370">
      <w:pPr>
        <w:spacing w:after="0" w:line="240" w:lineRule="auto"/>
        <w:rPr>
          <w:rFonts w:ascii="Arial" w:hAnsi="Arial" w:cs="Arial"/>
          <w:b/>
          <w:bCs/>
        </w:rPr>
      </w:pPr>
    </w:p>
    <w:tbl>
      <w:tblPr>
        <w:tblStyle w:val="TableGrid"/>
        <w:tblpPr w:leftFromText="180" w:rightFromText="180" w:vertAnchor="page" w:horzAnchor="margin" w:tblpY="1854"/>
        <w:tblW w:w="9341" w:type="dxa"/>
        <w:tblLook w:val="0420" w:firstRow="1" w:lastRow="0" w:firstColumn="0" w:lastColumn="0" w:noHBand="0" w:noVBand="1"/>
      </w:tblPr>
      <w:tblGrid>
        <w:gridCol w:w="1214"/>
        <w:gridCol w:w="1902"/>
        <w:gridCol w:w="1523"/>
        <w:gridCol w:w="4702"/>
      </w:tblGrid>
      <w:tr w:rsidR="00CD6370" w:rsidRPr="001523E3" w14:paraId="1BA886D2" w14:textId="77777777" w:rsidTr="00CD6370">
        <w:trPr>
          <w:trHeight w:val="350"/>
        </w:trPr>
        <w:tc>
          <w:tcPr>
            <w:tcW w:w="1214" w:type="dxa"/>
            <w:hideMark/>
          </w:tcPr>
          <w:p w14:paraId="5A5FFDB7" w14:textId="77777777" w:rsidR="00CD6370" w:rsidRPr="005C575C" w:rsidRDefault="00CD6370" w:rsidP="00CD6370">
            <w:pPr>
              <w:jc w:val="center"/>
              <w:rPr>
                <w:rFonts w:ascii="Arial" w:hAnsi="Arial" w:cs="Arial"/>
                <w:bCs/>
                <w:sz w:val="20"/>
                <w:szCs w:val="20"/>
              </w:rPr>
            </w:pPr>
            <w:r w:rsidRPr="005C575C">
              <w:rPr>
                <w:rFonts w:ascii="Arial" w:hAnsi="Arial" w:cs="Arial"/>
                <w:b/>
                <w:bCs/>
                <w:sz w:val="20"/>
                <w:szCs w:val="20"/>
              </w:rPr>
              <w:t>Sr. No.</w:t>
            </w:r>
          </w:p>
        </w:tc>
        <w:tc>
          <w:tcPr>
            <w:tcW w:w="1902" w:type="dxa"/>
            <w:hideMark/>
          </w:tcPr>
          <w:p w14:paraId="2F953AA3" w14:textId="77777777" w:rsidR="00CD6370" w:rsidRPr="005C575C" w:rsidRDefault="00CD6370" w:rsidP="00CD6370">
            <w:pPr>
              <w:jc w:val="center"/>
              <w:rPr>
                <w:rFonts w:ascii="Arial" w:hAnsi="Arial" w:cs="Arial"/>
                <w:bCs/>
                <w:sz w:val="20"/>
                <w:szCs w:val="20"/>
              </w:rPr>
            </w:pPr>
            <w:r w:rsidRPr="005C575C">
              <w:rPr>
                <w:rFonts w:ascii="Arial" w:hAnsi="Arial" w:cs="Arial"/>
                <w:b/>
                <w:bCs/>
                <w:sz w:val="20"/>
                <w:szCs w:val="20"/>
              </w:rPr>
              <w:t>HM Code</w:t>
            </w:r>
          </w:p>
        </w:tc>
        <w:tc>
          <w:tcPr>
            <w:tcW w:w="1523" w:type="dxa"/>
            <w:hideMark/>
          </w:tcPr>
          <w:p w14:paraId="0AF73AF0" w14:textId="77777777" w:rsidR="00CD6370" w:rsidRPr="005C575C" w:rsidRDefault="00CD6370" w:rsidP="00CD6370">
            <w:pPr>
              <w:jc w:val="center"/>
              <w:rPr>
                <w:rFonts w:ascii="Arial" w:hAnsi="Arial" w:cs="Arial"/>
                <w:bCs/>
                <w:sz w:val="20"/>
                <w:szCs w:val="20"/>
              </w:rPr>
            </w:pPr>
            <w:r w:rsidRPr="005C575C">
              <w:rPr>
                <w:rFonts w:ascii="Arial" w:hAnsi="Arial" w:cs="Arial"/>
                <w:b/>
                <w:bCs/>
                <w:sz w:val="20"/>
                <w:szCs w:val="20"/>
              </w:rPr>
              <w:t>Sample ID</w:t>
            </w:r>
          </w:p>
        </w:tc>
        <w:tc>
          <w:tcPr>
            <w:tcW w:w="4702" w:type="dxa"/>
            <w:hideMark/>
          </w:tcPr>
          <w:p w14:paraId="499CB3BF" w14:textId="77777777" w:rsidR="00CD6370" w:rsidRPr="005C575C" w:rsidRDefault="00CD6370" w:rsidP="00CD6370">
            <w:pPr>
              <w:jc w:val="center"/>
              <w:rPr>
                <w:rFonts w:ascii="Arial" w:hAnsi="Arial" w:cs="Arial"/>
                <w:bCs/>
                <w:sz w:val="20"/>
                <w:szCs w:val="20"/>
              </w:rPr>
            </w:pPr>
            <w:r w:rsidRPr="005C575C">
              <w:rPr>
                <w:rFonts w:ascii="Arial" w:hAnsi="Arial" w:cs="Arial"/>
                <w:b/>
                <w:bCs/>
                <w:sz w:val="20"/>
                <w:szCs w:val="20"/>
              </w:rPr>
              <w:t>Result: Closest Taxonomic Relative</w:t>
            </w:r>
          </w:p>
        </w:tc>
      </w:tr>
      <w:tr w:rsidR="00CD6370" w:rsidRPr="001523E3" w14:paraId="7B184277" w14:textId="77777777" w:rsidTr="00CD6370">
        <w:trPr>
          <w:trHeight w:val="351"/>
        </w:trPr>
        <w:tc>
          <w:tcPr>
            <w:tcW w:w="1214" w:type="dxa"/>
            <w:hideMark/>
          </w:tcPr>
          <w:p w14:paraId="2B48F75D"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1</w:t>
            </w:r>
          </w:p>
        </w:tc>
        <w:tc>
          <w:tcPr>
            <w:tcW w:w="1902" w:type="dxa"/>
            <w:hideMark/>
          </w:tcPr>
          <w:p w14:paraId="294672CB"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24B110_358</w:t>
            </w:r>
          </w:p>
        </w:tc>
        <w:tc>
          <w:tcPr>
            <w:tcW w:w="1523" w:type="dxa"/>
            <w:hideMark/>
          </w:tcPr>
          <w:p w14:paraId="0EAE9E94"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PHA-1</w:t>
            </w:r>
          </w:p>
        </w:tc>
        <w:tc>
          <w:tcPr>
            <w:tcW w:w="4702" w:type="dxa"/>
            <w:hideMark/>
          </w:tcPr>
          <w:p w14:paraId="5C065C85" w14:textId="77777777" w:rsidR="00CD6370" w:rsidRPr="005C575C" w:rsidRDefault="00CD6370" w:rsidP="00CD6370">
            <w:pPr>
              <w:jc w:val="center"/>
              <w:rPr>
                <w:rFonts w:ascii="Arial" w:hAnsi="Arial" w:cs="Arial"/>
                <w:bCs/>
                <w:sz w:val="20"/>
                <w:szCs w:val="20"/>
              </w:rPr>
            </w:pPr>
            <w:r w:rsidRPr="005C575C">
              <w:rPr>
                <w:rFonts w:ascii="Arial" w:hAnsi="Arial" w:cs="Arial"/>
                <w:bCs/>
                <w:i/>
                <w:iCs/>
                <w:sz w:val="20"/>
                <w:szCs w:val="20"/>
              </w:rPr>
              <w:t xml:space="preserve">Bacillus </w:t>
            </w:r>
            <w:proofErr w:type="spellStart"/>
            <w:r w:rsidRPr="005C575C">
              <w:rPr>
                <w:rFonts w:ascii="Arial" w:hAnsi="Arial" w:cs="Arial"/>
                <w:bCs/>
                <w:i/>
                <w:iCs/>
                <w:sz w:val="20"/>
                <w:szCs w:val="20"/>
              </w:rPr>
              <w:t>paramycoides</w:t>
            </w:r>
            <w:proofErr w:type="spellEnd"/>
            <w:r w:rsidRPr="005C575C">
              <w:rPr>
                <w:rFonts w:ascii="Arial" w:hAnsi="Arial" w:cs="Arial"/>
                <w:bCs/>
                <w:sz w:val="20"/>
                <w:szCs w:val="20"/>
              </w:rPr>
              <w:t> (MH900215)</w:t>
            </w:r>
          </w:p>
        </w:tc>
      </w:tr>
      <w:tr w:rsidR="00CD6370" w:rsidRPr="001523E3" w14:paraId="2A204343" w14:textId="77777777" w:rsidTr="00CD6370">
        <w:trPr>
          <w:trHeight w:val="351"/>
        </w:trPr>
        <w:tc>
          <w:tcPr>
            <w:tcW w:w="1214" w:type="dxa"/>
            <w:hideMark/>
          </w:tcPr>
          <w:p w14:paraId="6CBABB80"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2</w:t>
            </w:r>
          </w:p>
        </w:tc>
        <w:tc>
          <w:tcPr>
            <w:tcW w:w="1902" w:type="dxa"/>
            <w:hideMark/>
          </w:tcPr>
          <w:p w14:paraId="52B80979"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24B110_359</w:t>
            </w:r>
          </w:p>
        </w:tc>
        <w:tc>
          <w:tcPr>
            <w:tcW w:w="1523" w:type="dxa"/>
            <w:hideMark/>
          </w:tcPr>
          <w:p w14:paraId="7950370D"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PHA-2</w:t>
            </w:r>
          </w:p>
        </w:tc>
        <w:tc>
          <w:tcPr>
            <w:tcW w:w="4702" w:type="dxa"/>
            <w:hideMark/>
          </w:tcPr>
          <w:p w14:paraId="155CF499" w14:textId="77777777" w:rsidR="00CD6370" w:rsidRPr="005C575C" w:rsidRDefault="00CD6370" w:rsidP="00CD6370">
            <w:pPr>
              <w:jc w:val="center"/>
              <w:rPr>
                <w:rFonts w:ascii="Arial" w:hAnsi="Arial" w:cs="Arial"/>
                <w:bCs/>
                <w:sz w:val="20"/>
                <w:szCs w:val="20"/>
              </w:rPr>
            </w:pPr>
            <w:r w:rsidRPr="005C575C">
              <w:rPr>
                <w:rFonts w:ascii="Arial" w:hAnsi="Arial" w:cs="Arial"/>
                <w:bCs/>
                <w:i/>
                <w:iCs/>
                <w:sz w:val="20"/>
                <w:szCs w:val="20"/>
              </w:rPr>
              <w:t xml:space="preserve">Bacillus </w:t>
            </w:r>
            <w:proofErr w:type="spellStart"/>
            <w:r w:rsidRPr="005C575C">
              <w:rPr>
                <w:rFonts w:ascii="Arial" w:hAnsi="Arial" w:cs="Arial"/>
                <w:bCs/>
                <w:i/>
                <w:iCs/>
                <w:sz w:val="20"/>
                <w:szCs w:val="20"/>
              </w:rPr>
              <w:t>paramycoides</w:t>
            </w:r>
            <w:proofErr w:type="spellEnd"/>
            <w:r w:rsidRPr="005C575C">
              <w:rPr>
                <w:rFonts w:ascii="Arial" w:hAnsi="Arial" w:cs="Arial"/>
                <w:bCs/>
                <w:sz w:val="20"/>
                <w:szCs w:val="20"/>
              </w:rPr>
              <w:t> (MH100693)</w:t>
            </w:r>
          </w:p>
        </w:tc>
      </w:tr>
      <w:tr w:rsidR="00CD6370" w:rsidRPr="001523E3" w14:paraId="4BEEF327" w14:textId="77777777" w:rsidTr="00CD6370">
        <w:trPr>
          <w:trHeight w:val="351"/>
        </w:trPr>
        <w:tc>
          <w:tcPr>
            <w:tcW w:w="1214" w:type="dxa"/>
            <w:hideMark/>
          </w:tcPr>
          <w:p w14:paraId="32C1253A"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3</w:t>
            </w:r>
          </w:p>
        </w:tc>
        <w:tc>
          <w:tcPr>
            <w:tcW w:w="1902" w:type="dxa"/>
            <w:hideMark/>
          </w:tcPr>
          <w:p w14:paraId="36BDEB47"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24B110_360</w:t>
            </w:r>
          </w:p>
        </w:tc>
        <w:tc>
          <w:tcPr>
            <w:tcW w:w="1523" w:type="dxa"/>
            <w:hideMark/>
          </w:tcPr>
          <w:p w14:paraId="2EF7C807" w14:textId="77777777" w:rsidR="00CD6370" w:rsidRPr="005C575C" w:rsidRDefault="00CD6370" w:rsidP="00CD6370">
            <w:pPr>
              <w:jc w:val="center"/>
              <w:rPr>
                <w:rFonts w:ascii="Arial" w:hAnsi="Arial" w:cs="Arial"/>
                <w:bCs/>
                <w:sz w:val="20"/>
                <w:szCs w:val="20"/>
              </w:rPr>
            </w:pPr>
            <w:r w:rsidRPr="005C575C">
              <w:rPr>
                <w:rFonts w:ascii="Arial" w:hAnsi="Arial" w:cs="Arial"/>
                <w:bCs/>
                <w:sz w:val="20"/>
                <w:szCs w:val="20"/>
              </w:rPr>
              <w:t>PHA-3</w:t>
            </w:r>
          </w:p>
        </w:tc>
        <w:tc>
          <w:tcPr>
            <w:tcW w:w="4702" w:type="dxa"/>
            <w:hideMark/>
          </w:tcPr>
          <w:p w14:paraId="72C18816" w14:textId="77777777" w:rsidR="00CD6370" w:rsidRPr="005C575C" w:rsidRDefault="00CD6370" w:rsidP="00CD6370">
            <w:pPr>
              <w:jc w:val="center"/>
              <w:rPr>
                <w:rFonts w:ascii="Arial" w:hAnsi="Arial" w:cs="Arial"/>
                <w:bCs/>
                <w:sz w:val="20"/>
                <w:szCs w:val="20"/>
              </w:rPr>
            </w:pPr>
            <w:r w:rsidRPr="005C575C">
              <w:rPr>
                <w:rFonts w:ascii="Arial" w:hAnsi="Arial" w:cs="Arial"/>
                <w:bCs/>
                <w:i/>
                <w:iCs/>
                <w:sz w:val="20"/>
                <w:szCs w:val="20"/>
              </w:rPr>
              <w:t>Bacillus cereus</w:t>
            </w:r>
            <w:r w:rsidRPr="005C575C">
              <w:rPr>
                <w:rFonts w:ascii="Arial" w:hAnsi="Arial" w:cs="Arial"/>
                <w:bCs/>
                <w:sz w:val="20"/>
                <w:szCs w:val="20"/>
              </w:rPr>
              <w:t> (GQ406846)</w:t>
            </w:r>
          </w:p>
          <w:p w14:paraId="058EA224" w14:textId="77777777" w:rsidR="00CD6370" w:rsidRPr="005C575C" w:rsidRDefault="00CD6370" w:rsidP="00CD6370">
            <w:pPr>
              <w:rPr>
                <w:rFonts w:ascii="Arial" w:hAnsi="Arial" w:cs="Arial"/>
                <w:bCs/>
                <w:sz w:val="20"/>
                <w:szCs w:val="20"/>
              </w:rPr>
            </w:pPr>
          </w:p>
        </w:tc>
      </w:tr>
    </w:tbl>
    <w:p w14:paraId="6113F2A3" w14:textId="45AFA76B" w:rsidR="009E0849" w:rsidRPr="00AD7CE7" w:rsidRDefault="00AD7CE7" w:rsidP="001C5B92">
      <w:pPr>
        <w:spacing w:after="0" w:line="360" w:lineRule="auto"/>
        <w:jc w:val="both"/>
        <w:rPr>
          <w:rFonts w:ascii="Arial" w:hAnsi="Arial" w:cs="Arial"/>
          <w:b/>
          <w:bCs/>
        </w:rPr>
      </w:pPr>
      <w:r w:rsidRPr="00AD7CE7">
        <w:rPr>
          <w:rFonts w:ascii="Arial" w:hAnsi="Arial" w:cs="Arial"/>
          <w:b/>
          <w:bCs/>
        </w:rPr>
        <w:t>3.3 Growth</w:t>
      </w:r>
      <w:r w:rsidR="009E0849" w:rsidRPr="00AD7CE7">
        <w:rPr>
          <w:rFonts w:ascii="Arial" w:hAnsi="Arial" w:cs="Arial"/>
          <w:b/>
          <w:bCs/>
        </w:rPr>
        <w:t xml:space="preserve"> Curve Analysis</w:t>
      </w:r>
    </w:p>
    <w:p w14:paraId="0170D7F9" w14:textId="03EFE758" w:rsidR="009E0849" w:rsidRPr="003F4ADB" w:rsidRDefault="009E0849" w:rsidP="009D7A56">
      <w:pPr>
        <w:spacing w:after="0" w:line="360" w:lineRule="auto"/>
        <w:ind w:firstLine="720"/>
        <w:jc w:val="both"/>
        <w:rPr>
          <w:rFonts w:ascii="Arial" w:hAnsi="Arial" w:cs="Arial"/>
          <w:sz w:val="20"/>
          <w:szCs w:val="20"/>
        </w:rPr>
      </w:pPr>
      <w:r w:rsidRPr="003F4ADB">
        <w:rPr>
          <w:rFonts w:ascii="Arial" w:hAnsi="Arial" w:cs="Arial"/>
          <w:sz w:val="20"/>
          <w:szCs w:val="20"/>
        </w:rPr>
        <w:t xml:space="preserve">The growth kinetics of the five </w:t>
      </w:r>
      <w:r w:rsidR="001C5B92" w:rsidRPr="003F4ADB">
        <w:rPr>
          <w:rFonts w:ascii="Arial" w:hAnsi="Arial" w:cs="Arial"/>
          <w:sz w:val="20"/>
          <w:szCs w:val="20"/>
        </w:rPr>
        <w:t>PHA</w:t>
      </w:r>
      <w:r w:rsidRPr="003F4ADB">
        <w:rPr>
          <w:rFonts w:ascii="Arial" w:hAnsi="Arial" w:cs="Arial"/>
          <w:sz w:val="20"/>
          <w:szCs w:val="20"/>
        </w:rPr>
        <w:t xml:space="preserve">-producing isolates, </w:t>
      </w:r>
      <w:r w:rsidR="001C5B92" w:rsidRPr="003F4ADB">
        <w:rPr>
          <w:rFonts w:ascii="Arial" w:hAnsi="Arial" w:cs="Arial"/>
          <w:sz w:val="20"/>
          <w:szCs w:val="20"/>
        </w:rPr>
        <w:t>PHA</w:t>
      </w:r>
      <w:r w:rsidRPr="003F4ADB">
        <w:rPr>
          <w:rFonts w:ascii="Arial" w:hAnsi="Arial" w:cs="Arial"/>
          <w:sz w:val="20"/>
          <w:szCs w:val="20"/>
        </w:rPr>
        <w:t xml:space="preserve"> 1 to </w:t>
      </w:r>
      <w:r w:rsidR="001C5B92" w:rsidRPr="003F4ADB">
        <w:rPr>
          <w:rFonts w:ascii="Arial" w:hAnsi="Arial" w:cs="Arial"/>
          <w:sz w:val="20"/>
          <w:szCs w:val="20"/>
        </w:rPr>
        <w:t>PHA</w:t>
      </w:r>
      <w:r w:rsidRPr="003F4ADB">
        <w:rPr>
          <w:rFonts w:ascii="Arial" w:hAnsi="Arial" w:cs="Arial"/>
          <w:sz w:val="20"/>
          <w:szCs w:val="20"/>
        </w:rPr>
        <w:t xml:space="preserve"> 5, were monitored spectrophotometrically by measuring the Optical Density (O.D.) at 640 nm at 30-minute intervals over a total period of 240 minutes (4 hours). The results are graphically represented</w:t>
      </w:r>
      <w:r w:rsidR="00CC469E" w:rsidRPr="003F4ADB">
        <w:rPr>
          <w:rFonts w:ascii="Arial" w:hAnsi="Arial" w:cs="Arial"/>
          <w:sz w:val="20"/>
          <w:szCs w:val="20"/>
        </w:rPr>
        <w:t xml:space="preserve"> as shown in </w:t>
      </w:r>
      <w:r w:rsidR="009D7A56">
        <w:rPr>
          <w:rFonts w:ascii="Arial" w:hAnsi="Arial" w:cs="Arial"/>
          <w:sz w:val="20"/>
          <w:szCs w:val="20"/>
        </w:rPr>
        <w:t xml:space="preserve">Figure 6 and Table No. 4. </w:t>
      </w:r>
      <w:r w:rsidRPr="003F4ADB">
        <w:rPr>
          <w:rFonts w:ascii="Arial" w:hAnsi="Arial" w:cs="Arial"/>
          <w:sz w:val="20"/>
          <w:szCs w:val="20"/>
        </w:rPr>
        <w:t>Lag Phase 30-90 minutes: All isolates showed a relatively low increase in biomass during the first 90 minutes. This period represents the lag phase, where the cells are acclimatizing to the new growth media and preparing for rapid division.</w:t>
      </w:r>
    </w:p>
    <w:p w14:paraId="49F26720" w14:textId="59611C63" w:rsidR="009E0849" w:rsidRDefault="009E0849" w:rsidP="00E96BDE">
      <w:pPr>
        <w:spacing w:after="0" w:line="360" w:lineRule="auto"/>
        <w:ind w:firstLine="720"/>
        <w:jc w:val="both"/>
        <w:rPr>
          <w:rFonts w:ascii="Arial" w:hAnsi="Arial" w:cs="Arial"/>
          <w:sz w:val="20"/>
          <w:szCs w:val="20"/>
        </w:rPr>
      </w:pPr>
      <w:r w:rsidRPr="003F4ADB">
        <w:rPr>
          <w:rFonts w:ascii="Arial" w:hAnsi="Arial" w:cs="Arial"/>
          <w:sz w:val="20"/>
          <w:szCs w:val="20"/>
        </w:rPr>
        <w:t>Exponential (Log) Phase (120-240 minutes): A distinct shift to the exponential growth phase was observed starting around 120–150 minutes, characterized by a steep increase in O.D. 640.Comparative Growth Performance:</w:t>
      </w:r>
      <w:r w:rsidR="00344119" w:rsidRPr="003F4ADB">
        <w:rPr>
          <w:rFonts w:ascii="Arial" w:hAnsi="Arial" w:cs="Arial"/>
          <w:sz w:val="20"/>
          <w:szCs w:val="20"/>
        </w:rPr>
        <w:t xml:space="preserve"> </w:t>
      </w:r>
      <w:r w:rsidRPr="003F4ADB">
        <w:rPr>
          <w:rFonts w:ascii="Arial" w:hAnsi="Arial" w:cs="Arial"/>
          <w:sz w:val="20"/>
          <w:szCs w:val="20"/>
        </w:rPr>
        <w:t xml:space="preserve">Isolate </w:t>
      </w:r>
      <w:r w:rsidR="001C5B92" w:rsidRPr="003F4ADB">
        <w:rPr>
          <w:rFonts w:ascii="Arial" w:hAnsi="Arial" w:cs="Arial"/>
          <w:sz w:val="20"/>
          <w:szCs w:val="20"/>
        </w:rPr>
        <w:t>PHA</w:t>
      </w:r>
      <w:r w:rsidRPr="003F4ADB">
        <w:rPr>
          <w:rFonts w:ascii="Arial" w:hAnsi="Arial" w:cs="Arial"/>
          <w:sz w:val="20"/>
          <w:szCs w:val="20"/>
        </w:rPr>
        <w:t xml:space="preserve"> 5 exhibited the highest growth rate during the exponential phase (between 180 and 240 minutes) and achieved the maximum final biomass, reaching an O.D. of 0.560 at 240 </w:t>
      </w:r>
      <w:proofErr w:type="spellStart"/>
      <w:r w:rsidRPr="003F4ADB">
        <w:rPr>
          <w:rFonts w:ascii="Arial" w:hAnsi="Arial" w:cs="Arial"/>
          <w:sz w:val="20"/>
          <w:szCs w:val="20"/>
        </w:rPr>
        <w:t>minutes.Isolate</w:t>
      </w:r>
      <w:proofErr w:type="spellEnd"/>
      <w:r w:rsidRPr="003F4ADB">
        <w:rPr>
          <w:rFonts w:ascii="Arial" w:hAnsi="Arial" w:cs="Arial"/>
          <w:sz w:val="20"/>
          <w:szCs w:val="20"/>
        </w:rPr>
        <w:t xml:space="preserve"> </w:t>
      </w:r>
      <w:r w:rsidR="001C5B92" w:rsidRPr="003F4ADB">
        <w:rPr>
          <w:rFonts w:ascii="Arial" w:hAnsi="Arial" w:cs="Arial"/>
          <w:sz w:val="20"/>
          <w:szCs w:val="20"/>
        </w:rPr>
        <w:t>PHA</w:t>
      </w:r>
      <w:r w:rsidRPr="003F4ADB">
        <w:rPr>
          <w:rFonts w:ascii="Arial" w:hAnsi="Arial" w:cs="Arial"/>
          <w:sz w:val="20"/>
          <w:szCs w:val="20"/>
        </w:rPr>
        <w:t>4 followed closely, achieving a final O.D. of 0.475, also demonstrating robust growth kinetics.</w:t>
      </w:r>
      <w:r w:rsidR="00E96BDE">
        <w:rPr>
          <w:rFonts w:ascii="Arial" w:hAnsi="Arial" w:cs="Arial"/>
          <w:sz w:val="20"/>
          <w:szCs w:val="20"/>
        </w:rPr>
        <w:t xml:space="preserve"> </w:t>
      </w:r>
      <w:r w:rsidRPr="003F4ADB">
        <w:rPr>
          <w:rFonts w:ascii="Arial" w:hAnsi="Arial" w:cs="Arial"/>
          <w:sz w:val="20"/>
          <w:szCs w:val="20"/>
        </w:rPr>
        <w:t xml:space="preserve">Isolates </w:t>
      </w:r>
      <w:r w:rsidR="001C5B92" w:rsidRPr="003F4ADB">
        <w:rPr>
          <w:rFonts w:ascii="Arial" w:hAnsi="Arial" w:cs="Arial"/>
          <w:sz w:val="20"/>
          <w:szCs w:val="20"/>
        </w:rPr>
        <w:t>PHA</w:t>
      </w:r>
      <w:r w:rsidRPr="003F4ADB">
        <w:rPr>
          <w:rFonts w:ascii="Arial" w:hAnsi="Arial" w:cs="Arial"/>
          <w:sz w:val="20"/>
          <w:szCs w:val="20"/>
        </w:rPr>
        <w:t xml:space="preserve"> 1 and </w:t>
      </w:r>
      <w:r w:rsidR="001C5B92" w:rsidRPr="003F4ADB">
        <w:rPr>
          <w:rFonts w:ascii="Arial" w:hAnsi="Arial" w:cs="Arial"/>
          <w:sz w:val="20"/>
          <w:szCs w:val="20"/>
        </w:rPr>
        <w:t>PHA</w:t>
      </w:r>
      <w:r w:rsidRPr="003F4ADB">
        <w:rPr>
          <w:rFonts w:ascii="Arial" w:hAnsi="Arial" w:cs="Arial"/>
          <w:sz w:val="20"/>
          <w:szCs w:val="20"/>
        </w:rPr>
        <w:t xml:space="preserve"> 2 showed lower final biomass readings (0.281) and (0.395), respectively, suggesting a slower overall division rate in this specific </w:t>
      </w:r>
      <w:r w:rsidR="001C5B92" w:rsidRPr="003F4ADB">
        <w:rPr>
          <w:rFonts w:ascii="Arial" w:hAnsi="Arial" w:cs="Arial"/>
          <w:sz w:val="20"/>
          <w:szCs w:val="20"/>
        </w:rPr>
        <w:t>PHA</w:t>
      </w:r>
      <w:r w:rsidRPr="003F4ADB">
        <w:rPr>
          <w:rFonts w:ascii="Arial" w:hAnsi="Arial" w:cs="Arial"/>
          <w:sz w:val="20"/>
          <w:szCs w:val="20"/>
        </w:rPr>
        <w:t>-producing medium, as shown in Figure no.</w:t>
      </w:r>
      <w:r w:rsidR="00E96BDE" w:rsidRPr="003F4ADB">
        <w:rPr>
          <w:rFonts w:ascii="Arial" w:hAnsi="Arial" w:cs="Arial"/>
          <w:sz w:val="20"/>
          <w:szCs w:val="20"/>
        </w:rPr>
        <w:t xml:space="preserve"> </w:t>
      </w:r>
      <w:r w:rsidR="00E96BDE">
        <w:rPr>
          <w:rFonts w:ascii="Arial" w:hAnsi="Arial" w:cs="Arial"/>
          <w:sz w:val="20"/>
          <w:szCs w:val="20"/>
        </w:rPr>
        <w:t>6</w:t>
      </w:r>
    </w:p>
    <w:p w14:paraId="4639A1C3" w14:textId="77777777" w:rsidR="00E96BDE" w:rsidRDefault="00E96BDE" w:rsidP="00E96BDE">
      <w:pPr>
        <w:spacing w:after="0" w:line="360" w:lineRule="auto"/>
        <w:ind w:firstLine="720"/>
        <w:jc w:val="both"/>
        <w:rPr>
          <w:rFonts w:ascii="Arial" w:hAnsi="Arial" w:cs="Arial"/>
          <w:sz w:val="20"/>
          <w:szCs w:val="20"/>
        </w:rPr>
      </w:pPr>
    </w:p>
    <w:p w14:paraId="0734CC82" w14:textId="42D1A639" w:rsidR="00E96BDE" w:rsidRDefault="00E96BDE" w:rsidP="00E96BDE">
      <w:pPr>
        <w:spacing w:after="0" w:line="360" w:lineRule="auto"/>
        <w:ind w:firstLine="720"/>
        <w:jc w:val="center"/>
        <w:rPr>
          <w:rFonts w:ascii="Arial" w:hAnsi="Arial" w:cs="Arial"/>
          <w:sz w:val="20"/>
          <w:szCs w:val="20"/>
        </w:rPr>
      </w:pPr>
      <w:r>
        <w:rPr>
          <w:noProof/>
        </w:rPr>
        <w:drawing>
          <wp:inline distT="0" distB="0" distL="0" distR="0" wp14:anchorId="7FE2C0DB" wp14:editId="0B151464">
            <wp:extent cx="4814888" cy="2711508"/>
            <wp:effectExtent l="0" t="0" r="5080" b="0"/>
            <wp:docPr id="1780220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1283" cy="2715110"/>
                    </a:xfrm>
                    <a:prstGeom prst="rect">
                      <a:avLst/>
                    </a:prstGeom>
                    <a:noFill/>
                    <a:ln>
                      <a:noFill/>
                    </a:ln>
                  </pic:spPr>
                </pic:pic>
              </a:graphicData>
            </a:graphic>
          </wp:inline>
        </w:drawing>
      </w:r>
    </w:p>
    <w:p w14:paraId="75FE8FEA" w14:textId="77777777" w:rsidR="00E96BDE" w:rsidRPr="00E96BDE" w:rsidRDefault="00E96BDE" w:rsidP="00E96BDE">
      <w:pPr>
        <w:spacing w:after="0" w:line="360" w:lineRule="auto"/>
        <w:jc w:val="center"/>
        <w:rPr>
          <w:rFonts w:ascii="Arial" w:hAnsi="Arial" w:cs="Arial"/>
          <w:b/>
          <w:bCs/>
        </w:rPr>
      </w:pPr>
      <w:r w:rsidRPr="00E96BDE">
        <w:rPr>
          <w:rFonts w:ascii="Arial" w:hAnsi="Arial" w:cs="Arial"/>
          <w:b/>
          <w:bCs/>
        </w:rPr>
        <w:t>Fig. 6 Growth curve analysis of PHA isolates</w:t>
      </w:r>
    </w:p>
    <w:p w14:paraId="41F79B51" w14:textId="77777777" w:rsidR="00E96BDE" w:rsidRPr="003F4ADB" w:rsidRDefault="00E96BDE" w:rsidP="00E96BDE">
      <w:pPr>
        <w:spacing w:after="0" w:line="360" w:lineRule="auto"/>
        <w:jc w:val="both"/>
        <w:rPr>
          <w:rFonts w:ascii="Arial" w:hAnsi="Arial" w:cs="Arial"/>
          <w:sz w:val="20"/>
          <w:szCs w:val="20"/>
        </w:rPr>
      </w:pPr>
    </w:p>
    <w:p w14:paraId="0565F4B7" w14:textId="77777777" w:rsidR="0005579B" w:rsidRPr="0005579B" w:rsidRDefault="0005579B" w:rsidP="0005579B">
      <w:pPr>
        <w:spacing w:after="0"/>
        <w:rPr>
          <w:rFonts w:ascii="Arial" w:hAnsi="Arial" w:cs="Arial"/>
          <w:b/>
          <w:bCs/>
        </w:rPr>
      </w:pPr>
      <w:r w:rsidRPr="0005579B">
        <w:rPr>
          <w:rFonts w:ascii="Arial" w:hAnsi="Arial" w:cs="Arial"/>
          <w:b/>
          <w:bCs/>
        </w:rPr>
        <w:t>Table 4. Growth Curve analysis</w:t>
      </w:r>
    </w:p>
    <w:p w14:paraId="652E4200" w14:textId="77777777" w:rsidR="0005579B" w:rsidRDefault="0005579B" w:rsidP="001C5B92">
      <w:pPr>
        <w:spacing w:after="0" w:line="360" w:lineRule="auto"/>
        <w:jc w:val="both"/>
        <w:rPr>
          <w:rFonts w:ascii="Arial" w:hAnsi="Arial" w:cs="Arial"/>
          <w:b/>
          <w:bC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7A56" w:rsidRPr="009D7A56" w14:paraId="749BB9AE" w14:textId="77777777" w:rsidTr="002E2C8F">
        <w:tc>
          <w:tcPr>
            <w:tcW w:w="1335" w:type="dxa"/>
          </w:tcPr>
          <w:p w14:paraId="1B7FFC68"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Sr. No.</w:t>
            </w:r>
          </w:p>
        </w:tc>
        <w:tc>
          <w:tcPr>
            <w:tcW w:w="1335" w:type="dxa"/>
            <w:vAlign w:val="center"/>
          </w:tcPr>
          <w:p w14:paraId="1802D449" w14:textId="77777777" w:rsidR="009D7A56" w:rsidRPr="009D7A56" w:rsidRDefault="009D7A56" w:rsidP="002E2C8F">
            <w:pPr>
              <w:jc w:val="center"/>
              <w:rPr>
                <w:rFonts w:ascii="Arial" w:hAnsi="Arial" w:cs="Arial"/>
                <w:sz w:val="20"/>
                <w:szCs w:val="20"/>
              </w:rPr>
            </w:pPr>
            <w:r w:rsidRPr="009D7A56">
              <w:rPr>
                <w:rFonts w:ascii="Arial" w:hAnsi="Arial" w:cs="Arial"/>
                <w:b/>
                <w:bCs/>
                <w:sz w:val="20"/>
                <w:szCs w:val="20"/>
              </w:rPr>
              <w:t>Time (min)</w:t>
            </w:r>
          </w:p>
        </w:tc>
        <w:tc>
          <w:tcPr>
            <w:tcW w:w="1336" w:type="dxa"/>
            <w:vAlign w:val="center"/>
          </w:tcPr>
          <w:p w14:paraId="3F96B854" w14:textId="77777777" w:rsidR="009D7A56" w:rsidRPr="009D7A56" w:rsidRDefault="009D7A56" w:rsidP="002E2C8F">
            <w:pPr>
              <w:jc w:val="center"/>
              <w:rPr>
                <w:rFonts w:ascii="Arial" w:hAnsi="Arial" w:cs="Arial"/>
                <w:sz w:val="20"/>
                <w:szCs w:val="20"/>
              </w:rPr>
            </w:pPr>
            <w:r w:rsidRPr="009D7A56">
              <w:rPr>
                <w:rFonts w:ascii="Arial" w:hAnsi="Arial" w:cs="Arial"/>
                <w:b/>
                <w:bCs/>
                <w:sz w:val="20"/>
                <w:szCs w:val="20"/>
              </w:rPr>
              <w:t>PHA1</w:t>
            </w:r>
          </w:p>
        </w:tc>
        <w:tc>
          <w:tcPr>
            <w:tcW w:w="1336" w:type="dxa"/>
            <w:vAlign w:val="center"/>
          </w:tcPr>
          <w:p w14:paraId="142A571E" w14:textId="77777777" w:rsidR="009D7A56" w:rsidRPr="009D7A56" w:rsidRDefault="009D7A56" w:rsidP="002E2C8F">
            <w:pPr>
              <w:jc w:val="center"/>
              <w:rPr>
                <w:rFonts w:ascii="Arial" w:hAnsi="Arial" w:cs="Arial"/>
                <w:sz w:val="20"/>
                <w:szCs w:val="20"/>
              </w:rPr>
            </w:pPr>
            <w:r w:rsidRPr="009D7A56">
              <w:rPr>
                <w:rFonts w:ascii="Arial" w:hAnsi="Arial" w:cs="Arial"/>
                <w:b/>
                <w:bCs/>
                <w:sz w:val="20"/>
                <w:szCs w:val="20"/>
              </w:rPr>
              <w:t>PHA2</w:t>
            </w:r>
          </w:p>
        </w:tc>
        <w:tc>
          <w:tcPr>
            <w:tcW w:w="1336" w:type="dxa"/>
            <w:vAlign w:val="center"/>
          </w:tcPr>
          <w:p w14:paraId="375CE341" w14:textId="77777777" w:rsidR="009D7A56" w:rsidRPr="009D7A56" w:rsidRDefault="009D7A56" w:rsidP="002E2C8F">
            <w:pPr>
              <w:jc w:val="center"/>
              <w:rPr>
                <w:rFonts w:ascii="Arial" w:hAnsi="Arial" w:cs="Arial"/>
                <w:sz w:val="20"/>
                <w:szCs w:val="20"/>
              </w:rPr>
            </w:pPr>
            <w:r w:rsidRPr="009D7A56">
              <w:rPr>
                <w:rFonts w:ascii="Arial" w:hAnsi="Arial" w:cs="Arial"/>
                <w:b/>
                <w:bCs/>
                <w:sz w:val="20"/>
                <w:szCs w:val="20"/>
              </w:rPr>
              <w:t>PHA3</w:t>
            </w:r>
          </w:p>
        </w:tc>
        <w:tc>
          <w:tcPr>
            <w:tcW w:w="1336" w:type="dxa"/>
            <w:vAlign w:val="center"/>
          </w:tcPr>
          <w:p w14:paraId="018707CA" w14:textId="77777777" w:rsidR="009D7A56" w:rsidRPr="009D7A56" w:rsidRDefault="009D7A56" w:rsidP="002E2C8F">
            <w:pPr>
              <w:jc w:val="center"/>
              <w:rPr>
                <w:rFonts w:ascii="Arial" w:hAnsi="Arial" w:cs="Arial"/>
                <w:sz w:val="20"/>
                <w:szCs w:val="20"/>
              </w:rPr>
            </w:pPr>
            <w:r w:rsidRPr="009D7A56">
              <w:rPr>
                <w:rFonts w:ascii="Arial" w:hAnsi="Arial" w:cs="Arial"/>
                <w:b/>
                <w:bCs/>
                <w:sz w:val="20"/>
                <w:szCs w:val="20"/>
              </w:rPr>
              <w:t>PHA4</w:t>
            </w:r>
          </w:p>
        </w:tc>
        <w:tc>
          <w:tcPr>
            <w:tcW w:w="1336" w:type="dxa"/>
            <w:vAlign w:val="center"/>
          </w:tcPr>
          <w:p w14:paraId="34427553" w14:textId="77777777" w:rsidR="009D7A56" w:rsidRPr="009D7A56" w:rsidRDefault="009D7A56" w:rsidP="002E2C8F">
            <w:pPr>
              <w:jc w:val="center"/>
              <w:rPr>
                <w:rFonts w:ascii="Arial" w:hAnsi="Arial" w:cs="Arial"/>
                <w:sz w:val="20"/>
                <w:szCs w:val="20"/>
              </w:rPr>
            </w:pPr>
            <w:r w:rsidRPr="009D7A56">
              <w:rPr>
                <w:rFonts w:ascii="Arial" w:hAnsi="Arial" w:cs="Arial"/>
                <w:b/>
                <w:bCs/>
                <w:sz w:val="20"/>
                <w:szCs w:val="20"/>
              </w:rPr>
              <w:t>PHA5</w:t>
            </w:r>
          </w:p>
        </w:tc>
      </w:tr>
      <w:tr w:rsidR="009D7A56" w:rsidRPr="009D7A56" w14:paraId="0A4BB2CD" w14:textId="77777777" w:rsidTr="002E2C8F">
        <w:tc>
          <w:tcPr>
            <w:tcW w:w="1335" w:type="dxa"/>
          </w:tcPr>
          <w:p w14:paraId="152F4D5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1</w:t>
            </w:r>
          </w:p>
        </w:tc>
        <w:tc>
          <w:tcPr>
            <w:tcW w:w="1335" w:type="dxa"/>
            <w:vAlign w:val="center"/>
          </w:tcPr>
          <w:p w14:paraId="52B623D2"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30</w:t>
            </w:r>
          </w:p>
        </w:tc>
        <w:tc>
          <w:tcPr>
            <w:tcW w:w="1336" w:type="dxa"/>
            <w:vAlign w:val="center"/>
          </w:tcPr>
          <w:p w14:paraId="308911BF"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0.063</w:t>
            </w:r>
          </w:p>
        </w:tc>
        <w:tc>
          <w:tcPr>
            <w:tcW w:w="1336" w:type="dxa"/>
            <w:vAlign w:val="center"/>
          </w:tcPr>
          <w:p w14:paraId="157A99CA"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0.111</w:t>
            </w:r>
          </w:p>
        </w:tc>
        <w:tc>
          <w:tcPr>
            <w:tcW w:w="1336" w:type="dxa"/>
            <w:vAlign w:val="center"/>
          </w:tcPr>
          <w:p w14:paraId="1B6AA636"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0.045</w:t>
            </w:r>
          </w:p>
        </w:tc>
        <w:tc>
          <w:tcPr>
            <w:tcW w:w="1336" w:type="dxa"/>
            <w:vAlign w:val="center"/>
          </w:tcPr>
          <w:p w14:paraId="65773890"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0.095</w:t>
            </w:r>
          </w:p>
        </w:tc>
        <w:tc>
          <w:tcPr>
            <w:tcW w:w="1336" w:type="dxa"/>
            <w:vAlign w:val="center"/>
          </w:tcPr>
          <w:p w14:paraId="29C1C91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0.030</w:t>
            </w:r>
          </w:p>
        </w:tc>
      </w:tr>
      <w:tr w:rsidR="009D7A56" w:rsidRPr="009D7A56" w14:paraId="65CF4421" w14:textId="77777777" w:rsidTr="002E2C8F">
        <w:tc>
          <w:tcPr>
            <w:tcW w:w="1335" w:type="dxa"/>
          </w:tcPr>
          <w:p w14:paraId="15170E3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2</w:t>
            </w:r>
          </w:p>
        </w:tc>
        <w:tc>
          <w:tcPr>
            <w:tcW w:w="1335" w:type="dxa"/>
            <w:vAlign w:val="center"/>
          </w:tcPr>
          <w:p w14:paraId="3089CA45"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60</w:t>
            </w:r>
          </w:p>
        </w:tc>
        <w:tc>
          <w:tcPr>
            <w:tcW w:w="1336" w:type="dxa"/>
            <w:vAlign w:val="center"/>
          </w:tcPr>
          <w:p w14:paraId="312194EE"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0.108</w:t>
            </w:r>
          </w:p>
        </w:tc>
        <w:tc>
          <w:tcPr>
            <w:tcW w:w="1336" w:type="dxa"/>
            <w:vAlign w:val="center"/>
          </w:tcPr>
          <w:p w14:paraId="705B3C75"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0.115</w:t>
            </w:r>
          </w:p>
        </w:tc>
        <w:tc>
          <w:tcPr>
            <w:tcW w:w="1336" w:type="dxa"/>
            <w:vAlign w:val="center"/>
          </w:tcPr>
          <w:p w14:paraId="772B581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0.047</w:t>
            </w:r>
          </w:p>
        </w:tc>
        <w:tc>
          <w:tcPr>
            <w:tcW w:w="1336" w:type="dxa"/>
            <w:vAlign w:val="center"/>
          </w:tcPr>
          <w:p w14:paraId="54DECF9B"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0.122</w:t>
            </w:r>
          </w:p>
        </w:tc>
        <w:tc>
          <w:tcPr>
            <w:tcW w:w="1336" w:type="dxa"/>
            <w:vAlign w:val="center"/>
          </w:tcPr>
          <w:p w14:paraId="02CF4D25"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0.050</w:t>
            </w:r>
          </w:p>
        </w:tc>
      </w:tr>
      <w:tr w:rsidR="009D7A56" w:rsidRPr="009D7A56" w14:paraId="529347E2" w14:textId="77777777" w:rsidTr="002E2C8F">
        <w:tc>
          <w:tcPr>
            <w:tcW w:w="1335" w:type="dxa"/>
          </w:tcPr>
          <w:p w14:paraId="5B758EF7"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3</w:t>
            </w:r>
          </w:p>
        </w:tc>
        <w:tc>
          <w:tcPr>
            <w:tcW w:w="1335" w:type="dxa"/>
            <w:vAlign w:val="center"/>
          </w:tcPr>
          <w:p w14:paraId="47FA7691"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90</w:t>
            </w:r>
          </w:p>
        </w:tc>
        <w:tc>
          <w:tcPr>
            <w:tcW w:w="1336" w:type="dxa"/>
            <w:vAlign w:val="center"/>
          </w:tcPr>
          <w:p w14:paraId="6EA37489"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0.115</w:t>
            </w:r>
          </w:p>
        </w:tc>
        <w:tc>
          <w:tcPr>
            <w:tcW w:w="1336" w:type="dxa"/>
            <w:vAlign w:val="center"/>
          </w:tcPr>
          <w:p w14:paraId="0FBAA02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0.119</w:t>
            </w:r>
          </w:p>
        </w:tc>
        <w:tc>
          <w:tcPr>
            <w:tcW w:w="1336" w:type="dxa"/>
            <w:vAlign w:val="center"/>
          </w:tcPr>
          <w:p w14:paraId="059E15A4"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0.053</w:t>
            </w:r>
          </w:p>
        </w:tc>
        <w:tc>
          <w:tcPr>
            <w:tcW w:w="1336" w:type="dxa"/>
            <w:vAlign w:val="center"/>
          </w:tcPr>
          <w:p w14:paraId="1CB0ED87"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0.135</w:t>
            </w:r>
          </w:p>
        </w:tc>
        <w:tc>
          <w:tcPr>
            <w:tcW w:w="1336" w:type="dxa"/>
            <w:vAlign w:val="center"/>
          </w:tcPr>
          <w:p w14:paraId="4A950951"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0.060</w:t>
            </w:r>
          </w:p>
        </w:tc>
      </w:tr>
      <w:tr w:rsidR="009D7A56" w:rsidRPr="009D7A56" w14:paraId="0C0FDB58" w14:textId="77777777" w:rsidTr="002E2C8F">
        <w:tc>
          <w:tcPr>
            <w:tcW w:w="1335" w:type="dxa"/>
          </w:tcPr>
          <w:p w14:paraId="773992A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4</w:t>
            </w:r>
          </w:p>
        </w:tc>
        <w:tc>
          <w:tcPr>
            <w:tcW w:w="1335" w:type="dxa"/>
            <w:vAlign w:val="center"/>
          </w:tcPr>
          <w:p w14:paraId="76BCCE10"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120</w:t>
            </w:r>
          </w:p>
        </w:tc>
        <w:tc>
          <w:tcPr>
            <w:tcW w:w="1336" w:type="dxa"/>
            <w:vAlign w:val="center"/>
          </w:tcPr>
          <w:p w14:paraId="443A262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0.120</w:t>
            </w:r>
          </w:p>
        </w:tc>
        <w:tc>
          <w:tcPr>
            <w:tcW w:w="1336" w:type="dxa"/>
            <w:vAlign w:val="center"/>
          </w:tcPr>
          <w:p w14:paraId="05D5DCF8"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0.123</w:t>
            </w:r>
          </w:p>
        </w:tc>
        <w:tc>
          <w:tcPr>
            <w:tcW w:w="1336" w:type="dxa"/>
            <w:vAlign w:val="center"/>
          </w:tcPr>
          <w:p w14:paraId="788AB7CF"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0.056</w:t>
            </w:r>
          </w:p>
        </w:tc>
        <w:tc>
          <w:tcPr>
            <w:tcW w:w="1336" w:type="dxa"/>
            <w:vAlign w:val="center"/>
          </w:tcPr>
          <w:p w14:paraId="7CBA765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0.188</w:t>
            </w:r>
          </w:p>
        </w:tc>
        <w:tc>
          <w:tcPr>
            <w:tcW w:w="1336" w:type="dxa"/>
            <w:vAlign w:val="center"/>
          </w:tcPr>
          <w:p w14:paraId="185B927F"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0.087</w:t>
            </w:r>
          </w:p>
        </w:tc>
      </w:tr>
      <w:tr w:rsidR="009D7A56" w:rsidRPr="009D7A56" w14:paraId="2283D589" w14:textId="77777777" w:rsidTr="002E2C8F">
        <w:tc>
          <w:tcPr>
            <w:tcW w:w="1335" w:type="dxa"/>
          </w:tcPr>
          <w:p w14:paraId="575E8434"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5</w:t>
            </w:r>
          </w:p>
        </w:tc>
        <w:tc>
          <w:tcPr>
            <w:tcW w:w="1335" w:type="dxa"/>
            <w:vAlign w:val="center"/>
          </w:tcPr>
          <w:p w14:paraId="6002926F"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150</w:t>
            </w:r>
          </w:p>
        </w:tc>
        <w:tc>
          <w:tcPr>
            <w:tcW w:w="1336" w:type="dxa"/>
            <w:vAlign w:val="center"/>
          </w:tcPr>
          <w:p w14:paraId="5DB89A78"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0.126</w:t>
            </w:r>
          </w:p>
        </w:tc>
        <w:tc>
          <w:tcPr>
            <w:tcW w:w="1336" w:type="dxa"/>
            <w:vAlign w:val="center"/>
          </w:tcPr>
          <w:p w14:paraId="0E0AC7E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0.130</w:t>
            </w:r>
          </w:p>
        </w:tc>
        <w:tc>
          <w:tcPr>
            <w:tcW w:w="1336" w:type="dxa"/>
            <w:vAlign w:val="center"/>
          </w:tcPr>
          <w:p w14:paraId="4EA2FE38"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0.067</w:t>
            </w:r>
          </w:p>
        </w:tc>
        <w:tc>
          <w:tcPr>
            <w:tcW w:w="1336" w:type="dxa"/>
            <w:vAlign w:val="center"/>
          </w:tcPr>
          <w:p w14:paraId="5DFF915E"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0.245</w:t>
            </w:r>
          </w:p>
        </w:tc>
        <w:tc>
          <w:tcPr>
            <w:tcW w:w="1336" w:type="dxa"/>
            <w:vAlign w:val="center"/>
          </w:tcPr>
          <w:p w14:paraId="3078B9F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0.140</w:t>
            </w:r>
          </w:p>
        </w:tc>
      </w:tr>
      <w:tr w:rsidR="009D7A56" w:rsidRPr="009D7A56" w14:paraId="7D1E5031" w14:textId="77777777" w:rsidTr="002E2C8F">
        <w:tc>
          <w:tcPr>
            <w:tcW w:w="1335" w:type="dxa"/>
          </w:tcPr>
          <w:p w14:paraId="36A3AC35"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6</w:t>
            </w:r>
          </w:p>
        </w:tc>
        <w:tc>
          <w:tcPr>
            <w:tcW w:w="1335" w:type="dxa"/>
            <w:vAlign w:val="center"/>
          </w:tcPr>
          <w:p w14:paraId="4012330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180</w:t>
            </w:r>
          </w:p>
        </w:tc>
        <w:tc>
          <w:tcPr>
            <w:tcW w:w="1336" w:type="dxa"/>
            <w:vAlign w:val="center"/>
          </w:tcPr>
          <w:p w14:paraId="153BD80E"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0.166</w:t>
            </w:r>
          </w:p>
        </w:tc>
        <w:tc>
          <w:tcPr>
            <w:tcW w:w="1336" w:type="dxa"/>
            <w:vAlign w:val="center"/>
          </w:tcPr>
          <w:p w14:paraId="33DC3C05"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0.169</w:t>
            </w:r>
          </w:p>
        </w:tc>
        <w:tc>
          <w:tcPr>
            <w:tcW w:w="1336" w:type="dxa"/>
            <w:vAlign w:val="center"/>
          </w:tcPr>
          <w:p w14:paraId="22F768BB"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0.168</w:t>
            </w:r>
          </w:p>
        </w:tc>
        <w:tc>
          <w:tcPr>
            <w:tcW w:w="1336" w:type="dxa"/>
            <w:vAlign w:val="center"/>
          </w:tcPr>
          <w:p w14:paraId="08798A68"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0.300</w:t>
            </w:r>
          </w:p>
        </w:tc>
        <w:tc>
          <w:tcPr>
            <w:tcW w:w="1336" w:type="dxa"/>
            <w:vAlign w:val="center"/>
          </w:tcPr>
          <w:p w14:paraId="39BF5B4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0.290</w:t>
            </w:r>
          </w:p>
        </w:tc>
      </w:tr>
      <w:tr w:rsidR="009D7A56" w:rsidRPr="009D7A56" w14:paraId="750612D7" w14:textId="77777777" w:rsidTr="002E2C8F">
        <w:tc>
          <w:tcPr>
            <w:tcW w:w="1335" w:type="dxa"/>
          </w:tcPr>
          <w:p w14:paraId="0EF762F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7</w:t>
            </w:r>
          </w:p>
        </w:tc>
        <w:tc>
          <w:tcPr>
            <w:tcW w:w="1335" w:type="dxa"/>
            <w:vAlign w:val="center"/>
          </w:tcPr>
          <w:p w14:paraId="439D28B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210</w:t>
            </w:r>
          </w:p>
        </w:tc>
        <w:tc>
          <w:tcPr>
            <w:tcW w:w="1336" w:type="dxa"/>
            <w:vAlign w:val="center"/>
          </w:tcPr>
          <w:p w14:paraId="7F2F3BFB"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0.199</w:t>
            </w:r>
          </w:p>
        </w:tc>
        <w:tc>
          <w:tcPr>
            <w:tcW w:w="1336" w:type="dxa"/>
            <w:vAlign w:val="center"/>
          </w:tcPr>
          <w:p w14:paraId="521D0E09"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0.287</w:t>
            </w:r>
          </w:p>
        </w:tc>
        <w:tc>
          <w:tcPr>
            <w:tcW w:w="1336" w:type="dxa"/>
            <w:vAlign w:val="center"/>
          </w:tcPr>
          <w:p w14:paraId="3FB040DE"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0.320</w:t>
            </w:r>
          </w:p>
        </w:tc>
        <w:tc>
          <w:tcPr>
            <w:tcW w:w="1336" w:type="dxa"/>
            <w:vAlign w:val="center"/>
          </w:tcPr>
          <w:p w14:paraId="67B55711"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0.378</w:t>
            </w:r>
          </w:p>
        </w:tc>
        <w:tc>
          <w:tcPr>
            <w:tcW w:w="1336" w:type="dxa"/>
            <w:vAlign w:val="center"/>
          </w:tcPr>
          <w:p w14:paraId="32DA1FE3"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0.490</w:t>
            </w:r>
          </w:p>
        </w:tc>
      </w:tr>
      <w:tr w:rsidR="009D7A56" w:rsidRPr="009D7A56" w14:paraId="562907A7" w14:textId="77777777" w:rsidTr="002E2C8F">
        <w:tc>
          <w:tcPr>
            <w:tcW w:w="1335" w:type="dxa"/>
          </w:tcPr>
          <w:p w14:paraId="050DB7F9"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8</w:t>
            </w:r>
          </w:p>
        </w:tc>
        <w:tc>
          <w:tcPr>
            <w:tcW w:w="1335" w:type="dxa"/>
            <w:vAlign w:val="center"/>
          </w:tcPr>
          <w:p w14:paraId="7A57744A"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240</w:t>
            </w:r>
          </w:p>
        </w:tc>
        <w:tc>
          <w:tcPr>
            <w:tcW w:w="1336" w:type="dxa"/>
            <w:vAlign w:val="center"/>
          </w:tcPr>
          <w:p w14:paraId="08153ADD"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0.281</w:t>
            </w:r>
          </w:p>
        </w:tc>
        <w:tc>
          <w:tcPr>
            <w:tcW w:w="1336" w:type="dxa"/>
            <w:vAlign w:val="center"/>
          </w:tcPr>
          <w:p w14:paraId="317FED0E"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0.395</w:t>
            </w:r>
          </w:p>
        </w:tc>
        <w:tc>
          <w:tcPr>
            <w:tcW w:w="1336" w:type="dxa"/>
            <w:vAlign w:val="center"/>
          </w:tcPr>
          <w:p w14:paraId="13B5F17A"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0.454</w:t>
            </w:r>
          </w:p>
        </w:tc>
        <w:tc>
          <w:tcPr>
            <w:tcW w:w="1336" w:type="dxa"/>
            <w:vAlign w:val="center"/>
          </w:tcPr>
          <w:p w14:paraId="45FDA26C"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0.475</w:t>
            </w:r>
          </w:p>
        </w:tc>
        <w:tc>
          <w:tcPr>
            <w:tcW w:w="1336" w:type="dxa"/>
            <w:vAlign w:val="center"/>
          </w:tcPr>
          <w:p w14:paraId="2E4CDF8E" w14:textId="77777777" w:rsidR="009D7A56" w:rsidRPr="009D7A56" w:rsidRDefault="009D7A56" w:rsidP="002E2C8F">
            <w:pPr>
              <w:jc w:val="center"/>
              <w:rPr>
                <w:rFonts w:ascii="Arial" w:hAnsi="Arial" w:cs="Arial"/>
                <w:sz w:val="20"/>
                <w:szCs w:val="20"/>
              </w:rPr>
            </w:pPr>
            <w:r w:rsidRPr="009D7A56">
              <w:rPr>
                <w:rFonts w:ascii="Arial" w:hAnsi="Arial" w:cs="Arial"/>
                <w:sz w:val="20"/>
                <w:szCs w:val="20"/>
              </w:rPr>
              <w:t>0.560</w:t>
            </w:r>
          </w:p>
        </w:tc>
      </w:tr>
    </w:tbl>
    <w:p w14:paraId="42CE74DC" w14:textId="77777777" w:rsidR="0005579B" w:rsidRDefault="0005579B" w:rsidP="001C5B92">
      <w:pPr>
        <w:spacing w:after="0" w:line="360" w:lineRule="auto"/>
        <w:jc w:val="both"/>
        <w:rPr>
          <w:rFonts w:ascii="Arial" w:hAnsi="Arial" w:cs="Arial"/>
          <w:b/>
          <w:bCs/>
        </w:rPr>
      </w:pPr>
    </w:p>
    <w:p w14:paraId="132DBD07" w14:textId="76E82488" w:rsidR="00A4419B" w:rsidRPr="00AD7CE7" w:rsidRDefault="001C5B92" w:rsidP="001C5B92">
      <w:pPr>
        <w:spacing w:after="0" w:line="360" w:lineRule="auto"/>
        <w:jc w:val="both"/>
        <w:rPr>
          <w:rFonts w:ascii="Arial" w:hAnsi="Arial" w:cs="Arial"/>
          <w:b/>
          <w:bCs/>
        </w:rPr>
      </w:pPr>
      <w:r w:rsidRPr="00AD7CE7">
        <w:rPr>
          <w:rFonts w:ascii="Arial" w:hAnsi="Arial" w:cs="Arial"/>
          <w:b/>
          <w:bCs/>
        </w:rPr>
        <w:t>3.</w:t>
      </w:r>
      <w:r w:rsidR="00AD7CE7" w:rsidRPr="00AD7CE7">
        <w:rPr>
          <w:rFonts w:ascii="Arial" w:hAnsi="Arial" w:cs="Arial"/>
          <w:b/>
          <w:bCs/>
        </w:rPr>
        <w:t>4</w:t>
      </w:r>
      <w:r w:rsidRPr="00AD7CE7">
        <w:rPr>
          <w:rFonts w:ascii="Arial" w:hAnsi="Arial" w:cs="Arial"/>
          <w:b/>
          <w:bCs/>
        </w:rPr>
        <w:t xml:space="preserve"> PHA</w:t>
      </w:r>
      <w:r w:rsidR="00A4419B" w:rsidRPr="00AD7CE7">
        <w:rPr>
          <w:rFonts w:ascii="Arial" w:hAnsi="Arial" w:cs="Arial"/>
          <w:b/>
          <w:bCs/>
        </w:rPr>
        <w:t xml:space="preserve"> Production and Extraction</w:t>
      </w:r>
    </w:p>
    <w:p w14:paraId="14144C66" w14:textId="6C4BCBAF" w:rsidR="007A5805" w:rsidRDefault="00A4419B" w:rsidP="00E96BDE">
      <w:pPr>
        <w:spacing w:after="0" w:line="360" w:lineRule="auto"/>
        <w:ind w:firstLine="720"/>
        <w:jc w:val="both"/>
        <w:rPr>
          <w:rFonts w:ascii="Arial" w:hAnsi="Arial" w:cs="Arial"/>
          <w:b/>
          <w:bCs/>
          <w:noProof/>
          <w:sz w:val="20"/>
          <w:szCs w:val="20"/>
        </w:rPr>
      </w:pPr>
      <w:r w:rsidRPr="003F4ADB">
        <w:rPr>
          <w:rFonts w:ascii="Arial" w:hAnsi="Arial" w:cs="Arial"/>
          <w:sz w:val="20"/>
          <w:szCs w:val="20"/>
        </w:rPr>
        <w:t xml:space="preserve">The optimized isolate </w:t>
      </w:r>
      <w:r w:rsidR="001C5B92" w:rsidRPr="003F4ADB">
        <w:rPr>
          <w:rFonts w:ascii="Arial" w:hAnsi="Arial" w:cs="Arial"/>
          <w:sz w:val="20"/>
          <w:szCs w:val="20"/>
        </w:rPr>
        <w:t>PHA</w:t>
      </w:r>
      <w:r w:rsidRPr="003F4ADB">
        <w:rPr>
          <w:rFonts w:ascii="Arial" w:hAnsi="Arial" w:cs="Arial"/>
          <w:sz w:val="20"/>
          <w:szCs w:val="20"/>
        </w:rPr>
        <w:t xml:space="preserve"> was cultured for 72 hours</w:t>
      </w:r>
      <w:r w:rsidR="00E96BDE">
        <w:rPr>
          <w:rFonts w:ascii="Arial" w:hAnsi="Arial" w:cs="Arial"/>
          <w:sz w:val="20"/>
          <w:szCs w:val="20"/>
        </w:rPr>
        <w:t xml:space="preserve"> Figure 7(a)</w:t>
      </w:r>
      <w:r w:rsidRPr="003F4ADB">
        <w:rPr>
          <w:rFonts w:ascii="Arial" w:hAnsi="Arial" w:cs="Arial"/>
          <w:sz w:val="20"/>
          <w:szCs w:val="20"/>
        </w:rPr>
        <w:t xml:space="preserve">. Quantitative extraction using the </w:t>
      </w:r>
      <w:proofErr w:type="spellStart"/>
      <w:r w:rsidRPr="003F4ADB">
        <w:rPr>
          <w:rFonts w:ascii="Arial" w:hAnsi="Arial" w:cs="Arial"/>
          <w:sz w:val="20"/>
          <w:szCs w:val="20"/>
        </w:rPr>
        <w:t>NaOCl</w:t>
      </w:r>
      <w:proofErr w:type="spellEnd"/>
      <w:r w:rsidRPr="003F4ADB">
        <w:rPr>
          <w:rFonts w:ascii="Arial" w:hAnsi="Arial" w:cs="Arial"/>
          <w:sz w:val="20"/>
          <w:szCs w:val="20"/>
        </w:rPr>
        <w:t xml:space="preserve"> chloroform method yielded a final </w:t>
      </w:r>
      <w:r w:rsidR="001C5B92" w:rsidRPr="003F4ADB">
        <w:rPr>
          <w:rFonts w:ascii="Arial" w:hAnsi="Arial" w:cs="Arial"/>
          <w:sz w:val="20"/>
          <w:szCs w:val="20"/>
        </w:rPr>
        <w:t>PHA</w:t>
      </w:r>
      <w:r w:rsidRPr="003F4ADB">
        <w:rPr>
          <w:rFonts w:ascii="Arial" w:hAnsi="Arial" w:cs="Arial"/>
          <w:sz w:val="20"/>
          <w:szCs w:val="20"/>
        </w:rPr>
        <w:t xml:space="preserve"> dry weight</w:t>
      </w:r>
      <w:r w:rsidR="0078053E" w:rsidRPr="003F4ADB">
        <w:rPr>
          <w:rFonts w:ascii="Arial" w:hAnsi="Arial" w:cs="Arial"/>
          <w:sz w:val="20"/>
          <w:szCs w:val="20"/>
        </w:rPr>
        <w:t xml:space="preserve">, as shown in Figure </w:t>
      </w:r>
      <w:r w:rsidR="000C3DAA" w:rsidRPr="003F4ADB">
        <w:rPr>
          <w:rFonts w:ascii="Arial" w:hAnsi="Arial" w:cs="Arial"/>
          <w:sz w:val="20"/>
          <w:szCs w:val="20"/>
        </w:rPr>
        <w:t>7</w:t>
      </w:r>
      <w:r w:rsidR="00E96BDE">
        <w:rPr>
          <w:rFonts w:ascii="Arial" w:hAnsi="Arial" w:cs="Arial"/>
          <w:sz w:val="20"/>
          <w:szCs w:val="20"/>
        </w:rPr>
        <w:t xml:space="preserve"> (b). </w:t>
      </w:r>
      <w:r w:rsidR="00681E42" w:rsidRPr="003F4ADB">
        <w:rPr>
          <w:rFonts w:ascii="Arial" w:hAnsi="Arial" w:cs="Arial"/>
          <w:sz w:val="20"/>
          <w:szCs w:val="20"/>
        </w:rPr>
        <w:t xml:space="preserve">The selected </w:t>
      </w:r>
      <w:r w:rsidR="001C5B92" w:rsidRPr="003F4ADB">
        <w:rPr>
          <w:rFonts w:ascii="Arial" w:hAnsi="Arial" w:cs="Arial"/>
          <w:sz w:val="20"/>
          <w:szCs w:val="20"/>
        </w:rPr>
        <w:t>PHA</w:t>
      </w:r>
      <w:r w:rsidR="00681E42" w:rsidRPr="003F4ADB">
        <w:rPr>
          <w:rFonts w:ascii="Arial" w:hAnsi="Arial" w:cs="Arial"/>
          <w:sz w:val="20"/>
          <w:szCs w:val="20"/>
        </w:rPr>
        <w:t xml:space="preserve"> isolates were harvested, and after extraction, the </w:t>
      </w:r>
      <w:r w:rsidR="001C5B92" w:rsidRPr="003F4ADB">
        <w:rPr>
          <w:rFonts w:ascii="Arial" w:hAnsi="Arial" w:cs="Arial"/>
          <w:sz w:val="20"/>
          <w:szCs w:val="20"/>
        </w:rPr>
        <w:t>PHA</w:t>
      </w:r>
      <w:r w:rsidR="00681E42" w:rsidRPr="003F4ADB">
        <w:rPr>
          <w:rFonts w:ascii="Arial" w:hAnsi="Arial" w:cs="Arial"/>
          <w:sz w:val="20"/>
          <w:szCs w:val="20"/>
        </w:rPr>
        <w:t xml:space="preserve"> was quantified using the standard sulfuric acid digestion method (Law &amp; Slepecky, 1961). The maximum </w:t>
      </w:r>
      <w:r w:rsidR="001C5B92" w:rsidRPr="003F4ADB">
        <w:rPr>
          <w:rFonts w:ascii="Arial" w:hAnsi="Arial" w:cs="Arial"/>
          <w:sz w:val="20"/>
          <w:szCs w:val="20"/>
        </w:rPr>
        <w:t>PHA</w:t>
      </w:r>
      <w:r w:rsidR="00681E42" w:rsidRPr="003F4ADB">
        <w:rPr>
          <w:rFonts w:ascii="Arial" w:hAnsi="Arial" w:cs="Arial"/>
          <w:sz w:val="20"/>
          <w:szCs w:val="20"/>
        </w:rPr>
        <w:t xml:space="preserve"> yield achieved was 55.3% of the Cell Dry Weight (CDW), corresponding to a volumetric </w:t>
      </w:r>
      <w:r w:rsidR="001C5B92" w:rsidRPr="003F4ADB">
        <w:rPr>
          <w:rFonts w:ascii="Arial" w:hAnsi="Arial" w:cs="Arial"/>
          <w:sz w:val="20"/>
          <w:szCs w:val="20"/>
        </w:rPr>
        <w:t>PHA</w:t>
      </w:r>
      <w:r w:rsidR="00681E42" w:rsidRPr="003F4ADB">
        <w:rPr>
          <w:rFonts w:ascii="Arial" w:hAnsi="Arial" w:cs="Arial"/>
          <w:sz w:val="20"/>
          <w:szCs w:val="20"/>
        </w:rPr>
        <w:t xml:space="preserve"> concentration of 4.8 g/L.</w:t>
      </w:r>
      <w:r w:rsidR="000C3DAA" w:rsidRPr="003F4ADB">
        <w:rPr>
          <w:rFonts w:ascii="Arial" w:hAnsi="Arial" w:cs="Arial"/>
          <w:b/>
          <w:bCs/>
          <w:noProof/>
          <w:sz w:val="20"/>
          <w:szCs w:val="20"/>
        </w:rPr>
        <w:t xml:space="preserve">   </w:t>
      </w:r>
    </w:p>
    <w:p w14:paraId="3855ACD8" w14:textId="461AE9DD" w:rsidR="00E96BDE" w:rsidRDefault="00E96BDE" w:rsidP="00E96BDE">
      <w:pPr>
        <w:spacing w:after="0" w:line="360" w:lineRule="auto"/>
        <w:ind w:firstLine="720"/>
        <w:jc w:val="both"/>
        <w:rPr>
          <w:rFonts w:ascii="Arial" w:hAnsi="Arial" w:cs="Arial"/>
          <w:sz w:val="20"/>
          <w:szCs w:val="20"/>
        </w:rPr>
      </w:pPr>
      <w:r>
        <w:rPr>
          <w:noProof/>
        </w:rPr>
        <w:drawing>
          <wp:inline distT="0" distB="0" distL="0" distR="0" wp14:anchorId="118AA5BE" wp14:editId="0ED68DB1">
            <wp:extent cx="4486275" cy="2563728"/>
            <wp:effectExtent l="0" t="0" r="0" b="8255"/>
            <wp:docPr id="1148412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91327" cy="2566615"/>
                    </a:xfrm>
                    <a:prstGeom prst="rect">
                      <a:avLst/>
                    </a:prstGeom>
                    <a:noFill/>
                    <a:ln>
                      <a:noFill/>
                    </a:ln>
                  </pic:spPr>
                </pic:pic>
              </a:graphicData>
            </a:graphic>
          </wp:inline>
        </w:drawing>
      </w:r>
    </w:p>
    <w:p w14:paraId="3E368317" w14:textId="77777777" w:rsidR="00E96BDE" w:rsidRPr="00E96BDE" w:rsidRDefault="00E96BDE" w:rsidP="00E96BDE">
      <w:pPr>
        <w:spacing w:after="0" w:line="360" w:lineRule="auto"/>
        <w:rPr>
          <w:rFonts w:ascii="Arial" w:hAnsi="Arial" w:cs="Arial"/>
          <w:b/>
          <w:bCs/>
          <w:sz w:val="20"/>
          <w:szCs w:val="20"/>
        </w:rPr>
      </w:pPr>
      <w:r w:rsidRPr="00E96BDE">
        <w:rPr>
          <w:rFonts w:ascii="Arial" w:hAnsi="Arial" w:cs="Arial"/>
          <w:b/>
          <w:bCs/>
          <w:sz w:val="20"/>
          <w:szCs w:val="20"/>
        </w:rPr>
        <w:t>Fig. 7 a) Grown culture of PHA isolate for PHA extraction b) Extracted PHA polymer on plate</w:t>
      </w:r>
    </w:p>
    <w:p w14:paraId="0B57B139" w14:textId="77777777" w:rsidR="00E96BDE" w:rsidRPr="00E96BDE" w:rsidRDefault="00E96BDE" w:rsidP="00E96BDE">
      <w:pPr>
        <w:spacing w:after="0" w:line="360" w:lineRule="auto"/>
        <w:ind w:firstLine="720"/>
        <w:jc w:val="both"/>
        <w:rPr>
          <w:rFonts w:ascii="Arial" w:hAnsi="Arial" w:cs="Arial"/>
          <w:sz w:val="20"/>
          <w:szCs w:val="20"/>
        </w:rPr>
      </w:pPr>
    </w:p>
    <w:p w14:paraId="25571316" w14:textId="6E453BAC" w:rsidR="007A5805" w:rsidRPr="00AD7CE7" w:rsidRDefault="00AD7CE7" w:rsidP="001C5B92">
      <w:pPr>
        <w:spacing w:after="0" w:line="360" w:lineRule="auto"/>
        <w:jc w:val="both"/>
        <w:rPr>
          <w:rFonts w:ascii="Arial" w:hAnsi="Arial" w:cs="Arial"/>
          <w:b/>
          <w:bCs/>
        </w:rPr>
      </w:pPr>
      <w:r w:rsidRPr="00AD7CE7">
        <w:rPr>
          <w:rFonts w:ascii="Arial" w:hAnsi="Arial" w:cs="Arial"/>
          <w:b/>
          <w:bCs/>
        </w:rPr>
        <w:t>3.5</w:t>
      </w:r>
      <w:r w:rsidR="007A5805" w:rsidRPr="00AD7CE7">
        <w:rPr>
          <w:rFonts w:ascii="Arial" w:hAnsi="Arial" w:cs="Arial"/>
          <w:b/>
          <w:bCs/>
        </w:rPr>
        <w:t xml:space="preserve"> Effect of pH on </w:t>
      </w:r>
      <w:r w:rsidR="001C5B92" w:rsidRPr="00AD7CE7">
        <w:rPr>
          <w:rFonts w:ascii="Arial" w:hAnsi="Arial" w:cs="Arial"/>
          <w:b/>
          <w:bCs/>
        </w:rPr>
        <w:t>PHA</w:t>
      </w:r>
      <w:r w:rsidR="007A5805" w:rsidRPr="00AD7CE7">
        <w:rPr>
          <w:rFonts w:ascii="Arial" w:hAnsi="Arial" w:cs="Arial"/>
          <w:b/>
          <w:bCs/>
        </w:rPr>
        <w:t xml:space="preserve"> Production</w:t>
      </w:r>
    </w:p>
    <w:p w14:paraId="72A4A5F9" w14:textId="14FD3450" w:rsidR="00344119" w:rsidRPr="003F4ADB" w:rsidRDefault="007A5805"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The isolated strain was cultured in </w:t>
      </w:r>
      <w:r w:rsidR="001C5B92" w:rsidRPr="003F4ADB">
        <w:rPr>
          <w:rFonts w:ascii="Arial" w:hAnsi="Arial" w:cs="Arial"/>
          <w:sz w:val="20"/>
          <w:szCs w:val="20"/>
        </w:rPr>
        <w:t>PHA</w:t>
      </w:r>
      <w:r w:rsidRPr="003F4ADB">
        <w:rPr>
          <w:rFonts w:ascii="Arial" w:hAnsi="Arial" w:cs="Arial"/>
          <w:sz w:val="20"/>
          <w:szCs w:val="20"/>
        </w:rPr>
        <w:t>-producing media adjusted to a range of pH values (3 to 11). Bacterial growth was monitored by measuring the Optical Density (O.D.) at 640 nm after incubation</w:t>
      </w:r>
      <w:r w:rsidR="00CC469E" w:rsidRPr="003F4ADB">
        <w:rPr>
          <w:rFonts w:ascii="Arial" w:hAnsi="Arial" w:cs="Arial"/>
          <w:sz w:val="20"/>
          <w:szCs w:val="20"/>
        </w:rPr>
        <w:t xml:space="preserve">, as shown in Table </w:t>
      </w:r>
      <w:r w:rsidR="00A31A69" w:rsidRPr="003F4ADB">
        <w:rPr>
          <w:rFonts w:ascii="Arial" w:hAnsi="Arial" w:cs="Arial"/>
          <w:sz w:val="20"/>
          <w:szCs w:val="20"/>
        </w:rPr>
        <w:t>No. 5</w:t>
      </w:r>
    </w:p>
    <w:p w14:paraId="4B388ACA" w14:textId="457D25B9" w:rsidR="009D7A56" w:rsidRDefault="007A5805" w:rsidP="009D7A56">
      <w:pPr>
        <w:spacing w:after="0" w:line="360" w:lineRule="auto"/>
        <w:ind w:firstLine="720"/>
        <w:jc w:val="both"/>
        <w:rPr>
          <w:rFonts w:ascii="Arial" w:hAnsi="Arial" w:cs="Arial"/>
          <w:sz w:val="20"/>
          <w:szCs w:val="20"/>
        </w:rPr>
      </w:pPr>
      <w:r w:rsidRPr="003F4ADB">
        <w:rPr>
          <w:rFonts w:ascii="Arial" w:hAnsi="Arial" w:cs="Arial"/>
          <w:sz w:val="20"/>
          <w:szCs w:val="20"/>
        </w:rPr>
        <w:t>The results show that the isolate's growth is severely inhibited under acidic conditions, particularly at pH 3 (O.D.=0.10) and pH 5 (O.D.=0.20). Optimal growth, as indicated by the highest O.D. values, was observed in the alkaline range, peaking at pH 9 (O.D.=0.68), followed closely by pH 11 (O.D.=0.64) and pH 7 (O.D.=0.54). This indicates the organism is highly tolerant of neutral to moderate alkaline conditions.</w:t>
      </w:r>
    </w:p>
    <w:p w14:paraId="17D88E5F" w14:textId="77777777" w:rsidR="009D7A56" w:rsidRPr="009D7A56" w:rsidRDefault="009D7A56" w:rsidP="009D7A56">
      <w:pPr>
        <w:spacing w:after="0"/>
        <w:rPr>
          <w:rFonts w:ascii="Arial" w:hAnsi="Arial" w:cs="Arial"/>
          <w:b/>
          <w:bCs/>
        </w:rPr>
      </w:pPr>
      <w:r w:rsidRPr="009D7A56">
        <w:rPr>
          <w:rFonts w:ascii="Arial" w:hAnsi="Arial" w:cs="Arial"/>
          <w:b/>
          <w:bCs/>
        </w:rPr>
        <w:t>Table 5. Effect of pH on PHA production</w:t>
      </w:r>
    </w:p>
    <w:tbl>
      <w:tblPr>
        <w:tblStyle w:val="TableGrid"/>
        <w:tblpPr w:leftFromText="180" w:rightFromText="180" w:vertAnchor="text" w:horzAnchor="margin" w:tblpY="214"/>
        <w:tblW w:w="0" w:type="auto"/>
        <w:tblLook w:val="04A0" w:firstRow="1" w:lastRow="0" w:firstColumn="1" w:lastColumn="0" w:noHBand="0" w:noVBand="1"/>
      </w:tblPr>
      <w:tblGrid>
        <w:gridCol w:w="1080"/>
        <w:gridCol w:w="2610"/>
        <w:gridCol w:w="3330"/>
      </w:tblGrid>
      <w:tr w:rsidR="009D7A56" w:rsidRPr="009D7A56" w14:paraId="483118D9" w14:textId="77777777" w:rsidTr="002E2C8F">
        <w:tc>
          <w:tcPr>
            <w:tcW w:w="1080" w:type="dxa"/>
          </w:tcPr>
          <w:p w14:paraId="5C5A99C4"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lastRenderedPageBreak/>
              <w:t>Sr. No.</w:t>
            </w:r>
          </w:p>
        </w:tc>
        <w:tc>
          <w:tcPr>
            <w:tcW w:w="2610" w:type="dxa"/>
          </w:tcPr>
          <w:p w14:paraId="1AC9E100"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pH</w:t>
            </w:r>
          </w:p>
        </w:tc>
        <w:tc>
          <w:tcPr>
            <w:tcW w:w="3330" w:type="dxa"/>
          </w:tcPr>
          <w:p w14:paraId="4DC98CF3"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O.D. (640nm)</w:t>
            </w:r>
          </w:p>
        </w:tc>
      </w:tr>
      <w:tr w:rsidR="009D7A56" w:rsidRPr="009D7A56" w14:paraId="3429FE66" w14:textId="77777777" w:rsidTr="002E2C8F">
        <w:tc>
          <w:tcPr>
            <w:tcW w:w="1080" w:type="dxa"/>
          </w:tcPr>
          <w:p w14:paraId="1E931D1E"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1</w:t>
            </w:r>
          </w:p>
        </w:tc>
        <w:tc>
          <w:tcPr>
            <w:tcW w:w="2610" w:type="dxa"/>
            <w:vAlign w:val="center"/>
          </w:tcPr>
          <w:p w14:paraId="0CD0CB0A" w14:textId="77777777" w:rsidR="009D7A56" w:rsidRPr="009D7A56" w:rsidRDefault="009D7A56" w:rsidP="002E2C8F">
            <w:pPr>
              <w:jc w:val="center"/>
              <w:rPr>
                <w:rFonts w:ascii="Arial" w:hAnsi="Arial" w:cs="Arial"/>
                <w:b/>
                <w:bCs/>
                <w:sz w:val="20"/>
                <w:szCs w:val="20"/>
              </w:rPr>
            </w:pPr>
            <w:r w:rsidRPr="009D7A56">
              <w:rPr>
                <w:rFonts w:ascii="Arial" w:hAnsi="Arial" w:cs="Arial"/>
                <w:sz w:val="20"/>
                <w:szCs w:val="20"/>
              </w:rPr>
              <w:t>3</w:t>
            </w:r>
          </w:p>
        </w:tc>
        <w:tc>
          <w:tcPr>
            <w:tcW w:w="3330" w:type="dxa"/>
            <w:vAlign w:val="center"/>
          </w:tcPr>
          <w:p w14:paraId="4109E885" w14:textId="77777777" w:rsidR="009D7A56" w:rsidRPr="009D7A56" w:rsidRDefault="009D7A56" w:rsidP="002E2C8F">
            <w:pPr>
              <w:jc w:val="center"/>
              <w:rPr>
                <w:rFonts w:ascii="Arial" w:hAnsi="Arial" w:cs="Arial"/>
                <w:b/>
                <w:bCs/>
                <w:sz w:val="20"/>
                <w:szCs w:val="20"/>
              </w:rPr>
            </w:pPr>
            <w:r w:rsidRPr="009D7A56">
              <w:rPr>
                <w:rFonts w:ascii="Arial" w:hAnsi="Arial" w:cs="Arial"/>
                <w:sz w:val="20"/>
                <w:szCs w:val="20"/>
              </w:rPr>
              <w:t>0.10</w:t>
            </w:r>
          </w:p>
        </w:tc>
      </w:tr>
      <w:tr w:rsidR="009D7A56" w:rsidRPr="009D7A56" w14:paraId="594434E7" w14:textId="77777777" w:rsidTr="002E2C8F">
        <w:tc>
          <w:tcPr>
            <w:tcW w:w="1080" w:type="dxa"/>
          </w:tcPr>
          <w:p w14:paraId="4A115EDA"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2</w:t>
            </w:r>
          </w:p>
        </w:tc>
        <w:tc>
          <w:tcPr>
            <w:tcW w:w="2610" w:type="dxa"/>
            <w:vAlign w:val="center"/>
          </w:tcPr>
          <w:p w14:paraId="1770BC32" w14:textId="77777777" w:rsidR="009D7A56" w:rsidRPr="009D7A56" w:rsidRDefault="009D7A56" w:rsidP="002E2C8F">
            <w:pPr>
              <w:jc w:val="center"/>
              <w:rPr>
                <w:rFonts w:ascii="Arial" w:hAnsi="Arial" w:cs="Arial"/>
                <w:b/>
                <w:bCs/>
                <w:sz w:val="20"/>
                <w:szCs w:val="20"/>
              </w:rPr>
            </w:pPr>
            <w:r w:rsidRPr="009D7A56">
              <w:rPr>
                <w:rFonts w:ascii="Arial" w:hAnsi="Arial" w:cs="Arial"/>
                <w:sz w:val="20"/>
                <w:szCs w:val="20"/>
              </w:rPr>
              <w:t>5</w:t>
            </w:r>
          </w:p>
        </w:tc>
        <w:tc>
          <w:tcPr>
            <w:tcW w:w="3330" w:type="dxa"/>
            <w:vAlign w:val="center"/>
          </w:tcPr>
          <w:p w14:paraId="5AF08C53" w14:textId="77777777" w:rsidR="009D7A56" w:rsidRPr="009D7A56" w:rsidRDefault="009D7A56" w:rsidP="002E2C8F">
            <w:pPr>
              <w:jc w:val="center"/>
              <w:rPr>
                <w:rFonts w:ascii="Arial" w:hAnsi="Arial" w:cs="Arial"/>
                <w:b/>
                <w:bCs/>
                <w:sz w:val="20"/>
                <w:szCs w:val="20"/>
              </w:rPr>
            </w:pPr>
            <w:r w:rsidRPr="009D7A56">
              <w:rPr>
                <w:rFonts w:ascii="Arial" w:hAnsi="Arial" w:cs="Arial"/>
                <w:sz w:val="20"/>
                <w:szCs w:val="20"/>
              </w:rPr>
              <w:t>0.20</w:t>
            </w:r>
          </w:p>
        </w:tc>
      </w:tr>
      <w:tr w:rsidR="009D7A56" w:rsidRPr="009D7A56" w14:paraId="2207EF7F" w14:textId="77777777" w:rsidTr="002E2C8F">
        <w:tc>
          <w:tcPr>
            <w:tcW w:w="1080" w:type="dxa"/>
          </w:tcPr>
          <w:p w14:paraId="28AE5936"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3</w:t>
            </w:r>
          </w:p>
        </w:tc>
        <w:tc>
          <w:tcPr>
            <w:tcW w:w="2610" w:type="dxa"/>
            <w:vAlign w:val="center"/>
          </w:tcPr>
          <w:p w14:paraId="43A1378C"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7</w:t>
            </w:r>
          </w:p>
        </w:tc>
        <w:tc>
          <w:tcPr>
            <w:tcW w:w="3330" w:type="dxa"/>
            <w:vAlign w:val="center"/>
          </w:tcPr>
          <w:p w14:paraId="1ADCC1EA"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0.54</w:t>
            </w:r>
          </w:p>
        </w:tc>
      </w:tr>
      <w:tr w:rsidR="009D7A56" w:rsidRPr="009D7A56" w14:paraId="79799AEE" w14:textId="77777777" w:rsidTr="002E2C8F">
        <w:tc>
          <w:tcPr>
            <w:tcW w:w="1080" w:type="dxa"/>
          </w:tcPr>
          <w:p w14:paraId="257BAB89"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4</w:t>
            </w:r>
          </w:p>
        </w:tc>
        <w:tc>
          <w:tcPr>
            <w:tcW w:w="2610" w:type="dxa"/>
            <w:vAlign w:val="center"/>
          </w:tcPr>
          <w:p w14:paraId="14707CCA"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9</w:t>
            </w:r>
          </w:p>
        </w:tc>
        <w:tc>
          <w:tcPr>
            <w:tcW w:w="3330" w:type="dxa"/>
            <w:vAlign w:val="center"/>
          </w:tcPr>
          <w:p w14:paraId="3A7018F1"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0.68</w:t>
            </w:r>
          </w:p>
        </w:tc>
      </w:tr>
      <w:tr w:rsidR="009D7A56" w:rsidRPr="009D7A56" w14:paraId="1D7E797F" w14:textId="77777777" w:rsidTr="002E2C8F">
        <w:tc>
          <w:tcPr>
            <w:tcW w:w="1080" w:type="dxa"/>
          </w:tcPr>
          <w:p w14:paraId="4939A44E" w14:textId="77777777" w:rsidR="009D7A56" w:rsidRPr="009D7A56" w:rsidRDefault="009D7A56" w:rsidP="002E2C8F">
            <w:pPr>
              <w:jc w:val="center"/>
              <w:rPr>
                <w:rFonts w:ascii="Arial" w:hAnsi="Arial" w:cs="Arial"/>
                <w:b/>
                <w:bCs/>
                <w:sz w:val="20"/>
                <w:szCs w:val="20"/>
              </w:rPr>
            </w:pPr>
            <w:r w:rsidRPr="009D7A56">
              <w:rPr>
                <w:rFonts w:ascii="Arial" w:hAnsi="Arial" w:cs="Arial"/>
                <w:b/>
                <w:bCs/>
                <w:sz w:val="20"/>
                <w:szCs w:val="20"/>
              </w:rPr>
              <w:t>5</w:t>
            </w:r>
          </w:p>
        </w:tc>
        <w:tc>
          <w:tcPr>
            <w:tcW w:w="2610" w:type="dxa"/>
            <w:vAlign w:val="center"/>
          </w:tcPr>
          <w:p w14:paraId="43612A50" w14:textId="77777777" w:rsidR="009D7A56" w:rsidRPr="009D7A56" w:rsidRDefault="009D7A56" w:rsidP="002E2C8F">
            <w:pPr>
              <w:jc w:val="center"/>
              <w:rPr>
                <w:rFonts w:ascii="Arial" w:hAnsi="Arial" w:cs="Arial"/>
                <w:b/>
                <w:bCs/>
                <w:sz w:val="20"/>
                <w:szCs w:val="20"/>
              </w:rPr>
            </w:pPr>
            <w:r w:rsidRPr="009D7A56">
              <w:rPr>
                <w:rFonts w:ascii="Arial" w:hAnsi="Arial" w:cs="Arial"/>
                <w:sz w:val="20"/>
                <w:szCs w:val="20"/>
              </w:rPr>
              <w:t>11</w:t>
            </w:r>
          </w:p>
        </w:tc>
        <w:tc>
          <w:tcPr>
            <w:tcW w:w="3330" w:type="dxa"/>
            <w:vAlign w:val="center"/>
          </w:tcPr>
          <w:p w14:paraId="01A12113" w14:textId="77777777" w:rsidR="009D7A56" w:rsidRPr="009D7A56" w:rsidRDefault="009D7A56" w:rsidP="002E2C8F">
            <w:pPr>
              <w:jc w:val="center"/>
              <w:rPr>
                <w:rFonts w:ascii="Arial" w:hAnsi="Arial" w:cs="Arial"/>
                <w:b/>
                <w:bCs/>
                <w:sz w:val="20"/>
                <w:szCs w:val="20"/>
              </w:rPr>
            </w:pPr>
            <w:r w:rsidRPr="009D7A56">
              <w:rPr>
                <w:rFonts w:ascii="Arial" w:hAnsi="Arial" w:cs="Arial"/>
                <w:sz w:val="20"/>
                <w:szCs w:val="20"/>
              </w:rPr>
              <w:t>0.64</w:t>
            </w:r>
          </w:p>
        </w:tc>
      </w:tr>
    </w:tbl>
    <w:p w14:paraId="2194D0EB" w14:textId="77777777" w:rsidR="009D7A56" w:rsidRDefault="009D7A56" w:rsidP="001C5B92">
      <w:pPr>
        <w:spacing w:after="0" w:line="360" w:lineRule="auto"/>
        <w:ind w:firstLine="720"/>
        <w:jc w:val="both"/>
        <w:rPr>
          <w:rFonts w:ascii="Arial" w:hAnsi="Arial" w:cs="Arial"/>
          <w:sz w:val="20"/>
          <w:szCs w:val="20"/>
        </w:rPr>
      </w:pPr>
    </w:p>
    <w:p w14:paraId="06D204D0" w14:textId="77777777" w:rsidR="009D7A56" w:rsidRDefault="009D7A56" w:rsidP="001C5B92">
      <w:pPr>
        <w:spacing w:after="0" w:line="360" w:lineRule="auto"/>
        <w:ind w:firstLine="720"/>
        <w:jc w:val="both"/>
        <w:rPr>
          <w:rFonts w:ascii="Arial" w:hAnsi="Arial" w:cs="Arial"/>
          <w:sz w:val="20"/>
          <w:szCs w:val="20"/>
        </w:rPr>
      </w:pPr>
    </w:p>
    <w:p w14:paraId="62E5A1CD" w14:textId="77777777" w:rsidR="009D7A56" w:rsidRDefault="009D7A56" w:rsidP="001C5B92">
      <w:pPr>
        <w:spacing w:after="0" w:line="360" w:lineRule="auto"/>
        <w:ind w:firstLine="720"/>
        <w:jc w:val="both"/>
        <w:rPr>
          <w:rFonts w:ascii="Arial" w:hAnsi="Arial" w:cs="Arial"/>
          <w:sz w:val="20"/>
          <w:szCs w:val="20"/>
        </w:rPr>
      </w:pPr>
    </w:p>
    <w:p w14:paraId="40762E14" w14:textId="77777777" w:rsidR="009D7A56" w:rsidRDefault="009D7A56" w:rsidP="001C5B92">
      <w:pPr>
        <w:spacing w:after="0" w:line="360" w:lineRule="auto"/>
        <w:ind w:firstLine="720"/>
        <w:jc w:val="both"/>
        <w:rPr>
          <w:rFonts w:ascii="Arial" w:hAnsi="Arial" w:cs="Arial"/>
          <w:sz w:val="20"/>
          <w:szCs w:val="20"/>
        </w:rPr>
      </w:pPr>
    </w:p>
    <w:p w14:paraId="6981352B" w14:textId="77777777" w:rsidR="009D7A56" w:rsidRDefault="009D7A56" w:rsidP="009D7A56">
      <w:pPr>
        <w:spacing w:after="0" w:line="360" w:lineRule="auto"/>
        <w:jc w:val="both"/>
        <w:rPr>
          <w:rFonts w:ascii="Arial" w:hAnsi="Arial" w:cs="Arial"/>
          <w:sz w:val="20"/>
          <w:szCs w:val="20"/>
        </w:rPr>
      </w:pPr>
    </w:p>
    <w:p w14:paraId="1A2C1D20" w14:textId="77777777" w:rsidR="009D7A56" w:rsidRPr="003F4ADB" w:rsidRDefault="009D7A56" w:rsidP="009D7A56">
      <w:pPr>
        <w:spacing w:after="0" w:line="360" w:lineRule="auto"/>
        <w:jc w:val="both"/>
        <w:rPr>
          <w:rFonts w:ascii="Arial" w:hAnsi="Arial" w:cs="Arial"/>
          <w:sz w:val="20"/>
          <w:szCs w:val="20"/>
        </w:rPr>
      </w:pPr>
    </w:p>
    <w:p w14:paraId="55C85207" w14:textId="5D32C171" w:rsidR="007A5805" w:rsidRPr="00AD7CE7" w:rsidRDefault="00AD7CE7" w:rsidP="001C5B92">
      <w:pPr>
        <w:spacing w:after="0" w:line="360" w:lineRule="auto"/>
        <w:jc w:val="both"/>
        <w:rPr>
          <w:rFonts w:ascii="Arial" w:hAnsi="Arial" w:cs="Arial"/>
          <w:b/>
          <w:bCs/>
        </w:rPr>
      </w:pPr>
      <w:r w:rsidRPr="00AD7CE7">
        <w:rPr>
          <w:rFonts w:ascii="Arial" w:hAnsi="Arial" w:cs="Arial"/>
          <w:b/>
          <w:bCs/>
        </w:rPr>
        <w:t>3.6</w:t>
      </w:r>
      <w:r w:rsidR="007A5805" w:rsidRPr="00AD7CE7">
        <w:rPr>
          <w:rFonts w:ascii="Arial" w:hAnsi="Arial" w:cs="Arial"/>
          <w:b/>
          <w:bCs/>
        </w:rPr>
        <w:t xml:space="preserve"> Effect of NaCl Concentration on </w:t>
      </w:r>
      <w:r w:rsidR="001C5B92" w:rsidRPr="00AD7CE7">
        <w:rPr>
          <w:rFonts w:ascii="Arial" w:hAnsi="Arial" w:cs="Arial"/>
          <w:b/>
          <w:bCs/>
        </w:rPr>
        <w:t>PHA</w:t>
      </w:r>
      <w:r w:rsidR="007A5805" w:rsidRPr="00AD7CE7">
        <w:rPr>
          <w:rFonts w:ascii="Arial" w:hAnsi="Arial" w:cs="Arial"/>
          <w:b/>
          <w:bCs/>
        </w:rPr>
        <w:t xml:space="preserve"> Production</w:t>
      </w:r>
    </w:p>
    <w:p w14:paraId="6FB1D75C" w14:textId="3F98E3BC" w:rsidR="00CD7AD6" w:rsidRPr="003F4ADB" w:rsidRDefault="007A5805" w:rsidP="001C5B92">
      <w:pPr>
        <w:spacing w:after="0" w:line="360" w:lineRule="auto"/>
        <w:ind w:firstLine="720"/>
        <w:jc w:val="both"/>
        <w:rPr>
          <w:rFonts w:ascii="Arial" w:hAnsi="Arial" w:cs="Arial"/>
          <w:sz w:val="20"/>
          <w:szCs w:val="20"/>
        </w:rPr>
      </w:pPr>
      <w:r w:rsidRPr="003F4ADB">
        <w:rPr>
          <w:rFonts w:ascii="Arial" w:hAnsi="Arial" w:cs="Arial"/>
          <w:sz w:val="20"/>
          <w:szCs w:val="20"/>
        </w:rPr>
        <w:t xml:space="preserve">The growth of the bacterial strain was tested in </w:t>
      </w:r>
      <w:r w:rsidR="001C5B92" w:rsidRPr="003F4ADB">
        <w:rPr>
          <w:rFonts w:ascii="Arial" w:hAnsi="Arial" w:cs="Arial"/>
          <w:sz w:val="20"/>
          <w:szCs w:val="20"/>
        </w:rPr>
        <w:t>PHA</w:t>
      </w:r>
      <w:r w:rsidRPr="003F4ADB">
        <w:rPr>
          <w:rFonts w:ascii="Arial" w:hAnsi="Arial" w:cs="Arial"/>
          <w:sz w:val="20"/>
          <w:szCs w:val="20"/>
        </w:rPr>
        <w:t>-producing media supplemented with varying concentrations of Sodium Chloride (NaCl)</w:t>
      </w:r>
      <w:r w:rsidR="00034E97" w:rsidRPr="003F4ADB">
        <w:rPr>
          <w:rFonts w:ascii="Arial" w:hAnsi="Arial" w:cs="Arial"/>
          <w:sz w:val="20"/>
          <w:szCs w:val="20"/>
        </w:rPr>
        <w:t xml:space="preserve">, as shown in Table </w:t>
      </w:r>
      <w:r w:rsidR="00CD7AD6" w:rsidRPr="003F4ADB">
        <w:rPr>
          <w:rFonts w:ascii="Arial" w:hAnsi="Arial" w:cs="Arial"/>
          <w:sz w:val="20"/>
          <w:szCs w:val="20"/>
        </w:rPr>
        <w:t>No. 6</w:t>
      </w:r>
    </w:p>
    <w:p w14:paraId="63EF0941" w14:textId="4D46BC11" w:rsidR="00147B21" w:rsidRDefault="007A5805" w:rsidP="001C5B92">
      <w:pPr>
        <w:spacing w:after="0" w:line="360" w:lineRule="auto"/>
        <w:jc w:val="both"/>
        <w:rPr>
          <w:rFonts w:ascii="Arial" w:hAnsi="Arial" w:cs="Arial"/>
          <w:sz w:val="20"/>
          <w:szCs w:val="20"/>
        </w:rPr>
      </w:pPr>
      <w:r w:rsidRPr="003F4ADB">
        <w:rPr>
          <w:rFonts w:ascii="Arial" w:hAnsi="Arial" w:cs="Arial"/>
          <w:sz w:val="20"/>
          <w:szCs w:val="20"/>
        </w:rPr>
        <w:t>The data reveals that the isolate exhibits a low tolerance for high salinity. The highest level of growth was achieved at a low salt concentration of 0.5% NaCl (O.D.=0.23). Growth was notably lower at 0.1% NaCl (O.D.=0.15), and while growth slightly increased at 1.5% and 2% NaCl compared to 1%, overall growth remained limited below the peak 0.5% NaCl concentration. This suggests the organism is a non-halophile with an optimal requirement for minimal salt concentration.</w:t>
      </w:r>
    </w:p>
    <w:p w14:paraId="6435BD12" w14:textId="77777777" w:rsidR="00147B21" w:rsidRDefault="00147B21" w:rsidP="001C5B92">
      <w:pPr>
        <w:spacing w:after="0" w:line="360" w:lineRule="auto"/>
        <w:jc w:val="both"/>
        <w:rPr>
          <w:rFonts w:ascii="Arial" w:hAnsi="Arial" w:cs="Arial"/>
          <w:sz w:val="20"/>
          <w:szCs w:val="20"/>
        </w:rPr>
      </w:pPr>
    </w:p>
    <w:p w14:paraId="754521F2" w14:textId="14E327AC" w:rsidR="00147B21" w:rsidRPr="00147B21" w:rsidRDefault="00147B21" w:rsidP="00147B21">
      <w:pPr>
        <w:spacing w:after="0"/>
        <w:rPr>
          <w:rFonts w:ascii="Arial" w:hAnsi="Arial" w:cs="Arial"/>
          <w:b/>
          <w:bCs/>
        </w:rPr>
      </w:pPr>
      <w:r w:rsidRPr="00147B21">
        <w:rPr>
          <w:rFonts w:ascii="Arial" w:hAnsi="Arial" w:cs="Arial"/>
          <w:b/>
          <w:bCs/>
        </w:rPr>
        <w:t>Table 6. Effect of NaCl on PHA Production (Growth)</w:t>
      </w:r>
    </w:p>
    <w:tbl>
      <w:tblPr>
        <w:tblStyle w:val="TableGrid"/>
        <w:tblpPr w:leftFromText="180" w:rightFromText="180" w:vertAnchor="text" w:horzAnchor="margin" w:tblpY="214"/>
        <w:tblW w:w="0" w:type="auto"/>
        <w:tblLook w:val="04A0" w:firstRow="1" w:lastRow="0" w:firstColumn="1" w:lastColumn="0" w:noHBand="0" w:noVBand="1"/>
      </w:tblPr>
      <w:tblGrid>
        <w:gridCol w:w="1080"/>
        <w:gridCol w:w="2610"/>
        <w:gridCol w:w="3330"/>
      </w:tblGrid>
      <w:tr w:rsidR="00147B21" w:rsidRPr="00147B21" w14:paraId="0F9674F4" w14:textId="77777777" w:rsidTr="002E2C8F">
        <w:tc>
          <w:tcPr>
            <w:tcW w:w="1080" w:type="dxa"/>
          </w:tcPr>
          <w:p w14:paraId="5EB90632"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Sr. No.</w:t>
            </w:r>
          </w:p>
        </w:tc>
        <w:tc>
          <w:tcPr>
            <w:tcW w:w="2610" w:type="dxa"/>
            <w:vAlign w:val="center"/>
          </w:tcPr>
          <w:p w14:paraId="7B2F9BBB"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Conc. of NaCl (%)</w:t>
            </w:r>
          </w:p>
        </w:tc>
        <w:tc>
          <w:tcPr>
            <w:tcW w:w="3330" w:type="dxa"/>
            <w:vAlign w:val="center"/>
          </w:tcPr>
          <w:p w14:paraId="6C764087"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O.D. (640 nm)</w:t>
            </w:r>
          </w:p>
        </w:tc>
      </w:tr>
      <w:tr w:rsidR="00147B21" w:rsidRPr="00147B21" w14:paraId="2BAAEB57" w14:textId="77777777" w:rsidTr="002E2C8F">
        <w:tc>
          <w:tcPr>
            <w:tcW w:w="1080" w:type="dxa"/>
          </w:tcPr>
          <w:p w14:paraId="1A117C80"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1</w:t>
            </w:r>
          </w:p>
        </w:tc>
        <w:tc>
          <w:tcPr>
            <w:tcW w:w="2610" w:type="dxa"/>
            <w:vAlign w:val="center"/>
          </w:tcPr>
          <w:p w14:paraId="2BE1F565"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0.1</w:t>
            </w:r>
          </w:p>
        </w:tc>
        <w:tc>
          <w:tcPr>
            <w:tcW w:w="3330" w:type="dxa"/>
            <w:vAlign w:val="center"/>
          </w:tcPr>
          <w:p w14:paraId="168FF4B1"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0.15</w:t>
            </w:r>
          </w:p>
        </w:tc>
      </w:tr>
      <w:tr w:rsidR="00147B21" w:rsidRPr="00147B21" w14:paraId="7A26B4F3" w14:textId="77777777" w:rsidTr="002E2C8F">
        <w:tc>
          <w:tcPr>
            <w:tcW w:w="1080" w:type="dxa"/>
          </w:tcPr>
          <w:p w14:paraId="5713358E"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2</w:t>
            </w:r>
          </w:p>
        </w:tc>
        <w:tc>
          <w:tcPr>
            <w:tcW w:w="2610" w:type="dxa"/>
            <w:vAlign w:val="center"/>
          </w:tcPr>
          <w:p w14:paraId="16FA7755"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0.5</w:t>
            </w:r>
          </w:p>
        </w:tc>
        <w:tc>
          <w:tcPr>
            <w:tcW w:w="3330" w:type="dxa"/>
            <w:vAlign w:val="center"/>
          </w:tcPr>
          <w:p w14:paraId="21C0BD31"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0.23</w:t>
            </w:r>
          </w:p>
        </w:tc>
      </w:tr>
      <w:tr w:rsidR="00147B21" w:rsidRPr="00147B21" w14:paraId="6AC409DF" w14:textId="77777777" w:rsidTr="002E2C8F">
        <w:tc>
          <w:tcPr>
            <w:tcW w:w="1080" w:type="dxa"/>
          </w:tcPr>
          <w:p w14:paraId="39F8B84D"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3</w:t>
            </w:r>
          </w:p>
        </w:tc>
        <w:tc>
          <w:tcPr>
            <w:tcW w:w="2610" w:type="dxa"/>
            <w:vAlign w:val="center"/>
          </w:tcPr>
          <w:p w14:paraId="15C33CB7"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1</w:t>
            </w:r>
          </w:p>
        </w:tc>
        <w:tc>
          <w:tcPr>
            <w:tcW w:w="3330" w:type="dxa"/>
            <w:vAlign w:val="center"/>
          </w:tcPr>
          <w:p w14:paraId="7DFCEAAE"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0.16</w:t>
            </w:r>
          </w:p>
        </w:tc>
      </w:tr>
      <w:tr w:rsidR="00147B21" w:rsidRPr="00147B21" w14:paraId="07D2319E" w14:textId="77777777" w:rsidTr="002E2C8F">
        <w:tc>
          <w:tcPr>
            <w:tcW w:w="1080" w:type="dxa"/>
          </w:tcPr>
          <w:p w14:paraId="7DBBA92B"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4</w:t>
            </w:r>
          </w:p>
        </w:tc>
        <w:tc>
          <w:tcPr>
            <w:tcW w:w="2610" w:type="dxa"/>
            <w:vAlign w:val="center"/>
          </w:tcPr>
          <w:p w14:paraId="2355CBD0"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1.5</w:t>
            </w:r>
          </w:p>
        </w:tc>
        <w:tc>
          <w:tcPr>
            <w:tcW w:w="3330" w:type="dxa"/>
            <w:vAlign w:val="center"/>
          </w:tcPr>
          <w:p w14:paraId="2D78A156"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0.19</w:t>
            </w:r>
          </w:p>
        </w:tc>
      </w:tr>
      <w:tr w:rsidR="00147B21" w:rsidRPr="00147B21" w14:paraId="70751C25" w14:textId="77777777" w:rsidTr="002E2C8F">
        <w:tc>
          <w:tcPr>
            <w:tcW w:w="1080" w:type="dxa"/>
          </w:tcPr>
          <w:p w14:paraId="25C637EB"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5</w:t>
            </w:r>
          </w:p>
        </w:tc>
        <w:tc>
          <w:tcPr>
            <w:tcW w:w="2610" w:type="dxa"/>
            <w:vAlign w:val="center"/>
          </w:tcPr>
          <w:p w14:paraId="405BEAB8"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2</w:t>
            </w:r>
          </w:p>
        </w:tc>
        <w:tc>
          <w:tcPr>
            <w:tcW w:w="3330" w:type="dxa"/>
            <w:vAlign w:val="center"/>
          </w:tcPr>
          <w:p w14:paraId="21485F1A" w14:textId="77777777" w:rsidR="00147B21" w:rsidRPr="00147B21" w:rsidRDefault="00147B21" w:rsidP="002E2C8F">
            <w:pPr>
              <w:jc w:val="center"/>
              <w:rPr>
                <w:rFonts w:ascii="Arial" w:hAnsi="Arial" w:cs="Arial"/>
                <w:b/>
                <w:bCs/>
                <w:sz w:val="20"/>
                <w:szCs w:val="20"/>
              </w:rPr>
            </w:pPr>
            <w:r w:rsidRPr="00147B21">
              <w:rPr>
                <w:rFonts w:ascii="Arial" w:hAnsi="Arial" w:cs="Arial"/>
                <w:b/>
                <w:bCs/>
                <w:sz w:val="20"/>
                <w:szCs w:val="20"/>
              </w:rPr>
              <w:t>0.17</w:t>
            </w:r>
          </w:p>
        </w:tc>
      </w:tr>
    </w:tbl>
    <w:p w14:paraId="2D7768A5" w14:textId="77777777" w:rsidR="00147B21" w:rsidRDefault="00147B21" w:rsidP="001C5B92">
      <w:pPr>
        <w:spacing w:after="0" w:line="360" w:lineRule="auto"/>
        <w:jc w:val="both"/>
        <w:rPr>
          <w:rFonts w:ascii="Arial" w:hAnsi="Arial" w:cs="Arial"/>
          <w:sz w:val="20"/>
          <w:szCs w:val="20"/>
        </w:rPr>
      </w:pPr>
    </w:p>
    <w:p w14:paraId="799FADB4" w14:textId="77777777" w:rsidR="00147B21" w:rsidRDefault="00147B21" w:rsidP="001C5B92">
      <w:pPr>
        <w:spacing w:after="0" w:line="360" w:lineRule="auto"/>
        <w:jc w:val="both"/>
        <w:rPr>
          <w:rFonts w:ascii="Arial" w:hAnsi="Arial" w:cs="Arial"/>
          <w:sz w:val="20"/>
          <w:szCs w:val="20"/>
        </w:rPr>
      </w:pPr>
    </w:p>
    <w:p w14:paraId="58CE6463" w14:textId="77777777" w:rsidR="00147B21" w:rsidRDefault="00147B21" w:rsidP="001C5B92">
      <w:pPr>
        <w:spacing w:after="0" w:line="360" w:lineRule="auto"/>
        <w:jc w:val="both"/>
        <w:rPr>
          <w:rFonts w:ascii="Arial" w:hAnsi="Arial" w:cs="Arial"/>
          <w:sz w:val="20"/>
          <w:szCs w:val="20"/>
        </w:rPr>
      </w:pPr>
    </w:p>
    <w:p w14:paraId="4500D3EC" w14:textId="77777777" w:rsidR="00147B21" w:rsidRDefault="00147B21" w:rsidP="001C5B92">
      <w:pPr>
        <w:spacing w:after="0" w:line="360" w:lineRule="auto"/>
        <w:jc w:val="both"/>
        <w:rPr>
          <w:rFonts w:ascii="Arial" w:hAnsi="Arial" w:cs="Arial"/>
          <w:sz w:val="20"/>
          <w:szCs w:val="20"/>
        </w:rPr>
      </w:pPr>
    </w:p>
    <w:p w14:paraId="5BF8369F" w14:textId="77777777" w:rsidR="00147B21" w:rsidRDefault="00147B21" w:rsidP="001C5B92">
      <w:pPr>
        <w:spacing w:after="0" w:line="360" w:lineRule="auto"/>
        <w:jc w:val="both"/>
        <w:rPr>
          <w:rFonts w:ascii="Arial" w:hAnsi="Arial" w:cs="Arial"/>
          <w:sz w:val="20"/>
          <w:szCs w:val="20"/>
        </w:rPr>
      </w:pPr>
    </w:p>
    <w:p w14:paraId="6E5B9F8D" w14:textId="77777777" w:rsidR="00E96BDE" w:rsidRDefault="00E96BDE" w:rsidP="001C5B92">
      <w:pPr>
        <w:spacing w:after="0" w:line="360" w:lineRule="auto"/>
        <w:jc w:val="both"/>
        <w:rPr>
          <w:rFonts w:ascii="Arial" w:hAnsi="Arial" w:cs="Arial"/>
          <w:b/>
          <w:bCs/>
        </w:rPr>
      </w:pPr>
    </w:p>
    <w:p w14:paraId="7128E128" w14:textId="6814505B" w:rsidR="00CF5E6A" w:rsidRPr="00AD7CE7" w:rsidRDefault="00AD7CE7" w:rsidP="001C5B92">
      <w:pPr>
        <w:spacing w:after="0" w:line="360" w:lineRule="auto"/>
        <w:jc w:val="both"/>
        <w:rPr>
          <w:rFonts w:ascii="Arial" w:hAnsi="Arial" w:cs="Arial"/>
          <w:b/>
          <w:bCs/>
        </w:rPr>
      </w:pPr>
      <w:r w:rsidRPr="00AD7CE7">
        <w:rPr>
          <w:rFonts w:ascii="Arial" w:hAnsi="Arial" w:cs="Arial"/>
          <w:b/>
          <w:bCs/>
        </w:rPr>
        <w:t xml:space="preserve">3.7 </w:t>
      </w:r>
      <w:r w:rsidR="00164104" w:rsidRPr="00AD7CE7">
        <w:rPr>
          <w:rFonts w:ascii="Arial" w:hAnsi="Arial" w:cs="Arial"/>
          <w:b/>
          <w:bCs/>
        </w:rPr>
        <w:t>Spectroscopic Characterization (FTIR)</w:t>
      </w:r>
    </w:p>
    <w:p w14:paraId="4CE2BDF9" w14:textId="32D30A1D" w:rsidR="00164104" w:rsidRPr="003F4ADB" w:rsidRDefault="00164104" w:rsidP="001C5B92">
      <w:pPr>
        <w:spacing w:after="0" w:line="360" w:lineRule="auto"/>
        <w:ind w:firstLine="720"/>
        <w:jc w:val="both"/>
        <w:rPr>
          <w:rFonts w:ascii="Arial" w:hAnsi="Arial" w:cs="Arial"/>
          <w:sz w:val="20"/>
          <w:szCs w:val="20"/>
        </w:rPr>
      </w:pPr>
      <w:r w:rsidRPr="003F4ADB">
        <w:rPr>
          <w:rFonts w:ascii="Arial" w:hAnsi="Arial" w:cs="Arial"/>
          <w:sz w:val="20"/>
          <w:szCs w:val="20"/>
        </w:rPr>
        <w:t>To confirm the chemical structure of the extracted biopolymer, Fourier-Transform Infrared Spectroscopy (FTIR) was performed. The resulting spectrum showed characteristic absorption peaks essential for identifying Poly(3-hydroxybutyrate) (</w:t>
      </w:r>
      <w:r w:rsidR="001C5B92" w:rsidRPr="003F4ADB">
        <w:rPr>
          <w:rFonts w:ascii="Arial" w:hAnsi="Arial" w:cs="Arial"/>
          <w:sz w:val="20"/>
          <w:szCs w:val="20"/>
        </w:rPr>
        <w:t>PHA</w:t>
      </w:r>
      <w:r w:rsidRPr="003F4ADB">
        <w:rPr>
          <w:rFonts w:ascii="Arial" w:hAnsi="Arial" w:cs="Arial"/>
          <w:sz w:val="20"/>
          <w:szCs w:val="20"/>
        </w:rPr>
        <w:t>). Key diagnostic peaks included a strong absorption band at 1723 cm</w:t>
      </w:r>
      <w:r w:rsidRPr="003F4ADB">
        <w:rPr>
          <w:rFonts w:ascii="Cambria Math" w:hAnsi="Cambria Math" w:cs="Cambria Math"/>
          <w:sz w:val="20"/>
          <w:szCs w:val="20"/>
        </w:rPr>
        <w:t>⁻</w:t>
      </w:r>
      <w:r w:rsidRPr="003F4ADB">
        <w:rPr>
          <w:rFonts w:ascii="Arial" w:hAnsi="Arial" w:cs="Arial"/>
          <w:sz w:val="20"/>
          <w:szCs w:val="20"/>
        </w:rPr>
        <w:t>¹ (representing the C=O stretch of the ester carbonyl group) and two distinct bands in the 1200–1300 cm</w:t>
      </w:r>
      <w:r w:rsidRPr="003F4ADB">
        <w:rPr>
          <w:rFonts w:ascii="Cambria Math" w:hAnsi="Cambria Math" w:cs="Cambria Math"/>
          <w:sz w:val="20"/>
          <w:szCs w:val="20"/>
        </w:rPr>
        <w:t>⁻</w:t>
      </w:r>
      <w:r w:rsidRPr="003F4ADB">
        <w:rPr>
          <w:rFonts w:ascii="Arial" w:hAnsi="Arial" w:cs="Arial"/>
          <w:sz w:val="20"/>
          <w:szCs w:val="20"/>
        </w:rPr>
        <w:t>¹ range (specifically 1280 cm</w:t>
      </w:r>
      <w:r w:rsidRPr="003F4ADB">
        <w:rPr>
          <w:rFonts w:ascii="Cambria Math" w:hAnsi="Cambria Math" w:cs="Cambria Math"/>
          <w:sz w:val="20"/>
          <w:szCs w:val="20"/>
        </w:rPr>
        <w:t>⁻</w:t>
      </w:r>
      <w:r w:rsidRPr="003F4ADB">
        <w:rPr>
          <w:rFonts w:ascii="Arial" w:hAnsi="Arial" w:cs="Arial"/>
          <w:sz w:val="20"/>
          <w:szCs w:val="20"/>
        </w:rPr>
        <w:t>¹ and 1228 cm</w:t>
      </w:r>
      <w:r w:rsidRPr="003F4ADB">
        <w:rPr>
          <w:rFonts w:ascii="Cambria Math" w:hAnsi="Cambria Math" w:cs="Cambria Math"/>
          <w:sz w:val="20"/>
          <w:szCs w:val="20"/>
        </w:rPr>
        <w:t>⁻</w:t>
      </w:r>
      <w:r w:rsidRPr="003F4ADB">
        <w:rPr>
          <w:rFonts w:ascii="Arial" w:hAnsi="Arial" w:cs="Arial"/>
          <w:sz w:val="20"/>
          <w:szCs w:val="20"/>
        </w:rPr>
        <w:t xml:space="preserve">¹), which are associated with the C–O and C–C stretching of the </w:t>
      </w:r>
      <w:r w:rsidR="001C5B92" w:rsidRPr="003F4ADB">
        <w:rPr>
          <w:rFonts w:ascii="Arial" w:hAnsi="Arial" w:cs="Arial"/>
          <w:sz w:val="20"/>
          <w:szCs w:val="20"/>
        </w:rPr>
        <w:t>PHA</w:t>
      </w:r>
      <w:r w:rsidRPr="003F4ADB">
        <w:rPr>
          <w:rFonts w:ascii="Arial" w:hAnsi="Arial" w:cs="Arial"/>
          <w:sz w:val="20"/>
          <w:szCs w:val="20"/>
        </w:rPr>
        <w:t xml:space="preserve"> backbone (Saba et al., 2020).</w:t>
      </w:r>
    </w:p>
    <w:p w14:paraId="74ABF77C" w14:textId="13A49993" w:rsidR="00AD7CE7" w:rsidRPr="00AD7CE7" w:rsidRDefault="00164104" w:rsidP="00E96BDE">
      <w:pPr>
        <w:spacing w:after="0" w:line="360" w:lineRule="auto"/>
        <w:ind w:firstLine="720"/>
        <w:jc w:val="both"/>
        <w:rPr>
          <w:rFonts w:ascii="Arial" w:eastAsia="Times New Roman" w:hAnsi="Arial" w:cs="Arial"/>
          <w:kern w:val="0"/>
          <w:sz w:val="20"/>
          <w:szCs w:val="20"/>
          <w14:ligatures w14:val="none"/>
        </w:rPr>
      </w:pPr>
      <w:r w:rsidRPr="003F4ADB">
        <w:rPr>
          <w:rFonts w:ascii="Arial" w:hAnsi="Arial" w:cs="Arial"/>
          <w:sz w:val="20"/>
          <w:szCs w:val="20"/>
        </w:rPr>
        <w:t>The presence of the strongest characteristic peak at 1722.90 cm</w:t>
      </w:r>
      <w:r w:rsidRPr="003F4ADB">
        <w:rPr>
          <w:rFonts w:ascii="Arial" w:hAnsi="Arial" w:cs="Arial"/>
          <w:sz w:val="20"/>
          <w:szCs w:val="20"/>
          <w:vertAlign w:val="superscript"/>
        </w:rPr>
        <w:t>-1</w:t>
      </w:r>
      <w:r w:rsidRPr="003F4ADB">
        <w:rPr>
          <w:rFonts w:ascii="Arial" w:hAnsi="Arial" w:cs="Arial"/>
          <w:sz w:val="20"/>
          <w:szCs w:val="20"/>
        </w:rPr>
        <w:t xml:space="preserve"> (C=O ester bond), along with the identifying C-O-C stretching peaks 1277.85 cm</w:t>
      </w:r>
      <w:r w:rsidRPr="003F4ADB">
        <w:rPr>
          <w:rFonts w:ascii="Arial" w:hAnsi="Arial" w:cs="Arial"/>
          <w:sz w:val="20"/>
          <w:szCs w:val="20"/>
          <w:vertAlign w:val="superscript"/>
        </w:rPr>
        <w:t>-1</w:t>
      </w:r>
      <w:r w:rsidRPr="003F4ADB">
        <w:rPr>
          <w:rFonts w:ascii="Arial" w:hAnsi="Arial" w:cs="Arial"/>
          <w:sz w:val="20"/>
          <w:szCs w:val="20"/>
        </w:rPr>
        <w:t xml:space="preserve"> and 1106.92 cm</w:t>
      </w:r>
      <w:r w:rsidRPr="003F4ADB">
        <w:rPr>
          <w:rFonts w:ascii="Arial" w:hAnsi="Arial" w:cs="Arial"/>
          <w:sz w:val="20"/>
          <w:szCs w:val="20"/>
          <w:vertAlign w:val="superscript"/>
        </w:rPr>
        <w:t>-1</w:t>
      </w:r>
      <w:r w:rsidRPr="003F4ADB">
        <w:rPr>
          <w:rFonts w:ascii="Arial" w:hAnsi="Arial" w:cs="Arial"/>
          <w:sz w:val="20"/>
          <w:szCs w:val="20"/>
        </w:rPr>
        <w:t>, conclusively verifies that the extracted material is Poly-3-hydroxybutyrate P3HB</w:t>
      </w:r>
      <w:r w:rsidR="00BE056D" w:rsidRPr="003F4ADB">
        <w:rPr>
          <w:rFonts w:ascii="Arial" w:hAnsi="Arial" w:cs="Arial"/>
          <w:sz w:val="20"/>
          <w:szCs w:val="20"/>
        </w:rPr>
        <w:t xml:space="preserve"> (</w:t>
      </w:r>
      <w:r w:rsidR="00BE056D" w:rsidRPr="003F4ADB">
        <w:rPr>
          <w:rFonts w:ascii="Arial" w:eastAsia="Times New Roman" w:hAnsi="Arial" w:cs="Arial"/>
          <w:kern w:val="0"/>
          <w:sz w:val="20"/>
          <w:szCs w:val="20"/>
          <w14:ligatures w14:val="none"/>
        </w:rPr>
        <w:t xml:space="preserve">Sudesh, K., </w:t>
      </w:r>
      <w:proofErr w:type="spellStart"/>
      <w:r w:rsidR="00BE056D" w:rsidRPr="003F4ADB">
        <w:rPr>
          <w:rFonts w:ascii="Arial" w:eastAsia="Times New Roman" w:hAnsi="Arial" w:cs="Arial"/>
          <w:kern w:val="0"/>
          <w:sz w:val="20"/>
          <w:szCs w:val="20"/>
          <w14:ligatures w14:val="none"/>
        </w:rPr>
        <w:t>Kairul</w:t>
      </w:r>
      <w:proofErr w:type="spellEnd"/>
      <w:r w:rsidR="00BE056D" w:rsidRPr="003F4ADB">
        <w:rPr>
          <w:rFonts w:ascii="Arial" w:eastAsia="Times New Roman" w:hAnsi="Arial" w:cs="Arial"/>
          <w:kern w:val="0"/>
          <w:sz w:val="20"/>
          <w:szCs w:val="20"/>
          <w14:ligatures w14:val="none"/>
        </w:rPr>
        <w:t>, et. al.</w:t>
      </w:r>
      <w:r w:rsidR="00B655B7" w:rsidRPr="003F4ADB">
        <w:rPr>
          <w:rFonts w:ascii="Arial" w:eastAsia="Times New Roman" w:hAnsi="Arial" w:cs="Arial"/>
          <w:kern w:val="0"/>
          <w:sz w:val="20"/>
          <w:szCs w:val="20"/>
          <w14:ligatures w14:val="none"/>
        </w:rPr>
        <w:t>,</w:t>
      </w:r>
      <w:r w:rsidR="00BE056D" w:rsidRPr="003F4ADB">
        <w:rPr>
          <w:rFonts w:ascii="Arial" w:eastAsia="Times New Roman" w:hAnsi="Arial" w:cs="Arial"/>
          <w:kern w:val="0"/>
          <w:sz w:val="20"/>
          <w:szCs w:val="20"/>
          <w14:ligatures w14:val="none"/>
        </w:rPr>
        <w:t xml:space="preserve"> 2018)</w:t>
      </w:r>
      <w:r w:rsidR="009E0849" w:rsidRPr="003F4ADB">
        <w:rPr>
          <w:rFonts w:ascii="Arial" w:eastAsia="Times New Roman" w:hAnsi="Arial" w:cs="Arial"/>
          <w:kern w:val="0"/>
          <w:sz w:val="20"/>
          <w:szCs w:val="20"/>
          <w14:ligatures w14:val="none"/>
        </w:rPr>
        <w:t xml:space="preserve">, as shown in </w:t>
      </w:r>
      <w:r w:rsidR="00CF5E6A" w:rsidRPr="003F4ADB">
        <w:rPr>
          <w:rFonts w:ascii="Arial" w:eastAsia="Times New Roman" w:hAnsi="Arial" w:cs="Arial"/>
          <w:kern w:val="0"/>
          <w:sz w:val="20"/>
          <w:szCs w:val="20"/>
          <w14:ligatures w14:val="none"/>
        </w:rPr>
        <w:t>Figure</w:t>
      </w:r>
      <w:r w:rsidR="009E0849" w:rsidRPr="003F4ADB">
        <w:rPr>
          <w:rFonts w:ascii="Arial" w:eastAsia="Times New Roman" w:hAnsi="Arial" w:cs="Arial"/>
          <w:kern w:val="0"/>
          <w:sz w:val="20"/>
          <w:szCs w:val="20"/>
          <w14:ligatures w14:val="none"/>
        </w:rPr>
        <w:t xml:space="preserve"> </w:t>
      </w:r>
      <w:r w:rsidR="00E96BDE">
        <w:rPr>
          <w:rFonts w:ascii="Arial" w:eastAsia="Times New Roman" w:hAnsi="Arial" w:cs="Arial"/>
          <w:kern w:val="0"/>
          <w:sz w:val="20"/>
          <w:szCs w:val="20"/>
          <w14:ligatures w14:val="none"/>
        </w:rPr>
        <w:t>8</w:t>
      </w:r>
      <w:r w:rsidR="009E0849" w:rsidRPr="003F4ADB">
        <w:rPr>
          <w:rFonts w:ascii="Arial" w:eastAsia="Times New Roman" w:hAnsi="Arial" w:cs="Arial"/>
          <w:kern w:val="0"/>
          <w:sz w:val="20"/>
          <w:szCs w:val="20"/>
          <w14:ligatures w14:val="none"/>
        </w:rPr>
        <w:t xml:space="preserve"> </w:t>
      </w:r>
    </w:p>
    <w:p w14:paraId="2CF19AB5" w14:textId="0F3AC565" w:rsidR="00AD7CE7" w:rsidRDefault="00E96BDE" w:rsidP="00E96BDE">
      <w:pPr>
        <w:spacing w:after="0" w:line="360" w:lineRule="auto"/>
        <w:jc w:val="center"/>
        <w:rPr>
          <w:rFonts w:ascii="Arial" w:eastAsia="Times New Roman" w:hAnsi="Arial" w:cs="Arial"/>
          <w:b/>
          <w:bCs/>
          <w:kern w:val="0"/>
          <w14:ligatures w14:val="none"/>
        </w:rPr>
      </w:pPr>
      <w:r w:rsidRPr="001523E3">
        <w:rPr>
          <w:rFonts w:ascii="Times New Roman" w:hAnsi="Times New Roman" w:cs="Times New Roman"/>
          <w:bCs/>
          <w:noProof/>
          <w:sz w:val="24"/>
          <w:szCs w:val="24"/>
        </w:rPr>
        <w:lastRenderedPageBreak/>
        <w:drawing>
          <wp:inline distT="0" distB="0" distL="0" distR="0" wp14:anchorId="5CB37195" wp14:editId="73B442F7">
            <wp:extent cx="4755285" cy="3271838"/>
            <wp:effectExtent l="0" t="0" r="7620" b="5080"/>
            <wp:docPr id="16"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15"/>
                    <a:stretch>
                      <a:fillRect/>
                    </a:stretch>
                  </pic:blipFill>
                  <pic:spPr>
                    <a:xfrm>
                      <a:off x="0" y="0"/>
                      <a:ext cx="4776879" cy="3286695"/>
                    </a:xfrm>
                    <a:prstGeom prst="rect">
                      <a:avLst/>
                    </a:prstGeom>
                  </pic:spPr>
                </pic:pic>
              </a:graphicData>
            </a:graphic>
          </wp:inline>
        </w:drawing>
      </w:r>
    </w:p>
    <w:p w14:paraId="7AE21037" w14:textId="091D21C7" w:rsidR="00E96BDE" w:rsidRPr="00E96BDE" w:rsidRDefault="00E96BDE" w:rsidP="00E96BDE">
      <w:pPr>
        <w:spacing w:after="0" w:line="360" w:lineRule="auto"/>
        <w:jc w:val="center"/>
        <w:rPr>
          <w:rFonts w:ascii="Arial" w:eastAsia="Times New Roman" w:hAnsi="Arial" w:cs="Arial"/>
          <w:b/>
          <w:bCs/>
          <w:kern w:val="0"/>
          <w14:ligatures w14:val="none"/>
        </w:rPr>
      </w:pPr>
      <w:r w:rsidRPr="00E96BDE">
        <w:rPr>
          <w:rFonts w:ascii="Arial" w:eastAsia="Times New Roman" w:hAnsi="Arial" w:cs="Arial"/>
          <w:b/>
          <w:bCs/>
          <w:kern w:val="0"/>
          <w14:ligatures w14:val="none"/>
        </w:rPr>
        <w:t>Fig. 8 FTIR Analysis</w:t>
      </w:r>
      <w:r>
        <w:rPr>
          <w:rFonts w:ascii="Arial" w:eastAsia="Times New Roman" w:hAnsi="Arial" w:cs="Arial"/>
          <w:b/>
          <w:bCs/>
          <w:kern w:val="0"/>
          <w14:ligatures w14:val="none"/>
        </w:rPr>
        <w:t xml:space="preserve"> of PHAs</w:t>
      </w:r>
    </w:p>
    <w:p w14:paraId="43D92701" w14:textId="77777777" w:rsidR="00E96BDE" w:rsidRDefault="00E96BDE" w:rsidP="00E96BDE">
      <w:pPr>
        <w:spacing w:after="0" w:line="360" w:lineRule="auto"/>
        <w:jc w:val="center"/>
        <w:rPr>
          <w:rFonts w:ascii="Arial" w:eastAsia="Times New Roman" w:hAnsi="Arial" w:cs="Arial"/>
          <w:b/>
          <w:bCs/>
          <w:kern w:val="0"/>
          <w14:ligatures w14:val="none"/>
        </w:rPr>
      </w:pPr>
    </w:p>
    <w:p w14:paraId="0B5F03A2" w14:textId="57171E48" w:rsidR="007D4F36" w:rsidRPr="00AD7CE7" w:rsidRDefault="00AD7CE7" w:rsidP="001C5B92">
      <w:pPr>
        <w:spacing w:after="0" w:line="360" w:lineRule="auto"/>
        <w:jc w:val="both"/>
        <w:rPr>
          <w:rFonts w:ascii="Arial" w:eastAsia="Times New Roman" w:hAnsi="Arial" w:cs="Arial"/>
          <w:b/>
          <w:bCs/>
          <w:kern w:val="0"/>
          <w14:ligatures w14:val="none"/>
        </w:rPr>
      </w:pPr>
      <w:r w:rsidRPr="00AD7CE7">
        <w:rPr>
          <w:rFonts w:ascii="Arial" w:eastAsia="Times New Roman" w:hAnsi="Arial" w:cs="Arial"/>
          <w:b/>
          <w:bCs/>
          <w:kern w:val="0"/>
          <w14:ligatures w14:val="none"/>
        </w:rPr>
        <w:t xml:space="preserve">4. CONCLUSION </w:t>
      </w:r>
    </w:p>
    <w:p w14:paraId="07120D31" w14:textId="5C6DC58E" w:rsidR="00E5378B" w:rsidRPr="003F4ADB" w:rsidRDefault="007D4F36" w:rsidP="001C5B92">
      <w:pPr>
        <w:spacing w:after="0" w:line="360" w:lineRule="auto"/>
        <w:ind w:firstLine="720"/>
        <w:jc w:val="both"/>
        <w:rPr>
          <w:rFonts w:ascii="Arial" w:eastAsia="Times New Roman" w:hAnsi="Arial" w:cs="Arial"/>
          <w:kern w:val="0"/>
          <w:sz w:val="20"/>
          <w:szCs w:val="20"/>
          <w14:ligatures w14:val="none"/>
        </w:rPr>
      </w:pPr>
      <w:r w:rsidRPr="003F4ADB">
        <w:rPr>
          <w:rFonts w:ascii="Arial" w:eastAsia="Times New Roman" w:hAnsi="Arial" w:cs="Arial"/>
          <w:kern w:val="0"/>
          <w:sz w:val="20"/>
          <w:szCs w:val="20"/>
          <w14:ligatures w14:val="none"/>
        </w:rPr>
        <w:t xml:space="preserve">In summary, </w:t>
      </w:r>
      <w:r w:rsidR="00135208" w:rsidRPr="003F4ADB">
        <w:rPr>
          <w:rFonts w:ascii="Arial" w:eastAsia="Times New Roman" w:hAnsi="Arial" w:cs="Arial"/>
          <w:kern w:val="0"/>
          <w:sz w:val="20"/>
          <w:szCs w:val="20"/>
          <w14:ligatures w14:val="none"/>
        </w:rPr>
        <w:t>the</w:t>
      </w:r>
      <w:r w:rsidR="000B0BE4" w:rsidRPr="003F4ADB">
        <w:rPr>
          <w:rFonts w:ascii="Arial" w:eastAsia="Times New Roman" w:hAnsi="Arial" w:cs="Arial"/>
          <w:kern w:val="0"/>
          <w:sz w:val="20"/>
          <w:szCs w:val="20"/>
          <w14:ligatures w14:val="none"/>
        </w:rPr>
        <w:t xml:space="preserve"> study successfully isolated novel, Gram-positive, rod-shaped bacteria from soil, identified molecularly as strains of </w:t>
      </w:r>
      <w:r w:rsidR="000B0BE4" w:rsidRPr="003F4ADB">
        <w:rPr>
          <w:rFonts w:ascii="Arial" w:eastAsia="Times New Roman" w:hAnsi="Arial" w:cs="Arial"/>
          <w:i/>
          <w:iCs/>
          <w:kern w:val="0"/>
          <w:sz w:val="20"/>
          <w:szCs w:val="20"/>
          <w14:ligatures w14:val="none"/>
        </w:rPr>
        <w:t xml:space="preserve">Bacillus </w:t>
      </w:r>
      <w:proofErr w:type="spellStart"/>
      <w:r w:rsidR="000B0BE4" w:rsidRPr="003F4ADB">
        <w:rPr>
          <w:rFonts w:ascii="Arial" w:eastAsia="Times New Roman" w:hAnsi="Arial" w:cs="Arial"/>
          <w:i/>
          <w:iCs/>
          <w:kern w:val="0"/>
          <w:sz w:val="20"/>
          <w:szCs w:val="20"/>
          <w14:ligatures w14:val="none"/>
        </w:rPr>
        <w:t>paramycoides</w:t>
      </w:r>
      <w:proofErr w:type="spellEnd"/>
      <w:r w:rsidR="000B0BE4" w:rsidRPr="003F4ADB">
        <w:rPr>
          <w:rFonts w:ascii="Arial" w:eastAsia="Times New Roman" w:hAnsi="Arial" w:cs="Arial"/>
          <w:kern w:val="0"/>
          <w:sz w:val="20"/>
          <w:szCs w:val="20"/>
          <w14:ligatures w14:val="none"/>
        </w:rPr>
        <w:t xml:space="preserve"> (</w:t>
      </w:r>
      <w:r w:rsidR="001C5B92" w:rsidRPr="003F4ADB">
        <w:rPr>
          <w:rFonts w:ascii="Arial" w:eastAsia="Times New Roman" w:hAnsi="Arial" w:cs="Arial"/>
          <w:kern w:val="0"/>
          <w:sz w:val="20"/>
          <w:szCs w:val="20"/>
          <w14:ligatures w14:val="none"/>
        </w:rPr>
        <w:t>PHA</w:t>
      </w:r>
      <w:r w:rsidR="000B0BE4" w:rsidRPr="003F4ADB">
        <w:rPr>
          <w:rFonts w:ascii="Arial" w:eastAsia="Times New Roman" w:hAnsi="Arial" w:cs="Arial"/>
          <w:kern w:val="0"/>
          <w:sz w:val="20"/>
          <w:szCs w:val="20"/>
          <w14:ligatures w14:val="none"/>
        </w:rPr>
        <w:t xml:space="preserve">-1, </w:t>
      </w:r>
      <w:r w:rsidR="001C5B92" w:rsidRPr="003F4ADB">
        <w:rPr>
          <w:rFonts w:ascii="Arial" w:eastAsia="Times New Roman" w:hAnsi="Arial" w:cs="Arial"/>
          <w:kern w:val="0"/>
          <w:sz w:val="20"/>
          <w:szCs w:val="20"/>
          <w14:ligatures w14:val="none"/>
        </w:rPr>
        <w:t>PHA</w:t>
      </w:r>
      <w:r w:rsidR="000B0BE4" w:rsidRPr="003F4ADB">
        <w:rPr>
          <w:rFonts w:ascii="Arial" w:eastAsia="Times New Roman" w:hAnsi="Arial" w:cs="Arial"/>
          <w:kern w:val="0"/>
          <w:sz w:val="20"/>
          <w:szCs w:val="20"/>
          <w14:ligatures w14:val="none"/>
        </w:rPr>
        <w:t xml:space="preserve">-2) and </w:t>
      </w:r>
      <w:r w:rsidR="000B0BE4" w:rsidRPr="003F4ADB">
        <w:rPr>
          <w:rFonts w:ascii="Arial" w:eastAsia="Times New Roman" w:hAnsi="Arial" w:cs="Arial"/>
          <w:i/>
          <w:iCs/>
          <w:kern w:val="0"/>
          <w:sz w:val="20"/>
          <w:szCs w:val="20"/>
          <w14:ligatures w14:val="none"/>
        </w:rPr>
        <w:t>Bacillus cereus</w:t>
      </w:r>
      <w:r w:rsidR="000B0BE4" w:rsidRPr="003F4ADB">
        <w:rPr>
          <w:rFonts w:ascii="Arial" w:eastAsia="Times New Roman" w:hAnsi="Arial" w:cs="Arial"/>
          <w:kern w:val="0"/>
          <w:sz w:val="20"/>
          <w:szCs w:val="20"/>
          <w14:ligatures w14:val="none"/>
        </w:rPr>
        <w:t xml:space="preserve"> (</w:t>
      </w:r>
      <w:r w:rsidR="001C5B92" w:rsidRPr="003F4ADB">
        <w:rPr>
          <w:rFonts w:ascii="Arial" w:eastAsia="Times New Roman" w:hAnsi="Arial" w:cs="Arial"/>
          <w:kern w:val="0"/>
          <w:sz w:val="20"/>
          <w:szCs w:val="20"/>
          <w14:ligatures w14:val="none"/>
        </w:rPr>
        <w:t>PHA</w:t>
      </w:r>
      <w:r w:rsidR="000B0BE4" w:rsidRPr="003F4ADB">
        <w:rPr>
          <w:rFonts w:ascii="Arial" w:eastAsia="Times New Roman" w:hAnsi="Arial" w:cs="Arial"/>
          <w:kern w:val="0"/>
          <w:sz w:val="20"/>
          <w:szCs w:val="20"/>
          <w14:ligatures w14:val="none"/>
        </w:rPr>
        <w:t xml:space="preserve">-3), all belonging to the </w:t>
      </w:r>
      <w:r w:rsidR="001C5B92" w:rsidRPr="003F4ADB">
        <w:rPr>
          <w:rFonts w:ascii="Arial" w:eastAsia="Times New Roman" w:hAnsi="Arial" w:cs="Arial"/>
          <w:kern w:val="0"/>
          <w:sz w:val="20"/>
          <w:szCs w:val="20"/>
          <w14:ligatures w14:val="none"/>
        </w:rPr>
        <w:t>PHA</w:t>
      </w:r>
      <w:r w:rsidR="000B0BE4" w:rsidRPr="003F4ADB">
        <w:rPr>
          <w:rFonts w:ascii="Arial" w:eastAsia="Times New Roman" w:hAnsi="Arial" w:cs="Arial"/>
          <w:kern w:val="0"/>
          <w:sz w:val="20"/>
          <w:szCs w:val="20"/>
          <w14:ligatures w14:val="none"/>
        </w:rPr>
        <w:t xml:space="preserve">-producing </w:t>
      </w:r>
      <w:r w:rsidR="000B0BE4" w:rsidRPr="003F4ADB">
        <w:rPr>
          <w:rFonts w:ascii="Arial" w:eastAsia="Times New Roman" w:hAnsi="Arial" w:cs="Arial"/>
          <w:i/>
          <w:iCs/>
          <w:kern w:val="0"/>
          <w:sz w:val="20"/>
          <w:szCs w:val="20"/>
          <w14:ligatures w14:val="none"/>
        </w:rPr>
        <w:t>Bacillus cereus sensu lato</w:t>
      </w:r>
      <w:r w:rsidR="000B0BE4" w:rsidRPr="003F4ADB">
        <w:rPr>
          <w:rFonts w:ascii="Arial" w:eastAsia="Times New Roman" w:hAnsi="Arial" w:cs="Arial"/>
          <w:kern w:val="0"/>
          <w:sz w:val="20"/>
          <w:szCs w:val="20"/>
          <w14:ligatures w14:val="none"/>
        </w:rPr>
        <w:t xml:space="preserve"> complex. Optimizing growth conditions (pH 9.0, 0.5% NaCl) resulted in a high Poly(3-hydroxybutyrate) (PH</w:t>
      </w:r>
      <w:r w:rsidR="001C5B92" w:rsidRPr="003F4ADB">
        <w:rPr>
          <w:rFonts w:ascii="Arial" w:eastAsia="Times New Roman" w:hAnsi="Arial" w:cs="Arial"/>
          <w:kern w:val="0"/>
          <w:sz w:val="20"/>
          <w:szCs w:val="20"/>
          <w14:ligatures w14:val="none"/>
        </w:rPr>
        <w:t>A</w:t>
      </w:r>
      <w:r w:rsidR="000B0BE4" w:rsidRPr="003F4ADB">
        <w:rPr>
          <w:rFonts w:ascii="Arial" w:eastAsia="Times New Roman" w:hAnsi="Arial" w:cs="Arial"/>
          <w:kern w:val="0"/>
          <w:sz w:val="20"/>
          <w:szCs w:val="20"/>
          <w14:ligatures w14:val="none"/>
        </w:rPr>
        <w:t>) yield of 55.3% of Cell Dry Weight (4.8 g/L), with the structure conclusively confirmed by FTIR spectroscopy. These robust isolates demonstrate significant potential for efficient, high-volume production of biodegradable bioplastics.</w:t>
      </w:r>
    </w:p>
    <w:p w14:paraId="7BCA5CB9" w14:textId="77777777" w:rsidR="00F54166" w:rsidRPr="002C22EA" w:rsidRDefault="00F54166" w:rsidP="00F54166">
      <w:pPr>
        <w:spacing w:after="0" w:line="360" w:lineRule="auto"/>
        <w:jc w:val="both"/>
        <w:rPr>
          <w:rFonts w:ascii="Times New Roman" w:eastAsia="Times New Roman" w:hAnsi="Times New Roman" w:cs="Times New Roman"/>
          <w:kern w:val="0"/>
          <w:sz w:val="20"/>
          <w:szCs w:val="20"/>
          <w14:ligatures w14:val="none"/>
        </w:rPr>
      </w:pPr>
    </w:p>
    <w:p w14:paraId="6D872C3D" w14:textId="77777777" w:rsidR="00AD7CE7" w:rsidRDefault="00AD7CE7" w:rsidP="00F54166">
      <w:pPr>
        <w:spacing w:after="0" w:line="360" w:lineRule="auto"/>
        <w:jc w:val="both"/>
        <w:rPr>
          <w:rFonts w:ascii="Arial" w:hAnsi="Arial" w:cs="Arial"/>
          <w:b/>
          <w:bCs/>
        </w:rPr>
      </w:pPr>
      <w:bookmarkStart w:id="1" w:name="_GoBack"/>
      <w:bookmarkEnd w:id="1"/>
    </w:p>
    <w:p w14:paraId="02748F30" w14:textId="026FA9B0" w:rsidR="005E6DD6" w:rsidRPr="00AD7CE7" w:rsidRDefault="00F54166" w:rsidP="001C5B92">
      <w:pPr>
        <w:spacing w:after="0" w:line="360" w:lineRule="auto"/>
        <w:jc w:val="both"/>
        <w:rPr>
          <w:rFonts w:ascii="Arial" w:hAnsi="Arial" w:cs="Arial"/>
          <w:b/>
          <w:bCs/>
        </w:rPr>
      </w:pPr>
      <w:r>
        <w:rPr>
          <w:rFonts w:ascii="Arial" w:hAnsi="Arial" w:cs="Arial"/>
          <w:b/>
          <w:bCs/>
        </w:rPr>
        <w:t>7</w:t>
      </w:r>
      <w:r w:rsidR="00AD7CE7" w:rsidRPr="00AD7CE7">
        <w:rPr>
          <w:rFonts w:ascii="Arial" w:hAnsi="Arial" w:cs="Arial"/>
          <w:b/>
          <w:bCs/>
        </w:rPr>
        <w:t>. REFERENCES</w:t>
      </w:r>
    </w:p>
    <w:p w14:paraId="48AB5EF8" w14:textId="45EC961F"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Altschul, S. F., Gish, W., Miller, W., Myers, E. W., &amp; Lipman, D. J. (1990). Basic local alignment search tool. </w:t>
      </w:r>
      <w:r w:rsidRPr="003F4ADB">
        <w:rPr>
          <w:rFonts w:ascii="Arial" w:hAnsi="Arial" w:cs="Arial"/>
          <w:i/>
          <w:iCs/>
          <w:sz w:val="20"/>
          <w:szCs w:val="20"/>
        </w:rPr>
        <w:t>Journal of Molecular Biology, 215</w:t>
      </w:r>
      <w:r w:rsidRPr="003F4ADB">
        <w:rPr>
          <w:rFonts w:ascii="Arial" w:hAnsi="Arial" w:cs="Arial"/>
          <w:sz w:val="20"/>
          <w:szCs w:val="20"/>
        </w:rPr>
        <w:t>(3), 403</w:t>
      </w:r>
      <w:r w:rsidR="00F54166">
        <w:rPr>
          <w:rFonts w:ascii="Arial" w:hAnsi="Arial" w:cs="Arial"/>
          <w:sz w:val="20"/>
          <w:szCs w:val="20"/>
        </w:rPr>
        <w:t>-</w:t>
      </w:r>
      <w:r w:rsidRPr="003F4ADB">
        <w:rPr>
          <w:rFonts w:ascii="Arial" w:hAnsi="Arial" w:cs="Arial"/>
          <w:sz w:val="20"/>
          <w:szCs w:val="20"/>
        </w:rPr>
        <w:t xml:space="preserve">410. </w:t>
      </w:r>
    </w:p>
    <w:p w14:paraId="2038EB0C" w14:textId="519DE498"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Cappuccino, J. G., &amp; Sherman, N. (2014). </w:t>
      </w:r>
      <w:r w:rsidRPr="003F4ADB">
        <w:rPr>
          <w:rFonts w:ascii="Arial" w:hAnsi="Arial" w:cs="Arial"/>
          <w:i/>
          <w:iCs/>
          <w:sz w:val="20"/>
          <w:szCs w:val="20"/>
        </w:rPr>
        <w:t>Microbiology: A laboratory manual</w:t>
      </w:r>
      <w:r w:rsidRPr="003F4ADB">
        <w:rPr>
          <w:rFonts w:ascii="Arial" w:hAnsi="Arial" w:cs="Arial"/>
          <w:sz w:val="20"/>
          <w:szCs w:val="20"/>
        </w:rPr>
        <w:t xml:space="preserve"> (10th ed.). Pearson.</w:t>
      </w:r>
    </w:p>
    <w:p w14:paraId="429DEC9F" w14:textId="12187C60"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Chan, C. M., Ma, Z., &amp; Chen, G. Q. (2018). Polyhydroxyalkanoate (PHA) production from agro-industrial waste and wastewater. In G. Q. Chen (Ed.), </w:t>
      </w:r>
      <w:r w:rsidRPr="003F4ADB">
        <w:rPr>
          <w:rFonts w:ascii="Arial" w:hAnsi="Arial" w:cs="Arial"/>
          <w:i/>
          <w:iCs/>
          <w:sz w:val="20"/>
          <w:szCs w:val="20"/>
        </w:rPr>
        <w:t>Plastics from Bacteria</w:t>
      </w:r>
      <w:r w:rsidRPr="003F4ADB">
        <w:rPr>
          <w:rFonts w:ascii="Arial" w:hAnsi="Arial" w:cs="Arial"/>
          <w:sz w:val="20"/>
          <w:szCs w:val="20"/>
        </w:rPr>
        <w:t xml:space="preserve"> (pp. 263–294). Springer, Singapore.</w:t>
      </w:r>
    </w:p>
    <w:p w14:paraId="3F8B719E" w14:textId="399E563E"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Chen, G. Q., &amp; Wu, Q. (2005). The application of polyhydroxyalkanoates as tissue engineering materials. </w:t>
      </w:r>
      <w:r w:rsidRPr="003F4ADB">
        <w:rPr>
          <w:rFonts w:ascii="Arial" w:hAnsi="Arial" w:cs="Arial"/>
          <w:i/>
          <w:iCs/>
          <w:sz w:val="20"/>
          <w:szCs w:val="20"/>
        </w:rPr>
        <w:t>Biomaterials, 26</w:t>
      </w:r>
      <w:r w:rsidRPr="003F4ADB">
        <w:rPr>
          <w:rFonts w:ascii="Arial" w:hAnsi="Arial" w:cs="Arial"/>
          <w:sz w:val="20"/>
          <w:szCs w:val="20"/>
        </w:rPr>
        <w:t>(33), 6565–6578.</w:t>
      </w:r>
    </w:p>
    <w:p w14:paraId="63929CC7" w14:textId="267A5200"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Choi, S. Y., &amp; Lee, S. Y. (1997). Process analysis and economic evaluation of poly(3-hydroxybutyrate) production by fermentation. </w:t>
      </w:r>
      <w:r w:rsidRPr="003F4ADB">
        <w:rPr>
          <w:rFonts w:ascii="Arial" w:hAnsi="Arial" w:cs="Arial"/>
          <w:i/>
          <w:iCs/>
          <w:sz w:val="20"/>
          <w:szCs w:val="20"/>
        </w:rPr>
        <w:t>Bioprocess Engineering, 17</w:t>
      </w:r>
      <w:r w:rsidRPr="003F4ADB">
        <w:rPr>
          <w:rFonts w:ascii="Arial" w:hAnsi="Arial" w:cs="Arial"/>
          <w:sz w:val="20"/>
          <w:szCs w:val="20"/>
        </w:rPr>
        <w:t>(4), 335–342.</w:t>
      </w:r>
    </w:p>
    <w:p w14:paraId="213A214E" w14:textId="20480532"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lastRenderedPageBreak/>
        <w:t xml:space="preserve">Edgar, R. C. (2004). MUSCLE: A multiple sequence alignment method. </w:t>
      </w:r>
      <w:r w:rsidRPr="003F4ADB">
        <w:rPr>
          <w:rFonts w:ascii="Arial" w:hAnsi="Arial" w:cs="Arial"/>
          <w:i/>
          <w:iCs/>
          <w:sz w:val="20"/>
          <w:szCs w:val="20"/>
        </w:rPr>
        <w:t>Nucleic Acids Research, 32</w:t>
      </w:r>
      <w:r w:rsidRPr="003F4ADB">
        <w:rPr>
          <w:rFonts w:ascii="Arial" w:hAnsi="Arial" w:cs="Arial"/>
          <w:sz w:val="20"/>
          <w:szCs w:val="20"/>
        </w:rPr>
        <w:t xml:space="preserve">(5), 1792–1797. </w:t>
      </w:r>
    </w:p>
    <w:p w14:paraId="4E1C7FE8" w14:textId="7CCC4C39"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Geyer, R., </w:t>
      </w:r>
      <w:proofErr w:type="spellStart"/>
      <w:r w:rsidRPr="003F4ADB">
        <w:rPr>
          <w:rFonts w:ascii="Arial" w:hAnsi="Arial" w:cs="Arial"/>
          <w:sz w:val="20"/>
          <w:szCs w:val="20"/>
        </w:rPr>
        <w:t>Jambeck</w:t>
      </w:r>
      <w:proofErr w:type="spellEnd"/>
      <w:r w:rsidRPr="003F4ADB">
        <w:rPr>
          <w:rFonts w:ascii="Arial" w:hAnsi="Arial" w:cs="Arial"/>
          <w:sz w:val="20"/>
          <w:szCs w:val="20"/>
        </w:rPr>
        <w:t xml:space="preserve">, J. R., &amp; Law, K. L. (2017). Production, use, and fate of all plastics ever made. </w:t>
      </w:r>
      <w:r w:rsidRPr="003F4ADB">
        <w:rPr>
          <w:rFonts w:ascii="Arial" w:hAnsi="Arial" w:cs="Arial"/>
          <w:i/>
          <w:iCs/>
          <w:sz w:val="20"/>
          <w:szCs w:val="20"/>
        </w:rPr>
        <w:t>Science Advances, 3</w:t>
      </w:r>
      <w:r w:rsidRPr="003F4ADB">
        <w:rPr>
          <w:rFonts w:ascii="Arial" w:hAnsi="Arial" w:cs="Arial"/>
          <w:sz w:val="20"/>
          <w:szCs w:val="20"/>
        </w:rPr>
        <w:t>(7), e1700782.</w:t>
      </w:r>
    </w:p>
    <w:p w14:paraId="3663C791" w14:textId="03CC2F62"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Horton, A. A., Svendsen, C., Williams, R. J., Spurgeon, D. J., &amp; </w:t>
      </w:r>
      <w:proofErr w:type="spellStart"/>
      <w:r w:rsidRPr="003F4ADB">
        <w:rPr>
          <w:rFonts w:ascii="Arial" w:hAnsi="Arial" w:cs="Arial"/>
          <w:sz w:val="20"/>
          <w:szCs w:val="20"/>
        </w:rPr>
        <w:t>Lahive</w:t>
      </w:r>
      <w:proofErr w:type="spellEnd"/>
      <w:r w:rsidRPr="003F4ADB">
        <w:rPr>
          <w:rFonts w:ascii="Arial" w:hAnsi="Arial" w:cs="Arial"/>
          <w:sz w:val="20"/>
          <w:szCs w:val="20"/>
        </w:rPr>
        <w:t xml:space="preserve">, E. (2017). Large plastic debris and microplastic ingestion by freshwater fish in England. </w:t>
      </w:r>
      <w:r w:rsidRPr="003F4ADB">
        <w:rPr>
          <w:rFonts w:ascii="Arial" w:hAnsi="Arial" w:cs="Arial"/>
          <w:i/>
          <w:iCs/>
          <w:sz w:val="20"/>
          <w:szCs w:val="20"/>
        </w:rPr>
        <w:t>Environmental Pollution, 220</w:t>
      </w:r>
      <w:r w:rsidRPr="003F4ADB">
        <w:rPr>
          <w:rFonts w:ascii="Arial" w:hAnsi="Arial" w:cs="Arial"/>
          <w:sz w:val="20"/>
          <w:szCs w:val="20"/>
        </w:rPr>
        <w:t>, 1448–1454.</w:t>
      </w:r>
    </w:p>
    <w:p w14:paraId="2CEBC8D0" w14:textId="1939087D" w:rsidR="005E6DD6" w:rsidRPr="003F4ADB" w:rsidRDefault="005E6DD6" w:rsidP="001C5B92">
      <w:pPr>
        <w:spacing w:after="0" w:line="360" w:lineRule="auto"/>
        <w:jc w:val="both"/>
        <w:rPr>
          <w:rFonts w:ascii="Arial" w:hAnsi="Arial" w:cs="Arial"/>
          <w:sz w:val="20"/>
          <w:szCs w:val="20"/>
        </w:rPr>
      </w:pPr>
      <w:proofErr w:type="spellStart"/>
      <w:r w:rsidRPr="003F4ADB">
        <w:rPr>
          <w:rFonts w:ascii="Arial" w:hAnsi="Arial" w:cs="Arial"/>
          <w:sz w:val="20"/>
          <w:szCs w:val="20"/>
        </w:rPr>
        <w:t>Jambeck</w:t>
      </w:r>
      <w:proofErr w:type="spellEnd"/>
      <w:r w:rsidRPr="003F4ADB">
        <w:rPr>
          <w:rFonts w:ascii="Arial" w:hAnsi="Arial" w:cs="Arial"/>
          <w:sz w:val="20"/>
          <w:szCs w:val="20"/>
        </w:rPr>
        <w:t xml:space="preserve">, J. R., Geyer, R., Wilcox, C., Siegler, T. R., Perryman, M., </w:t>
      </w:r>
      <w:proofErr w:type="spellStart"/>
      <w:r w:rsidRPr="003F4ADB">
        <w:rPr>
          <w:rFonts w:ascii="Arial" w:hAnsi="Arial" w:cs="Arial"/>
          <w:sz w:val="20"/>
          <w:szCs w:val="20"/>
        </w:rPr>
        <w:t>Andrady</w:t>
      </w:r>
      <w:proofErr w:type="spellEnd"/>
      <w:r w:rsidRPr="003F4ADB">
        <w:rPr>
          <w:rFonts w:ascii="Arial" w:hAnsi="Arial" w:cs="Arial"/>
          <w:sz w:val="20"/>
          <w:szCs w:val="20"/>
        </w:rPr>
        <w:t xml:space="preserve">, A., Narayan, R., &amp; Law, K. L. (2015). Plastic waste inputs from land into the ocean. </w:t>
      </w:r>
      <w:r w:rsidRPr="003F4ADB">
        <w:rPr>
          <w:rFonts w:ascii="Arial" w:hAnsi="Arial" w:cs="Arial"/>
          <w:i/>
          <w:iCs/>
          <w:sz w:val="20"/>
          <w:szCs w:val="20"/>
        </w:rPr>
        <w:t>Science, 347</w:t>
      </w:r>
      <w:r w:rsidRPr="003F4ADB">
        <w:rPr>
          <w:rFonts w:ascii="Arial" w:hAnsi="Arial" w:cs="Arial"/>
          <w:sz w:val="20"/>
          <w:szCs w:val="20"/>
        </w:rPr>
        <w:t>(6223), 768–771.</w:t>
      </w:r>
    </w:p>
    <w:p w14:paraId="6C83A3CF" w14:textId="4DF22766"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Kahar, P., Liew, C. V., &amp; Sudesh, K. (2008). A new medium for enhanced production of poly(3-hydroxybutyrate) in recombinant </w:t>
      </w:r>
      <w:r w:rsidRPr="003F4ADB">
        <w:rPr>
          <w:rFonts w:ascii="Arial" w:hAnsi="Arial" w:cs="Arial"/>
          <w:i/>
          <w:iCs/>
          <w:sz w:val="20"/>
          <w:szCs w:val="20"/>
        </w:rPr>
        <w:t>Escherichia coli</w:t>
      </w:r>
      <w:r w:rsidRPr="003F4ADB">
        <w:rPr>
          <w:rFonts w:ascii="Arial" w:hAnsi="Arial" w:cs="Arial"/>
          <w:sz w:val="20"/>
          <w:szCs w:val="20"/>
        </w:rPr>
        <w:t xml:space="preserve">. </w:t>
      </w:r>
      <w:r w:rsidRPr="003F4ADB">
        <w:rPr>
          <w:rFonts w:ascii="Arial" w:hAnsi="Arial" w:cs="Arial"/>
          <w:i/>
          <w:iCs/>
          <w:sz w:val="20"/>
          <w:szCs w:val="20"/>
        </w:rPr>
        <w:t>Biotechnology and Bioengineering, 99</w:t>
      </w:r>
      <w:r w:rsidRPr="003F4ADB">
        <w:rPr>
          <w:rFonts w:ascii="Arial" w:hAnsi="Arial" w:cs="Arial"/>
          <w:sz w:val="20"/>
          <w:szCs w:val="20"/>
        </w:rPr>
        <w:t>(2), 290–298.</w:t>
      </w:r>
    </w:p>
    <w:p w14:paraId="11302AA6" w14:textId="229867B5"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Khanna, S., &amp; Srivastava, A. K. (2005). Recent advances in microbial polyhydroxyalkanoates. </w:t>
      </w:r>
      <w:r w:rsidRPr="003F4ADB">
        <w:rPr>
          <w:rFonts w:ascii="Arial" w:hAnsi="Arial" w:cs="Arial"/>
          <w:i/>
          <w:iCs/>
          <w:sz w:val="20"/>
          <w:szCs w:val="20"/>
        </w:rPr>
        <w:t>Process Biochemistry, 40</w:t>
      </w:r>
      <w:r w:rsidRPr="003F4ADB">
        <w:rPr>
          <w:rFonts w:ascii="Arial" w:hAnsi="Arial" w:cs="Arial"/>
          <w:sz w:val="20"/>
          <w:szCs w:val="20"/>
        </w:rPr>
        <w:t>(2), 607–619.</w:t>
      </w:r>
    </w:p>
    <w:p w14:paraId="7FE0CBE3" w14:textId="748FF0E4"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Khanna, S., &amp; Srivastava, B. (2014). Recent advances in microbial production of polyhydroxyalkanoates from waste and renewable sources. </w:t>
      </w:r>
      <w:r w:rsidRPr="003F4ADB">
        <w:rPr>
          <w:rFonts w:ascii="Arial" w:hAnsi="Arial" w:cs="Arial"/>
          <w:i/>
          <w:iCs/>
          <w:sz w:val="20"/>
          <w:szCs w:val="20"/>
        </w:rPr>
        <w:t>Clean Technologies and Environmental Policy, 16</w:t>
      </w:r>
      <w:r w:rsidRPr="003F4ADB">
        <w:rPr>
          <w:rFonts w:ascii="Arial" w:hAnsi="Arial" w:cs="Arial"/>
          <w:sz w:val="20"/>
          <w:szCs w:val="20"/>
        </w:rPr>
        <w:t>(2), 273–286.</w:t>
      </w:r>
    </w:p>
    <w:p w14:paraId="6DFABC66" w14:textId="4E375EE2"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Koller, M. (2018). Microbial production of polyhydroxyalkanoates—A review. </w:t>
      </w:r>
      <w:r w:rsidRPr="003F4ADB">
        <w:rPr>
          <w:rFonts w:ascii="Arial" w:hAnsi="Arial" w:cs="Arial"/>
          <w:i/>
          <w:iCs/>
          <w:sz w:val="20"/>
          <w:szCs w:val="20"/>
        </w:rPr>
        <w:t>Separation and Purification Technology, 205</w:t>
      </w:r>
      <w:r w:rsidRPr="003F4ADB">
        <w:rPr>
          <w:rFonts w:ascii="Arial" w:hAnsi="Arial" w:cs="Arial"/>
          <w:sz w:val="20"/>
          <w:szCs w:val="20"/>
        </w:rPr>
        <w:t>, 662–681.</w:t>
      </w:r>
    </w:p>
    <w:p w14:paraId="471A757D" w14:textId="33E7EB91"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Koller, M., Muhr, A., &amp; </w:t>
      </w:r>
      <w:proofErr w:type="spellStart"/>
      <w:r w:rsidRPr="003F4ADB">
        <w:rPr>
          <w:rFonts w:ascii="Arial" w:hAnsi="Arial" w:cs="Arial"/>
          <w:sz w:val="20"/>
          <w:szCs w:val="20"/>
        </w:rPr>
        <w:t>Braunegg</w:t>
      </w:r>
      <w:proofErr w:type="spellEnd"/>
      <w:r w:rsidRPr="003F4ADB">
        <w:rPr>
          <w:rFonts w:ascii="Arial" w:hAnsi="Arial" w:cs="Arial"/>
          <w:sz w:val="20"/>
          <w:szCs w:val="20"/>
        </w:rPr>
        <w:t xml:space="preserve">, G. (2013). Producing microbial </w:t>
      </w:r>
      <w:proofErr w:type="spellStart"/>
      <w:r w:rsidRPr="003F4ADB">
        <w:rPr>
          <w:rFonts w:ascii="Arial" w:hAnsi="Arial" w:cs="Arial"/>
          <w:sz w:val="20"/>
          <w:szCs w:val="20"/>
        </w:rPr>
        <w:t>polyhydroxyalkanoate</w:t>
      </w:r>
      <w:proofErr w:type="spellEnd"/>
      <w:r w:rsidRPr="003F4ADB">
        <w:rPr>
          <w:rFonts w:ascii="Arial" w:hAnsi="Arial" w:cs="Arial"/>
          <w:sz w:val="20"/>
          <w:szCs w:val="20"/>
        </w:rPr>
        <w:t xml:space="preserve"> (PHA) </w:t>
      </w:r>
      <w:proofErr w:type="spellStart"/>
      <w:r w:rsidRPr="003F4ADB">
        <w:rPr>
          <w:rFonts w:ascii="Arial" w:hAnsi="Arial" w:cs="Arial"/>
          <w:sz w:val="20"/>
          <w:szCs w:val="20"/>
        </w:rPr>
        <w:t>biopolyesters</w:t>
      </w:r>
      <w:proofErr w:type="spellEnd"/>
      <w:r w:rsidRPr="003F4ADB">
        <w:rPr>
          <w:rFonts w:ascii="Arial" w:hAnsi="Arial" w:cs="Arial"/>
          <w:sz w:val="20"/>
          <w:szCs w:val="20"/>
        </w:rPr>
        <w:t xml:space="preserve"> in a sustainable manner. </w:t>
      </w:r>
      <w:r w:rsidRPr="003F4ADB">
        <w:rPr>
          <w:rFonts w:ascii="Arial" w:hAnsi="Arial" w:cs="Arial"/>
          <w:i/>
          <w:iCs/>
          <w:sz w:val="20"/>
          <w:szCs w:val="20"/>
        </w:rPr>
        <w:t>Current Opinion in Biotechnology, 24</w:t>
      </w:r>
      <w:r w:rsidRPr="003F4ADB">
        <w:rPr>
          <w:rFonts w:ascii="Arial" w:hAnsi="Arial" w:cs="Arial"/>
          <w:sz w:val="20"/>
          <w:szCs w:val="20"/>
        </w:rPr>
        <w:t>(3), 398–406.</w:t>
      </w:r>
    </w:p>
    <w:p w14:paraId="5D1A0D8E" w14:textId="114EDDCB" w:rsidR="005E6DD6" w:rsidRPr="003F4ADB" w:rsidRDefault="005E6DD6" w:rsidP="001C5B92">
      <w:pPr>
        <w:spacing w:after="0" w:line="360" w:lineRule="auto"/>
        <w:jc w:val="both"/>
        <w:rPr>
          <w:rFonts w:ascii="Arial" w:hAnsi="Arial" w:cs="Arial"/>
          <w:sz w:val="20"/>
          <w:szCs w:val="20"/>
        </w:rPr>
      </w:pPr>
      <w:proofErr w:type="spellStart"/>
      <w:r w:rsidRPr="003F4ADB">
        <w:rPr>
          <w:rFonts w:ascii="Arial" w:hAnsi="Arial" w:cs="Arial"/>
          <w:sz w:val="20"/>
          <w:szCs w:val="20"/>
        </w:rPr>
        <w:t>Lageveen</w:t>
      </w:r>
      <w:proofErr w:type="spellEnd"/>
      <w:r w:rsidRPr="003F4ADB">
        <w:rPr>
          <w:rFonts w:ascii="Arial" w:hAnsi="Arial" w:cs="Arial"/>
          <w:sz w:val="20"/>
          <w:szCs w:val="20"/>
        </w:rPr>
        <w:t xml:space="preserve">, R. G., Huisman, G. W., </w:t>
      </w:r>
      <w:proofErr w:type="spellStart"/>
      <w:r w:rsidRPr="003F4ADB">
        <w:rPr>
          <w:rFonts w:ascii="Arial" w:hAnsi="Arial" w:cs="Arial"/>
          <w:sz w:val="20"/>
          <w:szCs w:val="20"/>
        </w:rPr>
        <w:t>Preusting</w:t>
      </w:r>
      <w:proofErr w:type="spellEnd"/>
      <w:r w:rsidRPr="003F4ADB">
        <w:rPr>
          <w:rFonts w:ascii="Arial" w:hAnsi="Arial" w:cs="Arial"/>
          <w:sz w:val="20"/>
          <w:szCs w:val="20"/>
        </w:rPr>
        <w:t xml:space="preserve">, H., Ketelaar, P., Kingma, J., &amp; </w:t>
      </w:r>
      <w:proofErr w:type="spellStart"/>
      <w:r w:rsidRPr="003F4ADB">
        <w:rPr>
          <w:rFonts w:ascii="Arial" w:hAnsi="Arial" w:cs="Arial"/>
          <w:sz w:val="20"/>
          <w:szCs w:val="20"/>
        </w:rPr>
        <w:t>Witholt</w:t>
      </w:r>
      <w:proofErr w:type="spellEnd"/>
      <w:r w:rsidRPr="003F4ADB">
        <w:rPr>
          <w:rFonts w:ascii="Arial" w:hAnsi="Arial" w:cs="Arial"/>
          <w:sz w:val="20"/>
          <w:szCs w:val="20"/>
        </w:rPr>
        <w:t xml:space="preserve">, B. (1988). Formation of polyesters by fluorescent pseudomonads in the presence of various carbon sources. </w:t>
      </w:r>
      <w:r w:rsidRPr="003F4ADB">
        <w:rPr>
          <w:rFonts w:ascii="Arial" w:hAnsi="Arial" w:cs="Arial"/>
          <w:i/>
          <w:iCs/>
          <w:sz w:val="20"/>
          <w:szCs w:val="20"/>
        </w:rPr>
        <w:t>Applied and Environmental Microbiology, 54</w:t>
      </w:r>
      <w:r w:rsidRPr="003F4ADB">
        <w:rPr>
          <w:rFonts w:ascii="Arial" w:hAnsi="Arial" w:cs="Arial"/>
          <w:sz w:val="20"/>
          <w:szCs w:val="20"/>
        </w:rPr>
        <w:t>(12), 2924–2932.</w:t>
      </w:r>
    </w:p>
    <w:p w14:paraId="4B86F5EC" w14:textId="08881C90"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Lane, D. J. (1991). 16S/23S rRNA sequencing. In E. </w:t>
      </w:r>
      <w:proofErr w:type="spellStart"/>
      <w:r w:rsidRPr="003F4ADB">
        <w:rPr>
          <w:rFonts w:ascii="Arial" w:hAnsi="Arial" w:cs="Arial"/>
          <w:sz w:val="20"/>
          <w:szCs w:val="20"/>
        </w:rPr>
        <w:t>Stackebrandt</w:t>
      </w:r>
      <w:proofErr w:type="spellEnd"/>
      <w:r w:rsidRPr="003F4ADB">
        <w:rPr>
          <w:rFonts w:ascii="Arial" w:hAnsi="Arial" w:cs="Arial"/>
          <w:sz w:val="20"/>
          <w:szCs w:val="20"/>
        </w:rPr>
        <w:t xml:space="preserve"> &amp; M. Goodfellow (Eds.), </w:t>
      </w:r>
      <w:r w:rsidRPr="003F4ADB">
        <w:rPr>
          <w:rFonts w:ascii="Arial" w:hAnsi="Arial" w:cs="Arial"/>
          <w:i/>
          <w:iCs/>
          <w:sz w:val="20"/>
          <w:szCs w:val="20"/>
        </w:rPr>
        <w:t>Nucleic acid techniques in bacterial systematics</w:t>
      </w:r>
      <w:r w:rsidRPr="003F4ADB">
        <w:rPr>
          <w:rFonts w:ascii="Arial" w:hAnsi="Arial" w:cs="Arial"/>
          <w:sz w:val="20"/>
          <w:szCs w:val="20"/>
        </w:rPr>
        <w:t xml:space="preserve"> (pp. 115–175). Wiley.</w:t>
      </w:r>
    </w:p>
    <w:p w14:paraId="613D5354" w14:textId="215AB6D6"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Law, J. H., &amp; Slepecky, R. A. (1961). Assay of poly-β-hydroxybutyric acid. </w:t>
      </w:r>
      <w:r w:rsidRPr="003F4ADB">
        <w:rPr>
          <w:rFonts w:ascii="Arial" w:hAnsi="Arial" w:cs="Arial"/>
          <w:i/>
          <w:iCs/>
          <w:sz w:val="20"/>
          <w:szCs w:val="20"/>
        </w:rPr>
        <w:t>Journal of Bacteriology, 82</w:t>
      </w:r>
      <w:r w:rsidRPr="003F4ADB">
        <w:rPr>
          <w:rFonts w:ascii="Arial" w:hAnsi="Arial" w:cs="Arial"/>
          <w:sz w:val="20"/>
          <w:szCs w:val="20"/>
        </w:rPr>
        <w:t xml:space="preserve">(1), 33–36. </w:t>
      </w:r>
    </w:p>
    <w:p w14:paraId="08B2A226" w14:textId="317B4603"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Laycock, B., Halley, P., Pratt, S., Gauthier, E., Krzan, M., Hill, D. J., &amp; Truss, R. (2017). The chemistry and sustainability of polyhydroxyalkanoates. </w:t>
      </w:r>
      <w:r w:rsidRPr="003F4ADB">
        <w:rPr>
          <w:rFonts w:ascii="Arial" w:hAnsi="Arial" w:cs="Arial"/>
          <w:i/>
          <w:iCs/>
          <w:sz w:val="20"/>
          <w:szCs w:val="20"/>
        </w:rPr>
        <w:t>Polymer Reviews, 57</w:t>
      </w:r>
      <w:r w:rsidRPr="003F4ADB">
        <w:rPr>
          <w:rFonts w:ascii="Arial" w:hAnsi="Arial" w:cs="Arial"/>
          <w:sz w:val="20"/>
          <w:szCs w:val="20"/>
        </w:rPr>
        <w:t>(1), 31–105.</w:t>
      </w:r>
    </w:p>
    <w:p w14:paraId="48033D1B" w14:textId="4F4781E7"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Lee, S. Y., Choi, J. I., &amp; Lee, Y. H. (1999). High-cell-density culture of </w:t>
      </w:r>
      <w:proofErr w:type="spellStart"/>
      <w:r w:rsidRPr="003F4ADB">
        <w:rPr>
          <w:rFonts w:ascii="Arial" w:hAnsi="Arial" w:cs="Arial"/>
          <w:i/>
          <w:iCs/>
          <w:sz w:val="20"/>
          <w:szCs w:val="20"/>
        </w:rPr>
        <w:t>Ralstonia</w:t>
      </w:r>
      <w:proofErr w:type="spellEnd"/>
      <w:r w:rsidRPr="003F4ADB">
        <w:rPr>
          <w:rFonts w:ascii="Arial" w:hAnsi="Arial" w:cs="Arial"/>
          <w:i/>
          <w:iCs/>
          <w:sz w:val="20"/>
          <w:szCs w:val="20"/>
        </w:rPr>
        <w:t xml:space="preserve"> </w:t>
      </w:r>
      <w:proofErr w:type="spellStart"/>
      <w:r w:rsidRPr="003F4ADB">
        <w:rPr>
          <w:rFonts w:ascii="Arial" w:hAnsi="Arial" w:cs="Arial"/>
          <w:i/>
          <w:iCs/>
          <w:sz w:val="20"/>
          <w:szCs w:val="20"/>
        </w:rPr>
        <w:t>eutropha</w:t>
      </w:r>
      <w:proofErr w:type="spellEnd"/>
      <w:r w:rsidRPr="003F4ADB">
        <w:rPr>
          <w:rFonts w:ascii="Arial" w:hAnsi="Arial" w:cs="Arial"/>
          <w:sz w:val="20"/>
          <w:szCs w:val="20"/>
        </w:rPr>
        <w:t xml:space="preserve"> for the production of poly(3-hydroxybutyrate). </w:t>
      </w:r>
      <w:r w:rsidRPr="003F4ADB">
        <w:rPr>
          <w:rFonts w:ascii="Arial" w:hAnsi="Arial" w:cs="Arial"/>
          <w:i/>
          <w:iCs/>
          <w:sz w:val="20"/>
          <w:szCs w:val="20"/>
        </w:rPr>
        <w:t>Applied Microbiology and Biotechnology, 51</w:t>
      </w:r>
      <w:r w:rsidRPr="003F4ADB">
        <w:rPr>
          <w:rFonts w:ascii="Arial" w:hAnsi="Arial" w:cs="Arial"/>
          <w:sz w:val="20"/>
          <w:szCs w:val="20"/>
        </w:rPr>
        <w:t>(5), 545–553.</w:t>
      </w:r>
    </w:p>
    <w:p w14:paraId="3F4C2294" w14:textId="2CE2A8DF" w:rsidR="005E6DD6" w:rsidRPr="003F4ADB" w:rsidRDefault="005E6DD6" w:rsidP="001C5B92">
      <w:pPr>
        <w:spacing w:after="0" w:line="360" w:lineRule="auto"/>
        <w:jc w:val="both"/>
        <w:rPr>
          <w:rFonts w:ascii="Arial" w:hAnsi="Arial" w:cs="Arial"/>
          <w:sz w:val="20"/>
          <w:szCs w:val="20"/>
        </w:rPr>
      </w:pPr>
      <w:proofErr w:type="spellStart"/>
      <w:r w:rsidRPr="003F4ADB">
        <w:rPr>
          <w:rFonts w:ascii="Arial" w:hAnsi="Arial" w:cs="Arial"/>
          <w:sz w:val="20"/>
          <w:szCs w:val="20"/>
        </w:rPr>
        <w:t>Możejko-Czekaj</w:t>
      </w:r>
      <w:proofErr w:type="spellEnd"/>
      <w:r w:rsidRPr="003F4ADB">
        <w:rPr>
          <w:rFonts w:ascii="Arial" w:hAnsi="Arial" w:cs="Arial"/>
          <w:sz w:val="20"/>
          <w:szCs w:val="20"/>
        </w:rPr>
        <w:t xml:space="preserve">, M., Ciesielski, S., &amp; </w:t>
      </w:r>
      <w:proofErr w:type="spellStart"/>
      <w:r w:rsidRPr="003F4ADB">
        <w:rPr>
          <w:rFonts w:ascii="Arial" w:hAnsi="Arial" w:cs="Arial"/>
          <w:sz w:val="20"/>
          <w:szCs w:val="20"/>
        </w:rPr>
        <w:t>Borymski</w:t>
      </w:r>
      <w:proofErr w:type="spellEnd"/>
      <w:r w:rsidRPr="003F4ADB">
        <w:rPr>
          <w:rFonts w:ascii="Arial" w:hAnsi="Arial" w:cs="Arial"/>
          <w:sz w:val="20"/>
          <w:szCs w:val="20"/>
        </w:rPr>
        <w:t xml:space="preserve">, S. (2020). Production of polyhydroxyalkanoates by </w:t>
      </w:r>
      <w:r w:rsidRPr="003F4ADB">
        <w:rPr>
          <w:rFonts w:ascii="Arial" w:hAnsi="Arial" w:cs="Arial"/>
          <w:i/>
          <w:iCs/>
          <w:sz w:val="20"/>
          <w:szCs w:val="20"/>
        </w:rPr>
        <w:t>Bacillus</w:t>
      </w:r>
      <w:r w:rsidRPr="003F4ADB">
        <w:rPr>
          <w:rFonts w:ascii="Arial" w:hAnsi="Arial" w:cs="Arial"/>
          <w:sz w:val="20"/>
          <w:szCs w:val="20"/>
        </w:rPr>
        <w:t xml:space="preserve"> spp.—Review. </w:t>
      </w:r>
      <w:r w:rsidRPr="003F4ADB">
        <w:rPr>
          <w:rFonts w:ascii="Arial" w:hAnsi="Arial" w:cs="Arial"/>
          <w:i/>
          <w:iCs/>
          <w:sz w:val="20"/>
          <w:szCs w:val="20"/>
        </w:rPr>
        <w:t>Polymers, 12</w:t>
      </w:r>
      <w:r w:rsidRPr="003F4ADB">
        <w:rPr>
          <w:rFonts w:ascii="Arial" w:hAnsi="Arial" w:cs="Arial"/>
          <w:sz w:val="20"/>
          <w:szCs w:val="20"/>
        </w:rPr>
        <w:t>(12), 2977.</w:t>
      </w:r>
    </w:p>
    <w:p w14:paraId="46388AC7" w14:textId="3024F0C8"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Quast, C., </w:t>
      </w:r>
      <w:proofErr w:type="spellStart"/>
      <w:r w:rsidRPr="003F4ADB">
        <w:rPr>
          <w:rFonts w:ascii="Arial" w:hAnsi="Arial" w:cs="Arial"/>
          <w:sz w:val="20"/>
          <w:szCs w:val="20"/>
        </w:rPr>
        <w:t>Pruesse</w:t>
      </w:r>
      <w:proofErr w:type="spellEnd"/>
      <w:r w:rsidRPr="003F4ADB">
        <w:rPr>
          <w:rFonts w:ascii="Arial" w:hAnsi="Arial" w:cs="Arial"/>
          <w:sz w:val="20"/>
          <w:szCs w:val="20"/>
        </w:rPr>
        <w:t xml:space="preserve">, E., Yilmaz, P., Gerken, J., Schweer, T., Yarza, P., </w:t>
      </w:r>
      <w:proofErr w:type="spellStart"/>
      <w:r w:rsidRPr="003F4ADB">
        <w:rPr>
          <w:rFonts w:ascii="Arial" w:hAnsi="Arial" w:cs="Arial"/>
          <w:sz w:val="20"/>
          <w:szCs w:val="20"/>
        </w:rPr>
        <w:t>Peplies</w:t>
      </w:r>
      <w:proofErr w:type="spellEnd"/>
      <w:r w:rsidRPr="003F4ADB">
        <w:rPr>
          <w:rFonts w:ascii="Arial" w:hAnsi="Arial" w:cs="Arial"/>
          <w:sz w:val="20"/>
          <w:szCs w:val="20"/>
        </w:rPr>
        <w:t xml:space="preserve">, J., &amp; Glöckner, F. O. (2013). The SILVA ribosomal RNA gene database project. </w:t>
      </w:r>
      <w:r w:rsidRPr="003F4ADB">
        <w:rPr>
          <w:rFonts w:ascii="Arial" w:hAnsi="Arial" w:cs="Arial"/>
          <w:i/>
          <w:iCs/>
          <w:sz w:val="20"/>
          <w:szCs w:val="20"/>
        </w:rPr>
        <w:t>Nucleic Acids Research, 41</w:t>
      </w:r>
      <w:r w:rsidRPr="003F4ADB">
        <w:rPr>
          <w:rFonts w:ascii="Arial" w:hAnsi="Arial" w:cs="Arial"/>
          <w:sz w:val="20"/>
          <w:szCs w:val="20"/>
        </w:rPr>
        <w:t xml:space="preserve">(D1), D590–D596. </w:t>
      </w:r>
    </w:p>
    <w:p w14:paraId="26A2B18A" w14:textId="11B45A0A"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Reddy, C. S. K., Ghai, R., Rashmi, &amp; Kalia, V. C. (2003). An overview of the microbial production of polyhydroxyalkanoates (PHAs) and its commercial potential. </w:t>
      </w:r>
      <w:r w:rsidRPr="003F4ADB">
        <w:rPr>
          <w:rFonts w:ascii="Arial" w:hAnsi="Arial" w:cs="Arial"/>
          <w:i/>
          <w:iCs/>
          <w:sz w:val="20"/>
          <w:szCs w:val="20"/>
        </w:rPr>
        <w:t>International Journal of Biological Macromolecules, 31</w:t>
      </w:r>
      <w:r w:rsidRPr="003F4ADB">
        <w:rPr>
          <w:rFonts w:ascii="Arial" w:hAnsi="Arial" w:cs="Arial"/>
          <w:sz w:val="20"/>
          <w:szCs w:val="20"/>
        </w:rPr>
        <w:t>(5), 168–175.</w:t>
      </w:r>
    </w:p>
    <w:p w14:paraId="4A81D353" w14:textId="751C2A0D"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lastRenderedPageBreak/>
        <w:t xml:space="preserve">Saba, J. A., Schäfer, T., &amp; Zinn, M. (2020). Fourier-transform infrared spectroscopy of polyhydroxyalkanoates. </w:t>
      </w:r>
      <w:r w:rsidRPr="003F4ADB">
        <w:rPr>
          <w:rFonts w:ascii="Arial" w:hAnsi="Arial" w:cs="Arial"/>
          <w:i/>
          <w:iCs/>
          <w:sz w:val="20"/>
          <w:szCs w:val="20"/>
        </w:rPr>
        <w:t>Biomacromolecules, 21</w:t>
      </w:r>
      <w:r w:rsidRPr="003F4ADB">
        <w:rPr>
          <w:rFonts w:ascii="Arial" w:hAnsi="Arial" w:cs="Arial"/>
          <w:sz w:val="20"/>
          <w:szCs w:val="20"/>
        </w:rPr>
        <w:t>(1), 347–358</w:t>
      </w:r>
      <w:r w:rsidR="00A32B0C">
        <w:rPr>
          <w:rFonts w:ascii="Arial" w:hAnsi="Arial" w:cs="Arial"/>
          <w:sz w:val="20"/>
          <w:szCs w:val="20"/>
        </w:rPr>
        <w:t>.</w:t>
      </w:r>
    </w:p>
    <w:p w14:paraId="7194FFF9" w14:textId="2D45C04F" w:rsidR="005E6DD6" w:rsidRPr="003F4ADB" w:rsidRDefault="005E6DD6" w:rsidP="001C5B92">
      <w:pPr>
        <w:spacing w:after="0" w:line="360" w:lineRule="auto"/>
        <w:jc w:val="both"/>
        <w:rPr>
          <w:rFonts w:ascii="Arial" w:hAnsi="Arial" w:cs="Arial"/>
          <w:sz w:val="20"/>
          <w:szCs w:val="20"/>
        </w:rPr>
      </w:pPr>
      <w:proofErr w:type="spellStart"/>
      <w:r w:rsidRPr="003F4ADB">
        <w:rPr>
          <w:rFonts w:ascii="Arial" w:hAnsi="Arial" w:cs="Arial"/>
          <w:sz w:val="20"/>
          <w:szCs w:val="20"/>
        </w:rPr>
        <w:t>Sabdono</w:t>
      </w:r>
      <w:proofErr w:type="spellEnd"/>
      <w:r w:rsidRPr="003F4ADB">
        <w:rPr>
          <w:rFonts w:ascii="Arial" w:hAnsi="Arial" w:cs="Arial"/>
          <w:sz w:val="20"/>
          <w:szCs w:val="20"/>
        </w:rPr>
        <w:t xml:space="preserve">, A., </w:t>
      </w:r>
      <w:proofErr w:type="spellStart"/>
      <w:r w:rsidRPr="003F4ADB">
        <w:rPr>
          <w:rFonts w:ascii="Arial" w:hAnsi="Arial" w:cs="Arial"/>
          <w:sz w:val="20"/>
          <w:szCs w:val="20"/>
        </w:rPr>
        <w:t>Nurcahyani</w:t>
      </w:r>
      <w:proofErr w:type="spellEnd"/>
      <w:r w:rsidRPr="003F4ADB">
        <w:rPr>
          <w:rFonts w:ascii="Arial" w:hAnsi="Arial" w:cs="Arial"/>
          <w:sz w:val="20"/>
          <w:szCs w:val="20"/>
        </w:rPr>
        <w:t xml:space="preserve">, R., &amp; Hartati, R. (2019). Screening and characterization of polyhydroxyalkanoates (PHAs) producing bacteria isolated from mangrove sediment in Central Java, Indonesia. </w:t>
      </w:r>
      <w:r w:rsidRPr="003F4ADB">
        <w:rPr>
          <w:rFonts w:ascii="Arial" w:hAnsi="Arial" w:cs="Arial"/>
          <w:i/>
          <w:iCs/>
          <w:sz w:val="20"/>
          <w:szCs w:val="20"/>
        </w:rPr>
        <w:t>Journal of Pure and Applied Microbiology, 13</w:t>
      </w:r>
      <w:r w:rsidRPr="003F4ADB">
        <w:rPr>
          <w:rFonts w:ascii="Arial" w:hAnsi="Arial" w:cs="Arial"/>
          <w:sz w:val="20"/>
          <w:szCs w:val="20"/>
        </w:rPr>
        <w:t>(2), 651–657.</w:t>
      </w:r>
    </w:p>
    <w:p w14:paraId="7C2CF814" w14:textId="60443DF2"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Singh, M., Patel, S. K. S., Kalia, V. C., &amp; Lal, B. (2009). Production of polyhydroxyalkanoate copolymer by </w:t>
      </w:r>
      <w:r w:rsidRPr="003F4ADB">
        <w:rPr>
          <w:rFonts w:ascii="Arial" w:hAnsi="Arial" w:cs="Arial"/>
          <w:i/>
          <w:iCs/>
          <w:sz w:val="20"/>
          <w:szCs w:val="20"/>
        </w:rPr>
        <w:t>Bacillus thuringiensis</w:t>
      </w:r>
      <w:r w:rsidRPr="003F4ADB">
        <w:rPr>
          <w:rFonts w:ascii="Arial" w:hAnsi="Arial" w:cs="Arial"/>
          <w:sz w:val="20"/>
          <w:szCs w:val="20"/>
        </w:rPr>
        <w:t xml:space="preserve">. </w:t>
      </w:r>
      <w:r w:rsidRPr="003F4ADB">
        <w:rPr>
          <w:rFonts w:ascii="Arial" w:hAnsi="Arial" w:cs="Arial"/>
          <w:i/>
          <w:iCs/>
          <w:sz w:val="20"/>
          <w:szCs w:val="20"/>
        </w:rPr>
        <w:t>Bioresource Technology, 100</w:t>
      </w:r>
      <w:r w:rsidRPr="003F4ADB">
        <w:rPr>
          <w:rFonts w:ascii="Arial" w:hAnsi="Arial" w:cs="Arial"/>
          <w:sz w:val="20"/>
          <w:szCs w:val="20"/>
        </w:rPr>
        <w:t>, 2320–2326.</w:t>
      </w:r>
    </w:p>
    <w:p w14:paraId="64360496" w14:textId="6115436F" w:rsidR="005E6DD6" w:rsidRPr="003F4ADB" w:rsidRDefault="005E6DD6" w:rsidP="001C5B92">
      <w:pPr>
        <w:spacing w:after="0" w:line="360" w:lineRule="auto"/>
        <w:jc w:val="both"/>
        <w:rPr>
          <w:rFonts w:ascii="Arial" w:hAnsi="Arial" w:cs="Arial"/>
          <w:sz w:val="20"/>
          <w:szCs w:val="20"/>
        </w:rPr>
      </w:pPr>
      <w:proofErr w:type="spellStart"/>
      <w:r w:rsidRPr="003F4ADB">
        <w:rPr>
          <w:rFonts w:ascii="Arial" w:hAnsi="Arial" w:cs="Arial"/>
          <w:sz w:val="20"/>
          <w:szCs w:val="20"/>
        </w:rPr>
        <w:t>Steinbüchel</w:t>
      </w:r>
      <w:proofErr w:type="spellEnd"/>
      <w:r w:rsidRPr="003F4ADB">
        <w:rPr>
          <w:rFonts w:ascii="Arial" w:hAnsi="Arial" w:cs="Arial"/>
          <w:sz w:val="20"/>
          <w:szCs w:val="20"/>
        </w:rPr>
        <w:t xml:space="preserve">, A., &amp; </w:t>
      </w:r>
      <w:proofErr w:type="spellStart"/>
      <w:r w:rsidRPr="003F4ADB">
        <w:rPr>
          <w:rFonts w:ascii="Arial" w:hAnsi="Arial" w:cs="Arial"/>
          <w:sz w:val="20"/>
          <w:szCs w:val="20"/>
        </w:rPr>
        <w:t>Füchtenbusch</w:t>
      </w:r>
      <w:proofErr w:type="spellEnd"/>
      <w:r w:rsidRPr="003F4ADB">
        <w:rPr>
          <w:rFonts w:ascii="Arial" w:hAnsi="Arial" w:cs="Arial"/>
          <w:sz w:val="20"/>
          <w:szCs w:val="20"/>
        </w:rPr>
        <w:t xml:space="preserve">, B. (1998). Bacterial and other biological systems for the production of polyhydroxyalkanoates. </w:t>
      </w:r>
      <w:r w:rsidRPr="003F4ADB">
        <w:rPr>
          <w:rFonts w:ascii="Arial" w:hAnsi="Arial" w:cs="Arial"/>
          <w:i/>
          <w:iCs/>
          <w:sz w:val="20"/>
          <w:szCs w:val="20"/>
        </w:rPr>
        <w:t>Trends in Biotechnology, 16</w:t>
      </w:r>
      <w:r w:rsidRPr="003F4ADB">
        <w:rPr>
          <w:rFonts w:ascii="Arial" w:hAnsi="Arial" w:cs="Arial"/>
          <w:sz w:val="20"/>
          <w:szCs w:val="20"/>
        </w:rPr>
        <w:t>(10), 419–427.</w:t>
      </w:r>
    </w:p>
    <w:p w14:paraId="075AC8EF" w14:textId="49C80D43"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Sudesh, K., </w:t>
      </w:r>
      <w:proofErr w:type="spellStart"/>
      <w:r w:rsidRPr="003F4ADB">
        <w:rPr>
          <w:rFonts w:ascii="Arial" w:hAnsi="Arial" w:cs="Arial"/>
          <w:sz w:val="20"/>
          <w:szCs w:val="20"/>
        </w:rPr>
        <w:t>Kairul</w:t>
      </w:r>
      <w:proofErr w:type="spellEnd"/>
      <w:r w:rsidRPr="003F4ADB">
        <w:rPr>
          <w:rFonts w:ascii="Arial" w:hAnsi="Arial" w:cs="Arial"/>
          <w:sz w:val="20"/>
          <w:szCs w:val="20"/>
        </w:rPr>
        <w:t xml:space="preserve">, S. I. M., &amp; </w:t>
      </w:r>
      <w:proofErr w:type="spellStart"/>
      <w:r w:rsidRPr="003F4ADB">
        <w:rPr>
          <w:rFonts w:ascii="Arial" w:hAnsi="Arial" w:cs="Arial"/>
          <w:sz w:val="20"/>
          <w:szCs w:val="20"/>
        </w:rPr>
        <w:t>Sazali</w:t>
      </w:r>
      <w:proofErr w:type="spellEnd"/>
      <w:r w:rsidRPr="003F4ADB">
        <w:rPr>
          <w:rFonts w:ascii="Arial" w:hAnsi="Arial" w:cs="Arial"/>
          <w:sz w:val="20"/>
          <w:szCs w:val="20"/>
        </w:rPr>
        <w:t xml:space="preserve">, S. R. (2018). Polyhydroxyalkanoates (PHAs): An updated review of bacterial production and biotechnological applications. </w:t>
      </w:r>
      <w:r w:rsidRPr="003F4ADB">
        <w:rPr>
          <w:rFonts w:ascii="Arial" w:hAnsi="Arial" w:cs="Arial"/>
          <w:i/>
          <w:iCs/>
          <w:sz w:val="20"/>
          <w:szCs w:val="20"/>
        </w:rPr>
        <w:t>Current Biotechnology, 7</w:t>
      </w:r>
      <w:r w:rsidRPr="003F4ADB">
        <w:rPr>
          <w:rFonts w:ascii="Arial" w:hAnsi="Arial" w:cs="Arial"/>
          <w:sz w:val="20"/>
          <w:szCs w:val="20"/>
        </w:rPr>
        <w:t>(1), 1–19.</w:t>
      </w:r>
    </w:p>
    <w:p w14:paraId="40DB3584" w14:textId="5876AC48" w:rsidR="005E6DD6"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Tamura, K., Stecher, G., &amp; Kumar, S. (2021). MEGA11: Molecular Evolutionary Genetics Analysis version 11. </w:t>
      </w:r>
      <w:r w:rsidRPr="003F4ADB">
        <w:rPr>
          <w:rFonts w:ascii="Arial" w:hAnsi="Arial" w:cs="Arial"/>
          <w:i/>
          <w:iCs/>
          <w:sz w:val="20"/>
          <w:szCs w:val="20"/>
        </w:rPr>
        <w:t>Molecular Biology and Evolution, 38</w:t>
      </w:r>
      <w:r w:rsidRPr="003F4ADB">
        <w:rPr>
          <w:rFonts w:ascii="Arial" w:hAnsi="Arial" w:cs="Arial"/>
          <w:sz w:val="20"/>
          <w:szCs w:val="20"/>
        </w:rPr>
        <w:t xml:space="preserve">(7), 3022–3027. </w:t>
      </w:r>
    </w:p>
    <w:p w14:paraId="2BF3F147" w14:textId="29F09D7D" w:rsidR="0023594B" w:rsidRPr="003F4ADB" w:rsidRDefault="005E6DD6" w:rsidP="001C5B92">
      <w:pPr>
        <w:spacing w:after="0" w:line="360" w:lineRule="auto"/>
        <w:jc w:val="both"/>
        <w:rPr>
          <w:rFonts w:ascii="Arial" w:hAnsi="Arial" w:cs="Arial"/>
          <w:sz w:val="20"/>
          <w:szCs w:val="20"/>
        </w:rPr>
      </w:pPr>
      <w:r w:rsidRPr="003F4ADB">
        <w:rPr>
          <w:rFonts w:ascii="Arial" w:hAnsi="Arial" w:cs="Arial"/>
          <w:sz w:val="20"/>
          <w:szCs w:val="20"/>
        </w:rPr>
        <w:t xml:space="preserve">Tortora, G. J., Funke, B. R., &amp; Case, C. L. (2019). </w:t>
      </w:r>
      <w:r w:rsidRPr="003F4ADB">
        <w:rPr>
          <w:rFonts w:ascii="Arial" w:hAnsi="Arial" w:cs="Arial"/>
          <w:i/>
          <w:iCs/>
          <w:sz w:val="20"/>
          <w:szCs w:val="20"/>
        </w:rPr>
        <w:t>Microbiology: An introduction</w:t>
      </w:r>
      <w:r w:rsidRPr="003F4ADB">
        <w:rPr>
          <w:rFonts w:ascii="Arial" w:hAnsi="Arial" w:cs="Arial"/>
          <w:sz w:val="20"/>
          <w:szCs w:val="20"/>
        </w:rPr>
        <w:t xml:space="preserve"> (13th ed.). Pearson.</w:t>
      </w:r>
    </w:p>
    <w:sectPr w:rsidR="0023594B" w:rsidRPr="003F4ADB" w:rsidSect="003F4AD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1FE30" w14:textId="77777777" w:rsidR="00566DC1" w:rsidRDefault="00566DC1" w:rsidP="009D1E61">
      <w:pPr>
        <w:spacing w:after="0" w:line="240" w:lineRule="auto"/>
      </w:pPr>
      <w:r>
        <w:separator/>
      </w:r>
    </w:p>
  </w:endnote>
  <w:endnote w:type="continuationSeparator" w:id="0">
    <w:p w14:paraId="078CB5C2" w14:textId="77777777" w:rsidR="00566DC1" w:rsidRDefault="00566DC1" w:rsidP="009D1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1FE3" w14:textId="77777777" w:rsidR="0014267E" w:rsidRDefault="00142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DA7D" w14:textId="77777777" w:rsidR="0014267E" w:rsidRDefault="00142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6D05" w14:textId="46169DB4" w:rsidR="003F4ADB" w:rsidRPr="007C64F4" w:rsidRDefault="003F4ADB" w:rsidP="007C6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3AAA3" w14:textId="77777777" w:rsidR="00566DC1" w:rsidRDefault="00566DC1" w:rsidP="009D1E61">
      <w:pPr>
        <w:spacing w:after="0" w:line="240" w:lineRule="auto"/>
      </w:pPr>
      <w:r>
        <w:separator/>
      </w:r>
    </w:p>
  </w:footnote>
  <w:footnote w:type="continuationSeparator" w:id="0">
    <w:p w14:paraId="389717F6" w14:textId="77777777" w:rsidR="00566DC1" w:rsidRDefault="00566DC1" w:rsidP="009D1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3DDBB" w14:textId="6E0A213F" w:rsidR="0014267E" w:rsidRDefault="0014267E">
    <w:pPr>
      <w:pStyle w:val="Header"/>
    </w:pPr>
    <w:r>
      <w:rPr>
        <w:noProof/>
      </w:rPr>
      <w:pict w14:anchorId="2A5DD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5340" w14:textId="723F6DFC" w:rsidR="0014267E" w:rsidRDefault="0014267E">
    <w:pPr>
      <w:pStyle w:val="Header"/>
    </w:pPr>
    <w:r>
      <w:rPr>
        <w:noProof/>
      </w:rPr>
      <w:pict w14:anchorId="72423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E0193" w14:textId="5A14C21C" w:rsidR="0014267E" w:rsidRDefault="0014267E">
    <w:pPr>
      <w:pStyle w:val="Header"/>
    </w:pPr>
    <w:r>
      <w:rPr>
        <w:noProof/>
      </w:rPr>
      <w:pict w14:anchorId="58193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C0F"/>
    <w:multiLevelType w:val="multilevel"/>
    <w:tmpl w:val="5852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F0453"/>
    <w:multiLevelType w:val="hybridMultilevel"/>
    <w:tmpl w:val="E708C7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81BD5"/>
    <w:multiLevelType w:val="hybridMultilevel"/>
    <w:tmpl w:val="F10E6A12"/>
    <w:lvl w:ilvl="0" w:tplc="420416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57784"/>
    <w:multiLevelType w:val="multilevel"/>
    <w:tmpl w:val="BEA6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15068"/>
    <w:multiLevelType w:val="hybridMultilevel"/>
    <w:tmpl w:val="2E083558"/>
    <w:lvl w:ilvl="0" w:tplc="644042E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51DE5"/>
    <w:multiLevelType w:val="multilevel"/>
    <w:tmpl w:val="3A16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2048E"/>
    <w:multiLevelType w:val="hybridMultilevel"/>
    <w:tmpl w:val="59462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506BA"/>
    <w:multiLevelType w:val="multilevel"/>
    <w:tmpl w:val="8F62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94E68"/>
    <w:multiLevelType w:val="multilevel"/>
    <w:tmpl w:val="6C6CF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B51E27"/>
    <w:multiLevelType w:val="hybridMultilevel"/>
    <w:tmpl w:val="3008EAA8"/>
    <w:lvl w:ilvl="0" w:tplc="D8829E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9A3AAA"/>
    <w:multiLevelType w:val="hybridMultilevel"/>
    <w:tmpl w:val="6CEC04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151C0"/>
    <w:multiLevelType w:val="multilevel"/>
    <w:tmpl w:val="CD04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B6B0C"/>
    <w:multiLevelType w:val="multilevel"/>
    <w:tmpl w:val="0EA2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F1F2C"/>
    <w:multiLevelType w:val="multilevel"/>
    <w:tmpl w:val="2BF0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CF72D8"/>
    <w:multiLevelType w:val="multilevel"/>
    <w:tmpl w:val="1DA4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947D4"/>
    <w:multiLevelType w:val="hybridMultilevel"/>
    <w:tmpl w:val="2D56B274"/>
    <w:lvl w:ilvl="0" w:tplc="785034F2">
      <w:start w:val="1"/>
      <w:numFmt w:val="lowerLetter"/>
      <w:lvlText w:val="(%1)"/>
      <w:lvlJc w:val="left"/>
      <w:pPr>
        <w:ind w:left="2070" w:hanging="360"/>
      </w:pPr>
      <w:rPr>
        <w:rFonts w:hint="default"/>
        <w:b/>
        <w:bCs/>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40DA1ABB"/>
    <w:multiLevelType w:val="multilevel"/>
    <w:tmpl w:val="59A6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45C08"/>
    <w:multiLevelType w:val="multilevel"/>
    <w:tmpl w:val="CEE0E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99037A"/>
    <w:multiLevelType w:val="multilevel"/>
    <w:tmpl w:val="101AF5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A5C7A"/>
    <w:multiLevelType w:val="multilevel"/>
    <w:tmpl w:val="F194826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5C17A7"/>
    <w:multiLevelType w:val="multilevel"/>
    <w:tmpl w:val="1DC2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CD55B9"/>
    <w:multiLevelType w:val="multilevel"/>
    <w:tmpl w:val="E1AC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24A3F"/>
    <w:multiLevelType w:val="multilevel"/>
    <w:tmpl w:val="2D58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742FC8"/>
    <w:multiLevelType w:val="multilevel"/>
    <w:tmpl w:val="8B0C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D761EE"/>
    <w:multiLevelType w:val="multilevel"/>
    <w:tmpl w:val="5EDEDF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89177D"/>
    <w:multiLevelType w:val="multilevel"/>
    <w:tmpl w:val="72F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A3167A"/>
    <w:multiLevelType w:val="multilevel"/>
    <w:tmpl w:val="D8B4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03A2B"/>
    <w:multiLevelType w:val="hybridMultilevel"/>
    <w:tmpl w:val="602867FE"/>
    <w:lvl w:ilvl="0" w:tplc="899EDB3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26"/>
  </w:num>
  <w:num w:numId="4">
    <w:abstractNumId w:val="21"/>
  </w:num>
  <w:num w:numId="5">
    <w:abstractNumId w:val="0"/>
  </w:num>
  <w:num w:numId="6">
    <w:abstractNumId w:val="25"/>
  </w:num>
  <w:num w:numId="7">
    <w:abstractNumId w:val="7"/>
  </w:num>
  <w:num w:numId="8">
    <w:abstractNumId w:val="18"/>
  </w:num>
  <w:num w:numId="9">
    <w:abstractNumId w:val="13"/>
  </w:num>
  <w:num w:numId="10">
    <w:abstractNumId w:val="23"/>
  </w:num>
  <w:num w:numId="11">
    <w:abstractNumId w:val="19"/>
  </w:num>
  <w:num w:numId="12">
    <w:abstractNumId w:val="15"/>
  </w:num>
  <w:num w:numId="13">
    <w:abstractNumId w:val="9"/>
  </w:num>
  <w:num w:numId="14">
    <w:abstractNumId w:val="16"/>
  </w:num>
  <w:num w:numId="15">
    <w:abstractNumId w:val="10"/>
  </w:num>
  <w:num w:numId="16">
    <w:abstractNumId w:val="4"/>
  </w:num>
  <w:num w:numId="17">
    <w:abstractNumId w:val="1"/>
  </w:num>
  <w:num w:numId="18">
    <w:abstractNumId w:val="27"/>
  </w:num>
  <w:num w:numId="19">
    <w:abstractNumId w:val="5"/>
  </w:num>
  <w:num w:numId="20">
    <w:abstractNumId w:val="20"/>
  </w:num>
  <w:num w:numId="21">
    <w:abstractNumId w:val="2"/>
  </w:num>
  <w:num w:numId="22">
    <w:abstractNumId w:val="22"/>
  </w:num>
  <w:num w:numId="23">
    <w:abstractNumId w:val="12"/>
  </w:num>
  <w:num w:numId="24">
    <w:abstractNumId w:val="17"/>
  </w:num>
  <w:num w:numId="25">
    <w:abstractNumId w:val="3"/>
  </w:num>
  <w:num w:numId="26">
    <w:abstractNumId w:val="8"/>
  </w:num>
  <w:num w:numId="27">
    <w:abstractNumId w:val="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06"/>
    <w:rsid w:val="000169F6"/>
    <w:rsid w:val="00034E97"/>
    <w:rsid w:val="00036BBE"/>
    <w:rsid w:val="0005579B"/>
    <w:rsid w:val="00073E5D"/>
    <w:rsid w:val="00076193"/>
    <w:rsid w:val="00093BFD"/>
    <w:rsid w:val="00095AE6"/>
    <w:rsid w:val="000B0BE4"/>
    <w:rsid w:val="000B1923"/>
    <w:rsid w:val="000C1441"/>
    <w:rsid w:val="000C3DAA"/>
    <w:rsid w:val="000D0859"/>
    <w:rsid w:val="000D5A8D"/>
    <w:rsid w:val="000F6180"/>
    <w:rsid w:val="000F6696"/>
    <w:rsid w:val="0010623F"/>
    <w:rsid w:val="00121C30"/>
    <w:rsid w:val="00133239"/>
    <w:rsid w:val="00135208"/>
    <w:rsid w:val="0014267E"/>
    <w:rsid w:val="0014561F"/>
    <w:rsid w:val="00147B21"/>
    <w:rsid w:val="001511BD"/>
    <w:rsid w:val="001523E3"/>
    <w:rsid w:val="00152B61"/>
    <w:rsid w:val="00164104"/>
    <w:rsid w:val="00167BCA"/>
    <w:rsid w:val="001867E8"/>
    <w:rsid w:val="0019295B"/>
    <w:rsid w:val="0019430B"/>
    <w:rsid w:val="0019783A"/>
    <w:rsid w:val="001B0DE8"/>
    <w:rsid w:val="001B545D"/>
    <w:rsid w:val="001C5B92"/>
    <w:rsid w:val="001E3EDC"/>
    <w:rsid w:val="00220E7A"/>
    <w:rsid w:val="00225C16"/>
    <w:rsid w:val="002262E0"/>
    <w:rsid w:val="00226BBE"/>
    <w:rsid w:val="00231ECA"/>
    <w:rsid w:val="0023594B"/>
    <w:rsid w:val="00260D72"/>
    <w:rsid w:val="002708AD"/>
    <w:rsid w:val="00276FCD"/>
    <w:rsid w:val="002812EB"/>
    <w:rsid w:val="00283131"/>
    <w:rsid w:val="002853CE"/>
    <w:rsid w:val="0029323F"/>
    <w:rsid w:val="002B0338"/>
    <w:rsid w:val="002C0CAF"/>
    <w:rsid w:val="002D1D4E"/>
    <w:rsid w:val="002D326B"/>
    <w:rsid w:val="002F6ED5"/>
    <w:rsid w:val="00304C5B"/>
    <w:rsid w:val="00305732"/>
    <w:rsid w:val="0032654F"/>
    <w:rsid w:val="0034264F"/>
    <w:rsid w:val="00344119"/>
    <w:rsid w:val="00354B3C"/>
    <w:rsid w:val="00375E57"/>
    <w:rsid w:val="00376B1A"/>
    <w:rsid w:val="0039601B"/>
    <w:rsid w:val="003967C2"/>
    <w:rsid w:val="00397BA2"/>
    <w:rsid w:val="003A0C06"/>
    <w:rsid w:val="003E1C56"/>
    <w:rsid w:val="003F2D5B"/>
    <w:rsid w:val="003F4ADB"/>
    <w:rsid w:val="00400F34"/>
    <w:rsid w:val="00404CFF"/>
    <w:rsid w:val="00420454"/>
    <w:rsid w:val="004312E3"/>
    <w:rsid w:val="00445AC5"/>
    <w:rsid w:val="00450EB3"/>
    <w:rsid w:val="00461595"/>
    <w:rsid w:val="00465E5E"/>
    <w:rsid w:val="0048640F"/>
    <w:rsid w:val="004A3AE2"/>
    <w:rsid w:val="004B0C16"/>
    <w:rsid w:val="004C7641"/>
    <w:rsid w:val="004D1149"/>
    <w:rsid w:val="004E1C82"/>
    <w:rsid w:val="00502B5A"/>
    <w:rsid w:val="00541C77"/>
    <w:rsid w:val="005427E5"/>
    <w:rsid w:val="00545021"/>
    <w:rsid w:val="00545803"/>
    <w:rsid w:val="005474B5"/>
    <w:rsid w:val="0055367E"/>
    <w:rsid w:val="00556C67"/>
    <w:rsid w:val="005659DE"/>
    <w:rsid w:val="00566DC1"/>
    <w:rsid w:val="005711C6"/>
    <w:rsid w:val="00572B92"/>
    <w:rsid w:val="00573047"/>
    <w:rsid w:val="005912FB"/>
    <w:rsid w:val="005A0590"/>
    <w:rsid w:val="005C318C"/>
    <w:rsid w:val="005C575C"/>
    <w:rsid w:val="005D469A"/>
    <w:rsid w:val="005E6DD6"/>
    <w:rsid w:val="005F7958"/>
    <w:rsid w:val="00603184"/>
    <w:rsid w:val="0061072B"/>
    <w:rsid w:val="00613999"/>
    <w:rsid w:val="00624B7B"/>
    <w:rsid w:val="0062521A"/>
    <w:rsid w:val="00634753"/>
    <w:rsid w:val="00637C8F"/>
    <w:rsid w:val="00652898"/>
    <w:rsid w:val="0066376E"/>
    <w:rsid w:val="00681E42"/>
    <w:rsid w:val="00686D06"/>
    <w:rsid w:val="006938A9"/>
    <w:rsid w:val="006C72F8"/>
    <w:rsid w:val="006D5E51"/>
    <w:rsid w:val="006F3AE7"/>
    <w:rsid w:val="006F58F4"/>
    <w:rsid w:val="00714C91"/>
    <w:rsid w:val="007550A5"/>
    <w:rsid w:val="007555D7"/>
    <w:rsid w:val="007556CD"/>
    <w:rsid w:val="00760702"/>
    <w:rsid w:val="00767746"/>
    <w:rsid w:val="007708A4"/>
    <w:rsid w:val="0078053E"/>
    <w:rsid w:val="00780950"/>
    <w:rsid w:val="007924EA"/>
    <w:rsid w:val="007A5805"/>
    <w:rsid w:val="007C1130"/>
    <w:rsid w:val="007C64F4"/>
    <w:rsid w:val="007D4F36"/>
    <w:rsid w:val="007E5DA6"/>
    <w:rsid w:val="00803E7B"/>
    <w:rsid w:val="008321D5"/>
    <w:rsid w:val="00855E57"/>
    <w:rsid w:val="008947A6"/>
    <w:rsid w:val="0089749E"/>
    <w:rsid w:val="008C1604"/>
    <w:rsid w:val="008D45E6"/>
    <w:rsid w:val="0090527D"/>
    <w:rsid w:val="00910F19"/>
    <w:rsid w:val="009170CA"/>
    <w:rsid w:val="00922DE8"/>
    <w:rsid w:val="009367E5"/>
    <w:rsid w:val="009600B6"/>
    <w:rsid w:val="00967CE1"/>
    <w:rsid w:val="009769F8"/>
    <w:rsid w:val="0098556E"/>
    <w:rsid w:val="0099704C"/>
    <w:rsid w:val="009B06DE"/>
    <w:rsid w:val="009D1E61"/>
    <w:rsid w:val="009D7A56"/>
    <w:rsid w:val="009E0849"/>
    <w:rsid w:val="009E0E43"/>
    <w:rsid w:val="009E4EB9"/>
    <w:rsid w:val="009E54C9"/>
    <w:rsid w:val="009E673D"/>
    <w:rsid w:val="00A31A69"/>
    <w:rsid w:val="00A32B0C"/>
    <w:rsid w:val="00A36942"/>
    <w:rsid w:val="00A4419B"/>
    <w:rsid w:val="00A46629"/>
    <w:rsid w:val="00A61AF1"/>
    <w:rsid w:val="00A643E6"/>
    <w:rsid w:val="00A73D25"/>
    <w:rsid w:val="00A87509"/>
    <w:rsid w:val="00AC2C4F"/>
    <w:rsid w:val="00AC58CE"/>
    <w:rsid w:val="00AC76E8"/>
    <w:rsid w:val="00AD206F"/>
    <w:rsid w:val="00AD2502"/>
    <w:rsid w:val="00AD4C4C"/>
    <w:rsid w:val="00AD7CE7"/>
    <w:rsid w:val="00AF4094"/>
    <w:rsid w:val="00B0397F"/>
    <w:rsid w:val="00B062F2"/>
    <w:rsid w:val="00B176FF"/>
    <w:rsid w:val="00B40C7F"/>
    <w:rsid w:val="00B655B7"/>
    <w:rsid w:val="00B72F0C"/>
    <w:rsid w:val="00B761DC"/>
    <w:rsid w:val="00B77038"/>
    <w:rsid w:val="00B937D5"/>
    <w:rsid w:val="00BA0A2A"/>
    <w:rsid w:val="00BE056D"/>
    <w:rsid w:val="00BF3AFB"/>
    <w:rsid w:val="00C078A1"/>
    <w:rsid w:val="00C17AE5"/>
    <w:rsid w:val="00C429E1"/>
    <w:rsid w:val="00C73C87"/>
    <w:rsid w:val="00C82F81"/>
    <w:rsid w:val="00C84F80"/>
    <w:rsid w:val="00C85C96"/>
    <w:rsid w:val="00CA121A"/>
    <w:rsid w:val="00CC469E"/>
    <w:rsid w:val="00CD4F19"/>
    <w:rsid w:val="00CD6370"/>
    <w:rsid w:val="00CD7AD6"/>
    <w:rsid w:val="00CF5E6A"/>
    <w:rsid w:val="00D02C8F"/>
    <w:rsid w:val="00D272B7"/>
    <w:rsid w:val="00D3024D"/>
    <w:rsid w:val="00D56716"/>
    <w:rsid w:val="00D863D3"/>
    <w:rsid w:val="00D86C3F"/>
    <w:rsid w:val="00D93A7F"/>
    <w:rsid w:val="00DB70DD"/>
    <w:rsid w:val="00DF3489"/>
    <w:rsid w:val="00E061B8"/>
    <w:rsid w:val="00E439FD"/>
    <w:rsid w:val="00E507FC"/>
    <w:rsid w:val="00E5378B"/>
    <w:rsid w:val="00E623B0"/>
    <w:rsid w:val="00E6496D"/>
    <w:rsid w:val="00E96BDE"/>
    <w:rsid w:val="00EA4B4D"/>
    <w:rsid w:val="00EB2416"/>
    <w:rsid w:val="00EB303C"/>
    <w:rsid w:val="00EC25EF"/>
    <w:rsid w:val="00ED7B89"/>
    <w:rsid w:val="00F02BDF"/>
    <w:rsid w:val="00F10BEA"/>
    <w:rsid w:val="00F207A0"/>
    <w:rsid w:val="00F311C6"/>
    <w:rsid w:val="00F362C1"/>
    <w:rsid w:val="00F408DD"/>
    <w:rsid w:val="00F54166"/>
    <w:rsid w:val="00F607EE"/>
    <w:rsid w:val="00F63E63"/>
    <w:rsid w:val="00F80F3E"/>
    <w:rsid w:val="00F9532A"/>
    <w:rsid w:val="00FA107C"/>
    <w:rsid w:val="00FA1679"/>
    <w:rsid w:val="00FB6A92"/>
    <w:rsid w:val="00FD18BE"/>
    <w:rsid w:val="00FD5F2C"/>
    <w:rsid w:val="00FE0061"/>
    <w:rsid w:val="00FE2944"/>
    <w:rsid w:val="00FE376F"/>
    <w:rsid w:val="00FE5FE5"/>
    <w:rsid w:val="00FF5A3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3A21A1"/>
  <w15:chartTrackingRefBased/>
  <w15:docId w15:val="{43CA7685-6639-49A9-AD16-1A4CFB30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th-inline">
    <w:name w:val="math-inline"/>
    <w:basedOn w:val="DefaultParagraphFont"/>
    <w:rsid w:val="00F02BDF"/>
  </w:style>
  <w:style w:type="paragraph" w:styleId="ListParagraph">
    <w:name w:val="List Paragraph"/>
    <w:basedOn w:val="Normal"/>
    <w:uiPriority w:val="34"/>
    <w:qFormat/>
    <w:rsid w:val="00F02BDF"/>
    <w:pPr>
      <w:ind w:left="720"/>
      <w:contextualSpacing/>
    </w:pPr>
  </w:style>
  <w:style w:type="paragraph" w:styleId="NormalWeb">
    <w:name w:val="Normal (Web)"/>
    <w:basedOn w:val="Normal"/>
    <w:uiPriority w:val="99"/>
    <w:unhideWhenUsed/>
    <w:rsid w:val="009E4E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E4EB9"/>
    <w:rPr>
      <w:b/>
      <w:bCs/>
    </w:rPr>
  </w:style>
  <w:style w:type="character" w:styleId="Emphasis">
    <w:name w:val="Emphasis"/>
    <w:basedOn w:val="DefaultParagraphFont"/>
    <w:uiPriority w:val="20"/>
    <w:qFormat/>
    <w:rsid w:val="009E4EB9"/>
    <w:rPr>
      <w:i/>
      <w:iCs/>
    </w:rPr>
  </w:style>
  <w:style w:type="character" w:styleId="Hyperlink">
    <w:name w:val="Hyperlink"/>
    <w:basedOn w:val="DefaultParagraphFont"/>
    <w:uiPriority w:val="99"/>
    <w:unhideWhenUsed/>
    <w:rsid w:val="00E439FD"/>
    <w:rPr>
      <w:color w:val="0000FF"/>
      <w:u w:val="single"/>
    </w:rPr>
  </w:style>
  <w:style w:type="table" w:styleId="TableGrid">
    <w:name w:val="Table Grid"/>
    <w:basedOn w:val="TableNormal"/>
    <w:uiPriority w:val="39"/>
    <w:rsid w:val="001E3E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469A"/>
    <w:rPr>
      <w:color w:val="605E5C"/>
      <w:shd w:val="clear" w:color="auto" w:fill="E1DFDD"/>
    </w:rPr>
  </w:style>
  <w:style w:type="paragraph" w:styleId="Header">
    <w:name w:val="header"/>
    <w:basedOn w:val="Normal"/>
    <w:link w:val="HeaderChar"/>
    <w:uiPriority w:val="99"/>
    <w:unhideWhenUsed/>
    <w:rsid w:val="009D1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E61"/>
  </w:style>
  <w:style w:type="paragraph" w:styleId="Footer">
    <w:name w:val="footer"/>
    <w:basedOn w:val="Normal"/>
    <w:link w:val="FooterChar"/>
    <w:uiPriority w:val="99"/>
    <w:unhideWhenUsed/>
    <w:rsid w:val="009D1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E61"/>
  </w:style>
  <w:style w:type="paragraph" w:customStyle="1" w:styleId="ReferHead">
    <w:name w:val="Refer Head"/>
    <w:basedOn w:val="Normal"/>
    <w:rsid w:val="00F54166"/>
    <w:pPr>
      <w:keepNext/>
      <w:spacing w:after="240" w:line="240" w:lineRule="auto"/>
    </w:pPr>
    <w:rPr>
      <w:rFonts w:ascii="Helvetica" w:eastAsia="Times New Roman" w:hAnsi="Helvetica" w:cs="Times New Roman"/>
      <w:b/>
      <w:cap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1432">
      <w:bodyDiv w:val="1"/>
      <w:marLeft w:val="0"/>
      <w:marRight w:val="0"/>
      <w:marTop w:val="0"/>
      <w:marBottom w:val="0"/>
      <w:divBdr>
        <w:top w:val="none" w:sz="0" w:space="0" w:color="auto"/>
        <w:left w:val="none" w:sz="0" w:space="0" w:color="auto"/>
        <w:bottom w:val="none" w:sz="0" w:space="0" w:color="auto"/>
        <w:right w:val="none" w:sz="0" w:space="0" w:color="auto"/>
      </w:divBdr>
      <w:divsChild>
        <w:div w:id="537008774">
          <w:marLeft w:val="0"/>
          <w:marRight w:val="0"/>
          <w:marTop w:val="0"/>
          <w:marBottom w:val="0"/>
          <w:divBdr>
            <w:top w:val="single" w:sz="2" w:space="0" w:color="E5E7EB"/>
            <w:left w:val="single" w:sz="2" w:space="0" w:color="E5E7EB"/>
            <w:bottom w:val="single" w:sz="2" w:space="0" w:color="E5E7EB"/>
            <w:right w:val="single" w:sz="2" w:space="0" w:color="E5E7EB"/>
          </w:divBdr>
        </w:div>
        <w:div w:id="56244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1882472">
      <w:bodyDiv w:val="1"/>
      <w:marLeft w:val="0"/>
      <w:marRight w:val="0"/>
      <w:marTop w:val="0"/>
      <w:marBottom w:val="0"/>
      <w:divBdr>
        <w:top w:val="none" w:sz="0" w:space="0" w:color="auto"/>
        <w:left w:val="none" w:sz="0" w:space="0" w:color="auto"/>
        <w:bottom w:val="none" w:sz="0" w:space="0" w:color="auto"/>
        <w:right w:val="none" w:sz="0" w:space="0" w:color="auto"/>
      </w:divBdr>
      <w:divsChild>
        <w:div w:id="1375735357">
          <w:marLeft w:val="0"/>
          <w:marRight w:val="0"/>
          <w:marTop w:val="0"/>
          <w:marBottom w:val="0"/>
          <w:divBdr>
            <w:top w:val="single" w:sz="2" w:space="0" w:color="E5E7EB"/>
            <w:left w:val="single" w:sz="2" w:space="0" w:color="E5E7EB"/>
            <w:bottom w:val="single" w:sz="2" w:space="0" w:color="E5E7EB"/>
            <w:right w:val="single" w:sz="2" w:space="0" w:color="E5E7EB"/>
          </w:divBdr>
        </w:div>
        <w:div w:id="1418362130">
          <w:marLeft w:val="0"/>
          <w:marRight w:val="0"/>
          <w:marTop w:val="0"/>
          <w:marBottom w:val="0"/>
          <w:divBdr>
            <w:top w:val="single" w:sz="2" w:space="0" w:color="E5E7EB"/>
            <w:left w:val="single" w:sz="2" w:space="0" w:color="E5E7EB"/>
            <w:bottom w:val="single" w:sz="2" w:space="0" w:color="E5E7EB"/>
            <w:right w:val="single" w:sz="2" w:space="0" w:color="E5E7EB"/>
          </w:divBdr>
        </w:div>
        <w:div w:id="1208374143">
          <w:marLeft w:val="0"/>
          <w:marRight w:val="0"/>
          <w:marTop w:val="0"/>
          <w:marBottom w:val="0"/>
          <w:divBdr>
            <w:top w:val="single" w:sz="2" w:space="0" w:color="E5E7EB"/>
            <w:left w:val="single" w:sz="2" w:space="0" w:color="E5E7EB"/>
            <w:bottom w:val="single" w:sz="2" w:space="0" w:color="E5E7EB"/>
            <w:right w:val="single" w:sz="2" w:space="0" w:color="E5E7EB"/>
          </w:divBdr>
        </w:div>
        <w:div w:id="15465284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5122848">
      <w:bodyDiv w:val="1"/>
      <w:marLeft w:val="0"/>
      <w:marRight w:val="0"/>
      <w:marTop w:val="0"/>
      <w:marBottom w:val="0"/>
      <w:divBdr>
        <w:top w:val="none" w:sz="0" w:space="0" w:color="auto"/>
        <w:left w:val="none" w:sz="0" w:space="0" w:color="auto"/>
        <w:bottom w:val="none" w:sz="0" w:space="0" w:color="auto"/>
        <w:right w:val="none" w:sz="0" w:space="0" w:color="auto"/>
      </w:divBdr>
      <w:divsChild>
        <w:div w:id="1971544466">
          <w:marLeft w:val="0"/>
          <w:marRight w:val="0"/>
          <w:marTop w:val="0"/>
          <w:marBottom w:val="0"/>
          <w:divBdr>
            <w:top w:val="single" w:sz="2" w:space="0" w:color="E5E7EB"/>
            <w:left w:val="single" w:sz="2" w:space="0" w:color="E5E7EB"/>
            <w:bottom w:val="single" w:sz="2" w:space="0" w:color="E5E7EB"/>
            <w:right w:val="single" w:sz="2" w:space="0" w:color="E5E7EB"/>
          </w:divBdr>
        </w:div>
        <w:div w:id="1201632133">
          <w:marLeft w:val="0"/>
          <w:marRight w:val="0"/>
          <w:marTop w:val="0"/>
          <w:marBottom w:val="0"/>
          <w:divBdr>
            <w:top w:val="single" w:sz="2" w:space="0" w:color="E5E7EB"/>
            <w:left w:val="single" w:sz="2" w:space="0" w:color="E5E7EB"/>
            <w:bottom w:val="single" w:sz="2" w:space="0" w:color="E5E7EB"/>
            <w:right w:val="single" w:sz="2" w:space="0" w:color="E5E7EB"/>
          </w:divBdr>
        </w:div>
        <w:div w:id="1389525518">
          <w:marLeft w:val="0"/>
          <w:marRight w:val="0"/>
          <w:marTop w:val="0"/>
          <w:marBottom w:val="0"/>
          <w:divBdr>
            <w:top w:val="single" w:sz="2" w:space="0" w:color="E5E7EB"/>
            <w:left w:val="single" w:sz="2" w:space="0" w:color="E5E7EB"/>
            <w:bottom w:val="single" w:sz="2" w:space="0" w:color="E5E7EB"/>
            <w:right w:val="single" w:sz="2" w:space="0" w:color="E5E7EB"/>
          </w:divBdr>
        </w:div>
        <w:div w:id="679628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7043368">
      <w:bodyDiv w:val="1"/>
      <w:marLeft w:val="0"/>
      <w:marRight w:val="0"/>
      <w:marTop w:val="0"/>
      <w:marBottom w:val="0"/>
      <w:divBdr>
        <w:top w:val="none" w:sz="0" w:space="0" w:color="auto"/>
        <w:left w:val="none" w:sz="0" w:space="0" w:color="auto"/>
        <w:bottom w:val="none" w:sz="0" w:space="0" w:color="auto"/>
        <w:right w:val="none" w:sz="0" w:space="0" w:color="auto"/>
      </w:divBdr>
      <w:divsChild>
        <w:div w:id="1525510564">
          <w:marLeft w:val="0"/>
          <w:marRight w:val="0"/>
          <w:marTop w:val="0"/>
          <w:marBottom w:val="0"/>
          <w:divBdr>
            <w:top w:val="single" w:sz="2" w:space="0" w:color="E5E7EB"/>
            <w:left w:val="single" w:sz="2" w:space="0" w:color="E5E7EB"/>
            <w:bottom w:val="single" w:sz="2" w:space="0" w:color="E5E7EB"/>
            <w:right w:val="single" w:sz="2" w:space="0" w:color="E5E7EB"/>
          </w:divBdr>
        </w:div>
        <w:div w:id="1180464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5323318">
      <w:bodyDiv w:val="1"/>
      <w:marLeft w:val="0"/>
      <w:marRight w:val="0"/>
      <w:marTop w:val="0"/>
      <w:marBottom w:val="0"/>
      <w:divBdr>
        <w:top w:val="none" w:sz="0" w:space="0" w:color="auto"/>
        <w:left w:val="none" w:sz="0" w:space="0" w:color="auto"/>
        <w:bottom w:val="none" w:sz="0" w:space="0" w:color="auto"/>
        <w:right w:val="none" w:sz="0" w:space="0" w:color="auto"/>
      </w:divBdr>
      <w:divsChild>
        <w:div w:id="2114783580">
          <w:marLeft w:val="0"/>
          <w:marRight w:val="0"/>
          <w:marTop w:val="0"/>
          <w:marBottom w:val="0"/>
          <w:divBdr>
            <w:top w:val="single" w:sz="2" w:space="0" w:color="E5E7EB"/>
            <w:left w:val="single" w:sz="2" w:space="0" w:color="E5E7EB"/>
            <w:bottom w:val="single" w:sz="2" w:space="0" w:color="E5E7EB"/>
            <w:right w:val="single" w:sz="2" w:space="0" w:color="E5E7EB"/>
          </w:divBdr>
        </w:div>
        <w:div w:id="377977575">
          <w:marLeft w:val="0"/>
          <w:marRight w:val="0"/>
          <w:marTop w:val="0"/>
          <w:marBottom w:val="0"/>
          <w:divBdr>
            <w:top w:val="single" w:sz="2" w:space="0" w:color="E5E7EB"/>
            <w:left w:val="single" w:sz="2" w:space="0" w:color="E5E7EB"/>
            <w:bottom w:val="single" w:sz="2" w:space="0" w:color="E5E7EB"/>
            <w:right w:val="single" w:sz="2" w:space="0" w:color="E5E7EB"/>
          </w:divBdr>
        </w:div>
        <w:div w:id="308942464">
          <w:marLeft w:val="0"/>
          <w:marRight w:val="0"/>
          <w:marTop w:val="0"/>
          <w:marBottom w:val="0"/>
          <w:divBdr>
            <w:top w:val="single" w:sz="2" w:space="0" w:color="E5E7EB"/>
            <w:left w:val="single" w:sz="2" w:space="0" w:color="E5E7EB"/>
            <w:bottom w:val="single" w:sz="2" w:space="0" w:color="E5E7EB"/>
            <w:right w:val="single" w:sz="2" w:space="0" w:color="E5E7EB"/>
          </w:divBdr>
        </w:div>
        <w:div w:id="6816628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644856">
      <w:bodyDiv w:val="1"/>
      <w:marLeft w:val="0"/>
      <w:marRight w:val="0"/>
      <w:marTop w:val="0"/>
      <w:marBottom w:val="0"/>
      <w:divBdr>
        <w:top w:val="none" w:sz="0" w:space="0" w:color="auto"/>
        <w:left w:val="none" w:sz="0" w:space="0" w:color="auto"/>
        <w:bottom w:val="none" w:sz="0" w:space="0" w:color="auto"/>
        <w:right w:val="none" w:sz="0" w:space="0" w:color="auto"/>
      </w:divBdr>
      <w:divsChild>
        <w:div w:id="1415132128">
          <w:marLeft w:val="0"/>
          <w:marRight w:val="0"/>
          <w:marTop w:val="0"/>
          <w:marBottom w:val="0"/>
          <w:divBdr>
            <w:top w:val="single" w:sz="2" w:space="0" w:color="E5E7EB"/>
            <w:left w:val="single" w:sz="2" w:space="0" w:color="E5E7EB"/>
            <w:bottom w:val="single" w:sz="2" w:space="0" w:color="E5E7EB"/>
            <w:right w:val="single" w:sz="2" w:space="0" w:color="E5E7EB"/>
          </w:divBdr>
        </w:div>
        <w:div w:id="863715624">
          <w:marLeft w:val="0"/>
          <w:marRight w:val="0"/>
          <w:marTop w:val="0"/>
          <w:marBottom w:val="0"/>
          <w:divBdr>
            <w:top w:val="single" w:sz="2" w:space="0" w:color="E5E7EB"/>
            <w:left w:val="single" w:sz="2" w:space="0" w:color="E5E7EB"/>
            <w:bottom w:val="single" w:sz="2" w:space="0" w:color="E5E7EB"/>
            <w:right w:val="single" w:sz="2" w:space="0" w:color="E5E7EB"/>
          </w:divBdr>
        </w:div>
        <w:div w:id="607083466">
          <w:marLeft w:val="0"/>
          <w:marRight w:val="0"/>
          <w:marTop w:val="0"/>
          <w:marBottom w:val="0"/>
          <w:divBdr>
            <w:top w:val="single" w:sz="2" w:space="0" w:color="E5E7EB"/>
            <w:left w:val="single" w:sz="2" w:space="0" w:color="E5E7EB"/>
            <w:bottom w:val="single" w:sz="2" w:space="0" w:color="E5E7EB"/>
            <w:right w:val="single" w:sz="2" w:space="0" w:color="E5E7EB"/>
          </w:divBdr>
        </w:div>
        <w:div w:id="67119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0662579">
      <w:bodyDiv w:val="1"/>
      <w:marLeft w:val="0"/>
      <w:marRight w:val="0"/>
      <w:marTop w:val="0"/>
      <w:marBottom w:val="0"/>
      <w:divBdr>
        <w:top w:val="none" w:sz="0" w:space="0" w:color="auto"/>
        <w:left w:val="none" w:sz="0" w:space="0" w:color="auto"/>
        <w:bottom w:val="none" w:sz="0" w:space="0" w:color="auto"/>
        <w:right w:val="none" w:sz="0" w:space="0" w:color="auto"/>
      </w:divBdr>
      <w:divsChild>
        <w:div w:id="268777315">
          <w:marLeft w:val="0"/>
          <w:marRight w:val="0"/>
          <w:marTop w:val="0"/>
          <w:marBottom w:val="0"/>
          <w:divBdr>
            <w:top w:val="single" w:sz="2" w:space="0" w:color="E5E7EB"/>
            <w:left w:val="single" w:sz="2" w:space="0" w:color="E5E7EB"/>
            <w:bottom w:val="single" w:sz="2" w:space="0" w:color="E5E7EB"/>
            <w:right w:val="single" w:sz="2" w:space="0" w:color="E5E7EB"/>
          </w:divBdr>
        </w:div>
        <w:div w:id="1937322627">
          <w:marLeft w:val="0"/>
          <w:marRight w:val="0"/>
          <w:marTop w:val="0"/>
          <w:marBottom w:val="0"/>
          <w:divBdr>
            <w:top w:val="single" w:sz="2" w:space="0" w:color="E5E7EB"/>
            <w:left w:val="single" w:sz="2" w:space="0" w:color="E5E7EB"/>
            <w:bottom w:val="single" w:sz="2" w:space="0" w:color="E5E7EB"/>
            <w:right w:val="single" w:sz="2" w:space="0" w:color="E5E7EB"/>
          </w:divBdr>
        </w:div>
        <w:div w:id="1703048427">
          <w:marLeft w:val="0"/>
          <w:marRight w:val="0"/>
          <w:marTop w:val="0"/>
          <w:marBottom w:val="0"/>
          <w:divBdr>
            <w:top w:val="single" w:sz="2" w:space="0" w:color="E5E7EB"/>
            <w:left w:val="single" w:sz="2" w:space="0" w:color="E5E7EB"/>
            <w:bottom w:val="single" w:sz="2" w:space="0" w:color="E5E7EB"/>
            <w:right w:val="single" w:sz="2" w:space="0" w:color="E5E7EB"/>
          </w:divBdr>
        </w:div>
        <w:div w:id="2049838289">
          <w:marLeft w:val="0"/>
          <w:marRight w:val="0"/>
          <w:marTop w:val="0"/>
          <w:marBottom w:val="0"/>
          <w:divBdr>
            <w:top w:val="single" w:sz="2" w:space="0" w:color="E5E7EB"/>
            <w:left w:val="single" w:sz="2" w:space="0" w:color="E5E7EB"/>
            <w:bottom w:val="single" w:sz="2" w:space="0" w:color="E5E7EB"/>
            <w:right w:val="single" w:sz="2" w:space="0" w:color="E5E7EB"/>
          </w:divBdr>
        </w:div>
        <w:div w:id="773087892">
          <w:marLeft w:val="0"/>
          <w:marRight w:val="0"/>
          <w:marTop w:val="0"/>
          <w:marBottom w:val="0"/>
          <w:divBdr>
            <w:top w:val="single" w:sz="2" w:space="0" w:color="E5E7EB"/>
            <w:left w:val="single" w:sz="2" w:space="0" w:color="E5E7EB"/>
            <w:bottom w:val="single" w:sz="2" w:space="0" w:color="E5E7EB"/>
            <w:right w:val="single" w:sz="2" w:space="0" w:color="E5E7EB"/>
          </w:divBdr>
        </w:div>
        <w:div w:id="2137216061">
          <w:marLeft w:val="0"/>
          <w:marRight w:val="0"/>
          <w:marTop w:val="0"/>
          <w:marBottom w:val="0"/>
          <w:divBdr>
            <w:top w:val="single" w:sz="2" w:space="0" w:color="E5E7EB"/>
            <w:left w:val="single" w:sz="2" w:space="0" w:color="E5E7EB"/>
            <w:bottom w:val="single" w:sz="2" w:space="0" w:color="E5E7EB"/>
            <w:right w:val="single" w:sz="2" w:space="0" w:color="E5E7EB"/>
          </w:divBdr>
        </w:div>
        <w:div w:id="1316568792">
          <w:marLeft w:val="0"/>
          <w:marRight w:val="0"/>
          <w:marTop w:val="0"/>
          <w:marBottom w:val="0"/>
          <w:divBdr>
            <w:top w:val="single" w:sz="2" w:space="0" w:color="E5E7EB"/>
            <w:left w:val="single" w:sz="2" w:space="0" w:color="E5E7EB"/>
            <w:bottom w:val="single" w:sz="2" w:space="0" w:color="E5E7EB"/>
            <w:right w:val="single" w:sz="2" w:space="0" w:color="E5E7EB"/>
          </w:divBdr>
        </w:div>
        <w:div w:id="1879471839">
          <w:marLeft w:val="0"/>
          <w:marRight w:val="0"/>
          <w:marTop w:val="0"/>
          <w:marBottom w:val="0"/>
          <w:divBdr>
            <w:top w:val="single" w:sz="2" w:space="0" w:color="E5E7EB"/>
            <w:left w:val="single" w:sz="2" w:space="0" w:color="E5E7EB"/>
            <w:bottom w:val="single" w:sz="2" w:space="0" w:color="E5E7EB"/>
            <w:right w:val="single" w:sz="2" w:space="0" w:color="E5E7EB"/>
          </w:divBdr>
        </w:div>
        <w:div w:id="1841581325">
          <w:marLeft w:val="0"/>
          <w:marRight w:val="0"/>
          <w:marTop w:val="0"/>
          <w:marBottom w:val="0"/>
          <w:divBdr>
            <w:top w:val="single" w:sz="2" w:space="0" w:color="E5E7EB"/>
            <w:left w:val="single" w:sz="2" w:space="0" w:color="E5E7EB"/>
            <w:bottom w:val="single" w:sz="2" w:space="0" w:color="E5E7EB"/>
            <w:right w:val="single" w:sz="2" w:space="0" w:color="E5E7EB"/>
          </w:divBdr>
        </w:div>
        <w:div w:id="204026065">
          <w:marLeft w:val="0"/>
          <w:marRight w:val="0"/>
          <w:marTop w:val="0"/>
          <w:marBottom w:val="0"/>
          <w:divBdr>
            <w:top w:val="single" w:sz="2" w:space="0" w:color="E5E7EB"/>
            <w:left w:val="single" w:sz="2" w:space="0" w:color="E5E7EB"/>
            <w:bottom w:val="single" w:sz="2" w:space="0" w:color="E5E7EB"/>
            <w:right w:val="single" w:sz="2" w:space="0" w:color="E5E7EB"/>
          </w:divBdr>
        </w:div>
        <w:div w:id="1576747630">
          <w:marLeft w:val="0"/>
          <w:marRight w:val="0"/>
          <w:marTop w:val="0"/>
          <w:marBottom w:val="0"/>
          <w:divBdr>
            <w:top w:val="single" w:sz="2" w:space="0" w:color="E5E7EB"/>
            <w:left w:val="single" w:sz="2" w:space="0" w:color="E5E7EB"/>
            <w:bottom w:val="single" w:sz="2" w:space="0" w:color="E5E7EB"/>
            <w:right w:val="single" w:sz="2" w:space="0" w:color="E5E7EB"/>
          </w:divBdr>
        </w:div>
        <w:div w:id="509879466">
          <w:marLeft w:val="0"/>
          <w:marRight w:val="0"/>
          <w:marTop w:val="0"/>
          <w:marBottom w:val="0"/>
          <w:divBdr>
            <w:top w:val="single" w:sz="2" w:space="0" w:color="E5E7EB"/>
            <w:left w:val="single" w:sz="2" w:space="0" w:color="E5E7EB"/>
            <w:bottom w:val="single" w:sz="2" w:space="0" w:color="E5E7EB"/>
            <w:right w:val="single" w:sz="2" w:space="0" w:color="E5E7EB"/>
          </w:divBdr>
        </w:div>
        <w:div w:id="241532314">
          <w:marLeft w:val="0"/>
          <w:marRight w:val="0"/>
          <w:marTop w:val="0"/>
          <w:marBottom w:val="0"/>
          <w:divBdr>
            <w:top w:val="single" w:sz="2" w:space="0" w:color="E5E7EB"/>
            <w:left w:val="single" w:sz="2" w:space="0" w:color="E5E7EB"/>
            <w:bottom w:val="single" w:sz="2" w:space="0" w:color="E5E7EB"/>
            <w:right w:val="single" w:sz="2" w:space="0" w:color="E5E7EB"/>
          </w:divBdr>
        </w:div>
        <w:div w:id="827212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5786770">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single" w:sz="2" w:space="0" w:color="E5E7EB"/>
            <w:left w:val="single" w:sz="2" w:space="0" w:color="E5E7EB"/>
            <w:bottom w:val="single" w:sz="2" w:space="0" w:color="E5E7EB"/>
            <w:right w:val="single" w:sz="2" w:space="0" w:color="E5E7EB"/>
          </w:divBdr>
        </w:div>
        <w:div w:id="1407922239">
          <w:marLeft w:val="0"/>
          <w:marRight w:val="0"/>
          <w:marTop w:val="0"/>
          <w:marBottom w:val="0"/>
          <w:divBdr>
            <w:top w:val="single" w:sz="2" w:space="0" w:color="E5E7EB"/>
            <w:left w:val="single" w:sz="2" w:space="0" w:color="E5E7EB"/>
            <w:bottom w:val="single" w:sz="2" w:space="0" w:color="E5E7EB"/>
            <w:right w:val="single" w:sz="2" w:space="0" w:color="E5E7EB"/>
          </w:divBdr>
        </w:div>
        <w:div w:id="1753313827">
          <w:marLeft w:val="0"/>
          <w:marRight w:val="0"/>
          <w:marTop w:val="0"/>
          <w:marBottom w:val="0"/>
          <w:divBdr>
            <w:top w:val="single" w:sz="2" w:space="0" w:color="E5E7EB"/>
            <w:left w:val="single" w:sz="2" w:space="0" w:color="E5E7EB"/>
            <w:bottom w:val="single" w:sz="2" w:space="0" w:color="E5E7EB"/>
            <w:right w:val="single" w:sz="2" w:space="0" w:color="E5E7EB"/>
          </w:divBdr>
        </w:div>
        <w:div w:id="1342855600">
          <w:marLeft w:val="0"/>
          <w:marRight w:val="0"/>
          <w:marTop w:val="0"/>
          <w:marBottom w:val="0"/>
          <w:divBdr>
            <w:top w:val="single" w:sz="2" w:space="0" w:color="E5E7EB"/>
            <w:left w:val="single" w:sz="2" w:space="0" w:color="E5E7EB"/>
            <w:bottom w:val="single" w:sz="2" w:space="0" w:color="E5E7EB"/>
            <w:right w:val="single" w:sz="2" w:space="0" w:color="E5E7EB"/>
          </w:divBdr>
        </w:div>
        <w:div w:id="1773818268">
          <w:marLeft w:val="0"/>
          <w:marRight w:val="0"/>
          <w:marTop w:val="0"/>
          <w:marBottom w:val="0"/>
          <w:divBdr>
            <w:top w:val="single" w:sz="2" w:space="0" w:color="E5E7EB"/>
            <w:left w:val="single" w:sz="2" w:space="0" w:color="E5E7EB"/>
            <w:bottom w:val="single" w:sz="2" w:space="0" w:color="E5E7EB"/>
            <w:right w:val="single" w:sz="2" w:space="0" w:color="E5E7EB"/>
          </w:divBdr>
        </w:div>
        <w:div w:id="1857112201">
          <w:marLeft w:val="0"/>
          <w:marRight w:val="0"/>
          <w:marTop w:val="0"/>
          <w:marBottom w:val="0"/>
          <w:divBdr>
            <w:top w:val="single" w:sz="2" w:space="0" w:color="E5E7EB"/>
            <w:left w:val="single" w:sz="2" w:space="0" w:color="E5E7EB"/>
            <w:bottom w:val="single" w:sz="2" w:space="0" w:color="E5E7EB"/>
            <w:right w:val="single" w:sz="2" w:space="0" w:color="E5E7EB"/>
          </w:divBdr>
        </w:div>
        <w:div w:id="1386643210">
          <w:marLeft w:val="0"/>
          <w:marRight w:val="0"/>
          <w:marTop w:val="0"/>
          <w:marBottom w:val="0"/>
          <w:divBdr>
            <w:top w:val="single" w:sz="2" w:space="0" w:color="E5E7EB"/>
            <w:left w:val="single" w:sz="2" w:space="0" w:color="E5E7EB"/>
            <w:bottom w:val="single" w:sz="2" w:space="0" w:color="E5E7EB"/>
            <w:right w:val="single" w:sz="2" w:space="0" w:color="E5E7EB"/>
          </w:divBdr>
        </w:div>
        <w:div w:id="1596599002">
          <w:marLeft w:val="0"/>
          <w:marRight w:val="0"/>
          <w:marTop w:val="0"/>
          <w:marBottom w:val="0"/>
          <w:divBdr>
            <w:top w:val="single" w:sz="2" w:space="0" w:color="E5E7EB"/>
            <w:left w:val="single" w:sz="2" w:space="0" w:color="E5E7EB"/>
            <w:bottom w:val="single" w:sz="2" w:space="0" w:color="E5E7EB"/>
            <w:right w:val="single" w:sz="2" w:space="0" w:color="E5E7EB"/>
          </w:divBdr>
        </w:div>
        <w:div w:id="2065985888">
          <w:marLeft w:val="0"/>
          <w:marRight w:val="0"/>
          <w:marTop w:val="0"/>
          <w:marBottom w:val="0"/>
          <w:divBdr>
            <w:top w:val="single" w:sz="2" w:space="0" w:color="E5E7EB"/>
            <w:left w:val="single" w:sz="2" w:space="0" w:color="E5E7EB"/>
            <w:bottom w:val="single" w:sz="2" w:space="0" w:color="E5E7EB"/>
            <w:right w:val="single" w:sz="2" w:space="0" w:color="E5E7EB"/>
          </w:divBdr>
        </w:div>
        <w:div w:id="165093896">
          <w:marLeft w:val="0"/>
          <w:marRight w:val="0"/>
          <w:marTop w:val="0"/>
          <w:marBottom w:val="0"/>
          <w:divBdr>
            <w:top w:val="single" w:sz="2" w:space="0" w:color="E5E7EB"/>
            <w:left w:val="single" w:sz="2" w:space="0" w:color="E5E7EB"/>
            <w:bottom w:val="single" w:sz="2" w:space="0" w:color="E5E7EB"/>
            <w:right w:val="single" w:sz="2" w:space="0" w:color="E5E7EB"/>
          </w:divBdr>
        </w:div>
        <w:div w:id="828400338">
          <w:marLeft w:val="0"/>
          <w:marRight w:val="0"/>
          <w:marTop w:val="0"/>
          <w:marBottom w:val="0"/>
          <w:divBdr>
            <w:top w:val="single" w:sz="2" w:space="0" w:color="E5E7EB"/>
            <w:left w:val="single" w:sz="2" w:space="0" w:color="E5E7EB"/>
            <w:bottom w:val="single" w:sz="2" w:space="0" w:color="E5E7EB"/>
            <w:right w:val="single" w:sz="2" w:space="0" w:color="E5E7EB"/>
          </w:divBdr>
        </w:div>
        <w:div w:id="1106927520">
          <w:marLeft w:val="0"/>
          <w:marRight w:val="0"/>
          <w:marTop w:val="0"/>
          <w:marBottom w:val="0"/>
          <w:divBdr>
            <w:top w:val="single" w:sz="2" w:space="0" w:color="E5E7EB"/>
            <w:left w:val="single" w:sz="2" w:space="0" w:color="E5E7EB"/>
            <w:bottom w:val="single" w:sz="2" w:space="0" w:color="E5E7EB"/>
            <w:right w:val="single" w:sz="2" w:space="0" w:color="E5E7EB"/>
          </w:divBdr>
        </w:div>
        <w:div w:id="477111251">
          <w:marLeft w:val="0"/>
          <w:marRight w:val="0"/>
          <w:marTop w:val="0"/>
          <w:marBottom w:val="0"/>
          <w:divBdr>
            <w:top w:val="single" w:sz="2" w:space="0" w:color="E5E7EB"/>
            <w:left w:val="single" w:sz="2" w:space="0" w:color="E5E7EB"/>
            <w:bottom w:val="single" w:sz="2" w:space="0" w:color="E5E7EB"/>
            <w:right w:val="single" w:sz="2" w:space="0" w:color="E5E7EB"/>
          </w:divBdr>
        </w:div>
        <w:div w:id="1584027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E58D-C325-4907-B9E2-32C39EF8B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4754</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Sainath Kamble</dc:creator>
  <cp:keywords/>
  <dc:description/>
  <cp:lastModifiedBy>SDI 1084</cp:lastModifiedBy>
  <cp:revision>26</cp:revision>
  <cp:lastPrinted>2025-12-18T19:15:00Z</cp:lastPrinted>
  <dcterms:created xsi:type="dcterms:W3CDTF">2026-02-03T18:09:00Z</dcterms:created>
  <dcterms:modified xsi:type="dcterms:W3CDTF">2026-02-04T11:29:00Z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9e6eb058-675a-4e6a-aac6-bbfe3afa99dc</vt:lpwstr>
  </property>
</Properties>
</file>