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EEAEA" w14:textId="77777777" w:rsidR="00F00ACB" w:rsidRPr="00446239" w:rsidRDefault="00F00ACB" w:rsidP="00AB7F33">
      <w:pPr>
        <w:jc w:val="right"/>
        <w:rPr>
          <w:rFonts w:ascii="Arial" w:hAnsi="Arial" w:cs="Arial"/>
          <w:b/>
          <w:bCs/>
        </w:rPr>
      </w:pPr>
      <w:r w:rsidRPr="00446239">
        <w:rPr>
          <w:rFonts w:ascii="Arial" w:hAnsi="Arial" w:cs="Arial"/>
          <w:b/>
          <w:bCs/>
        </w:rPr>
        <w:t xml:space="preserve">Original research article </w:t>
      </w:r>
    </w:p>
    <w:p w14:paraId="1EE5C0A9" w14:textId="77777777" w:rsidR="00F00ACB" w:rsidRDefault="00F00ACB" w:rsidP="00AB7F33">
      <w:pPr>
        <w:jc w:val="right"/>
        <w:rPr>
          <w:rFonts w:ascii="Arial" w:hAnsi="Arial" w:cs="Arial"/>
          <w:b/>
          <w:bCs/>
          <w:sz w:val="22"/>
          <w:szCs w:val="22"/>
        </w:rPr>
      </w:pPr>
    </w:p>
    <w:p w14:paraId="70AF3C70" w14:textId="1126F731" w:rsidR="00E23BCE" w:rsidRPr="00A70BBB" w:rsidRDefault="0002535F" w:rsidP="00AB7F33">
      <w:pPr>
        <w:jc w:val="right"/>
        <w:rPr>
          <w:rFonts w:ascii="Arial" w:hAnsi="Arial" w:cs="Arial"/>
          <w:b/>
          <w:bCs/>
          <w:sz w:val="22"/>
          <w:szCs w:val="22"/>
        </w:rPr>
      </w:pPr>
      <w:r w:rsidRPr="00A70BBB">
        <w:rPr>
          <w:rFonts w:ascii="Arial" w:hAnsi="Arial" w:cs="Arial"/>
          <w:b/>
          <w:bCs/>
          <w:sz w:val="22"/>
          <w:szCs w:val="22"/>
        </w:rPr>
        <w:t xml:space="preserve">AN ASSESSMENT OF MARKETING CONSTRAINTS AFFECTING WOMEN HANDLOOM WEAVERS IN </w:t>
      </w:r>
      <w:r w:rsidRPr="00A70BBB">
        <w:rPr>
          <w:rFonts w:ascii="Arial" w:hAnsi="Arial" w:cs="Arial"/>
          <w:b/>
          <w:bCs/>
          <w:color w:val="000000" w:themeColor="text1"/>
          <w:sz w:val="22"/>
          <w:szCs w:val="22"/>
        </w:rPr>
        <w:t xml:space="preserve">YADADRI BHUVANGIRI </w:t>
      </w:r>
      <w:r w:rsidRPr="00A70BBB">
        <w:rPr>
          <w:rFonts w:ascii="Arial" w:hAnsi="Arial" w:cs="Arial"/>
          <w:b/>
          <w:bCs/>
          <w:sz w:val="22"/>
          <w:szCs w:val="22"/>
        </w:rPr>
        <w:t>DISTRICT USING THE GARRETT RANKING TECHNIQUE</w:t>
      </w:r>
    </w:p>
    <w:p w14:paraId="18D1FEBC" w14:textId="07AC3512" w:rsidR="00E23BCE" w:rsidRDefault="00E23BCE" w:rsidP="00E23BCE">
      <w:pPr>
        <w:pStyle w:val="Default"/>
        <w:rPr>
          <w:rFonts w:ascii="Arial" w:hAnsi="Arial" w:cs="Arial"/>
          <w:sz w:val="22"/>
          <w:szCs w:val="22"/>
        </w:rPr>
      </w:pPr>
    </w:p>
    <w:p w14:paraId="747CAECE" w14:textId="77777777" w:rsidR="007F7556" w:rsidRPr="00A70BBB" w:rsidRDefault="007F7556" w:rsidP="00E23BCE">
      <w:pPr>
        <w:pStyle w:val="Default"/>
        <w:rPr>
          <w:rFonts w:ascii="Arial" w:hAnsi="Arial" w:cs="Arial"/>
          <w:sz w:val="22"/>
          <w:szCs w:val="22"/>
        </w:rPr>
      </w:pPr>
    </w:p>
    <w:p w14:paraId="4B261E81" w14:textId="7A8DCBAD" w:rsidR="00E23BCE" w:rsidRPr="00A70BBB" w:rsidRDefault="0002535F" w:rsidP="003E4349">
      <w:pPr>
        <w:rPr>
          <w:rFonts w:ascii="Arial" w:hAnsi="Arial" w:cs="Arial"/>
          <w:b/>
          <w:bCs/>
          <w:sz w:val="22"/>
          <w:szCs w:val="22"/>
        </w:rPr>
      </w:pPr>
      <w:r w:rsidRPr="00A70BBB">
        <w:rPr>
          <w:rFonts w:ascii="Arial" w:hAnsi="Arial" w:cs="Arial"/>
          <w:b/>
          <w:bCs/>
          <w:sz w:val="22"/>
          <w:szCs w:val="22"/>
        </w:rPr>
        <w:t xml:space="preserve">ABSTRACT: </w:t>
      </w:r>
    </w:p>
    <w:p w14:paraId="30EC906E" w14:textId="2D3B4D77" w:rsidR="006D3A5F" w:rsidRPr="006D3A5F" w:rsidRDefault="00E23BCE" w:rsidP="006D3A5F">
      <w:pPr>
        <w:spacing w:line="360" w:lineRule="auto"/>
        <w:jc w:val="both"/>
        <w:rPr>
          <w:rFonts w:ascii="Arial" w:hAnsi="Arial" w:cs="Arial"/>
          <w:sz w:val="20"/>
          <w:szCs w:val="20"/>
        </w:rPr>
      </w:pPr>
      <w:r w:rsidRPr="00A70BBB">
        <w:rPr>
          <w:rFonts w:ascii="Arial" w:hAnsi="Arial" w:cs="Arial"/>
          <w:b/>
          <w:bCs/>
          <w:sz w:val="22"/>
          <w:szCs w:val="22"/>
        </w:rPr>
        <w:tab/>
      </w:r>
      <w:r w:rsidR="006E3132" w:rsidRPr="0002535F">
        <w:rPr>
          <w:rFonts w:ascii="Arial" w:hAnsi="Arial" w:cs="Arial"/>
          <w:sz w:val="20"/>
          <w:szCs w:val="20"/>
        </w:rPr>
        <w:t xml:space="preserve">To identify and prioritize the major marketing constraints faced by women handloom weavers in </w:t>
      </w:r>
      <w:proofErr w:type="spellStart"/>
      <w:r w:rsidR="006E3132" w:rsidRPr="0002535F">
        <w:rPr>
          <w:rFonts w:ascii="Arial" w:hAnsi="Arial" w:cs="Arial"/>
          <w:sz w:val="20"/>
          <w:szCs w:val="20"/>
        </w:rPr>
        <w:t>Yadadri</w:t>
      </w:r>
      <w:proofErr w:type="spellEnd"/>
      <w:r w:rsidR="006E3132" w:rsidRPr="0002535F">
        <w:rPr>
          <w:rFonts w:ascii="Arial" w:hAnsi="Arial" w:cs="Arial"/>
          <w:sz w:val="20"/>
          <w:szCs w:val="20"/>
        </w:rPr>
        <w:t xml:space="preserve"> </w:t>
      </w:r>
      <w:proofErr w:type="spellStart"/>
      <w:r w:rsidR="006E3132" w:rsidRPr="0002535F">
        <w:rPr>
          <w:rFonts w:ascii="Arial" w:hAnsi="Arial" w:cs="Arial"/>
          <w:sz w:val="20"/>
          <w:szCs w:val="20"/>
        </w:rPr>
        <w:t>Bhuvanagiri</w:t>
      </w:r>
      <w:proofErr w:type="spellEnd"/>
      <w:r w:rsidR="006E3132" w:rsidRPr="0002535F">
        <w:rPr>
          <w:rFonts w:ascii="Arial" w:hAnsi="Arial" w:cs="Arial"/>
          <w:sz w:val="20"/>
          <w:szCs w:val="20"/>
        </w:rPr>
        <w:t xml:space="preserve"> district and assess their severity to support better policy and market interventions.</w:t>
      </w:r>
      <w:r w:rsidR="00C10D5E" w:rsidRPr="0002535F">
        <w:rPr>
          <w:rFonts w:ascii="Arial" w:hAnsi="Arial" w:cs="Arial"/>
          <w:sz w:val="20"/>
          <w:szCs w:val="20"/>
        </w:rPr>
        <w:t xml:space="preserve"> </w:t>
      </w:r>
      <w:r w:rsidR="00FF12C6" w:rsidRPr="0002535F">
        <w:rPr>
          <w:rFonts w:ascii="Arial" w:hAnsi="Arial" w:cs="Arial"/>
          <w:sz w:val="20"/>
          <w:szCs w:val="20"/>
        </w:rPr>
        <w:t>Exploratory</w:t>
      </w:r>
      <w:r w:rsidR="006E3132" w:rsidRPr="006E3132">
        <w:rPr>
          <w:rFonts w:ascii="Arial" w:hAnsi="Arial" w:cs="Arial"/>
          <w:sz w:val="20"/>
          <w:szCs w:val="20"/>
        </w:rPr>
        <w:t xml:space="preserve"> research design.</w:t>
      </w:r>
      <w:r w:rsidR="00C10D5E" w:rsidRPr="0002535F">
        <w:rPr>
          <w:rFonts w:ascii="Arial" w:hAnsi="Arial" w:cs="Arial"/>
          <w:sz w:val="20"/>
          <w:szCs w:val="20"/>
        </w:rPr>
        <w:t xml:space="preserve"> </w:t>
      </w:r>
      <w:r w:rsidR="006E3132" w:rsidRPr="006E3132">
        <w:rPr>
          <w:rFonts w:ascii="Arial" w:hAnsi="Arial" w:cs="Arial"/>
          <w:sz w:val="20"/>
          <w:szCs w:val="20"/>
        </w:rPr>
        <w:t xml:space="preserve">The study was </w:t>
      </w:r>
      <w:r w:rsidR="006E3132" w:rsidRPr="0002535F">
        <w:rPr>
          <w:rFonts w:ascii="Arial" w:hAnsi="Arial" w:cs="Arial"/>
          <w:sz w:val="20"/>
          <w:szCs w:val="20"/>
        </w:rPr>
        <w:t>conducted in selected handloom weaving villages in</w:t>
      </w:r>
      <w:r w:rsidR="006E3132" w:rsidRPr="006E3132">
        <w:rPr>
          <w:rFonts w:ascii="Arial" w:hAnsi="Arial" w:cs="Arial"/>
          <w:sz w:val="20"/>
          <w:szCs w:val="20"/>
        </w:rPr>
        <w:t xml:space="preserve"> </w:t>
      </w:r>
      <w:proofErr w:type="spellStart"/>
      <w:r w:rsidR="006E3132" w:rsidRPr="006E3132">
        <w:rPr>
          <w:rFonts w:ascii="Arial" w:hAnsi="Arial" w:cs="Arial"/>
          <w:sz w:val="20"/>
          <w:szCs w:val="20"/>
        </w:rPr>
        <w:t>Yadadri</w:t>
      </w:r>
      <w:proofErr w:type="spellEnd"/>
      <w:r w:rsidR="006E3132" w:rsidRPr="006E3132">
        <w:rPr>
          <w:rFonts w:ascii="Arial" w:hAnsi="Arial" w:cs="Arial"/>
          <w:sz w:val="20"/>
          <w:szCs w:val="20"/>
        </w:rPr>
        <w:t xml:space="preserve"> </w:t>
      </w:r>
      <w:proofErr w:type="spellStart"/>
      <w:r w:rsidR="006E3132" w:rsidRPr="006E3132">
        <w:rPr>
          <w:rFonts w:ascii="Arial" w:hAnsi="Arial" w:cs="Arial"/>
          <w:sz w:val="20"/>
          <w:szCs w:val="20"/>
        </w:rPr>
        <w:t>Bhuvanagiri</w:t>
      </w:r>
      <w:proofErr w:type="spellEnd"/>
      <w:r w:rsidR="006E3132" w:rsidRPr="006E3132">
        <w:rPr>
          <w:rFonts w:ascii="Arial" w:hAnsi="Arial" w:cs="Arial"/>
          <w:sz w:val="20"/>
          <w:szCs w:val="20"/>
        </w:rPr>
        <w:t xml:space="preserve"> district, Telangana, during the 2025 study period.</w:t>
      </w:r>
      <w:r w:rsidR="00C10D5E" w:rsidRPr="0002535F">
        <w:rPr>
          <w:rFonts w:ascii="Arial" w:hAnsi="Arial" w:cs="Arial"/>
          <w:sz w:val="20"/>
          <w:szCs w:val="20"/>
        </w:rPr>
        <w:t xml:space="preserve"> </w:t>
      </w:r>
      <w:r w:rsidR="006E3132" w:rsidRPr="006E3132">
        <w:rPr>
          <w:rFonts w:ascii="Arial" w:hAnsi="Arial" w:cs="Arial"/>
          <w:sz w:val="20"/>
          <w:szCs w:val="20"/>
        </w:rPr>
        <w:t xml:space="preserve">The study included 40 women handloom weavers selected through purposive sampling. Data were collected using a structured interview schedule </w:t>
      </w:r>
      <w:r w:rsidR="006E3132" w:rsidRPr="0002535F">
        <w:rPr>
          <w:rFonts w:ascii="Arial" w:hAnsi="Arial" w:cs="Arial"/>
          <w:sz w:val="20"/>
          <w:szCs w:val="20"/>
        </w:rPr>
        <w:t>that focused on marketing-related constraints, including market access, buyer contacts, marketing knowledge, financing</w:t>
      </w:r>
      <w:r w:rsidR="006E3132" w:rsidRPr="006E3132">
        <w:rPr>
          <w:rFonts w:ascii="Arial" w:hAnsi="Arial" w:cs="Arial"/>
          <w:sz w:val="20"/>
          <w:szCs w:val="20"/>
        </w:rPr>
        <w:t xml:space="preserve"> for promotion, digital platform use, competition, market trends, negotiation power, and language barriers. Respondents ranked these constraints </w:t>
      </w:r>
      <w:r w:rsidR="006E3132" w:rsidRPr="0002535F">
        <w:rPr>
          <w:rFonts w:ascii="Arial" w:hAnsi="Arial" w:cs="Arial"/>
          <w:sz w:val="20"/>
          <w:szCs w:val="20"/>
        </w:rPr>
        <w:t>by</w:t>
      </w:r>
      <w:r w:rsidR="006E3132" w:rsidRPr="006E3132">
        <w:rPr>
          <w:rFonts w:ascii="Arial" w:hAnsi="Arial" w:cs="Arial"/>
          <w:sz w:val="20"/>
          <w:szCs w:val="20"/>
        </w:rPr>
        <w:t xml:space="preserve"> perceived severity. The Garrett ranking technique was applied to convert these rankings into quantitative scores for systematic comparison and prioritization of constraints.</w:t>
      </w:r>
      <w:r w:rsidR="006E3132" w:rsidRPr="0002535F">
        <w:rPr>
          <w:rFonts w:ascii="Arial" w:hAnsi="Arial" w:cs="Arial"/>
          <w:sz w:val="20"/>
          <w:szCs w:val="20"/>
        </w:rPr>
        <w:t xml:space="preserve"> </w:t>
      </w:r>
      <w:r w:rsidR="006E3132" w:rsidRPr="006E3132">
        <w:rPr>
          <w:rFonts w:ascii="Arial" w:hAnsi="Arial" w:cs="Arial"/>
          <w:sz w:val="20"/>
          <w:szCs w:val="20"/>
        </w:rPr>
        <w:t>The findings revealed that limited access to larger markets was the most severe marketing constraint</w:t>
      </w:r>
      <w:r w:rsidR="006E3132" w:rsidRPr="0002535F">
        <w:rPr>
          <w:rFonts w:ascii="Arial" w:hAnsi="Arial" w:cs="Arial"/>
          <w:sz w:val="20"/>
          <w:szCs w:val="20"/>
        </w:rPr>
        <w:t>,</w:t>
      </w:r>
      <w:r w:rsidR="006E3132" w:rsidRPr="006E3132">
        <w:rPr>
          <w:rFonts w:ascii="Arial" w:hAnsi="Arial" w:cs="Arial"/>
          <w:sz w:val="20"/>
          <w:szCs w:val="20"/>
        </w:rPr>
        <w:t xml:space="preserve"> with a Garrett score percentage of 76.20 per cent. Constraints related to lack of marketing knowledge, limited contacts with buyers, insufficient funds for marketing and promotion, and limited use of digital platforms shared the second rank with equal Garrett score percentages of 74.40 per cent. Gender-related differences in negotiating power, lack of awareness of market trends, and severe competition were ranked next with slightly lower but closely related Garrett score percentages of 74.20 per cent. Language barriers received the lowest rank with a Garrett score percentage of 65.38 per cent, indicating varied levels of difficulty among respondents.</w:t>
      </w:r>
      <w:r w:rsidR="00C10D5E" w:rsidRPr="0002535F">
        <w:rPr>
          <w:rFonts w:ascii="Arial" w:hAnsi="Arial" w:cs="Arial"/>
          <w:sz w:val="20"/>
          <w:szCs w:val="20"/>
        </w:rPr>
        <w:t xml:space="preserve"> </w:t>
      </w:r>
      <w:r w:rsidR="006E3132" w:rsidRPr="006E3132">
        <w:rPr>
          <w:rFonts w:ascii="Arial" w:hAnsi="Arial" w:cs="Arial"/>
          <w:sz w:val="20"/>
          <w:szCs w:val="20"/>
        </w:rPr>
        <w:t xml:space="preserve">The study shows that marketing constraints significantly limit </w:t>
      </w:r>
      <w:r w:rsidR="006E3132" w:rsidRPr="0002535F">
        <w:rPr>
          <w:rFonts w:ascii="Arial" w:hAnsi="Arial" w:cs="Arial"/>
          <w:sz w:val="20"/>
          <w:szCs w:val="20"/>
        </w:rPr>
        <w:t>women handloom weavers market participation and income potential</w:t>
      </w:r>
      <w:r w:rsidR="006E3132" w:rsidRPr="006E3132">
        <w:rPr>
          <w:rFonts w:ascii="Arial" w:hAnsi="Arial" w:cs="Arial"/>
          <w:sz w:val="20"/>
          <w:szCs w:val="20"/>
        </w:rPr>
        <w:t>. Strengthening market linkages, improving marketing skills, expanding digital access, supporting promotional activities, and enhancing buyer networks are essential to improve marketing outcomes and livelihood security.</w:t>
      </w:r>
    </w:p>
    <w:p w14:paraId="44B743F1" w14:textId="71A848F9" w:rsidR="00E23BCE" w:rsidRPr="0002535F" w:rsidRDefault="0002535F" w:rsidP="006D3A5F">
      <w:pPr>
        <w:spacing w:line="360" w:lineRule="auto"/>
        <w:jc w:val="both"/>
        <w:rPr>
          <w:rFonts w:ascii="Arial" w:hAnsi="Arial" w:cs="Arial"/>
          <w:b/>
          <w:bCs/>
          <w:sz w:val="20"/>
          <w:szCs w:val="20"/>
        </w:rPr>
      </w:pPr>
      <w:r w:rsidRPr="00A70BBB">
        <w:rPr>
          <w:rFonts w:ascii="Arial" w:hAnsi="Arial" w:cs="Arial"/>
          <w:b/>
          <w:bCs/>
          <w:sz w:val="22"/>
          <w:szCs w:val="22"/>
        </w:rPr>
        <w:t xml:space="preserve">KEYWORDS: </w:t>
      </w:r>
      <w:proofErr w:type="spellStart"/>
      <w:r w:rsidR="00E23BCE" w:rsidRPr="0002535F">
        <w:rPr>
          <w:rFonts w:ascii="Arial" w:hAnsi="Arial" w:cs="Arial"/>
          <w:color w:val="000000" w:themeColor="text1"/>
          <w:sz w:val="20"/>
          <w:szCs w:val="20"/>
        </w:rPr>
        <w:t>Yadadri</w:t>
      </w:r>
      <w:proofErr w:type="spellEnd"/>
      <w:r w:rsidR="00E23BCE" w:rsidRPr="0002535F">
        <w:rPr>
          <w:rFonts w:ascii="Arial" w:hAnsi="Arial" w:cs="Arial"/>
          <w:color w:val="000000" w:themeColor="text1"/>
          <w:sz w:val="20"/>
          <w:szCs w:val="20"/>
        </w:rPr>
        <w:t xml:space="preserve"> </w:t>
      </w:r>
      <w:proofErr w:type="spellStart"/>
      <w:r w:rsidR="00E23BCE" w:rsidRPr="0002535F">
        <w:rPr>
          <w:rFonts w:ascii="Arial" w:hAnsi="Arial" w:cs="Arial"/>
          <w:color w:val="000000" w:themeColor="text1"/>
          <w:sz w:val="20"/>
          <w:szCs w:val="20"/>
        </w:rPr>
        <w:t>Bhuvangiri</w:t>
      </w:r>
      <w:proofErr w:type="spellEnd"/>
      <w:r w:rsidR="00E23BCE" w:rsidRPr="0002535F">
        <w:rPr>
          <w:rFonts w:ascii="Arial" w:hAnsi="Arial" w:cs="Arial"/>
          <w:sz w:val="20"/>
          <w:szCs w:val="20"/>
        </w:rPr>
        <w:t xml:space="preserve">, Garrett ranking technique, </w:t>
      </w:r>
      <w:r w:rsidR="0030237D" w:rsidRPr="0002535F">
        <w:rPr>
          <w:rFonts w:ascii="Arial" w:hAnsi="Arial" w:cs="Arial"/>
          <w:sz w:val="20"/>
          <w:szCs w:val="20"/>
        </w:rPr>
        <w:t>Marketing</w:t>
      </w:r>
      <w:r w:rsidR="00E23BCE" w:rsidRPr="0002535F">
        <w:rPr>
          <w:rFonts w:ascii="Arial" w:hAnsi="Arial" w:cs="Arial"/>
          <w:sz w:val="20"/>
          <w:szCs w:val="20"/>
        </w:rPr>
        <w:t xml:space="preserve">, Constraint, Handloom Weavers </w:t>
      </w:r>
    </w:p>
    <w:p w14:paraId="45B644CD" w14:textId="229D9285" w:rsidR="00E23BCE" w:rsidRPr="00A70BBB" w:rsidRDefault="0002535F" w:rsidP="00E23BCE">
      <w:pPr>
        <w:rPr>
          <w:rFonts w:ascii="Arial" w:hAnsi="Arial" w:cs="Arial"/>
          <w:b/>
          <w:bCs/>
          <w:sz w:val="22"/>
          <w:szCs w:val="22"/>
        </w:rPr>
      </w:pPr>
      <w:r w:rsidRPr="00A70BBB">
        <w:rPr>
          <w:rFonts w:ascii="Arial" w:hAnsi="Arial" w:cs="Arial"/>
          <w:b/>
          <w:bCs/>
          <w:sz w:val="22"/>
          <w:szCs w:val="22"/>
        </w:rPr>
        <w:t>INTRODUCTION:</w:t>
      </w:r>
    </w:p>
    <w:p w14:paraId="7C7A348D" w14:textId="7C35FF69" w:rsidR="00E23BCE" w:rsidRPr="0002535F" w:rsidRDefault="00E23BCE" w:rsidP="00052477">
      <w:pPr>
        <w:spacing w:line="360" w:lineRule="auto"/>
        <w:ind w:firstLine="720"/>
        <w:jc w:val="both"/>
        <w:rPr>
          <w:rFonts w:ascii="Arial" w:hAnsi="Arial" w:cs="Arial"/>
          <w:sz w:val="20"/>
          <w:szCs w:val="20"/>
        </w:rPr>
      </w:pPr>
      <w:r w:rsidRPr="0002535F">
        <w:rPr>
          <w:rFonts w:ascii="Arial" w:hAnsi="Arial" w:cs="Arial"/>
          <w:sz w:val="20"/>
          <w:szCs w:val="20"/>
        </w:rPr>
        <w:t>India's handloom sector, which has long been praised for its artisanal craftsmanship and cultural legacy, is currently at the nexus of tradition and technology. Millions of people, especially women, have relied on this industry for a living for many years despite ongoing difficulties with market access, ineffective supply chains, and exploitative middlemen. The foundation of this sector is made up of women weavers, who have traditionally labored in unseen, informal labor arrangements for little pay or recognition. But the emergence of digital platforms is starting to alter this story (</w:t>
      </w:r>
      <w:proofErr w:type="spellStart"/>
      <w:r w:rsidRPr="0002535F">
        <w:rPr>
          <w:rFonts w:ascii="Arial" w:hAnsi="Arial" w:cs="Arial"/>
          <w:sz w:val="20"/>
          <w:szCs w:val="20"/>
        </w:rPr>
        <w:t>Vepoor</w:t>
      </w:r>
      <w:proofErr w:type="spellEnd"/>
      <w:r w:rsidRPr="0002535F">
        <w:rPr>
          <w:rFonts w:ascii="Arial" w:hAnsi="Arial" w:cs="Arial"/>
          <w:sz w:val="20"/>
          <w:szCs w:val="20"/>
        </w:rPr>
        <w:t xml:space="preserve">, S. 2025). India is witnessing a gradual transformation in its rural and artisanal livelihood systems, with the handloom sector continuing to play a vital role in employment generation and cultural preservation. In Telangana, particularly in </w:t>
      </w:r>
      <w:proofErr w:type="spellStart"/>
      <w:r w:rsidRPr="0002535F">
        <w:rPr>
          <w:rFonts w:ascii="Arial" w:hAnsi="Arial" w:cs="Arial"/>
          <w:sz w:val="20"/>
          <w:szCs w:val="20"/>
        </w:rPr>
        <w:t>Yadadri</w:t>
      </w:r>
      <w:proofErr w:type="spellEnd"/>
      <w:r w:rsidRPr="0002535F">
        <w:rPr>
          <w:rFonts w:ascii="Arial" w:hAnsi="Arial" w:cs="Arial"/>
          <w:sz w:val="20"/>
          <w:szCs w:val="20"/>
        </w:rPr>
        <w:t xml:space="preserve"> </w:t>
      </w:r>
      <w:proofErr w:type="spellStart"/>
      <w:r w:rsidRPr="0002535F">
        <w:rPr>
          <w:rFonts w:ascii="Arial" w:hAnsi="Arial" w:cs="Arial"/>
          <w:sz w:val="20"/>
          <w:szCs w:val="20"/>
        </w:rPr>
        <w:t>Bhuvanagiri</w:t>
      </w:r>
      <w:proofErr w:type="spellEnd"/>
      <w:r w:rsidRPr="0002535F">
        <w:rPr>
          <w:rFonts w:ascii="Arial" w:hAnsi="Arial" w:cs="Arial"/>
          <w:sz w:val="20"/>
          <w:szCs w:val="20"/>
        </w:rPr>
        <w:t xml:space="preserve"> District, </w:t>
      </w:r>
      <w:proofErr w:type="spellStart"/>
      <w:r w:rsidRPr="0002535F">
        <w:rPr>
          <w:rFonts w:ascii="Arial" w:hAnsi="Arial" w:cs="Arial"/>
          <w:sz w:val="20"/>
          <w:szCs w:val="20"/>
        </w:rPr>
        <w:t>Pochampally</w:t>
      </w:r>
      <w:proofErr w:type="spellEnd"/>
      <w:r w:rsidRPr="0002535F">
        <w:rPr>
          <w:rFonts w:ascii="Arial" w:hAnsi="Arial" w:cs="Arial"/>
          <w:sz w:val="20"/>
          <w:szCs w:val="20"/>
        </w:rPr>
        <w:t xml:space="preserve"> Ikat weaving represents a globally recognized traditional craft, strengthened further by its Geographical Indication (GI) status. Although not specifically mentioned, the Fourth All India Handloom </w:t>
      </w:r>
      <w:r w:rsidRPr="0002535F">
        <w:rPr>
          <w:rFonts w:ascii="Arial" w:hAnsi="Arial" w:cs="Arial"/>
          <w:sz w:val="20"/>
          <w:szCs w:val="20"/>
        </w:rPr>
        <w:lastRenderedPageBreak/>
        <w:t>Census 2019–20 identifies indirect signs of personal problems and overwork among handloom weavers. The industry exhibits erratic workloads, with an average of 206 working days annually (208 for weavers, lower in rural regions at 200). This could result in overexertion during peak periods, particularly for full-time workers (50.8% overall, but only 39.4% of female weavers). Women make up 72.3% of weavers and work mostly part-time (60.6%). Their high part-time rates and low annual days are indicative of personal limitations</w:t>
      </w:r>
      <w:r w:rsidR="00386C21" w:rsidRPr="0002535F">
        <w:rPr>
          <w:rFonts w:ascii="Arial" w:hAnsi="Arial" w:cs="Arial"/>
          <w:sz w:val="20"/>
          <w:szCs w:val="20"/>
        </w:rPr>
        <w:t>,</w:t>
      </w:r>
      <w:r w:rsidRPr="0002535F">
        <w:rPr>
          <w:rFonts w:ascii="Arial" w:hAnsi="Arial" w:cs="Arial"/>
          <w:sz w:val="20"/>
          <w:szCs w:val="20"/>
        </w:rPr>
        <w:t xml:space="preserve"> such as juggling family obligations. Financial stress is exacerbated by low household income (66.3% &lt; ₹5,000/month), and vulnerabilities are compounded by restricted access to banking (23.3%) and insurance (3.8%), which implies health and financial constraints from extended or hard labor without assistance (4</w:t>
      </w:r>
      <w:r w:rsidRPr="0002535F">
        <w:rPr>
          <w:rFonts w:ascii="Arial" w:hAnsi="Arial" w:cs="Arial"/>
          <w:sz w:val="20"/>
          <w:szCs w:val="20"/>
          <w:vertAlign w:val="superscript"/>
        </w:rPr>
        <w:t>th</w:t>
      </w:r>
      <w:r w:rsidRPr="0002535F">
        <w:rPr>
          <w:rFonts w:ascii="Arial" w:hAnsi="Arial" w:cs="Arial"/>
          <w:sz w:val="20"/>
          <w:szCs w:val="20"/>
        </w:rPr>
        <w:t xml:space="preserve"> handloom census 2019-20). The study employed the Garrett Ranking Technique, a systematic and reliable method for converting qualitative rankings into quantitative scores, to identify the most severe constraints as perceived by the respondents. This technique facilitates objective prioritization of problems based on respondents’ preferences, thereby enabling policymakers and development agencies to focus on the most critical issues. The </w:t>
      </w:r>
      <w:r w:rsidR="006B172A" w:rsidRPr="0002535F">
        <w:rPr>
          <w:rFonts w:ascii="Arial" w:hAnsi="Arial" w:cs="Arial"/>
          <w:sz w:val="20"/>
          <w:szCs w:val="20"/>
        </w:rPr>
        <w:t>study's findings are expected to contribute to evidence-based strategies to reduce drudgery, enhance women’s autonomy, and promote</w:t>
      </w:r>
      <w:r w:rsidRPr="0002535F">
        <w:rPr>
          <w:rFonts w:ascii="Arial" w:hAnsi="Arial" w:cs="Arial"/>
          <w:sz w:val="20"/>
          <w:szCs w:val="20"/>
        </w:rPr>
        <w:t xml:space="preserve"> sustainable livelihood security in the handloom sector.</w:t>
      </w:r>
    </w:p>
    <w:p w14:paraId="773EFB62" w14:textId="5DF36F20" w:rsidR="00E23BCE" w:rsidRPr="00A70BBB" w:rsidRDefault="0002535F" w:rsidP="00052477">
      <w:pPr>
        <w:spacing w:line="360" w:lineRule="auto"/>
        <w:rPr>
          <w:rFonts w:ascii="Arial" w:hAnsi="Arial" w:cs="Arial"/>
          <w:b/>
          <w:bCs/>
          <w:sz w:val="22"/>
          <w:szCs w:val="22"/>
        </w:rPr>
      </w:pPr>
      <w:r w:rsidRPr="00A70BBB">
        <w:rPr>
          <w:rFonts w:ascii="Arial" w:hAnsi="Arial" w:cs="Arial"/>
          <w:b/>
          <w:bCs/>
          <w:sz w:val="22"/>
          <w:szCs w:val="22"/>
        </w:rPr>
        <w:t>METHODOLOGY:</w:t>
      </w:r>
    </w:p>
    <w:p w14:paraId="463EC9AD" w14:textId="5F37C6E0" w:rsidR="00E23BCE" w:rsidRPr="0002535F" w:rsidRDefault="00E23BCE" w:rsidP="00052477">
      <w:pPr>
        <w:spacing w:line="360" w:lineRule="auto"/>
        <w:ind w:firstLine="720"/>
        <w:jc w:val="both"/>
        <w:rPr>
          <w:rFonts w:ascii="Arial" w:hAnsi="Arial" w:cs="Arial"/>
          <w:sz w:val="20"/>
          <w:szCs w:val="20"/>
        </w:rPr>
      </w:pPr>
      <w:r w:rsidRPr="0002535F">
        <w:rPr>
          <w:rFonts w:ascii="Arial" w:hAnsi="Arial" w:cs="Arial"/>
          <w:sz w:val="20"/>
          <w:szCs w:val="20"/>
        </w:rPr>
        <w:t xml:space="preserve">The present study was conducted to assess the personal constraints </w:t>
      </w:r>
      <w:r w:rsidR="006B172A" w:rsidRPr="0002535F">
        <w:rPr>
          <w:rFonts w:ascii="Arial" w:hAnsi="Arial" w:cs="Arial"/>
          <w:sz w:val="20"/>
          <w:szCs w:val="20"/>
        </w:rPr>
        <w:t xml:space="preserve">faced by women handloom weavers in </w:t>
      </w:r>
      <w:proofErr w:type="spellStart"/>
      <w:r w:rsidR="006B172A" w:rsidRPr="0002535F">
        <w:rPr>
          <w:rFonts w:ascii="Arial" w:hAnsi="Arial" w:cs="Arial"/>
          <w:sz w:val="20"/>
          <w:szCs w:val="20"/>
        </w:rPr>
        <w:t>Yadadri</w:t>
      </w:r>
      <w:proofErr w:type="spellEnd"/>
      <w:r w:rsidR="006B172A" w:rsidRPr="0002535F">
        <w:rPr>
          <w:rFonts w:ascii="Arial" w:hAnsi="Arial" w:cs="Arial"/>
          <w:sz w:val="20"/>
          <w:szCs w:val="20"/>
        </w:rPr>
        <w:t xml:space="preserve"> </w:t>
      </w:r>
      <w:proofErr w:type="spellStart"/>
      <w:r w:rsidR="006B172A" w:rsidRPr="0002535F">
        <w:rPr>
          <w:rFonts w:ascii="Arial" w:hAnsi="Arial" w:cs="Arial"/>
          <w:sz w:val="20"/>
          <w:szCs w:val="20"/>
        </w:rPr>
        <w:t>Bhuvanagiri</w:t>
      </w:r>
      <w:proofErr w:type="spellEnd"/>
      <w:r w:rsidR="006B172A" w:rsidRPr="0002535F">
        <w:rPr>
          <w:rFonts w:ascii="Arial" w:hAnsi="Arial" w:cs="Arial"/>
          <w:sz w:val="20"/>
          <w:szCs w:val="20"/>
        </w:rPr>
        <w:t xml:space="preserve"> district,</w:t>
      </w:r>
      <w:r w:rsidRPr="0002535F">
        <w:rPr>
          <w:rFonts w:ascii="Arial" w:hAnsi="Arial" w:cs="Arial"/>
          <w:sz w:val="20"/>
          <w:szCs w:val="20"/>
        </w:rPr>
        <w:t xml:space="preserve"> Telangana. The district was purposively selected as Pochampally Ikat, a traditional handloom product of this region, has received the Geographical Indication (GI) tag, making it an important handloom cluster with a high concentration of women weavers. Women handloom weavers actively engaged in Ikat weaving constituted the </w:t>
      </w:r>
      <w:r w:rsidR="006B172A" w:rsidRPr="0002535F">
        <w:rPr>
          <w:rFonts w:ascii="Arial" w:hAnsi="Arial" w:cs="Arial"/>
          <w:sz w:val="20"/>
          <w:szCs w:val="20"/>
        </w:rPr>
        <w:t>study population</w:t>
      </w:r>
      <w:r w:rsidRPr="0002535F">
        <w:rPr>
          <w:rFonts w:ascii="Arial" w:hAnsi="Arial" w:cs="Arial"/>
          <w:sz w:val="20"/>
          <w:szCs w:val="20"/>
        </w:rPr>
        <w:t xml:space="preserve">. A sample of 40 women handloom weavers was selected </w:t>
      </w:r>
      <w:r w:rsidR="006B172A" w:rsidRPr="0002535F">
        <w:rPr>
          <w:rFonts w:ascii="Arial" w:hAnsi="Arial" w:cs="Arial"/>
          <w:sz w:val="20"/>
          <w:szCs w:val="20"/>
        </w:rPr>
        <w:t>purposively to ensure adequate representation of experienced weavers engaged</w:t>
      </w:r>
      <w:r w:rsidRPr="0002535F">
        <w:rPr>
          <w:rFonts w:ascii="Arial" w:hAnsi="Arial" w:cs="Arial"/>
          <w:sz w:val="20"/>
          <w:szCs w:val="20"/>
        </w:rPr>
        <w:t xml:space="preserve"> in both household and occupational activities. Primary data were collected through a structured</w:t>
      </w:r>
      <w:r w:rsidR="006B172A" w:rsidRPr="0002535F">
        <w:rPr>
          <w:rFonts w:ascii="Arial" w:hAnsi="Arial" w:cs="Arial"/>
          <w:sz w:val="20"/>
          <w:szCs w:val="20"/>
        </w:rPr>
        <w:t>, pre-tested interview schedule</w:t>
      </w:r>
      <w:r w:rsidRPr="0002535F">
        <w:rPr>
          <w:rFonts w:ascii="Arial" w:hAnsi="Arial" w:cs="Arial"/>
          <w:sz w:val="20"/>
          <w:szCs w:val="20"/>
        </w:rPr>
        <w:t xml:space="preserve"> designed to capture information on various personal constraints related to time use, physical workload, financial pressure, autonomy, confidence, and social freedom. The respondents were asked to rank the identified constraints </w:t>
      </w:r>
      <w:r w:rsidR="006B172A" w:rsidRPr="0002535F">
        <w:rPr>
          <w:rFonts w:ascii="Arial" w:hAnsi="Arial" w:cs="Arial"/>
          <w:sz w:val="20"/>
          <w:szCs w:val="20"/>
        </w:rPr>
        <w:t>according to the severity they perceived</w:t>
      </w:r>
      <w:r w:rsidRPr="0002535F">
        <w:rPr>
          <w:rFonts w:ascii="Arial" w:hAnsi="Arial" w:cs="Arial"/>
          <w:sz w:val="20"/>
          <w:szCs w:val="20"/>
        </w:rPr>
        <w:t>.</w:t>
      </w:r>
    </w:p>
    <w:p w14:paraId="71CBBB0D" w14:textId="5AA021D2" w:rsidR="00E23BCE" w:rsidRPr="0002535F" w:rsidRDefault="00E23BCE" w:rsidP="00052477">
      <w:pPr>
        <w:spacing w:line="360" w:lineRule="auto"/>
        <w:ind w:firstLine="720"/>
        <w:jc w:val="both"/>
        <w:rPr>
          <w:rFonts w:ascii="Arial" w:hAnsi="Arial" w:cs="Arial"/>
          <w:sz w:val="20"/>
          <w:szCs w:val="20"/>
        </w:rPr>
      </w:pPr>
      <w:r w:rsidRPr="0002535F">
        <w:rPr>
          <w:rFonts w:ascii="Arial" w:hAnsi="Arial" w:cs="Arial"/>
          <w:sz w:val="20"/>
          <w:szCs w:val="20"/>
        </w:rPr>
        <w:t xml:space="preserve">To prioritize the personal constraints, the Garrett Ranking Technique was employed, as it provides a systematic and quantitative method for analyzing ranked data. Each respondent ranked the given constraints, and the ranks were converted into </w:t>
      </w:r>
      <w:r w:rsidR="00386C21" w:rsidRPr="0002535F">
        <w:rPr>
          <w:rFonts w:ascii="Arial" w:hAnsi="Arial" w:cs="Arial"/>
          <w:sz w:val="20"/>
          <w:szCs w:val="20"/>
        </w:rPr>
        <w:t>per cent</w:t>
      </w:r>
      <w:r w:rsidRPr="0002535F">
        <w:rPr>
          <w:rFonts w:ascii="Arial" w:hAnsi="Arial" w:cs="Arial"/>
          <w:sz w:val="20"/>
          <w:szCs w:val="20"/>
        </w:rPr>
        <w:t xml:space="preserve"> positions using the following formula:</w:t>
      </w:r>
    </w:p>
    <w:p w14:paraId="2FD3CD52" w14:textId="77777777" w:rsidR="00E23BCE" w:rsidRPr="00A70BBB" w:rsidRDefault="00E23BCE" w:rsidP="00E23BCE">
      <w:pPr>
        <w:jc w:val="both"/>
        <w:rPr>
          <w:rFonts w:ascii="Arial" w:hAnsi="Arial" w:cs="Arial"/>
          <w:sz w:val="22"/>
          <w:szCs w:val="22"/>
        </w:rPr>
      </w:pPr>
      <m:oMathPara>
        <m:oMath>
          <m:r>
            <m:rPr>
              <m:nor/>
            </m:rPr>
            <w:rPr>
              <w:rFonts w:ascii="Arial" w:hAnsi="Arial" w:cs="Arial"/>
              <w:sz w:val="22"/>
              <w:szCs w:val="22"/>
            </w:rPr>
            <m:t>Percent Position</m:t>
          </m:r>
          <m:r>
            <w:rPr>
              <w:rFonts w:ascii="Cambria Math" w:hAnsi="Cambria Math" w:cs="Arial"/>
              <w:sz w:val="22"/>
              <w:szCs w:val="22"/>
            </w:rPr>
            <m:t>=</m:t>
          </m:r>
          <m:f>
            <m:fPr>
              <m:ctrlPr>
                <w:rPr>
                  <w:rFonts w:ascii="Cambria Math" w:hAnsi="Cambria Math" w:cs="Arial"/>
                  <w:sz w:val="22"/>
                  <w:szCs w:val="22"/>
                </w:rPr>
              </m:ctrlPr>
            </m:fPr>
            <m:num>
              <m:r>
                <w:rPr>
                  <w:rFonts w:ascii="Cambria Math" w:hAnsi="Cambria Math" w:cs="Arial"/>
                  <w:sz w:val="22"/>
                  <w:szCs w:val="22"/>
                </w:rPr>
                <m:t>100(</m:t>
              </m:r>
              <m:sSub>
                <m:sSubPr>
                  <m:ctrlPr>
                    <w:rPr>
                      <w:rFonts w:ascii="Cambria Math" w:hAnsi="Cambria Math" w:cs="Arial"/>
                      <w:sz w:val="22"/>
                      <w:szCs w:val="22"/>
                    </w:rPr>
                  </m:ctrlPr>
                </m:sSubPr>
                <m:e>
                  <m:r>
                    <w:rPr>
                      <w:rFonts w:ascii="Cambria Math" w:hAnsi="Cambria Math" w:cs="Arial"/>
                      <w:sz w:val="22"/>
                      <w:szCs w:val="22"/>
                    </w:rPr>
                    <m:t>R</m:t>
                  </m:r>
                </m:e>
                <m:sub>
                  <m:r>
                    <w:rPr>
                      <w:rFonts w:ascii="Cambria Math" w:hAnsi="Cambria Math" w:cs="Arial"/>
                      <w:sz w:val="22"/>
                      <w:szCs w:val="22"/>
                    </w:rPr>
                    <m:t>ij</m:t>
                  </m:r>
                </m:sub>
              </m:sSub>
              <m:r>
                <w:rPr>
                  <w:rFonts w:ascii="Cambria Math" w:hAnsi="Cambria Math" w:cs="Arial"/>
                  <w:sz w:val="22"/>
                  <w:szCs w:val="22"/>
                </w:rPr>
                <m:t>-0.5)</m:t>
              </m:r>
            </m:num>
            <m:den>
              <m:sSub>
                <m:sSubPr>
                  <m:ctrlPr>
                    <w:rPr>
                      <w:rFonts w:ascii="Cambria Math" w:hAnsi="Cambria Math" w:cs="Arial"/>
                      <w:sz w:val="22"/>
                      <w:szCs w:val="22"/>
                    </w:rPr>
                  </m:ctrlPr>
                </m:sSubPr>
                <m:e>
                  <m:r>
                    <w:rPr>
                      <w:rFonts w:ascii="Cambria Math" w:hAnsi="Cambria Math" w:cs="Arial"/>
                      <w:sz w:val="22"/>
                      <w:szCs w:val="22"/>
                    </w:rPr>
                    <m:t>N</m:t>
                  </m:r>
                </m:e>
                <m:sub>
                  <m:r>
                    <w:rPr>
                      <w:rFonts w:ascii="Cambria Math" w:hAnsi="Cambria Math" w:cs="Arial"/>
                      <w:sz w:val="22"/>
                      <w:szCs w:val="22"/>
                    </w:rPr>
                    <m:t>j</m:t>
                  </m:r>
                </m:sub>
              </m:sSub>
            </m:den>
          </m:f>
          <m:r>
            <m:rPr>
              <m:sty m:val="p"/>
            </m:rPr>
            <w:rPr>
              <w:rFonts w:ascii="Cambria Math" w:hAnsi="Cambria Math" w:cs="Arial"/>
              <w:sz w:val="22"/>
              <w:szCs w:val="22"/>
            </w:rPr>
            <w:br/>
          </m:r>
        </m:oMath>
      </m:oMathPara>
    </w:p>
    <w:p w14:paraId="6B789655" w14:textId="77777777" w:rsidR="00E23BCE" w:rsidRPr="00A70BBB" w:rsidRDefault="00E23BCE" w:rsidP="00E23BCE">
      <w:pPr>
        <w:jc w:val="both"/>
        <w:rPr>
          <w:rFonts w:ascii="Arial" w:hAnsi="Arial" w:cs="Arial"/>
          <w:sz w:val="22"/>
          <w:szCs w:val="22"/>
        </w:rPr>
      </w:pPr>
      <w:r w:rsidRPr="00A70BBB">
        <w:rPr>
          <w:rFonts w:ascii="Arial" w:hAnsi="Arial" w:cs="Arial"/>
          <w:sz w:val="22"/>
          <w:szCs w:val="22"/>
        </w:rPr>
        <w:t>where</w:t>
      </w:r>
      <w:r w:rsidRPr="00A70BBB">
        <w:rPr>
          <w:rFonts w:ascii="Arial" w:hAnsi="Arial" w:cs="Arial"/>
          <w:sz w:val="22"/>
          <w:szCs w:val="22"/>
        </w:rPr>
        <w:br/>
      </w:r>
      <m:oMath>
        <m:sSub>
          <m:sSubPr>
            <m:ctrlPr>
              <w:rPr>
                <w:rFonts w:ascii="Cambria Math" w:hAnsi="Cambria Math" w:cs="Arial"/>
                <w:sz w:val="22"/>
                <w:szCs w:val="22"/>
              </w:rPr>
            </m:ctrlPr>
          </m:sSubPr>
          <m:e>
            <m:r>
              <w:rPr>
                <w:rFonts w:ascii="Cambria Math" w:hAnsi="Cambria Math" w:cs="Arial"/>
                <w:sz w:val="22"/>
                <w:szCs w:val="22"/>
              </w:rPr>
              <m:t>R</m:t>
            </m:r>
          </m:e>
          <m:sub>
            <m:r>
              <w:rPr>
                <w:rFonts w:ascii="Cambria Math" w:hAnsi="Cambria Math" w:cs="Arial"/>
                <w:sz w:val="22"/>
                <w:szCs w:val="22"/>
              </w:rPr>
              <m:t>ij</m:t>
            </m:r>
          </m:sub>
        </m:sSub>
      </m:oMath>
      <w:r w:rsidRPr="00A70BBB">
        <w:rPr>
          <w:rFonts w:ascii="Arial" w:hAnsi="Arial" w:cs="Arial"/>
          <w:sz w:val="22"/>
          <w:szCs w:val="22"/>
        </w:rPr>
        <w:t xml:space="preserve">= rank given for the </w:t>
      </w:r>
      <w:proofErr w:type="spellStart"/>
      <w:r w:rsidRPr="00A70BBB">
        <w:rPr>
          <w:rFonts w:ascii="Arial" w:hAnsi="Arial" w:cs="Arial"/>
          <w:i/>
          <w:iCs/>
          <w:sz w:val="22"/>
          <w:szCs w:val="22"/>
        </w:rPr>
        <w:t>i</w:t>
      </w:r>
      <w:r w:rsidRPr="00A70BBB">
        <w:rPr>
          <w:rFonts w:ascii="Arial" w:hAnsi="Arial" w:cs="Arial"/>
          <w:sz w:val="22"/>
          <w:szCs w:val="22"/>
        </w:rPr>
        <w:t>ᵗʰ</w:t>
      </w:r>
      <w:proofErr w:type="spellEnd"/>
      <w:r w:rsidRPr="00A70BBB">
        <w:rPr>
          <w:rFonts w:ascii="Arial" w:hAnsi="Arial" w:cs="Arial"/>
          <w:sz w:val="22"/>
          <w:szCs w:val="22"/>
        </w:rPr>
        <w:t xml:space="preserve"> constraint by the </w:t>
      </w:r>
      <w:proofErr w:type="spellStart"/>
      <w:r w:rsidRPr="00A70BBB">
        <w:rPr>
          <w:rFonts w:ascii="Arial" w:hAnsi="Arial" w:cs="Arial"/>
          <w:i/>
          <w:iCs/>
          <w:sz w:val="22"/>
          <w:szCs w:val="22"/>
        </w:rPr>
        <w:t>j</w:t>
      </w:r>
      <w:r w:rsidRPr="00A70BBB">
        <w:rPr>
          <w:rFonts w:ascii="Arial" w:hAnsi="Arial" w:cs="Arial"/>
          <w:sz w:val="22"/>
          <w:szCs w:val="22"/>
        </w:rPr>
        <w:t>ᵗʰ</w:t>
      </w:r>
      <w:proofErr w:type="spellEnd"/>
      <w:r w:rsidRPr="00A70BBB">
        <w:rPr>
          <w:rFonts w:ascii="Arial" w:hAnsi="Arial" w:cs="Arial"/>
          <w:sz w:val="22"/>
          <w:szCs w:val="22"/>
        </w:rPr>
        <w:t xml:space="preserve"> respondent</w:t>
      </w:r>
      <w:r w:rsidRPr="00A70BBB">
        <w:rPr>
          <w:rFonts w:ascii="Arial" w:hAnsi="Arial" w:cs="Arial"/>
          <w:sz w:val="22"/>
          <w:szCs w:val="22"/>
        </w:rPr>
        <w:br/>
      </w:r>
      <m:oMath>
        <m:sSub>
          <m:sSubPr>
            <m:ctrlPr>
              <w:rPr>
                <w:rFonts w:ascii="Cambria Math" w:hAnsi="Cambria Math" w:cs="Arial"/>
                <w:sz w:val="22"/>
                <w:szCs w:val="22"/>
              </w:rPr>
            </m:ctrlPr>
          </m:sSubPr>
          <m:e>
            <m:r>
              <w:rPr>
                <w:rFonts w:ascii="Cambria Math" w:hAnsi="Cambria Math" w:cs="Arial"/>
                <w:sz w:val="22"/>
                <w:szCs w:val="22"/>
              </w:rPr>
              <m:t>N</m:t>
            </m:r>
          </m:e>
          <m:sub>
            <m:r>
              <w:rPr>
                <w:rFonts w:ascii="Cambria Math" w:hAnsi="Cambria Math" w:cs="Arial"/>
                <w:sz w:val="22"/>
                <w:szCs w:val="22"/>
              </w:rPr>
              <m:t>j</m:t>
            </m:r>
          </m:sub>
        </m:sSub>
      </m:oMath>
      <w:r w:rsidRPr="00A70BBB">
        <w:rPr>
          <w:rFonts w:ascii="Arial" w:hAnsi="Arial" w:cs="Arial"/>
          <w:sz w:val="22"/>
          <w:szCs w:val="22"/>
        </w:rPr>
        <w:t xml:space="preserve">= total number of constraints ranked by the </w:t>
      </w:r>
      <w:proofErr w:type="spellStart"/>
      <w:r w:rsidRPr="00A70BBB">
        <w:rPr>
          <w:rFonts w:ascii="Arial" w:hAnsi="Arial" w:cs="Arial"/>
          <w:i/>
          <w:iCs/>
          <w:sz w:val="22"/>
          <w:szCs w:val="22"/>
        </w:rPr>
        <w:t>j</w:t>
      </w:r>
      <w:r w:rsidRPr="00A70BBB">
        <w:rPr>
          <w:rFonts w:ascii="Arial" w:hAnsi="Arial" w:cs="Arial"/>
          <w:sz w:val="22"/>
          <w:szCs w:val="22"/>
        </w:rPr>
        <w:t>ᵗʰ</w:t>
      </w:r>
      <w:proofErr w:type="spellEnd"/>
      <w:r w:rsidRPr="00A70BBB">
        <w:rPr>
          <w:rFonts w:ascii="Arial" w:hAnsi="Arial" w:cs="Arial"/>
          <w:sz w:val="22"/>
          <w:szCs w:val="22"/>
        </w:rPr>
        <w:t xml:space="preserve"> respondent</w:t>
      </w:r>
    </w:p>
    <w:p w14:paraId="0C2C2907" w14:textId="77777777" w:rsidR="00E23BCE" w:rsidRPr="0002535F" w:rsidRDefault="00E23BCE" w:rsidP="00E23BCE">
      <w:pPr>
        <w:ind w:firstLine="720"/>
        <w:jc w:val="both"/>
        <w:rPr>
          <w:rFonts w:ascii="Arial" w:hAnsi="Arial" w:cs="Arial"/>
          <w:sz w:val="20"/>
          <w:szCs w:val="20"/>
        </w:rPr>
      </w:pPr>
      <w:r w:rsidRPr="0002535F">
        <w:rPr>
          <w:rFonts w:ascii="Arial" w:hAnsi="Arial" w:cs="Arial"/>
          <w:sz w:val="20"/>
          <w:szCs w:val="20"/>
        </w:rPr>
        <w:t>The calculated percent positions were then converted into Garrett values using the standard Garrett conversion table. These Garrett values were multiplied by the frequency of responses for each rank, and the total score was divided by the number of respondents to obtain the Garrett mean score for each constraint. Based on the Garrett mean scores, the personal constraints were arranged in descending order, with higher scores indicating greater severity. This approach ensured objective prioritization of constraints and facilitated meaningful interpretation for policy and intervention planning.</w:t>
      </w:r>
    </w:p>
    <w:p w14:paraId="152EA59F" w14:textId="3B13FC28" w:rsidR="00E23BCE" w:rsidRPr="00A70BBB" w:rsidRDefault="0002535F" w:rsidP="00E23BCE">
      <w:pPr>
        <w:spacing w:after="0"/>
        <w:rPr>
          <w:rFonts w:ascii="Arial" w:hAnsi="Arial" w:cs="Arial"/>
          <w:b/>
          <w:bCs/>
          <w:sz w:val="22"/>
          <w:szCs w:val="22"/>
        </w:rPr>
      </w:pPr>
      <w:r w:rsidRPr="00A70BBB">
        <w:rPr>
          <w:rFonts w:ascii="Arial" w:hAnsi="Arial" w:cs="Arial"/>
          <w:b/>
          <w:bCs/>
          <w:sz w:val="22"/>
          <w:szCs w:val="22"/>
        </w:rPr>
        <w:lastRenderedPageBreak/>
        <w:t>RESULT&amp; DISCUSSION:</w:t>
      </w:r>
    </w:p>
    <w:p w14:paraId="644A95D7" w14:textId="77777777" w:rsidR="00FF01C5" w:rsidRPr="00A70BBB" w:rsidRDefault="00FF01C5" w:rsidP="00E23BCE">
      <w:pPr>
        <w:spacing w:after="0"/>
        <w:rPr>
          <w:rFonts w:ascii="Arial" w:hAnsi="Arial" w:cs="Arial"/>
          <w:b/>
          <w:bCs/>
          <w:sz w:val="22"/>
          <w:szCs w:val="22"/>
        </w:rPr>
      </w:pPr>
    </w:p>
    <w:p w14:paraId="39948174" w14:textId="77777777" w:rsidR="00E23BCE" w:rsidRPr="00A70BBB" w:rsidRDefault="00E23BCE" w:rsidP="00E23BCE">
      <w:pPr>
        <w:spacing w:after="0"/>
        <w:jc w:val="center"/>
        <w:rPr>
          <w:rFonts w:ascii="Arial" w:hAnsi="Arial" w:cs="Arial"/>
          <w:b/>
          <w:bCs/>
          <w:sz w:val="22"/>
          <w:szCs w:val="22"/>
        </w:rPr>
      </w:pPr>
      <w:r w:rsidRPr="00A70BBB">
        <w:rPr>
          <w:rFonts w:ascii="Arial" w:hAnsi="Arial" w:cs="Arial"/>
          <w:b/>
          <w:bCs/>
          <w:sz w:val="22"/>
          <w:szCs w:val="22"/>
        </w:rPr>
        <w:t>Table No. 1: Per cent position and Garrett value for farmers</w:t>
      </w:r>
    </w:p>
    <w:tbl>
      <w:tblPr>
        <w:tblStyle w:val="TableGrid"/>
        <w:tblW w:w="0" w:type="auto"/>
        <w:tblInd w:w="445" w:type="dxa"/>
        <w:tblLook w:val="04A0" w:firstRow="1" w:lastRow="0" w:firstColumn="1" w:lastColumn="0" w:noHBand="0" w:noVBand="1"/>
      </w:tblPr>
      <w:tblGrid>
        <w:gridCol w:w="2671"/>
        <w:gridCol w:w="3117"/>
        <w:gridCol w:w="2942"/>
      </w:tblGrid>
      <w:tr w:rsidR="00E23BCE" w:rsidRPr="00A70BBB" w14:paraId="6C527DE2" w14:textId="77777777" w:rsidTr="00B11740">
        <w:tc>
          <w:tcPr>
            <w:tcW w:w="2671" w:type="dxa"/>
          </w:tcPr>
          <w:p w14:paraId="11371DEE" w14:textId="55BF6CED" w:rsidR="00E23BCE" w:rsidRPr="00A70BBB" w:rsidRDefault="00E23BCE" w:rsidP="00B11740">
            <w:pPr>
              <w:jc w:val="center"/>
              <w:rPr>
                <w:rFonts w:ascii="Arial" w:hAnsi="Arial" w:cs="Arial"/>
                <w:b/>
                <w:bCs/>
              </w:rPr>
            </w:pPr>
            <w:r w:rsidRPr="00A70BBB">
              <w:rPr>
                <w:rFonts w:ascii="Arial" w:hAnsi="Arial" w:cs="Arial"/>
                <w:b/>
                <w:bCs/>
                <w:kern w:val="0"/>
              </w:rPr>
              <w:t>100(Rij-0.5)</w:t>
            </w:r>
            <w:r w:rsidR="00FF01C5" w:rsidRPr="00A70BBB">
              <w:rPr>
                <w:rFonts w:ascii="Arial" w:hAnsi="Arial" w:cs="Arial"/>
                <w:b/>
                <w:bCs/>
                <w:kern w:val="0"/>
              </w:rPr>
              <w:t xml:space="preserve"> </w:t>
            </w:r>
            <w:r w:rsidRPr="00A70BBB">
              <w:rPr>
                <w:rFonts w:ascii="Arial" w:hAnsi="Arial" w:cs="Arial"/>
                <w:b/>
                <w:bCs/>
                <w:kern w:val="0"/>
              </w:rPr>
              <w:t>Nj</w:t>
            </w:r>
          </w:p>
        </w:tc>
        <w:tc>
          <w:tcPr>
            <w:tcW w:w="3117" w:type="dxa"/>
          </w:tcPr>
          <w:p w14:paraId="0A83DE53" w14:textId="77777777" w:rsidR="00E23BCE" w:rsidRPr="00A70BBB" w:rsidRDefault="00E23BCE" w:rsidP="00B11740">
            <w:pPr>
              <w:jc w:val="center"/>
              <w:rPr>
                <w:rFonts w:ascii="Arial" w:hAnsi="Arial" w:cs="Arial"/>
                <w:b/>
                <w:bCs/>
              </w:rPr>
            </w:pPr>
            <w:r w:rsidRPr="00A70BBB">
              <w:rPr>
                <w:rFonts w:ascii="Arial" w:hAnsi="Arial" w:cs="Arial"/>
                <w:b/>
                <w:bCs/>
                <w:kern w:val="0"/>
              </w:rPr>
              <w:t>Calculated value</w:t>
            </w:r>
          </w:p>
        </w:tc>
        <w:tc>
          <w:tcPr>
            <w:tcW w:w="2942" w:type="dxa"/>
          </w:tcPr>
          <w:p w14:paraId="7FF4C5BA" w14:textId="77777777" w:rsidR="00E23BCE" w:rsidRPr="00A70BBB" w:rsidRDefault="00E23BCE" w:rsidP="00B11740">
            <w:pPr>
              <w:jc w:val="center"/>
              <w:rPr>
                <w:rFonts w:ascii="Arial" w:hAnsi="Arial" w:cs="Arial"/>
                <w:b/>
                <w:bCs/>
              </w:rPr>
            </w:pPr>
            <w:r w:rsidRPr="00A70BBB">
              <w:rPr>
                <w:rFonts w:ascii="Arial" w:hAnsi="Arial" w:cs="Arial"/>
                <w:b/>
                <w:bCs/>
                <w:kern w:val="0"/>
              </w:rPr>
              <w:t>Garrett value</w:t>
            </w:r>
          </w:p>
        </w:tc>
      </w:tr>
      <w:tr w:rsidR="00E23BCE" w:rsidRPr="00A70BBB" w14:paraId="43944E38" w14:textId="77777777" w:rsidTr="00B11740">
        <w:tc>
          <w:tcPr>
            <w:tcW w:w="2671" w:type="dxa"/>
          </w:tcPr>
          <w:p w14:paraId="33B4371F" w14:textId="4235BA50" w:rsidR="00E23BCE" w:rsidRPr="00A70BBB" w:rsidRDefault="00E23BCE" w:rsidP="00B11740">
            <w:pPr>
              <w:rPr>
                <w:rFonts w:ascii="Arial" w:hAnsi="Arial" w:cs="Arial"/>
              </w:rPr>
            </w:pPr>
            <w:r w:rsidRPr="00A70BBB">
              <w:rPr>
                <w:rFonts w:ascii="Arial" w:hAnsi="Arial" w:cs="Arial"/>
                <w:kern w:val="0"/>
              </w:rPr>
              <w:t>100(1-0.5)</w:t>
            </w:r>
            <w:r w:rsidR="004129FF" w:rsidRPr="00A70BBB">
              <w:rPr>
                <w:rFonts w:ascii="Arial" w:hAnsi="Arial" w:cs="Arial"/>
                <w:kern w:val="0"/>
              </w:rPr>
              <w:t>9</w:t>
            </w:r>
          </w:p>
        </w:tc>
        <w:tc>
          <w:tcPr>
            <w:tcW w:w="3117" w:type="dxa"/>
          </w:tcPr>
          <w:p w14:paraId="23B36905" w14:textId="644341F8" w:rsidR="00E23BCE" w:rsidRPr="00A70BBB" w:rsidRDefault="004129FF" w:rsidP="00B11740">
            <w:pPr>
              <w:rPr>
                <w:rFonts w:ascii="Arial" w:hAnsi="Arial" w:cs="Arial"/>
              </w:rPr>
            </w:pPr>
            <w:r w:rsidRPr="00A70BBB">
              <w:rPr>
                <w:rFonts w:ascii="Arial" w:hAnsi="Arial" w:cs="Arial"/>
              </w:rPr>
              <w:t>5.5</w:t>
            </w:r>
          </w:p>
        </w:tc>
        <w:tc>
          <w:tcPr>
            <w:tcW w:w="2942" w:type="dxa"/>
          </w:tcPr>
          <w:p w14:paraId="34D0A69B" w14:textId="53921A76" w:rsidR="00E23BCE" w:rsidRPr="00A70BBB" w:rsidRDefault="00E23BCE" w:rsidP="00B11740">
            <w:pPr>
              <w:rPr>
                <w:rFonts w:ascii="Arial" w:hAnsi="Arial" w:cs="Arial"/>
              </w:rPr>
            </w:pPr>
            <w:r w:rsidRPr="00A70BBB">
              <w:rPr>
                <w:rFonts w:ascii="Arial" w:hAnsi="Arial" w:cs="Arial"/>
              </w:rPr>
              <w:t>82</w:t>
            </w:r>
            <w:r w:rsidR="00845523" w:rsidRPr="00A70BBB">
              <w:rPr>
                <w:rFonts w:ascii="Arial" w:hAnsi="Arial" w:cs="Arial"/>
              </w:rPr>
              <w:t>81</w:t>
            </w:r>
          </w:p>
        </w:tc>
      </w:tr>
      <w:tr w:rsidR="00E23BCE" w:rsidRPr="00A70BBB" w14:paraId="0495F193" w14:textId="77777777" w:rsidTr="00B11740">
        <w:tc>
          <w:tcPr>
            <w:tcW w:w="2671" w:type="dxa"/>
          </w:tcPr>
          <w:p w14:paraId="2B897FE1" w14:textId="6C9F4339" w:rsidR="00E23BCE" w:rsidRPr="00A70BBB" w:rsidRDefault="00E23BCE" w:rsidP="00B11740">
            <w:pPr>
              <w:rPr>
                <w:rFonts w:ascii="Arial" w:hAnsi="Arial" w:cs="Arial"/>
              </w:rPr>
            </w:pPr>
            <w:r w:rsidRPr="00A70BBB">
              <w:rPr>
                <w:rFonts w:ascii="Arial" w:hAnsi="Arial" w:cs="Arial"/>
                <w:kern w:val="0"/>
              </w:rPr>
              <w:t>100(2-0.5)</w:t>
            </w:r>
            <w:r w:rsidR="004129FF" w:rsidRPr="00A70BBB">
              <w:rPr>
                <w:rFonts w:ascii="Arial" w:hAnsi="Arial" w:cs="Arial"/>
                <w:kern w:val="0"/>
              </w:rPr>
              <w:t>9</w:t>
            </w:r>
          </w:p>
        </w:tc>
        <w:tc>
          <w:tcPr>
            <w:tcW w:w="3117" w:type="dxa"/>
          </w:tcPr>
          <w:p w14:paraId="54FBA3CB" w14:textId="55A1FF6B" w:rsidR="00E23BCE" w:rsidRPr="00A70BBB" w:rsidRDefault="004129FF" w:rsidP="00B11740">
            <w:pPr>
              <w:rPr>
                <w:rFonts w:ascii="Arial" w:hAnsi="Arial" w:cs="Arial"/>
              </w:rPr>
            </w:pPr>
            <w:r w:rsidRPr="00A70BBB">
              <w:rPr>
                <w:rFonts w:ascii="Arial" w:hAnsi="Arial" w:cs="Arial"/>
              </w:rPr>
              <w:t>16.5</w:t>
            </w:r>
          </w:p>
        </w:tc>
        <w:tc>
          <w:tcPr>
            <w:tcW w:w="2942" w:type="dxa"/>
          </w:tcPr>
          <w:p w14:paraId="54C78068" w14:textId="4ED97B21" w:rsidR="00E23BCE" w:rsidRPr="00A70BBB" w:rsidRDefault="00845523" w:rsidP="00B11740">
            <w:pPr>
              <w:rPr>
                <w:rFonts w:ascii="Arial" w:hAnsi="Arial" w:cs="Arial"/>
              </w:rPr>
            </w:pPr>
            <w:r w:rsidRPr="00A70BBB">
              <w:rPr>
                <w:rFonts w:ascii="Arial" w:hAnsi="Arial" w:cs="Arial"/>
              </w:rPr>
              <w:t>69</w:t>
            </w:r>
          </w:p>
        </w:tc>
      </w:tr>
      <w:tr w:rsidR="00E23BCE" w:rsidRPr="00A70BBB" w14:paraId="09DBC81B" w14:textId="77777777" w:rsidTr="00B11740">
        <w:tc>
          <w:tcPr>
            <w:tcW w:w="2671" w:type="dxa"/>
          </w:tcPr>
          <w:p w14:paraId="07613513" w14:textId="04678291" w:rsidR="00E23BCE" w:rsidRPr="00A70BBB" w:rsidRDefault="00E23BCE" w:rsidP="00B11740">
            <w:pPr>
              <w:rPr>
                <w:rFonts w:ascii="Arial" w:hAnsi="Arial" w:cs="Arial"/>
              </w:rPr>
            </w:pPr>
            <w:r w:rsidRPr="00A70BBB">
              <w:rPr>
                <w:rFonts w:ascii="Arial" w:hAnsi="Arial" w:cs="Arial"/>
                <w:kern w:val="0"/>
              </w:rPr>
              <w:t>100(3-0.5)</w:t>
            </w:r>
            <w:r w:rsidR="004129FF" w:rsidRPr="00A70BBB">
              <w:rPr>
                <w:rFonts w:ascii="Arial" w:hAnsi="Arial" w:cs="Arial"/>
                <w:kern w:val="0"/>
              </w:rPr>
              <w:t>9</w:t>
            </w:r>
          </w:p>
        </w:tc>
        <w:tc>
          <w:tcPr>
            <w:tcW w:w="3117" w:type="dxa"/>
          </w:tcPr>
          <w:p w14:paraId="373DD4DF" w14:textId="3A4EF852" w:rsidR="00E23BCE" w:rsidRPr="00A70BBB" w:rsidRDefault="004129FF" w:rsidP="00B11740">
            <w:pPr>
              <w:rPr>
                <w:rFonts w:ascii="Arial" w:hAnsi="Arial" w:cs="Arial"/>
              </w:rPr>
            </w:pPr>
            <w:r w:rsidRPr="00A70BBB">
              <w:rPr>
                <w:rFonts w:ascii="Arial" w:hAnsi="Arial" w:cs="Arial"/>
              </w:rPr>
              <w:t>27.7</w:t>
            </w:r>
          </w:p>
        </w:tc>
        <w:tc>
          <w:tcPr>
            <w:tcW w:w="2942" w:type="dxa"/>
          </w:tcPr>
          <w:p w14:paraId="5A1C46FA" w14:textId="588804AC" w:rsidR="00E23BCE" w:rsidRPr="00A70BBB" w:rsidRDefault="004129FF" w:rsidP="00B11740">
            <w:pPr>
              <w:rPr>
                <w:rFonts w:ascii="Arial" w:hAnsi="Arial" w:cs="Arial"/>
              </w:rPr>
            </w:pPr>
            <w:r w:rsidRPr="00A70BBB">
              <w:rPr>
                <w:rFonts w:ascii="Arial" w:hAnsi="Arial" w:cs="Arial"/>
              </w:rPr>
              <w:t>61</w:t>
            </w:r>
          </w:p>
        </w:tc>
      </w:tr>
      <w:tr w:rsidR="00E23BCE" w:rsidRPr="00A70BBB" w14:paraId="5B3AF62A" w14:textId="77777777" w:rsidTr="00B11740">
        <w:tc>
          <w:tcPr>
            <w:tcW w:w="2671" w:type="dxa"/>
          </w:tcPr>
          <w:p w14:paraId="4F985AC5" w14:textId="46A7C99C" w:rsidR="00E23BCE" w:rsidRPr="00A70BBB" w:rsidRDefault="00E23BCE" w:rsidP="00B11740">
            <w:pPr>
              <w:rPr>
                <w:rFonts w:ascii="Arial" w:hAnsi="Arial" w:cs="Arial"/>
              </w:rPr>
            </w:pPr>
            <w:r w:rsidRPr="00A70BBB">
              <w:rPr>
                <w:rFonts w:ascii="Arial" w:hAnsi="Arial" w:cs="Arial"/>
                <w:kern w:val="0"/>
              </w:rPr>
              <w:t>100(4-0.5)</w:t>
            </w:r>
            <w:r w:rsidR="004129FF" w:rsidRPr="00A70BBB">
              <w:rPr>
                <w:rFonts w:ascii="Arial" w:hAnsi="Arial" w:cs="Arial"/>
                <w:kern w:val="0"/>
              </w:rPr>
              <w:t>9</w:t>
            </w:r>
          </w:p>
        </w:tc>
        <w:tc>
          <w:tcPr>
            <w:tcW w:w="3117" w:type="dxa"/>
          </w:tcPr>
          <w:p w14:paraId="22DF22CA" w14:textId="62A96EED" w:rsidR="00E23BCE" w:rsidRPr="00A70BBB" w:rsidRDefault="004129FF" w:rsidP="00B11740">
            <w:pPr>
              <w:rPr>
                <w:rFonts w:ascii="Arial" w:hAnsi="Arial" w:cs="Arial"/>
              </w:rPr>
            </w:pPr>
            <w:r w:rsidRPr="00A70BBB">
              <w:rPr>
                <w:rFonts w:ascii="Arial" w:hAnsi="Arial" w:cs="Arial"/>
              </w:rPr>
              <w:t>38.8</w:t>
            </w:r>
          </w:p>
        </w:tc>
        <w:tc>
          <w:tcPr>
            <w:tcW w:w="2942" w:type="dxa"/>
          </w:tcPr>
          <w:p w14:paraId="65467673" w14:textId="32A4BD94" w:rsidR="00E23BCE" w:rsidRPr="00A70BBB" w:rsidRDefault="004129FF" w:rsidP="00B11740">
            <w:pPr>
              <w:rPr>
                <w:rFonts w:ascii="Arial" w:hAnsi="Arial" w:cs="Arial"/>
              </w:rPr>
            </w:pPr>
            <w:r w:rsidRPr="00A70BBB">
              <w:rPr>
                <w:rFonts w:ascii="Arial" w:hAnsi="Arial" w:cs="Arial"/>
              </w:rPr>
              <w:t>55</w:t>
            </w:r>
          </w:p>
        </w:tc>
      </w:tr>
      <w:tr w:rsidR="00E23BCE" w:rsidRPr="00A70BBB" w14:paraId="47966D2C" w14:textId="77777777" w:rsidTr="00B11740">
        <w:tc>
          <w:tcPr>
            <w:tcW w:w="2671" w:type="dxa"/>
          </w:tcPr>
          <w:p w14:paraId="000281AD" w14:textId="6793DE34" w:rsidR="00E23BCE" w:rsidRPr="00A70BBB" w:rsidRDefault="00E23BCE" w:rsidP="00B11740">
            <w:pPr>
              <w:rPr>
                <w:rFonts w:ascii="Arial" w:hAnsi="Arial" w:cs="Arial"/>
              </w:rPr>
            </w:pPr>
            <w:r w:rsidRPr="00A70BBB">
              <w:rPr>
                <w:rFonts w:ascii="Arial" w:hAnsi="Arial" w:cs="Arial"/>
                <w:kern w:val="0"/>
              </w:rPr>
              <w:t>100(5-0.5)</w:t>
            </w:r>
            <w:r w:rsidR="004129FF" w:rsidRPr="00A70BBB">
              <w:rPr>
                <w:rFonts w:ascii="Arial" w:hAnsi="Arial" w:cs="Arial"/>
                <w:kern w:val="0"/>
              </w:rPr>
              <w:t>9</w:t>
            </w:r>
          </w:p>
        </w:tc>
        <w:tc>
          <w:tcPr>
            <w:tcW w:w="3117" w:type="dxa"/>
          </w:tcPr>
          <w:p w14:paraId="7B358A35" w14:textId="6C9D93DB" w:rsidR="00E23BCE" w:rsidRPr="00A70BBB" w:rsidRDefault="004129FF" w:rsidP="00B11740">
            <w:pPr>
              <w:rPr>
                <w:rFonts w:ascii="Arial" w:hAnsi="Arial" w:cs="Arial"/>
              </w:rPr>
            </w:pPr>
            <w:r w:rsidRPr="00A70BBB">
              <w:rPr>
                <w:rFonts w:ascii="Arial" w:hAnsi="Arial" w:cs="Arial"/>
              </w:rPr>
              <w:t>50</w:t>
            </w:r>
          </w:p>
        </w:tc>
        <w:tc>
          <w:tcPr>
            <w:tcW w:w="2942" w:type="dxa"/>
          </w:tcPr>
          <w:p w14:paraId="50041495" w14:textId="17B322DC" w:rsidR="00E23BCE" w:rsidRPr="00A70BBB" w:rsidRDefault="004129FF" w:rsidP="00B11740">
            <w:pPr>
              <w:rPr>
                <w:rFonts w:ascii="Arial" w:hAnsi="Arial" w:cs="Arial"/>
              </w:rPr>
            </w:pPr>
            <w:r w:rsidRPr="00A70BBB">
              <w:rPr>
                <w:rFonts w:ascii="Arial" w:hAnsi="Arial" w:cs="Arial"/>
              </w:rPr>
              <w:t>50</w:t>
            </w:r>
          </w:p>
        </w:tc>
      </w:tr>
    </w:tbl>
    <w:p w14:paraId="70E7110A" w14:textId="77777777" w:rsidR="00E23BCE" w:rsidRPr="00A70BBB" w:rsidRDefault="00E23BCE" w:rsidP="00E23BCE">
      <w:pPr>
        <w:spacing w:after="0"/>
        <w:rPr>
          <w:rFonts w:ascii="Arial" w:hAnsi="Arial" w:cs="Arial"/>
          <w:b/>
          <w:bCs/>
          <w:sz w:val="22"/>
          <w:szCs w:val="22"/>
        </w:rPr>
      </w:pPr>
    </w:p>
    <w:p w14:paraId="2FC680B2" w14:textId="75CB4EE2" w:rsidR="00EC5267" w:rsidRPr="0002535F" w:rsidRDefault="00E23BCE" w:rsidP="00052477">
      <w:pPr>
        <w:spacing w:after="0" w:line="360" w:lineRule="auto"/>
        <w:jc w:val="both"/>
        <w:rPr>
          <w:rFonts w:ascii="Arial" w:hAnsi="Arial" w:cs="Arial"/>
          <w:sz w:val="20"/>
          <w:szCs w:val="20"/>
        </w:rPr>
      </w:pPr>
      <w:r w:rsidRPr="00A70BBB">
        <w:rPr>
          <w:rFonts w:ascii="Arial" w:hAnsi="Arial" w:cs="Arial"/>
          <w:b/>
          <w:bCs/>
          <w:sz w:val="22"/>
          <w:szCs w:val="22"/>
        </w:rPr>
        <w:tab/>
      </w:r>
      <w:r w:rsidR="009C1874" w:rsidRPr="0002535F">
        <w:rPr>
          <w:rFonts w:ascii="Arial" w:hAnsi="Arial" w:cs="Arial"/>
          <w:b/>
          <w:bCs/>
          <w:sz w:val="20"/>
          <w:szCs w:val="20"/>
        </w:rPr>
        <w:t>Table No. 1</w:t>
      </w:r>
      <w:r w:rsidR="009C1874" w:rsidRPr="0002535F">
        <w:rPr>
          <w:rFonts w:ascii="Arial" w:hAnsi="Arial" w:cs="Arial"/>
          <w:sz w:val="20"/>
          <w:szCs w:val="20"/>
        </w:rPr>
        <w:t xml:space="preserve"> shows the per cent position and the corresponding Garrett values for the ranks given by farmers. Using the Garrett ranking formula, the per cent positions were calculated for Rank I to Rank V as 5.5, 16.5, 27.7, 38.8, and 50.0, respectively. These values were then converted into Garrett scores with the help of the standard Garrett conversion table. The results indicate that Rank I received the highest Garrett value (82), followed by Rank II (69), Rank III (61), Rank IV (55), and Rank V (50). This pattern clearly shows that the importance of the constraints decreases as the rank goes down. In other words, the constraint placed at Rank I was considered the most serious by the farmers, while the one placed at Rank V was considered the least serious. The Garrett values were further used to calculate the Garrett mean scores by multiplying them with the number of responses under each rank. This helped in arranging the constraints in order of importance. Higher mean scores indicate more serious constraints, whereas lower scores indicate comparatively less serious ones. </w:t>
      </w:r>
    </w:p>
    <w:p w14:paraId="7D41BF66" w14:textId="77777777" w:rsidR="009C1874" w:rsidRPr="00A70BBB" w:rsidRDefault="009C1874" w:rsidP="009C1874">
      <w:pPr>
        <w:spacing w:after="0"/>
        <w:jc w:val="both"/>
        <w:rPr>
          <w:rFonts w:ascii="Arial" w:hAnsi="Arial" w:cs="Arial"/>
          <w:sz w:val="22"/>
          <w:szCs w:val="22"/>
        </w:rPr>
      </w:pPr>
    </w:p>
    <w:p w14:paraId="629E2759" w14:textId="3D70DC2C" w:rsidR="00E23BCE" w:rsidRPr="00A70BBB" w:rsidRDefault="00E23BCE" w:rsidP="009C1874">
      <w:pPr>
        <w:spacing w:after="0"/>
        <w:ind w:left="720"/>
        <w:jc w:val="both"/>
        <w:rPr>
          <w:rFonts w:ascii="Arial" w:hAnsi="Arial" w:cs="Arial"/>
          <w:b/>
          <w:bCs/>
          <w:color w:val="000000" w:themeColor="text1"/>
          <w:sz w:val="22"/>
          <w:szCs w:val="22"/>
        </w:rPr>
      </w:pPr>
      <w:r w:rsidRPr="00A70BBB">
        <w:rPr>
          <w:rFonts w:ascii="Arial" w:hAnsi="Arial" w:cs="Arial"/>
          <w:b/>
          <w:bCs/>
          <w:color w:val="000000" w:themeColor="text1"/>
          <w:sz w:val="22"/>
          <w:szCs w:val="22"/>
        </w:rPr>
        <w:t>Table No</w:t>
      </w:r>
      <w:r w:rsidR="00873071" w:rsidRPr="00A70BBB">
        <w:rPr>
          <w:rFonts w:ascii="Arial" w:hAnsi="Arial" w:cs="Arial"/>
          <w:b/>
          <w:bCs/>
          <w:color w:val="000000" w:themeColor="text1"/>
          <w:sz w:val="22"/>
          <w:szCs w:val="22"/>
        </w:rPr>
        <w:t>.</w:t>
      </w:r>
      <w:r w:rsidRPr="00A70BBB">
        <w:rPr>
          <w:rFonts w:ascii="Arial" w:hAnsi="Arial" w:cs="Arial"/>
          <w:b/>
          <w:bCs/>
          <w:color w:val="000000" w:themeColor="text1"/>
          <w:sz w:val="22"/>
          <w:szCs w:val="22"/>
        </w:rPr>
        <w:t xml:space="preserve"> 2</w:t>
      </w:r>
      <w:r w:rsidR="00873071" w:rsidRPr="00A70BBB">
        <w:rPr>
          <w:rFonts w:ascii="Arial" w:hAnsi="Arial" w:cs="Arial"/>
          <w:b/>
          <w:bCs/>
          <w:color w:val="000000" w:themeColor="text1"/>
          <w:sz w:val="22"/>
          <w:szCs w:val="22"/>
        </w:rPr>
        <w:t>:</w:t>
      </w:r>
      <w:r w:rsidRPr="00A70BBB">
        <w:rPr>
          <w:rFonts w:ascii="Arial" w:hAnsi="Arial" w:cs="Arial"/>
          <w:b/>
          <w:bCs/>
          <w:color w:val="000000" w:themeColor="text1"/>
          <w:sz w:val="22"/>
          <w:szCs w:val="22"/>
        </w:rPr>
        <w:t xml:space="preserve"> Distribution of Respondents Based on Preference and Ranking </w:t>
      </w:r>
      <w:r w:rsidR="00873071" w:rsidRPr="00A70BBB">
        <w:rPr>
          <w:rFonts w:ascii="Arial" w:hAnsi="Arial" w:cs="Arial"/>
          <w:b/>
          <w:bCs/>
          <w:color w:val="000000" w:themeColor="text1"/>
          <w:sz w:val="22"/>
          <w:szCs w:val="22"/>
        </w:rPr>
        <w:t>of</w:t>
      </w:r>
      <w:r w:rsidRPr="00A70BBB">
        <w:rPr>
          <w:rFonts w:ascii="Arial" w:hAnsi="Arial" w:cs="Arial"/>
          <w:b/>
          <w:bCs/>
          <w:color w:val="000000" w:themeColor="text1"/>
          <w:sz w:val="22"/>
          <w:szCs w:val="22"/>
        </w:rPr>
        <w:t xml:space="preserve"> their </w:t>
      </w:r>
      <w:r w:rsidR="00315A60" w:rsidRPr="00A70BBB">
        <w:rPr>
          <w:rFonts w:ascii="Arial" w:hAnsi="Arial" w:cs="Arial"/>
          <w:b/>
          <w:bCs/>
          <w:color w:val="000000" w:themeColor="text1"/>
          <w:sz w:val="22"/>
          <w:szCs w:val="22"/>
        </w:rPr>
        <w:t>Marketing</w:t>
      </w:r>
      <w:r w:rsidRPr="00A70BBB">
        <w:rPr>
          <w:rFonts w:ascii="Arial" w:hAnsi="Arial" w:cs="Arial"/>
          <w:b/>
          <w:bCs/>
          <w:color w:val="000000" w:themeColor="text1"/>
          <w:sz w:val="22"/>
          <w:szCs w:val="22"/>
        </w:rPr>
        <w:t xml:space="preserve"> Constraints Faced by Women Weavers in </w:t>
      </w:r>
      <w:proofErr w:type="spellStart"/>
      <w:r w:rsidRPr="00A70BBB">
        <w:rPr>
          <w:rFonts w:ascii="Arial" w:hAnsi="Arial" w:cs="Arial"/>
          <w:b/>
          <w:bCs/>
          <w:color w:val="000000" w:themeColor="text1"/>
          <w:sz w:val="22"/>
          <w:szCs w:val="22"/>
        </w:rPr>
        <w:t>Yadadri</w:t>
      </w:r>
      <w:proofErr w:type="spellEnd"/>
      <w:r w:rsidRPr="00A70BBB">
        <w:rPr>
          <w:rFonts w:ascii="Arial" w:hAnsi="Arial" w:cs="Arial"/>
          <w:b/>
          <w:bCs/>
          <w:color w:val="000000" w:themeColor="text1"/>
          <w:sz w:val="22"/>
          <w:szCs w:val="22"/>
        </w:rPr>
        <w:t xml:space="preserve"> </w:t>
      </w:r>
      <w:proofErr w:type="spellStart"/>
      <w:r w:rsidRPr="00A70BBB">
        <w:rPr>
          <w:rFonts w:ascii="Arial" w:hAnsi="Arial" w:cs="Arial"/>
          <w:b/>
          <w:bCs/>
          <w:color w:val="000000" w:themeColor="text1"/>
          <w:sz w:val="22"/>
          <w:szCs w:val="22"/>
        </w:rPr>
        <w:t>Bhuvangiri</w:t>
      </w:r>
      <w:proofErr w:type="spellEnd"/>
    </w:p>
    <w:p w14:paraId="68586536" w14:textId="77777777" w:rsidR="00E23BCE" w:rsidRPr="00A70BBB" w:rsidRDefault="00E23BCE" w:rsidP="00E23BCE">
      <w:pPr>
        <w:spacing w:after="0"/>
        <w:jc w:val="center"/>
        <w:rPr>
          <w:rFonts w:ascii="Arial" w:hAnsi="Arial" w:cs="Arial"/>
          <w:b/>
          <w:bCs/>
          <w:color w:val="000000" w:themeColor="text1"/>
          <w:sz w:val="22"/>
          <w:szCs w:val="22"/>
        </w:rPr>
      </w:pPr>
      <w:r w:rsidRPr="00A70BBB">
        <w:rPr>
          <w:rFonts w:ascii="Arial" w:hAnsi="Arial" w:cs="Arial"/>
          <w:b/>
          <w:bCs/>
          <w:color w:val="000000" w:themeColor="text1"/>
          <w:sz w:val="22"/>
          <w:szCs w:val="22"/>
        </w:rPr>
        <w:t xml:space="preserve">                                                                                                                                 n=40                                                                                                                                                                                                                                              </w:t>
      </w:r>
    </w:p>
    <w:tbl>
      <w:tblPr>
        <w:tblStyle w:val="TableGrid"/>
        <w:tblW w:w="8730" w:type="dxa"/>
        <w:tblInd w:w="445" w:type="dxa"/>
        <w:tblLook w:val="04A0" w:firstRow="1" w:lastRow="0" w:firstColumn="1" w:lastColumn="0" w:noHBand="0" w:noVBand="1"/>
      </w:tblPr>
      <w:tblGrid>
        <w:gridCol w:w="810"/>
        <w:gridCol w:w="3127"/>
        <w:gridCol w:w="833"/>
        <w:gridCol w:w="990"/>
        <w:gridCol w:w="990"/>
        <w:gridCol w:w="990"/>
        <w:gridCol w:w="990"/>
      </w:tblGrid>
      <w:tr w:rsidR="00E23BCE" w:rsidRPr="00A70BBB" w14:paraId="61758401" w14:textId="77777777" w:rsidTr="00873071">
        <w:trPr>
          <w:trHeight w:val="350"/>
        </w:trPr>
        <w:tc>
          <w:tcPr>
            <w:tcW w:w="810" w:type="dxa"/>
          </w:tcPr>
          <w:p w14:paraId="222FA754" w14:textId="39DF003A"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S.</w:t>
            </w:r>
            <w:r w:rsidR="00873071" w:rsidRPr="00A70BBB">
              <w:rPr>
                <w:rFonts w:ascii="Arial" w:hAnsi="Arial" w:cs="Arial"/>
                <w:b/>
                <w:bCs/>
                <w:color w:val="000000" w:themeColor="text1"/>
              </w:rPr>
              <w:t xml:space="preserve"> </w:t>
            </w:r>
            <w:r w:rsidRPr="00A70BBB">
              <w:rPr>
                <w:rFonts w:ascii="Arial" w:hAnsi="Arial" w:cs="Arial"/>
                <w:b/>
                <w:bCs/>
                <w:color w:val="000000" w:themeColor="text1"/>
              </w:rPr>
              <w:t>No.</w:t>
            </w:r>
          </w:p>
        </w:tc>
        <w:tc>
          <w:tcPr>
            <w:tcW w:w="3127" w:type="dxa"/>
          </w:tcPr>
          <w:p w14:paraId="19330BC6" w14:textId="59F87021" w:rsidR="00E23BCE" w:rsidRPr="00A70BBB" w:rsidRDefault="0011400D" w:rsidP="00B11740">
            <w:pPr>
              <w:jc w:val="both"/>
              <w:rPr>
                <w:rFonts w:ascii="Arial" w:hAnsi="Arial" w:cs="Arial"/>
                <w:b/>
                <w:bCs/>
                <w:color w:val="000000" w:themeColor="text1"/>
              </w:rPr>
            </w:pPr>
            <w:r w:rsidRPr="00A70BBB">
              <w:rPr>
                <w:rFonts w:ascii="Arial" w:hAnsi="Arial" w:cs="Arial"/>
                <w:b/>
                <w:bCs/>
                <w:color w:val="000000" w:themeColor="text1"/>
              </w:rPr>
              <w:t>Marketing</w:t>
            </w:r>
            <w:r w:rsidR="00E23BCE" w:rsidRPr="00A70BBB">
              <w:rPr>
                <w:rFonts w:ascii="Arial" w:hAnsi="Arial" w:cs="Arial"/>
                <w:b/>
                <w:bCs/>
                <w:color w:val="000000" w:themeColor="text1"/>
              </w:rPr>
              <w:t xml:space="preserve"> Constraints</w:t>
            </w:r>
          </w:p>
        </w:tc>
        <w:tc>
          <w:tcPr>
            <w:tcW w:w="833" w:type="dxa"/>
            <w:tcBorders>
              <w:bottom w:val="single" w:sz="4" w:space="0" w:color="auto"/>
            </w:tcBorders>
          </w:tcPr>
          <w:p w14:paraId="56575EA1"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1 rank</w:t>
            </w:r>
          </w:p>
        </w:tc>
        <w:tc>
          <w:tcPr>
            <w:tcW w:w="990" w:type="dxa"/>
            <w:tcBorders>
              <w:bottom w:val="single" w:sz="4" w:space="0" w:color="auto"/>
            </w:tcBorders>
          </w:tcPr>
          <w:p w14:paraId="70D62D10"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2 ranks</w:t>
            </w:r>
          </w:p>
        </w:tc>
        <w:tc>
          <w:tcPr>
            <w:tcW w:w="990" w:type="dxa"/>
            <w:tcBorders>
              <w:bottom w:val="single" w:sz="4" w:space="0" w:color="auto"/>
            </w:tcBorders>
          </w:tcPr>
          <w:p w14:paraId="638BB233"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3 ranks</w:t>
            </w:r>
          </w:p>
        </w:tc>
        <w:tc>
          <w:tcPr>
            <w:tcW w:w="990" w:type="dxa"/>
            <w:tcBorders>
              <w:bottom w:val="single" w:sz="4" w:space="0" w:color="auto"/>
            </w:tcBorders>
          </w:tcPr>
          <w:p w14:paraId="0140443E"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4 ranks</w:t>
            </w:r>
          </w:p>
        </w:tc>
        <w:tc>
          <w:tcPr>
            <w:tcW w:w="990" w:type="dxa"/>
            <w:tcBorders>
              <w:bottom w:val="single" w:sz="4" w:space="0" w:color="auto"/>
            </w:tcBorders>
          </w:tcPr>
          <w:p w14:paraId="1986BFB7"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5 ranks</w:t>
            </w:r>
          </w:p>
        </w:tc>
      </w:tr>
      <w:tr w:rsidR="0011400D" w:rsidRPr="00A70BBB" w14:paraId="7BDABF1B" w14:textId="77777777" w:rsidTr="00B4068E">
        <w:tc>
          <w:tcPr>
            <w:tcW w:w="810" w:type="dxa"/>
          </w:tcPr>
          <w:p w14:paraId="74560C5D" w14:textId="77777777" w:rsidR="0011400D" w:rsidRPr="00A70BBB" w:rsidRDefault="0011400D" w:rsidP="0011400D">
            <w:pPr>
              <w:pStyle w:val="ListParagraph"/>
              <w:numPr>
                <w:ilvl w:val="0"/>
                <w:numId w:val="1"/>
              </w:numPr>
              <w:jc w:val="both"/>
              <w:rPr>
                <w:rFonts w:ascii="Arial" w:hAnsi="Arial" w:cs="Arial"/>
                <w:color w:val="000000" w:themeColor="text1"/>
              </w:rPr>
            </w:pPr>
          </w:p>
        </w:tc>
        <w:tc>
          <w:tcPr>
            <w:tcW w:w="3127" w:type="dxa"/>
          </w:tcPr>
          <w:p w14:paraId="242546D2" w14:textId="771ED1C1" w:rsidR="0011400D" w:rsidRPr="00A70BBB" w:rsidRDefault="0011400D" w:rsidP="0011400D">
            <w:pPr>
              <w:jc w:val="both"/>
              <w:rPr>
                <w:rFonts w:ascii="Arial" w:hAnsi="Arial" w:cs="Arial"/>
                <w:color w:val="000000" w:themeColor="text1"/>
              </w:rPr>
            </w:pPr>
            <w:r w:rsidRPr="00A70BBB">
              <w:rPr>
                <w:rFonts w:ascii="Arial" w:hAnsi="Arial" w:cs="Arial"/>
              </w:rPr>
              <w:t>Women weaver’s sales suffer from limited access to larger markets</w:t>
            </w:r>
          </w:p>
        </w:tc>
        <w:tc>
          <w:tcPr>
            <w:tcW w:w="833" w:type="dxa"/>
            <w:tcBorders>
              <w:top w:val="single" w:sz="4" w:space="0" w:color="auto"/>
              <w:left w:val="nil"/>
              <w:bottom w:val="single" w:sz="4" w:space="0" w:color="auto"/>
              <w:right w:val="single" w:sz="4" w:space="0" w:color="auto"/>
            </w:tcBorders>
          </w:tcPr>
          <w:p w14:paraId="451AA3A8" w14:textId="6922A6DD" w:rsidR="0011400D" w:rsidRPr="00A70BBB" w:rsidRDefault="0011400D" w:rsidP="0011400D">
            <w:pPr>
              <w:jc w:val="both"/>
              <w:rPr>
                <w:rFonts w:ascii="Arial" w:hAnsi="Arial" w:cs="Arial"/>
                <w:color w:val="000000" w:themeColor="text1"/>
              </w:rPr>
            </w:pPr>
            <w:r w:rsidRPr="00A70BBB">
              <w:rPr>
                <w:rFonts w:ascii="Arial" w:hAnsi="Arial" w:cs="Arial"/>
              </w:rPr>
              <w:t>28</w:t>
            </w:r>
          </w:p>
        </w:tc>
        <w:tc>
          <w:tcPr>
            <w:tcW w:w="990" w:type="dxa"/>
            <w:tcBorders>
              <w:top w:val="single" w:sz="4" w:space="0" w:color="auto"/>
              <w:left w:val="single" w:sz="4" w:space="0" w:color="auto"/>
              <w:bottom w:val="single" w:sz="4" w:space="0" w:color="auto"/>
              <w:right w:val="single" w:sz="4" w:space="0" w:color="auto"/>
            </w:tcBorders>
          </w:tcPr>
          <w:p w14:paraId="2A0534CE" w14:textId="4A17771F" w:rsidR="0011400D" w:rsidRPr="00A70BBB" w:rsidRDefault="0011400D" w:rsidP="0011400D">
            <w:pPr>
              <w:jc w:val="both"/>
              <w:rPr>
                <w:rFonts w:ascii="Arial" w:hAnsi="Arial" w:cs="Arial"/>
                <w:color w:val="000000" w:themeColor="text1"/>
              </w:rPr>
            </w:pPr>
            <w:r w:rsidRPr="00A70BBB">
              <w:rPr>
                <w:rFonts w:ascii="Arial" w:hAnsi="Arial" w:cs="Arial"/>
              </w:rPr>
              <w:t>6</w:t>
            </w:r>
          </w:p>
        </w:tc>
        <w:tc>
          <w:tcPr>
            <w:tcW w:w="990" w:type="dxa"/>
            <w:tcBorders>
              <w:top w:val="single" w:sz="4" w:space="0" w:color="auto"/>
              <w:left w:val="single" w:sz="4" w:space="0" w:color="auto"/>
              <w:bottom w:val="single" w:sz="4" w:space="0" w:color="auto"/>
              <w:right w:val="single" w:sz="4" w:space="0" w:color="auto"/>
            </w:tcBorders>
          </w:tcPr>
          <w:p w14:paraId="24C79555" w14:textId="52E63999" w:rsidR="0011400D" w:rsidRPr="00A70BBB" w:rsidRDefault="0011400D" w:rsidP="0011400D">
            <w:pPr>
              <w:jc w:val="both"/>
              <w:rPr>
                <w:rFonts w:ascii="Arial" w:hAnsi="Arial" w:cs="Arial"/>
                <w:color w:val="000000" w:themeColor="text1"/>
              </w:rPr>
            </w:pPr>
            <w:r w:rsidRPr="00A70BBB">
              <w:rPr>
                <w:rFonts w:ascii="Arial" w:hAnsi="Arial" w:cs="Arial"/>
              </w:rPr>
              <w:t>6</w:t>
            </w:r>
          </w:p>
        </w:tc>
        <w:tc>
          <w:tcPr>
            <w:tcW w:w="990" w:type="dxa"/>
            <w:tcBorders>
              <w:top w:val="single" w:sz="4" w:space="0" w:color="auto"/>
              <w:left w:val="single" w:sz="4" w:space="0" w:color="auto"/>
              <w:bottom w:val="single" w:sz="4" w:space="0" w:color="auto"/>
              <w:right w:val="single" w:sz="4" w:space="0" w:color="auto"/>
            </w:tcBorders>
          </w:tcPr>
          <w:p w14:paraId="17B8B732" w14:textId="5D0DD1E7"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2458C06C" w14:textId="3B90FD1F" w:rsidR="0011400D" w:rsidRPr="00A70BBB" w:rsidRDefault="0011400D" w:rsidP="0011400D">
            <w:pPr>
              <w:jc w:val="both"/>
              <w:rPr>
                <w:rFonts w:ascii="Arial" w:hAnsi="Arial" w:cs="Arial"/>
                <w:color w:val="000000" w:themeColor="text1"/>
              </w:rPr>
            </w:pPr>
            <w:r w:rsidRPr="00A70BBB">
              <w:rPr>
                <w:rFonts w:ascii="Arial" w:hAnsi="Arial" w:cs="Arial"/>
              </w:rPr>
              <w:t>0</w:t>
            </w:r>
          </w:p>
        </w:tc>
      </w:tr>
      <w:tr w:rsidR="0011400D" w:rsidRPr="00A70BBB" w14:paraId="73B79E6A" w14:textId="77777777" w:rsidTr="00B4068E">
        <w:tc>
          <w:tcPr>
            <w:tcW w:w="810" w:type="dxa"/>
          </w:tcPr>
          <w:p w14:paraId="11E260C7" w14:textId="77777777" w:rsidR="0011400D" w:rsidRPr="00A70BBB" w:rsidRDefault="0011400D" w:rsidP="0011400D">
            <w:pPr>
              <w:pStyle w:val="ListParagraph"/>
              <w:numPr>
                <w:ilvl w:val="0"/>
                <w:numId w:val="1"/>
              </w:numPr>
              <w:jc w:val="both"/>
              <w:rPr>
                <w:rFonts w:ascii="Arial" w:hAnsi="Arial" w:cs="Arial"/>
                <w:color w:val="000000" w:themeColor="text1"/>
              </w:rPr>
            </w:pPr>
          </w:p>
        </w:tc>
        <w:tc>
          <w:tcPr>
            <w:tcW w:w="3127" w:type="dxa"/>
          </w:tcPr>
          <w:p w14:paraId="34A77069" w14:textId="193F1DA4" w:rsidR="0011400D" w:rsidRPr="00A70BBB" w:rsidRDefault="0011400D" w:rsidP="0011400D">
            <w:pPr>
              <w:jc w:val="both"/>
              <w:rPr>
                <w:rFonts w:ascii="Arial" w:hAnsi="Arial" w:cs="Arial"/>
                <w:b/>
                <w:bCs/>
                <w:color w:val="000000" w:themeColor="text1"/>
              </w:rPr>
            </w:pPr>
            <w:r w:rsidRPr="00A70BBB">
              <w:rPr>
                <w:rFonts w:ascii="Arial" w:hAnsi="Arial" w:cs="Arial"/>
              </w:rPr>
              <w:t>Lack of marketing knowledge hinders women weavers' business development</w:t>
            </w:r>
          </w:p>
        </w:tc>
        <w:tc>
          <w:tcPr>
            <w:tcW w:w="833" w:type="dxa"/>
            <w:tcBorders>
              <w:top w:val="single" w:sz="4" w:space="0" w:color="auto"/>
              <w:left w:val="nil"/>
              <w:bottom w:val="single" w:sz="4" w:space="0" w:color="auto"/>
              <w:right w:val="single" w:sz="4" w:space="0" w:color="auto"/>
            </w:tcBorders>
          </w:tcPr>
          <w:p w14:paraId="169035E0" w14:textId="100EA442" w:rsidR="0011400D" w:rsidRPr="00A70BBB" w:rsidRDefault="0011400D" w:rsidP="0011400D">
            <w:pPr>
              <w:jc w:val="both"/>
              <w:rPr>
                <w:rFonts w:ascii="Arial" w:hAnsi="Arial" w:cs="Arial"/>
                <w:color w:val="000000" w:themeColor="text1"/>
              </w:rPr>
            </w:pPr>
            <w:r w:rsidRPr="00A70BBB">
              <w:rPr>
                <w:rFonts w:ascii="Arial" w:hAnsi="Arial" w:cs="Arial"/>
              </w:rPr>
              <w:t>18</w:t>
            </w:r>
          </w:p>
        </w:tc>
        <w:tc>
          <w:tcPr>
            <w:tcW w:w="990" w:type="dxa"/>
            <w:tcBorders>
              <w:top w:val="single" w:sz="4" w:space="0" w:color="auto"/>
              <w:left w:val="single" w:sz="4" w:space="0" w:color="auto"/>
              <w:bottom w:val="single" w:sz="4" w:space="0" w:color="auto"/>
              <w:right w:val="single" w:sz="4" w:space="0" w:color="auto"/>
            </w:tcBorders>
          </w:tcPr>
          <w:p w14:paraId="356FA206" w14:textId="1504BF28" w:rsidR="0011400D" w:rsidRPr="00A70BBB" w:rsidRDefault="0011400D" w:rsidP="0011400D">
            <w:pPr>
              <w:jc w:val="both"/>
              <w:rPr>
                <w:rFonts w:ascii="Arial" w:hAnsi="Arial" w:cs="Arial"/>
                <w:color w:val="000000" w:themeColor="text1"/>
              </w:rPr>
            </w:pPr>
            <w:r w:rsidRPr="00A70BBB">
              <w:rPr>
                <w:rFonts w:ascii="Arial" w:hAnsi="Arial" w:cs="Arial"/>
              </w:rPr>
              <w:t>22</w:t>
            </w:r>
          </w:p>
        </w:tc>
        <w:tc>
          <w:tcPr>
            <w:tcW w:w="990" w:type="dxa"/>
            <w:tcBorders>
              <w:top w:val="single" w:sz="4" w:space="0" w:color="auto"/>
              <w:left w:val="single" w:sz="4" w:space="0" w:color="auto"/>
              <w:bottom w:val="single" w:sz="4" w:space="0" w:color="auto"/>
              <w:right w:val="single" w:sz="4" w:space="0" w:color="auto"/>
            </w:tcBorders>
          </w:tcPr>
          <w:p w14:paraId="16A79D3E" w14:textId="3DCC53B0"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37481DEE" w14:textId="14BD192D"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64B0F519" w14:textId="626B363B" w:rsidR="0011400D" w:rsidRPr="00A70BBB" w:rsidRDefault="0011400D" w:rsidP="0011400D">
            <w:pPr>
              <w:jc w:val="both"/>
              <w:rPr>
                <w:rFonts w:ascii="Arial" w:hAnsi="Arial" w:cs="Arial"/>
                <w:color w:val="000000" w:themeColor="text1"/>
              </w:rPr>
            </w:pPr>
            <w:r w:rsidRPr="00A70BBB">
              <w:rPr>
                <w:rFonts w:ascii="Arial" w:hAnsi="Arial" w:cs="Arial"/>
              </w:rPr>
              <w:t>0</w:t>
            </w:r>
          </w:p>
        </w:tc>
      </w:tr>
      <w:tr w:rsidR="0011400D" w:rsidRPr="00A70BBB" w14:paraId="615D0E06" w14:textId="77777777" w:rsidTr="00B4068E">
        <w:tc>
          <w:tcPr>
            <w:tcW w:w="810" w:type="dxa"/>
          </w:tcPr>
          <w:p w14:paraId="66453CA5" w14:textId="77777777" w:rsidR="0011400D" w:rsidRPr="00A70BBB" w:rsidRDefault="0011400D" w:rsidP="0011400D">
            <w:pPr>
              <w:pStyle w:val="ListParagraph"/>
              <w:numPr>
                <w:ilvl w:val="0"/>
                <w:numId w:val="1"/>
              </w:numPr>
              <w:jc w:val="both"/>
              <w:rPr>
                <w:rFonts w:ascii="Arial" w:hAnsi="Arial" w:cs="Arial"/>
                <w:color w:val="000000" w:themeColor="text1"/>
              </w:rPr>
            </w:pPr>
          </w:p>
        </w:tc>
        <w:tc>
          <w:tcPr>
            <w:tcW w:w="3127" w:type="dxa"/>
          </w:tcPr>
          <w:p w14:paraId="093474C4" w14:textId="653DD494" w:rsidR="0011400D" w:rsidRPr="00A70BBB" w:rsidRDefault="0011400D" w:rsidP="0011400D">
            <w:pPr>
              <w:jc w:val="both"/>
              <w:rPr>
                <w:rFonts w:ascii="Arial" w:hAnsi="Arial" w:cs="Arial"/>
                <w:color w:val="000000" w:themeColor="text1"/>
              </w:rPr>
            </w:pPr>
            <w:r w:rsidRPr="00A70BBB">
              <w:rPr>
                <w:rFonts w:ascii="Arial" w:hAnsi="Arial" w:cs="Arial"/>
              </w:rPr>
              <w:t>Limited contacts with buyers restrict women weavers' market exposure</w:t>
            </w:r>
          </w:p>
        </w:tc>
        <w:tc>
          <w:tcPr>
            <w:tcW w:w="833" w:type="dxa"/>
            <w:tcBorders>
              <w:top w:val="single" w:sz="4" w:space="0" w:color="auto"/>
              <w:left w:val="nil"/>
              <w:bottom w:val="single" w:sz="4" w:space="0" w:color="auto"/>
              <w:right w:val="single" w:sz="4" w:space="0" w:color="auto"/>
            </w:tcBorders>
          </w:tcPr>
          <w:p w14:paraId="3C70291E" w14:textId="79F9BF57" w:rsidR="0011400D" w:rsidRPr="00A70BBB" w:rsidRDefault="0011400D" w:rsidP="0011400D">
            <w:pPr>
              <w:jc w:val="both"/>
              <w:rPr>
                <w:rFonts w:ascii="Arial" w:hAnsi="Arial" w:cs="Arial"/>
                <w:color w:val="000000" w:themeColor="text1"/>
              </w:rPr>
            </w:pPr>
            <w:r w:rsidRPr="00A70BBB">
              <w:rPr>
                <w:rFonts w:ascii="Arial" w:hAnsi="Arial" w:cs="Arial"/>
              </w:rPr>
              <w:t>18</w:t>
            </w:r>
          </w:p>
        </w:tc>
        <w:tc>
          <w:tcPr>
            <w:tcW w:w="990" w:type="dxa"/>
            <w:tcBorders>
              <w:top w:val="single" w:sz="4" w:space="0" w:color="auto"/>
              <w:left w:val="single" w:sz="4" w:space="0" w:color="auto"/>
              <w:bottom w:val="single" w:sz="4" w:space="0" w:color="auto"/>
              <w:right w:val="single" w:sz="4" w:space="0" w:color="auto"/>
            </w:tcBorders>
          </w:tcPr>
          <w:p w14:paraId="35E63A4B" w14:textId="7528BFF3" w:rsidR="0011400D" w:rsidRPr="00A70BBB" w:rsidRDefault="0011400D" w:rsidP="0011400D">
            <w:pPr>
              <w:jc w:val="both"/>
              <w:rPr>
                <w:rFonts w:ascii="Arial" w:hAnsi="Arial" w:cs="Arial"/>
                <w:color w:val="000000" w:themeColor="text1"/>
              </w:rPr>
            </w:pPr>
            <w:r w:rsidRPr="00A70BBB">
              <w:rPr>
                <w:rFonts w:ascii="Arial" w:hAnsi="Arial" w:cs="Arial"/>
              </w:rPr>
              <w:t>22</w:t>
            </w:r>
          </w:p>
        </w:tc>
        <w:tc>
          <w:tcPr>
            <w:tcW w:w="990" w:type="dxa"/>
            <w:tcBorders>
              <w:top w:val="single" w:sz="4" w:space="0" w:color="auto"/>
              <w:left w:val="single" w:sz="4" w:space="0" w:color="auto"/>
              <w:bottom w:val="single" w:sz="4" w:space="0" w:color="auto"/>
              <w:right w:val="single" w:sz="4" w:space="0" w:color="auto"/>
            </w:tcBorders>
          </w:tcPr>
          <w:p w14:paraId="5C571348" w14:textId="624056EA"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138B884D" w14:textId="6A2152A9"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6AF8AEF6" w14:textId="419FC494" w:rsidR="0011400D" w:rsidRPr="00A70BBB" w:rsidRDefault="0011400D" w:rsidP="0011400D">
            <w:pPr>
              <w:jc w:val="both"/>
              <w:rPr>
                <w:rFonts w:ascii="Arial" w:hAnsi="Arial" w:cs="Arial"/>
                <w:color w:val="000000" w:themeColor="text1"/>
              </w:rPr>
            </w:pPr>
            <w:r w:rsidRPr="00A70BBB">
              <w:rPr>
                <w:rFonts w:ascii="Arial" w:hAnsi="Arial" w:cs="Arial"/>
              </w:rPr>
              <w:t>0</w:t>
            </w:r>
          </w:p>
        </w:tc>
      </w:tr>
      <w:tr w:rsidR="0011400D" w:rsidRPr="00A70BBB" w14:paraId="6E0E8320" w14:textId="77777777" w:rsidTr="00B4068E">
        <w:tc>
          <w:tcPr>
            <w:tcW w:w="810" w:type="dxa"/>
          </w:tcPr>
          <w:p w14:paraId="49EFE35B" w14:textId="77777777" w:rsidR="0011400D" w:rsidRPr="00A70BBB" w:rsidRDefault="0011400D" w:rsidP="0011400D">
            <w:pPr>
              <w:pStyle w:val="ListParagraph"/>
              <w:numPr>
                <w:ilvl w:val="0"/>
                <w:numId w:val="1"/>
              </w:numPr>
              <w:jc w:val="both"/>
              <w:rPr>
                <w:rFonts w:ascii="Arial" w:hAnsi="Arial" w:cs="Arial"/>
                <w:color w:val="000000" w:themeColor="text1"/>
              </w:rPr>
            </w:pPr>
          </w:p>
        </w:tc>
        <w:tc>
          <w:tcPr>
            <w:tcW w:w="3127" w:type="dxa"/>
          </w:tcPr>
          <w:p w14:paraId="12F1F879" w14:textId="5D40BB2E" w:rsidR="0011400D" w:rsidRPr="00A70BBB" w:rsidRDefault="0011400D" w:rsidP="0011400D">
            <w:pPr>
              <w:jc w:val="both"/>
              <w:rPr>
                <w:rFonts w:ascii="Arial" w:hAnsi="Arial" w:cs="Arial"/>
                <w:color w:val="000000" w:themeColor="text1"/>
              </w:rPr>
            </w:pPr>
            <w:r w:rsidRPr="00A70BBB">
              <w:rPr>
                <w:rFonts w:ascii="Arial" w:hAnsi="Arial" w:cs="Arial"/>
              </w:rPr>
              <w:t>Gender differences reduce women weavers' negotiating power in marketing</w:t>
            </w:r>
          </w:p>
        </w:tc>
        <w:tc>
          <w:tcPr>
            <w:tcW w:w="833" w:type="dxa"/>
            <w:tcBorders>
              <w:top w:val="single" w:sz="4" w:space="0" w:color="auto"/>
              <w:left w:val="nil"/>
              <w:bottom w:val="single" w:sz="4" w:space="0" w:color="auto"/>
              <w:right w:val="single" w:sz="4" w:space="0" w:color="auto"/>
            </w:tcBorders>
          </w:tcPr>
          <w:p w14:paraId="67D5E856" w14:textId="6A9F7B23" w:rsidR="0011400D" w:rsidRPr="00A70BBB" w:rsidRDefault="0011400D" w:rsidP="0011400D">
            <w:pPr>
              <w:jc w:val="both"/>
              <w:rPr>
                <w:rFonts w:ascii="Arial" w:hAnsi="Arial" w:cs="Arial"/>
                <w:color w:val="000000" w:themeColor="text1"/>
              </w:rPr>
            </w:pPr>
            <w:r w:rsidRPr="00A70BBB">
              <w:rPr>
                <w:rFonts w:ascii="Arial" w:hAnsi="Arial" w:cs="Arial"/>
              </w:rPr>
              <w:t>18</w:t>
            </w:r>
          </w:p>
        </w:tc>
        <w:tc>
          <w:tcPr>
            <w:tcW w:w="990" w:type="dxa"/>
            <w:tcBorders>
              <w:top w:val="single" w:sz="4" w:space="0" w:color="auto"/>
              <w:left w:val="single" w:sz="4" w:space="0" w:color="auto"/>
              <w:bottom w:val="single" w:sz="4" w:space="0" w:color="auto"/>
              <w:right w:val="single" w:sz="4" w:space="0" w:color="auto"/>
            </w:tcBorders>
          </w:tcPr>
          <w:p w14:paraId="143F15CB" w14:textId="5D1CE3CC" w:rsidR="0011400D" w:rsidRPr="00A70BBB" w:rsidRDefault="0011400D" w:rsidP="0011400D">
            <w:pPr>
              <w:jc w:val="both"/>
              <w:rPr>
                <w:rFonts w:ascii="Arial" w:hAnsi="Arial" w:cs="Arial"/>
                <w:color w:val="000000" w:themeColor="text1"/>
              </w:rPr>
            </w:pPr>
            <w:r w:rsidRPr="00A70BBB">
              <w:rPr>
                <w:rFonts w:ascii="Arial" w:hAnsi="Arial" w:cs="Arial"/>
              </w:rPr>
              <w:t>21</w:t>
            </w:r>
          </w:p>
        </w:tc>
        <w:tc>
          <w:tcPr>
            <w:tcW w:w="990" w:type="dxa"/>
            <w:tcBorders>
              <w:top w:val="single" w:sz="4" w:space="0" w:color="auto"/>
              <w:left w:val="single" w:sz="4" w:space="0" w:color="auto"/>
              <w:bottom w:val="single" w:sz="4" w:space="0" w:color="auto"/>
              <w:right w:val="single" w:sz="4" w:space="0" w:color="auto"/>
            </w:tcBorders>
          </w:tcPr>
          <w:p w14:paraId="5333CB76" w14:textId="3843CB46" w:rsidR="0011400D" w:rsidRPr="00A70BBB" w:rsidRDefault="0011400D" w:rsidP="0011400D">
            <w:pPr>
              <w:jc w:val="both"/>
              <w:rPr>
                <w:rFonts w:ascii="Arial" w:hAnsi="Arial" w:cs="Arial"/>
                <w:color w:val="000000" w:themeColor="text1"/>
              </w:rPr>
            </w:pPr>
            <w:r w:rsidRPr="00A70BBB">
              <w:rPr>
                <w:rFonts w:ascii="Arial" w:hAnsi="Arial" w:cs="Arial"/>
              </w:rPr>
              <w:t>1</w:t>
            </w:r>
          </w:p>
        </w:tc>
        <w:tc>
          <w:tcPr>
            <w:tcW w:w="990" w:type="dxa"/>
            <w:tcBorders>
              <w:top w:val="single" w:sz="4" w:space="0" w:color="auto"/>
              <w:left w:val="single" w:sz="4" w:space="0" w:color="auto"/>
              <w:bottom w:val="single" w:sz="4" w:space="0" w:color="auto"/>
              <w:right w:val="single" w:sz="4" w:space="0" w:color="auto"/>
            </w:tcBorders>
          </w:tcPr>
          <w:p w14:paraId="051148FC" w14:textId="14E0916B"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03299A3B" w14:textId="1955300A" w:rsidR="0011400D" w:rsidRPr="00A70BBB" w:rsidRDefault="0011400D" w:rsidP="0011400D">
            <w:pPr>
              <w:jc w:val="both"/>
              <w:rPr>
                <w:rFonts w:ascii="Arial" w:hAnsi="Arial" w:cs="Arial"/>
                <w:color w:val="000000" w:themeColor="text1"/>
              </w:rPr>
            </w:pPr>
            <w:r w:rsidRPr="00A70BBB">
              <w:rPr>
                <w:rFonts w:ascii="Arial" w:hAnsi="Arial" w:cs="Arial"/>
              </w:rPr>
              <w:t>0</w:t>
            </w:r>
          </w:p>
        </w:tc>
      </w:tr>
      <w:tr w:rsidR="0011400D" w:rsidRPr="00A70BBB" w14:paraId="0FCF8A57" w14:textId="77777777" w:rsidTr="00B4068E">
        <w:tc>
          <w:tcPr>
            <w:tcW w:w="810" w:type="dxa"/>
          </w:tcPr>
          <w:p w14:paraId="3DC95D96" w14:textId="77777777" w:rsidR="0011400D" w:rsidRPr="00A70BBB" w:rsidRDefault="0011400D" w:rsidP="0011400D">
            <w:pPr>
              <w:pStyle w:val="ListParagraph"/>
              <w:numPr>
                <w:ilvl w:val="0"/>
                <w:numId w:val="1"/>
              </w:numPr>
              <w:jc w:val="both"/>
              <w:rPr>
                <w:rFonts w:ascii="Arial" w:hAnsi="Arial" w:cs="Arial"/>
                <w:color w:val="000000" w:themeColor="text1"/>
              </w:rPr>
            </w:pPr>
          </w:p>
        </w:tc>
        <w:tc>
          <w:tcPr>
            <w:tcW w:w="3127" w:type="dxa"/>
          </w:tcPr>
          <w:p w14:paraId="711810BE" w14:textId="22B0FFC3" w:rsidR="0011400D" w:rsidRPr="00A70BBB" w:rsidRDefault="0011400D" w:rsidP="0011400D">
            <w:pPr>
              <w:jc w:val="both"/>
              <w:rPr>
                <w:rFonts w:ascii="Arial" w:hAnsi="Arial" w:cs="Arial"/>
                <w:color w:val="000000" w:themeColor="text1"/>
              </w:rPr>
            </w:pPr>
            <w:r w:rsidRPr="00A70BBB">
              <w:rPr>
                <w:rFonts w:ascii="Arial" w:hAnsi="Arial" w:cs="Arial"/>
              </w:rPr>
              <w:t>Lack of market trends impacts women weavers' product positioning</w:t>
            </w:r>
          </w:p>
        </w:tc>
        <w:tc>
          <w:tcPr>
            <w:tcW w:w="833" w:type="dxa"/>
            <w:tcBorders>
              <w:top w:val="single" w:sz="4" w:space="0" w:color="auto"/>
              <w:left w:val="nil"/>
              <w:bottom w:val="single" w:sz="4" w:space="0" w:color="auto"/>
              <w:right w:val="single" w:sz="4" w:space="0" w:color="auto"/>
            </w:tcBorders>
          </w:tcPr>
          <w:p w14:paraId="43472D47" w14:textId="5CFE6371" w:rsidR="0011400D" w:rsidRPr="00A70BBB" w:rsidRDefault="0011400D" w:rsidP="0011400D">
            <w:pPr>
              <w:jc w:val="both"/>
              <w:rPr>
                <w:rFonts w:ascii="Arial" w:hAnsi="Arial" w:cs="Arial"/>
                <w:color w:val="000000" w:themeColor="text1"/>
              </w:rPr>
            </w:pPr>
            <w:r w:rsidRPr="00A70BBB">
              <w:rPr>
                <w:rFonts w:ascii="Arial" w:hAnsi="Arial" w:cs="Arial"/>
              </w:rPr>
              <w:t>18</w:t>
            </w:r>
          </w:p>
        </w:tc>
        <w:tc>
          <w:tcPr>
            <w:tcW w:w="990" w:type="dxa"/>
            <w:tcBorders>
              <w:top w:val="single" w:sz="4" w:space="0" w:color="auto"/>
              <w:left w:val="single" w:sz="4" w:space="0" w:color="auto"/>
              <w:bottom w:val="single" w:sz="4" w:space="0" w:color="auto"/>
              <w:right w:val="single" w:sz="4" w:space="0" w:color="auto"/>
            </w:tcBorders>
          </w:tcPr>
          <w:p w14:paraId="1CA0D822" w14:textId="113B573A" w:rsidR="0011400D" w:rsidRPr="00A70BBB" w:rsidRDefault="0011400D" w:rsidP="0011400D">
            <w:pPr>
              <w:jc w:val="both"/>
              <w:rPr>
                <w:rFonts w:ascii="Arial" w:hAnsi="Arial" w:cs="Arial"/>
                <w:color w:val="000000" w:themeColor="text1"/>
              </w:rPr>
            </w:pPr>
            <w:r w:rsidRPr="00A70BBB">
              <w:rPr>
                <w:rFonts w:ascii="Arial" w:hAnsi="Arial" w:cs="Arial"/>
              </w:rPr>
              <w:t>21</w:t>
            </w:r>
          </w:p>
        </w:tc>
        <w:tc>
          <w:tcPr>
            <w:tcW w:w="990" w:type="dxa"/>
            <w:tcBorders>
              <w:top w:val="single" w:sz="4" w:space="0" w:color="auto"/>
              <w:left w:val="single" w:sz="4" w:space="0" w:color="auto"/>
              <w:bottom w:val="single" w:sz="4" w:space="0" w:color="auto"/>
              <w:right w:val="single" w:sz="4" w:space="0" w:color="auto"/>
            </w:tcBorders>
          </w:tcPr>
          <w:p w14:paraId="619053EF" w14:textId="5F382807" w:rsidR="0011400D" w:rsidRPr="00A70BBB" w:rsidRDefault="0011400D" w:rsidP="0011400D">
            <w:pPr>
              <w:jc w:val="both"/>
              <w:rPr>
                <w:rFonts w:ascii="Arial" w:hAnsi="Arial" w:cs="Arial"/>
                <w:color w:val="000000" w:themeColor="text1"/>
              </w:rPr>
            </w:pPr>
            <w:r w:rsidRPr="00A70BBB">
              <w:rPr>
                <w:rFonts w:ascii="Arial" w:hAnsi="Arial" w:cs="Arial"/>
              </w:rPr>
              <w:t>1</w:t>
            </w:r>
          </w:p>
        </w:tc>
        <w:tc>
          <w:tcPr>
            <w:tcW w:w="990" w:type="dxa"/>
            <w:tcBorders>
              <w:top w:val="single" w:sz="4" w:space="0" w:color="auto"/>
              <w:left w:val="single" w:sz="4" w:space="0" w:color="auto"/>
              <w:bottom w:val="single" w:sz="4" w:space="0" w:color="auto"/>
              <w:right w:val="single" w:sz="4" w:space="0" w:color="auto"/>
            </w:tcBorders>
          </w:tcPr>
          <w:p w14:paraId="78F0F1E1" w14:textId="1446C519"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4E7C40D2" w14:textId="08CF8231" w:rsidR="0011400D" w:rsidRPr="00A70BBB" w:rsidRDefault="0011400D" w:rsidP="0011400D">
            <w:pPr>
              <w:jc w:val="both"/>
              <w:rPr>
                <w:rFonts w:ascii="Arial" w:hAnsi="Arial" w:cs="Arial"/>
                <w:color w:val="000000" w:themeColor="text1"/>
              </w:rPr>
            </w:pPr>
            <w:r w:rsidRPr="00A70BBB">
              <w:rPr>
                <w:rFonts w:ascii="Arial" w:hAnsi="Arial" w:cs="Arial"/>
              </w:rPr>
              <w:t>0</w:t>
            </w:r>
          </w:p>
        </w:tc>
      </w:tr>
      <w:tr w:rsidR="0011400D" w:rsidRPr="00A70BBB" w14:paraId="6CE97868" w14:textId="77777777" w:rsidTr="00B4068E">
        <w:tc>
          <w:tcPr>
            <w:tcW w:w="810" w:type="dxa"/>
          </w:tcPr>
          <w:p w14:paraId="27FADB1D" w14:textId="77777777" w:rsidR="0011400D" w:rsidRPr="00A70BBB" w:rsidRDefault="0011400D" w:rsidP="0011400D">
            <w:pPr>
              <w:pStyle w:val="ListParagraph"/>
              <w:numPr>
                <w:ilvl w:val="0"/>
                <w:numId w:val="1"/>
              </w:numPr>
              <w:jc w:val="both"/>
              <w:rPr>
                <w:rFonts w:ascii="Arial" w:hAnsi="Arial" w:cs="Arial"/>
                <w:color w:val="000000" w:themeColor="text1"/>
              </w:rPr>
            </w:pPr>
          </w:p>
        </w:tc>
        <w:tc>
          <w:tcPr>
            <w:tcW w:w="3127" w:type="dxa"/>
          </w:tcPr>
          <w:p w14:paraId="5DB4A127" w14:textId="06FF856F" w:rsidR="0011400D" w:rsidRPr="00A70BBB" w:rsidRDefault="0011400D" w:rsidP="0011400D">
            <w:pPr>
              <w:jc w:val="both"/>
              <w:rPr>
                <w:rFonts w:ascii="Arial" w:hAnsi="Arial" w:cs="Arial"/>
                <w:b/>
                <w:bCs/>
                <w:color w:val="000000" w:themeColor="text1"/>
              </w:rPr>
            </w:pPr>
            <w:r w:rsidRPr="00A70BBB">
              <w:rPr>
                <w:rFonts w:ascii="Arial" w:hAnsi="Arial" w:cs="Arial"/>
              </w:rPr>
              <w:t>Insufficient funds hinder women weavers' marketing and promotional efforts</w:t>
            </w:r>
          </w:p>
        </w:tc>
        <w:tc>
          <w:tcPr>
            <w:tcW w:w="833" w:type="dxa"/>
            <w:tcBorders>
              <w:top w:val="single" w:sz="4" w:space="0" w:color="auto"/>
              <w:left w:val="nil"/>
              <w:bottom w:val="single" w:sz="4" w:space="0" w:color="auto"/>
              <w:right w:val="single" w:sz="4" w:space="0" w:color="auto"/>
            </w:tcBorders>
          </w:tcPr>
          <w:p w14:paraId="75974927" w14:textId="2EFF8F9C" w:rsidR="0011400D" w:rsidRPr="00A70BBB" w:rsidRDefault="0011400D" w:rsidP="0011400D">
            <w:pPr>
              <w:jc w:val="both"/>
              <w:rPr>
                <w:rFonts w:ascii="Arial" w:hAnsi="Arial" w:cs="Arial"/>
                <w:color w:val="000000" w:themeColor="text1"/>
              </w:rPr>
            </w:pPr>
            <w:r w:rsidRPr="00A70BBB">
              <w:rPr>
                <w:rFonts w:ascii="Arial" w:hAnsi="Arial" w:cs="Arial"/>
              </w:rPr>
              <w:t>18</w:t>
            </w:r>
          </w:p>
        </w:tc>
        <w:tc>
          <w:tcPr>
            <w:tcW w:w="990" w:type="dxa"/>
            <w:tcBorders>
              <w:top w:val="single" w:sz="4" w:space="0" w:color="auto"/>
              <w:left w:val="single" w:sz="4" w:space="0" w:color="auto"/>
              <w:bottom w:val="single" w:sz="4" w:space="0" w:color="auto"/>
              <w:right w:val="single" w:sz="4" w:space="0" w:color="auto"/>
            </w:tcBorders>
          </w:tcPr>
          <w:p w14:paraId="47DE6443" w14:textId="1B8A52FD" w:rsidR="0011400D" w:rsidRPr="00A70BBB" w:rsidRDefault="0011400D" w:rsidP="0011400D">
            <w:pPr>
              <w:jc w:val="both"/>
              <w:rPr>
                <w:rFonts w:ascii="Arial" w:hAnsi="Arial" w:cs="Arial"/>
                <w:color w:val="000000" w:themeColor="text1"/>
              </w:rPr>
            </w:pPr>
            <w:r w:rsidRPr="00A70BBB">
              <w:rPr>
                <w:rFonts w:ascii="Arial" w:hAnsi="Arial" w:cs="Arial"/>
              </w:rPr>
              <w:t>22</w:t>
            </w:r>
          </w:p>
        </w:tc>
        <w:tc>
          <w:tcPr>
            <w:tcW w:w="990" w:type="dxa"/>
            <w:tcBorders>
              <w:top w:val="single" w:sz="4" w:space="0" w:color="auto"/>
              <w:left w:val="single" w:sz="4" w:space="0" w:color="auto"/>
              <w:bottom w:val="single" w:sz="4" w:space="0" w:color="auto"/>
              <w:right w:val="single" w:sz="4" w:space="0" w:color="auto"/>
            </w:tcBorders>
          </w:tcPr>
          <w:p w14:paraId="39B94B5C" w14:textId="6F3E2C9D"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148CED47" w14:textId="7247B438"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7D7782FF" w14:textId="13EFA032" w:rsidR="0011400D" w:rsidRPr="00A70BBB" w:rsidRDefault="0011400D" w:rsidP="0011400D">
            <w:pPr>
              <w:jc w:val="both"/>
              <w:rPr>
                <w:rFonts w:ascii="Arial" w:hAnsi="Arial" w:cs="Arial"/>
                <w:color w:val="000000" w:themeColor="text1"/>
              </w:rPr>
            </w:pPr>
            <w:r w:rsidRPr="00A70BBB">
              <w:rPr>
                <w:rFonts w:ascii="Arial" w:hAnsi="Arial" w:cs="Arial"/>
              </w:rPr>
              <w:t>0</w:t>
            </w:r>
          </w:p>
        </w:tc>
      </w:tr>
      <w:tr w:rsidR="0011400D" w:rsidRPr="00A70BBB" w14:paraId="3F8D6D3F" w14:textId="77777777" w:rsidTr="00B4068E">
        <w:tc>
          <w:tcPr>
            <w:tcW w:w="810" w:type="dxa"/>
          </w:tcPr>
          <w:p w14:paraId="53BD0CB7" w14:textId="77777777" w:rsidR="0011400D" w:rsidRPr="00A70BBB" w:rsidRDefault="0011400D" w:rsidP="0011400D">
            <w:pPr>
              <w:pStyle w:val="ListParagraph"/>
              <w:numPr>
                <w:ilvl w:val="0"/>
                <w:numId w:val="1"/>
              </w:numPr>
              <w:jc w:val="both"/>
              <w:rPr>
                <w:rFonts w:ascii="Arial" w:hAnsi="Arial" w:cs="Arial"/>
                <w:color w:val="000000" w:themeColor="text1"/>
              </w:rPr>
            </w:pPr>
          </w:p>
        </w:tc>
        <w:tc>
          <w:tcPr>
            <w:tcW w:w="3127" w:type="dxa"/>
          </w:tcPr>
          <w:p w14:paraId="169DA7B8" w14:textId="60847811" w:rsidR="0011400D" w:rsidRPr="00A70BBB" w:rsidRDefault="0011400D" w:rsidP="0011400D">
            <w:pPr>
              <w:jc w:val="both"/>
              <w:rPr>
                <w:rFonts w:ascii="Arial" w:hAnsi="Arial" w:cs="Arial"/>
                <w:b/>
                <w:bCs/>
                <w:color w:val="000000" w:themeColor="text1"/>
              </w:rPr>
            </w:pPr>
            <w:r w:rsidRPr="00A70BBB">
              <w:rPr>
                <w:rFonts w:ascii="Arial" w:hAnsi="Arial" w:cs="Arial"/>
              </w:rPr>
              <w:t>Severe competition makes it hard for women weavers to stand out</w:t>
            </w:r>
          </w:p>
        </w:tc>
        <w:tc>
          <w:tcPr>
            <w:tcW w:w="833" w:type="dxa"/>
            <w:tcBorders>
              <w:top w:val="single" w:sz="4" w:space="0" w:color="auto"/>
              <w:left w:val="nil"/>
              <w:bottom w:val="single" w:sz="4" w:space="0" w:color="auto"/>
              <w:right w:val="single" w:sz="4" w:space="0" w:color="auto"/>
            </w:tcBorders>
          </w:tcPr>
          <w:p w14:paraId="3937EC26" w14:textId="5A20BA8C" w:rsidR="0011400D" w:rsidRPr="00A70BBB" w:rsidRDefault="0011400D" w:rsidP="0011400D">
            <w:pPr>
              <w:jc w:val="both"/>
              <w:rPr>
                <w:rFonts w:ascii="Arial" w:hAnsi="Arial" w:cs="Arial"/>
                <w:color w:val="000000" w:themeColor="text1"/>
              </w:rPr>
            </w:pPr>
            <w:r w:rsidRPr="00A70BBB">
              <w:rPr>
                <w:rFonts w:ascii="Arial" w:hAnsi="Arial" w:cs="Arial"/>
              </w:rPr>
              <w:t>18</w:t>
            </w:r>
          </w:p>
        </w:tc>
        <w:tc>
          <w:tcPr>
            <w:tcW w:w="990" w:type="dxa"/>
            <w:tcBorders>
              <w:top w:val="single" w:sz="4" w:space="0" w:color="auto"/>
              <w:left w:val="single" w:sz="4" w:space="0" w:color="auto"/>
              <w:bottom w:val="single" w:sz="4" w:space="0" w:color="auto"/>
              <w:right w:val="single" w:sz="4" w:space="0" w:color="auto"/>
            </w:tcBorders>
          </w:tcPr>
          <w:p w14:paraId="316B5163" w14:textId="32B3873F" w:rsidR="0011400D" w:rsidRPr="00A70BBB" w:rsidRDefault="0011400D" w:rsidP="0011400D">
            <w:pPr>
              <w:jc w:val="both"/>
              <w:rPr>
                <w:rFonts w:ascii="Arial" w:hAnsi="Arial" w:cs="Arial"/>
                <w:color w:val="000000" w:themeColor="text1"/>
              </w:rPr>
            </w:pPr>
            <w:r w:rsidRPr="00A70BBB">
              <w:rPr>
                <w:rFonts w:ascii="Arial" w:hAnsi="Arial" w:cs="Arial"/>
              </w:rPr>
              <w:t>21</w:t>
            </w:r>
          </w:p>
        </w:tc>
        <w:tc>
          <w:tcPr>
            <w:tcW w:w="990" w:type="dxa"/>
            <w:tcBorders>
              <w:top w:val="single" w:sz="4" w:space="0" w:color="auto"/>
              <w:left w:val="single" w:sz="4" w:space="0" w:color="auto"/>
              <w:bottom w:val="single" w:sz="4" w:space="0" w:color="auto"/>
              <w:right w:val="single" w:sz="4" w:space="0" w:color="auto"/>
            </w:tcBorders>
          </w:tcPr>
          <w:p w14:paraId="7D1E05CC" w14:textId="5342593A" w:rsidR="0011400D" w:rsidRPr="00A70BBB" w:rsidRDefault="0011400D" w:rsidP="0011400D">
            <w:pPr>
              <w:jc w:val="both"/>
              <w:rPr>
                <w:rFonts w:ascii="Arial" w:hAnsi="Arial" w:cs="Arial"/>
                <w:color w:val="000000" w:themeColor="text1"/>
              </w:rPr>
            </w:pPr>
            <w:r w:rsidRPr="00A70BBB">
              <w:rPr>
                <w:rFonts w:ascii="Arial" w:hAnsi="Arial" w:cs="Arial"/>
              </w:rPr>
              <w:t>1</w:t>
            </w:r>
          </w:p>
        </w:tc>
        <w:tc>
          <w:tcPr>
            <w:tcW w:w="990" w:type="dxa"/>
            <w:tcBorders>
              <w:top w:val="single" w:sz="4" w:space="0" w:color="auto"/>
              <w:left w:val="single" w:sz="4" w:space="0" w:color="auto"/>
              <w:bottom w:val="single" w:sz="4" w:space="0" w:color="auto"/>
              <w:right w:val="single" w:sz="4" w:space="0" w:color="auto"/>
            </w:tcBorders>
          </w:tcPr>
          <w:p w14:paraId="03D16437" w14:textId="65154D48"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12FE4443" w14:textId="02F1CD42" w:rsidR="0011400D" w:rsidRPr="00A70BBB" w:rsidRDefault="0011400D" w:rsidP="0011400D">
            <w:pPr>
              <w:jc w:val="both"/>
              <w:rPr>
                <w:rFonts w:ascii="Arial" w:hAnsi="Arial" w:cs="Arial"/>
                <w:color w:val="000000" w:themeColor="text1"/>
              </w:rPr>
            </w:pPr>
            <w:r w:rsidRPr="00A70BBB">
              <w:rPr>
                <w:rFonts w:ascii="Arial" w:hAnsi="Arial" w:cs="Arial"/>
              </w:rPr>
              <w:t>0</w:t>
            </w:r>
          </w:p>
        </w:tc>
      </w:tr>
      <w:tr w:rsidR="0011400D" w:rsidRPr="00A70BBB" w14:paraId="508DEF33" w14:textId="77777777" w:rsidTr="00B4068E">
        <w:tc>
          <w:tcPr>
            <w:tcW w:w="810" w:type="dxa"/>
          </w:tcPr>
          <w:p w14:paraId="2FA4D87D" w14:textId="77777777" w:rsidR="0011400D" w:rsidRPr="00A70BBB" w:rsidRDefault="0011400D" w:rsidP="0011400D">
            <w:pPr>
              <w:pStyle w:val="ListParagraph"/>
              <w:numPr>
                <w:ilvl w:val="0"/>
                <w:numId w:val="1"/>
              </w:numPr>
              <w:jc w:val="both"/>
              <w:rPr>
                <w:rFonts w:ascii="Arial" w:hAnsi="Arial" w:cs="Arial"/>
                <w:color w:val="000000" w:themeColor="text1"/>
              </w:rPr>
            </w:pPr>
          </w:p>
        </w:tc>
        <w:tc>
          <w:tcPr>
            <w:tcW w:w="3127" w:type="dxa"/>
          </w:tcPr>
          <w:p w14:paraId="6211FBA4" w14:textId="115521D2" w:rsidR="0011400D" w:rsidRPr="00A70BBB" w:rsidRDefault="0011400D" w:rsidP="0011400D">
            <w:pPr>
              <w:jc w:val="both"/>
              <w:rPr>
                <w:rFonts w:ascii="Arial" w:hAnsi="Arial" w:cs="Arial"/>
                <w:b/>
                <w:bCs/>
                <w:color w:val="000000" w:themeColor="text1"/>
              </w:rPr>
            </w:pPr>
            <w:r w:rsidRPr="00A70BBB">
              <w:rPr>
                <w:rFonts w:ascii="Arial" w:hAnsi="Arial" w:cs="Arial"/>
              </w:rPr>
              <w:t>Limited use of digital platforms restricts women weaver’s market reach</w:t>
            </w:r>
          </w:p>
        </w:tc>
        <w:tc>
          <w:tcPr>
            <w:tcW w:w="833" w:type="dxa"/>
            <w:tcBorders>
              <w:top w:val="single" w:sz="4" w:space="0" w:color="auto"/>
              <w:left w:val="nil"/>
              <w:bottom w:val="single" w:sz="4" w:space="0" w:color="auto"/>
              <w:right w:val="single" w:sz="4" w:space="0" w:color="auto"/>
            </w:tcBorders>
          </w:tcPr>
          <w:p w14:paraId="66EFA050" w14:textId="1FB9F720" w:rsidR="0011400D" w:rsidRPr="00A70BBB" w:rsidRDefault="0011400D" w:rsidP="0011400D">
            <w:pPr>
              <w:jc w:val="both"/>
              <w:rPr>
                <w:rFonts w:ascii="Arial" w:hAnsi="Arial" w:cs="Arial"/>
                <w:color w:val="000000" w:themeColor="text1"/>
              </w:rPr>
            </w:pPr>
            <w:r w:rsidRPr="00A70BBB">
              <w:rPr>
                <w:rFonts w:ascii="Arial" w:hAnsi="Arial" w:cs="Arial"/>
              </w:rPr>
              <w:t>18</w:t>
            </w:r>
          </w:p>
        </w:tc>
        <w:tc>
          <w:tcPr>
            <w:tcW w:w="990" w:type="dxa"/>
            <w:tcBorders>
              <w:top w:val="single" w:sz="4" w:space="0" w:color="auto"/>
              <w:left w:val="single" w:sz="4" w:space="0" w:color="auto"/>
              <w:bottom w:val="single" w:sz="4" w:space="0" w:color="auto"/>
              <w:right w:val="single" w:sz="4" w:space="0" w:color="auto"/>
            </w:tcBorders>
          </w:tcPr>
          <w:p w14:paraId="11E5FFD2" w14:textId="065BEC5B" w:rsidR="0011400D" w:rsidRPr="00A70BBB" w:rsidRDefault="0011400D" w:rsidP="0011400D">
            <w:pPr>
              <w:jc w:val="both"/>
              <w:rPr>
                <w:rFonts w:ascii="Arial" w:hAnsi="Arial" w:cs="Arial"/>
                <w:color w:val="000000" w:themeColor="text1"/>
              </w:rPr>
            </w:pPr>
            <w:r w:rsidRPr="00A70BBB">
              <w:rPr>
                <w:rFonts w:ascii="Arial" w:hAnsi="Arial" w:cs="Arial"/>
              </w:rPr>
              <w:t>22</w:t>
            </w:r>
          </w:p>
        </w:tc>
        <w:tc>
          <w:tcPr>
            <w:tcW w:w="990" w:type="dxa"/>
            <w:tcBorders>
              <w:top w:val="single" w:sz="4" w:space="0" w:color="auto"/>
              <w:left w:val="single" w:sz="4" w:space="0" w:color="auto"/>
              <w:bottom w:val="single" w:sz="4" w:space="0" w:color="auto"/>
              <w:right w:val="single" w:sz="4" w:space="0" w:color="auto"/>
            </w:tcBorders>
          </w:tcPr>
          <w:p w14:paraId="3F93DE33" w14:textId="49FED90A"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26C02C3C" w14:textId="366E4E6A"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990" w:type="dxa"/>
            <w:tcBorders>
              <w:top w:val="single" w:sz="4" w:space="0" w:color="auto"/>
              <w:left w:val="single" w:sz="4" w:space="0" w:color="auto"/>
              <w:bottom w:val="single" w:sz="4" w:space="0" w:color="auto"/>
              <w:right w:val="single" w:sz="4" w:space="0" w:color="auto"/>
            </w:tcBorders>
          </w:tcPr>
          <w:p w14:paraId="356DCE3E" w14:textId="166D1477" w:rsidR="0011400D" w:rsidRPr="00A70BBB" w:rsidRDefault="0011400D" w:rsidP="0011400D">
            <w:pPr>
              <w:jc w:val="both"/>
              <w:rPr>
                <w:rFonts w:ascii="Arial" w:hAnsi="Arial" w:cs="Arial"/>
                <w:color w:val="000000" w:themeColor="text1"/>
              </w:rPr>
            </w:pPr>
            <w:r w:rsidRPr="00A70BBB">
              <w:rPr>
                <w:rFonts w:ascii="Arial" w:hAnsi="Arial" w:cs="Arial"/>
              </w:rPr>
              <w:t>0</w:t>
            </w:r>
          </w:p>
        </w:tc>
      </w:tr>
      <w:tr w:rsidR="0011400D" w:rsidRPr="00A70BBB" w14:paraId="01D6F11D" w14:textId="77777777" w:rsidTr="00B4068E">
        <w:tc>
          <w:tcPr>
            <w:tcW w:w="810" w:type="dxa"/>
          </w:tcPr>
          <w:p w14:paraId="701E46B9" w14:textId="77777777" w:rsidR="0011400D" w:rsidRPr="00A70BBB" w:rsidRDefault="0011400D" w:rsidP="0011400D">
            <w:pPr>
              <w:pStyle w:val="ListParagraph"/>
              <w:numPr>
                <w:ilvl w:val="0"/>
                <w:numId w:val="1"/>
              </w:numPr>
              <w:jc w:val="both"/>
              <w:rPr>
                <w:rFonts w:ascii="Arial" w:hAnsi="Arial" w:cs="Arial"/>
                <w:color w:val="000000" w:themeColor="text1"/>
              </w:rPr>
            </w:pPr>
          </w:p>
        </w:tc>
        <w:tc>
          <w:tcPr>
            <w:tcW w:w="3127" w:type="dxa"/>
          </w:tcPr>
          <w:p w14:paraId="548C272F" w14:textId="0D032B7D" w:rsidR="0011400D" w:rsidRPr="00A70BBB" w:rsidRDefault="0011400D" w:rsidP="0011400D">
            <w:pPr>
              <w:jc w:val="both"/>
              <w:rPr>
                <w:rFonts w:ascii="Arial" w:hAnsi="Arial" w:cs="Arial"/>
                <w:b/>
                <w:bCs/>
                <w:color w:val="000000" w:themeColor="text1"/>
              </w:rPr>
            </w:pPr>
            <w:r w:rsidRPr="00A70BBB">
              <w:rPr>
                <w:rFonts w:ascii="Arial" w:hAnsi="Arial" w:cs="Arial"/>
              </w:rPr>
              <w:t>Language barriers complicate communication and marketing for women weavers</w:t>
            </w:r>
          </w:p>
        </w:tc>
        <w:tc>
          <w:tcPr>
            <w:tcW w:w="833" w:type="dxa"/>
            <w:tcBorders>
              <w:top w:val="single" w:sz="4" w:space="0" w:color="auto"/>
              <w:left w:val="nil"/>
              <w:bottom w:val="single" w:sz="4" w:space="0" w:color="auto"/>
              <w:right w:val="single" w:sz="4" w:space="0" w:color="auto"/>
            </w:tcBorders>
          </w:tcPr>
          <w:p w14:paraId="1FC81935" w14:textId="4557360C" w:rsidR="0011400D" w:rsidRPr="00A70BBB" w:rsidRDefault="0011400D" w:rsidP="0011400D">
            <w:pPr>
              <w:jc w:val="both"/>
              <w:rPr>
                <w:rFonts w:ascii="Arial" w:hAnsi="Arial" w:cs="Arial"/>
                <w:color w:val="000000" w:themeColor="text1"/>
              </w:rPr>
            </w:pPr>
            <w:r w:rsidRPr="00A70BBB">
              <w:rPr>
                <w:rFonts w:ascii="Arial" w:hAnsi="Arial" w:cs="Arial"/>
              </w:rPr>
              <w:t>11</w:t>
            </w:r>
          </w:p>
        </w:tc>
        <w:tc>
          <w:tcPr>
            <w:tcW w:w="990" w:type="dxa"/>
            <w:tcBorders>
              <w:top w:val="single" w:sz="4" w:space="0" w:color="auto"/>
              <w:left w:val="single" w:sz="4" w:space="0" w:color="auto"/>
              <w:bottom w:val="single" w:sz="4" w:space="0" w:color="auto"/>
              <w:right w:val="single" w:sz="4" w:space="0" w:color="auto"/>
            </w:tcBorders>
          </w:tcPr>
          <w:p w14:paraId="5A7BC5A4" w14:textId="3B3CA05F" w:rsidR="0011400D" w:rsidRPr="00A70BBB" w:rsidRDefault="0011400D" w:rsidP="0011400D">
            <w:pPr>
              <w:jc w:val="both"/>
              <w:rPr>
                <w:rFonts w:ascii="Arial" w:hAnsi="Arial" w:cs="Arial"/>
                <w:color w:val="000000" w:themeColor="text1"/>
              </w:rPr>
            </w:pPr>
            <w:r w:rsidRPr="00A70BBB">
              <w:rPr>
                <w:rFonts w:ascii="Arial" w:hAnsi="Arial" w:cs="Arial"/>
              </w:rPr>
              <w:t>8</w:t>
            </w:r>
          </w:p>
        </w:tc>
        <w:tc>
          <w:tcPr>
            <w:tcW w:w="990" w:type="dxa"/>
            <w:tcBorders>
              <w:top w:val="single" w:sz="4" w:space="0" w:color="auto"/>
              <w:left w:val="single" w:sz="4" w:space="0" w:color="auto"/>
              <w:bottom w:val="single" w:sz="4" w:space="0" w:color="auto"/>
              <w:right w:val="single" w:sz="4" w:space="0" w:color="auto"/>
            </w:tcBorders>
          </w:tcPr>
          <w:p w14:paraId="595A180B" w14:textId="1CEC3802" w:rsidR="0011400D" w:rsidRPr="00A70BBB" w:rsidRDefault="0011400D" w:rsidP="0011400D">
            <w:pPr>
              <w:jc w:val="both"/>
              <w:rPr>
                <w:rFonts w:ascii="Arial" w:hAnsi="Arial" w:cs="Arial"/>
                <w:color w:val="000000" w:themeColor="text1"/>
              </w:rPr>
            </w:pPr>
            <w:r w:rsidRPr="00A70BBB">
              <w:rPr>
                <w:rFonts w:ascii="Arial" w:hAnsi="Arial" w:cs="Arial"/>
              </w:rPr>
              <w:t>7</w:t>
            </w:r>
          </w:p>
        </w:tc>
        <w:tc>
          <w:tcPr>
            <w:tcW w:w="990" w:type="dxa"/>
            <w:tcBorders>
              <w:top w:val="single" w:sz="4" w:space="0" w:color="auto"/>
              <w:left w:val="single" w:sz="4" w:space="0" w:color="auto"/>
              <w:bottom w:val="single" w:sz="4" w:space="0" w:color="auto"/>
              <w:right w:val="single" w:sz="4" w:space="0" w:color="auto"/>
            </w:tcBorders>
          </w:tcPr>
          <w:p w14:paraId="70593450" w14:textId="4363691C" w:rsidR="0011400D" w:rsidRPr="00A70BBB" w:rsidRDefault="0011400D" w:rsidP="0011400D">
            <w:pPr>
              <w:jc w:val="both"/>
              <w:rPr>
                <w:rFonts w:ascii="Arial" w:hAnsi="Arial" w:cs="Arial"/>
                <w:color w:val="000000" w:themeColor="text1"/>
              </w:rPr>
            </w:pPr>
            <w:r w:rsidRPr="00A70BBB">
              <w:rPr>
                <w:rFonts w:ascii="Arial" w:hAnsi="Arial" w:cs="Arial"/>
              </w:rPr>
              <w:t>9</w:t>
            </w:r>
          </w:p>
        </w:tc>
        <w:tc>
          <w:tcPr>
            <w:tcW w:w="990" w:type="dxa"/>
            <w:tcBorders>
              <w:top w:val="single" w:sz="4" w:space="0" w:color="auto"/>
              <w:left w:val="single" w:sz="4" w:space="0" w:color="auto"/>
              <w:bottom w:val="single" w:sz="4" w:space="0" w:color="auto"/>
              <w:right w:val="single" w:sz="4" w:space="0" w:color="auto"/>
            </w:tcBorders>
          </w:tcPr>
          <w:p w14:paraId="2938C47E" w14:textId="1BFDD8BF" w:rsidR="0011400D" w:rsidRPr="00A70BBB" w:rsidRDefault="0011400D" w:rsidP="0011400D">
            <w:pPr>
              <w:jc w:val="both"/>
              <w:rPr>
                <w:rFonts w:ascii="Arial" w:hAnsi="Arial" w:cs="Arial"/>
                <w:color w:val="000000" w:themeColor="text1"/>
              </w:rPr>
            </w:pPr>
            <w:r w:rsidRPr="00A70BBB">
              <w:rPr>
                <w:rFonts w:ascii="Arial" w:hAnsi="Arial" w:cs="Arial"/>
              </w:rPr>
              <w:t>5</w:t>
            </w:r>
          </w:p>
        </w:tc>
      </w:tr>
    </w:tbl>
    <w:p w14:paraId="46D9F407" w14:textId="77777777" w:rsidR="00E23BCE" w:rsidRPr="00A70BBB" w:rsidRDefault="00E23BCE" w:rsidP="00E23BCE">
      <w:pPr>
        <w:rPr>
          <w:rFonts w:ascii="Arial" w:hAnsi="Arial" w:cs="Arial"/>
          <w:b/>
          <w:bCs/>
          <w:sz w:val="22"/>
          <w:szCs w:val="22"/>
        </w:rPr>
      </w:pPr>
    </w:p>
    <w:p w14:paraId="32739566" w14:textId="7382FCC6" w:rsidR="00E23BCE" w:rsidRPr="007A73FD" w:rsidRDefault="00E23BCE" w:rsidP="00777E8B">
      <w:pPr>
        <w:spacing w:line="360" w:lineRule="auto"/>
        <w:ind w:left="720"/>
        <w:jc w:val="both"/>
        <w:rPr>
          <w:rFonts w:ascii="Arial" w:hAnsi="Arial" w:cs="Arial"/>
          <w:sz w:val="20"/>
          <w:szCs w:val="20"/>
        </w:rPr>
      </w:pPr>
      <w:r w:rsidRPr="007A73FD">
        <w:rPr>
          <w:rFonts w:ascii="Arial" w:hAnsi="Arial" w:cs="Arial"/>
          <w:b/>
          <w:bCs/>
          <w:sz w:val="20"/>
          <w:szCs w:val="20"/>
        </w:rPr>
        <w:t xml:space="preserve">Table No. 2: </w:t>
      </w:r>
      <w:r w:rsidR="0094538E" w:rsidRPr="007A73FD">
        <w:rPr>
          <w:rFonts w:ascii="Arial" w:hAnsi="Arial" w:cs="Arial"/>
          <w:b/>
          <w:bCs/>
          <w:sz w:val="20"/>
          <w:szCs w:val="20"/>
        </w:rPr>
        <w:t xml:space="preserve"> </w:t>
      </w:r>
      <w:r w:rsidR="0094538E" w:rsidRPr="007A73FD">
        <w:rPr>
          <w:rFonts w:ascii="Arial" w:hAnsi="Arial" w:cs="Arial"/>
          <w:sz w:val="20"/>
          <w:szCs w:val="20"/>
        </w:rPr>
        <w:t xml:space="preserve">Marketing constraints refer to the problems women weavers face while selling and promoting their products. The respondents' preferences and rankings were used to identify which marketing problems they </w:t>
      </w:r>
      <w:r w:rsidR="003672A0">
        <w:rPr>
          <w:rFonts w:ascii="Arial" w:hAnsi="Arial" w:cs="Arial"/>
          <w:sz w:val="20"/>
          <w:szCs w:val="20"/>
        </w:rPr>
        <w:t>most frequently face</w:t>
      </w:r>
      <w:r w:rsidR="0094538E" w:rsidRPr="007A73FD">
        <w:rPr>
          <w:rFonts w:ascii="Arial" w:hAnsi="Arial" w:cs="Arial"/>
          <w:sz w:val="20"/>
          <w:szCs w:val="20"/>
        </w:rPr>
        <w:t xml:space="preserve"> and how strongly these problems affect their marketing activities.</w:t>
      </w:r>
    </w:p>
    <w:p w14:paraId="3043833C" w14:textId="547DFB27" w:rsidR="00777E8B" w:rsidRPr="007A73FD" w:rsidRDefault="00777E8B" w:rsidP="00052477">
      <w:pPr>
        <w:spacing w:line="360" w:lineRule="auto"/>
        <w:ind w:left="720" w:firstLine="720"/>
        <w:jc w:val="both"/>
        <w:rPr>
          <w:rFonts w:ascii="Arial" w:hAnsi="Arial" w:cs="Arial"/>
          <w:sz w:val="20"/>
          <w:szCs w:val="20"/>
        </w:rPr>
      </w:pPr>
      <w:r w:rsidRPr="007A73FD">
        <w:rPr>
          <w:rFonts w:ascii="Arial" w:hAnsi="Arial" w:cs="Arial"/>
          <w:sz w:val="20"/>
          <w:szCs w:val="20"/>
        </w:rPr>
        <w:t xml:space="preserve">The ranking pattern shows that marketing-related constraints strongly affect women weavers in </w:t>
      </w:r>
      <w:proofErr w:type="spellStart"/>
      <w:r w:rsidRPr="007A73FD">
        <w:rPr>
          <w:rFonts w:ascii="Arial" w:hAnsi="Arial" w:cs="Arial"/>
          <w:sz w:val="20"/>
          <w:szCs w:val="20"/>
        </w:rPr>
        <w:t>Yadadri</w:t>
      </w:r>
      <w:proofErr w:type="spellEnd"/>
      <w:r w:rsidRPr="007A73FD">
        <w:rPr>
          <w:rFonts w:ascii="Arial" w:hAnsi="Arial" w:cs="Arial"/>
          <w:sz w:val="20"/>
          <w:szCs w:val="20"/>
        </w:rPr>
        <w:t xml:space="preserve"> </w:t>
      </w:r>
      <w:proofErr w:type="spellStart"/>
      <w:r w:rsidRPr="007A73FD">
        <w:rPr>
          <w:rFonts w:ascii="Arial" w:hAnsi="Arial" w:cs="Arial"/>
          <w:sz w:val="20"/>
          <w:szCs w:val="20"/>
        </w:rPr>
        <w:t>Bhuvanagiri</w:t>
      </w:r>
      <w:proofErr w:type="spellEnd"/>
      <w:r w:rsidRPr="007A73FD">
        <w:rPr>
          <w:rFonts w:ascii="Arial" w:hAnsi="Arial" w:cs="Arial"/>
          <w:sz w:val="20"/>
          <w:szCs w:val="20"/>
        </w:rPr>
        <w:t xml:space="preserve"> district. Limited access to larger markets was ranked as the most serious issue, with 28 respondents placing it in the first rank, 6 in the second</w:t>
      </w:r>
      <w:r w:rsidR="003672A0">
        <w:rPr>
          <w:rFonts w:ascii="Arial" w:hAnsi="Arial" w:cs="Arial"/>
          <w:sz w:val="20"/>
          <w:szCs w:val="20"/>
        </w:rPr>
        <w:t>, and 6 in the third</w:t>
      </w:r>
      <w:r w:rsidRPr="007A73FD">
        <w:rPr>
          <w:rFonts w:ascii="Arial" w:hAnsi="Arial" w:cs="Arial"/>
          <w:sz w:val="20"/>
          <w:szCs w:val="20"/>
        </w:rPr>
        <w:t xml:space="preserve">, while none placed it in the fourth or fifth ranks. This shows a strong concentration in the top ranks. Lack of marketing knowledge was also seen as a major constraint, with 18 respondents ranking it first and 22 ranking it second, and none assigning it </w:t>
      </w:r>
      <w:r w:rsidR="003672A0">
        <w:rPr>
          <w:rFonts w:ascii="Arial" w:hAnsi="Arial" w:cs="Arial"/>
          <w:sz w:val="20"/>
          <w:szCs w:val="20"/>
        </w:rPr>
        <w:t>a lower rank</w:t>
      </w:r>
      <w:r w:rsidRPr="007A73FD">
        <w:rPr>
          <w:rFonts w:ascii="Arial" w:hAnsi="Arial" w:cs="Arial"/>
          <w:sz w:val="20"/>
          <w:szCs w:val="20"/>
        </w:rPr>
        <w:t>. Limited contacts with buyers followed the same pattern, with 18 respondents giving it first rank and 22 second rank only. Gender differences affecting negotiating power were ranked first by 18 respondents, second by 21 respondents, and third by 1 respondent, with no fourth or fifth ranks. Lack of awareness of market trends showed an identical pattern, with 18 respondents ranking it first, 21 second, and 1 third. Severe competition was also ranked similarly, with 18 respondents placing it first, 21 second, and 1 third. Insufficient funds for marketing activities received 18 first ranks and 22 second ranks, with no lower rankings. Limited use of digital platforms showed the same distribution, with 18 respondents ranking it first and 22 ranking it second only. Language barriers were ranked across all five positions, with 11 respondents placing it first, 8 second, 7 third, 9 fourth, and 5 fifth, indicating varied levels of difficulty among the respondents.</w:t>
      </w:r>
    </w:p>
    <w:p w14:paraId="2780EE5E" w14:textId="11C829A2" w:rsidR="00777E8B" w:rsidRDefault="00777E8B" w:rsidP="00052477">
      <w:pPr>
        <w:spacing w:line="360" w:lineRule="auto"/>
        <w:ind w:left="720" w:firstLine="720"/>
        <w:jc w:val="both"/>
        <w:rPr>
          <w:rFonts w:ascii="Arial" w:hAnsi="Arial" w:cs="Arial"/>
          <w:sz w:val="20"/>
          <w:szCs w:val="20"/>
        </w:rPr>
      </w:pPr>
      <w:r w:rsidRPr="007A73FD">
        <w:rPr>
          <w:rFonts w:ascii="Arial" w:hAnsi="Arial" w:cs="Arial"/>
          <w:sz w:val="20"/>
          <w:szCs w:val="20"/>
        </w:rPr>
        <w:t>Overall, constraints related to limited market access, lack of marketing knowledge, weak buyer networks, financial limitations, low digital usage, competition, and gender-related disadvantages emerged as the most serious marketing challenges for women weavers, while language barriers affected respondents at different levels. The observed ranking patterns are linked to limited exposure of women weavers to organized markets, weak linkages with buyers and institutions, constrained financial resources for promotion, uneven access to digital tools, varying education and language skills, and the structure of local markets in the district, which shapes how these constraints are experienced.</w:t>
      </w:r>
    </w:p>
    <w:p w14:paraId="53A8D0FC" w14:textId="77777777" w:rsidR="007A73FD" w:rsidRPr="007A73FD" w:rsidRDefault="007A73FD" w:rsidP="00052477">
      <w:pPr>
        <w:spacing w:line="360" w:lineRule="auto"/>
        <w:ind w:left="720" w:firstLine="720"/>
        <w:jc w:val="both"/>
        <w:rPr>
          <w:rFonts w:ascii="Arial" w:hAnsi="Arial" w:cs="Arial"/>
          <w:sz w:val="20"/>
          <w:szCs w:val="20"/>
        </w:rPr>
      </w:pPr>
    </w:p>
    <w:p w14:paraId="22238D53" w14:textId="6ABF5B5F" w:rsidR="00E23BCE" w:rsidRPr="00A70BBB" w:rsidRDefault="00E23BCE" w:rsidP="001B78C0">
      <w:pPr>
        <w:ind w:left="720"/>
        <w:jc w:val="both"/>
        <w:rPr>
          <w:rFonts w:ascii="Arial" w:hAnsi="Arial" w:cs="Arial"/>
          <w:b/>
          <w:bCs/>
          <w:color w:val="000000" w:themeColor="text1"/>
          <w:sz w:val="22"/>
          <w:szCs w:val="22"/>
        </w:rPr>
      </w:pPr>
      <w:r w:rsidRPr="00A70BBB">
        <w:rPr>
          <w:rFonts w:ascii="Arial" w:hAnsi="Arial" w:cs="Arial"/>
          <w:b/>
          <w:bCs/>
          <w:color w:val="000000" w:themeColor="text1"/>
          <w:sz w:val="22"/>
          <w:szCs w:val="22"/>
        </w:rPr>
        <w:t>Table No</w:t>
      </w:r>
      <w:r w:rsidR="001B78C0" w:rsidRPr="00A70BBB">
        <w:rPr>
          <w:rFonts w:ascii="Arial" w:hAnsi="Arial" w:cs="Arial"/>
          <w:b/>
          <w:bCs/>
          <w:color w:val="000000" w:themeColor="text1"/>
          <w:sz w:val="22"/>
          <w:szCs w:val="22"/>
        </w:rPr>
        <w:t>.</w:t>
      </w:r>
      <w:r w:rsidRPr="00A70BBB">
        <w:rPr>
          <w:rFonts w:ascii="Arial" w:hAnsi="Arial" w:cs="Arial"/>
          <w:b/>
          <w:bCs/>
          <w:color w:val="000000" w:themeColor="text1"/>
          <w:sz w:val="22"/>
          <w:szCs w:val="22"/>
        </w:rPr>
        <w:t xml:space="preserve"> 3</w:t>
      </w:r>
      <w:r w:rsidR="001B78C0" w:rsidRPr="00A70BBB">
        <w:rPr>
          <w:rFonts w:ascii="Arial" w:hAnsi="Arial" w:cs="Arial"/>
          <w:b/>
          <w:bCs/>
          <w:color w:val="000000" w:themeColor="text1"/>
          <w:sz w:val="22"/>
          <w:szCs w:val="22"/>
        </w:rPr>
        <w:t>:</w:t>
      </w:r>
      <w:r w:rsidRPr="00A70BBB">
        <w:rPr>
          <w:rFonts w:ascii="Arial" w:hAnsi="Arial" w:cs="Arial"/>
          <w:b/>
          <w:bCs/>
          <w:color w:val="000000" w:themeColor="text1"/>
          <w:sz w:val="22"/>
          <w:szCs w:val="22"/>
        </w:rPr>
        <w:t xml:space="preserve"> Calculation of Garrett values of </w:t>
      </w:r>
      <w:r w:rsidR="00315A60" w:rsidRPr="00A70BBB">
        <w:rPr>
          <w:rFonts w:ascii="Arial" w:hAnsi="Arial" w:cs="Arial"/>
          <w:b/>
          <w:bCs/>
          <w:color w:val="000000" w:themeColor="text1"/>
          <w:sz w:val="22"/>
          <w:szCs w:val="22"/>
        </w:rPr>
        <w:t xml:space="preserve">marketing </w:t>
      </w:r>
      <w:r w:rsidRPr="00A70BBB">
        <w:rPr>
          <w:rFonts w:ascii="Arial" w:hAnsi="Arial" w:cs="Arial"/>
          <w:b/>
          <w:bCs/>
          <w:color w:val="000000" w:themeColor="text1"/>
          <w:sz w:val="22"/>
          <w:szCs w:val="22"/>
        </w:rPr>
        <w:t xml:space="preserve">constraints by women handloom weavers of </w:t>
      </w:r>
      <w:proofErr w:type="spellStart"/>
      <w:r w:rsidRPr="00A70BBB">
        <w:rPr>
          <w:rFonts w:ascii="Arial" w:hAnsi="Arial" w:cs="Arial"/>
          <w:b/>
          <w:bCs/>
          <w:color w:val="000000" w:themeColor="text1"/>
          <w:sz w:val="22"/>
          <w:szCs w:val="22"/>
        </w:rPr>
        <w:t>Yadadri</w:t>
      </w:r>
      <w:proofErr w:type="spellEnd"/>
      <w:r w:rsidRPr="00A70BBB">
        <w:rPr>
          <w:rFonts w:ascii="Arial" w:hAnsi="Arial" w:cs="Arial"/>
          <w:b/>
          <w:bCs/>
          <w:color w:val="000000" w:themeColor="text1"/>
          <w:sz w:val="22"/>
          <w:szCs w:val="22"/>
        </w:rPr>
        <w:t xml:space="preserve"> </w:t>
      </w:r>
      <w:proofErr w:type="spellStart"/>
      <w:r w:rsidRPr="00A70BBB">
        <w:rPr>
          <w:rFonts w:ascii="Arial" w:hAnsi="Arial" w:cs="Arial"/>
          <w:b/>
          <w:bCs/>
          <w:color w:val="000000" w:themeColor="text1"/>
          <w:sz w:val="22"/>
          <w:szCs w:val="22"/>
        </w:rPr>
        <w:t>Bhuvangiri</w:t>
      </w:r>
      <w:proofErr w:type="spellEnd"/>
    </w:p>
    <w:p w14:paraId="48F161F3" w14:textId="77777777" w:rsidR="00E23BCE" w:rsidRPr="00A70BBB" w:rsidRDefault="00E23BCE" w:rsidP="00E23BCE">
      <w:pPr>
        <w:spacing w:after="0" w:line="240" w:lineRule="auto"/>
        <w:jc w:val="center"/>
        <w:rPr>
          <w:rFonts w:ascii="Arial" w:hAnsi="Arial" w:cs="Arial"/>
          <w:b/>
          <w:bCs/>
          <w:color w:val="000000" w:themeColor="text1"/>
          <w:sz w:val="22"/>
          <w:szCs w:val="22"/>
        </w:rPr>
      </w:pPr>
      <w:r w:rsidRPr="00A70BBB">
        <w:rPr>
          <w:rFonts w:ascii="Arial" w:hAnsi="Arial" w:cs="Arial"/>
          <w:b/>
          <w:bCs/>
          <w:color w:val="000000" w:themeColor="text1"/>
          <w:sz w:val="22"/>
          <w:szCs w:val="22"/>
        </w:rPr>
        <w:t xml:space="preserve">                                                                                                                                  n=40</w:t>
      </w:r>
    </w:p>
    <w:tbl>
      <w:tblPr>
        <w:tblStyle w:val="TableGrid"/>
        <w:tblW w:w="9180" w:type="dxa"/>
        <w:tblInd w:w="445" w:type="dxa"/>
        <w:tblLook w:val="04A0" w:firstRow="1" w:lastRow="0" w:firstColumn="1" w:lastColumn="0" w:noHBand="0" w:noVBand="1"/>
      </w:tblPr>
      <w:tblGrid>
        <w:gridCol w:w="620"/>
        <w:gridCol w:w="1755"/>
        <w:gridCol w:w="706"/>
        <w:gridCol w:w="804"/>
        <w:gridCol w:w="804"/>
        <w:gridCol w:w="804"/>
        <w:gridCol w:w="804"/>
        <w:gridCol w:w="726"/>
        <w:gridCol w:w="1403"/>
        <w:gridCol w:w="754"/>
      </w:tblGrid>
      <w:tr w:rsidR="00E23BCE" w:rsidRPr="00A70BBB" w14:paraId="3C2B6B27" w14:textId="77777777" w:rsidTr="00777E8B">
        <w:trPr>
          <w:trHeight w:val="290"/>
        </w:trPr>
        <w:tc>
          <w:tcPr>
            <w:tcW w:w="810" w:type="dxa"/>
            <w:vMerge w:val="restart"/>
          </w:tcPr>
          <w:p w14:paraId="6F4774FA" w14:textId="169C4E45"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S.</w:t>
            </w:r>
            <w:r w:rsidR="001B78C0" w:rsidRPr="00A70BBB">
              <w:rPr>
                <w:rFonts w:ascii="Arial" w:hAnsi="Arial" w:cs="Arial"/>
                <w:b/>
                <w:bCs/>
                <w:color w:val="000000" w:themeColor="text1"/>
              </w:rPr>
              <w:t xml:space="preserve"> </w:t>
            </w:r>
            <w:r w:rsidRPr="00A70BBB">
              <w:rPr>
                <w:rFonts w:ascii="Arial" w:hAnsi="Arial" w:cs="Arial"/>
                <w:b/>
                <w:bCs/>
                <w:color w:val="000000" w:themeColor="text1"/>
              </w:rPr>
              <w:t>No.</w:t>
            </w:r>
          </w:p>
        </w:tc>
        <w:tc>
          <w:tcPr>
            <w:tcW w:w="1982" w:type="dxa"/>
            <w:vMerge w:val="restart"/>
          </w:tcPr>
          <w:p w14:paraId="235F8286" w14:textId="6DA6C9A0" w:rsidR="00E23BCE" w:rsidRPr="00A70BBB" w:rsidRDefault="00777E8B" w:rsidP="00B11740">
            <w:pPr>
              <w:jc w:val="both"/>
              <w:rPr>
                <w:rFonts w:ascii="Arial" w:hAnsi="Arial" w:cs="Arial"/>
                <w:b/>
                <w:bCs/>
                <w:color w:val="000000" w:themeColor="text1"/>
              </w:rPr>
            </w:pPr>
            <w:r w:rsidRPr="00A70BBB">
              <w:rPr>
                <w:rFonts w:ascii="Arial" w:hAnsi="Arial" w:cs="Arial"/>
                <w:b/>
                <w:bCs/>
                <w:color w:val="000000" w:themeColor="text1"/>
              </w:rPr>
              <w:t>Marketing C</w:t>
            </w:r>
            <w:r w:rsidR="00E23BCE" w:rsidRPr="00A70BBB">
              <w:rPr>
                <w:rFonts w:ascii="Arial" w:hAnsi="Arial" w:cs="Arial"/>
                <w:b/>
                <w:bCs/>
                <w:color w:val="000000" w:themeColor="text1"/>
              </w:rPr>
              <w:t>onstraints</w:t>
            </w:r>
          </w:p>
        </w:tc>
        <w:tc>
          <w:tcPr>
            <w:tcW w:w="3710" w:type="dxa"/>
            <w:gridSpan w:val="5"/>
          </w:tcPr>
          <w:p w14:paraId="221F1125" w14:textId="77777777" w:rsidR="00E23BCE" w:rsidRPr="00A70BBB" w:rsidRDefault="00E23BCE" w:rsidP="00B11740">
            <w:pPr>
              <w:jc w:val="both"/>
              <w:rPr>
                <w:rFonts w:ascii="Arial" w:hAnsi="Arial" w:cs="Arial"/>
                <w:b/>
                <w:bCs/>
                <w:color w:val="000000" w:themeColor="text1"/>
              </w:rPr>
            </w:pPr>
          </w:p>
        </w:tc>
        <w:tc>
          <w:tcPr>
            <w:tcW w:w="697" w:type="dxa"/>
            <w:vMerge w:val="restart"/>
          </w:tcPr>
          <w:p w14:paraId="1CE17057"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 xml:space="preserve">Total </w:t>
            </w:r>
          </w:p>
        </w:tc>
        <w:tc>
          <w:tcPr>
            <w:tcW w:w="1251" w:type="dxa"/>
            <w:vMerge w:val="restart"/>
          </w:tcPr>
          <w:p w14:paraId="0F9F806A"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 xml:space="preserve">Percentage </w:t>
            </w:r>
          </w:p>
        </w:tc>
        <w:tc>
          <w:tcPr>
            <w:tcW w:w="730" w:type="dxa"/>
            <w:vMerge w:val="restart"/>
          </w:tcPr>
          <w:p w14:paraId="750E2EEF"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 xml:space="preserve">Rank </w:t>
            </w:r>
          </w:p>
        </w:tc>
      </w:tr>
      <w:tr w:rsidR="00E23BCE" w:rsidRPr="00A70BBB" w14:paraId="16749B59" w14:textId="77777777" w:rsidTr="00777E8B">
        <w:trPr>
          <w:trHeight w:val="289"/>
        </w:trPr>
        <w:tc>
          <w:tcPr>
            <w:tcW w:w="810" w:type="dxa"/>
            <w:vMerge/>
          </w:tcPr>
          <w:p w14:paraId="68BA9966" w14:textId="77777777" w:rsidR="00E23BCE" w:rsidRPr="00A70BBB" w:rsidRDefault="00E23BCE" w:rsidP="00B11740">
            <w:pPr>
              <w:jc w:val="both"/>
              <w:rPr>
                <w:rFonts w:ascii="Arial" w:hAnsi="Arial" w:cs="Arial"/>
                <w:b/>
                <w:bCs/>
                <w:color w:val="000000" w:themeColor="text1"/>
              </w:rPr>
            </w:pPr>
          </w:p>
        </w:tc>
        <w:tc>
          <w:tcPr>
            <w:tcW w:w="1982" w:type="dxa"/>
            <w:vMerge/>
          </w:tcPr>
          <w:p w14:paraId="599BBCEA" w14:textId="77777777" w:rsidR="00E23BCE" w:rsidRPr="00A70BBB" w:rsidRDefault="00E23BCE" w:rsidP="00B11740">
            <w:pPr>
              <w:jc w:val="both"/>
              <w:rPr>
                <w:rFonts w:ascii="Arial" w:hAnsi="Arial" w:cs="Arial"/>
                <w:b/>
                <w:bCs/>
                <w:color w:val="000000" w:themeColor="text1"/>
              </w:rPr>
            </w:pPr>
          </w:p>
        </w:tc>
        <w:tc>
          <w:tcPr>
            <w:tcW w:w="669" w:type="dxa"/>
            <w:tcBorders>
              <w:bottom w:val="single" w:sz="4" w:space="0" w:color="auto"/>
            </w:tcBorders>
          </w:tcPr>
          <w:p w14:paraId="46AB3533"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1 rank</w:t>
            </w:r>
          </w:p>
        </w:tc>
        <w:tc>
          <w:tcPr>
            <w:tcW w:w="758" w:type="dxa"/>
            <w:tcBorders>
              <w:bottom w:val="single" w:sz="4" w:space="0" w:color="auto"/>
            </w:tcBorders>
          </w:tcPr>
          <w:p w14:paraId="3124B75A"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2 ranks</w:t>
            </w:r>
          </w:p>
        </w:tc>
        <w:tc>
          <w:tcPr>
            <w:tcW w:w="754" w:type="dxa"/>
            <w:tcBorders>
              <w:bottom w:val="single" w:sz="4" w:space="0" w:color="auto"/>
            </w:tcBorders>
          </w:tcPr>
          <w:p w14:paraId="689AB8A8"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3 ranks</w:t>
            </w:r>
          </w:p>
        </w:tc>
        <w:tc>
          <w:tcPr>
            <w:tcW w:w="754" w:type="dxa"/>
            <w:tcBorders>
              <w:bottom w:val="single" w:sz="4" w:space="0" w:color="auto"/>
            </w:tcBorders>
          </w:tcPr>
          <w:p w14:paraId="12AAF161"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4 ranks</w:t>
            </w:r>
          </w:p>
        </w:tc>
        <w:tc>
          <w:tcPr>
            <w:tcW w:w="775" w:type="dxa"/>
            <w:tcBorders>
              <w:bottom w:val="single" w:sz="4" w:space="0" w:color="auto"/>
            </w:tcBorders>
          </w:tcPr>
          <w:p w14:paraId="42FAE2BD" w14:textId="77777777" w:rsidR="00E23BCE" w:rsidRPr="00A70BBB" w:rsidRDefault="00E23BCE" w:rsidP="00B11740">
            <w:pPr>
              <w:jc w:val="both"/>
              <w:rPr>
                <w:rFonts w:ascii="Arial" w:hAnsi="Arial" w:cs="Arial"/>
                <w:b/>
                <w:bCs/>
                <w:color w:val="000000" w:themeColor="text1"/>
              </w:rPr>
            </w:pPr>
            <w:r w:rsidRPr="00A70BBB">
              <w:rPr>
                <w:rFonts w:ascii="Arial" w:hAnsi="Arial" w:cs="Arial"/>
                <w:b/>
                <w:bCs/>
                <w:color w:val="000000" w:themeColor="text1"/>
              </w:rPr>
              <w:t>5 ranks</w:t>
            </w:r>
          </w:p>
        </w:tc>
        <w:tc>
          <w:tcPr>
            <w:tcW w:w="697" w:type="dxa"/>
            <w:vMerge/>
            <w:tcBorders>
              <w:bottom w:val="single" w:sz="4" w:space="0" w:color="auto"/>
            </w:tcBorders>
          </w:tcPr>
          <w:p w14:paraId="2DD957F5" w14:textId="77777777" w:rsidR="00E23BCE" w:rsidRPr="00A70BBB" w:rsidRDefault="00E23BCE" w:rsidP="00B11740">
            <w:pPr>
              <w:jc w:val="both"/>
              <w:rPr>
                <w:rFonts w:ascii="Arial" w:hAnsi="Arial" w:cs="Arial"/>
                <w:b/>
                <w:bCs/>
                <w:color w:val="000000" w:themeColor="text1"/>
              </w:rPr>
            </w:pPr>
          </w:p>
        </w:tc>
        <w:tc>
          <w:tcPr>
            <w:tcW w:w="1251" w:type="dxa"/>
            <w:vMerge/>
            <w:tcBorders>
              <w:bottom w:val="single" w:sz="4" w:space="0" w:color="auto"/>
            </w:tcBorders>
          </w:tcPr>
          <w:p w14:paraId="0610300B" w14:textId="77777777" w:rsidR="00E23BCE" w:rsidRPr="00A70BBB" w:rsidRDefault="00E23BCE" w:rsidP="00B11740">
            <w:pPr>
              <w:jc w:val="both"/>
              <w:rPr>
                <w:rFonts w:ascii="Arial" w:hAnsi="Arial" w:cs="Arial"/>
                <w:b/>
                <w:bCs/>
                <w:color w:val="000000" w:themeColor="text1"/>
              </w:rPr>
            </w:pPr>
          </w:p>
        </w:tc>
        <w:tc>
          <w:tcPr>
            <w:tcW w:w="730" w:type="dxa"/>
            <w:vMerge/>
          </w:tcPr>
          <w:p w14:paraId="360FC7E6" w14:textId="77777777" w:rsidR="00E23BCE" w:rsidRPr="00A70BBB" w:rsidRDefault="00E23BCE" w:rsidP="00B11740">
            <w:pPr>
              <w:jc w:val="both"/>
              <w:rPr>
                <w:rFonts w:ascii="Arial" w:hAnsi="Arial" w:cs="Arial"/>
                <w:b/>
                <w:bCs/>
                <w:color w:val="000000" w:themeColor="text1"/>
              </w:rPr>
            </w:pPr>
          </w:p>
        </w:tc>
      </w:tr>
      <w:tr w:rsidR="0011400D" w:rsidRPr="00A70BBB" w14:paraId="728D1465" w14:textId="77777777" w:rsidTr="00777E8B">
        <w:tc>
          <w:tcPr>
            <w:tcW w:w="810" w:type="dxa"/>
          </w:tcPr>
          <w:p w14:paraId="1278622D" w14:textId="77777777" w:rsidR="0011400D" w:rsidRPr="00A70BBB" w:rsidRDefault="0011400D" w:rsidP="0011400D">
            <w:pPr>
              <w:pStyle w:val="ListParagraph"/>
              <w:numPr>
                <w:ilvl w:val="0"/>
                <w:numId w:val="2"/>
              </w:numPr>
              <w:jc w:val="both"/>
              <w:rPr>
                <w:rFonts w:ascii="Arial" w:hAnsi="Arial" w:cs="Arial"/>
                <w:color w:val="000000" w:themeColor="text1"/>
              </w:rPr>
            </w:pPr>
          </w:p>
        </w:tc>
        <w:tc>
          <w:tcPr>
            <w:tcW w:w="1982" w:type="dxa"/>
          </w:tcPr>
          <w:p w14:paraId="2F5B1EB5" w14:textId="07B07F5A" w:rsidR="0011400D" w:rsidRPr="00A70BBB" w:rsidRDefault="0011400D" w:rsidP="0011400D">
            <w:pPr>
              <w:jc w:val="both"/>
              <w:rPr>
                <w:rFonts w:ascii="Arial" w:hAnsi="Arial" w:cs="Arial"/>
                <w:color w:val="000000" w:themeColor="text1"/>
              </w:rPr>
            </w:pPr>
            <w:r w:rsidRPr="00A70BBB">
              <w:rPr>
                <w:rFonts w:ascii="Arial" w:hAnsi="Arial" w:cs="Arial"/>
              </w:rPr>
              <w:t xml:space="preserve">Women weaver’s sales suffer from </w:t>
            </w:r>
            <w:r w:rsidRPr="00A70BBB">
              <w:rPr>
                <w:rFonts w:ascii="Arial" w:hAnsi="Arial" w:cs="Arial"/>
              </w:rPr>
              <w:lastRenderedPageBreak/>
              <w:t>limited access to larger markets</w:t>
            </w:r>
          </w:p>
        </w:tc>
        <w:tc>
          <w:tcPr>
            <w:tcW w:w="669" w:type="dxa"/>
            <w:tcBorders>
              <w:top w:val="single" w:sz="4" w:space="0" w:color="auto"/>
              <w:left w:val="nil"/>
              <w:bottom w:val="single" w:sz="4" w:space="0" w:color="auto"/>
              <w:right w:val="single" w:sz="4" w:space="0" w:color="auto"/>
            </w:tcBorders>
          </w:tcPr>
          <w:p w14:paraId="55B5CEBC" w14:textId="6E2D5ABE" w:rsidR="0011400D" w:rsidRPr="00A70BBB" w:rsidRDefault="0011400D" w:rsidP="0011400D">
            <w:pPr>
              <w:jc w:val="both"/>
              <w:rPr>
                <w:rFonts w:ascii="Arial" w:hAnsi="Arial" w:cs="Arial"/>
                <w:color w:val="000000" w:themeColor="text1"/>
              </w:rPr>
            </w:pPr>
            <w:r w:rsidRPr="00A70BBB">
              <w:rPr>
                <w:rFonts w:ascii="Arial" w:hAnsi="Arial" w:cs="Arial"/>
              </w:rPr>
              <w:lastRenderedPageBreak/>
              <w:t>2268</w:t>
            </w:r>
          </w:p>
        </w:tc>
        <w:tc>
          <w:tcPr>
            <w:tcW w:w="758" w:type="dxa"/>
            <w:tcBorders>
              <w:top w:val="single" w:sz="4" w:space="0" w:color="auto"/>
              <w:left w:val="single" w:sz="4" w:space="0" w:color="auto"/>
              <w:bottom w:val="single" w:sz="4" w:space="0" w:color="auto"/>
              <w:right w:val="single" w:sz="4" w:space="0" w:color="auto"/>
            </w:tcBorders>
          </w:tcPr>
          <w:p w14:paraId="3AC8D8FD" w14:textId="4086CBB8" w:rsidR="0011400D" w:rsidRPr="00A70BBB" w:rsidRDefault="0011400D" w:rsidP="0011400D">
            <w:pPr>
              <w:jc w:val="both"/>
              <w:rPr>
                <w:rFonts w:ascii="Arial" w:hAnsi="Arial" w:cs="Arial"/>
                <w:color w:val="000000" w:themeColor="text1"/>
              </w:rPr>
            </w:pPr>
            <w:r w:rsidRPr="00A70BBB">
              <w:rPr>
                <w:rFonts w:ascii="Arial" w:hAnsi="Arial" w:cs="Arial"/>
              </w:rPr>
              <w:t>414</w:t>
            </w:r>
          </w:p>
        </w:tc>
        <w:tc>
          <w:tcPr>
            <w:tcW w:w="754" w:type="dxa"/>
            <w:tcBorders>
              <w:top w:val="single" w:sz="4" w:space="0" w:color="auto"/>
              <w:left w:val="single" w:sz="4" w:space="0" w:color="auto"/>
              <w:bottom w:val="single" w:sz="4" w:space="0" w:color="auto"/>
              <w:right w:val="single" w:sz="4" w:space="0" w:color="auto"/>
            </w:tcBorders>
          </w:tcPr>
          <w:p w14:paraId="463941D1" w14:textId="1B6D4BEE" w:rsidR="0011400D" w:rsidRPr="00A70BBB" w:rsidRDefault="0011400D" w:rsidP="0011400D">
            <w:pPr>
              <w:jc w:val="both"/>
              <w:rPr>
                <w:rFonts w:ascii="Arial" w:hAnsi="Arial" w:cs="Arial"/>
                <w:color w:val="000000" w:themeColor="text1"/>
              </w:rPr>
            </w:pPr>
            <w:r w:rsidRPr="00A70BBB">
              <w:rPr>
                <w:rFonts w:ascii="Arial" w:hAnsi="Arial" w:cs="Arial"/>
              </w:rPr>
              <w:t>366</w:t>
            </w:r>
          </w:p>
        </w:tc>
        <w:tc>
          <w:tcPr>
            <w:tcW w:w="754" w:type="dxa"/>
            <w:tcBorders>
              <w:top w:val="single" w:sz="4" w:space="0" w:color="auto"/>
              <w:left w:val="single" w:sz="4" w:space="0" w:color="auto"/>
              <w:bottom w:val="single" w:sz="4" w:space="0" w:color="auto"/>
              <w:right w:val="single" w:sz="4" w:space="0" w:color="auto"/>
            </w:tcBorders>
          </w:tcPr>
          <w:p w14:paraId="1D9EDBF3" w14:textId="59F5BB62"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75" w:type="dxa"/>
            <w:tcBorders>
              <w:top w:val="single" w:sz="4" w:space="0" w:color="auto"/>
              <w:left w:val="single" w:sz="4" w:space="0" w:color="auto"/>
              <w:bottom w:val="single" w:sz="4" w:space="0" w:color="auto"/>
              <w:right w:val="single" w:sz="4" w:space="0" w:color="auto"/>
            </w:tcBorders>
          </w:tcPr>
          <w:p w14:paraId="7268B7C4" w14:textId="1B73843C"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697" w:type="dxa"/>
            <w:tcBorders>
              <w:top w:val="single" w:sz="4" w:space="0" w:color="auto"/>
              <w:left w:val="single" w:sz="4" w:space="0" w:color="auto"/>
              <w:bottom w:val="single" w:sz="4" w:space="0" w:color="auto"/>
              <w:right w:val="single" w:sz="4" w:space="0" w:color="auto"/>
            </w:tcBorders>
          </w:tcPr>
          <w:p w14:paraId="365EC6C6" w14:textId="7F8CFBC2" w:rsidR="0011400D" w:rsidRPr="00A70BBB" w:rsidRDefault="0011400D" w:rsidP="0011400D">
            <w:pPr>
              <w:jc w:val="both"/>
              <w:rPr>
                <w:rFonts w:ascii="Arial" w:hAnsi="Arial" w:cs="Arial"/>
                <w:color w:val="000000" w:themeColor="text1"/>
              </w:rPr>
            </w:pPr>
            <w:r w:rsidRPr="00A70BBB">
              <w:rPr>
                <w:rFonts w:ascii="Arial" w:hAnsi="Arial" w:cs="Arial"/>
              </w:rPr>
              <w:t>3048</w:t>
            </w:r>
          </w:p>
        </w:tc>
        <w:tc>
          <w:tcPr>
            <w:tcW w:w="1251" w:type="dxa"/>
            <w:tcBorders>
              <w:top w:val="single" w:sz="4" w:space="0" w:color="auto"/>
              <w:left w:val="single" w:sz="4" w:space="0" w:color="auto"/>
              <w:bottom w:val="single" w:sz="4" w:space="0" w:color="auto"/>
              <w:right w:val="nil"/>
            </w:tcBorders>
          </w:tcPr>
          <w:p w14:paraId="6CFC7B69" w14:textId="36F92F18" w:rsidR="0011400D" w:rsidRPr="00A70BBB" w:rsidRDefault="0011400D" w:rsidP="0011400D">
            <w:pPr>
              <w:jc w:val="both"/>
              <w:rPr>
                <w:rFonts w:ascii="Arial" w:hAnsi="Arial" w:cs="Arial"/>
                <w:color w:val="000000" w:themeColor="text1"/>
              </w:rPr>
            </w:pPr>
            <w:r w:rsidRPr="00A70BBB">
              <w:rPr>
                <w:rFonts w:ascii="Arial" w:hAnsi="Arial" w:cs="Arial"/>
              </w:rPr>
              <w:t>76.20</w:t>
            </w:r>
          </w:p>
        </w:tc>
        <w:tc>
          <w:tcPr>
            <w:tcW w:w="730" w:type="dxa"/>
          </w:tcPr>
          <w:p w14:paraId="2D17510C" w14:textId="1488A34E" w:rsidR="0011400D" w:rsidRPr="00A70BBB" w:rsidRDefault="0011400D" w:rsidP="0011400D">
            <w:pPr>
              <w:jc w:val="both"/>
              <w:rPr>
                <w:rFonts w:ascii="Arial" w:hAnsi="Arial" w:cs="Arial"/>
                <w:color w:val="000000" w:themeColor="text1"/>
              </w:rPr>
            </w:pPr>
            <w:r w:rsidRPr="00A70BBB">
              <w:rPr>
                <w:rFonts w:ascii="Arial" w:hAnsi="Arial" w:cs="Arial"/>
              </w:rPr>
              <w:t>I</w:t>
            </w:r>
          </w:p>
        </w:tc>
      </w:tr>
      <w:tr w:rsidR="0011400D" w:rsidRPr="00A70BBB" w14:paraId="761EE0BF" w14:textId="77777777" w:rsidTr="00777E8B">
        <w:tc>
          <w:tcPr>
            <w:tcW w:w="810" w:type="dxa"/>
          </w:tcPr>
          <w:p w14:paraId="29545B22" w14:textId="77777777" w:rsidR="0011400D" w:rsidRPr="00A70BBB" w:rsidRDefault="0011400D" w:rsidP="0011400D">
            <w:pPr>
              <w:pStyle w:val="ListParagraph"/>
              <w:numPr>
                <w:ilvl w:val="0"/>
                <w:numId w:val="2"/>
              </w:numPr>
              <w:jc w:val="both"/>
              <w:rPr>
                <w:rFonts w:ascii="Arial" w:hAnsi="Arial" w:cs="Arial"/>
                <w:color w:val="000000" w:themeColor="text1"/>
              </w:rPr>
            </w:pPr>
          </w:p>
        </w:tc>
        <w:tc>
          <w:tcPr>
            <w:tcW w:w="1982" w:type="dxa"/>
          </w:tcPr>
          <w:p w14:paraId="2438E552" w14:textId="2DE8D448" w:rsidR="0011400D" w:rsidRPr="00A70BBB" w:rsidRDefault="0011400D" w:rsidP="0011400D">
            <w:pPr>
              <w:jc w:val="both"/>
              <w:rPr>
                <w:rFonts w:ascii="Arial" w:hAnsi="Arial" w:cs="Arial"/>
                <w:b/>
                <w:bCs/>
                <w:color w:val="000000" w:themeColor="text1"/>
              </w:rPr>
            </w:pPr>
            <w:r w:rsidRPr="00A70BBB">
              <w:rPr>
                <w:rFonts w:ascii="Arial" w:hAnsi="Arial" w:cs="Arial"/>
              </w:rPr>
              <w:t>Lack of marketing knowledge hinders women weavers' business development</w:t>
            </w:r>
          </w:p>
        </w:tc>
        <w:tc>
          <w:tcPr>
            <w:tcW w:w="669" w:type="dxa"/>
            <w:tcBorders>
              <w:top w:val="single" w:sz="4" w:space="0" w:color="auto"/>
              <w:left w:val="nil"/>
              <w:bottom w:val="single" w:sz="4" w:space="0" w:color="auto"/>
              <w:right w:val="single" w:sz="4" w:space="0" w:color="auto"/>
            </w:tcBorders>
          </w:tcPr>
          <w:p w14:paraId="35C23695" w14:textId="0C9389C2" w:rsidR="0011400D" w:rsidRPr="00A70BBB" w:rsidRDefault="0011400D" w:rsidP="0011400D">
            <w:pPr>
              <w:jc w:val="both"/>
              <w:rPr>
                <w:rFonts w:ascii="Arial" w:hAnsi="Arial" w:cs="Arial"/>
                <w:color w:val="000000" w:themeColor="text1"/>
              </w:rPr>
            </w:pPr>
            <w:r w:rsidRPr="00A70BBB">
              <w:rPr>
                <w:rFonts w:ascii="Arial" w:hAnsi="Arial" w:cs="Arial"/>
              </w:rPr>
              <w:t>1458</w:t>
            </w:r>
          </w:p>
        </w:tc>
        <w:tc>
          <w:tcPr>
            <w:tcW w:w="758" w:type="dxa"/>
            <w:tcBorders>
              <w:top w:val="single" w:sz="4" w:space="0" w:color="auto"/>
              <w:left w:val="single" w:sz="4" w:space="0" w:color="auto"/>
              <w:bottom w:val="single" w:sz="4" w:space="0" w:color="auto"/>
              <w:right w:val="single" w:sz="4" w:space="0" w:color="auto"/>
            </w:tcBorders>
          </w:tcPr>
          <w:p w14:paraId="76B4CA04" w14:textId="30D0D638" w:rsidR="0011400D" w:rsidRPr="00A70BBB" w:rsidRDefault="0011400D" w:rsidP="0011400D">
            <w:pPr>
              <w:jc w:val="both"/>
              <w:rPr>
                <w:rFonts w:ascii="Arial" w:hAnsi="Arial" w:cs="Arial"/>
                <w:color w:val="000000" w:themeColor="text1"/>
              </w:rPr>
            </w:pPr>
            <w:r w:rsidRPr="00A70BBB">
              <w:rPr>
                <w:rFonts w:ascii="Arial" w:hAnsi="Arial" w:cs="Arial"/>
              </w:rPr>
              <w:t>1518</w:t>
            </w:r>
          </w:p>
        </w:tc>
        <w:tc>
          <w:tcPr>
            <w:tcW w:w="754" w:type="dxa"/>
            <w:tcBorders>
              <w:top w:val="single" w:sz="4" w:space="0" w:color="auto"/>
              <w:left w:val="single" w:sz="4" w:space="0" w:color="auto"/>
              <w:bottom w:val="single" w:sz="4" w:space="0" w:color="auto"/>
              <w:right w:val="single" w:sz="4" w:space="0" w:color="auto"/>
            </w:tcBorders>
          </w:tcPr>
          <w:p w14:paraId="10B6FE22" w14:textId="40D0B878"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54" w:type="dxa"/>
            <w:tcBorders>
              <w:top w:val="single" w:sz="4" w:space="0" w:color="auto"/>
              <w:left w:val="single" w:sz="4" w:space="0" w:color="auto"/>
              <w:bottom w:val="single" w:sz="4" w:space="0" w:color="auto"/>
              <w:right w:val="single" w:sz="4" w:space="0" w:color="auto"/>
            </w:tcBorders>
          </w:tcPr>
          <w:p w14:paraId="5740096F" w14:textId="4A8245B2"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75" w:type="dxa"/>
            <w:tcBorders>
              <w:top w:val="single" w:sz="4" w:space="0" w:color="auto"/>
              <w:left w:val="single" w:sz="4" w:space="0" w:color="auto"/>
              <w:bottom w:val="single" w:sz="4" w:space="0" w:color="auto"/>
              <w:right w:val="single" w:sz="4" w:space="0" w:color="auto"/>
            </w:tcBorders>
          </w:tcPr>
          <w:p w14:paraId="4EB6D22C" w14:textId="0181800B"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697" w:type="dxa"/>
            <w:tcBorders>
              <w:top w:val="single" w:sz="4" w:space="0" w:color="auto"/>
              <w:left w:val="single" w:sz="4" w:space="0" w:color="auto"/>
              <w:bottom w:val="single" w:sz="4" w:space="0" w:color="auto"/>
              <w:right w:val="single" w:sz="4" w:space="0" w:color="auto"/>
            </w:tcBorders>
          </w:tcPr>
          <w:p w14:paraId="56A9BC92" w14:textId="5BAD34A2" w:rsidR="0011400D" w:rsidRPr="00A70BBB" w:rsidRDefault="0011400D" w:rsidP="0011400D">
            <w:pPr>
              <w:jc w:val="both"/>
              <w:rPr>
                <w:rFonts w:ascii="Arial" w:hAnsi="Arial" w:cs="Arial"/>
                <w:color w:val="000000" w:themeColor="text1"/>
              </w:rPr>
            </w:pPr>
            <w:r w:rsidRPr="00A70BBB">
              <w:rPr>
                <w:rFonts w:ascii="Arial" w:hAnsi="Arial" w:cs="Arial"/>
              </w:rPr>
              <w:t>2976</w:t>
            </w:r>
          </w:p>
        </w:tc>
        <w:tc>
          <w:tcPr>
            <w:tcW w:w="1251" w:type="dxa"/>
            <w:tcBorders>
              <w:top w:val="single" w:sz="4" w:space="0" w:color="auto"/>
              <w:left w:val="single" w:sz="4" w:space="0" w:color="auto"/>
              <w:bottom w:val="single" w:sz="4" w:space="0" w:color="auto"/>
              <w:right w:val="nil"/>
            </w:tcBorders>
          </w:tcPr>
          <w:p w14:paraId="48B41E08" w14:textId="217AE3D4" w:rsidR="0011400D" w:rsidRPr="00A70BBB" w:rsidRDefault="0011400D" w:rsidP="0011400D">
            <w:pPr>
              <w:jc w:val="both"/>
              <w:rPr>
                <w:rFonts w:ascii="Arial" w:hAnsi="Arial" w:cs="Arial"/>
                <w:color w:val="000000" w:themeColor="text1"/>
              </w:rPr>
            </w:pPr>
            <w:r w:rsidRPr="00A70BBB">
              <w:rPr>
                <w:rFonts w:ascii="Arial" w:hAnsi="Arial" w:cs="Arial"/>
              </w:rPr>
              <w:t>74.40</w:t>
            </w:r>
          </w:p>
        </w:tc>
        <w:tc>
          <w:tcPr>
            <w:tcW w:w="730" w:type="dxa"/>
          </w:tcPr>
          <w:p w14:paraId="40F0EF73" w14:textId="756F57D4" w:rsidR="0011400D" w:rsidRPr="00A70BBB" w:rsidRDefault="0011400D" w:rsidP="0011400D">
            <w:pPr>
              <w:jc w:val="both"/>
              <w:rPr>
                <w:rFonts w:ascii="Arial" w:hAnsi="Arial" w:cs="Arial"/>
                <w:color w:val="000000" w:themeColor="text1"/>
              </w:rPr>
            </w:pPr>
            <w:r w:rsidRPr="00A70BBB">
              <w:rPr>
                <w:rFonts w:ascii="Arial" w:hAnsi="Arial" w:cs="Arial"/>
              </w:rPr>
              <w:t>II</w:t>
            </w:r>
          </w:p>
        </w:tc>
      </w:tr>
      <w:tr w:rsidR="0011400D" w:rsidRPr="00A70BBB" w14:paraId="342455B8" w14:textId="77777777" w:rsidTr="00777E8B">
        <w:tc>
          <w:tcPr>
            <w:tcW w:w="810" w:type="dxa"/>
          </w:tcPr>
          <w:p w14:paraId="19A0F4A7" w14:textId="77777777" w:rsidR="0011400D" w:rsidRPr="00A70BBB" w:rsidRDefault="0011400D" w:rsidP="0011400D">
            <w:pPr>
              <w:pStyle w:val="ListParagraph"/>
              <w:numPr>
                <w:ilvl w:val="0"/>
                <w:numId w:val="2"/>
              </w:numPr>
              <w:jc w:val="both"/>
              <w:rPr>
                <w:rFonts w:ascii="Arial" w:hAnsi="Arial" w:cs="Arial"/>
                <w:color w:val="000000" w:themeColor="text1"/>
              </w:rPr>
            </w:pPr>
          </w:p>
        </w:tc>
        <w:tc>
          <w:tcPr>
            <w:tcW w:w="1982" w:type="dxa"/>
          </w:tcPr>
          <w:p w14:paraId="4ED6687C" w14:textId="6F5FD70D" w:rsidR="0011400D" w:rsidRPr="00A70BBB" w:rsidRDefault="0011400D" w:rsidP="0011400D">
            <w:pPr>
              <w:jc w:val="both"/>
              <w:rPr>
                <w:rFonts w:ascii="Arial" w:hAnsi="Arial" w:cs="Arial"/>
                <w:color w:val="000000" w:themeColor="text1"/>
              </w:rPr>
            </w:pPr>
            <w:r w:rsidRPr="00A70BBB">
              <w:rPr>
                <w:rFonts w:ascii="Arial" w:hAnsi="Arial" w:cs="Arial"/>
              </w:rPr>
              <w:t>Limited contacts with buyers restrict women weavers' market exposure</w:t>
            </w:r>
          </w:p>
        </w:tc>
        <w:tc>
          <w:tcPr>
            <w:tcW w:w="669" w:type="dxa"/>
            <w:tcBorders>
              <w:top w:val="single" w:sz="4" w:space="0" w:color="auto"/>
              <w:left w:val="nil"/>
              <w:bottom w:val="single" w:sz="4" w:space="0" w:color="auto"/>
              <w:right w:val="single" w:sz="4" w:space="0" w:color="auto"/>
            </w:tcBorders>
          </w:tcPr>
          <w:p w14:paraId="12733145" w14:textId="3FF32368" w:rsidR="0011400D" w:rsidRPr="00A70BBB" w:rsidRDefault="0011400D" w:rsidP="0011400D">
            <w:pPr>
              <w:jc w:val="both"/>
              <w:rPr>
                <w:rFonts w:ascii="Arial" w:hAnsi="Arial" w:cs="Arial"/>
                <w:color w:val="000000" w:themeColor="text1"/>
              </w:rPr>
            </w:pPr>
            <w:r w:rsidRPr="00A70BBB">
              <w:rPr>
                <w:rFonts w:ascii="Arial" w:hAnsi="Arial" w:cs="Arial"/>
              </w:rPr>
              <w:t>1458</w:t>
            </w:r>
          </w:p>
        </w:tc>
        <w:tc>
          <w:tcPr>
            <w:tcW w:w="758" w:type="dxa"/>
            <w:tcBorders>
              <w:top w:val="single" w:sz="4" w:space="0" w:color="auto"/>
              <w:left w:val="single" w:sz="4" w:space="0" w:color="auto"/>
              <w:bottom w:val="single" w:sz="4" w:space="0" w:color="auto"/>
              <w:right w:val="single" w:sz="4" w:space="0" w:color="auto"/>
            </w:tcBorders>
          </w:tcPr>
          <w:p w14:paraId="6835DDD6" w14:textId="7F0426B3" w:rsidR="0011400D" w:rsidRPr="00A70BBB" w:rsidRDefault="0011400D" w:rsidP="0011400D">
            <w:pPr>
              <w:jc w:val="both"/>
              <w:rPr>
                <w:rFonts w:ascii="Arial" w:hAnsi="Arial" w:cs="Arial"/>
                <w:color w:val="000000" w:themeColor="text1"/>
              </w:rPr>
            </w:pPr>
            <w:r w:rsidRPr="00A70BBB">
              <w:rPr>
                <w:rFonts w:ascii="Arial" w:hAnsi="Arial" w:cs="Arial"/>
              </w:rPr>
              <w:t>1518</w:t>
            </w:r>
          </w:p>
        </w:tc>
        <w:tc>
          <w:tcPr>
            <w:tcW w:w="754" w:type="dxa"/>
            <w:tcBorders>
              <w:top w:val="single" w:sz="4" w:space="0" w:color="auto"/>
              <w:left w:val="single" w:sz="4" w:space="0" w:color="auto"/>
              <w:bottom w:val="single" w:sz="4" w:space="0" w:color="auto"/>
              <w:right w:val="single" w:sz="4" w:space="0" w:color="auto"/>
            </w:tcBorders>
          </w:tcPr>
          <w:p w14:paraId="758C364D" w14:textId="06296671"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54" w:type="dxa"/>
            <w:tcBorders>
              <w:top w:val="single" w:sz="4" w:space="0" w:color="auto"/>
              <w:left w:val="single" w:sz="4" w:space="0" w:color="auto"/>
              <w:bottom w:val="single" w:sz="4" w:space="0" w:color="auto"/>
              <w:right w:val="single" w:sz="4" w:space="0" w:color="auto"/>
            </w:tcBorders>
          </w:tcPr>
          <w:p w14:paraId="1F0C26D4" w14:textId="5DF6433C"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75" w:type="dxa"/>
            <w:tcBorders>
              <w:top w:val="single" w:sz="4" w:space="0" w:color="auto"/>
              <w:left w:val="single" w:sz="4" w:space="0" w:color="auto"/>
              <w:bottom w:val="single" w:sz="4" w:space="0" w:color="auto"/>
              <w:right w:val="single" w:sz="4" w:space="0" w:color="auto"/>
            </w:tcBorders>
          </w:tcPr>
          <w:p w14:paraId="303A5A6C" w14:textId="4792BE0D"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697" w:type="dxa"/>
            <w:tcBorders>
              <w:top w:val="single" w:sz="4" w:space="0" w:color="auto"/>
              <w:left w:val="single" w:sz="4" w:space="0" w:color="auto"/>
              <w:bottom w:val="single" w:sz="4" w:space="0" w:color="auto"/>
              <w:right w:val="single" w:sz="4" w:space="0" w:color="auto"/>
            </w:tcBorders>
          </w:tcPr>
          <w:p w14:paraId="49ABBF0B" w14:textId="6ED152C1" w:rsidR="0011400D" w:rsidRPr="00A70BBB" w:rsidRDefault="0011400D" w:rsidP="0011400D">
            <w:pPr>
              <w:jc w:val="both"/>
              <w:rPr>
                <w:rFonts w:ascii="Arial" w:hAnsi="Arial" w:cs="Arial"/>
                <w:color w:val="000000" w:themeColor="text1"/>
              </w:rPr>
            </w:pPr>
            <w:r w:rsidRPr="00A70BBB">
              <w:rPr>
                <w:rFonts w:ascii="Arial" w:hAnsi="Arial" w:cs="Arial"/>
              </w:rPr>
              <w:t>2976</w:t>
            </w:r>
          </w:p>
        </w:tc>
        <w:tc>
          <w:tcPr>
            <w:tcW w:w="1251" w:type="dxa"/>
            <w:tcBorders>
              <w:top w:val="single" w:sz="4" w:space="0" w:color="auto"/>
              <w:left w:val="single" w:sz="4" w:space="0" w:color="auto"/>
              <w:bottom w:val="single" w:sz="4" w:space="0" w:color="auto"/>
              <w:right w:val="nil"/>
            </w:tcBorders>
          </w:tcPr>
          <w:p w14:paraId="5CCCF2B8" w14:textId="6A95A64F" w:rsidR="0011400D" w:rsidRPr="00A70BBB" w:rsidRDefault="0011400D" w:rsidP="0011400D">
            <w:pPr>
              <w:jc w:val="both"/>
              <w:rPr>
                <w:rFonts w:ascii="Arial" w:hAnsi="Arial" w:cs="Arial"/>
                <w:color w:val="EE0000"/>
              </w:rPr>
            </w:pPr>
            <w:r w:rsidRPr="00A70BBB">
              <w:rPr>
                <w:rFonts w:ascii="Arial" w:hAnsi="Arial" w:cs="Arial"/>
              </w:rPr>
              <w:t>74.40</w:t>
            </w:r>
          </w:p>
        </w:tc>
        <w:tc>
          <w:tcPr>
            <w:tcW w:w="730" w:type="dxa"/>
          </w:tcPr>
          <w:p w14:paraId="3D8861FF" w14:textId="286DFEF0" w:rsidR="0011400D" w:rsidRPr="00A70BBB" w:rsidRDefault="0011400D" w:rsidP="0011400D">
            <w:pPr>
              <w:jc w:val="both"/>
              <w:rPr>
                <w:rFonts w:ascii="Arial" w:hAnsi="Arial" w:cs="Arial"/>
                <w:color w:val="EE0000"/>
              </w:rPr>
            </w:pPr>
            <w:r w:rsidRPr="00A70BBB">
              <w:rPr>
                <w:rFonts w:ascii="Arial" w:hAnsi="Arial" w:cs="Arial"/>
              </w:rPr>
              <w:t>II</w:t>
            </w:r>
          </w:p>
        </w:tc>
      </w:tr>
      <w:tr w:rsidR="0011400D" w:rsidRPr="00A70BBB" w14:paraId="698AE854" w14:textId="77777777" w:rsidTr="00777E8B">
        <w:tc>
          <w:tcPr>
            <w:tcW w:w="810" w:type="dxa"/>
          </w:tcPr>
          <w:p w14:paraId="70F944C3" w14:textId="77777777" w:rsidR="0011400D" w:rsidRPr="00A70BBB" w:rsidRDefault="0011400D" w:rsidP="0011400D">
            <w:pPr>
              <w:pStyle w:val="ListParagraph"/>
              <w:numPr>
                <w:ilvl w:val="0"/>
                <w:numId w:val="2"/>
              </w:numPr>
              <w:jc w:val="both"/>
              <w:rPr>
                <w:rFonts w:ascii="Arial" w:hAnsi="Arial" w:cs="Arial"/>
                <w:color w:val="000000" w:themeColor="text1"/>
              </w:rPr>
            </w:pPr>
          </w:p>
        </w:tc>
        <w:tc>
          <w:tcPr>
            <w:tcW w:w="1982" w:type="dxa"/>
          </w:tcPr>
          <w:p w14:paraId="25CFF3A3" w14:textId="2AA4B36A" w:rsidR="0011400D" w:rsidRPr="00A70BBB" w:rsidRDefault="0011400D" w:rsidP="0011400D">
            <w:pPr>
              <w:jc w:val="both"/>
              <w:rPr>
                <w:rFonts w:ascii="Arial" w:hAnsi="Arial" w:cs="Arial"/>
                <w:color w:val="000000" w:themeColor="text1"/>
              </w:rPr>
            </w:pPr>
            <w:r w:rsidRPr="00A70BBB">
              <w:rPr>
                <w:rFonts w:ascii="Arial" w:hAnsi="Arial" w:cs="Arial"/>
              </w:rPr>
              <w:t>Gender differences reduce women weavers' negotiating power in marketing</w:t>
            </w:r>
          </w:p>
        </w:tc>
        <w:tc>
          <w:tcPr>
            <w:tcW w:w="669" w:type="dxa"/>
            <w:tcBorders>
              <w:top w:val="single" w:sz="4" w:space="0" w:color="auto"/>
              <w:left w:val="nil"/>
              <w:bottom w:val="single" w:sz="4" w:space="0" w:color="auto"/>
              <w:right w:val="single" w:sz="4" w:space="0" w:color="auto"/>
            </w:tcBorders>
          </w:tcPr>
          <w:p w14:paraId="35C2855D" w14:textId="550D2B7E" w:rsidR="0011400D" w:rsidRPr="00A70BBB" w:rsidRDefault="0011400D" w:rsidP="0011400D">
            <w:pPr>
              <w:jc w:val="both"/>
              <w:rPr>
                <w:rFonts w:ascii="Arial" w:hAnsi="Arial" w:cs="Arial"/>
                <w:color w:val="000000" w:themeColor="text1"/>
              </w:rPr>
            </w:pPr>
            <w:r w:rsidRPr="00A70BBB">
              <w:rPr>
                <w:rFonts w:ascii="Arial" w:hAnsi="Arial" w:cs="Arial"/>
              </w:rPr>
              <w:t>1458</w:t>
            </w:r>
          </w:p>
        </w:tc>
        <w:tc>
          <w:tcPr>
            <w:tcW w:w="758" w:type="dxa"/>
            <w:tcBorders>
              <w:top w:val="single" w:sz="4" w:space="0" w:color="auto"/>
              <w:left w:val="single" w:sz="4" w:space="0" w:color="auto"/>
              <w:bottom w:val="single" w:sz="4" w:space="0" w:color="auto"/>
              <w:right w:val="single" w:sz="4" w:space="0" w:color="auto"/>
            </w:tcBorders>
          </w:tcPr>
          <w:p w14:paraId="02830FC3" w14:textId="402CCE96" w:rsidR="0011400D" w:rsidRPr="00A70BBB" w:rsidRDefault="0011400D" w:rsidP="0011400D">
            <w:pPr>
              <w:jc w:val="both"/>
              <w:rPr>
                <w:rFonts w:ascii="Arial" w:hAnsi="Arial" w:cs="Arial"/>
                <w:color w:val="000000" w:themeColor="text1"/>
              </w:rPr>
            </w:pPr>
            <w:r w:rsidRPr="00A70BBB">
              <w:rPr>
                <w:rFonts w:ascii="Arial" w:hAnsi="Arial" w:cs="Arial"/>
              </w:rPr>
              <w:t>1449</w:t>
            </w:r>
          </w:p>
        </w:tc>
        <w:tc>
          <w:tcPr>
            <w:tcW w:w="754" w:type="dxa"/>
            <w:tcBorders>
              <w:top w:val="single" w:sz="4" w:space="0" w:color="auto"/>
              <w:left w:val="single" w:sz="4" w:space="0" w:color="auto"/>
              <w:bottom w:val="single" w:sz="4" w:space="0" w:color="auto"/>
              <w:right w:val="single" w:sz="4" w:space="0" w:color="auto"/>
            </w:tcBorders>
          </w:tcPr>
          <w:p w14:paraId="7900708C" w14:textId="5FE14295" w:rsidR="0011400D" w:rsidRPr="00A70BBB" w:rsidRDefault="0011400D" w:rsidP="0011400D">
            <w:pPr>
              <w:jc w:val="both"/>
              <w:rPr>
                <w:rFonts w:ascii="Arial" w:hAnsi="Arial" w:cs="Arial"/>
                <w:color w:val="000000" w:themeColor="text1"/>
              </w:rPr>
            </w:pPr>
            <w:r w:rsidRPr="00A70BBB">
              <w:rPr>
                <w:rFonts w:ascii="Arial" w:hAnsi="Arial" w:cs="Arial"/>
              </w:rPr>
              <w:t>61</w:t>
            </w:r>
          </w:p>
        </w:tc>
        <w:tc>
          <w:tcPr>
            <w:tcW w:w="754" w:type="dxa"/>
            <w:tcBorders>
              <w:top w:val="single" w:sz="4" w:space="0" w:color="auto"/>
              <w:left w:val="single" w:sz="4" w:space="0" w:color="auto"/>
              <w:bottom w:val="single" w:sz="4" w:space="0" w:color="auto"/>
              <w:right w:val="single" w:sz="4" w:space="0" w:color="auto"/>
            </w:tcBorders>
          </w:tcPr>
          <w:p w14:paraId="20EA9A5B" w14:textId="05774D2A"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75" w:type="dxa"/>
            <w:tcBorders>
              <w:top w:val="single" w:sz="4" w:space="0" w:color="auto"/>
              <w:left w:val="single" w:sz="4" w:space="0" w:color="auto"/>
              <w:bottom w:val="single" w:sz="4" w:space="0" w:color="auto"/>
              <w:right w:val="single" w:sz="4" w:space="0" w:color="auto"/>
            </w:tcBorders>
          </w:tcPr>
          <w:p w14:paraId="63306A66" w14:textId="12A9CB98"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697" w:type="dxa"/>
            <w:tcBorders>
              <w:top w:val="single" w:sz="4" w:space="0" w:color="auto"/>
              <w:left w:val="single" w:sz="4" w:space="0" w:color="auto"/>
              <w:bottom w:val="single" w:sz="4" w:space="0" w:color="auto"/>
              <w:right w:val="single" w:sz="4" w:space="0" w:color="auto"/>
            </w:tcBorders>
          </w:tcPr>
          <w:p w14:paraId="536EC6FC" w14:textId="34F6D513" w:rsidR="0011400D" w:rsidRPr="00A70BBB" w:rsidRDefault="0011400D" w:rsidP="0011400D">
            <w:pPr>
              <w:jc w:val="both"/>
              <w:rPr>
                <w:rFonts w:ascii="Arial" w:hAnsi="Arial" w:cs="Arial"/>
                <w:color w:val="000000" w:themeColor="text1"/>
              </w:rPr>
            </w:pPr>
            <w:r w:rsidRPr="00A70BBB">
              <w:rPr>
                <w:rFonts w:ascii="Arial" w:hAnsi="Arial" w:cs="Arial"/>
              </w:rPr>
              <w:t>2968</w:t>
            </w:r>
          </w:p>
        </w:tc>
        <w:tc>
          <w:tcPr>
            <w:tcW w:w="1251" w:type="dxa"/>
            <w:tcBorders>
              <w:top w:val="single" w:sz="4" w:space="0" w:color="auto"/>
              <w:left w:val="single" w:sz="4" w:space="0" w:color="auto"/>
              <w:bottom w:val="single" w:sz="4" w:space="0" w:color="auto"/>
              <w:right w:val="nil"/>
            </w:tcBorders>
          </w:tcPr>
          <w:p w14:paraId="5BD49C05" w14:textId="7F7CBB85" w:rsidR="0011400D" w:rsidRPr="00A70BBB" w:rsidRDefault="0011400D" w:rsidP="0011400D">
            <w:pPr>
              <w:jc w:val="both"/>
              <w:rPr>
                <w:rFonts w:ascii="Arial" w:hAnsi="Arial" w:cs="Arial"/>
                <w:color w:val="EE0000"/>
              </w:rPr>
            </w:pPr>
            <w:r w:rsidRPr="00A70BBB">
              <w:rPr>
                <w:rFonts w:ascii="Arial" w:hAnsi="Arial" w:cs="Arial"/>
              </w:rPr>
              <w:t>74.20</w:t>
            </w:r>
          </w:p>
        </w:tc>
        <w:tc>
          <w:tcPr>
            <w:tcW w:w="730" w:type="dxa"/>
          </w:tcPr>
          <w:p w14:paraId="067249EE" w14:textId="0E4EFEB8" w:rsidR="0011400D" w:rsidRPr="00A70BBB" w:rsidRDefault="0011400D" w:rsidP="0011400D">
            <w:pPr>
              <w:jc w:val="both"/>
              <w:rPr>
                <w:rFonts w:ascii="Arial" w:hAnsi="Arial" w:cs="Arial"/>
                <w:color w:val="EE0000"/>
              </w:rPr>
            </w:pPr>
            <w:r w:rsidRPr="00A70BBB">
              <w:rPr>
                <w:rFonts w:ascii="Arial" w:hAnsi="Arial" w:cs="Arial"/>
              </w:rPr>
              <w:t>III</w:t>
            </w:r>
          </w:p>
        </w:tc>
      </w:tr>
      <w:tr w:rsidR="0011400D" w:rsidRPr="00A70BBB" w14:paraId="6A674EE1" w14:textId="77777777" w:rsidTr="00777E8B">
        <w:tc>
          <w:tcPr>
            <w:tcW w:w="810" w:type="dxa"/>
          </w:tcPr>
          <w:p w14:paraId="10FFD98D" w14:textId="77777777" w:rsidR="0011400D" w:rsidRPr="00A70BBB" w:rsidRDefault="0011400D" w:rsidP="0011400D">
            <w:pPr>
              <w:pStyle w:val="ListParagraph"/>
              <w:numPr>
                <w:ilvl w:val="0"/>
                <w:numId w:val="2"/>
              </w:numPr>
              <w:jc w:val="both"/>
              <w:rPr>
                <w:rFonts w:ascii="Arial" w:hAnsi="Arial" w:cs="Arial"/>
                <w:color w:val="000000" w:themeColor="text1"/>
              </w:rPr>
            </w:pPr>
          </w:p>
        </w:tc>
        <w:tc>
          <w:tcPr>
            <w:tcW w:w="1982" w:type="dxa"/>
          </w:tcPr>
          <w:p w14:paraId="4249B370" w14:textId="05FCD12F" w:rsidR="0011400D" w:rsidRPr="00A70BBB" w:rsidRDefault="0011400D" w:rsidP="0011400D">
            <w:pPr>
              <w:jc w:val="both"/>
              <w:rPr>
                <w:rFonts w:ascii="Arial" w:hAnsi="Arial" w:cs="Arial"/>
                <w:color w:val="000000" w:themeColor="text1"/>
              </w:rPr>
            </w:pPr>
            <w:r w:rsidRPr="00A70BBB">
              <w:rPr>
                <w:rFonts w:ascii="Arial" w:hAnsi="Arial" w:cs="Arial"/>
              </w:rPr>
              <w:t>Lack of market trends impacts women weavers' product positioning</w:t>
            </w:r>
          </w:p>
        </w:tc>
        <w:tc>
          <w:tcPr>
            <w:tcW w:w="669" w:type="dxa"/>
            <w:tcBorders>
              <w:top w:val="single" w:sz="4" w:space="0" w:color="auto"/>
              <w:left w:val="nil"/>
              <w:bottom w:val="single" w:sz="4" w:space="0" w:color="auto"/>
              <w:right w:val="single" w:sz="4" w:space="0" w:color="auto"/>
            </w:tcBorders>
          </w:tcPr>
          <w:p w14:paraId="2075B8E4" w14:textId="2968C539" w:rsidR="0011400D" w:rsidRPr="00A70BBB" w:rsidRDefault="0011400D" w:rsidP="0011400D">
            <w:pPr>
              <w:jc w:val="both"/>
              <w:rPr>
                <w:rFonts w:ascii="Arial" w:hAnsi="Arial" w:cs="Arial"/>
                <w:color w:val="000000" w:themeColor="text1"/>
              </w:rPr>
            </w:pPr>
            <w:r w:rsidRPr="00A70BBB">
              <w:rPr>
                <w:rFonts w:ascii="Arial" w:hAnsi="Arial" w:cs="Arial"/>
              </w:rPr>
              <w:t>1458</w:t>
            </w:r>
          </w:p>
        </w:tc>
        <w:tc>
          <w:tcPr>
            <w:tcW w:w="758" w:type="dxa"/>
            <w:tcBorders>
              <w:top w:val="single" w:sz="4" w:space="0" w:color="auto"/>
              <w:left w:val="single" w:sz="4" w:space="0" w:color="auto"/>
              <w:bottom w:val="single" w:sz="4" w:space="0" w:color="auto"/>
              <w:right w:val="single" w:sz="4" w:space="0" w:color="auto"/>
            </w:tcBorders>
          </w:tcPr>
          <w:p w14:paraId="5F42B734" w14:textId="73597139" w:rsidR="0011400D" w:rsidRPr="00A70BBB" w:rsidRDefault="0011400D" w:rsidP="0011400D">
            <w:pPr>
              <w:jc w:val="both"/>
              <w:rPr>
                <w:rFonts w:ascii="Arial" w:hAnsi="Arial" w:cs="Arial"/>
                <w:color w:val="000000" w:themeColor="text1"/>
              </w:rPr>
            </w:pPr>
            <w:r w:rsidRPr="00A70BBB">
              <w:rPr>
                <w:rFonts w:ascii="Arial" w:hAnsi="Arial" w:cs="Arial"/>
              </w:rPr>
              <w:t>1449</w:t>
            </w:r>
          </w:p>
        </w:tc>
        <w:tc>
          <w:tcPr>
            <w:tcW w:w="754" w:type="dxa"/>
            <w:tcBorders>
              <w:top w:val="single" w:sz="4" w:space="0" w:color="auto"/>
              <w:left w:val="single" w:sz="4" w:space="0" w:color="auto"/>
              <w:bottom w:val="single" w:sz="4" w:space="0" w:color="auto"/>
              <w:right w:val="single" w:sz="4" w:space="0" w:color="auto"/>
            </w:tcBorders>
          </w:tcPr>
          <w:p w14:paraId="1D7B1E75" w14:textId="0B0EEF73" w:rsidR="0011400D" w:rsidRPr="00A70BBB" w:rsidRDefault="0011400D" w:rsidP="0011400D">
            <w:pPr>
              <w:jc w:val="both"/>
              <w:rPr>
                <w:rFonts w:ascii="Arial" w:hAnsi="Arial" w:cs="Arial"/>
                <w:color w:val="000000" w:themeColor="text1"/>
              </w:rPr>
            </w:pPr>
            <w:r w:rsidRPr="00A70BBB">
              <w:rPr>
                <w:rFonts w:ascii="Arial" w:hAnsi="Arial" w:cs="Arial"/>
              </w:rPr>
              <w:t>61</w:t>
            </w:r>
          </w:p>
        </w:tc>
        <w:tc>
          <w:tcPr>
            <w:tcW w:w="754" w:type="dxa"/>
            <w:tcBorders>
              <w:top w:val="single" w:sz="4" w:space="0" w:color="auto"/>
              <w:left w:val="single" w:sz="4" w:space="0" w:color="auto"/>
              <w:bottom w:val="single" w:sz="4" w:space="0" w:color="auto"/>
              <w:right w:val="single" w:sz="4" w:space="0" w:color="auto"/>
            </w:tcBorders>
          </w:tcPr>
          <w:p w14:paraId="174C3CCF" w14:textId="6D7A5F53"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75" w:type="dxa"/>
            <w:tcBorders>
              <w:top w:val="single" w:sz="4" w:space="0" w:color="auto"/>
              <w:left w:val="single" w:sz="4" w:space="0" w:color="auto"/>
              <w:bottom w:val="single" w:sz="4" w:space="0" w:color="auto"/>
              <w:right w:val="single" w:sz="4" w:space="0" w:color="auto"/>
            </w:tcBorders>
          </w:tcPr>
          <w:p w14:paraId="62C57D8E" w14:textId="668EEEA1"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697" w:type="dxa"/>
            <w:tcBorders>
              <w:top w:val="single" w:sz="4" w:space="0" w:color="auto"/>
              <w:left w:val="single" w:sz="4" w:space="0" w:color="auto"/>
              <w:bottom w:val="single" w:sz="4" w:space="0" w:color="auto"/>
              <w:right w:val="single" w:sz="4" w:space="0" w:color="auto"/>
            </w:tcBorders>
          </w:tcPr>
          <w:p w14:paraId="4D6E9ECE" w14:textId="17E87AC3" w:rsidR="0011400D" w:rsidRPr="00A70BBB" w:rsidRDefault="0011400D" w:rsidP="0011400D">
            <w:pPr>
              <w:jc w:val="both"/>
              <w:rPr>
                <w:rFonts w:ascii="Arial" w:hAnsi="Arial" w:cs="Arial"/>
                <w:color w:val="000000" w:themeColor="text1"/>
              </w:rPr>
            </w:pPr>
            <w:r w:rsidRPr="00A70BBB">
              <w:rPr>
                <w:rFonts w:ascii="Arial" w:hAnsi="Arial" w:cs="Arial"/>
              </w:rPr>
              <w:t>2968</w:t>
            </w:r>
          </w:p>
        </w:tc>
        <w:tc>
          <w:tcPr>
            <w:tcW w:w="1251" w:type="dxa"/>
            <w:tcBorders>
              <w:top w:val="single" w:sz="4" w:space="0" w:color="auto"/>
              <w:left w:val="single" w:sz="4" w:space="0" w:color="auto"/>
              <w:bottom w:val="single" w:sz="4" w:space="0" w:color="auto"/>
              <w:right w:val="nil"/>
            </w:tcBorders>
          </w:tcPr>
          <w:p w14:paraId="27CF2618" w14:textId="1FBEDD8F" w:rsidR="0011400D" w:rsidRPr="00A70BBB" w:rsidRDefault="0011400D" w:rsidP="0011400D">
            <w:pPr>
              <w:jc w:val="both"/>
              <w:rPr>
                <w:rFonts w:ascii="Arial" w:hAnsi="Arial" w:cs="Arial"/>
                <w:color w:val="000000" w:themeColor="text1"/>
              </w:rPr>
            </w:pPr>
            <w:r w:rsidRPr="00A70BBB">
              <w:rPr>
                <w:rFonts w:ascii="Arial" w:hAnsi="Arial" w:cs="Arial"/>
              </w:rPr>
              <w:t>74.20</w:t>
            </w:r>
          </w:p>
        </w:tc>
        <w:tc>
          <w:tcPr>
            <w:tcW w:w="730" w:type="dxa"/>
          </w:tcPr>
          <w:p w14:paraId="50F537B7" w14:textId="4098C754" w:rsidR="0011400D" w:rsidRPr="00A70BBB" w:rsidRDefault="0011400D" w:rsidP="0011400D">
            <w:pPr>
              <w:jc w:val="both"/>
              <w:rPr>
                <w:rFonts w:ascii="Arial" w:hAnsi="Arial" w:cs="Arial"/>
                <w:color w:val="000000" w:themeColor="text1"/>
              </w:rPr>
            </w:pPr>
            <w:r w:rsidRPr="00A70BBB">
              <w:rPr>
                <w:rFonts w:ascii="Arial" w:hAnsi="Arial" w:cs="Arial"/>
              </w:rPr>
              <w:t>III</w:t>
            </w:r>
          </w:p>
        </w:tc>
      </w:tr>
      <w:tr w:rsidR="0011400D" w:rsidRPr="00A70BBB" w14:paraId="55D6F8A0" w14:textId="77777777" w:rsidTr="00777E8B">
        <w:tc>
          <w:tcPr>
            <w:tcW w:w="810" w:type="dxa"/>
          </w:tcPr>
          <w:p w14:paraId="184A010E" w14:textId="77777777" w:rsidR="0011400D" w:rsidRPr="00A70BBB" w:rsidRDefault="0011400D" w:rsidP="0011400D">
            <w:pPr>
              <w:pStyle w:val="ListParagraph"/>
              <w:numPr>
                <w:ilvl w:val="0"/>
                <w:numId w:val="2"/>
              </w:numPr>
              <w:jc w:val="both"/>
              <w:rPr>
                <w:rFonts w:ascii="Arial" w:hAnsi="Arial" w:cs="Arial"/>
                <w:color w:val="000000" w:themeColor="text1"/>
              </w:rPr>
            </w:pPr>
          </w:p>
        </w:tc>
        <w:tc>
          <w:tcPr>
            <w:tcW w:w="1982" w:type="dxa"/>
          </w:tcPr>
          <w:p w14:paraId="6A173E77" w14:textId="38050AA4" w:rsidR="0011400D" w:rsidRPr="00A70BBB" w:rsidRDefault="0011400D" w:rsidP="0011400D">
            <w:pPr>
              <w:jc w:val="both"/>
              <w:rPr>
                <w:rFonts w:ascii="Arial" w:hAnsi="Arial" w:cs="Arial"/>
                <w:b/>
                <w:bCs/>
                <w:color w:val="000000" w:themeColor="text1"/>
              </w:rPr>
            </w:pPr>
            <w:r w:rsidRPr="00A70BBB">
              <w:rPr>
                <w:rFonts w:ascii="Arial" w:hAnsi="Arial" w:cs="Arial"/>
              </w:rPr>
              <w:t>Insufficient funds hinder women weavers' marketing and promotional efforts</w:t>
            </w:r>
          </w:p>
        </w:tc>
        <w:tc>
          <w:tcPr>
            <w:tcW w:w="669" w:type="dxa"/>
            <w:tcBorders>
              <w:top w:val="single" w:sz="4" w:space="0" w:color="auto"/>
              <w:left w:val="nil"/>
              <w:bottom w:val="single" w:sz="4" w:space="0" w:color="auto"/>
              <w:right w:val="single" w:sz="4" w:space="0" w:color="auto"/>
            </w:tcBorders>
          </w:tcPr>
          <w:p w14:paraId="18C446E8" w14:textId="3114C3B7" w:rsidR="0011400D" w:rsidRPr="00A70BBB" w:rsidRDefault="0011400D" w:rsidP="0011400D">
            <w:pPr>
              <w:jc w:val="both"/>
              <w:rPr>
                <w:rFonts w:ascii="Arial" w:hAnsi="Arial" w:cs="Arial"/>
                <w:color w:val="000000" w:themeColor="text1"/>
              </w:rPr>
            </w:pPr>
            <w:r w:rsidRPr="00A70BBB">
              <w:rPr>
                <w:rFonts w:ascii="Arial" w:hAnsi="Arial" w:cs="Arial"/>
              </w:rPr>
              <w:t>1458</w:t>
            </w:r>
          </w:p>
        </w:tc>
        <w:tc>
          <w:tcPr>
            <w:tcW w:w="758" w:type="dxa"/>
            <w:tcBorders>
              <w:top w:val="single" w:sz="4" w:space="0" w:color="auto"/>
              <w:left w:val="single" w:sz="4" w:space="0" w:color="auto"/>
              <w:bottom w:val="single" w:sz="4" w:space="0" w:color="auto"/>
              <w:right w:val="single" w:sz="4" w:space="0" w:color="auto"/>
            </w:tcBorders>
          </w:tcPr>
          <w:p w14:paraId="3CE0E66F" w14:textId="4C5FF01A" w:rsidR="0011400D" w:rsidRPr="00A70BBB" w:rsidRDefault="0011400D" w:rsidP="0011400D">
            <w:pPr>
              <w:jc w:val="both"/>
              <w:rPr>
                <w:rFonts w:ascii="Arial" w:hAnsi="Arial" w:cs="Arial"/>
                <w:color w:val="000000" w:themeColor="text1"/>
              </w:rPr>
            </w:pPr>
            <w:r w:rsidRPr="00A70BBB">
              <w:rPr>
                <w:rFonts w:ascii="Arial" w:hAnsi="Arial" w:cs="Arial"/>
              </w:rPr>
              <w:t>1518</w:t>
            </w:r>
          </w:p>
        </w:tc>
        <w:tc>
          <w:tcPr>
            <w:tcW w:w="754" w:type="dxa"/>
            <w:tcBorders>
              <w:top w:val="single" w:sz="4" w:space="0" w:color="auto"/>
              <w:left w:val="single" w:sz="4" w:space="0" w:color="auto"/>
              <w:bottom w:val="single" w:sz="4" w:space="0" w:color="auto"/>
              <w:right w:val="single" w:sz="4" w:space="0" w:color="auto"/>
            </w:tcBorders>
          </w:tcPr>
          <w:p w14:paraId="1AF4F3FD" w14:textId="4610ABF4"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54" w:type="dxa"/>
            <w:tcBorders>
              <w:top w:val="single" w:sz="4" w:space="0" w:color="auto"/>
              <w:left w:val="single" w:sz="4" w:space="0" w:color="auto"/>
              <w:bottom w:val="single" w:sz="4" w:space="0" w:color="auto"/>
              <w:right w:val="single" w:sz="4" w:space="0" w:color="auto"/>
            </w:tcBorders>
          </w:tcPr>
          <w:p w14:paraId="4240E536" w14:textId="3788CC57"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75" w:type="dxa"/>
            <w:tcBorders>
              <w:top w:val="single" w:sz="4" w:space="0" w:color="auto"/>
              <w:left w:val="single" w:sz="4" w:space="0" w:color="auto"/>
              <w:bottom w:val="single" w:sz="4" w:space="0" w:color="auto"/>
              <w:right w:val="single" w:sz="4" w:space="0" w:color="auto"/>
            </w:tcBorders>
          </w:tcPr>
          <w:p w14:paraId="4EA61A37" w14:textId="1705180E"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697" w:type="dxa"/>
            <w:tcBorders>
              <w:top w:val="single" w:sz="4" w:space="0" w:color="auto"/>
              <w:left w:val="single" w:sz="4" w:space="0" w:color="auto"/>
              <w:bottom w:val="single" w:sz="4" w:space="0" w:color="auto"/>
              <w:right w:val="single" w:sz="4" w:space="0" w:color="auto"/>
            </w:tcBorders>
          </w:tcPr>
          <w:p w14:paraId="55488267" w14:textId="62E672ED" w:rsidR="0011400D" w:rsidRPr="00A70BBB" w:rsidRDefault="0011400D" w:rsidP="0011400D">
            <w:pPr>
              <w:jc w:val="both"/>
              <w:rPr>
                <w:rFonts w:ascii="Arial" w:hAnsi="Arial" w:cs="Arial"/>
                <w:color w:val="000000" w:themeColor="text1"/>
              </w:rPr>
            </w:pPr>
            <w:r w:rsidRPr="00A70BBB">
              <w:rPr>
                <w:rFonts w:ascii="Arial" w:hAnsi="Arial" w:cs="Arial"/>
              </w:rPr>
              <w:t>2976</w:t>
            </w:r>
          </w:p>
        </w:tc>
        <w:tc>
          <w:tcPr>
            <w:tcW w:w="1251" w:type="dxa"/>
            <w:tcBorders>
              <w:top w:val="single" w:sz="4" w:space="0" w:color="auto"/>
              <w:left w:val="single" w:sz="4" w:space="0" w:color="auto"/>
              <w:bottom w:val="single" w:sz="4" w:space="0" w:color="auto"/>
              <w:right w:val="nil"/>
            </w:tcBorders>
          </w:tcPr>
          <w:p w14:paraId="59BF7BC3" w14:textId="03CEEFA7" w:rsidR="0011400D" w:rsidRPr="00A70BBB" w:rsidRDefault="0011400D" w:rsidP="0011400D">
            <w:pPr>
              <w:jc w:val="both"/>
              <w:rPr>
                <w:rFonts w:ascii="Arial" w:hAnsi="Arial" w:cs="Arial"/>
                <w:color w:val="EE0000"/>
              </w:rPr>
            </w:pPr>
            <w:r w:rsidRPr="00A70BBB">
              <w:rPr>
                <w:rFonts w:ascii="Arial" w:hAnsi="Arial" w:cs="Arial"/>
              </w:rPr>
              <w:t>74.40</w:t>
            </w:r>
          </w:p>
        </w:tc>
        <w:tc>
          <w:tcPr>
            <w:tcW w:w="730" w:type="dxa"/>
          </w:tcPr>
          <w:p w14:paraId="21FBD995" w14:textId="25CB5C10" w:rsidR="0011400D" w:rsidRPr="00A70BBB" w:rsidRDefault="0011400D" w:rsidP="0011400D">
            <w:pPr>
              <w:jc w:val="both"/>
              <w:rPr>
                <w:rFonts w:ascii="Arial" w:hAnsi="Arial" w:cs="Arial"/>
                <w:color w:val="EE0000"/>
              </w:rPr>
            </w:pPr>
            <w:r w:rsidRPr="00A70BBB">
              <w:rPr>
                <w:rFonts w:ascii="Arial" w:hAnsi="Arial" w:cs="Arial"/>
              </w:rPr>
              <w:t>II</w:t>
            </w:r>
          </w:p>
        </w:tc>
      </w:tr>
      <w:tr w:rsidR="0011400D" w:rsidRPr="00A70BBB" w14:paraId="2BDD3D4E" w14:textId="77777777" w:rsidTr="00777E8B">
        <w:tc>
          <w:tcPr>
            <w:tcW w:w="810" w:type="dxa"/>
          </w:tcPr>
          <w:p w14:paraId="330D079D" w14:textId="77777777" w:rsidR="0011400D" w:rsidRPr="00A70BBB" w:rsidRDefault="0011400D" w:rsidP="0011400D">
            <w:pPr>
              <w:pStyle w:val="ListParagraph"/>
              <w:numPr>
                <w:ilvl w:val="0"/>
                <w:numId w:val="2"/>
              </w:numPr>
              <w:jc w:val="both"/>
              <w:rPr>
                <w:rFonts w:ascii="Arial" w:hAnsi="Arial" w:cs="Arial"/>
                <w:color w:val="000000" w:themeColor="text1"/>
              </w:rPr>
            </w:pPr>
          </w:p>
        </w:tc>
        <w:tc>
          <w:tcPr>
            <w:tcW w:w="1982" w:type="dxa"/>
          </w:tcPr>
          <w:p w14:paraId="15E9E4AF" w14:textId="26397BFF" w:rsidR="0011400D" w:rsidRPr="00A70BBB" w:rsidRDefault="0011400D" w:rsidP="0011400D">
            <w:pPr>
              <w:jc w:val="both"/>
              <w:rPr>
                <w:rFonts w:ascii="Arial" w:hAnsi="Arial" w:cs="Arial"/>
                <w:b/>
                <w:bCs/>
                <w:color w:val="000000" w:themeColor="text1"/>
              </w:rPr>
            </w:pPr>
            <w:r w:rsidRPr="00A70BBB">
              <w:rPr>
                <w:rFonts w:ascii="Arial" w:hAnsi="Arial" w:cs="Arial"/>
              </w:rPr>
              <w:t>Severe competition makes it hard for women weavers to stand out</w:t>
            </w:r>
          </w:p>
        </w:tc>
        <w:tc>
          <w:tcPr>
            <w:tcW w:w="669" w:type="dxa"/>
            <w:tcBorders>
              <w:top w:val="single" w:sz="4" w:space="0" w:color="auto"/>
              <w:left w:val="nil"/>
              <w:bottom w:val="single" w:sz="4" w:space="0" w:color="auto"/>
              <w:right w:val="single" w:sz="4" w:space="0" w:color="auto"/>
            </w:tcBorders>
          </w:tcPr>
          <w:p w14:paraId="48F6CE76" w14:textId="4827C690" w:rsidR="0011400D" w:rsidRPr="00A70BBB" w:rsidRDefault="0011400D" w:rsidP="0011400D">
            <w:pPr>
              <w:jc w:val="both"/>
              <w:rPr>
                <w:rFonts w:ascii="Arial" w:hAnsi="Arial" w:cs="Arial"/>
                <w:color w:val="000000" w:themeColor="text1"/>
              </w:rPr>
            </w:pPr>
            <w:r w:rsidRPr="00A70BBB">
              <w:rPr>
                <w:rFonts w:ascii="Arial" w:hAnsi="Arial" w:cs="Arial"/>
              </w:rPr>
              <w:t>1458</w:t>
            </w:r>
          </w:p>
        </w:tc>
        <w:tc>
          <w:tcPr>
            <w:tcW w:w="758" w:type="dxa"/>
            <w:tcBorders>
              <w:top w:val="single" w:sz="4" w:space="0" w:color="auto"/>
              <w:left w:val="single" w:sz="4" w:space="0" w:color="auto"/>
              <w:bottom w:val="single" w:sz="4" w:space="0" w:color="auto"/>
              <w:right w:val="single" w:sz="4" w:space="0" w:color="auto"/>
            </w:tcBorders>
          </w:tcPr>
          <w:p w14:paraId="3F5B6A3F" w14:textId="50F519FA" w:rsidR="0011400D" w:rsidRPr="00A70BBB" w:rsidRDefault="0011400D" w:rsidP="0011400D">
            <w:pPr>
              <w:jc w:val="both"/>
              <w:rPr>
                <w:rFonts w:ascii="Arial" w:hAnsi="Arial" w:cs="Arial"/>
                <w:color w:val="000000" w:themeColor="text1"/>
              </w:rPr>
            </w:pPr>
            <w:r w:rsidRPr="00A70BBB">
              <w:rPr>
                <w:rFonts w:ascii="Arial" w:hAnsi="Arial" w:cs="Arial"/>
              </w:rPr>
              <w:t>1449</w:t>
            </w:r>
          </w:p>
        </w:tc>
        <w:tc>
          <w:tcPr>
            <w:tcW w:w="754" w:type="dxa"/>
            <w:tcBorders>
              <w:top w:val="single" w:sz="4" w:space="0" w:color="auto"/>
              <w:left w:val="single" w:sz="4" w:space="0" w:color="auto"/>
              <w:bottom w:val="single" w:sz="4" w:space="0" w:color="auto"/>
              <w:right w:val="single" w:sz="4" w:space="0" w:color="auto"/>
            </w:tcBorders>
          </w:tcPr>
          <w:p w14:paraId="3107C383" w14:textId="21A579E0" w:rsidR="0011400D" w:rsidRPr="00A70BBB" w:rsidRDefault="0011400D" w:rsidP="0011400D">
            <w:pPr>
              <w:jc w:val="both"/>
              <w:rPr>
                <w:rFonts w:ascii="Arial" w:hAnsi="Arial" w:cs="Arial"/>
                <w:color w:val="000000" w:themeColor="text1"/>
              </w:rPr>
            </w:pPr>
            <w:r w:rsidRPr="00A70BBB">
              <w:rPr>
                <w:rFonts w:ascii="Arial" w:hAnsi="Arial" w:cs="Arial"/>
              </w:rPr>
              <w:t>61</w:t>
            </w:r>
          </w:p>
        </w:tc>
        <w:tc>
          <w:tcPr>
            <w:tcW w:w="754" w:type="dxa"/>
            <w:tcBorders>
              <w:top w:val="single" w:sz="4" w:space="0" w:color="auto"/>
              <w:left w:val="single" w:sz="4" w:space="0" w:color="auto"/>
              <w:bottom w:val="single" w:sz="4" w:space="0" w:color="auto"/>
              <w:right w:val="single" w:sz="4" w:space="0" w:color="auto"/>
            </w:tcBorders>
          </w:tcPr>
          <w:p w14:paraId="11E43D27" w14:textId="389C8C1B"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75" w:type="dxa"/>
            <w:tcBorders>
              <w:top w:val="single" w:sz="4" w:space="0" w:color="auto"/>
              <w:left w:val="single" w:sz="4" w:space="0" w:color="auto"/>
              <w:bottom w:val="single" w:sz="4" w:space="0" w:color="auto"/>
              <w:right w:val="single" w:sz="4" w:space="0" w:color="auto"/>
            </w:tcBorders>
          </w:tcPr>
          <w:p w14:paraId="7C0ABC5C" w14:textId="6A5F2810"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697" w:type="dxa"/>
            <w:tcBorders>
              <w:top w:val="single" w:sz="4" w:space="0" w:color="auto"/>
              <w:left w:val="single" w:sz="4" w:space="0" w:color="auto"/>
              <w:bottom w:val="single" w:sz="4" w:space="0" w:color="auto"/>
              <w:right w:val="single" w:sz="4" w:space="0" w:color="auto"/>
            </w:tcBorders>
          </w:tcPr>
          <w:p w14:paraId="42E9024B" w14:textId="550AEC81" w:rsidR="0011400D" w:rsidRPr="00A70BBB" w:rsidRDefault="0011400D" w:rsidP="0011400D">
            <w:pPr>
              <w:jc w:val="both"/>
              <w:rPr>
                <w:rFonts w:ascii="Arial" w:hAnsi="Arial" w:cs="Arial"/>
                <w:color w:val="000000" w:themeColor="text1"/>
              </w:rPr>
            </w:pPr>
            <w:r w:rsidRPr="00A70BBB">
              <w:rPr>
                <w:rFonts w:ascii="Arial" w:hAnsi="Arial" w:cs="Arial"/>
              </w:rPr>
              <w:t>2968</w:t>
            </w:r>
          </w:p>
        </w:tc>
        <w:tc>
          <w:tcPr>
            <w:tcW w:w="1251" w:type="dxa"/>
            <w:tcBorders>
              <w:top w:val="single" w:sz="4" w:space="0" w:color="auto"/>
              <w:left w:val="single" w:sz="4" w:space="0" w:color="auto"/>
              <w:bottom w:val="single" w:sz="4" w:space="0" w:color="auto"/>
              <w:right w:val="nil"/>
            </w:tcBorders>
          </w:tcPr>
          <w:p w14:paraId="0009CE3E" w14:textId="29056FD6" w:rsidR="0011400D" w:rsidRPr="00A70BBB" w:rsidRDefault="0011400D" w:rsidP="0011400D">
            <w:pPr>
              <w:jc w:val="both"/>
              <w:rPr>
                <w:rFonts w:ascii="Arial" w:hAnsi="Arial" w:cs="Arial"/>
                <w:color w:val="000000" w:themeColor="text1"/>
              </w:rPr>
            </w:pPr>
            <w:r w:rsidRPr="00A70BBB">
              <w:rPr>
                <w:rFonts w:ascii="Arial" w:hAnsi="Arial" w:cs="Arial"/>
              </w:rPr>
              <w:t>74.20</w:t>
            </w:r>
          </w:p>
        </w:tc>
        <w:tc>
          <w:tcPr>
            <w:tcW w:w="730" w:type="dxa"/>
          </w:tcPr>
          <w:p w14:paraId="1339CF95" w14:textId="2CE43EF1" w:rsidR="0011400D" w:rsidRPr="00A70BBB" w:rsidRDefault="0011400D" w:rsidP="0011400D">
            <w:pPr>
              <w:jc w:val="both"/>
              <w:rPr>
                <w:rFonts w:ascii="Arial" w:hAnsi="Arial" w:cs="Arial"/>
                <w:color w:val="000000" w:themeColor="text1"/>
              </w:rPr>
            </w:pPr>
            <w:r w:rsidRPr="00A70BBB">
              <w:rPr>
                <w:rFonts w:ascii="Arial" w:hAnsi="Arial" w:cs="Arial"/>
              </w:rPr>
              <w:t>III</w:t>
            </w:r>
          </w:p>
        </w:tc>
      </w:tr>
      <w:tr w:rsidR="0011400D" w:rsidRPr="00A70BBB" w14:paraId="7CE07299" w14:textId="77777777" w:rsidTr="00777E8B">
        <w:tc>
          <w:tcPr>
            <w:tcW w:w="810" w:type="dxa"/>
          </w:tcPr>
          <w:p w14:paraId="6185A6FB" w14:textId="77777777" w:rsidR="0011400D" w:rsidRPr="00A70BBB" w:rsidRDefault="0011400D" w:rsidP="0011400D">
            <w:pPr>
              <w:pStyle w:val="ListParagraph"/>
              <w:numPr>
                <w:ilvl w:val="0"/>
                <w:numId w:val="2"/>
              </w:numPr>
              <w:jc w:val="both"/>
              <w:rPr>
                <w:rFonts w:ascii="Arial" w:hAnsi="Arial" w:cs="Arial"/>
                <w:color w:val="000000" w:themeColor="text1"/>
              </w:rPr>
            </w:pPr>
          </w:p>
        </w:tc>
        <w:tc>
          <w:tcPr>
            <w:tcW w:w="1982" w:type="dxa"/>
          </w:tcPr>
          <w:p w14:paraId="5F63C40C" w14:textId="42E37E80" w:rsidR="0011400D" w:rsidRPr="00A70BBB" w:rsidRDefault="0011400D" w:rsidP="0011400D">
            <w:pPr>
              <w:jc w:val="both"/>
              <w:rPr>
                <w:rFonts w:ascii="Arial" w:hAnsi="Arial" w:cs="Arial"/>
                <w:b/>
                <w:bCs/>
                <w:color w:val="000000" w:themeColor="text1"/>
              </w:rPr>
            </w:pPr>
            <w:r w:rsidRPr="00A70BBB">
              <w:rPr>
                <w:rFonts w:ascii="Arial" w:hAnsi="Arial" w:cs="Arial"/>
              </w:rPr>
              <w:t>Limited use of digital platforms restricts women weaver’s market reach</w:t>
            </w:r>
          </w:p>
        </w:tc>
        <w:tc>
          <w:tcPr>
            <w:tcW w:w="669" w:type="dxa"/>
            <w:tcBorders>
              <w:top w:val="single" w:sz="4" w:space="0" w:color="auto"/>
              <w:left w:val="nil"/>
              <w:bottom w:val="single" w:sz="4" w:space="0" w:color="auto"/>
              <w:right w:val="single" w:sz="4" w:space="0" w:color="auto"/>
            </w:tcBorders>
          </w:tcPr>
          <w:p w14:paraId="1164EA89" w14:textId="32D2A2CB" w:rsidR="0011400D" w:rsidRPr="00A70BBB" w:rsidRDefault="0011400D" w:rsidP="0011400D">
            <w:pPr>
              <w:jc w:val="both"/>
              <w:rPr>
                <w:rFonts w:ascii="Arial" w:hAnsi="Arial" w:cs="Arial"/>
                <w:color w:val="000000" w:themeColor="text1"/>
              </w:rPr>
            </w:pPr>
            <w:r w:rsidRPr="00A70BBB">
              <w:rPr>
                <w:rFonts w:ascii="Arial" w:hAnsi="Arial" w:cs="Arial"/>
              </w:rPr>
              <w:t>1458</w:t>
            </w:r>
          </w:p>
        </w:tc>
        <w:tc>
          <w:tcPr>
            <w:tcW w:w="758" w:type="dxa"/>
            <w:tcBorders>
              <w:top w:val="single" w:sz="4" w:space="0" w:color="auto"/>
              <w:left w:val="single" w:sz="4" w:space="0" w:color="auto"/>
              <w:bottom w:val="single" w:sz="4" w:space="0" w:color="auto"/>
              <w:right w:val="single" w:sz="4" w:space="0" w:color="auto"/>
            </w:tcBorders>
          </w:tcPr>
          <w:p w14:paraId="67864C01" w14:textId="2CD55203" w:rsidR="0011400D" w:rsidRPr="00A70BBB" w:rsidRDefault="0011400D" w:rsidP="0011400D">
            <w:pPr>
              <w:jc w:val="both"/>
              <w:rPr>
                <w:rFonts w:ascii="Arial" w:hAnsi="Arial" w:cs="Arial"/>
                <w:color w:val="000000" w:themeColor="text1"/>
              </w:rPr>
            </w:pPr>
            <w:r w:rsidRPr="00A70BBB">
              <w:rPr>
                <w:rFonts w:ascii="Arial" w:hAnsi="Arial" w:cs="Arial"/>
              </w:rPr>
              <w:t>1518</w:t>
            </w:r>
          </w:p>
        </w:tc>
        <w:tc>
          <w:tcPr>
            <w:tcW w:w="754" w:type="dxa"/>
            <w:tcBorders>
              <w:top w:val="single" w:sz="4" w:space="0" w:color="auto"/>
              <w:left w:val="single" w:sz="4" w:space="0" w:color="auto"/>
              <w:bottom w:val="single" w:sz="4" w:space="0" w:color="auto"/>
              <w:right w:val="single" w:sz="4" w:space="0" w:color="auto"/>
            </w:tcBorders>
          </w:tcPr>
          <w:p w14:paraId="261EB215" w14:textId="439A2512"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54" w:type="dxa"/>
            <w:tcBorders>
              <w:top w:val="single" w:sz="4" w:space="0" w:color="auto"/>
              <w:left w:val="single" w:sz="4" w:space="0" w:color="auto"/>
              <w:bottom w:val="single" w:sz="4" w:space="0" w:color="auto"/>
              <w:right w:val="single" w:sz="4" w:space="0" w:color="auto"/>
            </w:tcBorders>
          </w:tcPr>
          <w:p w14:paraId="02A2A2CE" w14:textId="38E19AEE"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775" w:type="dxa"/>
            <w:tcBorders>
              <w:top w:val="single" w:sz="4" w:space="0" w:color="auto"/>
              <w:left w:val="single" w:sz="4" w:space="0" w:color="auto"/>
              <w:bottom w:val="single" w:sz="4" w:space="0" w:color="auto"/>
              <w:right w:val="single" w:sz="4" w:space="0" w:color="auto"/>
            </w:tcBorders>
          </w:tcPr>
          <w:p w14:paraId="344C5DC7" w14:textId="4DC53267" w:rsidR="0011400D" w:rsidRPr="00A70BBB" w:rsidRDefault="0011400D" w:rsidP="0011400D">
            <w:pPr>
              <w:jc w:val="both"/>
              <w:rPr>
                <w:rFonts w:ascii="Arial" w:hAnsi="Arial" w:cs="Arial"/>
                <w:color w:val="000000" w:themeColor="text1"/>
              </w:rPr>
            </w:pPr>
            <w:r w:rsidRPr="00A70BBB">
              <w:rPr>
                <w:rFonts w:ascii="Arial" w:hAnsi="Arial" w:cs="Arial"/>
              </w:rPr>
              <w:t>0</w:t>
            </w:r>
          </w:p>
        </w:tc>
        <w:tc>
          <w:tcPr>
            <w:tcW w:w="697" w:type="dxa"/>
            <w:tcBorders>
              <w:top w:val="single" w:sz="4" w:space="0" w:color="auto"/>
              <w:left w:val="single" w:sz="4" w:space="0" w:color="auto"/>
              <w:bottom w:val="single" w:sz="4" w:space="0" w:color="auto"/>
              <w:right w:val="single" w:sz="4" w:space="0" w:color="auto"/>
            </w:tcBorders>
          </w:tcPr>
          <w:p w14:paraId="70B663D3" w14:textId="1AC93E76" w:rsidR="0011400D" w:rsidRPr="00A70BBB" w:rsidRDefault="0011400D" w:rsidP="0011400D">
            <w:pPr>
              <w:jc w:val="both"/>
              <w:rPr>
                <w:rFonts w:ascii="Arial" w:hAnsi="Arial" w:cs="Arial"/>
                <w:color w:val="000000" w:themeColor="text1"/>
              </w:rPr>
            </w:pPr>
            <w:r w:rsidRPr="00A70BBB">
              <w:rPr>
                <w:rFonts w:ascii="Arial" w:hAnsi="Arial" w:cs="Arial"/>
              </w:rPr>
              <w:t>2976</w:t>
            </w:r>
          </w:p>
        </w:tc>
        <w:tc>
          <w:tcPr>
            <w:tcW w:w="1251" w:type="dxa"/>
            <w:tcBorders>
              <w:top w:val="single" w:sz="4" w:space="0" w:color="auto"/>
              <w:left w:val="single" w:sz="4" w:space="0" w:color="auto"/>
              <w:bottom w:val="single" w:sz="4" w:space="0" w:color="auto"/>
              <w:right w:val="nil"/>
            </w:tcBorders>
          </w:tcPr>
          <w:p w14:paraId="20207FE7" w14:textId="574BA90D" w:rsidR="0011400D" w:rsidRPr="00A70BBB" w:rsidRDefault="0011400D" w:rsidP="0011400D">
            <w:pPr>
              <w:jc w:val="both"/>
              <w:rPr>
                <w:rFonts w:ascii="Arial" w:hAnsi="Arial" w:cs="Arial"/>
                <w:color w:val="000000" w:themeColor="text1"/>
              </w:rPr>
            </w:pPr>
            <w:r w:rsidRPr="00A70BBB">
              <w:rPr>
                <w:rFonts w:ascii="Arial" w:hAnsi="Arial" w:cs="Arial"/>
              </w:rPr>
              <w:t>74.40</w:t>
            </w:r>
          </w:p>
        </w:tc>
        <w:tc>
          <w:tcPr>
            <w:tcW w:w="730" w:type="dxa"/>
          </w:tcPr>
          <w:p w14:paraId="19D78A47" w14:textId="1E7E786B" w:rsidR="0011400D" w:rsidRPr="00A70BBB" w:rsidRDefault="0011400D" w:rsidP="0011400D">
            <w:pPr>
              <w:jc w:val="both"/>
              <w:rPr>
                <w:rFonts w:ascii="Arial" w:hAnsi="Arial" w:cs="Arial"/>
                <w:color w:val="000000" w:themeColor="text1"/>
              </w:rPr>
            </w:pPr>
            <w:r w:rsidRPr="00A70BBB">
              <w:rPr>
                <w:rFonts w:ascii="Arial" w:hAnsi="Arial" w:cs="Arial"/>
              </w:rPr>
              <w:t>II</w:t>
            </w:r>
          </w:p>
        </w:tc>
      </w:tr>
      <w:tr w:rsidR="0011400D" w:rsidRPr="00A70BBB" w14:paraId="58267090" w14:textId="77777777" w:rsidTr="00777E8B">
        <w:tc>
          <w:tcPr>
            <w:tcW w:w="810" w:type="dxa"/>
          </w:tcPr>
          <w:p w14:paraId="4999493F" w14:textId="77777777" w:rsidR="0011400D" w:rsidRPr="00A70BBB" w:rsidRDefault="0011400D" w:rsidP="0011400D">
            <w:pPr>
              <w:pStyle w:val="ListParagraph"/>
              <w:numPr>
                <w:ilvl w:val="0"/>
                <w:numId w:val="2"/>
              </w:numPr>
              <w:jc w:val="both"/>
              <w:rPr>
                <w:rFonts w:ascii="Arial" w:hAnsi="Arial" w:cs="Arial"/>
                <w:color w:val="000000" w:themeColor="text1"/>
              </w:rPr>
            </w:pPr>
          </w:p>
        </w:tc>
        <w:tc>
          <w:tcPr>
            <w:tcW w:w="1982" w:type="dxa"/>
          </w:tcPr>
          <w:p w14:paraId="189BE4DC" w14:textId="13368AE6" w:rsidR="0011400D" w:rsidRPr="00A70BBB" w:rsidRDefault="0011400D" w:rsidP="0011400D">
            <w:pPr>
              <w:jc w:val="both"/>
              <w:rPr>
                <w:rFonts w:ascii="Arial" w:hAnsi="Arial" w:cs="Arial"/>
                <w:b/>
                <w:bCs/>
                <w:color w:val="000000" w:themeColor="text1"/>
              </w:rPr>
            </w:pPr>
            <w:r w:rsidRPr="00A70BBB">
              <w:rPr>
                <w:rFonts w:ascii="Arial" w:hAnsi="Arial" w:cs="Arial"/>
              </w:rPr>
              <w:t>Language barriers complicate communication and marketing for women weavers</w:t>
            </w:r>
          </w:p>
        </w:tc>
        <w:tc>
          <w:tcPr>
            <w:tcW w:w="669" w:type="dxa"/>
            <w:tcBorders>
              <w:top w:val="single" w:sz="4" w:space="0" w:color="auto"/>
              <w:left w:val="nil"/>
              <w:bottom w:val="single" w:sz="4" w:space="0" w:color="auto"/>
              <w:right w:val="single" w:sz="4" w:space="0" w:color="auto"/>
            </w:tcBorders>
          </w:tcPr>
          <w:p w14:paraId="2FA77FC6" w14:textId="4E1B5CFD" w:rsidR="0011400D" w:rsidRPr="00A70BBB" w:rsidRDefault="0011400D" w:rsidP="0011400D">
            <w:pPr>
              <w:jc w:val="both"/>
              <w:rPr>
                <w:rFonts w:ascii="Arial" w:hAnsi="Arial" w:cs="Arial"/>
                <w:color w:val="000000" w:themeColor="text1"/>
              </w:rPr>
            </w:pPr>
            <w:r w:rsidRPr="00A70BBB">
              <w:rPr>
                <w:rFonts w:ascii="Arial" w:hAnsi="Arial" w:cs="Arial"/>
              </w:rPr>
              <w:t>891</w:t>
            </w:r>
          </w:p>
        </w:tc>
        <w:tc>
          <w:tcPr>
            <w:tcW w:w="758" w:type="dxa"/>
            <w:tcBorders>
              <w:top w:val="single" w:sz="4" w:space="0" w:color="auto"/>
              <w:left w:val="single" w:sz="4" w:space="0" w:color="auto"/>
              <w:bottom w:val="single" w:sz="4" w:space="0" w:color="auto"/>
              <w:right w:val="single" w:sz="4" w:space="0" w:color="auto"/>
            </w:tcBorders>
          </w:tcPr>
          <w:p w14:paraId="47DD9D14" w14:textId="2F7AEFDB" w:rsidR="0011400D" w:rsidRPr="00A70BBB" w:rsidRDefault="0011400D" w:rsidP="0011400D">
            <w:pPr>
              <w:jc w:val="both"/>
              <w:rPr>
                <w:rFonts w:ascii="Arial" w:hAnsi="Arial" w:cs="Arial"/>
                <w:color w:val="000000" w:themeColor="text1"/>
              </w:rPr>
            </w:pPr>
            <w:r w:rsidRPr="00A70BBB">
              <w:rPr>
                <w:rFonts w:ascii="Arial" w:hAnsi="Arial" w:cs="Arial"/>
              </w:rPr>
              <w:t>552</w:t>
            </w:r>
          </w:p>
        </w:tc>
        <w:tc>
          <w:tcPr>
            <w:tcW w:w="754" w:type="dxa"/>
            <w:tcBorders>
              <w:top w:val="single" w:sz="4" w:space="0" w:color="auto"/>
              <w:left w:val="single" w:sz="4" w:space="0" w:color="auto"/>
              <w:bottom w:val="single" w:sz="4" w:space="0" w:color="auto"/>
              <w:right w:val="single" w:sz="4" w:space="0" w:color="auto"/>
            </w:tcBorders>
          </w:tcPr>
          <w:p w14:paraId="1BDFF36A" w14:textId="1A2E01D6" w:rsidR="0011400D" w:rsidRPr="00A70BBB" w:rsidRDefault="0011400D" w:rsidP="0011400D">
            <w:pPr>
              <w:jc w:val="both"/>
              <w:rPr>
                <w:rFonts w:ascii="Arial" w:hAnsi="Arial" w:cs="Arial"/>
                <w:color w:val="000000" w:themeColor="text1"/>
              </w:rPr>
            </w:pPr>
            <w:r w:rsidRPr="00A70BBB">
              <w:rPr>
                <w:rFonts w:ascii="Arial" w:hAnsi="Arial" w:cs="Arial"/>
              </w:rPr>
              <w:t>427</w:t>
            </w:r>
          </w:p>
        </w:tc>
        <w:tc>
          <w:tcPr>
            <w:tcW w:w="754" w:type="dxa"/>
            <w:tcBorders>
              <w:top w:val="single" w:sz="4" w:space="0" w:color="auto"/>
              <w:left w:val="single" w:sz="4" w:space="0" w:color="auto"/>
              <w:bottom w:val="single" w:sz="4" w:space="0" w:color="auto"/>
              <w:right w:val="single" w:sz="4" w:space="0" w:color="auto"/>
            </w:tcBorders>
          </w:tcPr>
          <w:p w14:paraId="7989F99A" w14:textId="66412FAF" w:rsidR="0011400D" w:rsidRPr="00A70BBB" w:rsidRDefault="0011400D" w:rsidP="0011400D">
            <w:pPr>
              <w:jc w:val="both"/>
              <w:rPr>
                <w:rFonts w:ascii="Arial" w:hAnsi="Arial" w:cs="Arial"/>
                <w:color w:val="000000" w:themeColor="text1"/>
              </w:rPr>
            </w:pPr>
            <w:r w:rsidRPr="00A70BBB">
              <w:rPr>
                <w:rFonts w:ascii="Arial" w:hAnsi="Arial" w:cs="Arial"/>
              </w:rPr>
              <w:t>495</w:t>
            </w:r>
          </w:p>
        </w:tc>
        <w:tc>
          <w:tcPr>
            <w:tcW w:w="775" w:type="dxa"/>
            <w:tcBorders>
              <w:top w:val="single" w:sz="4" w:space="0" w:color="auto"/>
              <w:left w:val="single" w:sz="4" w:space="0" w:color="auto"/>
              <w:bottom w:val="single" w:sz="4" w:space="0" w:color="auto"/>
              <w:right w:val="single" w:sz="4" w:space="0" w:color="auto"/>
            </w:tcBorders>
          </w:tcPr>
          <w:p w14:paraId="3D398FD1" w14:textId="3FC4F963" w:rsidR="0011400D" w:rsidRPr="00A70BBB" w:rsidRDefault="0011400D" w:rsidP="0011400D">
            <w:pPr>
              <w:jc w:val="both"/>
              <w:rPr>
                <w:rFonts w:ascii="Arial" w:hAnsi="Arial" w:cs="Arial"/>
                <w:color w:val="000000" w:themeColor="text1"/>
              </w:rPr>
            </w:pPr>
            <w:r w:rsidRPr="00A70BBB">
              <w:rPr>
                <w:rFonts w:ascii="Arial" w:hAnsi="Arial" w:cs="Arial"/>
              </w:rPr>
              <w:t>250</w:t>
            </w:r>
          </w:p>
        </w:tc>
        <w:tc>
          <w:tcPr>
            <w:tcW w:w="697" w:type="dxa"/>
            <w:tcBorders>
              <w:top w:val="single" w:sz="4" w:space="0" w:color="auto"/>
              <w:left w:val="single" w:sz="4" w:space="0" w:color="auto"/>
              <w:bottom w:val="single" w:sz="4" w:space="0" w:color="auto"/>
              <w:right w:val="single" w:sz="4" w:space="0" w:color="auto"/>
            </w:tcBorders>
          </w:tcPr>
          <w:p w14:paraId="644F1CF7" w14:textId="52E4D933" w:rsidR="0011400D" w:rsidRPr="00A70BBB" w:rsidRDefault="0011400D" w:rsidP="0011400D">
            <w:pPr>
              <w:jc w:val="both"/>
              <w:rPr>
                <w:rFonts w:ascii="Arial" w:hAnsi="Arial" w:cs="Arial"/>
                <w:color w:val="000000" w:themeColor="text1"/>
              </w:rPr>
            </w:pPr>
            <w:r w:rsidRPr="00A70BBB">
              <w:rPr>
                <w:rFonts w:ascii="Arial" w:hAnsi="Arial" w:cs="Arial"/>
              </w:rPr>
              <w:t>2615</w:t>
            </w:r>
          </w:p>
        </w:tc>
        <w:tc>
          <w:tcPr>
            <w:tcW w:w="1251" w:type="dxa"/>
            <w:tcBorders>
              <w:top w:val="single" w:sz="4" w:space="0" w:color="auto"/>
              <w:left w:val="single" w:sz="4" w:space="0" w:color="auto"/>
              <w:bottom w:val="single" w:sz="4" w:space="0" w:color="auto"/>
              <w:right w:val="nil"/>
            </w:tcBorders>
          </w:tcPr>
          <w:p w14:paraId="4A1719FA" w14:textId="6E26DA2E" w:rsidR="0011400D" w:rsidRPr="00A70BBB" w:rsidRDefault="0011400D" w:rsidP="0011400D">
            <w:pPr>
              <w:jc w:val="both"/>
              <w:rPr>
                <w:rFonts w:ascii="Arial" w:hAnsi="Arial" w:cs="Arial"/>
                <w:color w:val="000000" w:themeColor="text1"/>
              </w:rPr>
            </w:pPr>
            <w:r w:rsidRPr="00A70BBB">
              <w:rPr>
                <w:rFonts w:ascii="Arial" w:hAnsi="Arial" w:cs="Arial"/>
              </w:rPr>
              <w:t>65.38</w:t>
            </w:r>
          </w:p>
        </w:tc>
        <w:tc>
          <w:tcPr>
            <w:tcW w:w="730" w:type="dxa"/>
          </w:tcPr>
          <w:p w14:paraId="734C7B63" w14:textId="37307B45" w:rsidR="0011400D" w:rsidRPr="00A70BBB" w:rsidRDefault="0011400D" w:rsidP="0011400D">
            <w:pPr>
              <w:jc w:val="both"/>
              <w:rPr>
                <w:rFonts w:ascii="Arial" w:hAnsi="Arial" w:cs="Arial"/>
                <w:color w:val="000000" w:themeColor="text1"/>
              </w:rPr>
            </w:pPr>
            <w:r w:rsidRPr="00A70BBB">
              <w:rPr>
                <w:rFonts w:ascii="Arial" w:hAnsi="Arial" w:cs="Arial"/>
              </w:rPr>
              <w:t>IV</w:t>
            </w:r>
          </w:p>
        </w:tc>
      </w:tr>
    </w:tbl>
    <w:p w14:paraId="01DD454C" w14:textId="77777777" w:rsidR="00E23BCE" w:rsidRPr="00A70BBB" w:rsidRDefault="00E23BCE" w:rsidP="00E23BCE">
      <w:pPr>
        <w:rPr>
          <w:rFonts w:ascii="Arial" w:hAnsi="Arial" w:cs="Arial"/>
          <w:b/>
          <w:bCs/>
          <w:sz w:val="22"/>
          <w:szCs w:val="22"/>
        </w:rPr>
      </w:pPr>
    </w:p>
    <w:p w14:paraId="6431D780" w14:textId="77777777" w:rsidR="0098534D" w:rsidRPr="007A73FD" w:rsidRDefault="00E23BCE" w:rsidP="00A54AB5">
      <w:pPr>
        <w:spacing w:line="360" w:lineRule="auto"/>
        <w:ind w:left="720"/>
        <w:jc w:val="both"/>
        <w:rPr>
          <w:rFonts w:ascii="Arial" w:hAnsi="Arial" w:cs="Arial"/>
          <w:b/>
          <w:bCs/>
          <w:sz w:val="20"/>
          <w:szCs w:val="20"/>
        </w:rPr>
      </w:pPr>
      <w:r w:rsidRPr="007A73FD">
        <w:rPr>
          <w:rFonts w:ascii="Arial" w:hAnsi="Arial" w:cs="Arial"/>
          <w:b/>
          <w:bCs/>
          <w:sz w:val="20"/>
          <w:szCs w:val="20"/>
        </w:rPr>
        <w:lastRenderedPageBreak/>
        <w:t xml:space="preserve">Table No. 3, </w:t>
      </w:r>
      <w:r w:rsidR="00C9659E" w:rsidRPr="007A73FD">
        <w:rPr>
          <w:rFonts w:ascii="Arial" w:hAnsi="Arial" w:cs="Arial"/>
          <w:sz w:val="20"/>
          <w:szCs w:val="20"/>
        </w:rPr>
        <w:t>Marketing constraints refer to the problems women weavers face while trying to sell and promote their products. Their responses were analyzed using the Garrett ranking technique to understand how serious each marketing problem is and to compare the level of difficulty they experience in marketing their products.</w:t>
      </w:r>
    </w:p>
    <w:p w14:paraId="2080C2D4" w14:textId="3095D68D" w:rsidR="00A54AB5" w:rsidRPr="007A73FD" w:rsidRDefault="00BD160F" w:rsidP="0094538E">
      <w:pPr>
        <w:spacing w:line="360" w:lineRule="auto"/>
        <w:ind w:left="720" w:firstLine="720"/>
        <w:jc w:val="both"/>
        <w:rPr>
          <w:rFonts w:ascii="Arial" w:hAnsi="Arial" w:cs="Arial"/>
          <w:sz w:val="20"/>
          <w:szCs w:val="20"/>
        </w:rPr>
      </w:pPr>
      <w:r w:rsidRPr="007A73FD">
        <w:rPr>
          <w:rFonts w:ascii="Arial" w:hAnsi="Arial" w:cs="Arial"/>
          <w:sz w:val="20"/>
          <w:szCs w:val="20"/>
        </w:rPr>
        <w:t xml:space="preserve">The Garrett ranking results </w:t>
      </w:r>
      <w:r w:rsidR="003672A0">
        <w:rPr>
          <w:rFonts w:ascii="Arial" w:hAnsi="Arial" w:cs="Arial"/>
          <w:sz w:val="20"/>
          <w:szCs w:val="20"/>
        </w:rPr>
        <w:t>showed</w:t>
      </w:r>
      <w:r w:rsidRPr="007A73FD">
        <w:rPr>
          <w:rFonts w:ascii="Arial" w:hAnsi="Arial" w:cs="Arial"/>
          <w:sz w:val="20"/>
          <w:szCs w:val="20"/>
        </w:rPr>
        <w:t xml:space="preserve"> clear differences in the severity of marketing constraints faced by women weavers in </w:t>
      </w:r>
      <w:proofErr w:type="spellStart"/>
      <w:r w:rsidRPr="007A73FD">
        <w:rPr>
          <w:rFonts w:ascii="Arial" w:hAnsi="Arial" w:cs="Arial"/>
          <w:sz w:val="20"/>
          <w:szCs w:val="20"/>
        </w:rPr>
        <w:t>Yadadri</w:t>
      </w:r>
      <w:proofErr w:type="spellEnd"/>
      <w:r w:rsidRPr="007A73FD">
        <w:rPr>
          <w:rFonts w:ascii="Arial" w:hAnsi="Arial" w:cs="Arial"/>
          <w:sz w:val="20"/>
          <w:szCs w:val="20"/>
        </w:rPr>
        <w:t xml:space="preserve"> </w:t>
      </w:r>
      <w:proofErr w:type="spellStart"/>
      <w:r w:rsidRPr="007A73FD">
        <w:rPr>
          <w:rFonts w:ascii="Arial" w:hAnsi="Arial" w:cs="Arial"/>
          <w:sz w:val="20"/>
          <w:szCs w:val="20"/>
        </w:rPr>
        <w:t>Bhuvanagiri</w:t>
      </w:r>
      <w:proofErr w:type="spellEnd"/>
      <w:r w:rsidRPr="007A73FD">
        <w:rPr>
          <w:rFonts w:ascii="Arial" w:hAnsi="Arial" w:cs="Arial"/>
          <w:sz w:val="20"/>
          <w:szCs w:val="20"/>
        </w:rPr>
        <w:t xml:space="preserve"> district. Among all the constraints, limited access to larger markets ranked first (Rank I) with the highest total Garrett score of 3048 and the highest percentage of 76.20 per cent, making it the most serious marketing problem. This indicates that difficulties in reaching wider markets have the strongest influence on women weavers’ sales and income.</w:t>
      </w:r>
      <w:r w:rsidR="00A54AB5" w:rsidRPr="007A73FD">
        <w:rPr>
          <w:rFonts w:ascii="Arial" w:hAnsi="Arial" w:cs="Arial"/>
          <w:sz w:val="20"/>
          <w:szCs w:val="20"/>
        </w:rPr>
        <w:t xml:space="preserve"> </w:t>
      </w:r>
      <w:r w:rsidRPr="007A73FD">
        <w:rPr>
          <w:rFonts w:ascii="Arial" w:hAnsi="Arial" w:cs="Arial"/>
          <w:sz w:val="20"/>
          <w:szCs w:val="20"/>
        </w:rPr>
        <w:t xml:space="preserve">The next group of constraints shared the second rank (Rank II) with equal total Garrett scores of 2976 and identical percentages of 74.40 per cent. These include </w:t>
      </w:r>
      <w:r w:rsidR="003672A0">
        <w:rPr>
          <w:rFonts w:ascii="Arial" w:hAnsi="Arial" w:cs="Arial"/>
          <w:sz w:val="20"/>
          <w:szCs w:val="20"/>
        </w:rPr>
        <w:t xml:space="preserve">a </w:t>
      </w:r>
      <w:r w:rsidRPr="007A73FD">
        <w:rPr>
          <w:rFonts w:ascii="Arial" w:hAnsi="Arial" w:cs="Arial"/>
          <w:sz w:val="20"/>
          <w:szCs w:val="20"/>
        </w:rPr>
        <w:t xml:space="preserve">lack of marketing knowledge, limited </w:t>
      </w:r>
      <w:r w:rsidR="00895EB7">
        <w:rPr>
          <w:rFonts w:ascii="Arial" w:hAnsi="Arial" w:cs="Arial"/>
          <w:sz w:val="20"/>
          <w:szCs w:val="20"/>
        </w:rPr>
        <w:t>buyer contacts</w:t>
      </w:r>
      <w:r w:rsidRPr="007A73FD">
        <w:rPr>
          <w:rFonts w:ascii="Arial" w:hAnsi="Arial" w:cs="Arial"/>
          <w:sz w:val="20"/>
          <w:szCs w:val="20"/>
        </w:rPr>
        <w:t xml:space="preserve">, insufficient funds for marketing and promotion, and limited use of digital platforms. The identical scores show that respondents viewed these problems as equally serious. Together, they point to weak market awareness, poor buyer </w:t>
      </w:r>
      <w:r w:rsidR="0094538E" w:rsidRPr="007A73FD">
        <w:rPr>
          <w:rFonts w:ascii="Arial" w:hAnsi="Arial" w:cs="Arial"/>
          <w:sz w:val="20"/>
          <w:szCs w:val="20"/>
        </w:rPr>
        <w:t>relationships, financial constraints, and limited</w:t>
      </w:r>
      <w:r w:rsidRPr="007A73FD">
        <w:rPr>
          <w:rFonts w:ascii="Arial" w:hAnsi="Arial" w:cs="Arial"/>
          <w:sz w:val="20"/>
          <w:szCs w:val="20"/>
        </w:rPr>
        <w:t xml:space="preserve"> digital reach, all of which limit business growth and visibility.</w:t>
      </w:r>
      <w:r w:rsidR="00A54AB5" w:rsidRPr="007A73FD">
        <w:rPr>
          <w:rFonts w:ascii="Arial" w:hAnsi="Arial" w:cs="Arial"/>
          <w:sz w:val="20"/>
          <w:szCs w:val="20"/>
        </w:rPr>
        <w:t xml:space="preserve"> </w:t>
      </w:r>
      <w:r w:rsidRPr="007A73FD">
        <w:rPr>
          <w:rFonts w:ascii="Arial" w:hAnsi="Arial" w:cs="Arial"/>
          <w:sz w:val="20"/>
          <w:szCs w:val="20"/>
        </w:rPr>
        <w:t>The constraints ranked third (Rank III) also showed equal severity levels, each with a total Garrett score of 2968 and a percentage of 74.20 per cent. These include gender differences in negotiating power, lack of awareness of market trends, and severe competition. Although slightly lower than Rank II, the scores are very close, showing that these challenges also strongly affect women weavers’ ability to position their products and compete in the market.</w:t>
      </w:r>
      <w:r w:rsidR="00A54AB5" w:rsidRPr="007A73FD">
        <w:rPr>
          <w:rFonts w:ascii="Arial" w:hAnsi="Arial" w:cs="Arial"/>
          <w:sz w:val="20"/>
          <w:szCs w:val="20"/>
        </w:rPr>
        <w:t xml:space="preserve"> </w:t>
      </w:r>
      <w:r w:rsidRPr="007A73FD">
        <w:rPr>
          <w:rFonts w:ascii="Arial" w:hAnsi="Arial" w:cs="Arial"/>
          <w:sz w:val="20"/>
          <w:szCs w:val="20"/>
        </w:rPr>
        <w:t xml:space="preserve">The </w:t>
      </w:r>
      <w:r w:rsidR="00A54AB5" w:rsidRPr="007A73FD">
        <w:rPr>
          <w:rFonts w:ascii="Arial" w:hAnsi="Arial" w:cs="Arial"/>
          <w:sz w:val="20"/>
          <w:szCs w:val="20"/>
        </w:rPr>
        <w:t>lowest-ranked</w:t>
      </w:r>
      <w:r w:rsidRPr="007A73FD">
        <w:rPr>
          <w:rFonts w:ascii="Arial" w:hAnsi="Arial" w:cs="Arial"/>
          <w:sz w:val="20"/>
          <w:szCs w:val="20"/>
        </w:rPr>
        <w:t xml:space="preserve"> constraint was language barriers, which received Rank IV with a total Garrett score of 2615 and a percentage of 65.38 per cent. Although still a notable problem, its lower percentage indicates that communication difficulties are less severe overall when compared to other marketing constraints, and the </w:t>
      </w:r>
      <w:r w:rsidR="002F430E" w:rsidRPr="007A73FD">
        <w:rPr>
          <w:rFonts w:ascii="Arial" w:hAnsi="Arial" w:cs="Arial"/>
          <w:sz w:val="20"/>
          <w:szCs w:val="20"/>
        </w:rPr>
        <w:t>widespread</w:t>
      </w:r>
      <w:r w:rsidRPr="007A73FD">
        <w:rPr>
          <w:rFonts w:ascii="Arial" w:hAnsi="Arial" w:cs="Arial"/>
          <w:sz w:val="20"/>
          <w:szCs w:val="20"/>
        </w:rPr>
        <w:t xml:space="preserve"> of rankings suggests varied experiences among the respondents.</w:t>
      </w:r>
    </w:p>
    <w:p w14:paraId="047868D5" w14:textId="66A8DA99" w:rsidR="00BD160F" w:rsidRPr="007A73FD" w:rsidRDefault="00BD160F" w:rsidP="00A54AB5">
      <w:pPr>
        <w:spacing w:line="360" w:lineRule="auto"/>
        <w:ind w:left="720" w:firstLine="720"/>
        <w:jc w:val="both"/>
        <w:rPr>
          <w:rFonts w:ascii="Arial" w:hAnsi="Arial" w:cs="Arial"/>
          <w:sz w:val="20"/>
          <w:szCs w:val="20"/>
        </w:rPr>
      </w:pPr>
      <w:r w:rsidRPr="007A73FD">
        <w:rPr>
          <w:rFonts w:ascii="Arial" w:hAnsi="Arial" w:cs="Arial"/>
          <w:sz w:val="20"/>
          <w:szCs w:val="20"/>
        </w:rPr>
        <w:t xml:space="preserve">The ranking pattern reflects limited integration of women weavers into wider and organized markets, weak exposure to formal marketing practices, restricted buyer networks, and constrained financial capacity for promotion. Limited access to digital tools reduces online visibility, while competition and gender-based disadvantages affect negotiation and market positioning. Language barriers vary </w:t>
      </w:r>
      <w:r w:rsidR="00A54AB5" w:rsidRPr="007A73FD">
        <w:rPr>
          <w:rFonts w:ascii="Arial" w:hAnsi="Arial" w:cs="Arial"/>
          <w:sz w:val="20"/>
          <w:szCs w:val="20"/>
        </w:rPr>
        <w:t>by education level</w:t>
      </w:r>
      <w:r w:rsidRPr="007A73FD">
        <w:rPr>
          <w:rFonts w:ascii="Arial" w:hAnsi="Arial" w:cs="Arial"/>
          <w:sz w:val="20"/>
          <w:szCs w:val="20"/>
        </w:rPr>
        <w:t xml:space="preserve"> and exposure outside local markets, which explains their relatively lower overall rank compared to other constraints.</w:t>
      </w:r>
    </w:p>
    <w:p w14:paraId="3588FA42" w14:textId="68CD7E42" w:rsidR="00EC5267" w:rsidRPr="007A73FD" w:rsidRDefault="00920E53" w:rsidP="00A54AB5">
      <w:pPr>
        <w:spacing w:line="360" w:lineRule="auto"/>
        <w:ind w:left="720" w:firstLine="720"/>
        <w:jc w:val="both"/>
        <w:rPr>
          <w:rFonts w:ascii="Arial" w:hAnsi="Arial" w:cs="Arial"/>
          <w:sz w:val="20"/>
          <w:szCs w:val="20"/>
        </w:rPr>
      </w:pPr>
      <w:r w:rsidRPr="007A73FD">
        <w:rPr>
          <w:rFonts w:ascii="Arial" w:hAnsi="Arial" w:cs="Arial"/>
          <w:sz w:val="20"/>
          <w:szCs w:val="20"/>
        </w:rPr>
        <w:t xml:space="preserve">The results were consistent with the findings reported by </w:t>
      </w:r>
      <w:proofErr w:type="spellStart"/>
      <w:r w:rsidRPr="007A73FD">
        <w:rPr>
          <w:rFonts w:ascii="Arial" w:hAnsi="Arial" w:cs="Arial"/>
          <w:sz w:val="20"/>
          <w:szCs w:val="20"/>
        </w:rPr>
        <w:t>Vepoor</w:t>
      </w:r>
      <w:proofErr w:type="spellEnd"/>
      <w:r w:rsidRPr="007A73FD">
        <w:rPr>
          <w:rFonts w:ascii="Arial" w:hAnsi="Arial" w:cs="Arial"/>
          <w:sz w:val="20"/>
          <w:szCs w:val="20"/>
        </w:rPr>
        <w:t xml:space="preserve"> (2025). The study showed that many women weavers lacked adequate knowledge of modern marketing practices, such as online selling, branding, and adapting products to changing consumer preferences, including contemporary designs and eco-friendly materials. In West Tripura, artisans had limited awareness of export opportunities, current market trends, and the use of digital tools, which reduced their ability to compete with machine-made products. Gender-related barriers, such as fewer training opportunities and limited access to technology, further compounded these challenges and affected their competitiveness in the market.</w:t>
      </w:r>
    </w:p>
    <w:p w14:paraId="38FA17AE" w14:textId="0271CEEC" w:rsidR="00E23BCE" w:rsidRPr="00A70BBB" w:rsidRDefault="007A73FD" w:rsidP="00A54AB5">
      <w:pPr>
        <w:spacing w:line="360" w:lineRule="auto"/>
        <w:ind w:firstLine="720"/>
        <w:jc w:val="both"/>
        <w:rPr>
          <w:rFonts w:ascii="Arial" w:hAnsi="Arial" w:cs="Arial"/>
          <w:b/>
          <w:bCs/>
          <w:sz w:val="22"/>
          <w:szCs w:val="22"/>
        </w:rPr>
      </w:pPr>
      <w:r w:rsidRPr="00A70BBB">
        <w:rPr>
          <w:rFonts w:ascii="Arial" w:hAnsi="Arial" w:cs="Arial"/>
          <w:b/>
          <w:bCs/>
          <w:sz w:val="22"/>
          <w:szCs w:val="22"/>
        </w:rPr>
        <w:t>CONCLUSION:</w:t>
      </w:r>
    </w:p>
    <w:p w14:paraId="22C5C608" w14:textId="6CC8FC7A" w:rsidR="00B1624B" w:rsidRPr="007A73FD" w:rsidRDefault="00B1624B" w:rsidP="00B1624B">
      <w:pPr>
        <w:ind w:left="720" w:firstLine="720"/>
        <w:jc w:val="both"/>
        <w:rPr>
          <w:rFonts w:ascii="Arial" w:hAnsi="Arial" w:cs="Arial"/>
          <w:sz w:val="20"/>
          <w:szCs w:val="20"/>
        </w:rPr>
      </w:pPr>
      <w:r w:rsidRPr="007A73FD">
        <w:rPr>
          <w:rFonts w:ascii="Arial" w:hAnsi="Arial" w:cs="Arial"/>
          <w:sz w:val="20"/>
          <w:szCs w:val="20"/>
        </w:rPr>
        <w:lastRenderedPageBreak/>
        <w:t xml:space="preserve">The Garrett ranking study made evident the main marketing barriers that female handloom weavers in </w:t>
      </w:r>
      <w:proofErr w:type="spellStart"/>
      <w:r w:rsidRPr="007A73FD">
        <w:rPr>
          <w:rFonts w:ascii="Arial" w:hAnsi="Arial" w:cs="Arial"/>
          <w:sz w:val="20"/>
          <w:szCs w:val="20"/>
        </w:rPr>
        <w:t>Yadadri</w:t>
      </w:r>
      <w:proofErr w:type="spellEnd"/>
      <w:r w:rsidRPr="007A73FD">
        <w:rPr>
          <w:rFonts w:ascii="Arial" w:hAnsi="Arial" w:cs="Arial"/>
          <w:sz w:val="20"/>
          <w:szCs w:val="20"/>
        </w:rPr>
        <w:t xml:space="preserve"> </w:t>
      </w:r>
      <w:proofErr w:type="spellStart"/>
      <w:r w:rsidRPr="007A73FD">
        <w:rPr>
          <w:rFonts w:ascii="Arial" w:hAnsi="Arial" w:cs="Arial"/>
          <w:sz w:val="20"/>
          <w:szCs w:val="20"/>
        </w:rPr>
        <w:t>Bhuvanagiri</w:t>
      </w:r>
      <w:proofErr w:type="spellEnd"/>
      <w:r w:rsidRPr="007A73FD">
        <w:rPr>
          <w:rFonts w:ascii="Arial" w:hAnsi="Arial" w:cs="Arial"/>
          <w:sz w:val="20"/>
          <w:szCs w:val="20"/>
        </w:rPr>
        <w:t xml:space="preserve"> district had to overcome. The biggest issue was found to be inadequate access to larger markets, followed by poor buyer contacts, limited marketing expertise, insufficient funds for advertising, and low use of digital platforms. The combination of these limitations restricted market awareness and sales prospects. Marketing performance was also affected by competition, lack of awareness of market trends, and reduced negotiating power, while language difficulties varied among respondents. The results emphasized the need for stronger market linkages, marketing support, improved digital access, and financial assistance to enhance the marketing outcomes and financial stability of women weavers.</w:t>
      </w:r>
    </w:p>
    <w:p w14:paraId="6C48513B" w14:textId="7A681B6F" w:rsidR="00B1624B" w:rsidRPr="00A70BBB" w:rsidRDefault="00B1624B" w:rsidP="00B1624B">
      <w:pPr>
        <w:jc w:val="both"/>
        <w:rPr>
          <w:rFonts w:ascii="Arial" w:hAnsi="Arial" w:cs="Arial"/>
          <w:b/>
          <w:bCs/>
          <w:sz w:val="22"/>
          <w:szCs w:val="22"/>
        </w:rPr>
      </w:pPr>
      <w:r w:rsidRPr="00A70BBB">
        <w:rPr>
          <w:rFonts w:ascii="Arial" w:hAnsi="Arial" w:cs="Arial"/>
          <w:sz w:val="22"/>
          <w:szCs w:val="22"/>
        </w:rPr>
        <w:tab/>
      </w:r>
      <w:r w:rsidR="007A73FD" w:rsidRPr="00A70BBB">
        <w:rPr>
          <w:rFonts w:ascii="Arial" w:hAnsi="Arial" w:cs="Arial"/>
          <w:b/>
          <w:bCs/>
          <w:sz w:val="22"/>
          <w:szCs w:val="22"/>
        </w:rPr>
        <w:t xml:space="preserve">CONFLICT OF INTEREST: </w:t>
      </w:r>
      <w:r w:rsidR="00CC03DA" w:rsidRPr="00A70BBB">
        <w:rPr>
          <w:rFonts w:ascii="Arial" w:hAnsi="Arial" w:cs="Arial"/>
          <w:sz w:val="22"/>
          <w:szCs w:val="22"/>
        </w:rPr>
        <w:t>there is no conflict of interest</w:t>
      </w:r>
      <w:r w:rsidR="00CC03DA" w:rsidRPr="00A70BBB">
        <w:rPr>
          <w:rFonts w:ascii="Arial" w:hAnsi="Arial" w:cs="Arial"/>
          <w:b/>
          <w:bCs/>
          <w:sz w:val="22"/>
          <w:szCs w:val="22"/>
        </w:rPr>
        <w:t xml:space="preserve"> </w:t>
      </w:r>
    </w:p>
    <w:p w14:paraId="4F98A7CB" w14:textId="77777777" w:rsidR="007F7556" w:rsidRDefault="007F7556" w:rsidP="00482BFB">
      <w:pPr>
        <w:ind w:left="720"/>
        <w:rPr>
          <w:rFonts w:ascii="Arial" w:hAnsi="Arial" w:cs="Arial"/>
          <w:b/>
          <w:bCs/>
          <w:sz w:val="22"/>
          <w:szCs w:val="22"/>
        </w:rPr>
      </w:pPr>
    </w:p>
    <w:p w14:paraId="2BA76A9E" w14:textId="6E4B08AC" w:rsidR="00D41407" w:rsidRPr="00D41407" w:rsidRDefault="00D41407" w:rsidP="00482BFB">
      <w:pPr>
        <w:ind w:left="720"/>
        <w:rPr>
          <w:rFonts w:ascii="Arial" w:hAnsi="Arial" w:cs="Arial"/>
          <w:b/>
          <w:bCs/>
          <w:sz w:val="22"/>
          <w:szCs w:val="22"/>
        </w:rPr>
      </w:pPr>
      <w:bookmarkStart w:id="0" w:name="_GoBack"/>
      <w:bookmarkEnd w:id="0"/>
      <w:r w:rsidRPr="00D41407">
        <w:rPr>
          <w:rFonts w:ascii="Arial" w:hAnsi="Arial" w:cs="Arial"/>
          <w:b/>
          <w:bCs/>
          <w:sz w:val="22"/>
          <w:szCs w:val="22"/>
        </w:rPr>
        <w:t>DISCLAIMER (ARTIFICIAL INTELLIGENCE)</w:t>
      </w:r>
    </w:p>
    <w:p w14:paraId="06D1CDC4" w14:textId="34853D5D" w:rsidR="00D41407" w:rsidRPr="007A73FD" w:rsidRDefault="00D41407" w:rsidP="00D41407">
      <w:pPr>
        <w:ind w:left="720" w:firstLine="720"/>
        <w:rPr>
          <w:rFonts w:ascii="Arial" w:hAnsi="Arial" w:cs="Arial"/>
          <w:sz w:val="20"/>
          <w:szCs w:val="20"/>
        </w:rPr>
      </w:pPr>
      <w:r w:rsidRPr="00D41407">
        <w:rPr>
          <w:rFonts w:ascii="Arial" w:hAnsi="Arial" w:cs="Arial"/>
          <w:sz w:val="20"/>
          <w:szCs w:val="20"/>
        </w:rPr>
        <w:t>Author(s) hereby declares that NO generative AI technologies such as Large Language Models (ChatGPT, COPILOT, etc.)   and   text-to-image generators have been used during the writing or editing of this manuscript</w:t>
      </w:r>
    </w:p>
    <w:p w14:paraId="45FD4050" w14:textId="32727E16" w:rsidR="00E23BCE" w:rsidRPr="00A70BBB" w:rsidRDefault="007A73FD" w:rsidP="00482BFB">
      <w:pPr>
        <w:ind w:firstLine="720"/>
        <w:rPr>
          <w:rFonts w:ascii="Arial" w:hAnsi="Arial" w:cs="Arial"/>
          <w:b/>
          <w:bCs/>
          <w:sz w:val="22"/>
          <w:szCs w:val="22"/>
        </w:rPr>
      </w:pPr>
      <w:r w:rsidRPr="00A70BBB">
        <w:rPr>
          <w:rFonts w:ascii="Arial" w:hAnsi="Arial" w:cs="Arial"/>
          <w:b/>
          <w:bCs/>
          <w:sz w:val="22"/>
          <w:szCs w:val="22"/>
        </w:rPr>
        <w:t>REFERENCE:</w:t>
      </w:r>
    </w:p>
    <w:p w14:paraId="1D0F8656" w14:textId="77777777" w:rsidR="00B5411C" w:rsidRPr="007A73FD" w:rsidRDefault="00B5411C" w:rsidP="002138D2">
      <w:pPr>
        <w:spacing w:after="0" w:line="360" w:lineRule="auto"/>
        <w:ind w:left="1440" w:hanging="720"/>
        <w:rPr>
          <w:rFonts w:ascii="Arial" w:hAnsi="Arial" w:cs="Arial"/>
          <w:sz w:val="20"/>
          <w:szCs w:val="20"/>
        </w:rPr>
      </w:pPr>
      <w:r w:rsidRPr="007A73FD">
        <w:rPr>
          <w:rFonts w:ascii="Arial" w:hAnsi="Arial" w:cs="Arial"/>
          <w:sz w:val="20"/>
          <w:szCs w:val="20"/>
        </w:rPr>
        <w:t xml:space="preserve">Among Telangana's weavers, equal wages for women comes with an acknowledgement of their </w:t>
      </w:r>
      <w:proofErr w:type="spellStart"/>
      <w:r w:rsidRPr="007A73FD">
        <w:rPr>
          <w:rFonts w:ascii="Arial" w:hAnsi="Arial" w:cs="Arial"/>
          <w:sz w:val="20"/>
          <w:szCs w:val="20"/>
        </w:rPr>
        <w:t>labour</w:t>
      </w:r>
      <w:proofErr w:type="spellEnd"/>
      <w:r w:rsidRPr="007A73FD">
        <w:rPr>
          <w:rFonts w:ascii="Arial" w:hAnsi="Arial" w:cs="Arial"/>
          <w:sz w:val="20"/>
          <w:szCs w:val="20"/>
        </w:rPr>
        <w:t xml:space="preserve">. (2025). </w:t>
      </w:r>
      <w:r w:rsidRPr="007A73FD">
        <w:rPr>
          <w:rFonts w:ascii="Arial" w:hAnsi="Arial" w:cs="Arial"/>
          <w:i/>
          <w:iCs/>
          <w:sz w:val="20"/>
          <w:szCs w:val="20"/>
        </w:rPr>
        <w:t>The South First</w:t>
      </w:r>
      <w:r w:rsidRPr="007A73FD">
        <w:rPr>
          <w:rFonts w:ascii="Arial" w:hAnsi="Arial" w:cs="Arial"/>
          <w:sz w:val="20"/>
          <w:szCs w:val="20"/>
        </w:rPr>
        <w:t xml:space="preserve">. </w:t>
      </w:r>
      <w:hyperlink r:id="rId7" w:tgtFrame="_blank" w:history="1">
        <w:r w:rsidRPr="007A73FD">
          <w:rPr>
            <w:rStyle w:val="Hyperlink"/>
            <w:rFonts w:ascii="Arial" w:hAnsi="Arial" w:cs="Arial"/>
            <w:sz w:val="20"/>
            <w:szCs w:val="20"/>
          </w:rPr>
          <w:t>https://thesouthfirst.com/telangana/among-telanganas-weavers-equal-wages-for-women-comes-with-an-acknowledgement-of-their-labour</w:t>
        </w:r>
      </w:hyperlink>
    </w:p>
    <w:p w14:paraId="77A1556D" w14:textId="77777777" w:rsidR="00B5411C" w:rsidRPr="007A73FD" w:rsidRDefault="00B5411C" w:rsidP="002138D2">
      <w:pPr>
        <w:spacing w:after="0" w:line="360" w:lineRule="auto"/>
        <w:ind w:left="1440" w:hanging="720"/>
        <w:rPr>
          <w:rFonts w:ascii="Arial" w:hAnsi="Arial" w:cs="Arial"/>
          <w:sz w:val="20"/>
          <w:szCs w:val="20"/>
        </w:rPr>
      </w:pPr>
      <w:r w:rsidRPr="007A73FD">
        <w:rPr>
          <w:rFonts w:ascii="Arial" w:hAnsi="Arial" w:cs="Arial"/>
          <w:sz w:val="20"/>
          <w:szCs w:val="20"/>
        </w:rPr>
        <w:t xml:space="preserve">An Empirical Analysis of Constraints Faced by the Handloom Weavers and Weaver Cooperative Societies in Virudhunagar District of Tamil Nadu. (2021). </w:t>
      </w:r>
      <w:r w:rsidRPr="007A73FD">
        <w:rPr>
          <w:rFonts w:ascii="Arial" w:hAnsi="Arial" w:cs="Arial"/>
          <w:i/>
          <w:iCs/>
          <w:sz w:val="20"/>
          <w:szCs w:val="20"/>
        </w:rPr>
        <w:t>Current Journal of Applied Science and Technology</w:t>
      </w:r>
      <w:r w:rsidRPr="007A73FD">
        <w:rPr>
          <w:rFonts w:ascii="Arial" w:hAnsi="Arial" w:cs="Arial"/>
          <w:sz w:val="20"/>
          <w:szCs w:val="20"/>
        </w:rPr>
        <w:t xml:space="preserve">. </w:t>
      </w:r>
      <w:hyperlink r:id="rId8" w:history="1">
        <w:r w:rsidRPr="007A73FD">
          <w:rPr>
            <w:rStyle w:val="Hyperlink"/>
            <w:rFonts w:ascii="Arial" w:hAnsi="Arial" w:cs="Arial"/>
            <w:sz w:val="20"/>
            <w:szCs w:val="20"/>
          </w:rPr>
          <w:t>https://journalcjast.com/index.php/CJAST/article/view/3770</w:t>
        </w:r>
      </w:hyperlink>
      <w:r w:rsidRPr="007A73FD">
        <w:rPr>
          <w:rFonts w:ascii="Arial" w:hAnsi="Arial" w:cs="Arial"/>
          <w:sz w:val="20"/>
          <w:szCs w:val="20"/>
        </w:rPr>
        <w:t xml:space="preserve"> </w:t>
      </w:r>
    </w:p>
    <w:p w14:paraId="03571BAE" w14:textId="77777777" w:rsidR="00B5411C" w:rsidRPr="007A73FD" w:rsidRDefault="00B5411C" w:rsidP="002138D2">
      <w:pPr>
        <w:spacing w:after="0" w:line="360" w:lineRule="auto"/>
        <w:ind w:left="1440" w:hanging="720"/>
        <w:rPr>
          <w:rFonts w:ascii="Arial" w:hAnsi="Arial" w:cs="Arial"/>
          <w:sz w:val="20"/>
          <w:szCs w:val="20"/>
        </w:rPr>
      </w:pPr>
      <w:r w:rsidRPr="007A73FD">
        <w:rPr>
          <w:rFonts w:ascii="Arial" w:hAnsi="Arial" w:cs="Arial"/>
          <w:sz w:val="20"/>
          <w:szCs w:val="20"/>
        </w:rPr>
        <w:t xml:space="preserve">Buragohain, D and J.P Dubey, P. J. 2021. Contract Farming: A Constraint Study using Garrett Ranking Technique. </w:t>
      </w:r>
      <w:r w:rsidRPr="007A73FD">
        <w:rPr>
          <w:rFonts w:ascii="Arial" w:hAnsi="Arial" w:cs="Arial"/>
          <w:i/>
          <w:iCs/>
          <w:sz w:val="20"/>
          <w:szCs w:val="20"/>
        </w:rPr>
        <w:t>Indian Journal of Extension Education, 57(2): 212-215.</w:t>
      </w:r>
      <w:r w:rsidRPr="007A73FD">
        <w:rPr>
          <w:rFonts w:ascii="Arial" w:hAnsi="Arial" w:cs="Arial"/>
          <w:sz w:val="20"/>
          <w:szCs w:val="20"/>
        </w:rPr>
        <w:t>DOI: 10.5958/2454-552X.2021.00055.4</w:t>
      </w:r>
    </w:p>
    <w:p w14:paraId="3FCD9709" w14:textId="77777777" w:rsidR="00B5411C" w:rsidRPr="007A73FD" w:rsidRDefault="00B5411C" w:rsidP="002138D2">
      <w:pPr>
        <w:spacing w:after="0" w:line="360" w:lineRule="auto"/>
        <w:ind w:left="1440" w:hanging="720"/>
        <w:rPr>
          <w:rFonts w:ascii="Arial" w:hAnsi="Arial" w:cs="Arial"/>
          <w:sz w:val="20"/>
          <w:szCs w:val="20"/>
        </w:rPr>
      </w:pPr>
      <w:r w:rsidRPr="007A73FD">
        <w:rPr>
          <w:rFonts w:ascii="Arial" w:hAnsi="Arial" w:cs="Arial"/>
          <w:sz w:val="20"/>
          <w:szCs w:val="20"/>
        </w:rPr>
        <w:t>Garett, H. E and Woodworth, R.S .1969. Statistics in psychology and education. Vakils, Feffer and Simons Pvt. Ltd., Bombay. p.329.</w:t>
      </w:r>
    </w:p>
    <w:p w14:paraId="4D281048" w14:textId="77777777" w:rsidR="00B5411C" w:rsidRPr="007A73FD" w:rsidRDefault="00B5411C" w:rsidP="002138D2">
      <w:pPr>
        <w:spacing w:after="0" w:line="360" w:lineRule="auto"/>
        <w:ind w:left="1440" w:hanging="720"/>
        <w:jc w:val="both"/>
        <w:rPr>
          <w:rFonts w:ascii="Arial" w:hAnsi="Arial" w:cs="Arial"/>
          <w:sz w:val="20"/>
          <w:szCs w:val="20"/>
        </w:rPr>
      </w:pPr>
      <w:r w:rsidRPr="007A73FD">
        <w:rPr>
          <w:rFonts w:ascii="Arial" w:hAnsi="Arial" w:cs="Arial"/>
          <w:sz w:val="20"/>
          <w:szCs w:val="20"/>
        </w:rPr>
        <w:t xml:space="preserve">Ministry of Textiles, Government of India. (2019). Fourth All India Handloom Census 2019-20. Office of the Development Commissioner for Handlooms. </w:t>
      </w:r>
      <w:hyperlink r:id="rId9" w:history="1">
        <w:r w:rsidRPr="007A73FD">
          <w:rPr>
            <w:rStyle w:val="Hyperlink"/>
            <w:rFonts w:ascii="Arial" w:hAnsi="Arial" w:cs="Arial"/>
            <w:sz w:val="20"/>
            <w:szCs w:val="20"/>
          </w:rPr>
          <w:t>https://handlooms.nic.in/assets/img/Statistics/3736.pdf</w:t>
        </w:r>
      </w:hyperlink>
    </w:p>
    <w:p w14:paraId="15057619" w14:textId="77777777" w:rsidR="00B5411C" w:rsidRPr="007A73FD" w:rsidRDefault="00B5411C" w:rsidP="002138D2">
      <w:pPr>
        <w:spacing w:after="0" w:line="360" w:lineRule="auto"/>
        <w:ind w:left="1440" w:hanging="720"/>
        <w:rPr>
          <w:rFonts w:ascii="Arial" w:hAnsi="Arial" w:cs="Arial"/>
          <w:sz w:val="20"/>
          <w:szCs w:val="20"/>
        </w:rPr>
      </w:pPr>
      <w:proofErr w:type="spellStart"/>
      <w:r w:rsidRPr="007A73FD">
        <w:rPr>
          <w:rFonts w:ascii="Arial" w:hAnsi="Arial" w:cs="Arial"/>
          <w:sz w:val="20"/>
          <w:szCs w:val="20"/>
        </w:rPr>
        <w:t>Ponnurajan</w:t>
      </w:r>
      <w:proofErr w:type="spellEnd"/>
      <w:r w:rsidRPr="007A73FD">
        <w:rPr>
          <w:rFonts w:ascii="Arial" w:hAnsi="Arial" w:cs="Arial"/>
          <w:sz w:val="20"/>
          <w:szCs w:val="20"/>
        </w:rPr>
        <w:t>, F</w:t>
      </w:r>
      <w:r w:rsidRPr="007A73FD">
        <w:rPr>
          <w:rFonts w:ascii="Arial" w:hAnsi="Arial" w:cs="Arial"/>
          <w:i/>
          <w:iCs/>
          <w:sz w:val="20"/>
          <w:szCs w:val="20"/>
        </w:rPr>
        <w:t>., et al</w:t>
      </w:r>
      <w:r w:rsidRPr="007A73FD">
        <w:rPr>
          <w:rFonts w:ascii="Arial" w:hAnsi="Arial" w:cs="Arial"/>
          <w:sz w:val="20"/>
          <w:szCs w:val="20"/>
        </w:rPr>
        <w:t xml:space="preserve">. 2021. An Empirical Analysis of Constraints Faced by the Handloom Weavers and Weaver Cooperative Societies in Virudhunagar District of Tamil Nadu. </w:t>
      </w:r>
      <w:hyperlink r:id="rId10" w:tgtFrame="_blank" w:history="1">
        <w:r w:rsidRPr="007A73FD">
          <w:rPr>
            <w:rStyle w:val="Hyperlink"/>
            <w:rFonts w:ascii="Arial" w:hAnsi="Arial" w:cs="Arial"/>
            <w:sz w:val="20"/>
            <w:szCs w:val="20"/>
          </w:rPr>
          <w:t>https://www.researchgate.net/profile/Flowrine-Ponnurajan/publication/358724616_An_Empirical_Analysis_of_Constraints_Faced_by_the_Handloom_Weavers_and_Weaver_Cooperative_Societies_in_Virudhunagar_District_of_Tamil_Nadu/links/62418dc07931cc7ccfffb121/An-Empirical-Analysis-of-Constraints-Faced-by-the-Handloom-Weavers-and-Weaver-Cooperative-Societies-in-Virudhunagar-District-of-Tamil-Nadu.pdf</w:t>
        </w:r>
      </w:hyperlink>
      <w:r w:rsidRPr="007A73FD">
        <w:rPr>
          <w:rFonts w:ascii="Arial" w:hAnsi="Arial" w:cs="Arial"/>
          <w:sz w:val="20"/>
          <w:szCs w:val="20"/>
        </w:rPr>
        <w:t xml:space="preserve"> </w:t>
      </w:r>
    </w:p>
    <w:p w14:paraId="0D904BB1" w14:textId="77777777" w:rsidR="00B5411C" w:rsidRPr="007A73FD" w:rsidRDefault="00B5411C" w:rsidP="002138D2">
      <w:pPr>
        <w:spacing w:after="0" w:line="360" w:lineRule="auto"/>
        <w:ind w:left="1440" w:hanging="720"/>
        <w:rPr>
          <w:rFonts w:ascii="Arial" w:hAnsi="Arial" w:cs="Arial"/>
          <w:sz w:val="20"/>
          <w:szCs w:val="20"/>
        </w:rPr>
      </w:pPr>
      <w:proofErr w:type="spellStart"/>
      <w:r w:rsidRPr="007A73FD">
        <w:rPr>
          <w:rFonts w:ascii="Arial" w:hAnsi="Arial" w:cs="Arial"/>
          <w:sz w:val="20"/>
          <w:szCs w:val="20"/>
        </w:rPr>
        <w:t>Vepoor</w:t>
      </w:r>
      <w:proofErr w:type="spellEnd"/>
      <w:r w:rsidRPr="007A73FD">
        <w:rPr>
          <w:rFonts w:ascii="Arial" w:hAnsi="Arial" w:cs="Arial"/>
          <w:sz w:val="20"/>
          <w:szCs w:val="20"/>
        </w:rPr>
        <w:t>, S. 2025. Digital Transformation and Gender Equity in the Handloom Industry: Supporting Women Weavers through E-Commerce and Technology in Telangana, India. Journal of Marketing &amp; Social Research, 2(5): 458-461</w:t>
      </w:r>
    </w:p>
    <w:sectPr w:rsidR="00B5411C" w:rsidRPr="007A73FD" w:rsidSect="00D05E45">
      <w:headerReference w:type="even" r:id="rId11"/>
      <w:headerReference w:type="default" r:id="rId12"/>
      <w:footerReference w:type="even" r:id="rId13"/>
      <w:footerReference w:type="default" r:id="rId14"/>
      <w:headerReference w:type="first" r:id="rId15"/>
      <w:footerReference w:type="first" r:id="rId16"/>
      <w:pgSz w:w="11906" w:h="16838" w:code="9"/>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B149C" w14:textId="77777777" w:rsidR="00361F09" w:rsidRDefault="00361F09" w:rsidP="007F7556">
      <w:pPr>
        <w:spacing w:after="0" w:line="240" w:lineRule="auto"/>
      </w:pPr>
      <w:r>
        <w:separator/>
      </w:r>
    </w:p>
  </w:endnote>
  <w:endnote w:type="continuationSeparator" w:id="0">
    <w:p w14:paraId="2358D29D" w14:textId="77777777" w:rsidR="00361F09" w:rsidRDefault="00361F09" w:rsidP="007F7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EFD76" w14:textId="77777777" w:rsidR="007F7556" w:rsidRDefault="007F7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6B59" w14:textId="77777777" w:rsidR="007F7556" w:rsidRDefault="007F7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EE01" w14:textId="77777777" w:rsidR="007F7556" w:rsidRDefault="007F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0085A" w14:textId="77777777" w:rsidR="00361F09" w:rsidRDefault="00361F09" w:rsidP="007F7556">
      <w:pPr>
        <w:spacing w:after="0" w:line="240" w:lineRule="auto"/>
      </w:pPr>
      <w:r>
        <w:separator/>
      </w:r>
    </w:p>
  </w:footnote>
  <w:footnote w:type="continuationSeparator" w:id="0">
    <w:p w14:paraId="323DCFEC" w14:textId="77777777" w:rsidR="00361F09" w:rsidRDefault="00361F09" w:rsidP="007F7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F75D" w14:textId="5D6E9E1B" w:rsidR="007F7556" w:rsidRDefault="007F7556">
    <w:pPr>
      <w:pStyle w:val="Header"/>
    </w:pPr>
    <w:r>
      <w:rPr>
        <w:noProof/>
      </w:rPr>
      <w:pict w14:anchorId="459AC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0.85pt;height:10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AEC" w14:textId="7A70A98F" w:rsidR="007F7556" w:rsidRDefault="007F7556">
    <w:pPr>
      <w:pStyle w:val="Header"/>
    </w:pPr>
    <w:r>
      <w:rPr>
        <w:noProof/>
      </w:rPr>
      <w:pict w14:anchorId="519FC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0.85pt;height:10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C7C19" w14:textId="0F3A2A72" w:rsidR="007F7556" w:rsidRDefault="007F7556">
    <w:pPr>
      <w:pStyle w:val="Header"/>
    </w:pPr>
    <w:r>
      <w:rPr>
        <w:noProof/>
      </w:rPr>
      <w:pict w14:anchorId="30DC5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0.85pt;height:10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33D85"/>
    <w:multiLevelType w:val="hybridMultilevel"/>
    <w:tmpl w:val="EDBA8B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CB4F19"/>
    <w:multiLevelType w:val="hybridMultilevel"/>
    <w:tmpl w:val="D608A57E"/>
    <w:lvl w:ilvl="0" w:tplc="0409000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 w15:restartNumberingAfterBreak="0">
    <w:nsid w:val="34607D59"/>
    <w:multiLevelType w:val="hybridMultilevel"/>
    <w:tmpl w:val="D608A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E4138F"/>
    <w:multiLevelType w:val="hybridMultilevel"/>
    <w:tmpl w:val="BC34B86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610775"/>
    <w:multiLevelType w:val="multilevel"/>
    <w:tmpl w:val="748A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CE"/>
    <w:rsid w:val="0000577D"/>
    <w:rsid w:val="0002535F"/>
    <w:rsid w:val="00052477"/>
    <w:rsid w:val="000665F9"/>
    <w:rsid w:val="000C1CAF"/>
    <w:rsid w:val="000D6E32"/>
    <w:rsid w:val="001056AE"/>
    <w:rsid w:val="00110D1B"/>
    <w:rsid w:val="0011400D"/>
    <w:rsid w:val="001A3F8B"/>
    <w:rsid w:val="001A4F93"/>
    <w:rsid w:val="001B78C0"/>
    <w:rsid w:val="002138D2"/>
    <w:rsid w:val="00281797"/>
    <w:rsid w:val="002E18AE"/>
    <w:rsid w:val="002F430E"/>
    <w:rsid w:val="0030237D"/>
    <w:rsid w:val="00306365"/>
    <w:rsid w:val="00315A60"/>
    <w:rsid w:val="00361F09"/>
    <w:rsid w:val="003672A0"/>
    <w:rsid w:val="00386C21"/>
    <w:rsid w:val="003E4349"/>
    <w:rsid w:val="00410023"/>
    <w:rsid w:val="004129FF"/>
    <w:rsid w:val="00446239"/>
    <w:rsid w:val="00482BFB"/>
    <w:rsid w:val="004F36F9"/>
    <w:rsid w:val="0055372C"/>
    <w:rsid w:val="005616FD"/>
    <w:rsid w:val="00570FD5"/>
    <w:rsid w:val="005E6FF3"/>
    <w:rsid w:val="006A0C3F"/>
    <w:rsid w:val="006B172A"/>
    <w:rsid w:val="006B3DAA"/>
    <w:rsid w:val="006D3A5F"/>
    <w:rsid w:val="006D7171"/>
    <w:rsid w:val="006E3132"/>
    <w:rsid w:val="00777E8B"/>
    <w:rsid w:val="007A73FD"/>
    <w:rsid w:val="007F5E1C"/>
    <w:rsid w:val="007F7556"/>
    <w:rsid w:val="00845523"/>
    <w:rsid w:val="00873071"/>
    <w:rsid w:val="00895EB7"/>
    <w:rsid w:val="008A6221"/>
    <w:rsid w:val="008C195C"/>
    <w:rsid w:val="008E0698"/>
    <w:rsid w:val="00902CFF"/>
    <w:rsid w:val="00920E53"/>
    <w:rsid w:val="009221A1"/>
    <w:rsid w:val="0094538E"/>
    <w:rsid w:val="00952731"/>
    <w:rsid w:val="00965646"/>
    <w:rsid w:val="00965968"/>
    <w:rsid w:val="00965C07"/>
    <w:rsid w:val="0098534D"/>
    <w:rsid w:val="009C1874"/>
    <w:rsid w:val="009C3857"/>
    <w:rsid w:val="009D1B5B"/>
    <w:rsid w:val="00A54AB5"/>
    <w:rsid w:val="00A70BBB"/>
    <w:rsid w:val="00AA07ED"/>
    <w:rsid w:val="00AB7F33"/>
    <w:rsid w:val="00AE01B5"/>
    <w:rsid w:val="00AF4C56"/>
    <w:rsid w:val="00AF4FB9"/>
    <w:rsid w:val="00B1624B"/>
    <w:rsid w:val="00B350FD"/>
    <w:rsid w:val="00B5138E"/>
    <w:rsid w:val="00B5411C"/>
    <w:rsid w:val="00BD160F"/>
    <w:rsid w:val="00C10D5E"/>
    <w:rsid w:val="00C75186"/>
    <w:rsid w:val="00C9659E"/>
    <w:rsid w:val="00CC03DA"/>
    <w:rsid w:val="00CE0A85"/>
    <w:rsid w:val="00D05E45"/>
    <w:rsid w:val="00D41407"/>
    <w:rsid w:val="00D86428"/>
    <w:rsid w:val="00DC3D34"/>
    <w:rsid w:val="00E23BCE"/>
    <w:rsid w:val="00E30BB7"/>
    <w:rsid w:val="00EC5267"/>
    <w:rsid w:val="00F00ACB"/>
    <w:rsid w:val="00F61525"/>
    <w:rsid w:val="00F77152"/>
    <w:rsid w:val="00F8652E"/>
    <w:rsid w:val="00FD29E0"/>
    <w:rsid w:val="00FF01C5"/>
    <w:rsid w:val="00FF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1878C"/>
  <w15:chartTrackingRefBased/>
  <w15:docId w15:val="{3D1BF636-F209-43E6-A4C7-1305B191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BCE"/>
  </w:style>
  <w:style w:type="paragraph" w:styleId="Heading1">
    <w:name w:val="heading 1"/>
    <w:basedOn w:val="Normal"/>
    <w:next w:val="Normal"/>
    <w:link w:val="Heading1Char"/>
    <w:uiPriority w:val="9"/>
    <w:qFormat/>
    <w:rsid w:val="00E23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B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B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B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B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B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B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B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B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BCE"/>
    <w:rPr>
      <w:rFonts w:eastAsiaTheme="majorEastAsia" w:cstheme="majorBidi"/>
      <w:color w:val="272727" w:themeColor="text1" w:themeTint="D8"/>
    </w:rPr>
  </w:style>
  <w:style w:type="paragraph" w:styleId="Title">
    <w:name w:val="Title"/>
    <w:basedOn w:val="Normal"/>
    <w:next w:val="Normal"/>
    <w:link w:val="TitleChar"/>
    <w:uiPriority w:val="10"/>
    <w:qFormat/>
    <w:rsid w:val="00E23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BCE"/>
    <w:pPr>
      <w:spacing w:before="160"/>
      <w:jc w:val="center"/>
    </w:pPr>
    <w:rPr>
      <w:i/>
      <w:iCs/>
      <w:color w:val="404040" w:themeColor="text1" w:themeTint="BF"/>
    </w:rPr>
  </w:style>
  <w:style w:type="character" w:customStyle="1" w:styleId="QuoteChar">
    <w:name w:val="Quote Char"/>
    <w:basedOn w:val="DefaultParagraphFont"/>
    <w:link w:val="Quote"/>
    <w:uiPriority w:val="29"/>
    <w:rsid w:val="00E23BCE"/>
    <w:rPr>
      <w:i/>
      <w:iCs/>
      <w:color w:val="404040" w:themeColor="text1" w:themeTint="BF"/>
    </w:rPr>
  </w:style>
  <w:style w:type="paragraph" w:styleId="ListParagraph">
    <w:name w:val="List Paragraph"/>
    <w:basedOn w:val="Normal"/>
    <w:uiPriority w:val="34"/>
    <w:qFormat/>
    <w:rsid w:val="00E23BCE"/>
    <w:pPr>
      <w:ind w:left="720"/>
      <w:contextualSpacing/>
    </w:pPr>
  </w:style>
  <w:style w:type="character" w:styleId="IntenseEmphasis">
    <w:name w:val="Intense Emphasis"/>
    <w:basedOn w:val="DefaultParagraphFont"/>
    <w:uiPriority w:val="21"/>
    <w:qFormat/>
    <w:rsid w:val="00E23BCE"/>
    <w:rPr>
      <w:i/>
      <w:iCs/>
      <w:color w:val="2F5496" w:themeColor="accent1" w:themeShade="BF"/>
    </w:rPr>
  </w:style>
  <w:style w:type="paragraph" w:styleId="IntenseQuote">
    <w:name w:val="Intense Quote"/>
    <w:basedOn w:val="Normal"/>
    <w:next w:val="Normal"/>
    <w:link w:val="IntenseQuoteChar"/>
    <w:uiPriority w:val="30"/>
    <w:qFormat/>
    <w:rsid w:val="00E23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BCE"/>
    <w:rPr>
      <w:i/>
      <w:iCs/>
      <w:color w:val="2F5496" w:themeColor="accent1" w:themeShade="BF"/>
    </w:rPr>
  </w:style>
  <w:style w:type="character" w:styleId="IntenseReference">
    <w:name w:val="Intense Reference"/>
    <w:basedOn w:val="DefaultParagraphFont"/>
    <w:uiPriority w:val="32"/>
    <w:qFormat/>
    <w:rsid w:val="00E23BCE"/>
    <w:rPr>
      <w:b/>
      <w:bCs/>
      <w:smallCaps/>
      <w:color w:val="2F5496" w:themeColor="accent1" w:themeShade="BF"/>
      <w:spacing w:val="5"/>
    </w:rPr>
  </w:style>
  <w:style w:type="table" w:styleId="TableGrid">
    <w:name w:val="Table Grid"/>
    <w:basedOn w:val="TableNormal"/>
    <w:uiPriority w:val="59"/>
    <w:rsid w:val="00E23BC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3BCE"/>
    <w:rPr>
      <w:color w:val="0563C1" w:themeColor="hyperlink"/>
      <w:u w:val="single"/>
    </w:rPr>
  </w:style>
  <w:style w:type="paragraph" w:customStyle="1" w:styleId="Default">
    <w:name w:val="Default"/>
    <w:rsid w:val="00E23BCE"/>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9C1874"/>
    <w:rPr>
      <w:rFonts w:ascii="Times New Roman" w:hAnsi="Times New Roman" w:cs="Times New Roman"/>
    </w:rPr>
  </w:style>
  <w:style w:type="character" w:styleId="UnresolvedMention">
    <w:name w:val="Unresolved Mention"/>
    <w:basedOn w:val="DefaultParagraphFont"/>
    <w:uiPriority w:val="99"/>
    <w:semiHidden/>
    <w:unhideWhenUsed/>
    <w:rsid w:val="001A3F8B"/>
    <w:rPr>
      <w:color w:val="605E5C"/>
      <w:shd w:val="clear" w:color="auto" w:fill="E1DFDD"/>
    </w:rPr>
  </w:style>
  <w:style w:type="paragraph" w:styleId="Header">
    <w:name w:val="header"/>
    <w:basedOn w:val="Normal"/>
    <w:link w:val="HeaderChar"/>
    <w:uiPriority w:val="99"/>
    <w:unhideWhenUsed/>
    <w:rsid w:val="007F7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556"/>
  </w:style>
  <w:style w:type="paragraph" w:styleId="Footer">
    <w:name w:val="footer"/>
    <w:basedOn w:val="Normal"/>
    <w:link w:val="FooterChar"/>
    <w:uiPriority w:val="99"/>
    <w:unhideWhenUsed/>
    <w:rsid w:val="007F7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cjast.com/index.php/CJAST/article/view/377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southfirst.com/telangana/among-telanganas-weavers-equal-wages-for-women-comes-with-an-acknowledgement-of-their-labou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esearchgate.net/profile/Flowrine-Ponnurajan/publication/358724616_An_Empirical_Analysis_of_Constraints_Faced_by_the_Handloom_Weavers_and_Weaver_Cooperative_Societies_in_Virudhunagar_District_of_Tamil_Nadu/links/62418dc07931cc7ccfffb121/An-Empirical-Analysis-of-Constraints-Faced-by-the-Handloom-Weavers-and-Weaver-Cooperative-Societies-in-Virudhunagar-District-of-Tamil-Nadu.pdf" TargetMode="External"/><Relationship Id="rId4" Type="http://schemas.openxmlformats.org/officeDocument/2006/relationships/webSettings" Target="webSettings.xml"/><Relationship Id="rId9" Type="http://schemas.openxmlformats.org/officeDocument/2006/relationships/hyperlink" Target="https://handlooms.nic.in/assets/img/Statistics/3736.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3076</Words>
  <Characters>17534</Characters>
  <Application>Microsoft Office Word</Application>
  <DocSecurity>0</DocSecurity>
  <Lines>146</Lines>
  <Paragraphs>41</Paragraphs>
  <ScaleCrop>false</ScaleCrop>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singh</dc:creator>
  <cp:keywords/>
  <dc:description/>
  <cp:lastModifiedBy>SDI 1084</cp:lastModifiedBy>
  <cp:revision>85</cp:revision>
  <dcterms:created xsi:type="dcterms:W3CDTF">2026-01-24T12:05:00Z</dcterms:created>
  <dcterms:modified xsi:type="dcterms:W3CDTF">2026-02-19T12:33:00Z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5721d293-9949-4714-8e5d-3873ba40711e</vt:lpwstr>
  </property>
</Properties>
</file>