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7AF" w:rsidRPr="00EE50CC" w:rsidRDefault="00CD57AF" w:rsidP="00EE50CC">
      <w:pPr>
        <w:pStyle w:val="Heading1"/>
      </w:pPr>
      <w:bookmarkStart w:id="0" w:name="_GoBack"/>
      <w:bookmarkEnd w:id="0"/>
      <w:r w:rsidRPr="00EE50CC">
        <w:rPr>
          <w:rStyle w:val="Strong"/>
          <w:b/>
          <w:bCs/>
        </w:rPr>
        <w:t>Impact of Climate-Induced Stress on Food Safety and Quality of Agricultural Produce: Pathways, Evidence, and Risk-Management Priorities</w:t>
      </w:r>
    </w:p>
    <w:p w:rsidR="00EE50CC" w:rsidRDefault="00EE50CC" w:rsidP="00CD57AF">
      <w:pPr>
        <w:pStyle w:val="Heading2"/>
      </w:pPr>
    </w:p>
    <w:p w:rsidR="00CD57AF" w:rsidRDefault="00CD57AF" w:rsidP="00CD57AF">
      <w:pPr>
        <w:pStyle w:val="Heading2"/>
      </w:pPr>
      <w:r>
        <w:t>Abstract</w:t>
      </w:r>
    </w:p>
    <w:p w:rsidR="00CD57AF" w:rsidRDefault="00CD57AF" w:rsidP="00CD57AF">
      <w:pPr>
        <w:pStyle w:val="NormalWeb"/>
      </w:pPr>
      <w:r>
        <w:t>Climate change is intensifying heat extremes, drought, heavy rainfall, flooding, salinity intrusion, and warming of freshwater and marine environments. These climate-induced stresses reshape agricultural hazards and quality attributes through tightly coupled biological and chemical pathways that operate from field production to postharvest handling and distribution. This review synthesizes evidence on how climatic stress modifies (</w:t>
      </w:r>
      <w:proofErr w:type="spellStart"/>
      <w:r>
        <w:t>i</w:t>
      </w:r>
      <w:proofErr w:type="spellEnd"/>
      <w:r>
        <w:t>) microbiological risks via altered survival, growth, and dispersal of foodborne pathogens and spoilage organisms; (ii) mycotoxin risks via shifts in fungal ecology and toxin biosynthesis under temperature–water-activity regimes; (iii) chemical hazards via changes in pesticide use patterns, residue fate, and contaminant mobilization; and (iv) nutritional and sensory quality via stress-driven remodeling of plant metabolism and compositional “dilution” effects under elevated atmospheric carbon dioxide. The literature indicates that risk is increasingly driven by extremes and variability, not only by changes in long-term means, and that impacts often arise from compound events (for example, drought followed by intense rainfall). Fresh produce safety is especially sensitive to climate-mediated water quality and episodic contamination, while cereals and nuts show strong vulnerability to hot–dry conditions that favor aflatoxin risk. Aquatic food systems face increasing hazards from warming-linked Vibrio ecology and expanding harmful cyanobacterial blooms. Effective risk management will require integrating climate information into hazard analysis, strengthening water and postharvest controls, developing predictive early-warning tools for mycotoxins and aquatic hazards, and aligning adaptation with nutrition-sensitive quality objectives.</w:t>
      </w:r>
    </w:p>
    <w:p w:rsidR="00CD57AF" w:rsidRDefault="00CD57AF" w:rsidP="00CD57AF">
      <w:pPr>
        <w:pStyle w:val="NormalWeb"/>
      </w:pPr>
      <w:r>
        <w:rPr>
          <w:rStyle w:val="Strong"/>
        </w:rPr>
        <w:t>Keywords:</w:t>
      </w:r>
      <w:r>
        <w:t xml:space="preserve"> climate extremes; foodborne pathogens; mycotoxins; pesticide residues; nutritional quality; produce safety; postharvest risk; Vibrio; cyanobacterial blooms</w:t>
      </w:r>
    </w:p>
    <w:p w:rsidR="00C12B29" w:rsidRPr="00C12B29" w:rsidRDefault="00C12B29" w:rsidP="00C12B29">
      <w:pPr>
        <w:spacing w:before="100" w:beforeAutospacing="1" w:after="100" w:afterAutospacing="1" w:line="240" w:lineRule="auto"/>
        <w:ind w:left="0" w:right="0" w:firstLine="0"/>
        <w:jc w:val="left"/>
        <w:outlineLvl w:val="1"/>
        <w:rPr>
          <w:b/>
          <w:bCs/>
          <w:color w:val="auto"/>
          <w:kern w:val="0"/>
          <w:sz w:val="36"/>
          <w:szCs w:val="36"/>
          <w:lang w:val="en-US" w:eastAsia="en-US"/>
        </w:rPr>
      </w:pPr>
      <w:r w:rsidRPr="00C12B29">
        <w:rPr>
          <w:b/>
          <w:bCs/>
          <w:color w:val="auto"/>
          <w:kern w:val="0"/>
          <w:sz w:val="36"/>
          <w:szCs w:val="36"/>
          <w:lang w:val="en-US" w:eastAsia="en-US"/>
        </w:rPr>
        <w:t>1. Introduction</w:t>
      </w:r>
    </w:p>
    <w:p w:rsidR="00C12B29" w:rsidRPr="00C12B29" w:rsidRDefault="00C12B29" w:rsidP="00C12B29">
      <w:pPr>
        <w:spacing w:before="100" w:beforeAutospacing="1" w:after="100" w:afterAutospacing="1" w:line="240" w:lineRule="auto"/>
        <w:ind w:left="0" w:right="0" w:firstLine="0"/>
        <w:jc w:val="left"/>
        <w:outlineLvl w:val="2"/>
        <w:rPr>
          <w:b/>
          <w:bCs/>
          <w:color w:val="auto"/>
          <w:kern w:val="0"/>
          <w:sz w:val="27"/>
          <w:szCs w:val="27"/>
          <w:lang w:val="en-US" w:eastAsia="en-US"/>
        </w:rPr>
      </w:pPr>
      <w:r w:rsidRPr="00C12B29">
        <w:rPr>
          <w:b/>
          <w:bCs/>
          <w:color w:val="auto"/>
          <w:kern w:val="0"/>
          <w:sz w:val="27"/>
          <w:szCs w:val="27"/>
          <w:lang w:val="en-US" w:eastAsia="en-US"/>
        </w:rPr>
        <w:t>1.1. Climate-induced stress and the emerging “food safety–quality” nexus in agricultural produce</w:t>
      </w:r>
    </w:p>
    <w:p w:rsidR="00C12B29" w:rsidRPr="00C12B29" w:rsidRDefault="00C12B29" w:rsidP="00C12B29">
      <w:pPr>
        <w:spacing w:before="100" w:beforeAutospacing="1" w:after="100" w:afterAutospacing="1" w:line="240" w:lineRule="auto"/>
        <w:ind w:left="0" w:right="0" w:firstLine="0"/>
        <w:jc w:val="left"/>
        <w:rPr>
          <w:color w:val="auto"/>
          <w:kern w:val="0"/>
          <w:lang w:val="en-US" w:eastAsia="en-US"/>
        </w:rPr>
      </w:pPr>
      <w:r w:rsidRPr="00C12B29">
        <w:rPr>
          <w:color w:val="auto"/>
          <w:kern w:val="0"/>
          <w:lang w:val="en-US" w:eastAsia="en-US"/>
        </w:rPr>
        <w:t xml:space="preserve">Climate change is increasingly understood not only as a yield and food security challenge, but also as a systemic risk multiplier for food safety and quality along the farm-to-fork continuum. Long-term warming, more frequent and intense heatwaves, shifting precipitation regimes, drought, and flooding events can reshape hazard profiles in ways that are difficult to anticipate using historical baselines alone. Early syntheses drew attention to these linkages by arguing that climate trends can influence biological and chemical contamination routes, alter </w:t>
      </w:r>
      <w:r w:rsidRPr="00C12B29">
        <w:rPr>
          <w:color w:val="auto"/>
          <w:kern w:val="0"/>
          <w:lang w:val="en-US" w:eastAsia="en-US"/>
        </w:rPr>
        <w:lastRenderedPageBreak/>
        <w:t>pest and pathogen ecology, and create new vulnerabilities in food and feed systems (</w:t>
      </w:r>
      <w:proofErr w:type="spellStart"/>
      <w:r w:rsidRPr="00C12B29">
        <w:rPr>
          <w:color w:val="auto"/>
          <w:kern w:val="0"/>
          <w:lang w:val="en-US" w:eastAsia="en-US"/>
        </w:rPr>
        <w:t>Miraglia</w:t>
      </w:r>
      <w:proofErr w:type="spellEnd"/>
      <w:r w:rsidRPr="00C12B29">
        <w:rPr>
          <w:color w:val="auto"/>
          <w:kern w:val="0"/>
          <w:lang w:val="en-US" w:eastAsia="en-US"/>
        </w:rPr>
        <w:t xml:space="preserve"> et al., 2009; Tirado et al., 2010). In the case of fresh produce, these concerns are amplified because many fruits and vegetables are consumed raw or minimally processed, leaving fewer “kill steps” to compensate for contamination events, and making preharvest conditions and postharvest handling central determinants of microbiological risk (Murray et al., 2017).</w:t>
      </w:r>
    </w:p>
    <w:p w:rsidR="00C12B29" w:rsidRPr="00C12B29" w:rsidRDefault="00C12B29" w:rsidP="00C12B29">
      <w:pPr>
        <w:spacing w:before="100" w:beforeAutospacing="1" w:after="100" w:afterAutospacing="1" w:line="240" w:lineRule="auto"/>
        <w:ind w:left="0" w:right="0" w:firstLine="0"/>
        <w:jc w:val="left"/>
        <w:rPr>
          <w:color w:val="auto"/>
          <w:kern w:val="0"/>
          <w:lang w:val="en-US" w:eastAsia="en-US"/>
        </w:rPr>
      </w:pPr>
      <w:r w:rsidRPr="00C12B29">
        <w:rPr>
          <w:color w:val="auto"/>
          <w:kern w:val="0"/>
          <w:lang w:val="en-US" w:eastAsia="en-US"/>
        </w:rPr>
        <w:t xml:space="preserve">At the same time, “quality” is not confined to sensory attributes or shelf-life; it includes nutritional integrity and the biochemical composition that underpins consumer health value. A key insight from plant–environment research is that elevated atmospheric CO₂ can shift crop </w:t>
      </w:r>
      <w:proofErr w:type="spellStart"/>
      <w:r w:rsidRPr="00C12B29">
        <w:rPr>
          <w:color w:val="auto"/>
          <w:kern w:val="0"/>
          <w:lang w:val="en-US" w:eastAsia="en-US"/>
        </w:rPr>
        <w:t>ionomes</w:t>
      </w:r>
      <w:proofErr w:type="spellEnd"/>
      <w:r w:rsidRPr="00C12B29">
        <w:rPr>
          <w:color w:val="auto"/>
          <w:kern w:val="0"/>
          <w:lang w:val="en-US" w:eastAsia="en-US"/>
        </w:rPr>
        <w:t xml:space="preserve"> and nutrient density in ways that may be largely invisible to markets yet highly consequential to public health (</w:t>
      </w:r>
      <w:proofErr w:type="spellStart"/>
      <w:r w:rsidRPr="00C12B29">
        <w:rPr>
          <w:color w:val="auto"/>
          <w:kern w:val="0"/>
          <w:lang w:val="en-US" w:eastAsia="en-US"/>
        </w:rPr>
        <w:t>Loladze</w:t>
      </w:r>
      <w:proofErr w:type="spellEnd"/>
      <w:r w:rsidRPr="00C12B29">
        <w:rPr>
          <w:color w:val="auto"/>
          <w:kern w:val="0"/>
          <w:lang w:val="en-US" w:eastAsia="en-US"/>
        </w:rPr>
        <w:t>, 2014). Building on this, experimental evidence suggests that projected CO₂ levels during this century can reduce protein and alter micronutrients and vitamins in rice grains, implying that climate-driven changes in crop composition may intersect with food safety concerns by affecting population vulnerability and dietary adequacy (Zhu et al., 2018). Heat stress, a defining feature of many climate projections, also modifies plant physiology, reproductive success, and fruit development, and can indirectly influence quality traits and postharvest performance through altered metabolism and stress responses (</w:t>
      </w:r>
      <w:proofErr w:type="spellStart"/>
      <w:r w:rsidRPr="00C12B29">
        <w:rPr>
          <w:color w:val="auto"/>
          <w:kern w:val="0"/>
          <w:lang w:val="en-US" w:eastAsia="en-US"/>
        </w:rPr>
        <w:t>Alsamir</w:t>
      </w:r>
      <w:proofErr w:type="spellEnd"/>
      <w:r w:rsidRPr="00C12B29">
        <w:rPr>
          <w:color w:val="auto"/>
          <w:kern w:val="0"/>
          <w:lang w:val="en-US" w:eastAsia="en-US"/>
        </w:rPr>
        <w:t xml:space="preserve"> et al., 2021). Together, these pathways motivate a more integrated framing: climate-induced stress can simultaneously increase contamination risks and degrade nutritional and market quality, creating compound impacts on consumers and supply chains (</w:t>
      </w:r>
      <w:proofErr w:type="spellStart"/>
      <w:r w:rsidRPr="00C12B29">
        <w:rPr>
          <w:color w:val="auto"/>
          <w:kern w:val="0"/>
          <w:lang w:val="en-US" w:eastAsia="en-US"/>
        </w:rPr>
        <w:t>Miraglia</w:t>
      </w:r>
      <w:proofErr w:type="spellEnd"/>
      <w:r w:rsidRPr="00C12B29">
        <w:rPr>
          <w:color w:val="auto"/>
          <w:kern w:val="0"/>
          <w:lang w:val="en-US" w:eastAsia="en-US"/>
        </w:rPr>
        <w:t xml:space="preserve"> et al., 2009; Tirado et al., 2010).</w:t>
      </w:r>
    </w:p>
    <w:p w:rsidR="00C12B29" w:rsidRPr="00C12B29" w:rsidRDefault="00C12B29" w:rsidP="00C12B29">
      <w:pPr>
        <w:spacing w:before="100" w:beforeAutospacing="1" w:after="100" w:afterAutospacing="1" w:line="240" w:lineRule="auto"/>
        <w:ind w:left="0" w:right="0" w:firstLine="0"/>
        <w:jc w:val="left"/>
        <w:outlineLvl w:val="2"/>
        <w:rPr>
          <w:b/>
          <w:bCs/>
          <w:color w:val="auto"/>
          <w:kern w:val="0"/>
          <w:sz w:val="27"/>
          <w:szCs w:val="27"/>
          <w:lang w:val="en-US" w:eastAsia="en-US"/>
        </w:rPr>
      </w:pPr>
      <w:r w:rsidRPr="00C12B29">
        <w:rPr>
          <w:b/>
          <w:bCs/>
          <w:color w:val="auto"/>
          <w:kern w:val="0"/>
          <w:sz w:val="27"/>
          <w:szCs w:val="27"/>
          <w:lang w:val="en-US" w:eastAsia="en-US"/>
        </w:rPr>
        <w:t>1.2. Climate-sensitive microbiological hazards: from field ecology to postharvest persistence</w:t>
      </w:r>
    </w:p>
    <w:p w:rsidR="00C12B29" w:rsidRPr="00C12B29" w:rsidRDefault="00C12B29" w:rsidP="00C12B29">
      <w:pPr>
        <w:spacing w:before="100" w:beforeAutospacing="1" w:after="100" w:afterAutospacing="1" w:line="240" w:lineRule="auto"/>
        <w:ind w:left="0" w:right="0" w:firstLine="0"/>
        <w:jc w:val="left"/>
        <w:rPr>
          <w:color w:val="auto"/>
          <w:kern w:val="0"/>
          <w:lang w:val="en-US" w:eastAsia="en-US"/>
        </w:rPr>
      </w:pPr>
      <w:r w:rsidRPr="00C12B29">
        <w:rPr>
          <w:color w:val="auto"/>
          <w:kern w:val="0"/>
          <w:lang w:val="en-US" w:eastAsia="en-US"/>
        </w:rPr>
        <w:t>Microbiological food safety risks respond to climate variability through multiple, interacting mechanisms. At the ecological level, changes in temperature and moisture alter the survival, growth, and dispersal of microorganisms in soil, water, and plant-associated environments (Tirado et al., 2010). At the agronomic level, extreme weather can disrupt infrastructure and good agricultural practices, for example by increasing reliance on alternative irrigation sources during drought, or by spreading contaminants through runoff and floodwater intrusion. These dynamics are particularly salient for leafy greens and other produce frequently implicated in outbreaks, where even low-level contamination can persist through washing and distribution (Murray et al., 2017). Consequently, climate change can be viewed as a driver that increases the probability of contamination events and complicates the effectiveness of conventional postharvest interventions (Murray et al., 2017; Tirado et al., 2010).</w:t>
      </w:r>
    </w:p>
    <w:p w:rsidR="00C12B29" w:rsidRPr="00C12B29" w:rsidRDefault="00C12B29" w:rsidP="00C12B29">
      <w:pPr>
        <w:spacing w:before="100" w:beforeAutospacing="1" w:after="100" w:afterAutospacing="1" w:line="240" w:lineRule="auto"/>
        <w:ind w:left="0" w:right="0" w:firstLine="0"/>
        <w:jc w:val="left"/>
        <w:rPr>
          <w:color w:val="auto"/>
          <w:kern w:val="0"/>
          <w:lang w:val="en-US" w:eastAsia="en-US"/>
        </w:rPr>
      </w:pPr>
      <w:r w:rsidRPr="00C12B29">
        <w:rPr>
          <w:color w:val="auto"/>
          <w:kern w:val="0"/>
          <w:lang w:val="en-US" w:eastAsia="en-US"/>
        </w:rPr>
        <w:t>Among climate-responsive biological hazards, mycotoxigenic fungi and their toxins occupy a central position because they connect preharvest stress, postharvest storage, and chronic dietary exposure. Climate-linked shifts in temperature, drought stress, and humidity can change fungal community structure and toxigenic potential, thereby influencing both the prevalence and the geographic distribution of mycotoxin contamination (</w:t>
      </w:r>
      <w:proofErr w:type="spellStart"/>
      <w:r w:rsidRPr="00C12B29">
        <w:rPr>
          <w:color w:val="auto"/>
          <w:kern w:val="0"/>
          <w:lang w:val="en-US" w:eastAsia="en-US"/>
        </w:rPr>
        <w:t>Cotty</w:t>
      </w:r>
      <w:proofErr w:type="spellEnd"/>
      <w:r w:rsidRPr="00C12B29">
        <w:rPr>
          <w:color w:val="auto"/>
          <w:kern w:val="0"/>
          <w:lang w:val="en-US" w:eastAsia="en-US"/>
        </w:rPr>
        <w:t xml:space="preserve"> &amp; Jaime-Garcia, 2007; </w:t>
      </w:r>
      <w:proofErr w:type="spellStart"/>
      <w:r w:rsidRPr="00C12B29">
        <w:rPr>
          <w:color w:val="auto"/>
          <w:kern w:val="0"/>
          <w:lang w:val="en-US" w:eastAsia="en-US"/>
        </w:rPr>
        <w:t>Miraglia</w:t>
      </w:r>
      <w:proofErr w:type="spellEnd"/>
      <w:r w:rsidRPr="00C12B29">
        <w:rPr>
          <w:color w:val="auto"/>
          <w:kern w:val="0"/>
          <w:lang w:val="en-US" w:eastAsia="en-US"/>
        </w:rPr>
        <w:t xml:space="preserve"> et al., 2009). Conceptual analyses argue that warming in temperate regions may raise aflatoxin risks, while increased climatic instability can create episodic “high-risk windows” for contamination across many regions (Paterson &amp; Lima, 2010). Importantly, mechanistic perspectives emphasize that toxin production is not a simple function of fungal growth; rather, interacting stressors such as elevated CO₂, temperature increases, and drought can modulate toxin biosynthesis and potentially favor higher toxin burdens even when fungal biomass does not increase proportionally (Medina et al., 2015). In </w:t>
      </w:r>
      <w:r w:rsidRPr="00C12B29">
        <w:rPr>
          <w:color w:val="auto"/>
          <w:kern w:val="0"/>
          <w:lang w:val="en-US" w:eastAsia="en-US"/>
        </w:rPr>
        <w:lastRenderedPageBreak/>
        <w:t>Europe, modeling and empirical synthesis have suggested that aflatoxin B₁ contamination in maize could increase under projected climates, highlighting the role of predictive approaches in identifying emerging hotspots (</w:t>
      </w:r>
      <w:proofErr w:type="spellStart"/>
      <w:r w:rsidRPr="00C12B29">
        <w:rPr>
          <w:color w:val="auto"/>
          <w:kern w:val="0"/>
          <w:lang w:val="en-US" w:eastAsia="en-US"/>
        </w:rPr>
        <w:t>Battilani</w:t>
      </w:r>
      <w:proofErr w:type="spellEnd"/>
      <w:r w:rsidRPr="00C12B29">
        <w:rPr>
          <w:color w:val="auto"/>
          <w:kern w:val="0"/>
          <w:lang w:val="en-US" w:eastAsia="en-US"/>
        </w:rPr>
        <w:t xml:space="preserve"> et al., 2016). These concerns align with broader assessments that climate change can introduce new food safety challenges while intensifying existing ones, particularly where surveillance and mitigation capacities are uneven (</w:t>
      </w:r>
      <w:proofErr w:type="spellStart"/>
      <w:r w:rsidRPr="00C12B29">
        <w:rPr>
          <w:color w:val="auto"/>
          <w:kern w:val="0"/>
          <w:lang w:val="en-US" w:eastAsia="en-US"/>
        </w:rPr>
        <w:t>Miraglia</w:t>
      </w:r>
      <w:proofErr w:type="spellEnd"/>
      <w:r w:rsidRPr="00C12B29">
        <w:rPr>
          <w:color w:val="auto"/>
          <w:kern w:val="0"/>
          <w:lang w:val="en-US" w:eastAsia="en-US"/>
        </w:rPr>
        <w:t xml:space="preserve"> et al., 2009).</w:t>
      </w:r>
    </w:p>
    <w:p w:rsidR="00C12B29" w:rsidRPr="00C12B29" w:rsidRDefault="00C12B29" w:rsidP="00C12B29">
      <w:pPr>
        <w:spacing w:before="100" w:beforeAutospacing="1" w:after="100" w:afterAutospacing="1" w:line="240" w:lineRule="auto"/>
        <w:ind w:left="0" w:right="0" w:firstLine="0"/>
        <w:jc w:val="left"/>
        <w:outlineLvl w:val="2"/>
        <w:rPr>
          <w:b/>
          <w:bCs/>
          <w:color w:val="auto"/>
          <w:kern w:val="0"/>
          <w:sz w:val="27"/>
          <w:szCs w:val="27"/>
          <w:lang w:val="en-US" w:eastAsia="en-US"/>
        </w:rPr>
      </w:pPr>
      <w:r w:rsidRPr="00C12B29">
        <w:rPr>
          <w:b/>
          <w:bCs/>
          <w:color w:val="auto"/>
          <w:kern w:val="0"/>
          <w:sz w:val="27"/>
          <w:szCs w:val="27"/>
          <w:lang w:val="en-US" w:eastAsia="en-US"/>
        </w:rPr>
        <w:t>1.3. Chemical hazards, changing pest pressures, and aquatic-to-terrestrial spillovers</w:t>
      </w:r>
    </w:p>
    <w:p w:rsidR="00C12B29" w:rsidRPr="00C12B29" w:rsidRDefault="00C12B29" w:rsidP="00C12B29">
      <w:pPr>
        <w:spacing w:before="100" w:beforeAutospacing="1" w:after="100" w:afterAutospacing="1" w:line="240" w:lineRule="auto"/>
        <w:ind w:left="0" w:right="0" w:firstLine="0"/>
        <w:jc w:val="left"/>
        <w:rPr>
          <w:color w:val="auto"/>
          <w:kern w:val="0"/>
          <w:lang w:val="en-US" w:eastAsia="en-US"/>
        </w:rPr>
      </w:pPr>
      <w:r w:rsidRPr="00C12B29">
        <w:rPr>
          <w:color w:val="auto"/>
          <w:kern w:val="0"/>
          <w:lang w:val="en-US" w:eastAsia="en-US"/>
        </w:rPr>
        <w:t>Climate-induced stress can also reshape chemical risk profiles in produce systems. One pathway is indirect: altered pest and disease pressures may lead to changes in pesticide use patterns, residue profiles, and the timing and frequency of applications. Reviews of pesticide-related implications underscore that climate change can affect not only pest dynamics but also the environmental fate and behavior of chemicals, thereby complicating exposure pathways and risk management (</w:t>
      </w:r>
      <w:proofErr w:type="spellStart"/>
      <w:r w:rsidRPr="00C12B29">
        <w:rPr>
          <w:color w:val="auto"/>
          <w:kern w:val="0"/>
          <w:lang w:val="en-US" w:eastAsia="en-US"/>
        </w:rPr>
        <w:t>Delcour</w:t>
      </w:r>
      <w:proofErr w:type="spellEnd"/>
      <w:r w:rsidRPr="00C12B29">
        <w:rPr>
          <w:color w:val="auto"/>
          <w:kern w:val="0"/>
          <w:lang w:val="en-US" w:eastAsia="en-US"/>
        </w:rPr>
        <w:t xml:space="preserve"> et al., 2015). More broadly, climate–pollutant interactions may shift contaminant transport, degradation, and bioavailability across ecosystems, with implications for agricultural environments and the safety of water resources used in irrigation and processing (Noyes et al., 2009). In this sense, chemical and microbiological hazards are not separate “silos”; climate-driven disruptions can synchronize them, for example when extreme rainfall mobilizes both microbial contaminants and chemical residues into shared water pathways (Noyes et al., 2009; Tirado et al., 2010).</w:t>
      </w:r>
    </w:p>
    <w:p w:rsidR="00C12B29" w:rsidRPr="00C12B29" w:rsidRDefault="00C12B29" w:rsidP="00C12B29">
      <w:pPr>
        <w:spacing w:before="100" w:beforeAutospacing="1" w:after="100" w:afterAutospacing="1" w:line="240" w:lineRule="auto"/>
        <w:ind w:left="0" w:right="0" w:firstLine="0"/>
        <w:jc w:val="left"/>
        <w:rPr>
          <w:color w:val="auto"/>
          <w:kern w:val="0"/>
          <w:lang w:val="en-US" w:eastAsia="en-US"/>
        </w:rPr>
      </w:pPr>
      <w:r w:rsidRPr="00C12B29">
        <w:rPr>
          <w:color w:val="auto"/>
          <w:kern w:val="0"/>
          <w:lang w:val="en-US" w:eastAsia="en-US"/>
        </w:rPr>
        <w:t>A second, increasingly visible pathway involves aquatic-to-terrestrial spillovers. Ocean warming and changing coastal conditions are associated with expanding risks from Vibrio species, described as an emerging health concern at higher latitudes as seawater temperatures rise (Baker-Austin et al., 2013). These dynamics matter for food systems because seafood and coastal water quality can influence cross-contamination risks and because climate-linked shifts in aquatic pathogens signal broader environmental changes relevant to agriculture and water safety (Tirado et al., 2010). In addition, harmful cyanobacterial blooms—often promoted by warming and nutrient enrichment—pose risks through toxin production and water quality degradation, creating potential downstream implications for irrigation and recreational waters that interface with food production landscapes (</w:t>
      </w:r>
      <w:proofErr w:type="spellStart"/>
      <w:r w:rsidRPr="00C12B29">
        <w:rPr>
          <w:color w:val="auto"/>
          <w:kern w:val="0"/>
          <w:lang w:val="en-US" w:eastAsia="en-US"/>
        </w:rPr>
        <w:t>Paerl</w:t>
      </w:r>
      <w:proofErr w:type="spellEnd"/>
      <w:r w:rsidRPr="00C12B29">
        <w:rPr>
          <w:color w:val="auto"/>
          <w:kern w:val="0"/>
          <w:lang w:val="en-US" w:eastAsia="en-US"/>
        </w:rPr>
        <w:t xml:space="preserve"> &amp; </w:t>
      </w:r>
      <w:proofErr w:type="spellStart"/>
      <w:r w:rsidRPr="00C12B29">
        <w:rPr>
          <w:color w:val="auto"/>
          <w:kern w:val="0"/>
          <w:lang w:val="en-US" w:eastAsia="en-US"/>
        </w:rPr>
        <w:t>Otten</w:t>
      </w:r>
      <w:proofErr w:type="spellEnd"/>
      <w:r w:rsidRPr="00C12B29">
        <w:rPr>
          <w:color w:val="auto"/>
          <w:kern w:val="0"/>
          <w:lang w:val="en-US" w:eastAsia="en-US"/>
        </w:rPr>
        <w:t xml:space="preserve">, 2013). Framing non-cholera </w:t>
      </w:r>
      <w:proofErr w:type="spellStart"/>
      <w:r w:rsidRPr="00C12B29">
        <w:rPr>
          <w:color w:val="auto"/>
          <w:kern w:val="0"/>
          <w:lang w:val="en-US" w:eastAsia="en-US"/>
        </w:rPr>
        <w:t>vibrios</w:t>
      </w:r>
      <w:proofErr w:type="spellEnd"/>
      <w:r w:rsidRPr="00C12B29">
        <w:rPr>
          <w:color w:val="auto"/>
          <w:kern w:val="0"/>
          <w:lang w:val="en-US" w:eastAsia="en-US"/>
        </w:rPr>
        <w:t xml:space="preserve"> as a “microbial barometer” of climate change further illustrates how warming trends can restructure microbial risk landscapes in ways that may cascade into food safety governance and monitoring strategies (Baker-Austin et al., 2017).</w:t>
      </w:r>
    </w:p>
    <w:p w:rsidR="00C12B29" w:rsidRPr="00C12B29" w:rsidRDefault="00C12B29" w:rsidP="00C12B29">
      <w:pPr>
        <w:spacing w:before="100" w:beforeAutospacing="1" w:after="100" w:afterAutospacing="1" w:line="240" w:lineRule="auto"/>
        <w:ind w:left="0" w:right="0" w:firstLine="0"/>
        <w:jc w:val="left"/>
        <w:outlineLvl w:val="2"/>
        <w:rPr>
          <w:b/>
          <w:bCs/>
          <w:color w:val="auto"/>
          <w:kern w:val="0"/>
          <w:sz w:val="27"/>
          <w:szCs w:val="27"/>
          <w:lang w:val="en-US" w:eastAsia="en-US"/>
        </w:rPr>
      </w:pPr>
      <w:r w:rsidRPr="00C12B29">
        <w:rPr>
          <w:b/>
          <w:bCs/>
          <w:color w:val="auto"/>
          <w:kern w:val="0"/>
          <w:sz w:val="27"/>
          <w:szCs w:val="27"/>
          <w:lang w:val="en-US" w:eastAsia="en-US"/>
        </w:rPr>
        <w:t>1.4. Scope and objectives of this review</w:t>
      </w:r>
    </w:p>
    <w:p w:rsidR="00C12B29" w:rsidRPr="00C12B29" w:rsidRDefault="00C12B29" w:rsidP="00C12B29">
      <w:pPr>
        <w:spacing w:before="100" w:beforeAutospacing="1" w:after="100" w:afterAutospacing="1" w:line="240" w:lineRule="auto"/>
        <w:ind w:left="0" w:right="0" w:firstLine="0"/>
        <w:jc w:val="left"/>
        <w:rPr>
          <w:color w:val="auto"/>
          <w:kern w:val="0"/>
          <w:lang w:val="en-US" w:eastAsia="en-US"/>
        </w:rPr>
      </w:pPr>
      <w:r w:rsidRPr="00C12B29">
        <w:rPr>
          <w:color w:val="auto"/>
          <w:kern w:val="0"/>
          <w:lang w:val="en-US" w:eastAsia="en-US"/>
        </w:rPr>
        <w:t>This review examines how climate-induced stressors—particularly heat stress, drought, altered precipitation extremes, and rising atmospheric CO₂—affect (</w:t>
      </w:r>
      <w:proofErr w:type="spellStart"/>
      <w:r w:rsidRPr="00C12B29">
        <w:rPr>
          <w:color w:val="auto"/>
          <w:kern w:val="0"/>
          <w:lang w:val="en-US" w:eastAsia="en-US"/>
        </w:rPr>
        <w:t>i</w:t>
      </w:r>
      <w:proofErr w:type="spellEnd"/>
      <w:r w:rsidRPr="00C12B29">
        <w:rPr>
          <w:color w:val="auto"/>
          <w:kern w:val="0"/>
          <w:lang w:val="en-US" w:eastAsia="en-US"/>
        </w:rPr>
        <w:t>) microbiological food safety risks (with emphasis on fresh produce vulnerability and climate-sensitive mycotoxin pathways), (ii) chemical hazards relevant to produce quality and safety (including climate-linked changes in pesticide dynamics and contaminant behavior), and (iii) food quality outcomes that include nutritional composition shifts alongside conventional quality traits. The objective is to synthesize evidence that connects field-level stress biology with hazard emergence and persistence across the postharvest chain, highlighting mechanisms, points of amplification, and priority areas for monitoring and adaptation. By integrating these themes, the review aims to support more climate-resilient approaches to safeguarding both the safety and the health value of agricultural produce under accelerating environmental change.</w:t>
      </w:r>
    </w:p>
    <w:p w:rsidR="00CD57AF" w:rsidRDefault="00CD57AF" w:rsidP="00CD57AF">
      <w:pPr>
        <w:pStyle w:val="Heading2"/>
      </w:pPr>
      <w:r>
        <w:lastRenderedPageBreak/>
        <w:t>2. Methods for literature selection</w:t>
      </w:r>
    </w:p>
    <w:p w:rsidR="00CD57AF" w:rsidRDefault="00CD57AF" w:rsidP="00CD57AF">
      <w:pPr>
        <w:pStyle w:val="NormalWeb"/>
      </w:pPr>
      <w:r>
        <w:t>A structured literature search was conducted using Web of Science, Scopus, PubMed, and Google Scholar to identify peer-reviewed studies and reviews published from January 2006 through December 2025 addressing climate variables (including temperature, heat extremes, drought, precipitation, flooding, salinity, and atmospheric carbon dioxide) in relation to food safety hazards or produce quality outcomes. Search strings combined climate and hazard/quality terms, including variants of “climate change,” “heatwave,” “drought,” “flood,” “precipitation,” “ocean warming,” and “elevated CO2,” with “food safety,” “fresh produce,” “foodborne,” “pathogen,” “Salmonella,” “Escherichia coli,” “Listeria,” “mycotoxin,” “aflatoxin,” “Fusarium,” “pesticide residue,” “Vibrio,” “cyanobacteria,” “nutritional quality,” “minerals,” and “vitamins.” Inclusion criteria prioritized studies that provided mechanistic insight, quantitative associations, predictive modeling, or clearly defined hazard/quality endpoints relevant to agricultural produce. Exclusion criteria included non-peer-reviewed commentary without primary data or synthesis methods, studies not clearly linking climate-related exposure to food safety or quality outcomes, and papers focused solely on consumer behavior without a production-to-postharvest pathway. Reference lists of highly cited reviews were used to identify additional foundational papers within and slightly</w:t>
      </w:r>
      <w:r w:rsidR="00CC2B1A">
        <w:t xml:space="preserve"> outside the target time window</w:t>
      </w:r>
      <w:r>
        <w:t>.</w:t>
      </w:r>
    </w:p>
    <w:p w:rsidR="00CC2B1A" w:rsidRPr="00CC2B1A" w:rsidRDefault="00CC2B1A" w:rsidP="00CC2B1A">
      <w:pPr>
        <w:spacing w:before="100" w:beforeAutospacing="1" w:after="100" w:afterAutospacing="1" w:line="240" w:lineRule="auto"/>
        <w:ind w:left="0" w:right="0" w:firstLine="0"/>
        <w:jc w:val="left"/>
        <w:outlineLvl w:val="1"/>
        <w:rPr>
          <w:b/>
          <w:bCs/>
          <w:color w:val="auto"/>
          <w:kern w:val="0"/>
          <w:sz w:val="36"/>
          <w:szCs w:val="36"/>
          <w:lang w:val="en-US" w:eastAsia="en-US"/>
        </w:rPr>
      </w:pPr>
      <w:r w:rsidRPr="00CC2B1A">
        <w:rPr>
          <w:b/>
          <w:bCs/>
          <w:color w:val="auto"/>
          <w:kern w:val="0"/>
          <w:sz w:val="36"/>
          <w:szCs w:val="36"/>
          <w:lang w:val="en-US" w:eastAsia="en-US"/>
        </w:rPr>
        <w:t>3. Climate-induced stressors and cross-cutting pathways</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Climate-induced stress affects the safety and quality of agricultural produce through recurring, cross-cutting pathway types that operate simultaneously across the production and postharvest continuum. Rather than acting as isolated drivers, temperature extremes, drought, heavy rainfall and flooding, and rising atmospheric CO₂ frequently co-occur or unfold in sequences that amplify risk. These stressors alter microbial ecology in soils and water, change plant physiology and defense, reshape pest pressure and chemical use patterns, and strain the operational reliability of hygiene and cold-chain systems. A key implication is that climate impacts are often nonlinear and event-driven: short-lived extremes can trigger disproportionate contamination or quality loss, while longer-term shifts reset the baseline conditions under which hazards persist and quality is formed (Tirado et al., 2010).</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A useful way to conceptualize “cross-cutting pathways” is to focus on how climate stress modifies exposure probability, hazard growth potential, and vulnerability of the commodity and supply chain. Exposure probability increases when climate disrupts barriers—such as safe water access, sanitation capacity, or the integrity of storage and transport. Growth potential increases when temperature and moisture conditions favor pathogens or spoilage organisms, or when damaged tissues provide substrates for microbial proliferation. Vulnerability increases when plants under abiotic stress are more susceptible to infection and when postharvest systems have reduced capacity to prevent deterioration. In fresh produce systems, these mechanisms help explain why postharvest washing alone cannot reliably compensate for elevated preharvest contamination risk, and why multi-hurdle preventive control becomes more important under climatic volatility (Murray et al., 2017; Tirado et al., 2010).</w:t>
      </w:r>
    </w:p>
    <w:p w:rsidR="00CC2B1A" w:rsidRPr="00CC2B1A" w:rsidRDefault="00CC2B1A" w:rsidP="00CC2B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CC2B1A">
        <w:rPr>
          <w:b/>
          <w:bCs/>
          <w:color w:val="auto"/>
          <w:kern w:val="0"/>
          <w:sz w:val="27"/>
          <w:szCs w:val="27"/>
          <w:lang w:val="en-US" w:eastAsia="en-US"/>
        </w:rPr>
        <w:t>3.1 Temperature extremes and heat stress</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lastRenderedPageBreak/>
        <w:t>Rising mean temperatures and, critically, more frequent heat extremes influence both safety and quality by accelerating biological rates and compressing the safe operating window for harvesting, handling, and distribution. For microbiological safety, warm conditions can increase the persistence or growth potential of certain organisms in water and on produce surfaces, but the net effect depends on interacting factors such as humidity, UV exposure, and microhabitats that protect cells from desiccation. From a systems perspective, the more consistent signal is that heat increases the probability of time–temperature abuse: harvesting delays, longer field holding, and stress on refrigerated transport and storage can reduce safety margins for products without a lethality step (Tirado et al., 2010). Heatwaves also raise the chance that washing and cooling systems operate under higher organic loads and warmer water temperatures, conditions that can diminish sanitizer efficacy and increase cross-contamination potential if process controls are not strengthened (Murray et al., 2017).</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Heat stress also shapes produce quality by altering plant development and ripening physiology, which can indirectly influence safety by changing tissue integrity and shelf-life. In horticultural crops, heat can affect flowering and fruit set and can shift biochemical pathways related to sugars, acids, pigments, and texture. For tomatoes, heat stress is associated with changes in plant performance and physiological processes that are closely linked to market quality and postharvest behavior, illustrating how climate stress can translate into more fragile commodities that deteriorate faster during storage and transport (</w:t>
      </w:r>
      <w:proofErr w:type="spellStart"/>
      <w:r w:rsidRPr="00CC2B1A">
        <w:rPr>
          <w:color w:val="auto"/>
          <w:kern w:val="0"/>
          <w:lang w:val="en-US" w:eastAsia="en-US"/>
        </w:rPr>
        <w:t>Alsamir</w:t>
      </w:r>
      <w:proofErr w:type="spellEnd"/>
      <w:r w:rsidRPr="00CC2B1A">
        <w:rPr>
          <w:color w:val="auto"/>
          <w:kern w:val="0"/>
          <w:lang w:val="en-US" w:eastAsia="en-US"/>
        </w:rPr>
        <w:t xml:space="preserve"> et al., 2021). Faster deterioration is not merely a quality issue; softening and microcracking can increase leakage of nutrients at the surface, creating niches that support spoilage organisms and increasing the likelihood of quality-driven handling interventions that raise cross-contamination opportunities (Murray et al., 2017).</w:t>
      </w:r>
    </w:p>
    <w:p w:rsidR="00CC2B1A" w:rsidRPr="00CC2B1A" w:rsidRDefault="00CC2B1A" w:rsidP="00CC2B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CC2B1A">
        <w:rPr>
          <w:b/>
          <w:bCs/>
          <w:color w:val="auto"/>
          <w:kern w:val="0"/>
          <w:sz w:val="27"/>
          <w:szCs w:val="27"/>
          <w:lang w:val="en-US" w:eastAsia="en-US"/>
        </w:rPr>
        <w:t>3.2 Drought, water scarcity, and hot–dry risk regimes</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Drought acts as both a direct plant stressor and a driver of management changes that affect hazard exposure. Water scarcity can increase reliance on alternative irrigation sources, intensify recirculation and reuse pressures, and reduce the availability of water for hygiene—each of which can elevate exposure risk if safeguards and treatment are insufficient (Tirado et al., 2010). Drought also increases dust and soil disturbance in many production regions, potentially increasing deposition of particulates that carry microbial or fungal propagules onto crop surfaces. In this context, drought is best viewed not only as “less water,” but as a stressor that restructures the whole exposure landscape by changing where water comes from, how it is used, and the degree to which sanitation barriers can be maintained.</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Hot–dry regimes are especially consequential for mycotoxin risk. Foundational work has emphasized that climate conditions influence the prevalence and dominance of aflatoxin-producing fungi and the likelihood that infection progresses to toxin accumulation, particularly in drought-stressed crops where host defenses are compromised (</w:t>
      </w:r>
      <w:proofErr w:type="spellStart"/>
      <w:r w:rsidRPr="00CC2B1A">
        <w:rPr>
          <w:color w:val="auto"/>
          <w:kern w:val="0"/>
          <w:lang w:val="en-US" w:eastAsia="en-US"/>
        </w:rPr>
        <w:t>Cotty</w:t>
      </w:r>
      <w:proofErr w:type="spellEnd"/>
      <w:r w:rsidRPr="00CC2B1A">
        <w:rPr>
          <w:color w:val="auto"/>
          <w:kern w:val="0"/>
          <w:lang w:val="en-US" w:eastAsia="en-US"/>
        </w:rPr>
        <w:t xml:space="preserve"> &amp; Jaime-Garcia, 2007). Broader synthesis indicates that climate change may shift mycotoxin patterns by altering fungal ecology and by changing the timing of stress relative to crop phenology, thereby modifying when and where toxin risks become concentrated (Paterson &amp; Lima, 2010). Importantly, the mechanism is not just “more fungus.” Climate stress can affect the physiological state of the host and the metabolic regulation of toxin production, creating scenarios in which toxin risk rises sharply under particular temperature–moisture combinations even when visible mold is not extreme (Paterson &amp; Lima, 2010). This reinforces the need for climate-aware surveillance that targets high-risk windows rather than relying on average-condition sampling.</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lastRenderedPageBreak/>
        <w:t>Drought also has implications for chemical hazard pathways because changing pest dynamics can alter pesticide application patterns, and environmental conditions can influence degradation, wash-off, and residue persistence. Reviews focusing on climate impacts on pesticide use have highlighted that shifting climatic conditions can change pest pressure and management responses, with potential implications for residue profiles and exposure patterns in food systems (</w:t>
      </w:r>
      <w:proofErr w:type="spellStart"/>
      <w:r w:rsidRPr="00CC2B1A">
        <w:rPr>
          <w:color w:val="auto"/>
          <w:kern w:val="0"/>
          <w:lang w:val="en-US" w:eastAsia="en-US"/>
        </w:rPr>
        <w:t>Delcour</w:t>
      </w:r>
      <w:proofErr w:type="spellEnd"/>
      <w:r w:rsidRPr="00CC2B1A">
        <w:rPr>
          <w:color w:val="auto"/>
          <w:kern w:val="0"/>
          <w:lang w:val="en-US" w:eastAsia="en-US"/>
        </w:rPr>
        <w:t xml:space="preserve"> et al., 2014). Under drought, the same scarcity that motivates use of marginal water sources can also limit washing and cleaning capacity, potentially increasing the importance of upstream control and residue monitoring.</w:t>
      </w:r>
    </w:p>
    <w:p w:rsidR="00CC2B1A" w:rsidRPr="00CC2B1A" w:rsidRDefault="00CC2B1A" w:rsidP="00CC2B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CC2B1A">
        <w:rPr>
          <w:b/>
          <w:bCs/>
          <w:color w:val="auto"/>
          <w:kern w:val="0"/>
          <w:sz w:val="27"/>
          <w:szCs w:val="27"/>
          <w:lang w:val="en-US" w:eastAsia="en-US"/>
        </w:rPr>
        <w:t>3.3 Heavy rainfall, flooding, and episodic contamination transport</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Heavy rainfall and flooding can produce step-changes in contamination risk by mobilizing fecal material, sediments, and other contaminants from surrounding landscapes and transporting them into fields, water bodies, and production infrastructure. These events are often characterized by sharp temporal peaks—short periods during and immediately after storms—during which microbial loads and turbidity can increase rapidly, challenging the effectiveness of routine monitoring and making preventive land- and water-management measures central to risk reduction (Tirado et al., 2010). For fresh produce, which often lacks a kill-step, such episodic contamination spikes matter disproportionately because they can lead to low-prevalence but high-impact contamination events that are difficult to detect with end-product testing (Murray et al., 2017).</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Flooding can also influence fungal ecology by increasing humidity and wetness duration, which may support infection in the field and raise moisture at harvest. The risk does not end at harvest: climate-driven constraints on drying capacity and storage humidity control can determine whether fungal contamination translates into meaningful mycotoxin accumulation later. Climate-focused mycotoxin syntheses underscore that both field and postharvest conditions are decisive, and that changing rainfall patterns can alter the relative importance of these stages across regions (Paterson &amp; Lima, 2010). In addition, research on climate change and mycotoxigenic fungi highlights that interactions among climate variables can modulate toxin production and competitive dynamics among fungi, making risk sensitive to sequences of wet and dry conditions rather than to single variables alone (Medina et al., 2017).</w:t>
      </w:r>
    </w:p>
    <w:p w:rsidR="00CC2B1A" w:rsidRPr="00CC2B1A" w:rsidRDefault="00CC2B1A" w:rsidP="00CC2B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CC2B1A">
        <w:rPr>
          <w:b/>
          <w:bCs/>
          <w:color w:val="auto"/>
          <w:kern w:val="0"/>
          <w:sz w:val="27"/>
          <w:szCs w:val="27"/>
          <w:lang w:val="en-US" w:eastAsia="en-US"/>
        </w:rPr>
        <w:t>3.4 Elevated atmospheric CO₂ and compositional “dilution” pathways</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 xml:space="preserve">Rising atmospheric CO₂ represents a cross-cutting pathway that primarily affects produce quality but can also influence safety indirectly through population vulnerability and supply-chain behavior. Evidence indicates that elevated CO₂ can shift the plant </w:t>
      </w:r>
      <w:proofErr w:type="spellStart"/>
      <w:r w:rsidRPr="00CC2B1A">
        <w:rPr>
          <w:color w:val="auto"/>
          <w:kern w:val="0"/>
          <w:lang w:val="en-US" w:eastAsia="en-US"/>
        </w:rPr>
        <w:t>ionome</w:t>
      </w:r>
      <w:proofErr w:type="spellEnd"/>
      <w:r w:rsidRPr="00CC2B1A">
        <w:rPr>
          <w:color w:val="auto"/>
          <w:kern w:val="0"/>
          <w:lang w:val="en-US" w:eastAsia="en-US"/>
        </w:rPr>
        <w:t xml:space="preserve"> and reduce mineral density, contributing to a dilution of essential nutrients at the base of human nutrition (</w:t>
      </w:r>
      <w:proofErr w:type="spellStart"/>
      <w:r w:rsidRPr="00CC2B1A">
        <w:rPr>
          <w:color w:val="auto"/>
          <w:kern w:val="0"/>
          <w:lang w:val="en-US" w:eastAsia="en-US"/>
        </w:rPr>
        <w:t>Loladze</w:t>
      </w:r>
      <w:proofErr w:type="spellEnd"/>
      <w:r w:rsidRPr="00CC2B1A">
        <w:rPr>
          <w:color w:val="auto"/>
          <w:kern w:val="0"/>
          <w:lang w:val="en-US" w:eastAsia="en-US"/>
        </w:rPr>
        <w:t>, 2014). This matters because the health consequences of climate change are not limited to discrete contamination events; they also include chronic, widespread quality shifts that can reduce dietary adequacy even when caloric production is maintained. In rice, elevated CO₂ has been shown to alter protein, micronutrients, and vitamin content, illustrating that multiple nutrient classes can be affected concurrently under atmospheric conditions expected this century (Zhu et al., 2018).</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 xml:space="preserve">These compositional changes can interact with food safety in practical ways. Nutrient dilution can increase susceptibility to infection and reduce resilience to environmental stressors, potentially increasing the health burden of foodborne disease outbreaks even if hazard prevalence changes modestly. At the commodity level, altered composition can </w:t>
      </w:r>
      <w:r w:rsidRPr="00CC2B1A">
        <w:rPr>
          <w:color w:val="auto"/>
          <w:kern w:val="0"/>
          <w:lang w:val="en-US" w:eastAsia="en-US"/>
        </w:rPr>
        <w:lastRenderedPageBreak/>
        <w:t>influence ripening and postharvest behavior, potentially affecting shelf-life and loss rates; higher losses can, in turn, encourage longer storage times, more repacking, or informal redistribution practices that can increase handling-related contamination opportunities (Murray et al., 2017). From a cross-cutting pathway perspective, elevated CO₂ therefore acts both as a slow-moving driver of nutritional quality change and as a modifier of the broader risk context in which microbial and chemical hazards occur (</w:t>
      </w:r>
      <w:proofErr w:type="spellStart"/>
      <w:r w:rsidRPr="00CC2B1A">
        <w:rPr>
          <w:color w:val="auto"/>
          <w:kern w:val="0"/>
          <w:lang w:val="en-US" w:eastAsia="en-US"/>
        </w:rPr>
        <w:t>Loladze</w:t>
      </w:r>
      <w:proofErr w:type="spellEnd"/>
      <w:r w:rsidRPr="00CC2B1A">
        <w:rPr>
          <w:color w:val="auto"/>
          <w:kern w:val="0"/>
          <w:lang w:val="en-US" w:eastAsia="en-US"/>
        </w:rPr>
        <w:t>, 2014; Zhu et al., 2018).</w:t>
      </w:r>
    </w:p>
    <w:p w:rsidR="00CC2B1A" w:rsidRPr="00CC2B1A" w:rsidRDefault="00CC2B1A" w:rsidP="00CC2B1A">
      <w:pPr>
        <w:spacing w:before="100" w:beforeAutospacing="1" w:after="100" w:afterAutospacing="1" w:line="240" w:lineRule="auto"/>
        <w:ind w:left="0" w:right="0" w:firstLine="0"/>
        <w:jc w:val="left"/>
        <w:outlineLvl w:val="1"/>
        <w:rPr>
          <w:b/>
          <w:bCs/>
          <w:color w:val="auto"/>
          <w:kern w:val="0"/>
          <w:sz w:val="36"/>
          <w:szCs w:val="36"/>
          <w:lang w:val="en-US" w:eastAsia="en-US"/>
        </w:rPr>
      </w:pPr>
      <w:r w:rsidRPr="00CC2B1A">
        <w:rPr>
          <w:b/>
          <w:bCs/>
          <w:color w:val="auto"/>
          <w:kern w:val="0"/>
          <w:sz w:val="36"/>
          <w:szCs w:val="36"/>
          <w:lang w:val="en-US" w:eastAsia="en-US"/>
        </w:rPr>
        <w:t>4. Microbiological safety under climate-induced stress</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Microbiological hazards are among the most climate-sensitive dimensions of food safety because climate variability influences pathogen survival, transport, and opportunities for amplification across the entire production-to-consumption chain. From a systems perspective, climate change acts less as a single directional shift and more as a driver of volatility that increases the frequency of conditions under which controls fail: extreme rainfall can overwhelm water and sanitation infrastructure; drought can elevate reliance on marginal water sources; and heat can compress the time–temperature safety margin during harvest, packing, storage, and retail display (Tirado et al., 2010). These pressures are particularly consequential for fresh produce because many fruits and vegetables are consumed raw, leaving few opportunities to eliminate pathogens once contamination has occurred. Therefore, climate-induced stress magnifies the importance of preventive controls and the reliability of multi-hurdle strategies that reduce hazard introduction and limit cross-contamination during postharvest handling (Murray et al., 2017).</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 xml:space="preserve">A crucial feature of microbiological risk under climate stress is </w:t>
      </w:r>
      <w:proofErr w:type="spellStart"/>
      <w:r w:rsidRPr="00CC2B1A">
        <w:rPr>
          <w:color w:val="auto"/>
          <w:kern w:val="0"/>
          <w:lang w:val="en-US" w:eastAsia="en-US"/>
        </w:rPr>
        <w:t>episodicity</w:t>
      </w:r>
      <w:proofErr w:type="spellEnd"/>
      <w:r w:rsidRPr="00CC2B1A">
        <w:rPr>
          <w:color w:val="auto"/>
          <w:kern w:val="0"/>
          <w:lang w:val="en-US" w:eastAsia="en-US"/>
        </w:rPr>
        <w:t>. Contamination events are often driven by short-lived extremes—storms, floods, or heatwaves—rather than by long-term mean changes alone. Such events can create “spikes” in microbial loads and exposure opportunities that are difficult to capture with routine periodic testing, especially because contamination in produce systems tends to be spatially heterogeneous and low in prevalence but potentially high in consequence (Tirado et al., 2010). In this context, reliance on end-product testing is intrinsically limited: negative results cannot guarantee absence when contamination is clustered, and positive results often arrive too late to prevent distribution. This reality places emphasis on upstream risk management, including water quality governance, exclusion of contamination sources, hygienic harvest and packing operations, and robust temperature and sanitation controls throughout distribution (Murray et al., 2017; Tirado et al., 2010).</w:t>
      </w:r>
    </w:p>
    <w:p w:rsidR="00CC2B1A" w:rsidRPr="00CC2B1A" w:rsidRDefault="00CC2B1A" w:rsidP="00CC2B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CC2B1A">
        <w:rPr>
          <w:b/>
          <w:bCs/>
          <w:color w:val="auto"/>
          <w:kern w:val="0"/>
          <w:sz w:val="27"/>
          <w:szCs w:val="27"/>
          <w:lang w:val="en-US" w:eastAsia="en-US"/>
        </w:rPr>
        <w:t>4.1 Fresh produce and water-mediated contamination pathways</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Among agricultural commodities, fresh produce is uniquely sensitive to climate-induced disruptions in water systems because water serves multiple roles in production and postharvest handling. In the field, irrigation water can introduce pathogens when sources are contaminated or treatment is inadequate. Under drought, producers may be pushed toward alternative or lower-quality sources; under heavy rainfall, runoff can mobilize fecal contamination from surrounding landscapes into waterways and onto fields; and under flooding, direct contact with floodwater can introduce high microbial loads into the production environment. Reviews of climate change and food safety highlight that these pathways are likely to become more important as precipitation extremes intensify and as water scarcity increases reliance on complex water management strategies (Tirado et al., 2010).</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lastRenderedPageBreak/>
        <w:t xml:space="preserve">Postharvest, water remains central because washing, hydrocooling, and flume transport can either reduce microbial loads or, if poorly controlled, disseminate contamination across large volumes of produce. The microbiological food safety literature emphasizes that postharvest washing has inherent limitations: while it can remove some surface contamination, it often cannot reliably eliminate pathogens once they attach strongly, enter </w:t>
      </w:r>
      <w:proofErr w:type="spellStart"/>
      <w:r w:rsidRPr="00CC2B1A">
        <w:rPr>
          <w:color w:val="auto"/>
          <w:kern w:val="0"/>
          <w:lang w:val="en-US" w:eastAsia="en-US"/>
        </w:rPr>
        <w:t>microcrevices</w:t>
      </w:r>
      <w:proofErr w:type="spellEnd"/>
      <w:r w:rsidRPr="00CC2B1A">
        <w:rPr>
          <w:color w:val="auto"/>
          <w:kern w:val="0"/>
          <w:lang w:val="en-US" w:eastAsia="en-US"/>
        </w:rPr>
        <w:t>, or internalize through natural openings or damage. In addition, wash systems can become amplification points for cross-contamination when sanitizer demand increases due to higher organic loads, when temperature differentials promote infiltration, or when process monitoring is insufficient (Murray et al., 2017). Climate-induced stress can exacerbate these vulnerabilities by increasing the prevalence of damaged produce (for example, from heat stress or storm damage), increasing organic loads in wash water, and increasing operational pressures during peak heat when cooling and sanitation are simultaneously strained.</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The interaction between climate and water quality also highlights a governance challenge: contamination risk is shaped not only by farm practices but also by watershed-scale dynamics that are affected by land use, hydrology, and extreme weather. Because microbial contamination can arise from sources beyond the farm boundary, preventive strategies under climate volatility increasingly depend on coordinated risk reduction across landscapes, including protecting water intakes, managing runoff, and maintaining infrastructure that can withstand storms and floods (Tirado et al., 2010). In practice, this reinforces the role of hazard analysis frameworks that integrate environmental monitoring, water source risk assessment, and adaptive operational controls rather than relying on static compliance assumptions.</w:t>
      </w:r>
    </w:p>
    <w:p w:rsidR="00CC2B1A" w:rsidRPr="00CC2B1A" w:rsidRDefault="00CC2B1A" w:rsidP="00CC2B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CC2B1A">
        <w:rPr>
          <w:b/>
          <w:bCs/>
          <w:color w:val="auto"/>
          <w:kern w:val="0"/>
          <w:sz w:val="27"/>
          <w:szCs w:val="27"/>
          <w:lang w:val="en-US" w:eastAsia="en-US"/>
        </w:rPr>
        <w:t>4.2 Postharvest control fragility under heat extremes and climate volatility</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Climate-induced stress affects microbiological safety not only by increasing contamination pressure but also by making control systems less reliable. Heat extremes can increase the frequency of time–temperature abuse, particularly during harvest and field holding, when produce may remain unrefrigerated for longer periods due to labor constraints, transportation delays, or equipment limitations. Even when pathogens do not multiply rapidly on intact produce, elevated temperature accelerates senescence and softening, which can increase leakage of nutrients at the surface and create microenvironments that support spoilage and opportunistic microbial growth. Faster deterioration also increases handling intensity—sorting, trimming, repacking—thereby increasing opportunities for cross-contamination in packing houses and distribution centers (Murray et al., 2017).</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The broader climate–food safety literature emphasizes that climate change can stress cold-chain infrastructure by increasing cooling demand and by increasing the likelihood of disruptions during extreme weather events. This can narrow the margin of safety for perishable products, particularly where refrigeration access is uneven or where energy reliability is challenged during heatwaves (Tirado et al., 2010). Importantly, these failures are not purely technical; they can be behavioral and economic. When heat accelerates quality loss, stakeholders may make decisions—such as rapid marketing, informal redistribution, or altered storage practices—that prioritize salvage over validated safety controls, unintentionally increasing risk. Thus, climate stress can increase microbial hazards through both biophysical pathways (temperature and moisture effects) and socio-technical pathways (strained infrastructure and decision-making under loss pressure).</w:t>
      </w:r>
    </w:p>
    <w:p w:rsidR="00CC2B1A" w:rsidRPr="00CC2B1A" w:rsidRDefault="00CC2B1A" w:rsidP="00CC2B1A">
      <w:pPr>
        <w:spacing w:before="100" w:beforeAutospacing="1" w:after="100" w:afterAutospacing="1" w:line="240" w:lineRule="auto"/>
        <w:ind w:left="0" w:right="0" w:firstLine="0"/>
        <w:jc w:val="left"/>
        <w:outlineLvl w:val="2"/>
        <w:rPr>
          <w:b/>
          <w:bCs/>
          <w:color w:val="auto"/>
          <w:kern w:val="0"/>
          <w:sz w:val="27"/>
          <w:szCs w:val="27"/>
          <w:lang w:val="en-US" w:eastAsia="en-US"/>
        </w:rPr>
      </w:pPr>
      <w:r w:rsidRPr="00CC2B1A">
        <w:rPr>
          <w:b/>
          <w:bCs/>
          <w:color w:val="auto"/>
          <w:kern w:val="0"/>
          <w:sz w:val="27"/>
          <w:szCs w:val="27"/>
          <w:lang w:val="en-US" w:eastAsia="en-US"/>
        </w:rPr>
        <w:lastRenderedPageBreak/>
        <w:t>4.3 Implications for multi-hurdle prevention and monitoring under climate change</w:t>
      </w:r>
    </w:p>
    <w:p w:rsidR="00CC2B1A" w:rsidRPr="00CC2B1A" w:rsidRDefault="00CC2B1A" w:rsidP="00CC2B1A">
      <w:pPr>
        <w:spacing w:before="100" w:beforeAutospacing="1" w:after="100" w:afterAutospacing="1" w:line="240" w:lineRule="auto"/>
        <w:ind w:left="0" w:right="0" w:firstLine="0"/>
        <w:jc w:val="left"/>
        <w:rPr>
          <w:color w:val="auto"/>
          <w:kern w:val="0"/>
          <w:lang w:val="en-US" w:eastAsia="en-US"/>
        </w:rPr>
      </w:pPr>
      <w:r w:rsidRPr="00CC2B1A">
        <w:rPr>
          <w:color w:val="auto"/>
          <w:kern w:val="0"/>
          <w:lang w:val="en-US" w:eastAsia="en-US"/>
        </w:rPr>
        <w:t>The most robust inference across the microbiological literature is that climate volatility increases the importance of multi-hurdle strategies that prevent contamination, limit cross-contamination, and maintain temperature control. Murray et al. (2017) emphasize that postharvest washing alone cannot compensate for elevated upstream risk and that alternative or complementary interventions are needed, particularly for high-risk commodities. Tirado et al. (2010) similarly argue that climate change elevates the importance of preventive systems because the frequency of high-risk conditions may rise while the predictability of those conditions may fall. The implication is that microbiological safety under climate-induced stress requires both stronger baseline controls and more adaptive capacity to respond to short-lived high-risk periods, such as immediately after flooding events or during extreme heat.</w:t>
      </w:r>
    </w:p>
    <w:p w:rsidR="00CD57AF" w:rsidRDefault="00CD57AF" w:rsidP="00CD57AF">
      <w:pPr>
        <w:pStyle w:val="NormalWeb"/>
      </w:pPr>
    </w:p>
    <w:p w:rsidR="0096776A" w:rsidRPr="0096776A" w:rsidRDefault="0096776A" w:rsidP="0096776A">
      <w:pPr>
        <w:spacing w:before="100" w:beforeAutospacing="1" w:after="100" w:afterAutospacing="1" w:line="240" w:lineRule="auto"/>
        <w:ind w:left="0" w:right="0" w:firstLine="0"/>
        <w:jc w:val="left"/>
        <w:outlineLvl w:val="1"/>
        <w:rPr>
          <w:b/>
          <w:bCs/>
          <w:color w:val="auto"/>
          <w:kern w:val="0"/>
          <w:sz w:val="36"/>
          <w:szCs w:val="36"/>
          <w:lang w:val="en-US" w:eastAsia="en-US"/>
        </w:rPr>
      </w:pPr>
      <w:r w:rsidRPr="0096776A">
        <w:rPr>
          <w:b/>
          <w:bCs/>
          <w:color w:val="auto"/>
          <w:kern w:val="0"/>
          <w:sz w:val="36"/>
          <w:szCs w:val="36"/>
          <w:lang w:val="en-US" w:eastAsia="en-US"/>
        </w:rPr>
        <w:t>5. Mycotoxins and climate-sensitive fungal ecology</w:t>
      </w:r>
    </w:p>
    <w:p w:rsidR="0096776A" w:rsidRPr="0096776A" w:rsidRDefault="0096776A" w:rsidP="0096776A">
      <w:pPr>
        <w:spacing w:before="100" w:beforeAutospacing="1" w:after="100" w:afterAutospacing="1" w:line="240" w:lineRule="auto"/>
        <w:ind w:left="0" w:right="0" w:firstLine="0"/>
        <w:jc w:val="left"/>
        <w:outlineLvl w:val="2"/>
        <w:rPr>
          <w:b/>
          <w:bCs/>
          <w:color w:val="auto"/>
          <w:kern w:val="0"/>
          <w:sz w:val="27"/>
          <w:szCs w:val="27"/>
          <w:lang w:val="en-US" w:eastAsia="en-US"/>
        </w:rPr>
      </w:pPr>
      <w:r w:rsidRPr="0096776A">
        <w:rPr>
          <w:b/>
          <w:bCs/>
          <w:color w:val="auto"/>
          <w:kern w:val="0"/>
          <w:sz w:val="27"/>
          <w:szCs w:val="27"/>
          <w:lang w:val="en-US" w:eastAsia="en-US"/>
        </w:rPr>
        <w:t>5.1. Why mycotoxigenic fungi are highly climate-responsive</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Mycotoxin contamination is a distinctly “ecological” food-safety hazard: it emerges from how fungal communities respond to temperature, moisture availability, and host physiology across the crop life cycle and during post-harvest handling. Climate change alters these interacting controls in ways that can shift both the dominant fungal species on a commodity and the conditions under which toxin biosynthesis is favored. Reviews synthesizing field and laboratory evidence consistently emphasize that risk is not governed by a single climate variable; rather, it is shaped by combinations of warming, altered rainfall patterns, drought frequency, and the indirect effects of these drivers on crop stress, insect damage, and harvest timing (</w:t>
      </w:r>
      <w:proofErr w:type="spellStart"/>
      <w:r w:rsidRPr="0096776A">
        <w:rPr>
          <w:color w:val="auto"/>
          <w:kern w:val="0"/>
          <w:lang w:val="en-US" w:eastAsia="en-US"/>
        </w:rPr>
        <w:t>Magan</w:t>
      </w:r>
      <w:proofErr w:type="spellEnd"/>
      <w:r w:rsidRPr="0096776A">
        <w:rPr>
          <w:color w:val="auto"/>
          <w:kern w:val="0"/>
          <w:lang w:val="en-US" w:eastAsia="en-US"/>
        </w:rPr>
        <w:t xml:space="preserve"> et al., 2011; Medina</w:t>
      </w:r>
      <w:r w:rsidR="00434B0A">
        <w:rPr>
          <w:color w:val="auto"/>
          <w:kern w:val="0"/>
          <w:lang w:val="en-US" w:eastAsia="en-US"/>
        </w:rPr>
        <w:t xml:space="preserve"> et al., </w:t>
      </w:r>
      <w:r w:rsidRPr="0096776A">
        <w:rPr>
          <w:color w:val="auto"/>
          <w:kern w:val="0"/>
          <w:lang w:val="en-US" w:eastAsia="en-US"/>
        </w:rPr>
        <w:t>2015; Paterson &amp; Lima, 2010). Consequently, “climate-sensitive fungal ecology” is not only about faster fungal growth in warmer conditions; it also concerns how episodic stress and changing phenology create new windows of vulnerability for infection and toxin accumulation (</w:t>
      </w:r>
      <w:proofErr w:type="spellStart"/>
      <w:r w:rsidRPr="0096776A">
        <w:rPr>
          <w:color w:val="auto"/>
          <w:kern w:val="0"/>
          <w:lang w:val="en-US" w:eastAsia="en-US"/>
        </w:rPr>
        <w:t>Miraglia</w:t>
      </w:r>
      <w:proofErr w:type="spellEnd"/>
      <w:r w:rsidRPr="0096776A">
        <w:rPr>
          <w:color w:val="auto"/>
          <w:kern w:val="0"/>
          <w:lang w:val="en-US" w:eastAsia="en-US"/>
        </w:rPr>
        <w:t xml:space="preserve"> et al., 2009; Medina et al., 2017).</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From an ecological perspective, many toxigenic fungi occupy narrow “fitness corridors” defined by temperature and water availability, and climate change can push agroecosystems toward the margins where competition, host defenses, and fungal stress responses are reorganized. Such boundary shifts can change which taxa dominate in the field, which strains colonize damaged tissues, and how rapidly toxins accumulate when conditions fluctuate. In classic work on aflatoxin systems, climate was highlighted as a key selector shaping Aspergillus community structure and aflatoxin contamination outcomes, particularly where heat and drought coincide with susceptible crop stages (</w:t>
      </w:r>
      <w:proofErr w:type="spellStart"/>
      <w:r w:rsidRPr="0096776A">
        <w:rPr>
          <w:color w:val="auto"/>
          <w:kern w:val="0"/>
          <w:lang w:val="en-US" w:eastAsia="en-US"/>
        </w:rPr>
        <w:t>Cotty</w:t>
      </w:r>
      <w:proofErr w:type="spellEnd"/>
      <w:r w:rsidRPr="0096776A">
        <w:rPr>
          <w:color w:val="auto"/>
          <w:kern w:val="0"/>
          <w:lang w:val="en-US" w:eastAsia="en-US"/>
        </w:rPr>
        <w:t xml:space="preserve"> &amp; Jaime-Garcia, 2007). Later syntheses extended this logic across multiple commodities and toxins, arguing that climate change may create regional “risk transitions” where historically minor mycotoxins become major constraints or where contamination becomes more variable and episodic, complicating management and surveillance (</w:t>
      </w:r>
      <w:proofErr w:type="spellStart"/>
      <w:r w:rsidRPr="0096776A">
        <w:rPr>
          <w:color w:val="auto"/>
          <w:kern w:val="0"/>
          <w:lang w:val="en-US" w:eastAsia="en-US"/>
        </w:rPr>
        <w:t>Magan</w:t>
      </w:r>
      <w:proofErr w:type="spellEnd"/>
      <w:r w:rsidRPr="0096776A">
        <w:rPr>
          <w:color w:val="auto"/>
          <w:kern w:val="0"/>
          <w:lang w:val="en-US" w:eastAsia="en-US"/>
        </w:rPr>
        <w:t xml:space="preserve"> et al., 2011; Paterson &amp; Lima, 2010).</w:t>
      </w:r>
    </w:p>
    <w:p w:rsidR="0096776A" w:rsidRPr="0096776A" w:rsidRDefault="0096776A" w:rsidP="0096776A">
      <w:pPr>
        <w:spacing w:before="100" w:beforeAutospacing="1" w:after="100" w:afterAutospacing="1" w:line="240" w:lineRule="auto"/>
        <w:ind w:left="0" w:right="0" w:firstLine="0"/>
        <w:jc w:val="left"/>
        <w:outlineLvl w:val="2"/>
        <w:rPr>
          <w:b/>
          <w:bCs/>
          <w:color w:val="auto"/>
          <w:kern w:val="0"/>
          <w:sz w:val="27"/>
          <w:szCs w:val="27"/>
          <w:lang w:val="en-US" w:eastAsia="en-US"/>
        </w:rPr>
      </w:pPr>
      <w:r w:rsidRPr="0096776A">
        <w:rPr>
          <w:b/>
          <w:bCs/>
          <w:color w:val="auto"/>
          <w:kern w:val="0"/>
          <w:sz w:val="27"/>
          <w:szCs w:val="27"/>
          <w:lang w:val="en-US" w:eastAsia="en-US"/>
        </w:rPr>
        <w:t>5.2. Aflatoxins under heat, drought, and geographic risk shifts</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lastRenderedPageBreak/>
        <w:t>Among the best-documented climate–mycotoxin linkages is the association of hot, dry conditions with increased aflatoxin risk in susceptible crops. Heat and drought can predispose host tissues to colonization, reduce plant defensive capacity, and increase insect-mediated injury, thereby enhancing opportunities for Aspergillus flavus infection and toxin formation. The foundational ecological framing—that climate shapes both the distribution of aflatoxin-producing fungi and contamination outcomes—remains central to current understanding (</w:t>
      </w:r>
      <w:proofErr w:type="spellStart"/>
      <w:r w:rsidRPr="0096776A">
        <w:rPr>
          <w:color w:val="auto"/>
          <w:kern w:val="0"/>
          <w:lang w:val="en-US" w:eastAsia="en-US"/>
        </w:rPr>
        <w:t>Cotty</w:t>
      </w:r>
      <w:proofErr w:type="spellEnd"/>
      <w:r w:rsidRPr="0096776A">
        <w:rPr>
          <w:color w:val="auto"/>
          <w:kern w:val="0"/>
          <w:lang w:val="en-US" w:eastAsia="en-US"/>
        </w:rPr>
        <w:t xml:space="preserve"> &amp; Jaime-Garcia, 2007). Broader climate-change assessments further emphasize that aflatoxin risk is likely to intensify in regions experiencing more frequent drought stress and heat extremes, particularly where irrigation constraints and post-harvest drying bottlenecks exist (</w:t>
      </w:r>
      <w:proofErr w:type="spellStart"/>
      <w:r w:rsidRPr="0096776A">
        <w:rPr>
          <w:color w:val="auto"/>
          <w:kern w:val="0"/>
          <w:lang w:val="en-US" w:eastAsia="en-US"/>
        </w:rPr>
        <w:t>Miraglia</w:t>
      </w:r>
      <w:proofErr w:type="spellEnd"/>
      <w:r w:rsidRPr="0096776A">
        <w:rPr>
          <w:color w:val="auto"/>
          <w:kern w:val="0"/>
          <w:lang w:val="en-US" w:eastAsia="en-US"/>
        </w:rPr>
        <w:t xml:space="preserve"> et al., 2009; Paterson &amp; Lima, 2010).</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Evidence for large-scale shifts is reinforced by modelling studies that translate warming scenarios into spatial risk projections. A prominent European assessment projected that aflatoxin B1 contamination risk in maize increases under warming scenarios, implying that regions previously considered climatically marginal for aflatoxins may experience more frequent contamination episodes (</w:t>
      </w:r>
      <w:proofErr w:type="spellStart"/>
      <w:r w:rsidRPr="0096776A">
        <w:rPr>
          <w:color w:val="auto"/>
          <w:kern w:val="0"/>
          <w:lang w:val="en-US" w:eastAsia="en-US"/>
        </w:rPr>
        <w:t>Battilani</w:t>
      </w:r>
      <w:proofErr w:type="spellEnd"/>
      <w:r w:rsidRPr="0096776A">
        <w:rPr>
          <w:color w:val="auto"/>
          <w:kern w:val="0"/>
          <w:lang w:val="en-US" w:eastAsia="en-US"/>
        </w:rPr>
        <w:t xml:space="preserve"> et al., 2016). Importantly, such projections highlight that climate change can transform aflatoxin from a sporadic issue into a structurally embedded constraint on supply chains, affecting segregation, testing frequency, and downstream economic losses. Complementing these broad projections, mechanistic and commodity-focused studies show that interacting abiotic stresses relevant to climate change can influence growth and toxin production in A. flavus, and that responses can be strain- and matrix-dependent—an important nuance because “risk” is mediated by both fungal biology and commodity microenvironments (</w:t>
      </w:r>
      <w:proofErr w:type="spellStart"/>
      <w:r w:rsidRPr="0096776A">
        <w:rPr>
          <w:color w:val="auto"/>
          <w:kern w:val="0"/>
          <w:lang w:val="en-US" w:eastAsia="en-US"/>
        </w:rPr>
        <w:t>Baazeem</w:t>
      </w:r>
      <w:proofErr w:type="spellEnd"/>
      <w:r w:rsidRPr="0096776A">
        <w:rPr>
          <w:color w:val="auto"/>
          <w:kern w:val="0"/>
          <w:lang w:val="en-US" w:eastAsia="en-US"/>
        </w:rPr>
        <w:t xml:space="preserve"> et al., 2021; </w:t>
      </w:r>
      <w:r w:rsidR="002A27A8">
        <w:rPr>
          <w:color w:val="auto"/>
          <w:kern w:val="0"/>
          <w:lang w:val="en-US" w:eastAsia="en-US"/>
        </w:rPr>
        <w:t>Medina et al., 2017</w:t>
      </w:r>
      <w:r w:rsidRPr="0096776A">
        <w:rPr>
          <w:color w:val="auto"/>
          <w:kern w:val="0"/>
          <w:lang w:val="en-US" w:eastAsia="en-US"/>
        </w:rPr>
        <w:t>).</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A further complexity is that fungal populations may acclimatize to new atmospheric conditions, potentially modifying risk trajectories over time. Experimental evidence indicates that acclimatization to elevated carbon dioxide can alter A. flavus performance and aflatoxin B1 production on pistachio nuts, suggesting that future risk cannot be inferred solely from short-term exposures or single-factor experiments (</w:t>
      </w:r>
      <w:proofErr w:type="spellStart"/>
      <w:r w:rsidRPr="0096776A">
        <w:rPr>
          <w:color w:val="auto"/>
          <w:kern w:val="0"/>
          <w:lang w:val="en-US" w:eastAsia="en-US"/>
        </w:rPr>
        <w:t>Baazeem</w:t>
      </w:r>
      <w:proofErr w:type="spellEnd"/>
      <w:r w:rsidR="00434B0A">
        <w:rPr>
          <w:color w:val="auto"/>
          <w:kern w:val="0"/>
          <w:lang w:val="en-US" w:eastAsia="en-US"/>
        </w:rPr>
        <w:t xml:space="preserve"> et al., 2</w:t>
      </w:r>
      <w:r w:rsidRPr="0096776A">
        <w:rPr>
          <w:color w:val="auto"/>
          <w:kern w:val="0"/>
          <w:lang w:val="en-US" w:eastAsia="en-US"/>
        </w:rPr>
        <w:t>022). Together, these findings support a view of aflatoxin risk as a dynamic property of changing fungal ecology, crop vulnerability, and evolving abiotic regimes (</w:t>
      </w:r>
      <w:proofErr w:type="spellStart"/>
      <w:r w:rsidRPr="0096776A">
        <w:rPr>
          <w:color w:val="auto"/>
          <w:kern w:val="0"/>
          <w:lang w:val="en-US" w:eastAsia="en-US"/>
        </w:rPr>
        <w:t>Cotty</w:t>
      </w:r>
      <w:proofErr w:type="spellEnd"/>
      <w:r w:rsidRPr="0096776A">
        <w:rPr>
          <w:color w:val="auto"/>
          <w:kern w:val="0"/>
          <w:lang w:val="en-US" w:eastAsia="en-US"/>
        </w:rPr>
        <w:t xml:space="preserve"> &amp; Jaime-Garcia, 2007; </w:t>
      </w:r>
      <w:proofErr w:type="spellStart"/>
      <w:r w:rsidRPr="0096776A">
        <w:rPr>
          <w:color w:val="auto"/>
          <w:kern w:val="0"/>
          <w:lang w:val="en-US" w:eastAsia="en-US"/>
        </w:rPr>
        <w:t>Magan</w:t>
      </w:r>
      <w:proofErr w:type="spellEnd"/>
      <w:r w:rsidRPr="0096776A">
        <w:rPr>
          <w:color w:val="auto"/>
          <w:kern w:val="0"/>
          <w:lang w:val="en-US" w:eastAsia="en-US"/>
        </w:rPr>
        <w:t xml:space="preserve"> et al., 2011; </w:t>
      </w:r>
      <w:r w:rsidR="002A27A8">
        <w:rPr>
          <w:color w:val="auto"/>
          <w:kern w:val="0"/>
          <w:lang w:val="en-US" w:eastAsia="en-US"/>
        </w:rPr>
        <w:t>Medina et al., 2017</w:t>
      </w:r>
      <w:r w:rsidRPr="0096776A">
        <w:rPr>
          <w:color w:val="auto"/>
          <w:kern w:val="0"/>
          <w:lang w:val="en-US" w:eastAsia="en-US"/>
        </w:rPr>
        <w:t>).</w:t>
      </w:r>
    </w:p>
    <w:p w:rsidR="0096776A" w:rsidRPr="0096776A" w:rsidRDefault="0096776A" w:rsidP="0096776A">
      <w:pPr>
        <w:spacing w:before="100" w:beforeAutospacing="1" w:after="100" w:afterAutospacing="1" w:line="240" w:lineRule="auto"/>
        <w:ind w:left="0" w:right="0" w:firstLine="0"/>
        <w:jc w:val="left"/>
        <w:outlineLvl w:val="2"/>
        <w:rPr>
          <w:b/>
          <w:bCs/>
          <w:color w:val="auto"/>
          <w:kern w:val="0"/>
          <w:sz w:val="27"/>
          <w:szCs w:val="27"/>
          <w:lang w:val="en-US" w:eastAsia="en-US"/>
        </w:rPr>
      </w:pPr>
      <w:r w:rsidRPr="0096776A">
        <w:rPr>
          <w:b/>
          <w:bCs/>
          <w:color w:val="auto"/>
          <w:kern w:val="0"/>
          <w:sz w:val="27"/>
          <w:szCs w:val="27"/>
          <w:lang w:val="en-US" w:eastAsia="en-US"/>
        </w:rPr>
        <w:t>5.3. Fusarium-associated toxins: interacting climate factors and plant–pathogen chemistry</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 xml:space="preserve">Fusarium toxins, including deoxynivalenol (DON) and </w:t>
      </w:r>
      <w:proofErr w:type="spellStart"/>
      <w:r w:rsidRPr="0096776A">
        <w:rPr>
          <w:color w:val="auto"/>
          <w:kern w:val="0"/>
          <w:lang w:val="en-US" w:eastAsia="en-US"/>
        </w:rPr>
        <w:t>fumonisins</w:t>
      </w:r>
      <w:proofErr w:type="spellEnd"/>
      <w:r w:rsidRPr="0096776A">
        <w:rPr>
          <w:color w:val="auto"/>
          <w:kern w:val="0"/>
          <w:lang w:val="en-US" w:eastAsia="en-US"/>
        </w:rPr>
        <w:t>, illustrate how climate change influences mycotoxins through both direct and indirect pathways. Direct effects include altered suitability for infection and toxin biosynthesis, whereas indirect effects operate through crop phenology, host metabolism, and the chemistry of plant defense. Quantitative modelling has been applied to estimate how projected climate conditions could alter DON contamination trajectories, emphasizing that shifts in flowering and maturity dates can change exposure to critical weather windows for infection and toxin formation (Van der Fels-</w:t>
      </w:r>
      <w:proofErr w:type="spellStart"/>
      <w:r w:rsidRPr="0096776A">
        <w:rPr>
          <w:color w:val="auto"/>
          <w:kern w:val="0"/>
          <w:lang w:val="en-US" w:eastAsia="en-US"/>
        </w:rPr>
        <w:t>Klerx</w:t>
      </w:r>
      <w:proofErr w:type="spellEnd"/>
      <w:r w:rsidRPr="0096776A">
        <w:rPr>
          <w:color w:val="auto"/>
          <w:kern w:val="0"/>
          <w:lang w:val="en-US" w:eastAsia="en-US"/>
        </w:rPr>
        <w:t xml:space="preserve"> et al., 2013). Such work is important because it moves beyond qualitative expectations and demonstrates that climate impacts may vary by region and commodity, sometimes producing heterogeneous outcomes that would be missed by general “warming equals more toxins” assumptions (Van der Fels-</w:t>
      </w:r>
      <w:proofErr w:type="spellStart"/>
      <w:r w:rsidRPr="0096776A">
        <w:rPr>
          <w:color w:val="auto"/>
          <w:kern w:val="0"/>
          <w:lang w:val="en-US" w:eastAsia="en-US"/>
        </w:rPr>
        <w:t>Klerx</w:t>
      </w:r>
      <w:proofErr w:type="spellEnd"/>
      <w:r w:rsidRPr="0096776A">
        <w:rPr>
          <w:color w:val="auto"/>
          <w:kern w:val="0"/>
          <w:lang w:val="en-US" w:eastAsia="en-US"/>
        </w:rPr>
        <w:t xml:space="preserve"> et al., 2013; </w:t>
      </w:r>
      <w:proofErr w:type="spellStart"/>
      <w:r w:rsidRPr="0096776A">
        <w:rPr>
          <w:color w:val="auto"/>
          <w:kern w:val="0"/>
          <w:lang w:val="en-US" w:eastAsia="en-US"/>
        </w:rPr>
        <w:t>Miraglia</w:t>
      </w:r>
      <w:proofErr w:type="spellEnd"/>
      <w:r w:rsidRPr="0096776A">
        <w:rPr>
          <w:color w:val="auto"/>
          <w:kern w:val="0"/>
          <w:lang w:val="en-US" w:eastAsia="en-US"/>
        </w:rPr>
        <w:t xml:space="preserve"> et al., 2009).</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 xml:space="preserve">Elevated atmospheric carbon dioxide adds another layer of complexity by altering plant physiology and defense signaling. In maize, combined exposure to elevated carbon dioxide </w:t>
      </w:r>
      <w:r w:rsidRPr="0096776A">
        <w:rPr>
          <w:color w:val="auto"/>
          <w:kern w:val="0"/>
          <w:lang w:val="en-US" w:eastAsia="en-US"/>
        </w:rPr>
        <w:lastRenderedPageBreak/>
        <w:t xml:space="preserve">and drought increased susceptibility to Fusarium verticillioides and was associated with higher </w:t>
      </w:r>
      <w:proofErr w:type="spellStart"/>
      <w:r w:rsidRPr="0096776A">
        <w:rPr>
          <w:color w:val="auto"/>
          <w:kern w:val="0"/>
          <w:lang w:val="en-US" w:eastAsia="en-US"/>
        </w:rPr>
        <w:t>fumonisin</w:t>
      </w:r>
      <w:proofErr w:type="spellEnd"/>
      <w:r w:rsidRPr="0096776A">
        <w:rPr>
          <w:color w:val="auto"/>
          <w:kern w:val="0"/>
          <w:lang w:val="en-US" w:eastAsia="en-US"/>
        </w:rPr>
        <w:t xml:space="preserve"> contamination, with evidence suggesting that increased contamination can be driven by increased fungal biomass rather than proportionally increased toxin biosynthesis per unit biomass (Vaughan et al., 2016). This finding is conceptually important for food-safety risk assessment because it implies that climate change can increase contamination via ecological amplification (more pathogen growth) even when toxin production efficiency does not rise, thereby challenging mitigation strategies that assume toxin biosynthesis is the primary moving target.</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Host–pathogen interactions under altered atmospheric composition also matter in wheat systems. Elevated carbon dioxide has been associated with altered Fusarium infection and mycotoxin outcomes, indicating that atmospheric change can reshape disease–toxin relationships through mechanisms that may include host growth responses, altered microclimate in the canopy, and modified defense pathways (</w:t>
      </w:r>
      <w:proofErr w:type="spellStart"/>
      <w:r w:rsidRPr="0096776A">
        <w:rPr>
          <w:color w:val="auto"/>
          <w:kern w:val="0"/>
          <w:lang w:val="en-US" w:eastAsia="en-US"/>
        </w:rPr>
        <w:t>Bencze</w:t>
      </w:r>
      <w:proofErr w:type="spellEnd"/>
      <w:r w:rsidRPr="0096776A">
        <w:rPr>
          <w:color w:val="auto"/>
          <w:kern w:val="0"/>
          <w:lang w:val="en-US" w:eastAsia="en-US"/>
        </w:rPr>
        <w:t xml:space="preserve"> et al., 2017). When interpreted alongside broader syntheses, these studies support the claim that climate change will likely reshape not only the magnitude of Fusarium toxin risk but also its predictability, because multi-factor interactions can produce nonlinear outcomes (</w:t>
      </w:r>
      <w:r w:rsidR="002A27A8">
        <w:rPr>
          <w:color w:val="auto"/>
          <w:kern w:val="0"/>
          <w:lang w:val="en-US" w:eastAsia="en-US"/>
        </w:rPr>
        <w:t>Medina et al., 2017</w:t>
      </w:r>
      <w:r w:rsidRPr="0096776A">
        <w:rPr>
          <w:color w:val="auto"/>
          <w:kern w:val="0"/>
          <w:lang w:val="en-US" w:eastAsia="en-US"/>
        </w:rPr>
        <w:t>; Paterson &amp; Lima, 2010).</w:t>
      </w:r>
    </w:p>
    <w:p w:rsidR="0096776A" w:rsidRPr="0096776A" w:rsidRDefault="0096776A" w:rsidP="0096776A">
      <w:pPr>
        <w:spacing w:before="100" w:beforeAutospacing="1" w:after="100" w:afterAutospacing="1" w:line="240" w:lineRule="auto"/>
        <w:ind w:left="0" w:right="0" w:firstLine="0"/>
        <w:jc w:val="left"/>
        <w:outlineLvl w:val="2"/>
        <w:rPr>
          <w:b/>
          <w:bCs/>
          <w:color w:val="auto"/>
          <w:kern w:val="0"/>
          <w:sz w:val="27"/>
          <w:szCs w:val="27"/>
          <w:lang w:val="en-US" w:eastAsia="en-US"/>
        </w:rPr>
      </w:pPr>
      <w:r w:rsidRPr="0096776A">
        <w:rPr>
          <w:b/>
          <w:bCs/>
          <w:color w:val="auto"/>
          <w:kern w:val="0"/>
          <w:sz w:val="27"/>
          <w:szCs w:val="27"/>
          <w:lang w:val="en-US" w:eastAsia="en-US"/>
        </w:rPr>
        <w:t>5.4. Predictive approaches and the need for climate-aware management frameworks</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Because mycotoxin risk emerges from complex, interacting drivers, predictive frameworks have become central to climate-adaptation planning for food safety. Climate-aware modelling of mycotoxin contamination has been advanced as a way to prioritize surveillance, guide agronomic interventions, and support supply-chain decision-making under uncertainty (Van der Fels-</w:t>
      </w:r>
      <w:proofErr w:type="spellStart"/>
      <w:r w:rsidRPr="0096776A">
        <w:rPr>
          <w:color w:val="auto"/>
          <w:kern w:val="0"/>
          <w:lang w:val="en-US" w:eastAsia="en-US"/>
        </w:rPr>
        <w:t>Klerx</w:t>
      </w:r>
      <w:proofErr w:type="spellEnd"/>
      <w:r w:rsidRPr="0096776A">
        <w:rPr>
          <w:color w:val="auto"/>
          <w:kern w:val="0"/>
          <w:lang w:val="en-US" w:eastAsia="en-US"/>
        </w:rPr>
        <w:t xml:space="preserve"> et al., 2016). A complementary quantitative synthesis argues that modelling approaches must handle multiple sources of variability—including climate projections, crop phenology, and fungal biological responses—to generate decision-relevant risk estimates for cereals (Liu &amp; Van der Fels-</w:t>
      </w:r>
      <w:proofErr w:type="spellStart"/>
      <w:r w:rsidRPr="0096776A">
        <w:rPr>
          <w:color w:val="auto"/>
          <w:kern w:val="0"/>
          <w:lang w:val="en-US" w:eastAsia="en-US"/>
        </w:rPr>
        <w:t>Klerx</w:t>
      </w:r>
      <w:proofErr w:type="spellEnd"/>
      <w:r w:rsidRPr="0096776A">
        <w:rPr>
          <w:color w:val="auto"/>
          <w:kern w:val="0"/>
          <w:lang w:val="en-US" w:eastAsia="en-US"/>
        </w:rPr>
        <w:t>, 2021).</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At the continental scale, projected aflatoxin risk increases highlight the necessity of shifting from reactive compliance testing to proactive risk governance, including targeted monitoring and region-specific prevention strategies (</w:t>
      </w:r>
      <w:proofErr w:type="spellStart"/>
      <w:r w:rsidRPr="0096776A">
        <w:rPr>
          <w:color w:val="auto"/>
          <w:kern w:val="0"/>
          <w:lang w:val="en-US" w:eastAsia="en-US"/>
        </w:rPr>
        <w:t>Battilani</w:t>
      </w:r>
      <w:proofErr w:type="spellEnd"/>
      <w:r w:rsidRPr="0096776A">
        <w:rPr>
          <w:color w:val="auto"/>
          <w:kern w:val="0"/>
          <w:lang w:val="en-US" w:eastAsia="en-US"/>
        </w:rPr>
        <w:t xml:space="preserve"> et al., 2016). At the commodity scale, experimental evidence that interacting factors modulate A. flavus growth, gene expression, and aflatoxin production underscores the need to consider how climate extremes translate into microclimates within commodities and storage/processing environments (</w:t>
      </w:r>
      <w:proofErr w:type="spellStart"/>
      <w:r w:rsidRPr="0096776A">
        <w:rPr>
          <w:color w:val="auto"/>
          <w:kern w:val="0"/>
          <w:lang w:val="en-US" w:eastAsia="en-US"/>
        </w:rPr>
        <w:t>Baazeem</w:t>
      </w:r>
      <w:proofErr w:type="spellEnd"/>
      <w:r w:rsidRPr="0096776A">
        <w:rPr>
          <w:color w:val="auto"/>
          <w:kern w:val="0"/>
          <w:lang w:val="en-US" w:eastAsia="en-US"/>
        </w:rPr>
        <w:t xml:space="preserve"> et al., 2021; </w:t>
      </w:r>
      <w:r w:rsidR="002A27A8">
        <w:rPr>
          <w:color w:val="auto"/>
          <w:kern w:val="0"/>
          <w:lang w:val="en-US" w:eastAsia="en-US"/>
        </w:rPr>
        <w:t>Medina et al., 2017</w:t>
      </w:r>
      <w:r w:rsidRPr="0096776A">
        <w:rPr>
          <w:color w:val="auto"/>
          <w:kern w:val="0"/>
          <w:lang w:val="en-US" w:eastAsia="en-US"/>
        </w:rPr>
        <w:t>). Meanwhile, modelling of DON contamination under projected climates demonstrates how integrating crop development and toxin prediction can identify where risk might intensify or become more spatially variable (Van der Fels-</w:t>
      </w:r>
      <w:proofErr w:type="spellStart"/>
      <w:r w:rsidRPr="0096776A">
        <w:rPr>
          <w:color w:val="auto"/>
          <w:kern w:val="0"/>
          <w:lang w:val="en-US" w:eastAsia="en-US"/>
        </w:rPr>
        <w:t>Klerx</w:t>
      </w:r>
      <w:proofErr w:type="spellEnd"/>
      <w:r w:rsidRPr="0096776A">
        <w:rPr>
          <w:color w:val="auto"/>
          <w:kern w:val="0"/>
          <w:lang w:val="en-US" w:eastAsia="en-US"/>
        </w:rPr>
        <w:t xml:space="preserve"> et al., 2013).</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Finally, emerging work indicates that future trajectories may be influenced by fungal acclimatization to altered atmospheric conditions, implying that climate adaptation strategies should be revisited iteratively as biological baselines shift (</w:t>
      </w:r>
      <w:proofErr w:type="spellStart"/>
      <w:r w:rsidRPr="0096776A">
        <w:rPr>
          <w:color w:val="auto"/>
          <w:kern w:val="0"/>
          <w:lang w:val="en-US" w:eastAsia="en-US"/>
        </w:rPr>
        <w:t>Baazeem</w:t>
      </w:r>
      <w:proofErr w:type="spellEnd"/>
      <w:r w:rsidRPr="0096776A">
        <w:rPr>
          <w:color w:val="auto"/>
          <w:kern w:val="0"/>
          <w:lang w:val="en-US" w:eastAsia="en-US"/>
        </w:rPr>
        <w:t xml:space="preserve"> et al., 2022). Overall, the literature converges on a central message: climate change is likely to increase the volatility and geographic redistribution of mycotoxin hazards, and robust adaptation will require coupling mechanistic fungal ecology with predictive modelling and targeted surveillance (</w:t>
      </w:r>
      <w:proofErr w:type="spellStart"/>
      <w:r w:rsidRPr="0096776A">
        <w:rPr>
          <w:color w:val="auto"/>
          <w:kern w:val="0"/>
          <w:lang w:val="en-US" w:eastAsia="en-US"/>
        </w:rPr>
        <w:t>Magan</w:t>
      </w:r>
      <w:proofErr w:type="spellEnd"/>
      <w:r w:rsidRPr="0096776A">
        <w:rPr>
          <w:color w:val="auto"/>
          <w:kern w:val="0"/>
          <w:lang w:val="en-US" w:eastAsia="en-US"/>
        </w:rPr>
        <w:t xml:space="preserve"> et al., 2011; Van der Fels-</w:t>
      </w:r>
      <w:proofErr w:type="spellStart"/>
      <w:r w:rsidRPr="0096776A">
        <w:rPr>
          <w:color w:val="auto"/>
          <w:kern w:val="0"/>
          <w:lang w:val="en-US" w:eastAsia="en-US"/>
        </w:rPr>
        <w:t>Klerx</w:t>
      </w:r>
      <w:proofErr w:type="spellEnd"/>
      <w:r w:rsidRPr="0096776A">
        <w:rPr>
          <w:color w:val="auto"/>
          <w:kern w:val="0"/>
          <w:lang w:val="en-US" w:eastAsia="en-US"/>
        </w:rPr>
        <w:t xml:space="preserve"> et al., 2016; </w:t>
      </w:r>
      <w:r w:rsidR="002A27A8">
        <w:rPr>
          <w:color w:val="auto"/>
          <w:kern w:val="0"/>
          <w:lang w:val="en-US" w:eastAsia="en-US"/>
        </w:rPr>
        <w:t>Medina et al., 2017</w:t>
      </w:r>
      <w:r w:rsidRPr="0096776A">
        <w:rPr>
          <w:color w:val="auto"/>
          <w:kern w:val="0"/>
          <w:lang w:val="en-US" w:eastAsia="en-US"/>
        </w:rPr>
        <w:t>).</w:t>
      </w:r>
    </w:p>
    <w:p w:rsidR="0096776A" w:rsidRPr="0096776A" w:rsidRDefault="0096776A" w:rsidP="0096776A">
      <w:pPr>
        <w:spacing w:before="100" w:beforeAutospacing="1" w:after="100" w:afterAutospacing="1" w:line="240" w:lineRule="auto"/>
        <w:ind w:left="0" w:right="0" w:firstLine="0"/>
        <w:jc w:val="left"/>
        <w:outlineLvl w:val="1"/>
        <w:rPr>
          <w:b/>
          <w:bCs/>
          <w:color w:val="auto"/>
          <w:kern w:val="0"/>
          <w:sz w:val="36"/>
          <w:szCs w:val="36"/>
          <w:lang w:val="en-US" w:eastAsia="en-US"/>
        </w:rPr>
      </w:pPr>
      <w:r w:rsidRPr="0096776A">
        <w:rPr>
          <w:b/>
          <w:bCs/>
          <w:color w:val="auto"/>
          <w:kern w:val="0"/>
          <w:sz w:val="36"/>
          <w:szCs w:val="36"/>
          <w:lang w:val="en-US" w:eastAsia="en-US"/>
        </w:rPr>
        <w:lastRenderedPageBreak/>
        <w:t>6. Chemical hazards and climate-driven exposure shifts</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Climate-induced stress reshapes chemical hazard profiles in food systems through two broad mechanisms: it changes what chemicals are introduced into agroecosystems (for example, through altered pest pressure and shifting pesticide practices), and it changes how chemicals move, transform, and persist in soils, water, and plant tissues under new temperature–moisture regimes. Compared with microbiological hazards, chemical risks are often less episodic in the sense that they may accumulate or persist over longer windows. However, climate extremes can still generate abrupt exposure shifts by mobilizing contaminants through runoff, flooding, dust, and wildfire-associated deposition, creating short periods during which chemical loads in water and on crops may deviate markedly from baseline conditions. In this sense, climate change does not simply add a new hazard; it modifies the exposure landscape, increasing uncertainty and complicating the assumptions that underlie conventional residue monitoring and risk assessments (Noyes et al., 2009).</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A foundational point emphasized in climate–contaminant synthesis is that climate variables can modify both contaminant fate and organismal vulnerability, creating “interaction risks” that may be underestimated if climate and toxicology are treated as separate domains (Noyes et al., 2009). Heat can alter volatilization, partitioning, and reaction kinetics, while drought and intense rainfall can alternately concentrate contaminants or redistribute them rapidly across landscapes. At the same time, physiological stress caused by heat and water limitation may modify how organisms respond to toxic exposures, potentially altering dose–response relationships. When these mechanisms are translated to agricultural produce, the implication is that climate change can influence not only the magnitude of exposure but also the conditions under which exposure occurs—for example, during heatwaves when dehydration risk is high, or after floods when multiple contaminants may co-occur. Such “compound exposure contexts” are increasingly relevant to food safety governance because they challenge the stability of historical baselines used for both environmental monitoring and consumer risk characterization (Noyes et al., 2009).</w:t>
      </w:r>
    </w:p>
    <w:p w:rsidR="0096776A" w:rsidRPr="0096776A" w:rsidRDefault="0096776A" w:rsidP="0096776A">
      <w:pPr>
        <w:spacing w:before="100" w:beforeAutospacing="1" w:after="100" w:afterAutospacing="1" w:line="240" w:lineRule="auto"/>
        <w:ind w:left="0" w:right="0" w:firstLine="0"/>
        <w:jc w:val="left"/>
        <w:outlineLvl w:val="2"/>
        <w:rPr>
          <w:b/>
          <w:bCs/>
          <w:color w:val="auto"/>
          <w:kern w:val="0"/>
          <w:sz w:val="27"/>
          <w:szCs w:val="27"/>
          <w:lang w:val="en-US" w:eastAsia="en-US"/>
        </w:rPr>
      </w:pPr>
      <w:r w:rsidRPr="0096776A">
        <w:rPr>
          <w:b/>
          <w:bCs/>
          <w:color w:val="auto"/>
          <w:kern w:val="0"/>
          <w:sz w:val="27"/>
          <w:szCs w:val="27"/>
          <w:lang w:val="en-US" w:eastAsia="en-US"/>
        </w:rPr>
        <w:t>6.1 Pesticide use patterns and residue dynamics under changing climates</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Among chemical hazards relevant to agricultural produce, pesticide residues are especially sensitive to climate-driven changes in pest pressure and agronomic decision-making. Evidence synthesized in the pesticide–climate literature indicates that climate change can alter pest abundance, distribution, and seasonality, which in turn can change the frequency, timing, and selection of pesticide applications in some production systems (</w:t>
      </w:r>
      <w:proofErr w:type="spellStart"/>
      <w:r w:rsidRPr="0096776A">
        <w:rPr>
          <w:color w:val="auto"/>
          <w:kern w:val="0"/>
          <w:lang w:val="en-US" w:eastAsia="en-US"/>
        </w:rPr>
        <w:t>Delcour</w:t>
      </w:r>
      <w:proofErr w:type="spellEnd"/>
      <w:r w:rsidRPr="0096776A">
        <w:rPr>
          <w:color w:val="auto"/>
          <w:kern w:val="0"/>
          <w:lang w:val="en-US" w:eastAsia="en-US"/>
        </w:rPr>
        <w:t xml:space="preserve"> et al., 2014). This matters for residues because exposure risk is shaped not only by whether pesticides are used, but by how closely applications occur to harvest, how many applications are applied across a season, and whether the chosen active ingredients have residue profiles compatible with changing weather conditions.</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 xml:space="preserve">Climate can also shift residue persistence and dissipation patterns via direct effects on chemical degradation and indirect effects mediated by plant growth and canopy microclimate. Higher temperatures may accelerate degradation for some compounds while increasing volatilization or altering uptake dynamics, whereas altered rainfall regimes can influence wash-off, leaching, and the replenishment of residues on plant surfaces. </w:t>
      </w:r>
      <w:proofErr w:type="spellStart"/>
      <w:r w:rsidRPr="0096776A">
        <w:rPr>
          <w:color w:val="auto"/>
          <w:kern w:val="0"/>
          <w:lang w:val="en-US" w:eastAsia="en-US"/>
        </w:rPr>
        <w:t>Delcour</w:t>
      </w:r>
      <w:proofErr w:type="spellEnd"/>
      <w:r w:rsidRPr="0096776A">
        <w:rPr>
          <w:color w:val="auto"/>
          <w:kern w:val="0"/>
          <w:lang w:val="en-US" w:eastAsia="en-US"/>
        </w:rPr>
        <w:t xml:space="preserve"> et al. (2014) underscore that the net direction of residue change is context dependent and chemical specific, making it difficult to generalize “more climate change equals more residues.” </w:t>
      </w:r>
      <w:r w:rsidRPr="0096776A">
        <w:rPr>
          <w:color w:val="auto"/>
          <w:kern w:val="0"/>
          <w:lang w:val="en-US" w:eastAsia="en-US"/>
        </w:rPr>
        <w:lastRenderedPageBreak/>
        <w:t>Instead, climate change increases variability in residue outcomes by increasing the variability of the processes that determine dissipation and exposure. This is a critical framing for produce safety and quality because variability increases the probability of “tail events” in which residues persist longer than expected or coincide with harvest windows under atypical weather.</w:t>
      </w:r>
    </w:p>
    <w:p w:rsidR="0096776A" w:rsidRPr="0096776A" w:rsidRDefault="0096776A" w:rsidP="0096776A">
      <w:pPr>
        <w:spacing w:before="100" w:beforeAutospacing="1" w:after="100" w:afterAutospacing="1" w:line="240" w:lineRule="auto"/>
        <w:ind w:left="0" w:right="0" w:firstLine="0"/>
        <w:jc w:val="left"/>
        <w:outlineLvl w:val="2"/>
        <w:rPr>
          <w:b/>
          <w:bCs/>
          <w:color w:val="auto"/>
          <w:kern w:val="0"/>
          <w:sz w:val="27"/>
          <w:szCs w:val="27"/>
          <w:lang w:val="en-US" w:eastAsia="en-US"/>
        </w:rPr>
      </w:pPr>
      <w:r w:rsidRPr="0096776A">
        <w:rPr>
          <w:b/>
          <w:bCs/>
          <w:color w:val="auto"/>
          <w:kern w:val="0"/>
          <w:sz w:val="27"/>
          <w:szCs w:val="27"/>
          <w:lang w:val="en-US" w:eastAsia="en-US"/>
        </w:rPr>
        <w:t>6.2 Extreme hydrology, contaminant mobilization, and co-exposure scenarios</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Climate-driven shifts in hydrology can influence chemical hazards not only through pesticide pathways but also through mobilization of broader classes of contaminants in agricultural landscapes. Intense rainfall and flooding can erode soils and transport contaminants into surface waters and floodplains, increasing the likelihood that irrigation sources become chemically compromised or that deposited sediments contribute to contamination of edible plant surfaces. Conversely, drought can concentrate solutes in smaller water volumes and encourage use of alternative or marginal sources, potentially increasing exposure to contaminants that would be diluted under normal hydrological conditions. Noyes et al. (2009) highlight that climate extremes can reorganize contaminant transport pathways, and that the resulting exposures may involve mixtures rather than single compounds. For produce systems, mixture exposures are particularly important because multiple chemical and biological hazards can coincide after storms or drought-breaking rainfall events, creating complex risk profiles that are hard to manage with monitoring approaches designed around single hazards.</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A key implication of this climate–contaminant framing is that exposure assessment should become more event-aware. Instead of assuming that chemical risks are relatively stable across time, a climate-informed approach anticipates that short-lived but intense hydrological events can temporarily elevate chemical loads in water and on crops. This has practical relevance for decisions about irrigation scheduling, water source switching, and post-event restrictions on harvest or use of impacted water. The toxicology-focused synthesis by Noyes et al. (2009) supports the broader proposition that climate change can amplify contaminant risks by aligning exposure peaks with periods of heightened stress or reduced adaptive capacity, thereby increasing the probability that exposures translate into adverse outcomes.</w:t>
      </w:r>
    </w:p>
    <w:p w:rsidR="0096776A" w:rsidRPr="0096776A" w:rsidRDefault="0096776A" w:rsidP="0096776A">
      <w:pPr>
        <w:spacing w:before="100" w:beforeAutospacing="1" w:after="100" w:afterAutospacing="1" w:line="240" w:lineRule="auto"/>
        <w:ind w:left="0" w:right="0" w:firstLine="0"/>
        <w:jc w:val="left"/>
        <w:outlineLvl w:val="2"/>
        <w:rPr>
          <w:b/>
          <w:bCs/>
          <w:color w:val="auto"/>
          <w:kern w:val="0"/>
          <w:sz w:val="27"/>
          <w:szCs w:val="27"/>
          <w:lang w:val="en-US" w:eastAsia="en-US"/>
        </w:rPr>
      </w:pPr>
      <w:r w:rsidRPr="0096776A">
        <w:rPr>
          <w:b/>
          <w:bCs/>
          <w:color w:val="auto"/>
          <w:kern w:val="0"/>
          <w:sz w:val="27"/>
          <w:szCs w:val="27"/>
          <w:lang w:val="en-US" w:eastAsia="en-US"/>
        </w:rPr>
        <w:t>6.3 Cyanobacterial blooms as a climate-linked chemical hazard for water and produce systems</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Harmful cyanobacterial blooms constitute a distinctive climate-related chemical hazard because the toxic agents are produced biologically but function as chemical contaminants in water. Warming, altered stratification, and interactions with nutrient availability can increase bloom frequency, persistence, and geographic spread, thereby elevating the probability that cyanotoxins affect drinking water, recreational water, aquaculture, and potentially irrigation water (</w:t>
      </w:r>
      <w:proofErr w:type="spellStart"/>
      <w:r w:rsidRPr="0096776A">
        <w:rPr>
          <w:color w:val="auto"/>
          <w:kern w:val="0"/>
          <w:lang w:val="en-US" w:eastAsia="en-US"/>
        </w:rPr>
        <w:t>Paerl</w:t>
      </w:r>
      <w:proofErr w:type="spellEnd"/>
      <w:r w:rsidRPr="0096776A">
        <w:rPr>
          <w:color w:val="auto"/>
          <w:kern w:val="0"/>
          <w:lang w:val="en-US" w:eastAsia="en-US"/>
        </w:rPr>
        <w:t xml:space="preserve"> &amp; </w:t>
      </w:r>
      <w:proofErr w:type="spellStart"/>
      <w:r w:rsidRPr="0096776A">
        <w:rPr>
          <w:color w:val="auto"/>
          <w:kern w:val="0"/>
          <w:lang w:val="en-US" w:eastAsia="en-US"/>
        </w:rPr>
        <w:t>Otten</w:t>
      </w:r>
      <w:proofErr w:type="spellEnd"/>
      <w:r w:rsidRPr="0096776A">
        <w:rPr>
          <w:color w:val="auto"/>
          <w:kern w:val="0"/>
          <w:lang w:val="en-US" w:eastAsia="en-US"/>
        </w:rPr>
        <w:t>, 2013). For agricultural produce, the relevance is twofold. First, when irrigation relies on surface waters that experience blooms, water quality can deteriorate in ways that compromise safe production, especially during drought periods when water sources are stressed and alternative supplies are limited. Second, bloom dynamics can become more volatile under climate change, raising the risk of sudden toxin presence even in locations where blooms are historically sporadic (</w:t>
      </w:r>
      <w:proofErr w:type="spellStart"/>
      <w:r w:rsidRPr="0096776A">
        <w:rPr>
          <w:color w:val="auto"/>
          <w:kern w:val="0"/>
          <w:lang w:val="en-US" w:eastAsia="en-US"/>
        </w:rPr>
        <w:t>Paerl</w:t>
      </w:r>
      <w:proofErr w:type="spellEnd"/>
      <w:r w:rsidRPr="0096776A">
        <w:rPr>
          <w:color w:val="auto"/>
          <w:kern w:val="0"/>
          <w:lang w:val="en-US" w:eastAsia="en-US"/>
        </w:rPr>
        <w:t xml:space="preserve"> &amp; </w:t>
      </w:r>
      <w:proofErr w:type="spellStart"/>
      <w:r w:rsidRPr="0096776A">
        <w:rPr>
          <w:color w:val="auto"/>
          <w:kern w:val="0"/>
          <w:lang w:val="en-US" w:eastAsia="en-US"/>
        </w:rPr>
        <w:t>Otten</w:t>
      </w:r>
      <w:proofErr w:type="spellEnd"/>
      <w:r w:rsidRPr="0096776A">
        <w:rPr>
          <w:color w:val="auto"/>
          <w:kern w:val="0"/>
          <w:lang w:val="en-US" w:eastAsia="en-US"/>
        </w:rPr>
        <w:t>, 2013).</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proofErr w:type="spellStart"/>
      <w:r w:rsidRPr="0096776A">
        <w:rPr>
          <w:color w:val="auto"/>
          <w:kern w:val="0"/>
          <w:lang w:val="en-US" w:eastAsia="en-US"/>
        </w:rPr>
        <w:t>Paerl</w:t>
      </w:r>
      <w:proofErr w:type="spellEnd"/>
      <w:r w:rsidRPr="0096776A">
        <w:rPr>
          <w:color w:val="auto"/>
          <w:kern w:val="0"/>
          <w:lang w:val="en-US" w:eastAsia="en-US"/>
        </w:rPr>
        <w:t xml:space="preserve"> and </w:t>
      </w:r>
      <w:proofErr w:type="spellStart"/>
      <w:r w:rsidRPr="0096776A">
        <w:rPr>
          <w:color w:val="auto"/>
          <w:kern w:val="0"/>
          <w:lang w:val="en-US" w:eastAsia="en-US"/>
        </w:rPr>
        <w:t>Otten</w:t>
      </w:r>
      <w:proofErr w:type="spellEnd"/>
      <w:r w:rsidRPr="0096776A">
        <w:rPr>
          <w:color w:val="auto"/>
          <w:kern w:val="0"/>
          <w:lang w:val="en-US" w:eastAsia="en-US"/>
        </w:rPr>
        <w:t xml:space="preserve"> (2013) emphasize that bloom formation reflects the interaction of climatic drivers with nutrient conditions, implying that climate adaptation for chemical hazard control </w:t>
      </w:r>
      <w:r w:rsidRPr="0096776A">
        <w:rPr>
          <w:color w:val="auto"/>
          <w:kern w:val="0"/>
          <w:lang w:val="en-US" w:eastAsia="en-US"/>
        </w:rPr>
        <w:lastRenderedPageBreak/>
        <w:t>cannot be separated from watershed management. This is also consistent with the broader climate–contaminant interaction perspective: chemical risk in food systems is increasingly shaped by coupled environmental processes rather than by isolated point-source contamination (Noyes et al., 2009). Consequently, climate resilience for chemical hazards requires integrated monitoring of water bodies used for irrigation and processing, attention to periods of elevated risk (for example, prolonged warm spells), and management strategies that recognize that water quality can be a primary conduit for chemical hazard introduction to produce systems (</w:t>
      </w:r>
      <w:proofErr w:type="spellStart"/>
      <w:r w:rsidRPr="0096776A">
        <w:rPr>
          <w:color w:val="auto"/>
          <w:kern w:val="0"/>
          <w:lang w:val="en-US" w:eastAsia="en-US"/>
        </w:rPr>
        <w:t>Paerl</w:t>
      </w:r>
      <w:proofErr w:type="spellEnd"/>
      <w:r w:rsidRPr="0096776A">
        <w:rPr>
          <w:color w:val="auto"/>
          <w:kern w:val="0"/>
          <w:lang w:val="en-US" w:eastAsia="en-US"/>
        </w:rPr>
        <w:t xml:space="preserve"> &amp; </w:t>
      </w:r>
      <w:proofErr w:type="spellStart"/>
      <w:r w:rsidRPr="0096776A">
        <w:rPr>
          <w:color w:val="auto"/>
          <w:kern w:val="0"/>
          <w:lang w:val="en-US" w:eastAsia="en-US"/>
        </w:rPr>
        <w:t>Otten</w:t>
      </w:r>
      <w:proofErr w:type="spellEnd"/>
      <w:r w:rsidRPr="0096776A">
        <w:rPr>
          <w:color w:val="auto"/>
          <w:kern w:val="0"/>
          <w:lang w:val="en-US" w:eastAsia="en-US"/>
        </w:rPr>
        <w:t>, 2013).</w:t>
      </w:r>
    </w:p>
    <w:p w:rsidR="0096776A" w:rsidRPr="0096776A" w:rsidRDefault="0096776A" w:rsidP="0096776A">
      <w:pPr>
        <w:spacing w:before="100" w:beforeAutospacing="1" w:after="100" w:afterAutospacing="1" w:line="240" w:lineRule="auto"/>
        <w:ind w:left="0" w:right="0" w:firstLine="0"/>
        <w:jc w:val="left"/>
        <w:outlineLvl w:val="1"/>
        <w:rPr>
          <w:b/>
          <w:bCs/>
          <w:color w:val="auto"/>
          <w:kern w:val="0"/>
          <w:sz w:val="36"/>
          <w:szCs w:val="36"/>
          <w:lang w:val="en-US" w:eastAsia="en-US"/>
        </w:rPr>
      </w:pPr>
      <w:r w:rsidRPr="0096776A">
        <w:rPr>
          <w:b/>
          <w:bCs/>
          <w:color w:val="auto"/>
          <w:kern w:val="0"/>
          <w:sz w:val="36"/>
          <w:szCs w:val="36"/>
          <w:lang w:val="en-US" w:eastAsia="en-US"/>
        </w:rPr>
        <w:t xml:space="preserve">7. Warming aquatic environments, </w:t>
      </w:r>
      <w:r w:rsidRPr="0096776A">
        <w:rPr>
          <w:b/>
          <w:bCs/>
          <w:i/>
          <w:iCs/>
          <w:color w:val="auto"/>
          <w:kern w:val="0"/>
          <w:sz w:val="36"/>
          <w:szCs w:val="36"/>
          <w:lang w:val="en-US" w:eastAsia="en-US"/>
        </w:rPr>
        <w:t>Vibrio</w:t>
      </w:r>
      <w:r w:rsidRPr="0096776A">
        <w:rPr>
          <w:b/>
          <w:bCs/>
          <w:color w:val="auto"/>
          <w:kern w:val="0"/>
          <w:sz w:val="36"/>
          <w:szCs w:val="36"/>
          <w:lang w:val="en-US" w:eastAsia="en-US"/>
        </w:rPr>
        <w:t xml:space="preserve"> ecology, and seafood-related risks</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 xml:space="preserve">Climate change is reshaping aquatic microbial risk landscapes in ways that have direct implications for seafood safety and, indirectly, for broader food-system resilience. Among the most widely discussed indicators of this shift are </w:t>
      </w:r>
      <w:r w:rsidRPr="0096776A">
        <w:rPr>
          <w:i/>
          <w:iCs/>
          <w:color w:val="auto"/>
          <w:kern w:val="0"/>
          <w:lang w:val="en-US" w:eastAsia="en-US"/>
        </w:rPr>
        <w:t>Vibrio</w:t>
      </w:r>
      <w:r w:rsidRPr="0096776A">
        <w:rPr>
          <w:color w:val="auto"/>
          <w:kern w:val="0"/>
          <w:lang w:val="en-US" w:eastAsia="en-US"/>
        </w:rPr>
        <w:t xml:space="preserve"> species, whose abundance and distribution are tightly coupled to environmental conditions such as temperature and salinity. Because these organisms can proliferate in marine and estuarine waters and can contaminate seafood without obvious changes in sensory quality, they exemplify a climate-sensitive hazard that challenges traditional assumptions about geographic “risk zones” and seasonal predictability. Syntheses of climate–food safety interactions emphasize that aquatic hazards are likely to intensify as warming progresses, particularly where coastal ecosystems are already stressed by nutrient enrichment and where harvesting and postharvest control systems are vulnerable to heat extremes and extreme weather disruption (Tirado et al., 2010).</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 xml:space="preserve">A distinctive feature of </w:t>
      </w:r>
      <w:r w:rsidRPr="0096776A">
        <w:rPr>
          <w:i/>
          <w:iCs/>
          <w:color w:val="auto"/>
          <w:kern w:val="0"/>
          <w:lang w:val="en-US" w:eastAsia="en-US"/>
        </w:rPr>
        <w:t>Vibrio</w:t>
      </w:r>
      <w:r w:rsidRPr="0096776A">
        <w:rPr>
          <w:color w:val="auto"/>
          <w:kern w:val="0"/>
          <w:lang w:val="en-US" w:eastAsia="en-US"/>
        </w:rPr>
        <w:t xml:space="preserve">-related risk is that it arises from ecological restructuring rather than from discrete contamination events alone. Unlike many terrestrial foodborne hazards where risk is often driven by episodic introduction and cross-contamination, </w:t>
      </w:r>
      <w:r w:rsidRPr="0096776A">
        <w:rPr>
          <w:i/>
          <w:iCs/>
          <w:color w:val="auto"/>
          <w:kern w:val="0"/>
          <w:lang w:val="en-US" w:eastAsia="en-US"/>
        </w:rPr>
        <w:t>Vibrio</w:t>
      </w:r>
      <w:r w:rsidRPr="0096776A">
        <w:rPr>
          <w:color w:val="auto"/>
          <w:kern w:val="0"/>
          <w:lang w:val="en-US" w:eastAsia="en-US"/>
        </w:rPr>
        <w:t xml:space="preserve"> risk can increase when ambient environmental conditions shift baseline microbial community dynamics toward higher abundance or longer seasonal persistence. This makes warming oceans and coastal waters a foundational driver: when temperatures cross ecological thresholds that favor </w:t>
      </w:r>
      <w:r w:rsidRPr="0096776A">
        <w:rPr>
          <w:i/>
          <w:iCs/>
          <w:color w:val="auto"/>
          <w:kern w:val="0"/>
          <w:lang w:val="en-US" w:eastAsia="en-US"/>
        </w:rPr>
        <w:t>Vibrio</w:t>
      </w:r>
      <w:r w:rsidRPr="0096776A">
        <w:rPr>
          <w:color w:val="auto"/>
          <w:kern w:val="0"/>
          <w:lang w:val="en-US" w:eastAsia="en-US"/>
        </w:rPr>
        <w:t xml:space="preserve"> growth, the probability of seafood contamination rises even in the absence of unusual point-source contamination. In this sense, </w:t>
      </w:r>
      <w:r w:rsidRPr="0096776A">
        <w:rPr>
          <w:i/>
          <w:iCs/>
          <w:color w:val="auto"/>
          <w:kern w:val="0"/>
          <w:lang w:val="en-US" w:eastAsia="en-US"/>
        </w:rPr>
        <w:t>Vibrio</w:t>
      </w:r>
      <w:r w:rsidRPr="0096776A">
        <w:rPr>
          <w:color w:val="auto"/>
          <w:kern w:val="0"/>
          <w:lang w:val="en-US" w:eastAsia="en-US"/>
        </w:rPr>
        <w:t xml:space="preserve"> functions as an “environmentally embedded” hazard whose risk is amplified by the same climate mechanisms that affect many other parts of the food system—warming, variability, and the increasing frequency of extremes (Tirado et al., 2010).</w:t>
      </w:r>
    </w:p>
    <w:p w:rsidR="0096776A" w:rsidRPr="0096776A" w:rsidRDefault="0096776A" w:rsidP="0096776A">
      <w:pPr>
        <w:spacing w:before="100" w:beforeAutospacing="1" w:after="100" w:afterAutospacing="1" w:line="240" w:lineRule="auto"/>
        <w:ind w:left="0" w:right="0" w:firstLine="0"/>
        <w:jc w:val="left"/>
        <w:outlineLvl w:val="2"/>
        <w:rPr>
          <w:b/>
          <w:bCs/>
          <w:color w:val="auto"/>
          <w:kern w:val="0"/>
          <w:sz w:val="27"/>
          <w:szCs w:val="27"/>
          <w:lang w:val="en-US" w:eastAsia="en-US"/>
        </w:rPr>
      </w:pPr>
      <w:r w:rsidRPr="0096776A">
        <w:rPr>
          <w:b/>
          <w:bCs/>
          <w:color w:val="auto"/>
          <w:kern w:val="0"/>
          <w:sz w:val="27"/>
          <w:szCs w:val="27"/>
          <w:lang w:val="en-US" w:eastAsia="en-US"/>
        </w:rPr>
        <w:t xml:space="preserve">7.1 </w:t>
      </w:r>
      <w:r w:rsidRPr="0096776A">
        <w:rPr>
          <w:b/>
          <w:bCs/>
          <w:i/>
          <w:iCs/>
          <w:color w:val="auto"/>
          <w:kern w:val="0"/>
          <w:sz w:val="27"/>
          <w:szCs w:val="27"/>
          <w:lang w:val="en-US" w:eastAsia="en-US"/>
        </w:rPr>
        <w:t>Vibrio</w:t>
      </w:r>
      <w:r w:rsidRPr="0096776A">
        <w:rPr>
          <w:b/>
          <w:bCs/>
          <w:color w:val="auto"/>
          <w:kern w:val="0"/>
          <w:sz w:val="27"/>
          <w:szCs w:val="27"/>
          <w:lang w:val="en-US" w:eastAsia="en-US"/>
        </w:rPr>
        <w:t xml:space="preserve"> expansion as a signal of climate-linked hazard redistribution</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 xml:space="preserve">Evidence of </w:t>
      </w:r>
      <w:r w:rsidRPr="0096776A">
        <w:rPr>
          <w:i/>
          <w:iCs/>
          <w:color w:val="auto"/>
          <w:kern w:val="0"/>
          <w:lang w:val="en-US" w:eastAsia="en-US"/>
        </w:rPr>
        <w:t>Vibrio</w:t>
      </w:r>
      <w:r w:rsidRPr="0096776A">
        <w:rPr>
          <w:color w:val="auto"/>
          <w:kern w:val="0"/>
          <w:lang w:val="en-US" w:eastAsia="en-US"/>
        </w:rPr>
        <w:t xml:space="preserve"> emergence or increased incidence at higher latitudes has been interpreted as a warning sign that ocean warming is expanding the geographic footprint of risk. Baker-Austin et al. (2013) synthesized data supporting the view that warming can enable </w:t>
      </w:r>
      <w:r w:rsidRPr="0096776A">
        <w:rPr>
          <w:i/>
          <w:iCs/>
          <w:color w:val="auto"/>
          <w:kern w:val="0"/>
          <w:lang w:val="en-US" w:eastAsia="en-US"/>
        </w:rPr>
        <w:t>Vibrio</w:t>
      </w:r>
      <w:r w:rsidRPr="0096776A">
        <w:rPr>
          <w:color w:val="auto"/>
          <w:kern w:val="0"/>
          <w:lang w:val="en-US" w:eastAsia="en-US"/>
        </w:rPr>
        <w:t xml:space="preserve"> hazards in regions previously considered low risk, highlighting that high-latitude coastal systems may experience increased exposure as temperature regimes shift. This matters for seafood supply chains because it implies that historical harvesting calendars, monitoring priorities, and risk communication strategies may become outdated as baseline risk changes. The operational implication is that surveillance and management cannot rely solely on past patterns of where </w:t>
      </w:r>
      <w:r w:rsidRPr="0096776A">
        <w:rPr>
          <w:i/>
          <w:iCs/>
          <w:color w:val="auto"/>
          <w:kern w:val="0"/>
          <w:lang w:val="en-US" w:eastAsia="en-US"/>
        </w:rPr>
        <w:t>Vibrio</w:t>
      </w:r>
      <w:r w:rsidRPr="0096776A">
        <w:rPr>
          <w:color w:val="auto"/>
          <w:kern w:val="0"/>
          <w:lang w:val="en-US" w:eastAsia="en-US"/>
        </w:rPr>
        <w:t xml:space="preserve"> is “supposed” to be; instead, it must become more responsive to real-time environmental conditions and seasonal anomalies that may create transient risk hotspots even in newly affected areas (Baker-Austin et al., 2013).</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lastRenderedPageBreak/>
        <w:t xml:space="preserve">The concept of </w:t>
      </w:r>
      <w:r w:rsidRPr="0096776A">
        <w:rPr>
          <w:i/>
          <w:iCs/>
          <w:color w:val="auto"/>
          <w:kern w:val="0"/>
          <w:lang w:val="en-US" w:eastAsia="en-US"/>
        </w:rPr>
        <w:t>Vibrio</w:t>
      </w:r>
      <w:r w:rsidRPr="0096776A">
        <w:rPr>
          <w:color w:val="auto"/>
          <w:kern w:val="0"/>
          <w:lang w:val="en-US" w:eastAsia="en-US"/>
        </w:rPr>
        <w:t xml:space="preserve"> as a climate-linked “risk redistributor” aligns with broader assessments that climate change can increase uncertainty and volatility in food safety hazards by altering the spatial and temporal structure of risk (Tirado et al., 2010). In practical terms, this means that risk governance may need to shift toward adaptive management that integrates environmental monitoring with food safety decision-making. For example, dynamic harvest closures or enhanced testing during warm anomalies may become more central tools than static seasonal rules, particularly as warm periods extend into shoulder seasons in temperate regions.</w:t>
      </w:r>
    </w:p>
    <w:p w:rsidR="0096776A" w:rsidRPr="0096776A" w:rsidRDefault="0096776A" w:rsidP="0096776A">
      <w:pPr>
        <w:spacing w:before="100" w:beforeAutospacing="1" w:after="100" w:afterAutospacing="1" w:line="240" w:lineRule="auto"/>
        <w:ind w:left="0" w:right="0" w:firstLine="0"/>
        <w:jc w:val="left"/>
        <w:outlineLvl w:val="2"/>
        <w:rPr>
          <w:b/>
          <w:bCs/>
          <w:color w:val="auto"/>
          <w:kern w:val="0"/>
          <w:sz w:val="27"/>
          <w:szCs w:val="27"/>
          <w:lang w:val="en-US" w:eastAsia="en-US"/>
        </w:rPr>
      </w:pPr>
      <w:r w:rsidRPr="0096776A">
        <w:rPr>
          <w:b/>
          <w:bCs/>
          <w:color w:val="auto"/>
          <w:kern w:val="0"/>
          <w:sz w:val="27"/>
          <w:szCs w:val="27"/>
          <w:lang w:val="en-US" w:eastAsia="en-US"/>
        </w:rPr>
        <w:t>7.2 Climate anomalies, short-term risk spikes, and the importance of extremes</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While long-term warming sets a new baseline, short-term climate anomalies can produce sharp risk spikes. Martinez-</w:t>
      </w:r>
      <w:proofErr w:type="spellStart"/>
      <w:r w:rsidRPr="0096776A">
        <w:rPr>
          <w:color w:val="auto"/>
          <w:kern w:val="0"/>
          <w:lang w:val="en-US" w:eastAsia="en-US"/>
        </w:rPr>
        <w:t>Urtaza</w:t>
      </w:r>
      <w:proofErr w:type="spellEnd"/>
      <w:r w:rsidRPr="0096776A">
        <w:rPr>
          <w:color w:val="auto"/>
          <w:kern w:val="0"/>
          <w:lang w:val="en-US" w:eastAsia="en-US"/>
        </w:rPr>
        <w:t xml:space="preserve"> et al. (2010) linked climate anomalies to increased risk of </w:t>
      </w:r>
      <w:r w:rsidRPr="0096776A">
        <w:rPr>
          <w:i/>
          <w:iCs/>
          <w:color w:val="auto"/>
          <w:kern w:val="0"/>
          <w:lang w:val="en-US" w:eastAsia="en-US"/>
        </w:rPr>
        <w:t>Vibrio</w:t>
      </w:r>
      <w:r w:rsidRPr="0096776A">
        <w:rPr>
          <w:color w:val="auto"/>
          <w:kern w:val="0"/>
          <w:lang w:val="en-US" w:eastAsia="en-US"/>
        </w:rPr>
        <w:t xml:space="preserve"> infections, emphasizing that outbreaks and elevated case counts can be associated with anomalously warm periods rather than only with gradual trends. This pattern is consistent with a broader climate-risk framing: extremes and anomalies can create disproportionate health impacts by temporarily aligning environmental suitability for pathogens with human exposure opportunities, such as high recreational water use or peak seafood consumption periods. Under this framing, risk is not simply “higher over time,” but “more variable with more frequent excursions into high-risk conditions” (Martinez-</w:t>
      </w:r>
      <w:proofErr w:type="spellStart"/>
      <w:r w:rsidRPr="0096776A">
        <w:rPr>
          <w:color w:val="auto"/>
          <w:kern w:val="0"/>
          <w:lang w:val="en-US" w:eastAsia="en-US"/>
        </w:rPr>
        <w:t>Urtaza</w:t>
      </w:r>
      <w:proofErr w:type="spellEnd"/>
      <w:r w:rsidRPr="0096776A">
        <w:rPr>
          <w:color w:val="auto"/>
          <w:kern w:val="0"/>
          <w:lang w:val="en-US" w:eastAsia="en-US"/>
        </w:rPr>
        <w:t xml:space="preserve"> et al., 2010; Tirado et al., 2010).</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 xml:space="preserve">These anomaly-driven dynamics have important implications for seafood safety management. They suggest that decision-making should be calibrated not only to seasonal averages but also to deviation from expected conditions. For example, an early-season warm spell could produce summer-like </w:t>
      </w:r>
      <w:r w:rsidRPr="0096776A">
        <w:rPr>
          <w:i/>
          <w:iCs/>
          <w:color w:val="auto"/>
          <w:kern w:val="0"/>
          <w:lang w:val="en-US" w:eastAsia="en-US"/>
        </w:rPr>
        <w:t>Vibrio</w:t>
      </w:r>
      <w:r w:rsidRPr="0096776A">
        <w:rPr>
          <w:color w:val="auto"/>
          <w:kern w:val="0"/>
          <w:lang w:val="en-US" w:eastAsia="en-US"/>
        </w:rPr>
        <w:t xml:space="preserve"> conditions when monitoring and consumer expectations are still aligned with lower-risk periods. Conversely, late-season warmth can extend risk into periods when infrastructure and staffing are reduced. This logic reinforces that climate adaptation must incorporate early warning and rapid response capacities as core elements of food safety systems, especially for hazards whose environmental coupling is strong (Martinez-</w:t>
      </w:r>
      <w:proofErr w:type="spellStart"/>
      <w:r w:rsidRPr="0096776A">
        <w:rPr>
          <w:color w:val="auto"/>
          <w:kern w:val="0"/>
          <w:lang w:val="en-US" w:eastAsia="en-US"/>
        </w:rPr>
        <w:t>Urtaza</w:t>
      </w:r>
      <w:proofErr w:type="spellEnd"/>
      <w:r w:rsidRPr="0096776A">
        <w:rPr>
          <w:color w:val="auto"/>
          <w:kern w:val="0"/>
          <w:lang w:val="en-US" w:eastAsia="en-US"/>
        </w:rPr>
        <w:t xml:space="preserve"> et al., 2010).</w:t>
      </w:r>
    </w:p>
    <w:p w:rsidR="0096776A" w:rsidRPr="0096776A" w:rsidRDefault="0096776A" w:rsidP="0096776A">
      <w:pPr>
        <w:spacing w:before="100" w:beforeAutospacing="1" w:after="100" w:afterAutospacing="1" w:line="240" w:lineRule="auto"/>
        <w:ind w:left="0" w:right="0" w:firstLine="0"/>
        <w:jc w:val="left"/>
        <w:outlineLvl w:val="2"/>
        <w:rPr>
          <w:b/>
          <w:bCs/>
          <w:color w:val="auto"/>
          <w:kern w:val="0"/>
          <w:sz w:val="27"/>
          <w:szCs w:val="27"/>
          <w:lang w:val="en-US" w:eastAsia="en-US"/>
        </w:rPr>
      </w:pPr>
      <w:r w:rsidRPr="0096776A">
        <w:rPr>
          <w:b/>
          <w:bCs/>
          <w:color w:val="auto"/>
          <w:kern w:val="0"/>
          <w:sz w:val="27"/>
          <w:szCs w:val="27"/>
          <w:lang w:val="en-US" w:eastAsia="en-US"/>
        </w:rPr>
        <w:t xml:space="preserve">7.3 Non-cholera </w:t>
      </w:r>
      <w:proofErr w:type="spellStart"/>
      <w:r w:rsidRPr="0096776A">
        <w:rPr>
          <w:b/>
          <w:bCs/>
          <w:color w:val="auto"/>
          <w:kern w:val="0"/>
          <w:sz w:val="27"/>
          <w:szCs w:val="27"/>
          <w:lang w:val="en-US" w:eastAsia="en-US"/>
        </w:rPr>
        <w:t>vibrios</w:t>
      </w:r>
      <w:proofErr w:type="spellEnd"/>
      <w:r w:rsidRPr="0096776A">
        <w:rPr>
          <w:b/>
          <w:bCs/>
          <w:color w:val="auto"/>
          <w:kern w:val="0"/>
          <w:sz w:val="27"/>
          <w:szCs w:val="27"/>
          <w:lang w:val="en-US" w:eastAsia="en-US"/>
        </w:rPr>
        <w:t xml:space="preserve"> as a “microbial barometer” and governance implications</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 xml:space="preserve">Baker-Austin et al. (2017) proposed that non-cholera </w:t>
      </w:r>
      <w:proofErr w:type="spellStart"/>
      <w:r w:rsidRPr="0096776A">
        <w:rPr>
          <w:color w:val="auto"/>
          <w:kern w:val="0"/>
          <w:lang w:val="en-US" w:eastAsia="en-US"/>
        </w:rPr>
        <w:t>vibrios</w:t>
      </w:r>
      <w:proofErr w:type="spellEnd"/>
      <w:r w:rsidRPr="0096776A">
        <w:rPr>
          <w:color w:val="auto"/>
          <w:kern w:val="0"/>
          <w:lang w:val="en-US" w:eastAsia="en-US"/>
        </w:rPr>
        <w:t xml:space="preserve"> can serve as a “microbial barometer” of climate change because their environmental abundance responds strongly to warming and related oceanographic conditions. This framing is conceptually useful because it shifts focus from viewing </w:t>
      </w:r>
      <w:r w:rsidRPr="0096776A">
        <w:rPr>
          <w:i/>
          <w:iCs/>
          <w:color w:val="auto"/>
          <w:kern w:val="0"/>
          <w:lang w:val="en-US" w:eastAsia="en-US"/>
        </w:rPr>
        <w:t>Vibrio</w:t>
      </w:r>
      <w:r w:rsidRPr="0096776A">
        <w:rPr>
          <w:color w:val="auto"/>
          <w:kern w:val="0"/>
          <w:lang w:val="en-US" w:eastAsia="en-US"/>
        </w:rPr>
        <w:t xml:space="preserve"> only as a seafood safety problem to viewing it as a sentinel indicator of broader climate-driven transformations in coastal microbial ecology. From a governance perspective, sentinel framing implies that investments in </w:t>
      </w:r>
      <w:r w:rsidRPr="0096776A">
        <w:rPr>
          <w:i/>
          <w:iCs/>
          <w:color w:val="auto"/>
          <w:kern w:val="0"/>
          <w:lang w:val="en-US" w:eastAsia="en-US"/>
        </w:rPr>
        <w:t>Vibrio</w:t>
      </w:r>
      <w:r w:rsidRPr="0096776A">
        <w:rPr>
          <w:color w:val="auto"/>
          <w:kern w:val="0"/>
          <w:lang w:val="en-US" w:eastAsia="en-US"/>
        </w:rPr>
        <w:t xml:space="preserve"> surveillance can yield benefits beyond a single hazard: they can also provide information about changing ecosystem conditions that may affect other pathogens, harmful algal blooms, and seafood quality outcomes.</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 xml:space="preserve">At the same time, “barometer” framing underscores that seafood safety risk is increasingly a function of environmental intelligence. As warming and variability increase, static hazard plans may become less effective unless they incorporate real-time environmental triggers and flexible operational responses. This is consistent with general climate–food safety assessments that stress the need for adaptive management, strengthened monitoring systems, </w:t>
      </w:r>
      <w:r w:rsidRPr="0096776A">
        <w:rPr>
          <w:color w:val="auto"/>
          <w:kern w:val="0"/>
          <w:lang w:val="en-US" w:eastAsia="en-US"/>
        </w:rPr>
        <w:lastRenderedPageBreak/>
        <w:t>and integration between public health surveillance and environmental data streams (Tirado et al., 2010).</w:t>
      </w:r>
    </w:p>
    <w:p w:rsidR="0096776A" w:rsidRPr="0096776A" w:rsidRDefault="0096776A" w:rsidP="0096776A">
      <w:pPr>
        <w:spacing w:before="100" w:beforeAutospacing="1" w:after="100" w:afterAutospacing="1" w:line="240" w:lineRule="auto"/>
        <w:ind w:left="0" w:right="0" w:firstLine="0"/>
        <w:jc w:val="left"/>
        <w:outlineLvl w:val="2"/>
        <w:rPr>
          <w:b/>
          <w:bCs/>
          <w:color w:val="auto"/>
          <w:kern w:val="0"/>
          <w:sz w:val="27"/>
          <w:szCs w:val="27"/>
          <w:lang w:val="en-US" w:eastAsia="en-US"/>
        </w:rPr>
      </w:pPr>
      <w:r w:rsidRPr="0096776A">
        <w:rPr>
          <w:b/>
          <w:bCs/>
          <w:color w:val="auto"/>
          <w:kern w:val="0"/>
          <w:sz w:val="27"/>
          <w:szCs w:val="27"/>
          <w:lang w:val="en-US" w:eastAsia="en-US"/>
        </w:rPr>
        <w:t>7.4 Intersections with food-system resilience and cross-contamination environments</w:t>
      </w:r>
    </w:p>
    <w:p w:rsidR="0096776A" w:rsidRPr="0096776A" w:rsidRDefault="0096776A" w:rsidP="0096776A">
      <w:pPr>
        <w:spacing w:before="100" w:beforeAutospacing="1" w:after="100" w:afterAutospacing="1" w:line="240" w:lineRule="auto"/>
        <w:ind w:left="0" w:right="0" w:firstLine="0"/>
        <w:jc w:val="left"/>
        <w:rPr>
          <w:color w:val="auto"/>
          <w:kern w:val="0"/>
          <w:lang w:val="en-US" w:eastAsia="en-US"/>
        </w:rPr>
      </w:pPr>
      <w:r w:rsidRPr="0096776A">
        <w:rPr>
          <w:color w:val="auto"/>
          <w:kern w:val="0"/>
          <w:lang w:val="en-US" w:eastAsia="en-US"/>
        </w:rPr>
        <w:t xml:space="preserve">Although </w:t>
      </w:r>
      <w:r w:rsidRPr="0096776A">
        <w:rPr>
          <w:i/>
          <w:iCs/>
          <w:color w:val="auto"/>
          <w:kern w:val="0"/>
          <w:lang w:val="en-US" w:eastAsia="en-US"/>
        </w:rPr>
        <w:t>Vibrio</w:t>
      </w:r>
      <w:r w:rsidRPr="0096776A">
        <w:rPr>
          <w:color w:val="auto"/>
          <w:kern w:val="0"/>
          <w:lang w:val="en-US" w:eastAsia="en-US"/>
        </w:rPr>
        <w:t xml:space="preserve"> hazards are often discussed within seafood systems, climate-linked aquatic risks can intersect with broader food environments through shared infrastructure and retail settings. Seafood supply chains may share cold storage, transport, and handling environments with other perishable foods, and disruptions to cold-chain integrity during heat extremes can simultaneously increase spoilage risk and weaken safety controls across categories. Furthermore, extreme weather events that disrupt coastal operations can create supply chain shocks that alter processing and distribution patterns, potentially increasing time-in-transit and handling intensity. While these mechanisms are not unique to </w:t>
      </w:r>
      <w:r w:rsidRPr="0096776A">
        <w:rPr>
          <w:i/>
          <w:iCs/>
          <w:color w:val="auto"/>
          <w:kern w:val="0"/>
          <w:lang w:val="en-US" w:eastAsia="en-US"/>
        </w:rPr>
        <w:t>Vibrio</w:t>
      </w:r>
      <w:r w:rsidRPr="0096776A">
        <w:rPr>
          <w:color w:val="auto"/>
          <w:kern w:val="0"/>
          <w:lang w:val="en-US" w:eastAsia="en-US"/>
        </w:rPr>
        <w:t>, they highlight why climate-driven aquatic hazards should be considered within an integrated food-system resilience framework rather than treated as isolated, commodity-specific problems (Tirado et al., 2010).</w:t>
      </w:r>
    </w:p>
    <w:p w:rsidR="0096776A" w:rsidRDefault="0096776A" w:rsidP="00CD57AF">
      <w:pPr>
        <w:pStyle w:val="Heading2"/>
      </w:pPr>
    </w:p>
    <w:p w:rsidR="00CD57AF" w:rsidRDefault="00CD57AF" w:rsidP="00CD57AF">
      <w:pPr>
        <w:pStyle w:val="Heading2"/>
      </w:pPr>
      <w:r>
        <w:t>8. Nutritional and sensory quality changes under climate stress</w:t>
      </w:r>
    </w:p>
    <w:p w:rsidR="00CD57AF" w:rsidRDefault="00CD57AF" w:rsidP="00CD57AF">
      <w:pPr>
        <w:pStyle w:val="NormalWeb"/>
      </w:pPr>
      <w:r>
        <w:t>Quality impacts are not a secondary consideration; they influence consumer behavior, market dynamics, and health outcomes. Climate stress can reduce quality directly through compositional shifts and indirectly by increasing postharvest losses that reduce availability of high-quality foods.</w:t>
      </w:r>
    </w:p>
    <w:p w:rsidR="00CD57AF" w:rsidRDefault="00CD57AF" w:rsidP="00CD57AF">
      <w:pPr>
        <w:pStyle w:val="NormalWeb"/>
      </w:pPr>
      <w:proofErr w:type="spellStart"/>
      <w:r>
        <w:t>Loladze</w:t>
      </w:r>
      <w:proofErr w:type="spellEnd"/>
      <w:r>
        <w:t xml:space="preserve"> (2014) highlighted that elevated CO2 can reduce mineral concentrations in plants, a quality shift with profound implications for diets dependent on staples. Zhu et al. (2018) extended this evidence by demonstrating that elevated CO2 can alter rice protein, micronutrients, and vitamins, indicating that climate change can affect multiple nutrient classes simultaneously. Such quality shifts are critical because they can reduce the nutritional “safety margin” of vulnerable populations, thereby amplifying the consequences of contamination events and infectious disease outbreaks.</w:t>
      </w:r>
    </w:p>
    <w:p w:rsidR="00CD57AF" w:rsidRDefault="00CD57AF" w:rsidP="00CD57AF">
      <w:pPr>
        <w:pStyle w:val="NormalWeb"/>
      </w:pPr>
      <w:r>
        <w:t xml:space="preserve">Heat stress also affects quality traits relevant to consumer acceptance and supply-chain stability. </w:t>
      </w:r>
      <w:proofErr w:type="spellStart"/>
      <w:r>
        <w:t>Alsamir</w:t>
      </w:r>
      <w:proofErr w:type="spellEnd"/>
      <w:r>
        <w:t xml:space="preserve"> et al. (2021) described heat stress impacts on tomato physiology and performance, reflecting broader patterns whereby high temperatures can reduce fruit set, alter ripening trajectories, and affect quality-relevant biochemical pathways. These quality changes can indirectly influence food safety if damaged or rapidly deteriorating produce increases handling steps, extends time in uncontrolled conditions, or encourages informal processing and storage practices that lack validated safety controls.</w:t>
      </w:r>
    </w:p>
    <w:p w:rsidR="00CD57AF" w:rsidRDefault="00CD57AF" w:rsidP="00CD57AF">
      <w:pPr>
        <w:pStyle w:val="Heading2"/>
      </w:pPr>
      <w:r>
        <w:t>9. Conclusions</w:t>
      </w:r>
    </w:p>
    <w:p w:rsidR="00CD57AF" w:rsidRDefault="00CD57AF" w:rsidP="00CD57AF">
      <w:pPr>
        <w:pStyle w:val="NormalWeb"/>
      </w:pPr>
      <w:r>
        <w:t xml:space="preserve">Climate-induced stress is reshaping food safety and quality through interacting pathways that operate from field production through postharvest handling and distribution. The strongest </w:t>
      </w:r>
      <w:r>
        <w:lastRenderedPageBreak/>
        <w:t>and most policy-relevant evidence clusters around water-mediated contamination of fresh produce during extremes, climate-sensitive mycotoxin risks under hot–dry stress, the emergence and expansion of aquatic hazards such as Vibrio in warming waters, and nutritional quality shifts under elevated atmospheric carbon dioxide. Because risk is increasingly driven by extremes and compound events, adaptation strategies must emphasize resilience, early warning, and preventive controls rather than relying on average-condition assumptions. Integrating climate intelligence into food safety management, strengthening water and postharvest infrastructure, and aligning crop adaptation with quality and nutrition objectives are central priorities for protecting public health in a changing climate.</w:t>
      </w:r>
    </w:p>
    <w:p w:rsidR="00CD57AF" w:rsidRDefault="00CD57AF" w:rsidP="00CD57AF">
      <w:pPr>
        <w:pStyle w:val="Heading2"/>
      </w:pPr>
      <w:r>
        <w:t>10. Limitations</w:t>
      </w:r>
    </w:p>
    <w:p w:rsidR="00CD57AF" w:rsidRDefault="00CD57AF" w:rsidP="00CD57AF">
      <w:pPr>
        <w:pStyle w:val="NormalWeb"/>
      </w:pPr>
      <w:r>
        <w:t>This review emphasizes peer-reviewed evidence linking climate stressors to food safety hazards and produce quality endpoints, but the strength of evidence varies by commodity, region, and hazard type. Quantitative attribution remains challenging where surveillance data are sparse, where contamination is episodic and heterogeneous, or where confounding changes in land use and management co-occur with climate trends. Mechanistic understanding is strongest for certain hazards such as aflatoxins and warming-associated aquatic pathogens, while emerging exposure pathways—particularly those involving complex mixtures of contaminants or indirect effects on nutrient–hazard interactions—require further interdisciplinary research and improved monitoring systems.</w:t>
      </w:r>
    </w:p>
    <w:p w:rsidR="00CD57AF" w:rsidRDefault="00CD57AF" w:rsidP="00CD57AF"/>
    <w:p w:rsidR="00CD57AF" w:rsidRDefault="00CD57AF" w:rsidP="00CD57AF">
      <w:pPr>
        <w:pStyle w:val="Heading2"/>
      </w:pPr>
      <w:r>
        <w:t xml:space="preserve">References </w:t>
      </w:r>
    </w:p>
    <w:p w:rsidR="00A34E95" w:rsidRPr="00A34E95" w:rsidRDefault="00A34E95" w:rsidP="00434B0A">
      <w:pPr>
        <w:pStyle w:val="NormalWeb"/>
      </w:pPr>
    </w:p>
    <w:p w:rsidR="00A34E95" w:rsidRPr="00A34E95" w:rsidRDefault="00A34E95" w:rsidP="00A34E95">
      <w:pPr>
        <w:pStyle w:val="NormalWeb"/>
      </w:pPr>
      <w:proofErr w:type="spellStart"/>
      <w:r w:rsidRPr="00A34E95">
        <w:rPr>
          <w:color w:val="222222"/>
          <w:shd w:val="clear" w:color="auto" w:fill="FFFFFF"/>
        </w:rPr>
        <w:t>Alsamir</w:t>
      </w:r>
      <w:proofErr w:type="spellEnd"/>
      <w:r w:rsidRPr="00A34E95">
        <w:rPr>
          <w:color w:val="222222"/>
          <w:shd w:val="clear" w:color="auto" w:fill="FFFFFF"/>
        </w:rPr>
        <w:t xml:space="preserve">, M., Mahmood, T., </w:t>
      </w:r>
      <w:proofErr w:type="spellStart"/>
      <w:r w:rsidRPr="00A34E95">
        <w:rPr>
          <w:color w:val="222222"/>
          <w:shd w:val="clear" w:color="auto" w:fill="FFFFFF"/>
        </w:rPr>
        <w:t>Trethowan</w:t>
      </w:r>
      <w:proofErr w:type="spellEnd"/>
      <w:r w:rsidRPr="00A34E95">
        <w:rPr>
          <w:color w:val="222222"/>
          <w:shd w:val="clear" w:color="auto" w:fill="FFFFFF"/>
        </w:rPr>
        <w:t xml:space="preserve">, R., &amp; Ahmad, N. (2021). An overview of heat stress in tomato (Solanum </w:t>
      </w:r>
      <w:proofErr w:type="spellStart"/>
      <w:r w:rsidRPr="00A34E95">
        <w:rPr>
          <w:color w:val="222222"/>
          <w:shd w:val="clear" w:color="auto" w:fill="FFFFFF"/>
        </w:rPr>
        <w:t>lycopersicum</w:t>
      </w:r>
      <w:proofErr w:type="spellEnd"/>
      <w:r w:rsidRPr="00A34E95">
        <w:rPr>
          <w:color w:val="222222"/>
          <w:shd w:val="clear" w:color="auto" w:fill="FFFFFF"/>
        </w:rPr>
        <w:t xml:space="preserve"> L.). </w:t>
      </w:r>
      <w:r w:rsidRPr="00A34E95">
        <w:rPr>
          <w:i/>
          <w:iCs/>
          <w:color w:val="222222"/>
          <w:shd w:val="clear" w:color="auto" w:fill="FFFFFF"/>
        </w:rPr>
        <w:t>Saudi journal of biological sciences</w:t>
      </w:r>
      <w:r w:rsidRPr="00A34E95">
        <w:rPr>
          <w:color w:val="222222"/>
          <w:shd w:val="clear" w:color="auto" w:fill="FFFFFF"/>
        </w:rPr>
        <w:t>, </w:t>
      </w:r>
      <w:r w:rsidRPr="00A34E95">
        <w:rPr>
          <w:i/>
          <w:iCs/>
          <w:color w:val="222222"/>
          <w:shd w:val="clear" w:color="auto" w:fill="FFFFFF"/>
        </w:rPr>
        <w:t>28</w:t>
      </w:r>
      <w:r w:rsidRPr="00A34E95">
        <w:rPr>
          <w:color w:val="222222"/>
          <w:shd w:val="clear" w:color="auto" w:fill="FFFFFF"/>
        </w:rPr>
        <w:t xml:space="preserve">(3), 1654-1663. </w:t>
      </w:r>
      <w:hyperlink r:id="rId8" w:history="1">
        <w:r w:rsidRPr="00A34E95">
          <w:rPr>
            <w:rStyle w:val="Hyperlink"/>
          </w:rPr>
          <w:t>https://doi.org/10.1016/j.sjbs.2020.11.088</w:t>
        </w:r>
      </w:hyperlink>
      <w:r w:rsidRPr="00A34E95">
        <w:t xml:space="preserve"> </w:t>
      </w:r>
    </w:p>
    <w:p w:rsidR="00A34E95" w:rsidRPr="00A34E95" w:rsidRDefault="00A34E95" w:rsidP="00A34E95">
      <w:pPr>
        <w:pStyle w:val="NormalWeb"/>
      </w:pPr>
      <w:proofErr w:type="spellStart"/>
      <w:r w:rsidRPr="00A34E95">
        <w:t>Baazeem</w:t>
      </w:r>
      <w:proofErr w:type="spellEnd"/>
      <w:r w:rsidRPr="00A34E95">
        <w:t xml:space="preserve">, A., Medina, A., &amp; </w:t>
      </w:r>
      <w:proofErr w:type="spellStart"/>
      <w:r w:rsidRPr="00A34E95">
        <w:t>Magan</w:t>
      </w:r>
      <w:proofErr w:type="spellEnd"/>
      <w:r w:rsidRPr="00A34E95">
        <w:t xml:space="preserve">, N. (2022). Effect of Acclimatization in Elevated CO2 on Growth and Aflatoxin B1 Production by Aspergillus flavus Strains on Pistachio Nuts. Microorganisms, 10(1), 49. </w:t>
      </w:r>
      <w:hyperlink r:id="rId9" w:history="1">
        <w:r w:rsidRPr="00A34E95">
          <w:rPr>
            <w:rStyle w:val="Hyperlink"/>
          </w:rPr>
          <w:t>https://doi.org/10.3390/microorganisms10010049</w:t>
        </w:r>
      </w:hyperlink>
      <w:r w:rsidRPr="00A34E95">
        <w:t xml:space="preserve"> </w:t>
      </w:r>
    </w:p>
    <w:p w:rsidR="00A34E95" w:rsidRPr="00A34E95" w:rsidRDefault="00A34E95" w:rsidP="00A34E95">
      <w:pPr>
        <w:pStyle w:val="NormalWeb"/>
        <w:rPr>
          <w:color w:val="222222"/>
          <w:shd w:val="clear" w:color="auto" w:fill="FFFFFF"/>
        </w:rPr>
      </w:pPr>
      <w:proofErr w:type="spellStart"/>
      <w:r w:rsidRPr="00A34E95">
        <w:rPr>
          <w:color w:val="222222"/>
          <w:shd w:val="clear" w:color="auto" w:fill="FFFFFF"/>
        </w:rPr>
        <w:t>Baazeem</w:t>
      </w:r>
      <w:proofErr w:type="spellEnd"/>
      <w:r w:rsidRPr="00A34E95">
        <w:rPr>
          <w:color w:val="222222"/>
          <w:shd w:val="clear" w:color="auto" w:fill="FFFFFF"/>
        </w:rPr>
        <w:t xml:space="preserve">, A., Rodriguez, A., Medina, A., &amp; </w:t>
      </w:r>
      <w:proofErr w:type="spellStart"/>
      <w:r w:rsidRPr="00A34E95">
        <w:rPr>
          <w:color w:val="222222"/>
          <w:shd w:val="clear" w:color="auto" w:fill="FFFFFF"/>
        </w:rPr>
        <w:t>Magan</w:t>
      </w:r>
      <w:proofErr w:type="spellEnd"/>
      <w:r w:rsidRPr="00A34E95">
        <w:rPr>
          <w:color w:val="222222"/>
          <w:shd w:val="clear" w:color="auto" w:fill="FFFFFF"/>
        </w:rPr>
        <w:t xml:space="preserve">, N. (2021). Impacts of Climate Change Interacting Abiotic Factors on Growth, </w:t>
      </w:r>
      <w:proofErr w:type="spellStart"/>
      <w:r w:rsidRPr="00A34E95">
        <w:rPr>
          <w:color w:val="222222"/>
          <w:shd w:val="clear" w:color="auto" w:fill="FFFFFF"/>
        </w:rPr>
        <w:t>aflD</w:t>
      </w:r>
      <w:proofErr w:type="spellEnd"/>
      <w:r w:rsidRPr="00A34E95">
        <w:rPr>
          <w:color w:val="222222"/>
          <w:shd w:val="clear" w:color="auto" w:fill="FFFFFF"/>
        </w:rPr>
        <w:t xml:space="preserve"> and </w:t>
      </w:r>
      <w:proofErr w:type="spellStart"/>
      <w:r w:rsidRPr="00A34E95">
        <w:rPr>
          <w:color w:val="222222"/>
          <w:shd w:val="clear" w:color="auto" w:fill="FFFFFF"/>
        </w:rPr>
        <w:t>aflR</w:t>
      </w:r>
      <w:proofErr w:type="spellEnd"/>
      <w:r w:rsidRPr="00A34E95">
        <w:rPr>
          <w:color w:val="222222"/>
          <w:shd w:val="clear" w:color="auto" w:fill="FFFFFF"/>
        </w:rPr>
        <w:t xml:space="preserve"> Gene Expression and Aflatoxin B1 Production by Aspergillus flavus Strains In Vitro and on Pistachio Nuts. Toxins, 13(6), 385. </w:t>
      </w:r>
      <w:hyperlink r:id="rId10" w:history="1">
        <w:r w:rsidRPr="00A34E95">
          <w:rPr>
            <w:rStyle w:val="Hyperlink"/>
            <w:shd w:val="clear" w:color="auto" w:fill="FFFFFF"/>
          </w:rPr>
          <w:t>https://doi.org/10.3390/toxins13060385</w:t>
        </w:r>
      </w:hyperlink>
      <w:r w:rsidRPr="00A34E95">
        <w:rPr>
          <w:color w:val="222222"/>
          <w:shd w:val="clear" w:color="auto" w:fill="FFFFFF"/>
        </w:rPr>
        <w:t xml:space="preserve"> </w:t>
      </w:r>
    </w:p>
    <w:p w:rsidR="00A34E95" w:rsidRPr="00A34E95" w:rsidRDefault="00A34E95" w:rsidP="00A34E95">
      <w:pPr>
        <w:pStyle w:val="NormalWeb"/>
      </w:pPr>
      <w:r w:rsidRPr="00A34E95">
        <w:rPr>
          <w:color w:val="222222"/>
          <w:shd w:val="clear" w:color="auto" w:fill="FFFFFF"/>
        </w:rPr>
        <w:t xml:space="preserve">Baker-Austin, C., </w:t>
      </w:r>
      <w:proofErr w:type="spellStart"/>
      <w:r w:rsidRPr="00A34E95">
        <w:rPr>
          <w:color w:val="222222"/>
          <w:shd w:val="clear" w:color="auto" w:fill="FFFFFF"/>
        </w:rPr>
        <w:t>Trinanes</w:t>
      </w:r>
      <w:proofErr w:type="spellEnd"/>
      <w:r w:rsidRPr="00A34E95">
        <w:rPr>
          <w:color w:val="222222"/>
          <w:shd w:val="clear" w:color="auto" w:fill="FFFFFF"/>
        </w:rPr>
        <w:t xml:space="preserve">, J. A., Taylor, N. G., Hartnell, R., </w:t>
      </w:r>
      <w:proofErr w:type="spellStart"/>
      <w:r w:rsidRPr="00A34E95">
        <w:rPr>
          <w:color w:val="222222"/>
          <w:shd w:val="clear" w:color="auto" w:fill="FFFFFF"/>
        </w:rPr>
        <w:t>Siitonen</w:t>
      </w:r>
      <w:proofErr w:type="spellEnd"/>
      <w:r w:rsidRPr="00A34E95">
        <w:rPr>
          <w:color w:val="222222"/>
          <w:shd w:val="clear" w:color="auto" w:fill="FFFFFF"/>
        </w:rPr>
        <w:t>, A., &amp; Martinez-</w:t>
      </w:r>
      <w:proofErr w:type="spellStart"/>
      <w:r w:rsidRPr="00A34E95">
        <w:rPr>
          <w:color w:val="222222"/>
          <w:shd w:val="clear" w:color="auto" w:fill="FFFFFF"/>
        </w:rPr>
        <w:t>Urtaza</w:t>
      </w:r>
      <w:proofErr w:type="spellEnd"/>
      <w:r w:rsidRPr="00A34E95">
        <w:rPr>
          <w:color w:val="222222"/>
          <w:shd w:val="clear" w:color="auto" w:fill="FFFFFF"/>
        </w:rPr>
        <w:t>, J. (2013). Emerging Vibrio risk at high latitudes in response to ocean warming. </w:t>
      </w:r>
      <w:r w:rsidRPr="00A34E95">
        <w:rPr>
          <w:i/>
          <w:iCs/>
          <w:color w:val="222222"/>
          <w:shd w:val="clear" w:color="auto" w:fill="FFFFFF"/>
        </w:rPr>
        <w:t>Nature climate change</w:t>
      </w:r>
      <w:r w:rsidRPr="00A34E95">
        <w:rPr>
          <w:color w:val="222222"/>
          <w:shd w:val="clear" w:color="auto" w:fill="FFFFFF"/>
        </w:rPr>
        <w:t>, </w:t>
      </w:r>
      <w:r w:rsidRPr="00A34E95">
        <w:rPr>
          <w:i/>
          <w:iCs/>
          <w:color w:val="222222"/>
          <w:shd w:val="clear" w:color="auto" w:fill="FFFFFF"/>
        </w:rPr>
        <w:t>3</w:t>
      </w:r>
      <w:r w:rsidRPr="00A34E95">
        <w:rPr>
          <w:color w:val="222222"/>
          <w:shd w:val="clear" w:color="auto" w:fill="FFFFFF"/>
        </w:rPr>
        <w:t xml:space="preserve">(1), 73-77. </w:t>
      </w:r>
      <w:hyperlink r:id="rId11" w:history="1">
        <w:r w:rsidRPr="00A34E95">
          <w:rPr>
            <w:rStyle w:val="Hyperlink"/>
          </w:rPr>
          <w:t>https://doi.org/10.1038/nclimate1628</w:t>
        </w:r>
      </w:hyperlink>
      <w:r w:rsidRPr="00A34E95">
        <w:t xml:space="preserve"> </w:t>
      </w:r>
    </w:p>
    <w:p w:rsidR="00A34E95" w:rsidRPr="00A34E95" w:rsidRDefault="00A34E95" w:rsidP="00A34E95">
      <w:pPr>
        <w:pStyle w:val="NormalWeb"/>
      </w:pPr>
      <w:r w:rsidRPr="00A34E95">
        <w:rPr>
          <w:color w:val="222222"/>
          <w:shd w:val="clear" w:color="auto" w:fill="FFFFFF"/>
        </w:rPr>
        <w:t xml:space="preserve">Baker-Austin, C., </w:t>
      </w:r>
      <w:proofErr w:type="spellStart"/>
      <w:r w:rsidRPr="00A34E95">
        <w:rPr>
          <w:color w:val="222222"/>
          <w:shd w:val="clear" w:color="auto" w:fill="FFFFFF"/>
        </w:rPr>
        <w:t>Trinanes</w:t>
      </w:r>
      <w:proofErr w:type="spellEnd"/>
      <w:r w:rsidRPr="00A34E95">
        <w:rPr>
          <w:color w:val="222222"/>
          <w:shd w:val="clear" w:color="auto" w:fill="FFFFFF"/>
        </w:rPr>
        <w:t>, J., Gonzalez-</w:t>
      </w:r>
      <w:proofErr w:type="spellStart"/>
      <w:r w:rsidRPr="00A34E95">
        <w:rPr>
          <w:color w:val="222222"/>
          <w:shd w:val="clear" w:color="auto" w:fill="FFFFFF"/>
        </w:rPr>
        <w:t>Escalona</w:t>
      </w:r>
      <w:proofErr w:type="spellEnd"/>
      <w:r w:rsidRPr="00A34E95">
        <w:rPr>
          <w:color w:val="222222"/>
          <w:shd w:val="clear" w:color="auto" w:fill="FFFFFF"/>
        </w:rPr>
        <w:t>, N., &amp; Martinez-</w:t>
      </w:r>
      <w:proofErr w:type="spellStart"/>
      <w:r w:rsidRPr="00A34E95">
        <w:rPr>
          <w:color w:val="222222"/>
          <w:shd w:val="clear" w:color="auto" w:fill="FFFFFF"/>
        </w:rPr>
        <w:t>Urtaza</w:t>
      </w:r>
      <w:proofErr w:type="spellEnd"/>
      <w:r w:rsidRPr="00A34E95">
        <w:rPr>
          <w:color w:val="222222"/>
          <w:shd w:val="clear" w:color="auto" w:fill="FFFFFF"/>
        </w:rPr>
        <w:t xml:space="preserve">, J. (2017). Non-cholera </w:t>
      </w:r>
      <w:proofErr w:type="spellStart"/>
      <w:r w:rsidRPr="00A34E95">
        <w:rPr>
          <w:color w:val="222222"/>
          <w:shd w:val="clear" w:color="auto" w:fill="FFFFFF"/>
        </w:rPr>
        <w:t>vibrios</w:t>
      </w:r>
      <w:proofErr w:type="spellEnd"/>
      <w:r w:rsidRPr="00A34E95">
        <w:rPr>
          <w:color w:val="222222"/>
          <w:shd w:val="clear" w:color="auto" w:fill="FFFFFF"/>
        </w:rPr>
        <w:t>: the microbial barometer of climate change. </w:t>
      </w:r>
      <w:r w:rsidRPr="00A34E95">
        <w:rPr>
          <w:i/>
          <w:iCs/>
          <w:color w:val="222222"/>
          <w:shd w:val="clear" w:color="auto" w:fill="FFFFFF"/>
        </w:rPr>
        <w:t>Trends in microbiology</w:t>
      </w:r>
      <w:r w:rsidRPr="00A34E95">
        <w:rPr>
          <w:color w:val="222222"/>
          <w:shd w:val="clear" w:color="auto" w:fill="FFFFFF"/>
        </w:rPr>
        <w:t>, </w:t>
      </w:r>
      <w:r w:rsidRPr="00A34E95">
        <w:rPr>
          <w:i/>
          <w:iCs/>
          <w:color w:val="222222"/>
          <w:shd w:val="clear" w:color="auto" w:fill="FFFFFF"/>
        </w:rPr>
        <w:t>25</w:t>
      </w:r>
      <w:r w:rsidRPr="00A34E95">
        <w:rPr>
          <w:color w:val="222222"/>
          <w:shd w:val="clear" w:color="auto" w:fill="FFFFFF"/>
        </w:rPr>
        <w:t xml:space="preserve">(1), 76-84. </w:t>
      </w:r>
      <w:hyperlink r:id="rId12" w:history="1">
        <w:r w:rsidRPr="00A34E95">
          <w:rPr>
            <w:rStyle w:val="Hyperlink"/>
          </w:rPr>
          <w:t>https://doi.org/10.1016/j.tim.2016.09.008</w:t>
        </w:r>
      </w:hyperlink>
      <w:r w:rsidRPr="00A34E95">
        <w:t xml:space="preserve"> </w:t>
      </w:r>
    </w:p>
    <w:p w:rsidR="00A34E95" w:rsidRPr="00A34E95" w:rsidRDefault="00A34E95" w:rsidP="00A34E95">
      <w:pPr>
        <w:pStyle w:val="NormalWeb"/>
      </w:pPr>
      <w:proofErr w:type="spellStart"/>
      <w:r w:rsidRPr="00A34E95">
        <w:rPr>
          <w:color w:val="222222"/>
          <w:shd w:val="clear" w:color="auto" w:fill="FFFFFF"/>
        </w:rPr>
        <w:lastRenderedPageBreak/>
        <w:t>Battilani</w:t>
      </w:r>
      <w:proofErr w:type="spellEnd"/>
      <w:r w:rsidRPr="00A34E95">
        <w:rPr>
          <w:color w:val="222222"/>
          <w:shd w:val="clear" w:color="auto" w:fill="FFFFFF"/>
        </w:rPr>
        <w:t>, P., Toscano, P., Van der Fels-</w:t>
      </w:r>
      <w:proofErr w:type="spellStart"/>
      <w:r w:rsidRPr="00A34E95">
        <w:rPr>
          <w:color w:val="222222"/>
          <w:shd w:val="clear" w:color="auto" w:fill="FFFFFF"/>
        </w:rPr>
        <w:t>Klerx</w:t>
      </w:r>
      <w:proofErr w:type="spellEnd"/>
      <w:r w:rsidRPr="00A34E95">
        <w:rPr>
          <w:color w:val="222222"/>
          <w:shd w:val="clear" w:color="auto" w:fill="FFFFFF"/>
        </w:rPr>
        <w:t xml:space="preserve">, H. J., Moretti, A., </w:t>
      </w:r>
      <w:proofErr w:type="spellStart"/>
      <w:r w:rsidRPr="00A34E95">
        <w:rPr>
          <w:color w:val="222222"/>
          <w:shd w:val="clear" w:color="auto" w:fill="FFFFFF"/>
        </w:rPr>
        <w:t>Camardo</w:t>
      </w:r>
      <w:proofErr w:type="spellEnd"/>
      <w:r w:rsidRPr="00A34E95">
        <w:rPr>
          <w:color w:val="222222"/>
          <w:shd w:val="clear" w:color="auto" w:fill="FFFFFF"/>
        </w:rPr>
        <w:t xml:space="preserve"> </w:t>
      </w:r>
      <w:proofErr w:type="spellStart"/>
      <w:r w:rsidRPr="00A34E95">
        <w:rPr>
          <w:color w:val="222222"/>
          <w:shd w:val="clear" w:color="auto" w:fill="FFFFFF"/>
        </w:rPr>
        <w:t>Leggieri</w:t>
      </w:r>
      <w:proofErr w:type="spellEnd"/>
      <w:r w:rsidRPr="00A34E95">
        <w:rPr>
          <w:color w:val="222222"/>
          <w:shd w:val="clear" w:color="auto" w:fill="FFFFFF"/>
        </w:rPr>
        <w:t>, M., Brera, C., ... &amp; Robinson, T. (2016). Aflatoxin B1 contamination in maize in Europe increases due to climate change. </w:t>
      </w:r>
      <w:r w:rsidRPr="00A34E95">
        <w:rPr>
          <w:i/>
          <w:iCs/>
          <w:color w:val="222222"/>
          <w:shd w:val="clear" w:color="auto" w:fill="FFFFFF"/>
        </w:rPr>
        <w:t>Scientific reports</w:t>
      </w:r>
      <w:r w:rsidRPr="00A34E95">
        <w:rPr>
          <w:color w:val="222222"/>
          <w:shd w:val="clear" w:color="auto" w:fill="FFFFFF"/>
        </w:rPr>
        <w:t>, </w:t>
      </w:r>
      <w:r w:rsidRPr="00A34E95">
        <w:rPr>
          <w:i/>
          <w:iCs/>
          <w:color w:val="222222"/>
          <w:shd w:val="clear" w:color="auto" w:fill="FFFFFF"/>
        </w:rPr>
        <w:t>6</w:t>
      </w:r>
      <w:r w:rsidRPr="00A34E95">
        <w:rPr>
          <w:color w:val="222222"/>
          <w:shd w:val="clear" w:color="auto" w:fill="FFFFFF"/>
        </w:rPr>
        <w:t xml:space="preserve">(1), 24328. </w:t>
      </w:r>
      <w:hyperlink r:id="rId13" w:tgtFrame="_new" w:history="1">
        <w:r w:rsidRPr="00A34E95">
          <w:rPr>
            <w:rStyle w:val="Hyperlink"/>
          </w:rPr>
          <w:t>https://doi.org/10.1038/srep24328</w:t>
        </w:r>
      </w:hyperlink>
      <w:r w:rsidRPr="00A34E95">
        <w:t xml:space="preserve"> </w:t>
      </w:r>
    </w:p>
    <w:p w:rsidR="00A34E95" w:rsidRPr="00A34E95" w:rsidRDefault="00A34E95" w:rsidP="00A34E95">
      <w:pPr>
        <w:pStyle w:val="NormalWeb"/>
      </w:pPr>
      <w:proofErr w:type="spellStart"/>
      <w:r w:rsidRPr="00A34E95">
        <w:rPr>
          <w:color w:val="222222"/>
          <w:shd w:val="clear" w:color="auto" w:fill="FFFFFF"/>
        </w:rPr>
        <w:t>Bencze</w:t>
      </w:r>
      <w:proofErr w:type="spellEnd"/>
      <w:r w:rsidRPr="00A34E95">
        <w:rPr>
          <w:color w:val="222222"/>
          <w:shd w:val="clear" w:color="auto" w:fill="FFFFFF"/>
        </w:rPr>
        <w:t xml:space="preserve">, S., Puskás, K., Vida, G., </w:t>
      </w:r>
      <w:proofErr w:type="spellStart"/>
      <w:r w:rsidRPr="00A34E95">
        <w:rPr>
          <w:color w:val="222222"/>
          <w:shd w:val="clear" w:color="auto" w:fill="FFFFFF"/>
        </w:rPr>
        <w:t>Karsai</w:t>
      </w:r>
      <w:proofErr w:type="spellEnd"/>
      <w:r w:rsidRPr="00A34E95">
        <w:rPr>
          <w:color w:val="222222"/>
          <w:shd w:val="clear" w:color="auto" w:fill="FFFFFF"/>
        </w:rPr>
        <w:t xml:space="preserve">, I., </w:t>
      </w:r>
      <w:proofErr w:type="spellStart"/>
      <w:r w:rsidRPr="00A34E95">
        <w:rPr>
          <w:color w:val="222222"/>
          <w:shd w:val="clear" w:color="auto" w:fill="FFFFFF"/>
        </w:rPr>
        <w:t>Balla</w:t>
      </w:r>
      <w:proofErr w:type="spellEnd"/>
      <w:r w:rsidRPr="00A34E95">
        <w:rPr>
          <w:color w:val="222222"/>
          <w:shd w:val="clear" w:color="auto" w:fill="FFFFFF"/>
        </w:rPr>
        <w:t xml:space="preserve">, K., </w:t>
      </w:r>
      <w:proofErr w:type="spellStart"/>
      <w:r w:rsidRPr="00A34E95">
        <w:rPr>
          <w:color w:val="222222"/>
          <w:shd w:val="clear" w:color="auto" w:fill="FFFFFF"/>
        </w:rPr>
        <w:t>Komáromi</w:t>
      </w:r>
      <w:proofErr w:type="spellEnd"/>
      <w:r w:rsidRPr="00A34E95">
        <w:rPr>
          <w:color w:val="222222"/>
          <w:shd w:val="clear" w:color="auto" w:fill="FFFFFF"/>
        </w:rPr>
        <w:t xml:space="preserve">, J., &amp; </w:t>
      </w:r>
      <w:proofErr w:type="spellStart"/>
      <w:r w:rsidRPr="00A34E95">
        <w:rPr>
          <w:color w:val="222222"/>
          <w:shd w:val="clear" w:color="auto" w:fill="FFFFFF"/>
        </w:rPr>
        <w:t>Veisz</w:t>
      </w:r>
      <w:proofErr w:type="spellEnd"/>
      <w:r w:rsidRPr="00A34E95">
        <w:rPr>
          <w:color w:val="222222"/>
          <w:shd w:val="clear" w:color="auto" w:fill="FFFFFF"/>
        </w:rPr>
        <w:t>, O. (2017). Rising atmospheric CO2 concentration may imply higher risk of Fusarium mycotoxin contamination of wheat grains. </w:t>
      </w:r>
      <w:r w:rsidRPr="00A34E95">
        <w:rPr>
          <w:i/>
          <w:iCs/>
          <w:color w:val="222222"/>
          <w:shd w:val="clear" w:color="auto" w:fill="FFFFFF"/>
        </w:rPr>
        <w:t>Mycotoxin research</w:t>
      </w:r>
      <w:r w:rsidRPr="00A34E95">
        <w:rPr>
          <w:color w:val="222222"/>
          <w:shd w:val="clear" w:color="auto" w:fill="FFFFFF"/>
        </w:rPr>
        <w:t>, </w:t>
      </w:r>
      <w:r w:rsidRPr="00A34E95">
        <w:rPr>
          <w:i/>
          <w:iCs/>
          <w:color w:val="222222"/>
          <w:shd w:val="clear" w:color="auto" w:fill="FFFFFF"/>
        </w:rPr>
        <w:t>33</w:t>
      </w:r>
      <w:r w:rsidRPr="00A34E95">
        <w:rPr>
          <w:color w:val="222222"/>
          <w:shd w:val="clear" w:color="auto" w:fill="FFFFFF"/>
        </w:rPr>
        <w:t xml:space="preserve">(3), 229-236. </w:t>
      </w:r>
      <w:hyperlink r:id="rId14" w:history="1">
        <w:r w:rsidRPr="00A34E95">
          <w:rPr>
            <w:rStyle w:val="Hyperlink"/>
          </w:rPr>
          <w:t>https://doi.org/10.1007/s12550-017-0281-2</w:t>
        </w:r>
      </w:hyperlink>
      <w:r w:rsidRPr="00A34E95">
        <w:t xml:space="preserve"> </w:t>
      </w:r>
    </w:p>
    <w:p w:rsidR="00A34E95" w:rsidRPr="00A34E95" w:rsidRDefault="00A34E95" w:rsidP="00A34E95">
      <w:pPr>
        <w:pStyle w:val="NormalWeb"/>
      </w:pPr>
      <w:proofErr w:type="spellStart"/>
      <w:r w:rsidRPr="00A34E95">
        <w:rPr>
          <w:color w:val="222222"/>
          <w:shd w:val="clear" w:color="auto" w:fill="FFFFFF"/>
        </w:rPr>
        <w:t>Casu</w:t>
      </w:r>
      <w:proofErr w:type="spellEnd"/>
      <w:r w:rsidRPr="00A34E95">
        <w:rPr>
          <w:color w:val="222222"/>
          <w:shd w:val="clear" w:color="auto" w:fill="FFFFFF"/>
        </w:rPr>
        <w:t xml:space="preserve">, A., </w:t>
      </w:r>
      <w:proofErr w:type="spellStart"/>
      <w:r w:rsidRPr="00A34E95">
        <w:rPr>
          <w:color w:val="222222"/>
          <w:shd w:val="clear" w:color="auto" w:fill="FFFFFF"/>
        </w:rPr>
        <w:t>Camardo</w:t>
      </w:r>
      <w:proofErr w:type="spellEnd"/>
      <w:r w:rsidRPr="00A34E95">
        <w:rPr>
          <w:color w:val="222222"/>
          <w:shd w:val="clear" w:color="auto" w:fill="FFFFFF"/>
        </w:rPr>
        <w:t xml:space="preserve"> </w:t>
      </w:r>
      <w:proofErr w:type="spellStart"/>
      <w:r w:rsidRPr="00A34E95">
        <w:rPr>
          <w:color w:val="222222"/>
          <w:shd w:val="clear" w:color="auto" w:fill="FFFFFF"/>
        </w:rPr>
        <w:t>Leggieri</w:t>
      </w:r>
      <w:proofErr w:type="spellEnd"/>
      <w:r w:rsidRPr="00A34E95">
        <w:rPr>
          <w:color w:val="222222"/>
          <w:shd w:val="clear" w:color="auto" w:fill="FFFFFF"/>
        </w:rPr>
        <w:t xml:space="preserve">, M., Toscano, P., &amp; </w:t>
      </w:r>
      <w:proofErr w:type="spellStart"/>
      <w:r w:rsidRPr="00A34E95">
        <w:rPr>
          <w:color w:val="222222"/>
          <w:shd w:val="clear" w:color="auto" w:fill="FFFFFF"/>
        </w:rPr>
        <w:t>Battilani</w:t>
      </w:r>
      <w:proofErr w:type="spellEnd"/>
      <w:r w:rsidRPr="00A34E95">
        <w:rPr>
          <w:color w:val="222222"/>
          <w:shd w:val="clear" w:color="auto" w:fill="FFFFFF"/>
        </w:rPr>
        <w:t>, P. (2024). Changing climate, shifting mycotoxins: A comprehensive review of climate change impact on mycotoxin contamination. </w:t>
      </w:r>
      <w:r w:rsidRPr="00A34E95">
        <w:rPr>
          <w:i/>
          <w:iCs/>
          <w:color w:val="222222"/>
          <w:shd w:val="clear" w:color="auto" w:fill="FFFFFF"/>
        </w:rPr>
        <w:t>Comprehensive Reviews in Food Science and Food Safety</w:t>
      </w:r>
      <w:r w:rsidRPr="00A34E95">
        <w:rPr>
          <w:color w:val="222222"/>
          <w:shd w:val="clear" w:color="auto" w:fill="FFFFFF"/>
        </w:rPr>
        <w:t>, </w:t>
      </w:r>
      <w:r w:rsidRPr="00A34E95">
        <w:rPr>
          <w:i/>
          <w:iCs/>
          <w:color w:val="222222"/>
          <w:shd w:val="clear" w:color="auto" w:fill="FFFFFF"/>
        </w:rPr>
        <w:t>23</w:t>
      </w:r>
      <w:r w:rsidRPr="00A34E95">
        <w:rPr>
          <w:color w:val="222222"/>
          <w:shd w:val="clear" w:color="auto" w:fill="FFFFFF"/>
        </w:rPr>
        <w:t xml:space="preserve">(2), e13323. </w:t>
      </w:r>
      <w:hyperlink r:id="rId15" w:history="1">
        <w:r w:rsidRPr="00A34E95">
          <w:rPr>
            <w:rStyle w:val="Hyperlink"/>
          </w:rPr>
          <w:t>https://doi.org/10.1111/1541-4337.13323</w:t>
        </w:r>
      </w:hyperlink>
      <w:r w:rsidRPr="00A34E95">
        <w:t xml:space="preserve"> </w:t>
      </w:r>
    </w:p>
    <w:p w:rsidR="00A34E95" w:rsidRPr="00A34E95" w:rsidRDefault="00A34E95" w:rsidP="00A34E95">
      <w:pPr>
        <w:pStyle w:val="NormalWeb"/>
      </w:pPr>
      <w:proofErr w:type="spellStart"/>
      <w:r w:rsidRPr="00A34E95">
        <w:rPr>
          <w:color w:val="222222"/>
          <w:shd w:val="clear" w:color="auto" w:fill="FFFFFF"/>
        </w:rPr>
        <w:t>Cotty</w:t>
      </w:r>
      <w:proofErr w:type="spellEnd"/>
      <w:r w:rsidRPr="00A34E95">
        <w:rPr>
          <w:color w:val="222222"/>
          <w:shd w:val="clear" w:color="auto" w:fill="FFFFFF"/>
        </w:rPr>
        <w:t>, P. J., &amp; Jaime-Garcia, R. (2007). Influences of climate on aflatoxin producing fungi and aflatoxin contamination. </w:t>
      </w:r>
      <w:r w:rsidRPr="00A34E95">
        <w:rPr>
          <w:i/>
          <w:iCs/>
          <w:color w:val="222222"/>
          <w:shd w:val="clear" w:color="auto" w:fill="FFFFFF"/>
        </w:rPr>
        <w:t>International journal of food microbiology</w:t>
      </w:r>
      <w:r w:rsidRPr="00A34E95">
        <w:rPr>
          <w:color w:val="222222"/>
          <w:shd w:val="clear" w:color="auto" w:fill="FFFFFF"/>
        </w:rPr>
        <w:t>, </w:t>
      </w:r>
      <w:r w:rsidRPr="00A34E95">
        <w:rPr>
          <w:i/>
          <w:iCs/>
          <w:color w:val="222222"/>
          <w:shd w:val="clear" w:color="auto" w:fill="FFFFFF"/>
        </w:rPr>
        <w:t>119</w:t>
      </w:r>
      <w:r w:rsidRPr="00A34E95">
        <w:rPr>
          <w:color w:val="222222"/>
          <w:shd w:val="clear" w:color="auto" w:fill="FFFFFF"/>
        </w:rPr>
        <w:t xml:space="preserve">(1-2), 109-115. </w:t>
      </w:r>
      <w:hyperlink r:id="rId16" w:history="1">
        <w:r w:rsidRPr="00A34E95">
          <w:rPr>
            <w:rStyle w:val="Hyperlink"/>
          </w:rPr>
          <w:t>https://doi.org/10.1016/j.ijfoodmicro.2007.07.060</w:t>
        </w:r>
      </w:hyperlink>
      <w:r w:rsidRPr="00A34E95">
        <w:t xml:space="preserve"> </w:t>
      </w:r>
    </w:p>
    <w:p w:rsidR="00A34E95" w:rsidRPr="00A34E95" w:rsidRDefault="00A34E95" w:rsidP="00A34E95">
      <w:pPr>
        <w:pStyle w:val="NormalWeb"/>
      </w:pPr>
      <w:proofErr w:type="spellStart"/>
      <w:r w:rsidRPr="00A34E95">
        <w:rPr>
          <w:color w:val="222222"/>
          <w:shd w:val="clear" w:color="auto" w:fill="FFFFFF"/>
        </w:rPr>
        <w:t>Delcour</w:t>
      </w:r>
      <w:proofErr w:type="spellEnd"/>
      <w:r w:rsidRPr="00A34E95">
        <w:rPr>
          <w:color w:val="222222"/>
          <w:shd w:val="clear" w:color="auto" w:fill="FFFFFF"/>
        </w:rPr>
        <w:t xml:space="preserve">, I., </w:t>
      </w:r>
      <w:proofErr w:type="spellStart"/>
      <w:r w:rsidRPr="00A34E95">
        <w:rPr>
          <w:color w:val="222222"/>
          <w:shd w:val="clear" w:color="auto" w:fill="FFFFFF"/>
        </w:rPr>
        <w:t>Spanoghe</w:t>
      </w:r>
      <w:proofErr w:type="spellEnd"/>
      <w:r w:rsidRPr="00A34E95">
        <w:rPr>
          <w:color w:val="222222"/>
          <w:shd w:val="clear" w:color="auto" w:fill="FFFFFF"/>
        </w:rPr>
        <w:t xml:space="preserve">, P., &amp; </w:t>
      </w:r>
      <w:proofErr w:type="spellStart"/>
      <w:r w:rsidRPr="00A34E95">
        <w:rPr>
          <w:color w:val="222222"/>
          <w:shd w:val="clear" w:color="auto" w:fill="FFFFFF"/>
        </w:rPr>
        <w:t>Uyttendaele</w:t>
      </w:r>
      <w:proofErr w:type="spellEnd"/>
      <w:r w:rsidRPr="00A34E95">
        <w:rPr>
          <w:color w:val="222222"/>
          <w:shd w:val="clear" w:color="auto" w:fill="FFFFFF"/>
        </w:rPr>
        <w:t>, M. (2015). Literature review: Impact of climate change on pesticide use. </w:t>
      </w:r>
      <w:r w:rsidRPr="00A34E95">
        <w:rPr>
          <w:i/>
          <w:iCs/>
          <w:color w:val="222222"/>
          <w:shd w:val="clear" w:color="auto" w:fill="FFFFFF"/>
        </w:rPr>
        <w:t>Food Research International</w:t>
      </w:r>
      <w:r w:rsidRPr="00A34E95">
        <w:rPr>
          <w:color w:val="222222"/>
          <w:shd w:val="clear" w:color="auto" w:fill="FFFFFF"/>
        </w:rPr>
        <w:t>, </w:t>
      </w:r>
      <w:r w:rsidRPr="00A34E95">
        <w:rPr>
          <w:i/>
          <w:iCs/>
          <w:color w:val="222222"/>
          <w:shd w:val="clear" w:color="auto" w:fill="FFFFFF"/>
        </w:rPr>
        <w:t>68</w:t>
      </w:r>
      <w:r w:rsidRPr="00A34E95">
        <w:rPr>
          <w:color w:val="222222"/>
          <w:shd w:val="clear" w:color="auto" w:fill="FFFFFF"/>
        </w:rPr>
        <w:t xml:space="preserve">, 7-15. </w:t>
      </w:r>
      <w:hyperlink r:id="rId17" w:history="1">
        <w:r w:rsidRPr="00A34E95">
          <w:rPr>
            <w:rStyle w:val="Hyperlink"/>
          </w:rPr>
          <w:t>https://doi.org/10.1016/j.foodres.2014.09.030</w:t>
        </w:r>
      </w:hyperlink>
      <w:r w:rsidRPr="00A34E95">
        <w:t xml:space="preserve"> </w:t>
      </w:r>
    </w:p>
    <w:p w:rsidR="00A34E95" w:rsidRPr="00A34E95" w:rsidRDefault="00A34E95" w:rsidP="00A34E95">
      <w:pPr>
        <w:pStyle w:val="NormalWeb"/>
      </w:pPr>
      <w:r w:rsidRPr="00A34E95">
        <w:rPr>
          <w:color w:val="222222"/>
          <w:shd w:val="clear" w:color="auto" w:fill="FFFFFF"/>
        </w:rPr>
        <w:t>Liu, C., &amp; Van der Fels-</w:t>
      </w:r>
      <w:proofErr w:type="spellStart"/>
      <w:r w:rsidRPr="00A34E95">
        <w:rPr>
          <w:color w:val="222222"/>
          <w:shd w:val="clear" w:color="auto" w:fill="FFFFFF"/>
        </w:rPr>
        <w:t>Klerx</w:t>
      </w:r>
      <w:proofErr w:type="spellEnd"/>
      <w:r w:rsidRPr="00A34E95">
        <w:rPr>
          <w:color w:val="222222"/>
          <w:shd w:val="clear" w:color="auto" w:fill="FFFFFF"/>
        </w:rPr>
        <w:t>, H. J. (2021). Quantitative modeling of climate change impacts on mycotoxins in cereals: A review. </w:t>
      </w:r>
      <w:r w:rsidRPr="00A34E95">
        <w:rPr>
          <w:i/>
          <w:iCs/>
          <w:color w:val="222222"/>
          <w:shd w:val="clear" w:color="auto" w:fill="FFFFFF"/>
        </w:rPr>
        <w:t>Toxins</w:t>
      </w:r>
      <w:r w:rsidRPr="00A34E95">
        <w:rPr>
          <w:color w:val="222222"/>
          <w:shd w:val="clear" w:color="auto" w:fill="FFFFFF"/>
        </w:rPr>
        <w:t>, </w:t>
      </w:r>
      <w:r w:rsidRPr="00A34E95">
        <w:rPr>
          <w:i/>
          <w:iCs/>
          <w:color w:val="222222"/>
          <w:shd w:val="clear" w:color="auto" w:fill="FFFFFF"/>
        </w:rPr>
        <w:t>13</w:t>
      </w:r>
      <w:r w:rsidRPr="00A34E95">
        <w:rPr>
          <w:color w:val="222222"/>
          <w:shd w:val="clear" w:color="auto" w:fill="FFFFFF"/>
        </w:rPr>
        <w:t xml:space="preserve">(4), 276. </w:t>
      </w:r>
      <w:hyperlink r:id="rId18" w:history="1">
        <w:r w:rsidRPr="00A34E95">
          <w:rPr>
            <w:rStyle w:val="Hyperlink"/>
          </w:rPr>
          <w:t>https://doi.org/10.3390/toxins13040276</w:t>
        </w:r>
      </w:hyperlink>
      <w:r w:rsidRPr="00A34E95">
        <w:t xml:space="preserve"> </w:t>
      </w:r>
    </w:p>
    <w:p w:rsidR="00A34E95" w:rsidRPr="00A34E95" w:rsidRDefault="00A34E95" w:rsidP="00A34E95">
      <w:pPr>
        <w:pStyle w:val="NormalWeb"/>
      </w:pPr>
      <w:proofErr w:type="spellStart"/>
      <w:r w:rsidRPr="00A34E95">
        <w:rPr>
          <w:color w:val="222222"/>
          <w:shd w:val="clear" w:color="auto" w:fill="FFFFFF"/>
        </w:rPr>
        <w:t>Llobregat</w:t>
      </w:r>
      <w:proofErr w:type="spellEnd"/>
      <w:r w:rsidRPr="00A34E95">
        <w:rPr>
          <w:color w:val="222222"/>
          <w:shd w:val="clear" w:color="auto" w:fill="FFFFFF"/>
        </w:rPr>
        <w:t xml:space="preserve">, B., </w:t>
      </w:r>
      <w:proofErr w:type="spellStart"/>
      <w:r w:rsidRPr="00A34E95">
        <w:rPr>
          <w:color w:val="222222"/>
          <w:shd w:val="clear" w:color="auto" w:fill="FFFFFF"/>
        </w:rPr>
        <w:t>Cervini</w:t>
      </w:r>
      <w:proofErr w:type="spellEnd"/>
      <w:r w:rsidRPr="00A34E95">
        <w:rPr>
          <w:color w:val="222222"/>
          <w:shd w:val="clear" w:color="auto" w:fill="FFFFFF"/>
        </w:rPr>
        <w:t xml:space="preserve">, C., González-Candelas, L., </w:t>
      </w:r>
      <w:proofErr w:type="spellStart"/>
      <w:r w:rsidRPr="00A34E95">
        <w:rPr>
          <w:color w:val="222222"/>
          <w:shd w:val="clear" w:color="auto" w:fill="FFFFFF"/>
        </w:rPr>
        <w:t>Verheecke-Vaessen</w:t>
      </w:r>
      <w:proofErr w:type="spellEnd"/>
      <w:r w:rsidRPr="00A34E95">
        <w:rPr>
          <w:color w:val="222222"/>
          <w:shd w:val="clear" w:color="auto" w:fill="FFFFFF"/>
        </w:rPr>
        <w:t xml:space="preserve">, C., </w:t>
      </w:r>
      <w:proofErr w:type="spellStart"/>
      <w:r w:rsidRPr="00A34E95">
        <w:rPr>
          <w:color w:val="222222"/>
          <w:shd w:val="clear" w:color="auto" w:fill="FFFFFF"/>
        </w:rPr>
        <w:t>Ballester</w:t>
      </w:r>
      <w:proofErr w:type="spellEnd"/>
      <w:r w:rsidRPr="00A34E95">
        <w:rPr>
          <w:color w:val="222222"/>
          <w:shd w:val="clear" w:color="auto" w:fill="FFFFFF"/>
        </w:rPr>
        <w:t xml:space="preserve">, A. R., &amp; Medina, Á. (2025). Will climate change affect growth and ochratoxin A production of putative biocontrol knockout strains of Aspergillus </w:t>
      </w:r>
      <w:proofErr w:type="spellStart"/>
      <w:proofErr w:type="gramStart"/>
      <w:r w:rsidRPr="00A34E95">
        <w:rPr>
          <w:color w:val="222222"/>
          <w:shd w:val="clear" w:color="auto" w:fill="FFFFFF"/>
        </w:rPr>
        <w:t>carbonarius</w:t>
      </w:r>
      <w:proofErr w:type="spellEnd"/>
      <w:r w:rsidRPr="00A34E95">
        <w:rPr>
          <w:color w:val="222222"/>
          <w:shd w:val="clear" w:color="auto" w:fill="FFFFFF"/>
        </w:rPr>
        <w:t>?.</w:t>
      </w:r>
      <w:proofErr w:type="gramEnd"/>
      <w:r w:rsidRPr="00A34E95">
        <w:rPr>
          <w:color w:val="222222"/>
          <w:shd w:val="clear" w:color="auto" w:fill="FFFFFF"/>
        </w:rPr>
        <w:t> </w:t>
      </w:r>
      <w:r w:rsidRPr="00A34E95">
        <w:rPr>
          <w:i/>
          <w:iCs/>
          <w:color w:val="222222"/>
          <w:shd w:val="clear" w:color="auto" w:fill="FFFFFF"/>
        </w:rPr>
        <w:t>International journal of food microbiology</w:t>
      </w:r>
      <w:r w:rsidRPr="00A34E95">
        <w:rPr>
          <w:color w:val="222222"/>
          <w:shd w:val="clear" w:color="auto" w:fill="FFFFFF"/>
        </w:rPr>
        <w:t>, </w:t>
      </w:r>
      <w:r w:rsidRPr="00A34E95">
        <w:rPr>
          <w:i/>
          <w:iCs/>
          <w:color w:val="222222"/>
          <w:shd w:val="clear" w:color="auto" w:fill="FFFFFF"/>
        </w:rPr>
        <w:t>439</w:t>
      </w:r>
      <w:r w:rsidRPr="00A34E95">
        <w:rPr>
          <w:color w:val="222222"/>
          <w:shd w:val="clear" w:color="auto" w:fill="FFFFFF"/>
        </w:rPr>
        <w:t xml:space="preserve">, 111250. </w:t>
      </w:r>
      <w:r w:rsidRPr="00A34E95">
        <w:t xml:space="preserve"> </w:t>
      </w:r>
      <w:hyperlink r:id="rId19" w:history="1">
        <w:r w:rsidRPr="00A34E95">
          <w:rPr>
            <w:rStyle w:val="Hyperlink"/>
          </w:rPr>
          <w:t>https://doi.org/10.1016/j.ijfoodmicro.2025.111250</w:t>
        </w:r>
      </w:hyperlink>
      <w:r w:rsidRPr="00A34E95">
        <w:t xml:space="preserve"> </w:t>
      </w:r>
    </w:p>
    <w:p w:rsidR="00A34E95" w:rsidRPr="00A34E95" w:rsidRDefault="00A34E95" w:rsidP="00A34E95">
      <w:pPr>
        <w:pStyle w:val="NormalWeb"/>
      </w:pPr>
      <w:proofErr w:type="spellStart"/>
      <w:r w:rsidRPr="00A34E95">
        <w:rPr>
          <w:color w:val="222222"/>
          <w:shd w:val="clear" w:color="auto" w:fill="FFFFFF"/>
        </w:rPr>
        <w:t>Loladze</w:t>
      </w:r>
      <w:proofErr w:type="spellEnd"/>
      <w:r w:rsidRPr="00A34E95">
        <w:rPr>
          <w:color w:val="222222"/>
          <w:shd w:val="clear" w:color="auto" w:fill="FFFFFF"/>
        </w:rPr>
        <w:t xml:space="preserve">, I. (2014). Hidden shift of the </w:t>
      </w:r>
      <w:proofErr w:type="spellStart"/>
      <w:r w:rsidRPr="00A34E95">
        <w:rPr>
          <w:color w:val="222222"/>
          <w:shd w:val="clear" w:color="auto" w:fill="FFFFFF"/>
        </w:rPr>
        <w:t>ionome</w:t>
      </w:r>
      <w:proofErr w:type="spellEnd"/>
      <w:r w:rsidRPr="00A34E95">
        <w:rPr>
          <w:color w:val="222222"/>
          <w:shd w:val="clear" w:color="auto" w:fill="FFFFFF"/>
        </w:rPr>
        <w:t xml:space="preserve"> of plants exposed to elevated CO2 depletes minerals at the base of human nutrition. </w:t>
      </w:r>
      <w:proofErr w:type="spellStart"/>
      <w:r w:rsidRPr="00A34E95">
        <w:rPr>
          <w:i/>
          <w:iCs/>
          <w:color w:val="222222"/>
          <w:shd w:val="clear" w:color="auto" w:fill="FFFFFF"/>
        </w:rPr>
        <w:t>elife</w:t>
      </w:r>
      <w:proofErr w:type="spellEnd"/>
      <w:r w:rsidRPr="00A34E95">
        <w:rPr>
          <w:color w:val="222222"/>
          <w:shd w:val="clear" w:color="auto" w:fill="FFFFFF"/>
        </w:rPr>
        <w:t>, </w:t>
      </w:r>
      <w:r w:rsidRPr="00A34E95">
        <w:rPr>
          <w:i/>
          <w:iCs/>
          <w:color w:val="222222"/>
          <w:shd w:val="clear" w:color="auto" w:fill="FFFFFF"/>
        </w:rPr>
        <w:t>3</w:t>
      </w:r>
      <w:r w:rsidRPr="00A34E95">
        <w:rPr>
          <w:color w:val="222222"/>
          <w:shd w:val="clear" w:color="auto" w:fill="FFFFFF"/>
        </w:rPr>
        <w:t xml:space="preserve">, e02245. </w:t>
      </w:r>
      <w:hyperlink r:id="rId20" w:history="1">
        <w:r w:rsidRPr="00A34E95">
          <w:rPr>
            <w:rStyle w:val="Hyperlink"/>
          </w:rPr>
          <w:t>https://doi.org/10.7554/eLife.02245</w:t>
        </w:r>
      </w:hyperlink>
      <w:r w:rsidRPr="00A34E95">
        <w:t xml:space="preserve"> </w:t>
      </w:r>
    </w:p>
    <w:p w:rsidR="00A34E95" w:rsidRPr="00A34E95" w:rsidRDefault="00A34E95" w:rsidP="00A34E95">
      <w:pPr>
        <w:pStyle w:val="NormalWeb"/>
      </w:pPr>
      <w:proofErr w:type="spellStart"/>
      <w:r w:rsidRPr="00A34E95">
        <w:rPr>
          <w:color w:val="222222"/>
          <w:shd w:val="clear" w:color="auto" w:fill="FFFFFF"/>
        </w:rPr>
        <w:t>Magan</w:t>
      </w:r>
      <w:proofErr w:type="spellEnd"/>
      <w:r w:rsidRPr="00A34E95">
        <w:rPr>
          <w:color w:val="222222"/>
          <w:shd w:val="clear" w:color="auto" w:fill="FFFFFF"/>
        </w:rPr>
        <w:t xml:space="preserve">, N., Medina, A., &amp; </w:t>
      </w:r>
      <w:proofErr w:type="spellStart"/>
      <w:r w:rsidRPr="00A34E95">
        <w:rPr>
          <w:color w:val="222222"/>
          <w:shd w:val="clear" w:color="auto" w:fill="FFFFFF"/>
        </w:rPr>
        <w:t>Aldred</w:t>
      </w:r>
      <w:proofErr w:type="spellEnd"/>
      <w:r w:rsidRPr="00A34E95">
        <w:rPr>
          <w:color w:val="222222"/>
          <w:shd w:val="clear" w:color="auto" w:fill="FFFFFF"/>
        </w:rPr>
        <w:t>, D. (2011). Possible climate‐change effects on mycotoxin contamination of food crops pre‐and postharvest. </w:t>
      </w:r>
      <w:r w:rsidRPr="00A34E95">
        <w:rPr>
          <w:i/>
          <w:iCs/>
          <w:color w:val="222222"/>
          <w:shd w:val="clear" w:color="auto" w:fill="FFFFFF"/>
        </w:rPr>
        <w:t>Plant pathology</w:t>
      </w:r>
      <w:r w:rsidRPr="00A34E95">
        <w:rPr>
          <w:color w:val="222222"/>
          <w:shd w:val="clear" w:color="auto" w:fill="FFFFFF"/>
        </w:rPr>
        <w:t>, </w:t>
      </w:r>
      <w:r w:rsidRPr="00A34E95">
        <w:rPr>
          <w:i/>
          <w:iCs/>
          <w:color w:val="222222"/>
          <w:shd w:val="clear" w:color="auto" w:fill="FFFFFF"/>
        </w:rPr>
        <w:t>60</w:t>
      </w:r>
      <w:r w:rsidRPr="00A34E95">
        <w:rPr>
          <w:color w:val="222222"/>
          <w:shd w:val="clear" w:color="auto" w:fill="FFFFFF"/>
        </w:rPr>
        <w:t>(1), 150-163.</w:t>
      </w:r>
      <w:r w:rsidRPr="00A34E95">
        <w:t xml:space="preserve">  </w:t>
      </w:r>
      <w:hyperlink r:id="rId21" w:history="1">
        <w:r w:rsidRPr="00A34E95">
          <w:rPr>
            <w:rStyle w:val="Hyperlink"/>
          </w:rPr>
          <w:t>https://doi.org/10.1111/j.1365-3059.2010.02412.x</w:t>
        </w:r>
      </w:hyperlink>
      <w:r w:rsidRPr="00A34E95">
        <w:t xml:space="preserve"> </w:t>
      </w:r>
    </w:p>
    <w:p w:rsidR="00A34E95" w:rsidRPr="00A34E95" w:rsidRDefault="00A34E95" w:rsidP="00A34E95">
      <w:pPr>
        <w:pStyle w:val="NormalWeb"/>
      </w:pPr>
      <w:r w:rsidRPr="00A34E95">
        <w:rPr>
          <w:color w:val="222222"/>
          <w:shd w:val="clear" w:color="auto" w:fill="FFFFFF"/>
        </w:rPr>
        <w:t>Martinez-</w:t>
      </w:r>
      <w:proofErr w:type="spellStart"/>
      <w:r w:rsidRPr="00A34E95">
        <w:rPr>
          <w:color w:val="222222"/>
          <w:shd w:val="clear" w:color="auto" w:fill="FFFFFF"/>
        </w:rPr>
        <w:t>Urtaza</w:t>
      </w:r>
      <w:proofErr w:type="spellEnd"/>
      <w:r w:rsidRPr="00A34E95">
        <w:rPr>
          <w:color w:val="222222"/>
          <w:shd w:val="clear" w:color="auto" w:fill="FFFFFF"/>
        </w:rPr>
        <w:t xml:space="preserve">, J., Bowers, J. C., </w:t>
      </w:r>
      <w:proofErr w:type="spellStart"/>
      <w:r w:rsidRPr="00A34E95">
        <w:rPr>
          <w:color w:val="222222"/>
          <w:shd w:val="clear" w:color="auto" w:fill="FFFFFF"/>
        </w:rPr>
        <w:t>Trinanes</w:t>
      </w:r>
      <w:proofErr w:type="spellEnd"/>
      <w:r w:rsidRPr="00A34E95">
        <w:rPr>
          <w:color w:val="222222"/>
          <w:shd w:val="clear" w:color="auto" w:fill="FFFFFF"/>
        </w:rPr>
        <w:t xml:space="preserve">, J., &amp; </w:t>
      </w:r>
      <w:proofErr w:type="spellStart"/>
      <w:r w:rsidRPr="00A34E95">
        <w:rPr>
          <w:color w:val="222222"/>
          <w:shd w:val="clear" w:color="auto" w:fill="FFFFFF"/>
        </w:rPr>
        <w:t>DePaola</w:t>
      </w:r>
      <w:proofErr w:type="spellEnd"/>
      <w:r w:rsidRPr="00A34E95">
        <w:rPr>
          <w:color w:val="222222"/>
          <w:shd w:val="clear" w:color="auto" w:fill="FFFFFF"/>
        </w:rPr>
        <w:t>, A. (2010). Climate anomalies and the increasing risk of Vibrio parahaemolyticus and Vibrio vulnificus illnesses. </w:t>
      </w:r>
      <w:r w:rsidRPr="00A34E95">
        <w:rPr>
          <w:i/>
          <w:iCs/>
          <w:color w:val="222222"/>
          <w:shd w:val="clear" w:color="auto" w:fill="FFFFFF"/>
        </w:rPr>
        <w:t>Food Research International</w:t>
      </w:r>
      <w:r w:rsidRPr="00A34E95">
        <w:rPr>
          <w:color w:val="222222"/>
          <w:shd w:val="clear" w:color="auto" w:fill="FFFFFF"/>
        </w:rPr>
        <w:t>, </w:t>
      </w:r>
      <w:r w:rsidRPr="00A34E95">
        <w:rPr>
          <w:i/>
          <w:iCs/>
          <w:color w:val="222222"/>
          <w:shd w:val="clear" w:color="auto" w:fill="FFFFFF"/>
        </w:rPr>
        <w:t>43</w:t>
      </w:r>
      <w:r w:rsidRPr="00A34E95">
        <w:rPr>
          <w:color w:val="222222"/>
          <w:shd w:val="clear" w:color="auto" w:fill="FFFFFF"/>
        </w:rPr>
        <w:t xml:space="preserve">(7), 1780-1790. </w:t>
      </w:r>
      <w:hyperlink r:id="rId22" w:history="1">
        <w:r w:rsidRPr="00A34E95">
          <w:rPr>
            <w:rStyle w:val="Hyperlink"/>
          </w:rPr>
          <w:t>https://doi.org/10.1016/j.foodres.2010.04.001</w:t>
        </w:r>
      </w:hyperlink>
      <w:r w:rsidRPr="00A34E95">
        <w:t xml:space="preserve"> </w:t>
      </w:r>
    </w:p>
    <w:p w:rsidR="00A34E95" w:rsidRPr="00A34E95" w:rsidRDefault="00A34E95" w:rsidP="00A34E95">
      <w:pPr>
        <w:pStyle w:val="NormalWeb"/>
      </w:pPr>
      <w:r w:rsidRPr="00A34E95">
        <w:rPr>
          <w:color w:val="222222"/>
          <w:shd w:val="clear" w:color="auto" w:fill="FFFFFF"/>
        </w:rPr>
        <w:t xml:space="preserve">Medina, A., Akbar, A., </w:t>
      </w:r>
      <w:proofErr w:type="spellStart"/>
      <w:r w:rsidRPr="00A34E95">
        <w:rPr>
          <w:color w:val="222222"/>
          <w:shd w:val="clear" w:color="auto" w:fill="FFFFFF"/>
        </w:rPr>
        <w:t>Baazeem</w:t>
      </w:r>
      <w:proofErr w:type="spellEnd"/>
      <w:r w:rsidRPr="00A34E95">
        <w:rPr>
          <w:color w:val="222222"/>
          <w:shd w:val="clear" w:color="auto" w:fill="FFFFFF"/>
        </w:rPr>
        <w:t xml:space="preserve">, A., Rodriguez, A., &amp; </w:t>
      </w:r>
      <w:proofErr w:type="spellStart"/>
      <w:r w:rsidRPr="00A34E95">
        <w:rPr>
          <w:color w:val="222222"/>
          <w:shd w:val="clear" w:color="auto" w:fill="FFFFFF"/>
        </w:rPr>
        <w:t>Magan</w:t>
      </w:r>
      <w:proofErr w:type="spellEnd"/>
      <w:r w:rsidRPr="00A34E95">
        <w:rPr>
          <w:color w:val="222222"/>
          <w:shd w:val="clear" w:color="auto" w:fill="FFFFFF"/>
        </w:rPr>
        <w:t xml:space="preserve">, N. (2017a). Climate change, food security and mycotoxins: Do we know </w:t>
      </w:r>
      <w:proofErr w:type="gramStart"/>
      <w:r w:rsidRPr="00A34E95">
        <w:rPr>
          <w:color w:val="222222"/>
          <w:shd w:val="clear" w:color="auto" w:fill="FFFFFF"/>
        </w:rPr>
        <w:t>enough?.</w:t>
      </w:r>
      <w:proofErr w:type="gramEnd"/>
      <w:r w:rsidRPr="00A34E95">
        <w:rPr>
          <w:color w:val="222222"/>
          <w:shd w:val="clear" w:color="auto" w:fill="FFFFFF"/>
        </w:rPr>
        <w:t> </w:t>
      </w:r>
      <w:r w:rsidRPr="00A34E95">
        <w:rPr>
          <w:i/>
          <w:iCs/>
          <w:color w:val="222222"/>
          <w:shd w:val="clear" w:color="auto" w:fill="FFFFFF"/>
        </w:rPr>
        <w:t>Fungal biology reviews</w:t>
      </w:r>
      <w:r w:rsidRPr="00A34E95">
        <w:rPr>
          <w:color w:val="222222"/>
          <w:shd w:val="clear" w:color="auto" w:fill="FFFFFF"/>
        </w:rPr>
        <w:t>, </w:t>
      </w:r>
      <w:r w:rsidRPr="00A34E95">
        <w:rPr>
          <w:i/>
          <w:iCs/>
          <w:color w:val="222222"/>
          <w:shd w:val="clear" w:color="auto" w:fill="FFFFFF"/>
        </w:rPr>
        <w:t>31</w:t>
      </w:r>
      <w:r w:rsidRPr="00A34E95">
        <w:rPr>
          <w:color w:val="222222"/>
          <w:shd w:val="clear" w:color="auto" w:fill="FFFFFF"/>
        </w:rPr>
        <w:t xml:space="preserve">(3), 143-154. </w:t>
      </w:r>
      <w:hyperlink r:id="rId23" w:history="1">
        <w:r w:rsidRPr="00A34E95">
          <w:rPr>
            <w:rStyle w:val="Hyperlink"/>
          </w:rPr>
          <w:t>https://doi.org/10.1016/j.fbr.2017.04.002</w:t>
        </w:r>
      </w:hyperlink>
      <w:r w:rsidRPr="00A34E95">
        <w:t xml:space="preserve"> </w:t>
      </w:r>
    </w:p>
    <w:p w:rsidR="00A34E95" w:rsidRPr="00A34E95" w:rsidRDefault="00A34E95" w:rsidP="00A34E95">
      <w:pPr>
        <w:pStyle w:val="NormalWeb"/>
      </w:pPr>
      <w:r w:rsidRPr="00A34E95">
        <w:rPr>
          <w:color w:val="222222"/>
          <w:shd w:val="clear" w:color="auto" w:fill="FFFFFF"/>
        </w:rPr>
        <w:t xml:space="preserve">Medina, Á., Rodríguez, A., &amp; </w:t>
      </w:r>
      <w:proofErr w:type="spellStart"/>
      <w:r w:rsidRPr="00A34E95">
        <w:rPr>
          <w:color w:val="222222"/>
          <w:shd w:val="clear" w:color="auto" w:fill="FFFFFF"/>
        </w:rPr>
        <w:t>Magan</w:t>
      </w:r>
      <w:proofErr w:type="spellEnd"/>
      <w:r w:rsidRPr="00A34E95">
        <w:rPr>
          <w:color w:val="222222"/>
          <w:shd w:val="clear" w:color="auto" w:fill="FFFFFF"/>
        </w:rPr>
        <w:t>, N. (2015). Climate change and mycotoxigenic fungi: Impacts on mycotoxin production. </w:t>
      </w:r>
      <w:r w:rsidRPr="00A34E95">
        <w:rPr>
          <w:i/>
          <w:iCs/>
          <w:color w:val="222222"/>
          <w:shd w:val="clear" w:color="auto" w:fill="FFFFFF"/>
        </w:rPr>
        <w:t>Current opinion in food science</w:t>
      </w:r>
      <w:r w:rsidRPr="00A34E95">
        <w:rPr>
          <w:color w:val="222222"/>
          <w:shd w:val="clear" w:color="auto" w:fill="FFFFFF"/>
        </w:rPr>
        <w:t>, </w:t>
      </w:r>
      <w:r w:rsidRPr="00A34E95">
        <w:rPr>
          <w:i/>
          <w:iCs/>
          <w:color w:val="222222"/>
          <w:shd w:val="clear" w:color="auto" w:fill="FFFFFF"/>
        </w:rPr>
        <w:t>5</w:t>
      </w:r>
      <w:r w:rsidRPr="00A34E95">
        <w:rPr>
          <w:color w:val="222222"/>
          <w:shd w:val="clear" w:color="auto" w:fill="FFFFFF"/>
        </w:rPr>
        <w:t xml:space="preserve">, 99-104. </w:t>
      </w:r>
      <w:hyperlink r:id="rId24" w:history="1">
        <w:r w:rsidRPr="00A34E95">
          <w:rPr>
            <w:rStyle w:val="Hyperlink"/>
          </w:rPr>
          <w:t>https://doi.org/10.1016/j.cofs.2015.11.002</w:t>
        </w:r>
      </w:hyperlink>
      <w:r w:rsidRPr="00A34E95">
        <w:t xml:space="preserve"> </w:t>
      </w:r>
    </w:p>
    <w:p w:rsidR="00A34E95" w:rsidRPr="00A34E95" w:rsidRDefault="00A34E95" w:rsidP="00A34E95">
      <w:pPr>
        <w:pStyle w:val="NormalWeb"/>
      </w:pPr>
      <w:proofErr w:type="spellStart"/>
      <w:r w:rsidRPr="00A34E95">
        <w:rPr>
          <w:color w:val="212121"/>
          <w:shd w:val="clear" w:color="auto" w:fill="FFFFFF"/>
        </w:rPr>
        <w:lastRenderedPageBreak/>
        <w:t>Miraglia</w:t>
      </w:r>
      <w:proofErr w:type="spellEnd"/>
      <w:r w:rsidRPr="00A34E95">
        <w:rPr>
          <w:color w:val="212121"/>
          <w:shd w:val="clear" w:color="auto" w:fill="FFFFFF"/>
        </w:rPr>
        <w:t xml:space="preserve">, M., Marvin, H. J., </w:t>
      </w:r>
      <w:proofErr w:type="spellStart"/>
      <w:r w:rsidRPr="00A34E95">
        <w:rPr>
          <w:color w:val="212121"/>
          <w:shd w:val="clear" w:color="auto" w:fill="FFFFFF"/>
        </w:rPr>
        <w:t>Kleter</w:t>
      </w:r>
      <w:proofErr w:type="spellEnd"/>
      <w:r w:rsidRPr="00A34E95">
        <w:rPr>
          <w:color w:val="212121"/>
          <w:shd w:val="clear" w:color="auto" w:fill="FFFFFF"/>
        </w:rPr>
        <w:t xml:space="preserve">, G. A., </w:t>
      </w:r>
      <w:proofErr w:type="spellStart"/>
      <w:r w:rsidRPr="00A34E95">
        <w:rPr>
          <w:color w:val="212121"/>
          <w:shd w:val="clear" w:color="auto" w:fill="FFFFFF"/>
        </w:rPr>
        <w:t>Battilani</w:t>
      </w:r>
      <w:proofErr w:type="spellEnd"/>
      <w:r w:rsidRPr="00A34E95">
        <w:rPr>
          <w:color w:val="212121"/>
          <w:shd w:val="clear" w:color="auto" w:fill="FFFFFF"/>
        </w:rPr>
        <w:t xml:space="preserve">, P., Brera, C., Coni, E., </w:t>
      </w:r>
      <w:proofErr w:type="spellStart"/>
      <w:r w:rsidRPr="00A34E95">
        <w:rPr>
          <w:color w:val="212121"/>
          <w:shd w:val="clear" w:color="auto" w:fill="FFFFFF"/>
        </w:rPr>
        <w:t>Cubadda</w:t>
      </w:r>
      <w:proofErr w:type="spellEnd"/>
      <w:r w:rsidRPr="00A34E95">
        <w:rPr>
          <w:color w:val="212121"/>
          <w:shd w:val="clear" w:color="auto" w:fill="FFFFFF"/>
        </w:rPr>
        <w:t xml:space="preserve">, F., </w:t>
      </w:r>
      <w:proofErr w:type="spellStart"/>
      <w:r w:rsidRPr="00A34E95">
        <w:rPr>
          <w:color w:val="212121"/>
          <w:shd w:val="clear" w:color="auto" w:fill="FFFFFF"/>
        </w:rPr>
        <w:t>Croci</w:t>
      </w:r>
      <w:proofErr w:type="spellEnd"/>
      <w:r w:rsidRPr="00A34E95">
        <w:rPr>
          <w:color w:val="212121"/>
          <w:shd w:val="clear" w:color="auto" w:fill="FFFFFF"/>
        </w:rPr>
        <w:t xml:space="preserve">, L., De </w:t>
      </w:r>
      <w:proofErr w:type="spellStart"/>
      <w:r w:rsidRPr="00A34E95">
        <w:rPr>
          <w:color w:val="212121"/>
          <w:shd w:val="clear" w:color="auto" w:fill="FFFFFF"/>
        </w:rPr>
        <w:t>Santis</w:t>
      </w:r>
      <w:proofErr w:type="spellEnd"/>
      <w:r w:rsidRPr="00A34E95">
        <w:rPr>
          <w:color w:val="212121"/>
          <w:shd w:val="clear" w:color="auto" w:fill="FFFFFF"/>
        </w:rPr>
        <w:t xml:space="preserve">, B., </w:t>
      </w:r>
      <w:proofErr w:type="spellStart"/>
      <w:r w:rsidRPr="00A34E95">
        <w:rPr>
          <w:color w:val="212121"/>
          <w:shd w:val="clear" w:color="auto" w:fill="FFFFFF"/>
        </w:rPr>
        <w:t>Dekkers</w:t>
      </w:r>
      <w:proofErr w:type="spellEnd"/>
      <w:r w:rsidRPr="00A34E95">
        <w:rPr>
          <w:color w:val="212121"/>
          <w:shd w:val="clear" w:color="auto" w:fill="FFFFFF"/>
        </w:rPr>
        <w:t xml:space="preserve">, S., </w:t>
      </w:r>
      <w:proofErr w:type="spellStart"/>
      <w:r w:rsidRPr="00A34E95">
        <w:rPr>
          <w:color w:val="212121"/>
          <w:shd w:val="clear" w:color="auto" w:fill="FFFFFF"/>
        </w:rPr>
        <w:t>Filippi</w:t>
      </w:r>
      <w:proofErr w:type="spellEnd"/>
      <w:r w:rsidRPr="00A34E95">
        <w:rPr>
          <w:color w:val="212121"/>
          <w:shd w:val="clear" w:color="auto" w:fill="FFFFFF"/>
        </w:rPr>
        <w:t xml:space="preserve">, L., </w:t>
      </w:r>
      <w:proofErr w:type="spellStart"/>
      <w:r w:rsidRPr="00A34E95">
        <w:rPr>
          <w:color w:val="212121"/>
          <w:shd w:val="clear" w:color="auto" w:fill="FFFFFF"/>
        </w:rPr>
        <w:t>Hutjes</w:t>
      </w:r>
      <w:proofErr w:type="spellEnd"/>
      <w:r w:rsidRPr="00A34E95">
        <w:rPr>
          <w:color w:val="212121"/>
          <w:shd w:val="clear" w:color="auto" w:fill="FFFFFF"/>
        </w:rPr>
        <w:t xml:space="preserve">, R. W., </w:t>
      </w:r>
      <w:proofErr w:type="spellStart"/>
      <w:r w:rsidRPr="00A34E95">
        <w:rPr>
          <w:color w:val="212121"/>
          <w:shd w:val="clear" w:color="auto" w:fill="FFFFFF"/>
        </w:rPr>
        <w:t>Noordam</w:t>
      </w:r>
      <w:proofErr w:type="spellEnd"/>
      <w:r w:rsidRPr="00A34E95">
        <w:rPr>
          <w:color w:val="212121"/>
          <w:shd w:val="clear" w:color="auto" w:fill="FFFFFF"/>
        </w:rPr>
        <w:t xml:space="preserve">, M. Y., </w:t>
      </w:r>
      <w:proofErr w:type="spellStart"/>
      <w:r w:rsidRPr="00A34E95">
        <w:rPr>
          <w:color w:val="212121"/>
          <w:shd w:val="clear" w:color="auto" w:fill="FFFFFF"/>
        </w:rPr>
        <w:t>Pisante</w:t>
      </w:r>
      <w:proofErr w:type="spellEnd"/>
      <w:r w:rsidRPr="00A34E95">
        <w:rPr>
          <w:color w:val="212121"/>
          <w:shd w:val="clear" w:color="auto" w:fill="FFFFFF"/>
        </w:rPr>
        <w:t xml:space="preserve">, M., </w:t>
      </w:r>
      <w:proofErr w:type="spellStart"/>
      <w:r w:rsidRPr="00A34E95">
        <w:rPr>
          <w:color w:val="212121"/>
          <w:shd w:val="clear" w:color="auto" w:fill="FFFFFF"/>
        </w:rPr>
        <w:t>Piva</w:t>
      </w:r>
      <w:proofErr w:type="spellEnd"/>
      <w:r w:rsidRPr="00A34E95">
        <w:rPr>
          <w:color w:val="212121"/>
          <w:shd w:val="clear" w:color="auto" w:fill="FFFFFF"/>
        </w:rPr>
        <w:t xml:space="preserve">, G., Prandini, A., </w:t>
      </w:r>
      <w:proofErr w:type="spellStart"/>
      <w:r w:rsidRPr="00A34E95">
        <w:rPr>
          <w:color w:val="212121"/>
          <w:shd w:val="clear" w:color="auto" w:fill="FFFFFF"/>
        </w:rPr>
        <w:t>Toti</w:t>
      </w:r>
      <w:proofErr w:type="spellEnd"/>
      <w:r w:rsidRPr="00A34E95">
        <w:rPr>
          <w:color w:val="212121"/>
          <w:shd w:val="clear" w:color="auto" w:fill="FFFFFF"/>
        </w:rPr>
        <w:t xml:space="preserve">, L., van den Born, G. J., &amp; </w:t>
      </w:r>
      <w:proofErr w:type="spellStart"/>
      <w:r w:rsidRPr="00A34E95">
        <w:rPr>
          <w:color w:val="212121"/>
          <w:shd w:val="clear" w:color="auto" w:fill="FFFFFF"/>
        </w:rPr>
        <w:t>Vespermann</w:t>
      </w:r>
      <w:proofErr w:type="spellEnd"/>
      <w:r w:rsidRPr="00A34E95">
        <w:rPr>
          <w:color w:val="212121"/>
          <w:shd w:val="clear" w:color="auto" w:fill="FFFFFF"/>
        </w:rPr>
        <w:t>, A. (2009). Climate change and food safety: an emerging issue with special focus on Europe. </w:t>
      </w:r>
      <w:r w:rsidRPr="00A34E95">
        <w:rPr>
          <w:i/>
          <w:iCs/>
          <w:color w:val="212121"/>
          <w:shd w:val="clear" w:color="auto" w:fill="FFFFFF"/>
        </w:rPr>
        <w:t xml:space="preserve">Food and chemical </w:t>
      </w:r>
      <w:proofErr w:type="gramStart"/>
      <w:r w:rsidRPr="00A34E95">
        <w:rPr>
          <w:i/>
          <w:iCs/>
          <w:color w:val="212121"/>
          <w:shd w:val="clear" w:color="auto" w:fill="FFFFFF"/>
        </w:rPr>
        <w:t>toxicology :</w:t>
      </w:r>
      <w:proofErr w:type="gramEnd"/>
      <w:r w:rsidRPr="00A34E95">
        <w:rPr>
          <w:i/>
          <w:iCs/>
          <w:color w:val="212121"/>
          <w:shd w:val="clear" w:color="auto" w:fill="FFFFFF"/>
        </w:rPr>
        <w:t xml:space="preserve"> an international journal published for the British Industrial Biological Research Association</w:t>
      </w:r>
      <w:r w:rsidRPr="00A34E95">
        <w:rPr>
          <w:color w:val="212121"/>
          <w:shd w:val="clear" w:color="auto" w:fill="FFFFFF"/>
        </w:rPr>
        <w:t>, </w:t>
      </w:r>
      <w:r w:rsidRPr="00A34E95">
        <w:rPr>
          <w:i/>
          <w:iCs/>
          <w:color w:val="212121"/>
          <w:shd w:val="clear" w:color="auto" w:fill="FFFFFF"/>
        </w:rPr>
        <w:t>47</w:t>
      </w:r>
      <w:r w:rsidRPr="00A34E95">
        <w:rPr>
          <w:color w:val="212121"/>
          <w:shd w:val="clear" w:color="auto" w:fill="FFFFFF"/>
        </w:rPr>
        <w:t xml:space="preserve">(5), 1009–1021. </w:t>
      </w:r>
      <w:hyperlink r:id="rId25" w:history="1">
        <w:r w:rsidRPr="00A34E95">
          <w:rPr>
            <w:rStyle w:val="Hyperlink"/>
            <w:shd w:val="clear" w:color="auto" w:fill="FFFFFF"/>
          </w:rPr>
          <w:t>https://doi.org/10.1016/j.fct.2009.02.005</w:t>
        </w:r>
      </w:hyperlink>
      <w:r w:rsidRPr="00A34E95">
        <w:rPr>
          <w:color w:val="212121"/>
          <w:shd w:val="clear" w:color="auto" w:fill="FFFFFF"/>
        </w:rPr>
        <w:t xml:space="preserve"> </w:t>
      </w:r>
    </w:p>
    <w:p w:rsidR="00A34E95" w:rsidRPr="00A34E95" w:rsidRDefault="00A34E95" w:rsidP="00A34E95">
      <w:pPr>
        <w:pStyle w:val="NormalWeb"/>
      </w:pPr>
      <w:r w:rsidRPr="00A34E95">
        <w:rPr>
          <w:color w:val="222222"/>
          <w:shd w:val="clear" w:color="auto" w:fill="FFFFFF"/>
        </w:rPr>
        <w:t xml:space="preserve">Murray, K., Wu, F., Shi, J., Jun </w:t>
      </w:r>
      <w:proofErr w:type="spellStart"/>
      <w:r w:rsidRPr="00A34E95">
        <w:rPr>
          <w:color w:val="222222"/>
          <w:shd w:val="clear" w:color="auto" w:fill="FFFFFF"/>
        </w:rPr>
        <w:t>Xue</w:t>
      </w:r>
      <w:proofErr w:type="spellEnd"/>
      <w:r w:rsidRPr="00A34E95">
        <w:rPr>
          <w:color w:val="222222"/>
          <w:shd w:val="clear" w:color="auto" w:fill="FFFFFF"/>
        </w:rPr>
        <w:t>, S., &amp; Warriner, K. (2017). Challenges in the microbiological food safety of fresh produce: Limitations of post-harvest washing and the need for alternative interventions. </w:t>
      </w:r>
      <w:r w:rsidRPr="00A34E95">
        <w:rPr>
          <w:i/>
          <w:iCs/>
          <w:color w:val="222222"/>
          <w:shd w:val="clear" w:color="auto" w:fill="FFFFFF"/>
        </w:rPr>
        <w:t>Food quality and safety</w:t>
      </w:r>
      <w:r w:rsidRPr="00A34E95">
        <w:rPr>
          <w:color w:val="222222"/>
          <w:shd w:val="clear" w:color="auto" w:fill="FFFFFF"/>
        </w:rPr>
        <w:t>, </w:t>
      </w:r>
      <w:r w:rsidRPr="00A34E95">
        <w:rPr>
          <w:i/>
          <w:iCs/>
          <w:color w:val="222222"/>
          <w:shd w:val="clear" w:color="auto" w:fill="FFFFFF"/>
        </w:rPr>
        <w:t>1</w:t>
      </w:r>
      <w:r w:rsidRPr="00A34E95">
        <w:rPr>
          <w:color w:val="222222"/>
          <w:shd w:val="clear" w:color="auto" w:fill="FFFFFF"/>
        </w:rPr>
        <w:t xml:space="preserve">(4), 289-301. </w:t>
      </w:r>
      <w:hyperlink r:id="rId26" w:history="1">
        <w:r w:rsidRPr="00A34E95">
          <w:rPr>
            <w:rStyle w:val="Hyperlink"/>
          </w:rPr>
          <w:t>https://doi.org/10.1093/fqsafe/fyx027</w:t>
        </w:r>
      </w:hyperlink>
      <w:r w:rsidRPr="00A34E95">
        <w:t xml:space="preserve"> </w:t>
      </w:r>
    </w:p>
    <w:p w:rsidR="00A34E95" w:rsidRPr="00A34E95" w:rsidRDefault="00A34E95" w:rsidP="00A34E95">
      <w:pPr>
        <w:pStyle w:val="NormalWeb"/>
      </w:pPr>
      <w:r w:rsidRPr="00A34E95">
        <w:rPr>
          <w:color w:val="222222"/>
          <w:shd w:val="clear" w:color="auto" w:fill="FFFFFF"/>
        </w:rPr>
        <w:t xml:space="preserve">Noyes, P. D., McElwee, M. K., Miller, H. D., Clark, B. W., Van </w:t>
      </w:r>
      <w:proofErr w:type="spellStart"/>
      <w:r w:rsidRPr="00A34E95">
        <w:rPr>
          <w:color w:val="222222"/>
          <w:shd w:val="clear" w:color="auto" w:fill="FFFFFF"/>
        </w:rPr>
        <w:t>Tiem</w:t>
      </w:r>
      <w:proofErr w:type="spellEnd"/>
      <w:r w:rsidRPr="00A34E95">
        <w:rPr>
          <w:color w:val="222222"/>
          <w:shd w:val="clear" w:color="auto" w:fill="FFFFFF"/>
        </w:rPr>
        <w:t>, L. A., Walcott, K. C., ... &amp; Levin, E. D. (2009). The toxicology of climate change: environmental contaminants in a warming world. </w:t>
      </w:r>
      <w:r w:rsidRPr="00A34E95">
        <w:rPr>
          <w:i/>
          <w:iCs/>
          <w:color w:val="222222"/>
          <w:shd w:val="clear" w:color="auto" w:fill="FFFFFF"/>
        </w:rPr>
        <w:t>Environment international</w:t>
      </w:r>
      <w:r w:rsidRPr="00A34E95">
        <w:rPr>
          <w:color w:val="222222"/>
          <w:shd w:val="clear" w:color="auto" w:fill="FFFFFF"/>
        </w:rPr>
        <w:t>, </w:t>
      </w:r>
      <w:r w:rsidRPr="00A34E95">
        <w:rPr>
          <w:i/>
          <w:iCs/>
          <w:color w:val="222222"/>
          <w:shd w:val="clear" w:color="auto" w:fill="FFFFFF"/>
        </w:rPr>
        <w:t>35</w:t>
      </w:r>
      <w:r w:rsidRPr="00A34E95">
        <w:rPr>
          <w:color w:val="222222"/>
          <w:shd w:val="clear" w:color="auto" w:fill="FFFFFF"/>
        </w:rPr>
        <w:t xml:space="preserve">(6), 971-986. </w:t>
      </w:r>
      <w:hyperlink r:id="rId27" w:history="1">
        <w:r w:rsidRPr="00A34E95">
          <w:rPr>
            <w:rStyle w:val="Hyperlink"/>
          </w:rPr>
          <w:t>https://doi.org/10.1016/j.envint.2009.02.006</w:t>
        </w:r>
      </w:hyperlink>
      <w:r w:rsidRPr="00A34E95">
        <w:t xml:space="preserve"> </w:t>
      </w:r>
    </w:p>
    <w:p w:rsidR="00A34E95" w:rsidRPr="00A34E95" w:rsidRDefault="00A34E95" w:rsidP="00A34E95">
      <w:pPr>
        <w:pStyle w:val="NormalWeb"/>
      </w:pPr>
      <w:proofErr w:type="spellStart"/>
      <w:r w:rsidRPr="00A34E95">
        <w:rPr>
          <w:color w:val="222222"/>
          <w:shd w:val="clear" w:color="auto" w:fill="FFFFFF"/>
        </w:rPr>
        <w:t>Paerl</w:t>
      </w:r>
      <w:proofErr w:type="spellEnd"/>
      <w:r w:rsidRPr="00A34E95">
        <w:rPr>
          <w:color w:val="222222"/>
          <w:shd w:val="clear" w:color="auto" w:fill="FFFFFF"/>
        </w:rPr>
        <w:t xml:space="preserve">, H. W., &amp; </w:t>
      </w:r>
      <w:proofErr w:type="spellStart"/>
      <w:r w:rsidRPr="00A34E95">
        <w:rPr>
          <w:color w:val="222222"/>
          <w:shd w:val="clear" w:color="auto" w:fill="FFFFFF"/>
        </w:rPr>
        <w:t>Otten</w:t>
      </w:r>
      <w:proofErr w:type="spellEnd"/>
      <w:r w:rsidRPr="00A34E95">
        <w:rPr>
          <w:color w:val="222222"/>
          <w:shd w:val="clear" w:color="auto" w:fill="FFFFFF"/>
        </w:rPr>
        <w:t>, T. G. (2013). Harmful cyanobacterial blooms: causes, consequences, and controls. </w:t>
      </w:r>
      <w:r w:rsidRPr="00A34E95">
        <w:rPr>
          <w:i/>
          <w:iCs/>
          <w:color w:val="222222"/>
          <w:shd w:val="clear" w:color="auto" w:fill="FFFFFF"/>
        </w:rPr>
        <w:t>Microbial ecology</w:t>
      </w:r>
      <w:r w:rsidRPr="00A34E95">
        <w:rPr>
          <w:color w:val="222222"/>
          <w:shd w:val="clear" w:color="auto" w:fill="FFFFFF"/>
        </w:rPr>
        <w:t>, </w:t>
      </w:r>
      <w:r w:rsidRPr="00A34E95">
        <w:rPr>
          <w:i/>
          <w:iCs/>
          <w:color w:val="222222"/>
          <w:shd w:val="clear" w:color="auto" w:fill="FFFFFF"/>
        </w:rPr>
        <w:t>65</w:t>
      </w:r>
      <w:r w:rsidRPr="00A34E95">
        <w:rPr>
          <w:color w:val="222222"/>
          <w:shd w:val="clear" w:color="auto" w:fill="FFFFFF"/>
        </w:rPr>
        <w:t xml:space="preserve">(4), 995-1010. </w:t>
      </w:r>
      <w:hyperlink r:id="rId28" w:history="1">
        <w:r w:rsidRPr="00A34E95">
          <w:rPr>
            <w:rStyle w:val="Hyperlink"/>
          </w:rPr>
          <w:t>https://doi.org/10.1007/s00248-012-0159-y</w:t>
        </w:r>
      </w:hyperlink>
      <w:r w:rsidRPr="00A34E95">
        <w:t xml:space="preserve"> </w:t>
      </w:r>
    </w:p>
    <w:p w:rsidR="00A34E95" w:rsidRPr="00A34E95" w:rsidRDefault="00A34E95" w:rsidP="00A34E95">
      <w:pPr>
        <w:pStyle w:val="NormalWeb"/>
      </w:pPr>
      <w:r w:rsidRPr="00A34E95">
        <w:rPr>
          <w:color w:val="222222"/>
          <w:shd w:val="clear" w:color="auto" w:fill="FFFFFF"/>
        </w:rPr>
        <w:t xml:space="preserve">Paterson, R. R. M., &amp; Lima, N. (2010). How will climate change affect mycotoxins in </w:t>
      </w:r>
      <w:proofErr w:type="gramStart"/>
      <w:r w:rsidRPr="00A34E95">
        <w:rPr>
          <w:color w:val="222222"/>
          <w:shd w:val="clear" w:color="auto" w:fill="FFFFFF"/>
        </w:rPr>
        <w:t>food?.</w:t>
      </w:r>
      <w:proofErr w:type="gramEnd"/>
      <w:r w:rsidRPr="00A34E95">
        <w:rPr>
          <w:color w:val="222222"/>
          <w:shd w:val="clear" w:color="auto" w:fill="FFFFFF"/>
        </w:rPr>
        <w:t> </w:t>
      </w:r>
      <w:r w:rsidRPr="00A34E95">
        <w:rPr>
          <w:i/>
          <w:iCs/>
          <w:color w:val="222222"/>
          <w:shd w:val="clear" w:color="auto" w:fill="FFFFFF"/>
        </w:rPr>
        <w:t>Food research international</w:t>
      </w:r>
      <w:r w:rsidRPr="00A34E95">
        <w:rPr>
          <w:color w:val="222222"/>
          <w:shd w:val="clear" w:color="auto" w:fill="FFFFFF"/>
        </w:rPr>
        <w:t>, </w:t>
      </w:r>
      <w:r w:rsidRPr="00A34E95">
        <w:rPr>
          <w:i/>
          <w:iCs/>
          <w:color w:val="222222"/>
          <w:shd w:val="clear" w:color="auto" w:fill="FFFFFF"/>
        </w:rPr>
        <w:t>43</w:t>
      </w:r>
      <w:r w:rsidRPr="00A34E95">
        <w:rPr>
          <w:color w:val="222222"/>
          <w:shd w:val="clear" w:color="auto" w:fill="FFFFFF"/>
        </w:rPr>
        <w:t xml:space="preserve">(7), 1902-1914. </w:t>
      </w:r>
      <w:hyperlink r:id="rId29" w:history="1">
        <w:r w:rsidRPr="00A34E95">
          <w:rPr>
            <w:rStyle w:val="Hyperlink"/>
          </w:rPr>
          <w:t>https://doi.org/10.1016/j.foodres.2009.07.010</w:t>
        </w:r>
      </w:hyperlink>
      <w:r w:rsidRPr="00A34E95">
        <w:t xml:space="preserve"> </w:t>
      </w:r>
    </w:p>
    <w:p w:rsidR="00A34E95" w:rsidRPr="00A34E95" w:rsidRDefault="00A34E95" w:rsidP="00A34E95">
      <w:pPr>
        <w:pStyle w:val="NormalWeb"/>
      </w:pPr>
      <w:r w:rsidRPr="00A34E95">
        <w:rPr>
          <w:color w:val="222222"/>
          <w:shd w:val="clear" w:color="auto" w:fill="FFFFFF"/>
        </w:rPr>
        <w:t xml:space="preserve">Tirado, M. C., Clarke, R., </w:t>
      </w:r>
      <w:proofErr w:type="spellStart"/>
      <w:r w:rsidRPr="00A34E95">
        <w:rPr>
          <w:color w:val="222222"/>
          <w:shd w:val="clear" w:color="auto" w:fill="FFFFFF"/>
        </w:rPr>
        <w:t>Jaykus</w:t>
      </w:r>
      <w:proofErr w:type="spellEnd"/>
      <w:r w:rsidRPr="00A34E95">
        <w:rPr>
          <w:color w:val="222222"/>
          <w:shd w:val="clear" w:color="auto" w:fill="FFFFFF"/>
        </w:rPr>
        <w:t xml:space="preserve">, L. A., </w:t>
      </w:r>
      <w:proofErr w:type="spellStart"/>
      <w:r w:rsidRPr="00A34E95">
        <w:rPr>
          <w:color w:val="222222"/>
          <w:shd w:val="clear" w:color="auto" w:fill="FFFFFF"/>
        </w:rPr>
        <w:t>McQuatters-Gollop</w:t>
      </w:r>
      <w:proofErr w:type="spellEnd"/>
      <w:r w:rsidRPr="00A34E95">
        <w:rPr>
          <w:color w:val="222222"/>
          <w:shd w:val="clear" w:color="auto" w:fill="FFFFFF"/>
        </w:rPr>
        <w:t>, A., &amp; Frank, J. M. (2010). Climate change and food safety: A review. </w:t>
      </w:r>
      <w:r w:rsidRPr="00A34E95">
        <w:rPr>
          <w:i/>
          <w:iCs/>
          <w:color w:val="222222"/>
          <w:shd w:val="clear" w:color="auto" w:fill="FFFFFF"/>
        </w:rPr>
        <w:t>Food research international</w:t>
      </w:r>
      <w:r w:rsidRPr="00A34E95">
        <w:rPr>
          <w:color w:val="222222"/>
          <w:shd w:val="clear" w:color="auto" w:fill="FFFFFF"/>
        </w:rPr>
        <w:t>, </w:t>
      </w:r>
      <w:r w:rsidRPr="00A34E95">
        <w:rPr>
          <w:i/>
          <w:iCs/>
          <w:color w:val="222222"/>
          <w:shd w:val="clear" w:color="auto" w:fill="FFFFFF"/>
        </w:rPr>
        <w:t>43</w:t>
      </w:r>
      <w:r w:rsidRPr="00A34E95">
        <w:rPr>
          <w:color w:val="222222"/>
          <w:shd w:val="clear" w:color="auto" w:fill="FFFFFF"/>
        </w:rPr>
        <w:t xml:space="preserve">(7), 1745-1765. </w:t>
      </w:r>
      <w:r w:rsidRPr="00A34E95">
        <w:t>https://doi.org/10.1016/j.foodres.2010.07.003</w:t>
      </w:r>
    </w:p>
    <w:p w:rsidR="00A34E95" w:rsidRPr="00A34E95" w:rsidRDefault="00A34E95" w:rsidP="00A34E95">
      <w:pPr>
        <w:pStyle w:val="NormalWeb"/>
      </w:pPr>
      <w:r w:rsidRPr="00A34E95">
        <w:rPr>
          <w:color w:val="222222"/>
          <w:shd w:val="clear" w:color="auto" w:fill="FFFFFF"/>
        </w:rPr>
        <w:t>Van der Fels-</w:t>
      </w:r>
      <w:proofErr w:type="spellStart"/>
      <w:r w:rsidRPr="00A34E95">
        <w:rPr>
          <w:color w:val="222222"/>
          <w:shd w:val="clear" w:color="auto" w:fill="FFFFFF"/>
        </w:rPr>
        <w:t>Klerx</w:t>
      </w:r>
      <w:proofErr w:type="spellEnd"/>
      <w:r w:rsidRPr="00A34E95">
        <w:rPr>
          <w:color w:val="222222"/>
          <w:shd w:val="clear" w:color="auto" w:fill="FFFFFF"/>
        </w:rPr>
        <w:t xml:space="preserve">, H. J., Liu, C., &amp; </w:t>
      </w:r>
      <w:proofErr w:type="spellStart"/>
      <w:r w:rsidRPr="00A34E95">
        <w:rPr>
          <w:color w:val="222222"/>
          <w:shd w:val="clear" w:color="auto" w:fill="FFFFFF"/>
        </w:rPr>
        <w:t>Battilani</w:t>
      </w:r>
      <w:proofErr w:type="spellEnd"/>
      <w:r w:rsidRPr="00A34E95">
        <w:rPr>
          <w:color w:val="222222"/>
          <w:shd w:val="clear" w:color="auto" w:fill="FFFFFF"/>
        </w:rPr>
        <w:t>, P. (2016). Modelling climate change impacts on mycotoxin contamination. </w:t>
      </w:r>
      <w:r w:rsidRPr="00A34E95">
        <w:rPr>
          <w:i/>
          <w:iCs/>
          <w:color w:val="222222"/>
          <w:shd w:val="clear" w:color="auto" w:fill="FFFFFF"/>
        </w:rPr>
        <w:t>World Mycotoxin Journal</w:t>
      </w:r>
      <w:r w:rsidRPr="00A34E95">
        <w:rPr>
          <w:color w:val="222222"/>
          <w:shd w:val="clear" w:color="auto" w:fill="FFFFFF"/>
        </w:rPr>
        <w:t>, </w:t>
      </w:r>
      <w:r w:rsidRPr="00A34E95">
        <w:rPr>
          <w:i/>
          <w:iCs/>
          <w:color w:val="222222"/>
          <w:shd w:val="clear" w:color="auto" w:fill="FFFFFF"/>
        </w:rPr>
        <w:t>9</w:t>
      </w:r>
      <w:r w:rsidRPr="00A34E95">
        <w:rPr>
          <w:color w:val="222222"/>
          <w:shd w:val="clear" w:color="auto" w:fill="FFFFFF"/>
        </w:rPr>
        <w:t xml:space="preserve">(5), 717-726. </w:t>
      </w:r>
      <w:hyperlink r:id="rId30" w:history="1">
        <w:r w:rsidRPr="00A34E95">
          <w:rPr>
            <w:rStyle w:val="Hyperlink"/>
          </w:rPr>
          <w:t>https://doi.org/10.3920/WMJ2016.2066</w:t>
        </w:r>
      </w:hyperlink>
      <w:r w:rsidRPr="00A34E95">
        <w:t xml:space="preserve"> </w:t>
      </w:r>
    </w:p>
    <w:p w:rsidR="00A34E95" w:rsidRPr="00A34E95" w:rsidRDefault="00A34E95" w:rsidP="00A34E95">
      <w:pPr>
        <w:pStyle w:val="NormalWeb"/>
      </w:pPr>
      <w:r w:rsidRPr="00A34E95">
        <w:rPr>
          <w:color w:val="212121"/>
          <w:shd w:val="clear" w:color="auto" w:fill="FFFFFF"/>
        </w:rPr>
        <w:t>Van der Fels-</w:t>
      </w:r>
      <w:proofErr w:type="spellStart"/>
      <w:r w:rsidRPr="00A34E95">
        <w:rPr>
          <w:color w:val="212121"/>
          <w:shd w:val="clear" w:color="auto" w:fill="FFFFFF"/>
        </w:rPr>
        <w:t>Klerx</w:t>
      </w:r>
      <w:proofErr w:type="spellEnd"/>
      <w:r w:rsidRPr="00A34E95">
        <w:rPr>
          <w:color w:val="212121"/>
          <w:shd w:val="clear" w:color="auto" w:fill="FFFFFF"/>
        </w:rPr>
        <w:t>, H. J., van Asselt, E. D., Madsen, M. S., &amp; Olesen, J. E. (2013). Impact of climate change effects on contamination of cereal grains with deoxynivalenol. </w:t>
      </w:r>
      <w:proofErr w:type="spellStart"/>
      <w:r w:rsidRPr="00A34E95">
        <w:rPr>
          <w:i/>
          <w:iCs/>
          <w:color w:val="212121"/>
          <w:shd w:val="clear" w:color="auto" w:fill="FFFFFF"/>
        </w:rPr>
        <w:t>PloS</w:t>
      </w:r>
      <w:proofErr w:type="spellEnd"/>
      <w:r w:rsidRPr="00A34E95">
        <w:rPr>
          <w:i/>
          <w:iCs/>
          <w:color w:val="212121"/>
          <w:shd w:val="clear" w:color="auto" w:fill="FFFFFF"/>
        </w:rPr>
        <w:t xml:space="preserve"> one</w:t>
      </w:r>
      <w:r w:rsidRPr="00A34E95">
        <w:rPr>
          <w:color w:val="212121"/>
          <w:shd w:val="clear" w:color="auto" w:fill="FFFFFF"/>
        </w:rPr>
        <w:t>, </w:t>
      </w:r>
      <w:r w:rsidRPr="00A34E95">
        <w:rPr>
          <w:i/>
          <w:iCs/>
          <w:color w:val="212121"/>
          <w:shd w:val="clear" w:color="auto" w:fill="FFFFFF"/>
        </w:rPr>
        <w:t>8</w:t>
      </w:r>
      <w:r w:rsidRPr="00A34E95">
        <w:rPr>
          <w:color w:val="212121"/>
          <w:shd w:val="clear" w:color="auto" w:fill="FFFFFF"/>
        </w:rPr>
        <w:t xml:space="preserve">(9), e73602. </w:t>
      </w:r>
      <w:hyperlink r:id="rId31" w:history="1">
        <w:r w:rsidRPr="00A34E95">
          <w:rPr>
            <w:rStyle w:val="Hyperlink"/>
            <w:shd w:val="clear" w:color="auto" w:fill="FFFFFF"/>
          </w:rPr>
          <w:t>https://doi.org/10.1371/journal.pone.0073602</w:t>
        </w:r>
      </w:hyperlink>
      <w:r w:rsidRPr="00A34E95">
        <w:rPr>
          <w:color w:val="212121"/>
          <w:shd w:val="clear" w:color="auto" w:fill="FFFFFF"/>
        </w:rPr>
        <w:t xml:space="preserve"> </w:t>
      </w:r>
    </w:p>
    <w:p w:rsidR="00A34E95" w:rsidRPr="00A34E95" w:rsidRDefault="00A34E95" w:rsidP="00A34E95">
      <w:pPr>
        <w:pStyle w:val="NormalWeb"/>
      </w:pPr>
      <w:r w:rsidRPr="00A34E95">
        <w:rPr>
          <w:color w:val="212121"/>
          <w:shd w:val="clear" w:color="auto" w:fill="FFFFFF"/>
        </w:rPr>
        <w:t xml:space="preserve">Vaughan, M. M., Huffaker, A., </w:t>
      </w:r>
      <w:proofErr w:type="spellStart"/>
      <w:r w:rsidRPr="00A34E95">
        <w:rPr>
          <w:color w:val="212121"/>
          <w:shd w:val="clear" w:color="auto" w:fill="FFFFFF"/>
        </w:rPr>
        <w:t>Schmelz</w:t>
      </w:r>
      <w:proofErr w:type="spellEnd"/>
      <w:r w:rsidRPr="00A34E95">
        <w:rPr>
          <w:color w:val="212121"/>
          <w:shd w:val="clear" w:color="auto" w:fill="FFFFFF"/>
        </w:rPr>
        <w:t xml:space="preserve">, E. A., Dafoe, N. J., Christensen, S. A., </w:t>
      </w:r>
      <w:proofErr w:type="spellStart"/>
      <w:r w:rsidRPr="00A34E95">
        <w:rPr>
          <w:color w:val="212121"/>
          <w:shd w:val="clear" w:color="auto" w:fill="FFFFFF"/>
        </w:rPr>
        <w:t>McAuslane</w:t>
      </w:r>
      <w:proofErr w:type="spellEnd"/>
      <w:r w:rsidRPr="00A34E95">
        <w:rPr>
          <w:color w:val="212121"/>
          <w:shd w:val="clear" w:color="auto" w:fill="FFFFFF"/>
        </w:rPr>
        <w:t xml:space="preserve">, H. J., </w:t>
      </w:r>
      <w:proofErr w:type="spellStart"/>
      <w:r w:rsidRPr="00A34E95">
        <w:rPr>
          <w:color w:val="212121"/>
          <w:shd w:val="clear" w:color="auto" w:fill="FFFFFF"/>
        </w:rPr>
        <w:t>Alborn</w:t>
      </w:r>
      <w:proofErr w:type="spellEnd"/>
      <w:r w:rsidRPr="00A34E95">
        <w:rPr>
          <w:color w:val="212121"/>
          <w:shd w:val="clear" w:color="auto" w:fill="FFFFFF"/>
        </w:rPr>
        <w:t>, H. T., Allen, L. H., &amp; Teal, P. E. (2016). Interactive Effects of Elevated [CO2] and Drought on the Maize Phytochemical Defense Response against Mycotoxigenic Fusarium verticillioides. </w:t>
      </w:r>
      <w:proofErr w:type="spellStart"/>
      <w:r w:rsidRPr="00A34E95">
        <w:rPr>
          <w:i/>
          <w:iCs/>
          <w:color w:val="212121"/>
          <w:shd w:val="clear" w:color="auto" w:fill="FFFFFF"/>
        </w:rPr>
        <w:t>PloS</w:t>
      </w:r>
      <w:proofErr w:type="spellEnd"/>
      <w:r w:rsidRPr="00A34E95">
        <w:rPr>
          <w:i/>
          <w:iCs/>
          <w:color w:val="212121"/>
          <w:shd w:val="clear" w:color="auto" w:fill="FFFFFF"/>
        </w:rPr>
        <w:t xml:space="preserve"> one</w:t>
      </w:r>
      <w:r w:rsidRPr="00A34E95">
        <w:rPr>
          <w:color w:val="212121"/>
          <w:shd w:val="clear" w:color="auto" w:fill="FFFFFF"/>
        </w:rPr>
        <w:t>, </w:t>
      </w:r>
      <w:r w:rsidRPr="00A34E95">
        <w:rPr>
          <w:i/>
          <w:iCs/>
          <w:color w:val="212121"/>
          <w:shd w:val="clear" w:color="auto" w:fill="FFFFFF"/>
        </w:rPr>
        <w:t>11</w:t>
      </w:r>
      <w:r w:rsidRPr="00A34E95">
        <w:rPr>
          <w:color w:val="212121"/>
          <w:shd w:val="clear" w:color="auto" w:fill="FFFFFF"/>
        </w:rPr>
        <w:t xml:space="preserve">(7), e0159270. </w:t>
      </w:r>
      <w:hyperlink r:id="rId32" w:history="1">
        <w:r w:rsidRPr="00A34E95">
          <w:rPr>
            <w:rStyle w:val="Hyperlink"/>
            <w:shd w:val="clear" w:color="auto" w:fill="FFFFFF"/>
          </w:rPr>
          <w:t>https://doi.org/10.1371/journal.pone.0159270</w:t>
        </w:r>
      </w:hyperlink>
      <w:r w:rsidRPr="00A34E95">
        <w:rPr>
          <w:color w:val="212121"/>
          <w:shd w:val="clear" w:color="auto" w:fill="FFFFFF"/>
        </w:rPr>
        <w:t xml:space="preserve"> </w:t>
      </w:r>
    </w:p>
    <w:p w:rsidR="00A34E95" w:rsidRPr="00CD57AF" w:rsidRDefault="00A34E95" w:rsidP="00A34E95">
      <w:pPr>
        <w:pStyle w:val="NormalWeb"/>
      </w:pPr>
      <w:r w:rsidRPr="00A34E95">
        <w:rPr>
          <w:color w:val="212121"/>
          <w:shd w:val="clear" w:color="auto" w:fill="FFFFFF"/>
        </w:rPr>
        <w:t xml:space="preserve">Zhu, C., Kobayashi, K., </w:t>
      </w:r>
      <w:proofErr w:type="spellStart"/>
      <w:r w:rsidRPr="00A34E95">
        <w:rPr>
          <w:color w:val="212121"/>
          <w:shd w:val="clear" w:color="auto" w:fill="FFFFFF"/>
        </w:rPr>
        <w:t>Loladze</w:t>
      </w:r>
      <w:proofErr w:type="spellEnd"/>
      <w:r w:rsidRPr="00A34E95">
        <w:rPr>
          <w:color w:val="212121"/>
          <w:shd w:val="clear" w:color="auto" w:fill="FFFFFF"/>
        </w:rPr>
        <w:t xml:space="preserve">, I., Zhu, J., Jiang, Q., Xu, X., Liu, G., </w:t>
      </w:r>
      <w:proofErr w:type="spellStart"/>
      <w:r w:rsidRPr="00A34E95">
        <w:rPr>
          <w:color w:val="212121"/>
          <w:shd w:val="clear" w:color="auto" w:fill="FFFFFF"/>
        </w:rPr>
        <w:t>Seneweera</w:t>
      </w:r>
      <w:proofErr w:type="spellEnd"/>
      <w:r w:rsidRPr="00A34E95">
        <w:rPr>
          <w:color w:val="212121"/>
          <w:shd w:val="clear" w:color="auto" w:fill="FFFFFF"/>
        </w:rPr>
        <w:t xml:space="preserve">, S., </w:t>
      </w:r>
      <w:proofErr w:type="spellStart"/>
      <w:r w:rsidRPr="00A34E95">
        <w:rPr>
          <w:color w:val="212121"/>
          <w:shd w:val="clear" w:color="auto" w:fill="FFFFFF"/>
        </w:rPr>
        <w:t>Ebi</w:t>
      </w:r>
      <w:proofErr w:type="spellEnd"/>
      <w:r w:rsidRPr="00A34E95">
        <w:rPr>
          <w:color w:val="212121"/>
          <w:shd w:val="clear" w:color="auto" w:fill="FFFFFF"/>
        </w:rPr>
        <w:t xml:space="preserve">, K. L., </w:t>
      </w:r>
      <w:proofErr w:type="spellStart"/>
      <w:r w:rsidRPr="00A34E95">
        <w:rPr>
          <w:color w:val="212121"/>
          <w:shd w:val="clear" w:color="auto" w:fill="FFFFFF"/>
        </w:rPr>
        <w:t>Drewnowski</w:t>
      </w:r>
      <w:proofErr w:type="spellEnd"/>
      <w:r w:rsidRPr="00A34E95">
        <w:rPr>
          <w:color w:val="212121"/>
          <w:shd w:val="clear" w:color="auto" w:fill="FFFFFF"/>
        </w:rPr>
        <w:t xml:space="preserve">, A., </w:t>
      </w:r>
      <w:proofErr w:type="spellStart"/>
      <w:r w:rsidRPr="00A34E95">
        <w:rPr>
          <w:color w:val="212121"/>
          <w:shd w:val="clear" w:color="auto" w:fill="FFFFFF"/>
        </w:rPr>
        <w:t>Fukagawa</w:t>
      </w:r>
      <w:proofErr w:type="spellEnd"/>
      <w:r w:rsidRPr="00A34E95">
        <w:rPr>
          <w:color w:val="212121"/>
          <w:shd w:val="clear" w:color="auto" w:fill="FFFFFF"/>
        </w:rPr>
        <w:t>, N. K., &amp; Ziska, L. H. (2018). Carbon dioxide (CO</w:t>
      </w:r>
      <w:r w:rsidRPr="00A34E95">
        <w:rPr>
          <w:color w:val="212121"/>
          <w:shd w:val="clear" w:color="auto" w:fill="FFFFFF"/>
          <w:vertAlign w:val="subscript"/>
        </w:rPr>
        <w:t>2</w:t>
      </w:r>
      <w:r w:rsidRPr="00A34E95">
        <w:rPr>
          <w:color w:val="212121"/>
          <w:shd w:val="clear" w:color="auto" w:fill="FFFFFF"/>
        </w:rPr>
        <w:t>) levels this century will alter the protein, micronutrients, and vitamin content of rice grains with potential health consequences for the poorest rice-dependent countries. </w:t>
      </w:r>
      <w:r w:rsidRPr="00A34E95">
        <w:rPr>
          <w:i/>
          <w:iCs/>
          <w:color w:val="212121"/>
          <w:shd w:val="clear" w:color="auto" w:fill="FFFFFF"/>
        </w:rPr>
        <w:t>Science advances</w:t>
      </w:r>
      <w:r w:rsidRPr="00A34E95">
        <w:rPr>
          <w:color w:val="212121"/>
          <w:shd w:val="clear" w:color="auto" w:fill="FFFFFF"/>
        </w:rPr>
        <w:t>, </w:t>
      </w:r>
      <w:r w:rsidRPr="00A34E95">
        <w:rPr>
          <w:i/>
          <w:iCs/>
          <w:color w:val="212121"/>
          <w:shd w:val="clear" w:color="auto" w:fill="FFFFFF"/>
        </w:rPr>
        <w:t>4</w:t>
      </w:r>
      <w:r w:rsidRPr="00A34E95">
        <w:rPr>
          <w:color w:val="212121"/>
          <w:shd w:val="clear" w:color="auto" w:fill="FFFFFF"/>
        </w:rPr>
        <w:t xml:space="preserve">(5), eaaq1012. </w:t>
      </w:r>
      <w:hyperlink r:id="rId33" w:history="1">
        <w:r w:rsidRPr="00A34E95">
          <w:rPr>
            <w:rStyle w:val="Hyperlink"/>
            <w:shd w:val="clear" w:color="auto" w:fill="FFFFFF"/>
          </w:rPr>
          <w:t>https://doi.org/10.1126/sciadv.aaq1012</w:t>
        </w:r>
      </w:hyperlink>
      <w:r w:rsidRPr="00A34E95">
        <w:rPr>
          <w:color w:val="212121"/>
          <w:shd w:val="clear" w:color="auto" w:fill="FFFFFF"/>
        </w:rPr>
        <w:t xml:space="preserve"> </w:t>
      </w:r>
    </w:p>
    <w:sectPr w:rsidR="00A34E95" w:rsidRPr="00CD57AF" w:rsidSect="00CB6EB6">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32E" w:rsidRDefault="007F032E" w:rsidP="00526271">
      <w:pPr>
        <w:spacing w:after="0" w:line="240" w:lineRule="auto"/>
      </w:pPr>
      <w:r>
        <w:separator/>
      </w:r>
    </w:p>
  </w:endnote>
  <w:endnote w:type="continuationSeparator" w:id="0">
    <w:p w:rsidR="007F032E" w:rsidRDefault="007F032E" w:rsidP="0052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71" w:rsidRDefault="00526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71" w:rsidRDefault="00526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71" w:rsidRDefault="00526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32E" w:rsidRDefault="007F032E" w:rsidP="00526271">
      <w:pPr>
        <w:spacing w:after="0" w:line="240" w:lineRule="auto"/>
      </w:pPr>
      <w:r>
        <w:separator/>
      </w:r>
    </w:p>
  </w:footnote>
  <w:footnote w:type="continuationSeparator" w:id="0">
    <w:p w:rsidR="007F032E" w:rsidRDefault="007F032E" w:rsidP="0052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71" w:rsidRDefault="005262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71" w:rsidRDefault="005262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271" w:rsidRDefault="005262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03EFF"/>
    <w:rsid w:val="0022042D"/>
    <w:rsid w:val="002216D7"/>
    <w:rsid w:val="002312EA"/>
    <w:rsid w:val="0024324D"/>
    <w:rsid w:val="00246BC3"/>
    <w:rsid w:val="00257AC1"/>
    <w:rsid w:val="00260455"/>
    <w:rsid w:val="00260B1D"/>
    <w:rsid w:val="002673C8"/>
    <w:rsid w:val="00267B17"/>
    <w:rsid w:val="00271A26"/>
    <w:rsid w:val="002778DD"/>
    <w:rsid w:val="00284F1F"/>
    <w:rsid w:val="0029252A"/>
    <w:rsid w:val="00294D81"/>
    <w:rsid w:val="002A01F2"/>
    <w:rsid w:val="002A27A8"/>
    <w:rsid w:val="002A4C47"/>
    <w:rsid w:val="002B76E6"/>
    <w:rsid w:val="002C0DF9"/>
    <w:rsid w:val="002C48BB"/>
    <w:rsid w:val="002D0FD7"/>
    <w:rsid w:val="002D6FFA"/>
    <w:rsid w:val="002E0776"/>
    <w:rsid w:val="002E404D"/>
    <w:rsid w:val="002F0434"/>
    <w:rsid w:val="002F3625"/>
    <w:rsid w:val="002F3AC7"/>
    <w:rsid w:val="002F4C0C"/>
    <w:rsid w:val="00307595"/>
    <w:rsid w:val="0031286E"/>
    <w:rsid w:val="00316D75"/>
    <w:rsid w:val="00317E7E"/>
    <w:rsid w:val="00324164"/>
    <w:rsid w:val="00332243"/>
    <w:rsid w:val="0033735F"/>
    <w:rsid w:val="00343C0B"/>
    <w:rsid w:val="0035701C"/>
    <w:rsid w:val="003664CE"/>
    <w:rsid w:val="003740DE"/>
    <w:rsid w:val="003909C0"/>
    <w:rsid w:val="00391BB6"/>
    <w:rsid w:val="003975AE"/>
    <w:rsid w:val="003A104D"/>
    <w:rsid w:val="003A4787"/>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4B0A"/>
    <w:rsid w:val="00443B5D"/>
    <w:rsid w:val="00445A92"/>
    <w:rsid w:val="00450568"/>
    <w:rsid w:val="0045531D"/>
    <w:rsid w:val="00456E20"/>
    <w:rsid w:val="004615AF"/>
    <w:rsid w:val="00462739"/>
    <w:rsid w:val="00463D85"/>
    <w:rsid w:val="00471027"/>
    <w:rsid w:val="004711B7"/>
    <w:rsid w:val="004A16BD"/>
    <w:rsid w:val="004A508F"/>
    <w:rsid w:val="004A5427"/>
    <w:rsid w:val="004A586B"/>
    <w:rsid w:val="004A7955"/>
    <w:rsid w:val="004B02DF"/>
    <w:rsid w:val="004C1A63"/>
    <w:rsid w:val="004C421D"/>
    <w:rsid w:val="004C6306"/>
    <w:rsid w:val="004C7547"/>
    <w:rsid w:val="004D7170"/>
    <w:rsid w:val="004E1999"/>
    <w:rsid w:val="004E7311"/>
    <w:rsid w:val="004F07D5"/>
    <w:rsid w:val="004F2BB5"/>
    <w:rsid w:val="004F5E1D"/>
    <w:rsid w:val="004F7DFC"/>
    <w:rsid w:val="00505FA4"/>
    <w:rsid w:val="00516AA1"/>
    <w:rsid w:val="00523936"/>
    <w:rsid w:val="0052448D"/>
    <w:rsid w:val="00526271"/>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FC2"/>
    <w:rsid w:val="006F708E"/>
    <w:rsid w:val="00705A87"/>
    <w:rsid w:val="00711B14"/>
    <w:rsid w:val="00713825"/>
    <w:rsid w:val="00720F41"/>
    <w:rsid w:val="00721966"/>
    <w:rsid w:val="00737A32"/>
    <w:rsid w:val="007434EA"/>
    <w:rsid w:val="00755BDC"/>
    <w:rsid w:val="00761CB6"/>
    <w:rsid w:val="00773599"/>
    <w:rsid w:val="00774395"/>
    <w:rsid w:val="0077761A"/>
    <w:rsid w:val="0078275D"/>
    <w:rsid w:val="00783E9E"/>
    <w:rsid w:val="00786C67"/>
    <w:rsid w:val="00796571"/>
    <w:rsid w:val="007A25E7"/>
    <w:rsid w:val="007A5BAB"/>
    <w:rsid w:val="007B0E74"/>
    <w:rsid w:val="007B437D"/>
    <w:rsid w:val="007C5F8A"/>
    <w:rsid w:val="007C7951"/>
    <w:rsid w:val="007D03BC"/>
    <w:rsid w:val="007D38FC"/>
    <w:rsid w:val="007D6740"/>
    <w:rsid w:val="007E249F"/>
    <w:rsid w:val="007F032E"/>
    <w:rsid w:val="007F1928"/>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D0444"/>
    <w:rsid w:val="008E71C6"/>
    <w:rsid w:val="008F3850"/>
    <w:rsid w:val="00904403"/>
    <w:rsid w:val="00916DED"/>
    <w:rsid w:val="00921557"/>
    <w:rsid w:val="00925CAF"/>
    <w:rsid w:val="00926AE1"/>
    <w:rsid w:val="009302A6"/>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1605B"/>
    <w:rsid w:val="00A2270F"/>
    <w:rsid w:val="00A22B39"/>
    <w:rsid w:val="00A23EB8"/>
    <w:rsid w:val="00A24B38"/>
    <w:rsid w:val="00A27BF4"/>
    <w:rsid w:val="00A32ED4"/>
    <w:rsid w:val="00A34E95"/>
    <w:rsid w:val="00A35A95"/>
    <w:rsid w:val="00A4069A"/>
    <w:rsid w:val="00A43928"/>
    <w:rsid w:val="00A478B2"/>
    <w:rsid w:val="00A50845"/>
    <w:rsid w:val="00A5299F"/>
    <w:rsid w:val="00A54719"/>
    <w:rsid w:val="00A57A87"/>
    <w:rsid w:val="00A62C46"/>
    <w:rsid w:val="00A64590"/>
    <w:rsid w:val="00A66C70"/>
    <w:rsid w:val="00A7055A"/>
    <w:rsid w:val="00A83053"/>
    <w:rsid w:val="00A8506E"/>
    <w:rsid w:val="00A94050"/>
    <w:rsid w:val="00A95D31"/>
    <w:rsid w:val="00A97AEF"/>
    <w:rsid w:val="00AA06F7"/>
    <w:rsid w:val="00AA2B64"/>
    <w:rsid w:val="00AA4644"/>
    <w:rsid w:val="00AA4B35"/>
    <w:rsid w:val="00AB0C7A"/>
    <w:rsid w:val="00AB1103"/>
    <w:rsid w:val="00AB632D"/>
    <w:rsid w:val="00AD7B8B"/>
    <w:rsid w:val="00AE13A7"/>
    <w:rsid w:val="00AE651D"/>
    <w:rsid w:val="00AE79C2"/>
    <w:rsid w:val="00AE7CA1"/>
    <w:rsid w:val="00AF279A"/>
    <w:rsid w:val="00AF7425"/>
    <w:rsid w:val="00B06888"/>
    <w:rsid w:val="00B1065D"/>
    <w:rsid w:val="00B451DB"/>
    <w:rsid w:val="00B567DD"/>
    <w:rsid w:val="00B6043D"/>
    <w:rsid w:val="00B74506"/>
    <w:rsid w:val="00B81562"/>
    <w:rsid w:val="00B84C19"/>
    <w:rsid w:val="00B928B4"/>
    <w:rsid w:val="00BA3C57"/>
    <w:rsid w:val="00BB0BE1"/>
    <w:rsid w:val="00BB4C3B"/>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2B29"/>
    <w:rsid w:val="00C13468"/>
    <w:rsid w:val="00C26094"/>
    <w:rsid w:val="00C27740"/>
    <w:rsid w:val="00C3420C"/>
    <w:rsid w:val="00C40318"/>
    <w:rsid w:val="00C404E0"/>
    <w:rsid w:val="00C41073"/>
    <w:rsid w:val="00C41BA6"/>
    <w:rsid w:val="00C47A2A"/>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F3244"/>
    <w:rsid w:val="00D055EE"/>
    <w:rsid w:val="00D07932"/>
    <w:rsid w:val="00D1176E"/>
    <w:rsid w:val="00D2322A"/>
    <w:rsid w:val="00D261CC"/>
    <w:rsid w:val="00D370EF"/>
    <w:rsid w:val="00D40796"/>
    <w:rsid w:val="00D63323"/>
    <w:rsid w:val="00D66880"/>
    <w:rsid w:val="00D71250"/>
    <w:rsid w:val="00D75C9D"/>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6C81"/>
    <w:rsid w:val="00E20962"/>
    <w:rsid w:val="00E22310"/>
    <w:rsid w:val="00E22408"/>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E50CC"/>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6EE049A-73B4-4F61-A987-BC6785AC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526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271"/>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526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271"/>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rep24328" TargetMode="External"/><Relationship Id="rId18" Type="http://schemas.openxmlformats.org/officeDocument/2006/relationships/hyperlink" Target="https://doi.org/10.3390/toxins13040276" TargetMode="External"/><Relationship Id="rId26" Type="http://schemas.openxmlformats.org/officeDocument/2006/relationships/hyperlink" Target="https://doi.org/10.1093/fqsafe/fyx027" TargetMode="External"/><Relationship Id="rId39" Type="http://schemas.openxmlformats.org/officeDocument/2006/relationships/footer" Target="footer3.xml"/><Relationship Id="rId21" Type="http://schemas.openxmlformats.org/officeDocument/2006/relationships/hyperlink" Target="https://doi.org/10.1111/j.1365-3059.2010.02412.x"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ijfoodmicro.2007.07.060" TargetMode="External"/><Relationship Id="rId20" Type="http://schemas.openxmlformats.org/officeDocument/2006/relationships/hyperlink" Target="https://doi.org/10.7554/eLife.02245" TargetMode="External"/><Relationship Id="rId29" Type="http://schemas.openxmlformats.org/officeDocument/2006/relationships/hyperlink" Target="https://doi.org/10.1016/j.foodres.2009.07.01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nclimate1628" TargetMode="External"/><Relationship Id="rId24" Type="http://schemas.openxmlformats.org/officeDocument/2006/relationships/hyperlink" Target="https://doi.org/10.1016/j.cofs.2015.11.002" TargetMode="External"/><Relationship Id="rId32" Type="http://schemas.openxmlformats.org/officeDocument/2006/relationships/hyperlink" Target="https://doi.org/10.1371/journal.pone.015927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1541-4337.13323" TargetMode="External"/><Relationship Id="rId23" Type="http://schemas.openxmlformats.org/officeDocument/2006/relationships/hyperlink" Target="https://doi.org/10.1016/j.fbr.2017.04.002" TargetMode="External"/><Relationship Id="rId28" Type="http://schemas.openxmlformats.org/officeDocument/2006/relationships/hyperlink" Target="https://doi.org/10.1007/s00248-012-0159-y" TargetMode="External"/><Relationship Id="rId36" Type="http://schemas.openxmlformats.org/officeDocument/2006/relationships/footer" Target="footer1.xml"/><Relationship Id="rId10" Type="http://schemas.openxmlformats.org/officeDocument/2006/relationships/hyperlink" Target="https://doi.org/10.3390/toxins13060385" TargetMode="External"/><Relationship Id="rId19" Type="http://schemas.openxmlformats.org/officeDocument/2006/relationships/hyperlink" Target="https://doi.org/10.1016/j.ijfoodmicro.2025.111250" TargetMode="External"/><Relationship Id="rId31" Type="http://schemas.openxmlformats.org/officeDocument/2006/relationships/hyperlink" Target="https://doi.org/10.1371/journal.pone.0073602" TargetMode="External"/><Relationship Id="rId4" Type="http://schemas.openxmlformats.org/officeDocument/2006/relationships/settings" Target="settings.xml"/><Relationship Id="rId9" Type="http://schemas.openxmlformats.org/officeDocument/2006/relationships/hyperlink" Target="https://doi.org/10.3390/microorganisms10010049" TargetMode="External"/><Relationship Id="rId14" Type="http://schemas.openxmlformats.org/officeDocument/2006/relationships/hyperlink" Target="https://doi.org/10.1007/s12550-017-0281-2" TargetMode="External"/><Relationship Id="rId22" Type="http://schemas.openxmlformats.org/officeDocument/2006/relationships/hyperlink" Target="https://doi.org/10.1016/j.foodres.2010.04.001" TargetMode="External"/><Relationship Id="rId27" Type="http://schemas.openxmlformats.org/officeDocument/2006/relationships/hyperlink" Target="https://doi.org/10.1016/j.envint.2009.02.006" TargetMode="External"/><Relationship Id="rId30" Type="http://schemas.openxmlformats.org/officeDocument/2006/relationships/hyperlink" Target="https://doi.org/10.3920/WMJ2016.2066" TargetMode="External"/><Relationship Id="rId35" Type="http://schemas.openxmlformats.org/officeDocument/2006/relationships/header" Target="header2.xml"/><Relationship Id="rId8" Type="http://schemas.openxmlformats.org/officeDocument/2006/relationships/hyperlink" Target="https://doi.org/10.1016/j.sjbs.2020.11.088" TargetMode="External"/><Relationship Id="rId3" Type="http://schemas.openxmlformats.org/officeDocument/2006/relationships/styles" Target="styles.xml"/><Relationship Id="rId12" Type="http://schemas.openxmlformats.org/officeDocument/2006/relationships/hyperlink" Target="https://doi.org/10.1016/j.tim.2016.09.008" TargetMode="External"/><Relationship Id="rId17" Type="http://schemas.openxmlformats.org/officeDocument/2006/relationships/hyperlink" Target="https://doi.org/10.1016/j.foodres.2014.09.030" TargetMode="External"/><Relationship Id="rId25" Type="http://schemas.openxmlformats.org/officeDocument/2006/relationships/hyperlink" Target="https://doi.org/10.1016/j.fct.2009.02.005" TargetMode="External"/><Relationship Id="rId33" Type="http://schemas.openxmlformats.org/officeDocument/2006/relationships/hyperlink" Target="https://doi.org/10.1126/sciadv.aaq1012"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F2C81-2EC8-4E68-BCD2-8D06E3A0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10141</TotalTime>
  <Pages>19</Pages>
  <Words>10137</Words>
  <Characters>57784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125</cp:revision>
  <cp:lastPrinted>2025-12-13T07:14:00Z</cp:lastPrinted>
  <dcterms:created xsi:type="dcterms:W3CDTF">2025-09-24T12:44:00Z</dcterms:created>
  <dcterms:modified xsi:type="dcterms:W3CDTF">2026-02-19T12:28:00Z</dcterms:modified>
</cp:coreProperties>
</file>