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1ED5E" w14:textId="77777777" w:rsidR="0047482B" w:rsidRPr="00196C97" w:rsidRDefault="00087D01" w:rsidP="0083612A">
      <w:pPr>
        <w:spacing w:after="0"/>
        <w:jc w:val="right"/>
        <w:rPr>
          <w:rFonts w:ascii="Arial" w:hAnsi="Arial" w:cs="Arial"/>
          <w:b/>
          <w:sz w:val="32"/>
          <w:szCs w:val="32"/>
          <w:lang w:val="en-US"/>
        </w:rPr>
      </w:pPr>
      <w:r>
        <w:rPr>
          <w:rFonts w:ascii="Arial" w:hAnsi="Arial" w:cs="Arial"/>
          <w:b/>
          <w:sz w:val="32"/>
          <w:szCs w:val="32"/>
          <w:lang w:val="en-US"/>
        </w:rPr>
        <w:t>A study on Growth and Trend A</w:t>
      </w:r>
      <w:r w:rsidR="0047482B">
        <w:rPr>
          <w:rFonts w:ascii="Arial" w:hAnsi="Arial" w:cs="Arial"/>
          <w:b/>
          <w:sz w:val="32"/>
          <w:szCs w:val="32"/>
          <w:lang w:val="en-US"/>
        </w:rPr>
        <w:t xml:space="preserve">nalysis of </w:t>
      </w:r>
      <w:r w:rsidR="00B13519">
        <w:rPr>
          <w:rFonts w:ascii="Arial" w:hAnsi="Arial" w:cs="Arial"/>
          <w:b/>
          <w:sz w:val="32"/>
          <w:szCs w:val="32"/>
          <w:lang w:val="en-US"/>
        </w:rPr>
        <w:t xml:space="preserve">Maize </w:t>
      </w:r>
      <w:r w:rsidR="0047482B">
        <w:rPr>
          <w:rFonts w:ascii="Arial" w:hAnsi="Arial" w:cs="Arial"/>
          <w:b/>
          <w:sz w:val="32"/>
          <w:szCs w:val="32"/>
          <w:lang w:val="en-US"/>
        </w:rPr>
        <w:t xml:space="preserve">Production in </w:t>
      </w:r>
      <w:r w:rsidR="00B13519">
        <w:rPr>
          <w:rFonts w:ascii="Arial" w:hAnsi="Arial" w:cs="Arial"/>
          <w:b/>
          <w:sz w:val="32"/>
          <w:szCs w:val="32"/>
          <w:lang w:val="en-US"/>
        </w:rPr>
        <w:t>Madhya</w:t>
      </w:r>
      <w:r w:rsidR="00C656C7">
        <w:rPr>
          <w:rFonts w:ascii="Arial" w:hAnsi="Arial" w:cs="Arial"/>
          <w:b/>
          <w:sz w:val="32"/>
          <w:szCs w:val="32"/>
          <w:lang w:val="en-US"/>
        </w:rPr>
        <w:t xml:space="preserve"> </w:t>
      </w:r>
      <w:r w:rsidR="00B13519">
        <w:rPr>
          <w:rFonts w:ascii="Arial" w:hAnsi="Arial" w:cs="Arial"/>
          <w:b/>
          <w:sz w:val="32"/>
          <w:szCs w:val="32"/>
          <w:lang w:val="en-US"/>
        </w:rPr>
        <w:t>Pradesh</w:t>
      </w:r>
    </w:p>
    <w:p w14:paraId="0836170A" w14:textId="5440D42F" w:rsidR="002B5545" w:rsidRDefault="002B5545" w:rsidP="008B45FD">
      <w:pPr>
        <w:spacing w:after="0"/>
        <w:jc w:val="right"/>
        <w:rPr>
          <w:rFonts w:ascii="Arial" w:hAnsi="Arial" w:cs="Arial"/>
          <w:sz w:val="24"/>
          <w:szCs w:val="24"/>
          <w:lang w:val="en-US"/>
        </w:rPr>
      </w:pPr>
    </w:p>
    <w:p w14:paraId="5618E936" w14:textId="77777777" w:rsidR="00D43714" w:rsidRPr="00196C97" w:rsidRDefault="00D43714" w:rsidP="008B45FD">
      <w:pPr>
        <w:spacing w:after="0"/>
        <w:jc w:val="right"/>
        <w:rPr>
          <w:rFonts w:ascii="Arial" w:hAnsi="Arial" w:cs="Arial"/>
          <w:sz w:val="24"/>
          <w:szCs w:val="24"/>
          <w:lang w:val="en-US"/>
        </w:rPr>
      </w:pPr>
    </w:p>
    <w:p w14:paraId="1E1E9587" w14:textId="77777777" w:rsidR="007E6425" w:rsidRDefault="007E6425" w:rsidP="002B5545">
      <w:pPr>
        <w:spacing w:after="0"/>
        <w:jc w:val="both"/>
        <w:rPr>
          <w:rFonts w:ascii="Times New Roman" w:hAnsi="Times New Roman" w:cs="Times New Roman"/>
          <w:b/>
          <w:sz w:val="24"/>
          <w:szCs w:val="24"/>
          <w:lang w:val="en-US"/>
        </w:rPr>
      </w:pPr>
    </w:p>
    <w:p w14:paraId="165B2D0B"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ABSTRACT</w:t>
      </w:r>
    </w:p>
    <w:p w14:paraId="42DBC009"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Maize (Zea mays L.) is a major cereal crop in India, playing a crucial role in food security, industrial raw material supply, and farmers livelihoods. Madhya Pradesh is one of the leading maize-producing states; however, productivity levels remain relatively low and production is subject to considerable variability. The present study examines the trends, growth, and variability in area, production, and productivity of maize in Madhya Pradesh over a period of 20 years from 2001–02 to 2020–21. The study is based on time-series secondary data collected from the Directorate of Economics and Statistics, Government of India. Analytical tools such as absolute and relative change, linear trend analysis, linear growth rate, and coefficient of variation were employed. The results revealed a substantial increase in maize area, production, and productivity during the study period. Maize production recorded the highest relative growth (159.33%), followed by area (64.06%) and productivity (58.97%). Trend analysis showed positive and highly significant growth rates for area (3.26%), production (8.31%), and productivity (2.87%), indicating consistent expansion of maize cultivation in the state. However, higher variability was observed in production and productivity, reflecting the influence of climatic fluctuations and dependence on rainfed agriculture. The study concludes that while expansion in cultivated area has been the major driver of maize production growth in Madhya Pradesh, future gains must increasingly rely on productivity enhancement through technological interventions, climate-resilient varieties, improved irrigation, and effective policy support to ensure sustainable growth and income stability for maize farmers.</w:t>
      </w:r>
    </w:p>
    <w:p w14:paraId="0362E63A" w14:textId="77777777" w:rsidR="006F1F4E" w:rsidRPr="006F1F4E" w:rsidRDefault="006F1F4E" w:rsidP="006F1F4E">
      <w:pPr>
        <w:spacing w:after="120" w:line="240" w:lineRule="auto"/>
        <w:jc w:val="both"/>
        <w:rPr>
          <w:rFonts w:ascii="Arial" w:eastAsia="Times New Roman" w:hAnsi="Arial" w:cs="Arial"/>
          <w:lang w:eastAsia="en-IN"/>
        </w:rPr>
      </w:pPr>
    </w:p>
    <w:p w14:paraId="0426E117"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Keywords: Maize, Decomposition, LGR (Linear Growth Rate), Growth, Trend, Interaction Effect.</w:t>
      </w:r>
    </w:p>
    <w:p w14:paraId="6295F4AA" w14:textId="77777777" w:rsidR="006F1F4E" w:rsidRPr="006F1F4E" w:rsidRDefault="006F1F4E" w:rsidP="006F1F4E">
      <w:pPr>
        <w:spacing w:after="120" w:line="240" w:lineRule="auto"/>
        <w:jc w:val="both"/>
        <w:rPr>
          <w:rFonts w:ascii="Arial" w:eastAsia="Times New Roman" w:hAnsi="Arial" w:cs="Arial"/>
          <w:lang w:eastAsia="en-IN"/>
        </w:rPr>
      </w:pPr>
    </w:p>
    <w:p w14:paraId="2DD7F846"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1. INTRODUCTION</w:t>
      </w:r>
    </w:p>
    <w:p w14:paraId="515C5917"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Maize (Zea mays L.) is one of the most versatile cereal crops, exhibiting wide adaptability across diverse </w:t>
      </w:r>
      <w:proofErr w:type="spellStart"/>
      <w:r w:rsidRPr="006F1F4E">
        <w:rPr>
          <w:rFonts w:ascii="Arial" w:eastAsia="Times New Roman" w:hAnsi="Arial" w:cs="Arial"/>
          <w:lang w:eastAsia="en-IN"/>
        </w:rPr>
        <w:t>agro</w:t>
      </w:r>
      <w:proofErr w:type="spellEnd"/>
      <w:r w:rsidRPr="006F1F4E">
        <w:rPr>
          <w:rFonts w:ascii="Arial" w:eastAsia="Times New Roman" w:hAnsi="Arial" w:cs="Arial"/>
          <w:lang w:eastAsia="en-IN"/>
        </w:rPr>
        <w:t>-climatic conditions. Globally, it ranks as the third most important cereal crop after rice and wheat. Due to its high productivity potential compared to other members of the Gramineae family, maize is often referred to as the “miracle crop” and the “Queen of Cereals” (Dwivedi et al., 2020). The crop is cultivated for multiple purposes, including grain, fodder, green cobs, sweet corn, baby corn, and popcorn, thereby supporting the livelihoods of millions of people worldwide. Due to its diverse end uses, maize is widely recognised as a 4F crop: Food, Feed, Fuel, and Fodder, which consequently plays a vital role in the global economy (Vijay et al., 2023). In India, maize is an important component of the agricultural system, engaging nearly 16 million farmers. Major maize-producing states, including Karnataka, Rajasthan, Madhya Pradesh, and Telangana, contribute substantially to the country’s total maize output (</w:t>
      </w:r>
      <w:proofErr w:type="spellStart"/>
      <w:r w:rsidRPr="006F1F4E">
        <w:rPr>
          <w:rFonts w:ascii="Arial" w:eastAsia="Times New Roman" w:hAnsi="Arial" w:cs="Arial"/>
          <w:lang w:eastAsia="en-IN"/>
        </w:rPr>
        <w:t>Maheshnath</w:t>
      </w:r>
      <w:proofErr w:type="spellEnd"/>
      <w:r w:rsidRPr="006F1F4E">
        <w:rPr>
          <w:rFonts w:ascii="Arial" w:eastAsia="Times New Roman" w:hAnsi="Arial" w:cs="Arial"/>
          <w:lang w:eastAsia="en-IN"/>
        </w:rPr>
        <w:t xml:space="preserve"> et al., 2024). Maize cultivation in India is largely influenced by </w:t>
      </w:r>
      <w:proofErr w:type="spellStart"/>
      <w:r w:rsidRPr="006F1F4E">
        <w:rPr>
          <w:rFonts w:ascii="Arial" w:eastAsia="Times New Roman" w:hAnsi="Arial" w:cs="Arial"/>
          <w:lang w:eastAsia="en-IN"/>
        </w:rPr>
        <w:t>agro</w:t>
      </w:r>
      <w:proofErr w:type="spellEnd"/>
      <w:r w:rsidRPr="006F1F4E">
        <w:rPr>
          <w:rFonts w:ascii="Arial" w:eastAsia="Times New Roman" w:hAnsi="Arial" w:cs="Arial"/>
          <w:lang w:eastAsia="en-IN"/>
        </w:rPr>
        <w:t>-climatic conditions, input availability, and market dynamics, making it a critical crop for both food security and rural livelihoods.</w:t>
      </w:r>
    </w:p>
    <w:p w14:paraId="5ED2A204"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Madhya Pradesh is one of the traditional and potential maize-growing states in the country. During 2022–23, the state accounted for 17.99 per cent of the total maize area and contributed 20.31 per cent to national maize production (DES, 2023). Despite this significant contribution, the productivity of maize in Madhya Pradesh remains comparatively lower than that of other major maize-growing states. This gap in productivity underscores the importance of identifying key factors influencing maize yield and developing strategies to enhance production efficiency. Within the state, districts such as </w:t>
      </w:r>
      <w:proofErr w:type="spellStart"/>
      <w:r w:rsidRPr="006F1F4E">
        <w:rPr>
          <w:rFonts w:ascii="Arial" w:eastAsia="Times New Roman" w:hAnsi="Arial" w:cs="Arial"/>
          <w:lang w:eastAsia="en-IN"/>
        </w:rPr>
        <w:t>Chhindwara</w:t>
      </w:r>
      <w:proofErr w:type="spellEnd"/>
      <w:r w:rsidRPr="006F1F4E">
        <w:rPr>
          <w:rFonts w:ascii="Arial" w:eastAsia="Times New Roman" w:hAnsi="Arial" w:cs="Arial"/>
          <w:lang w:eastAsia="en-IN"/>
        </w:rPr>
        <w:t xml:space="preserve">, Dhar, </w:t>
      </w:r>
      <w:proofErr w:type="spellStart"/>
      <w:r w:rsidRPr="006F1F4E">
        <w:rPr>
          <w:rFonts w:ascii="Arial" w:eastAsia="Times New Roman" w:hAnsi="Arial" w:cs="Arial"/>
          <w:lang w:eastAsia="en-IN"/>
        </w:rPr>
        <w:t>Ratlam</w:t>
      </w:r>
      <w:proofErr w:type="spellEnd"/>
      <w:r w:rsidRPr="006F1F4E">
        <w:rPr>
          <w:rFonts w:ascii="Arial" w:eastAsia="Times New Roman" w:hAnsi="Arial" w:cs="Arial"/>
          <w:lang w:eastAsia="en-IN"/>
        </w:rPr>
        <w:t xml:space="preserve">, and Ujjain are the major maize-producing regions. Among these, </w:t>
      </w:r>
      <w:proofErr w:type="spellStart"/>
      <w:r w:rsidRPr="006F1F4E">
        <w:rPr>
          <w:rFonts w:ascii="Arial" w:eastAsia="Times New Roman" w:hAnsi="Arial" w:cs="Arial"/>
          <w:lang w:eastAsia="en-IN"/>
        </w:rPr>
        <w:t>Chhindwara</w:t>
      </w:r>
      <w:proofErr w:type="spellEnd"/>
      <w:r w:rsidRPr="006F1F4E">
        <w:rPr>
          <w:rFonts w:ascii="Arial" w:eastAsia="Times New Roman" w:hAnsi="Arial" w:cs="Arial"/>
          <w:lang w:eastAsia="en-IN"/>
        </w:rPr>
        <w:t xml:space="preserve"> district occupies a leading position, contributing 26.07 per cent of the total maize area and 28.48 per cent of maize production in the state (DES, 2023). Maize in Madhya </w:t>
      </w:r>
      <w:r w:rsidRPr="006F1F4E">
        <w:rPr>
          <w:rFonts w:ascii="Arial" w:eastAsia="Times New Roman" w:hAnsi="Arial" w:cs="Arial"/>
          <w:lang w:eastAsia="en-IN"/>
        </w:rPr>
        <w:lastRenderedPageBreak/>
        <w:t xml:space="preserve">Pradesh is predominantly cultivated during the kharif season under rainfed conditions, making production highly sensitive to rainfall variability and other climatic factors. Fluctuations in maize production are influenced by several factors, including area under cultivation, yield levels, climatic conditions, market prices, and the use of modern inputs such as quality seeds and fertilizers. Among these, area, yield, and price are considered the most critical determinants, as they directly affect production levels as well as farmers’ cropping decisions. Since expansion of cultivated area and improvement in yield remain the primary avenues for increasing maize production, Thus, a systematic assessment of trends and growth in area, production, and productivity of maize is essential. </w:t>
      </w:r>
    </w:p>
    <w:p w14:paraId="519E6B6A" w14:textId="77777777" w:rsidR="006F1F4E" w:rsidRPr="006F1F4E" w:rsidRDefault="006F1F4E" w:rsidP="006F1F4E">
      <w:pPr>
        <w:spacing w:after="120" w:line="240" w:lineRule="auto"/>
        <w:jc w:val="both"/>
        <w:rPr>
          <w:rFonts w:ascii="Arial" w:eastAsia="Times New Roman" w:hAnsi="Arial" w:cs="Arial"/>
          <w:lang w:eastAsia="en-IN"/>
        </w:rPr>
      </w:pPr>
    </w:p>
    <w:p w14:paraId="458B93EE"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 MATERIAL AND METHODS</w:t>
      </w:r>
    </w:p>
    <w:p w14:paraId="16B6E3CF"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2.1 Study Period</w:t>
      </w:r>
    </w:p>
    <w:p w14:paraId="014E4795"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The study had been conducted for a period of 20 years, from 2001 to 2021.</w:t>
      </w:r>
    </w:p>
    <w:p w14:paraId="331CC844"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2.2 Selection of Study Area</w:t>
      </w:r>
    </w:p>
    <w:p w14:paraId="723BA7D3"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The study is conducted in the Madhya Pradesh states of India, as it is one of the traditional and potential maize growing state of India. </w:t>
      </w:r>
    </w:p>
    <w:p w14:paraId="75A24E29"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2.3 Selection of Data</w:t>
      </w:r>
    </w:p>
    <w:p w14:paraId="6E9D70E7"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The time series secondary data on area, production and productivity for the year 2001-02 to 2021-22 (20 years) was collected from the Directorate of Economics and Statistics, Department of Agriculture, Cooperation and Farmers welfare, Ministry of Agriculture and Farmers Welfare Govt. of India and other published sources. </w:t>
      </w:r>
    </w:p>
    <w:p w14:paraId="2901516B"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2.4 Selection of Crop</w:t>
      </w:r>
    </w:p>
    <w:p w14:paraId="329D4752"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The maize crop has been selected for the purpose of the research problem as it is third most important cereal crop after wheat and rice, and is used as both a cereal and feed crops for the animals.</w:t>
      </w:r>
    </w:p>
    <w:p w14:paraId="56C5D946"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 Analytical Tools and Methods:</w:t>
      </w:r>
    </w:p>
    <w:p w14:paraId="7F2D2D04"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2.5.1 Absolute Change (AC)</w:t>
      </w:r>
    </w:p>
    <w:p w14:paraId="0324E373"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It is defined as the difference between the initial area, production and productivity of the maize in the Madhya Pradesh state and the final initial area, production and productivity of the maize in the Madhya Pradesh state. The absolute change has been worked out to find the difference in the area, production and productivity from the initial base year period (Triennium Ending (TE) 2001) to the final current year period (TE, 2021).</w:t>
      </w:r>
    </w:p>
    <w:p w14:paraId="393662F5" w14:textId="77777777" w:rsidR="006F1F4E" w:rsidRPr="006F1F4E" w:rsidRDefault="00A92387" w:rsidP="006F1F4E">
      <w:pPr>
        <w:spacing w:after="120" w:line="240" w:lineRule="auto"/>
        <w:jc w:val="both"/>
        <w:rPr>
          <w:rFonts w:ascii="Arial" w:eastAsia="Times New Roman" w:hAnsi="Arial" w:cs="Arial"/>
          <w:lang w:eastAsia="en-IN"/>
        </w:rPr>
      </w:pPr>
      <w:r>
        <w:rPr>
          <w:rFonts w:ascii="Arial" w:eastAsia="Times New Roman" w:hAnsi="Arial" w:cs="Arial"/>
          <w:lang w:eastAsia="en-IN"/>
        </w:rPr>
        <w:t>Absolute change = C-B</w:t>
      </w:r>
    </w:p>
    <w:p w14:paraId="767F22FA" w14:textId="77777777" w:rsid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Where,</w:t>
      </w:r>
    </w:p>
    <w:p w14:paraId="066DB6BA" w14:textId="77777777" w:rsidR="00890CC9" w:rsidRPr="006F1F4E" w:rsidRDefault="00A33B08" w:rsidP="00890CC9">
      <w:pPr>
        <w:spacing w:after="120" w:line="240" w:lineRule="auto"/>
        <w:jc w:val="both"/>
        <w:rPr>
          <w:rFonts w:ascii="Arial" w:eastAsia="Times New Roman" w:hAnsi="Arial" w:cs="Arial"/>
          <w:lang w:eastAsia="en-IN"/>
        </w:rPr>
      </w:pPr>
      <w:r>
        <w:rPr>
          <w:rFonts w:ascii="Arial" w:eastAsia="Times New Roman" w:hAnsi="Arial" w:cs="Arial"/>
          <w:lang w:eastAsia="en-IN"/>
        </w:rPr>
        <w:t>C</w:t>
      </w:r>
      <w:r w:rsidR="002E1ED3">
        <w:rPr>
          <w:rFonts w:ascii="Arial" w:eastAsia="Times New Roman" w:hAnsi="Arial" w:cs="Arial"/>
          <w:lang w:eastAsia="en-IN"/>
        </w:rPr>
        <w:t xml:space="preserve"> = Triennium average from 2018-1</w:t>
      </w:r>
      <w:r>
        <w:rPr>
          <w:rFonts w:ascii="Arial" w:eastAsia="Times New Roman" w:hAnsi="Arial" w:cs="Arial"/>
          <w:lang w:eastAsia="en-IN"/>
        </w:rPr>
        <w:t>9 to 2020-21</w:t>
      </w:r>
      <w:r w:rsidR="00890CC9" w:rsidRPr="006F1F4E">
        <w:rPr>
          <w:rFonts w:ascii="Arial" w:eastAsia="Times New Roman" w:hAnsi="Arial" w:cs="Arial"/>
          <w:lang w:eastAsia="en-IN"/>
        </w:rPr>
        <w:t xml:space="preserve"> (Current year), for the Area, Production and Productivity</w:t>
      </w:r>
    </w:p>
    <w:p w14:paraId="3A07B23F" w14:textId="77777777" w:rsidR="00890CC9" w:rsidRPr="006F1F4E" w:rsidRDefault="00890CC9" w:rsidP="00890CC9">
      <w:pPr>
        <w:spacing w:after="120" w:line="240" w:lineRule="auto"/>
        <w:jc w:val="both"/>
        <w:rPr>
          <w:rFonts w:ascii="Arial" w:eastAsia="Times New Roman" w:hAnsi="Arial" w:cs="Arial"/>
          <w:lang w:eastAsia="en-IN"/>
        </w:rPr>
      </w:pPr>
      <w:proofErr w:type="gramStart"/>
      <w:r w:rsidRPr="006F1F4E">
        <w:rPr>
          <w:rFonts w:ascii="Arial" w:eastAsia="Times New Roman" w:hAnsi="Arial" w:cs="Arial"/>
          <w:lang w:eastAsia="en-IN"/>
        </w:rPr>
        <w:t>B  =</w:t>
      </w:r>
      <w:proofErr w:type="gramEnd"/>
      <w:r w:rsidRPr="006F1F4E">
        <w:rPr>
          <w:rFonts w:ascii="Arial" w:eastAsia="Times New Roman" w:hAnsi="Arial" w:cs="Arial"/>
          <w:lang w:eastAsia="en-IN"/>
        </w:rPr>
        <w:t xml:space="preserve">   Triennium average from 2001-02 to 2003-04 (Base year), for the Area, Production and Productivity</w:t>
      </w:r>
    </w:p>
    <w:p w14:paraId="544DE8F6" w14:textId="77777777" w:rsidR="00890CC9" w:rsidRPr="006F1F4E" w:rsidRDefault="00890CC9" w:rsidP="006F1F4E">
      <w:pPr>
        <w:spacing w:after="120" w:line="240" w:lineRule="auto"/>
        <w:jc w:val="both"/>
        <w:rPr>
          <w:rFonts w:ascii="Arial" w:eastAsia="Times New Roman" w:hAnsi="Arial" w:cs="Arial"/>
          <w:lang w:eastAsia="en-IN"/>
        </w:rPr>
      </w:pPr>
    </w:p>
    <w:p w14:paraId="4BEF098C" w14:textId="77777777" w:rsidR="006F1F4E" w:rsidRPr="006F1F4E" w:rsidRDefault="006F1F4E" w:rsidP="006F1F4E">
      <w:pPr>
        <w:spacing w:after="120" w:line="240" w:lineRule="auto"/>
        <w:jc w:val="both"/>
        <w:rPr>
          <w:rFonts w:ascii="Arial" w:eastAsia="Times New Roman" w:hAnsi="Arial" w:cs="Arial"/>
          <w:lang w:eastAsia="en-IN"/>
        </w:rPr>
      </w:pPr>
    </w:p>
    <w:p w14:paraId="2C4E1415"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2.5.2 Relative Change (RC)</w:t>
      </w:r>
    </w:p>
    <w:p w14:paraId="4A652366"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Relative change explains comparative change amongst the components of maize production while, absolute change </w:t>
      </w:r>
      <w:proofErr w:type="gramStart"/>
      <w:r w:rsidRPr="006F1F4E">
        <w:rPr>
          <w:rFonts w:ascii="Arial" w:eastAsia="Times New Roman" w:hAnsi="Arial" w:cs="Arial"/>
          <w:lang w:eastAsia="en-IN"/>
        </w:rPr>
        <w:t>do</w:t>
      </w:r>
      <w:proofErr w:type="gramEnd"/>
      <w:r w:rsidRPr="006F1F4E">
        <w:rPr>
          <w:rFonts w:ascii="Arial" w:eastAsia="Times New Roman" w:hAnsi="Arial" w:cs="Arial"/>
          <w:lang w:eastAsia="en-IN"/>
        </w:rPr>
        <w:t xml:space="preserve"> not explain this change. Hence the relative change in the area, production and productivity of maize of different district of Madhya Pradesh were analysed using following formula</w:t>
      </w:r>
    </w:p>
    <w:p w14:paraId="250BDB9E" w14:textId="77777777" w:rsidR="006F1F4E" w:rsidRPr="006F1F4E" w:rsidRDefault="00483A12" w:rsidP="006F1F4E">
      <w:pPr>
        <w:spacing w:after="120" w:line="240" w:lineRule="auto"/>
        <w:jc w:val="both"/>
        <w:rPr>
          <w:rFonts w:ascii="Arial" w:eastAsia="Times New Roman" w:hAnsi="Arial" w:cs="Arial"/>
          <w:lang w:eastAsia="en-IN"/>
        </w:rPr>
      </w:pPr>
      <w:r>
        <w:rPr>
          <w:rFonts w:ascii="Arial" w:eastAsia="Times New Roman" w:hAnsi="Arial" w:cs="Arial"/>
          <w:lang w:eastAsia="en-IN"/>
        </w:rPr>
        <w:t>Relative change (%) =(C-B) /(B)</w:t>
      </w:r>
      <w:r w:rsidR="006F1F4E" w:rsidRPr="006F1F4E">
        <w:rPr>
          <w:rFonts w:ascii="Arial" w:eastAsia="Times New Roman" w:hAnsi="Arial" w:cs="Arial"/>
          <w:lang w:eastAsia="en-IN"/>
        </w:rPr>
        <w:t xml:space="preserve"> x100</w:t>
      </w:r>
    </w:p>
    <w:p w14:paraId="52F514E3"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lastRenderedPageBreak/>
        <w:t>Where,</w:t>
      </w:r>
    </w:p>
    <w:p w14:paraId="1F2F362A" w14:textId="77777777" w:rsidR="006F1F4E" w:rsidRPr="006F1F4E" w:rsidRDefault="003F1A8F" w:rsidP="006F1F4E">
      <w:pPr>
        <w:spacing w:after="120" w:line="240" w:lineRule="auto"/>
        <w:jc w:val="both"/>
        <w:rPr>
          <w:rFonts w:ascii="Arial" w:eastAsia="Times New Roman" w:hAnsi="Arial" w:cs="Arial"/>
          <w:lang w:eastAsia="en-IN"/>
        </w:rPr>
      </w:pPr>
      <w:r>
        <w:rPr>
          <w:rFonts w:ascii="Arial" w:eastAsia="Times New Roman" w:hAnsi="Arial" w:cs="Arial"/>
          <w:lang w:eastAsia="en-IN"/>
        </w:rPr>
        <w:t>C = Triennium average from 2018-19 to 2020-21</w:t>
      </w:r>
      <w:r w:rsidR="006F1F4E" w:rsidRPr="006F1F4E">
        <w:rPr>
          <w:rFonts w:ascii="Arial" w:eastAsia="Times New Roman" w:hAnsi="Arial" w:cs="Arial"/>
          <w:lang w:eastAsia="en-IN"/>
        </w:rPr>
        <w:t xml:space="preserve"> (Current year), for the Area, Production and Productivity</w:t>
      </w:r>
    </w:p>
    <w:p w14:paraId="713D99BC" w14:textId="77777777" w:rsidR="006F1F4E" w:rsidRPr="006F1F4E" w:rsidRDefault="006F1F4E" w:rsidP="006F1F4E">
      <w:pPr>
        <w:spacing w:after="120" w:line="240" w:lineRule="auto"/>
        <w:jc w:val="both"/>
        <w:rPr>
          <w:rFonts w:ascii="Arial" w:eastAsia="Times New Roman" w:hAnsi="Arial" w:cs="Arial"/>
          <w:lang w:eastAsia="en-IN"/>
        </w:rPr>
      </w:pPr>
      <w:proofErr w:type="gramStart"/>
      <w:r w:rsidRPr="006F1F4E">
        <w:rPr>
          <w:rFonts w:ascii="Arial" w:eastAsia="Times New Roman" w:hAnsi="Arial" w:cs="Arial"/>
          <w:lang w:eastAsia="en-IN"/>
        </w:rPr>
        <w:t>B  =</w:t>
      </w:r>
      <w:proofErr w:type="gramEnd"/>
      <w:r w:rsidRPr="006F1F4E">
        <w:rPr>
          <w:rFonts w:ascii="Arial" w:eastAsia="Times New Roman" w:hAnsi="Arial" w:cs="Arial"/>
          <w:lang w:eastAsia="en-IN"/>
        </w:rPr>
        <w:t xml:space="preserve">   Triennium average from 2001-02 to 2003-04 (Base year), for the Area, Production and Productivity</w:t>
      </w:r>
    </w:p>
    <w:p w14:paraId="633FAF24"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2.5.3 Trend Analysis</w:t>
      </w:r>
    </w:p>
    <w:p w14:paraId="1D2EDD02" w14:textId="77777777" w:rsidR="006C34E3" w:rsidRDefault="006C34E3" w:rsidP="006F1F4E">
      <w:pPr>
        <w:spacing w:after="120" w:line="240" w:lineRule="auto"/>
        <w:jc w:val="both"/>
        <w:rPr>
          <w:rFonts w:ascii="Segoe UI" w:hAnsi="Segoe UI" w:cs="Segoe UI"/>
          <w:color w:val="1F243C"/>
          <w:shd w:val="clear" w:color="auto" w:fill="FFFFFF"/>
        </w:rPr>
      </w:pPr>
      <w:r w:rsidRPr="006C34E3">
        <w:rPr>
          <w:rFonts w:ascii="Arial" w:hAnsi="Arial" w:cs="Arial"/>
          <w:color w:val="1F243C"/>
          <w:shd w:val="clear" w:color="auto" w:fill="FFFFFF"/>
        </w:rPr>
        <w:t>A trend line is a graphical illustration that shows the direction of change in a series of data over time. Typically, a trend line is represented by a linear equation known as the "trend equation," which demonstrates the relationship between two variables within a dataset. Usually, it includes a slope and an independent variable.</w:t>
      </w:r>
      <w:r>
        <w:rPr>
          <w:rFonts w:ascii="Segoe UI" w:hAnsi="Segoe UI" w:cs="Segoe UI"/>
          <w:color w:val="1F243C"/>
          <w:shd w:val="clear" w:color="auto" w:fill="FFFFFF"/>
        </w:rPr>
        <w:t> </w:t>
      </w:r>
    </w:p>
    <w:p w14:paraId="29E162E8"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a)  Trend</w:t>
      </w:r>
    </w:p>
    <w:p w14:paraId="469C1534"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Linear equation, Y= a + </w:t>
      </w:r>
      <w:proofErr w:type="spellStart"/>
      <w:r w:rsidRPr="006F1F4E">
        <w:rPr>
          <w:rFonts w:ascii="Arial" w:eastAsia="Times New Roman" w:hAnsi="Arial" w:cs="Arial"/>
          <w:lang w:eastAsia="en-IN"/>
        </w:rPr>
        <w:t>bx</w:t>
      </w:r>
      <w:proofErr w:type="spellEnd"/>
    </w:p>
    <w:p w14:paraId="6CE64B32"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a = Y ̅-</w:t>
      </w:r>
      <w:proofErr w:type="spellStart"/>
      <w:r w:rsidRPr="006F1F4E">
        <w:rPr>
          <w:rFonts w:ascii="Arial" w:eastAsia="Times New Roman" w:hAnsi="Arial" w:cs="Arial"/>
          <w:lang w:eastAsia="en-IN"/>
        </w:rPr>
        <w:t>bX</w:t>
      </w:r>
      <w:proofErr w:type="spellEnd"/>
      <w:r w:rsidRPr="006F1F4E">
        <w:rPr>
          <w:rFonts w:ascii="Arial" w:eastAsia="Times New Roman" w:hAnsi="Arial" w:cs="Arial"/>
          <w:lang w:eastAsia="en-IN"/>
        </w:rPr>
        <w:t xml:space="preserve"> ̅                                          </w:t>
      </w:r>
    </w:p>
    <w:p w14:paraId="59DFBF2A" w14:textId="77777777" w:rsidR="006F1F4E" w:rsidRPr="006F1F4E" w:rsidRDefault="000D74EC" w:rsidP="006F1F4E">
      <w:pPr>
        <w:spacing w:after="120" w:line="240" w:lineRule="auto"/>
        <w:jc w:val="both"/>
        <w:rPr>
          <w:rFonts w:ascii="Arial" w:eastAsia="Times New Roman" w:hAnsi="Arial" w:cs="Arial"/>
          <w:lang w:eastAsia="en-IN"/>
        </w:rPr>
      </w:pPr>
      <w:r>
        <w:rPr>
          <w:rFonts w:ascii="Arial" w:eastAsia="Times New Roman" w:hAnsi="Arial" w:cs="Arial"/>
          <w:lang w:eastAsia="en-IN"/>
        </w:rPr>
        <w:t xml:space="preserve">b = </w:t>
      </w:r>
      <w:r w:rsidR="006F1F4E" w:rsidRPr="006F1F4E">
        <w:rPr>
          <w:rFonts w:ascii="Arial" w:eastAsia="Times New Roman" w:hAnsi="Arial" w:cs="Arial"/>
          <w:lang w:eastAsia="en-IN"/>
        </w:rPr>
        <w:t>∑XY-(∑</w:t>
      </w:r>
      <w:proofErr w:type="gramStart"/>
      <w:r w:rsidR="006F1F4E" w:rsidRPr="006F1F4E">
        <w:rPr>
          <w:rFonts w:ascii="Arial" w:eastAsia="Times New Roman" w:hAnsi="Arial" w:cs="Arial"/>
          <w:lang w:eastAsia="en-IN"/>
        </w:rPr>
        <w:t>X)(</w:t>
      </w:r>
      <w:proofErr w:type="gramEnd"/>
      <w:r w:rsidR="006F1F4E" w:rsidRPr="006F1F4E">
        <w:rPr>
          <w:rFonts w:ascii="Arial" w:eastAsia="Times New Roman" w:hAnsi="Arial" w:cs="Arial"/>
          <w:lang w:eastAsia="en-IN"/>
        </w:rPr>
        <w:t>∑Y)/n)/(∑X^2-(∑X)^2/n)</w:t>
      </w:r>
    </w:p>
    <w:p w14:paraId="77B58DCA"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Where,</w:t>
      </w:r>
    </w:p>
    <w:p w14:paraId="0B0D6EEE"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Y = Dependent variable</w:t>
      </w:r>
    </w:p>
    <w:p w14:paraId="1D654D58"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a = constant</w:t>
      </w:r>
    </w:p>
    <w:p w14:paraId="5254FB3D"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b = Regression coefficient </w:t>
      </w:r>
    </w:p>
    <w:p w14:paraId="21373DEF"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X = Independent variable </w:t>
      </w:r>
    </w:p>
    <w:p w14:paraId="5F4FCD71"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Y ̅ = Mean of Y</w:t>
      </w:r>
    </w:p>
    <w:p w14:paraId="13895D2B"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X ̅ = Mean of X</w:t>
      </w:r>
    </w:p>
    <w:p w14:paraId="17C7EA6E"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2.5.4 Simple Growth Rate (SGR)</w:t>
      </w:r>
    </w:p>
    <w:p w14:paraId="6B792D17"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The formula represents the growth rate from the linear trend curves. For area under crops, these are normally found appropriate (</w:t>
      </w:r>
      <w:proofErr w:type="spellStart"/>
      <w:r w:rsidRPr="006F1F4E">
        <w:rPr>
          <w:rFonts w:ascii="Arial" w:eastAsia="Times New Roman" w:hAnsi="Arial" w:cs="Arial"/>
          <w:lang w:eastAsia="en-IN"/>
        </w:rPr>
        <w:t>Sananse</w:t>
      </w:r>
      <w:proofErr w:type="spellEnd"/>
      <w:r w:rsidRPr="006F1F4E">
        <w:rPr>
          <w:rFonts w:ascii="Arial" w:eastAsia="Times New Roman" w:hAnsi="Arial" w:cs="Arial"/>
          <w:lang w:eastAsia="en-IN"/>
        </w:rPr>
        <w:t xml:space="preserve"> and </w:t>
      </w:r>
      <w:proofErr w:type="spellStart"/>
      <w:r w:rsidRPr="006F1F4E">
        <w:rPr>
          <w:rFonts w:ascii="Arial" w:eastAsia="Times New Roman" w:hAnsi="Arial" w:cs="Arial"/>
          <w:lang w:eastAsia="en-IN"/>
        </w:rPr>
        <w:t>Maidapwad</w:t>
      </w:r>
      <w:proofErr w:type="spellEnd"/>
      <w:r w:rsidRPr="006F1F4E">
        <w:rPr>
          <w:rFonts w:ascii="Arial" w:eastAsia="Times New Roman" w:hAnsi="Arial" w:cs="Arial"/>
          <w:lang w:eastAsia="en-IN"/>
        </w:rPr>
        <w:t>, 2009).</w:t>
      </w:r>
    </w:p>
    <w:p w14:paraId="22C3AEDD"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  </w:t>
      </w:r>
    </w:p>
    <w:p w14:paraId="48181027"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SGR </w:t>
      </w:r>
      <w:proofErr w:type="gramStart"/>
      <w:r w:rsidRPr="006F1F4E">
        <w:rPr>
          <w:rFonts w:ascii="Arial" w:eastAsia="Times New Roman" w:hAnsi="Arial" w:cs="Arial"/>
          <w:lang w:eastAsia="en-IN"/>
        </w:rPr>
        <w:t>=  b</w:t>
      </w:r>
      <w:proofErr w:type="gramEnd"/>
      <w:r w:rsidRPr="006F1F4E">
        <w:rPr>
          <w:rFonts w:ascii="Arial" w:eastAsia="Times New Roman" w:hAnsi="Arial" w:cs="Arial"/>
          <w:lang w:eastAsia="en-IN"/>
        </w:rPr>
        <w:t>/Y ̅  *100</w:t>
      </w:r>
    </w:p>
    <w:p w14:paraId="5E308707" w14:textId="77777777" w:rsidR="006F1F4E" w:rsidRPr="006F1F4E" w:rsidRDefault="006F1F4E" w:rsidP="006F1F4E">
      <w:pPr>
        <w:spacing w:after="120" w:line="240" w:lineRule="auto"/>
        <w:jc w:val="both"/>
        <w:rPr>
          <w:rFonts w:ascii="Arial" w:eastAsia="Times New Roman" w:hAnsi="Arial" w:cs="Arial"/>
          <w:b/>
          <w:lang w:eastAsia="en-IN"/>
        </w:rPr>
      </w:pPr>
      <w:r w:rsidRPr="006F1F4E">
        <w:rPr>
          <w:rFonts w:ascii="Arial" w:eastAsia="Times New Roman" w:hAnsi="Arial" w:cs="Arial"/>
          <w:b/>
          <w:lang w:eastAsia="en-IN"/>
        </w:rPr>
        <w:t>2.5.5 Coefficient of Variation (CV)</w:t>
      </w:r>
    </w:p>
    <w:p w14:paraId="06B8EFBD"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The coefficient of variation was computed to find out the extent of variability in area, production and productivity during the study period.</w:t>
      </w:r>
    </w:p>
    <w:p w14:paraId="7FD1D11D" w14:textId="77777777" w:rsidR="006F1F4E" w:rsidRPr="006F1F4E" w:rsidRDefault="006F1F4E" w:rsidP="006F1F4E">
      <w:pPr>
        <w:spacing w:after="120" w:line="240" w:lineRule="auto"/>
        <w:jc w:val="both"/>
        <w:rPr>
          <w:rFonts w:ascii="Arial" w:eastAsia="Times New Roman" w:hAnsi="Arial" w:cs="Arial"/>
          <w:lang w:eastAsia="en-IN"/>
        </w:rPr>
      </w:pPr>
      <w:r w:rsidRPr="006F1F4E">
        <w:rPr>
          <w:rFonts w:ascii="Arial" w:eastAsia="Times New Roman" w:hAnsi="Arial" w:cs="Arial"/>
          <w:lang w:eastAsia="en-IN"/>
        </w:rPr>
        <w:t xml:space="preserve">CV % = Standard deviation </w:t>
      </w:r>
      <w:proofErr w:type="gramStart"/>
      <w:r w:rsidRPr="006F1F4E">
        <w:rPr>
          <w:rFonts w:ascii="Arial" w:eastAsia="Times New Roman" w:hAnsi="Arial" w:cs="Arial"/>
          <w:lang w:eastAsia="en-IN"/>
        </w:rPr>
        <w:t>( σ</w:t>
      </w:r>
      <w:proofErr w:type="gramEnd"/>
      <w:r w:rsidRPr="006F1F4E">
        <w:rPr>
          <w:rFonts w:ascii="Arial" w:eastAsia="Times New Roman" w:hAnsi="Arial" w:cs="Arial"/>
          <w:lang w:eastAsia="en-IN"/>
        </w:rPr>
        <w:t>)/ Mean (X) X 100</w:t>
      </w:r>
    </w:p>
    <w:p w14:paraId="2F50533A" w14:textId="77777777" w:rsidR="006F1F4E" w:rsidRPr="006F1F4E" w:rsidRDefault="006F1F4E" w:rsidP="006F1F4E">
      <w:pPr>
        <w:spacing w:line="240" w:lineRule="auto"/>
        <w:jc w:val="both"/>
        <w:rPr>
          <w:rFonts w:ascii="Arial" w:hAnsi="Arial" w:cs="Arial"/>
          <w:bCs/>
          <w:iCs/>
        </w:rPr>
      </w:pPr>
    </w:p>
    <w:p w14:paraId="37959E21" w14:textId="77777777" w:rsidR="00747080" w:rsidRPr="004372C2" w:rsidRDefault="002007F2" w:rsidP="00843305">
      <w:pPr>
        <w:spacing w:after="0"/>
        <w:rPr>
          <w:rFonts w:ascii="Arial" w:hAnsi="Arial" w:cs="Arial"/>
          <w:b/>
        </w:rPr>
      </w:pPr>
      <w:r w:rsidRPr="004372C2">
        <w:rPr>
          <w:rFonts w:ascii="Arial" w:hAnsi="Arial" w:cs="Arial"/>
          <w:b/>
        </w:rPr>
        <w:t xml:space="preserve">3. </w:t>
      </w:r>
      <w:r w:rsidR="00747080" w:rsidRPr="004372C2">
        <w:rPr>
          <w:rFonts w:ascii="Arial" w:hAnsi="Arial" w:cs="Arial"/>
          <w:b/>
        </w:rPr>
        <w:t>RESULTS AND DISCUSSION</w:t>
      </w:r>
    </w:p>
    <w:p w14:paraId="01E02B76" w14:textId="77777777" w:rsidR="005A0374" w:rsidRPr="004372C2" w:rsidRDefault="005A0374" w:rsidP="00747080">
      <w:pPr>
        <w:spacing w:after="0"/>
        <w:rPr>
          <w:rFonts w:ascii="Arial" w:hAnsi="Arial" w:cs="Arial"/>
          <w:b/>
        </w:rPr>
      </w:pPr>
    </w:p>
    <w:p w14:paraId="0FF00EAF" w14:textId="77777777" w:rsidR="00440962" w:rsidRDefault="00AE456B" w:rsidP="00685FCC">
      <w:pPr>
        <w:spacing w:after="0" w:line="360" w:lineRule="auto"/>
        <w:jc w:val="both"/>
        <w:rPr>
          <w:rFonts w:ascii="Arial" w:eastAsia="Arial" w:hAnsi="Arial" w:cs="Arial"/>
          <w:b/>
        </w:rPr>
      </w:pPr>
      <w:r w:rsidRPr="004372C2">
        <w:rPr>
          <w:rFonts w:ascii="Arial" w:eastAsia="Arial" w:hAnsi="Arial" w:cs="Arial"/>
          <w:b/>
        </w:rPr>
        <w:t>3.</w:t>
      </w:r>
      <w:r w:rsidR="00605393" w:rsidRPr="004372C2">
        <w:rPr>
          <w:rFonts w:ascii="Arial" w:eastAsia="Arial" w:hAnsi="Arial" w:cs="Arial"/>
          <w:b/>
        </w:rPr>
        <w:t xml:space="preserve"> </w:t>
      </w:r>
      <w:r w:rsidRPr="004372C2">
        <w:rPr>
          <w:rFonts w:ascii="Arial" w:eastAsia="Arial" w:hAnsi="Arial" w:cs="Arial"/>
          <w:b/>
        </w:rPr>
        <w:t xml:space="preserve">1 </w:t>
      </w:r>
      <w:r w:rsidR="00440962" w:rsidRPr="004372C2">
        <w:rPr>
          <w:rFonts w:ascii="Arial" w:eastAsia="Arial" w:hAnsi="Arial" w:cs="Arial"/>
          <w:b/>
        </w:rPr>
        <w:t>Trend</w:t>
      </w:r>
      <w:r w:rsidR="007F1AC0" w:rsidRPr="004372C2">
        <w:rPr>
          <w:rFonts w:ascii="Arial" w:eastAsia="Arial" w:hAnsi="Arial" w:cs="Arial"/>
          <w:b/>
        </w:rPr>
        <w:t>s</w:t>
      </w:r>
      <w:r w:rsidR="00440962" w:rsidRPr="004372C2">
        <w:rPr>
          <w:rFonts w:ascii="Arial" w:eastAsia="Arial" w:hAnsi="Arial" w:cs="Arial"/>
          <w:b/>
        </w:rPr>
        <w:t>,</w:t>
      </w:r>
      <w:r w:rsidR="007F1AC0" w:rsidRPr="004372C2">
        <w:rPr>
          <w:rFonts w:ascii="Arial" w:eastAsia="Arial" w:hAnsi="Arial" w:cs="Arial"/>
          <w:b/>
        </w:rPr>
        <w:t xml:space="preserve"> and growth,</w:t>
      </w:r>
      <w:r w:rsidR="00440962" w:rsidRPr="004372C2">
        <w:rPr>
          <w:rFonts w:ascii="Arial" w:eastAsia="Arial" w:hAnsi="Arial" w:cs="Arial"/>
          <w:b/>
        </w:rPr>
        <w:t xml:space="preserve"> in area, production and productivity of M</w:t>
      </w:r>
      <w:r w:rsidR="00243CD4">
        <w:rPr>
          <w:rFonts w:ascii="Arial" w:eastAsia="Arial" w:hAnsi="Arial" w:cs="Arial"/>
          <w:b/>
        </w:rPr>
        <w:t xml:space="preserve">aize </w:t>
      </w:r>
      <w:r w:rsidR="007B586E" w:rsidRPr="004372C2">
        <w:rPr>
          <w:rFonts w:ascii="Arial" w:eastAsia="Arial" w:hAnsi="Arial" w:cs="Arial"/>
          <w:b/>
        </w:rPr>
        <w:t xml:space="preserve">in </w:t>
      </w:r>
      <w:r w:rsidR="00243CD4">
        <w:rPr>
          <w:rFonts w:ascii="Arial" w:eastAsia="Arial" w:hAnsi="Arial" w:cs="Arial"/>
          <w:b/>
        </w:rPr>
        <w:t>Madhya Pradesh</w:t>
      </w:r>
    </w:p>
    <w:p w14:paraId="077007A0" w14:textId="77777777" w:rsidR="00B71A62" w:rsidRDefault="00B71A62" w:rsidP="00C96332">
      <w:pPr>
        <w:pStyle w:val="BodyText"/>
        <w:spacing w:line="280" w:lineRule="auto"/>
        <w:ind w:left="165" w:right="467"/>
        <w:jc w:val="both"/>
        <w:rPr>
          <w:rStyle w:val="oxzekf"/>
          <w:rFonts w:ascii="Arial" w:hAnsi="Arial" w:cs="Arial"/>
          <w:sz w:val="22"/>
          <w:szCs w:val="22"/>
        </w:rPr>
      </w:pPr>
    </w:p>
    <w:p w14:paraId="6FE14A82" w14:textId="77777777" w:rsidR="00C96332" w:rsidRPr="00EB50ED" w:rsidRDefault="00B71A62" w:rsidP="00EB50ED">
      <w:pPr>
        <w:spacing w:before="100" w:beforeAutospacing="1" w:after="100" w:afterAutospacing="1" w:line="240" w:lineRule="auto"/>
        <w:jc w:val="both"/>
        <w:rPr>
          <w:rStyle w:val="oxzekf"/>
          <w:rFonts w:ascii="Arial" w:eastAsia="Times New Roman" w:hAnsi="Arial" w:cs="Arial"/>
          <w:sz w:val="24"/>
          <w:szCs w:val="24"/>
          <w:lang w:eastAsia="en-IN"/>
        </w:rPr>
      </w:pPr>
      <w:r w:rsidRPr="00B71A62">
        <w:rPr>
          <w:rFonts w:ascii="Arial" w:eastAsia="Times New Roman" w:hAnsi="Arial" w:cs="Arial"/>
          <w:sz w:val="24"/>
          <w:szCs w:val="24"/>
          <w:lang w:eastAsia="en-IN"/>
        </w:rPr>
        <w:t xml:space="preserve">Maize production in India is predominantly concentrated in the central, southern, and northern regions of the country. Major maize-growing states include Karnataka, Madhya Pradesh, Bihar, Uttar Pradesh, and Rajasthan. Among these, </w:t>
      </w:r>
      <w:r w:rsidRPr="00EB50ED">
        <w:rPr>
          <w:rFonts w:ascii="Arial" w:eastAsia="Times New Roman" w:hAnsi="Arial" w:cs="Arial"/>
          <w:bCs/>
          <w:sz w:val="24"/>
          <w:szCs w:val="24"/>
          <w:lang w:eastAsia="en-IN"/>
        </w:rPr>
        <w:t>Madhya Pradesh occupies the largest area under maize cultivation</w:t>
      </w:r>
      <w:r w:rsidRPr="00B71A62">
        <w:rPr>
          <w:rFonts w:ascii="Arial" w:eastAsia="Times New Roman" w:hAnsi="Arial" w:cs="Arial"/>
          <w:sz w:val="24"/>
          <w:szCs w:val="24"/>
          <w:lang w:eastAsia="en-IN"/>
        </w:rPr>
        <w:t xml:space="preserve"> and contributes nearly </w:t>
      </w:r>
      <w:r w:rsidRPr="00EB50ED">
        <w:rPr>
          <w:rFonts w:ascii="Arial" w:eastAsia="Times New Roman" w:hAnsi="Arial" w:cs="Arial"/>
          <w:bCs/>
          <w:sz w:val="24"/>
          <w:szCs w:val="24"/>
          <w:lang w:eastAsia="en-IN"/>
        </w:rPr>
        <w:t>15–20 per cent of the total maize production in India</w:t>
      </w:r>
      <w:r w:rsidRPr="00B71A62">
        <w:rPr>
          <w:rFonts w:ascii="Arial" w:eastAsia="Times New Roman" w:hAnsi="Arial" w:cs="Arial"/>
          <w:sz w:val="24"/>
          <w:szCs w:val="24"/>
          <w:lang w:eastAsia="en-IN"/>
        </w:rPr>
        <w:t>, highlighting its strategic importance in national maize production.</w:t>
      </w:r>
      <w:r w:rsidRPr="00EB50ED">
        <w:rPr>
          <w:rFonts w:ascii="Arial" w:eastAsia="Times New Roman" w:hAnsi="Arial" w:cs="Arial"/>
          <w:sz w:val="24"/>
          <w:szCs w:val="24"/>
          <w:lang w:eastAsia="en-IN"/>
        </w:rPr>
        <w:t xml:space="preserve"> </w:t>
      </w:r>
      <w:r w:rsidRPr="00B71A62">
        <w:rPr>
          <w:rFonts w:ascii="Arial" w:eastAsia="Times New Roman" w:hAnsi="Arial" w:cs="Arial"/>
          <w:sz w:val="24"/>
          <w:szCs w:val="24"/>
          <w:lang w:eastAsia="en-IN"/>
        </w:rPr>
        <w:t xml:space="preserve">The data presented in </w:t>
      </w:r>
      <w:r w:rsidRPr="00EB50ED">
        <w:rPr>
          <w:rFonts w:ascii="Arial" w:eastAsia="Times New Roman" w:hAnsi="Arial" w:cs="Arial"/>
          <w:bCs/>
          <w:sz w:val="24"/>
          <w:szCs w:val="24"/>
          <w:lang w:eastAsia="en-IN"/>
        </w:rPr>
        <w:t>Table 1</w:t>
      </w:r>
      <w:r w:rsidRPr="00B71A62">
        <w:rPr>
          <w:rFonts w:ascii="Arial" w:eastAsia="Times New Roman" w:hAnsi="Arial" w:cs="Arial"/>
          <w:sz w:val="24"/>
          <w:szCs w:val="24"/>
          <w:lang w:eastAsia="en-IN"/>
        </w:rPr>
        <w:t xml:space="preserve"> reveal a substantial increase in the </w:t>
      </w:r>
      <w:r w:rsidRPr="00EB50ED">
        <w:rPr>
          <w:rFonts w:ascii="Arial" w:eastAsia="Times New Roman" w:hAnsi="Arial" w:cs="Arial"/>
          <w:bCs/>
          <w:sz w:val="24"/>
          <w:szCs w:val="24"/>
          <w:lang w:eastAsia="en-IN"/>
        </w:rPr>
        <w:t xml:space="preserve">area, </w:t>
      </w:r>
      <w:r w:rsidRPr="00EB50ED">
        <w:rPr>
          <w:rFonts w:ascii="Arial" w:eastAsia="Times New Roman" w:hAnsi="Arial" w:cs="Arial"/>
          <w:bCs/>
          <w:sz w:val="24"/>
          <w:szCs w:val="24"/>
          <w:lang w:eastAsia="en-IN"/>
        </w:rPr>
        <w:lastRenderedPageBreak/>
        <w:t>production, and productivity of maize in Madhya Pradesh</w:t>
      </w:r>
      <w:r w:rsidRPr="00B71A62">
        <w:rPr>
          <w:rFonts w:ascii="Arial" w:eastAsia="Times New Roman" w:hAnsi="Arial" w:cs="Arial"/>
          <w:sz w:val="24"/>
          <w:szCs w:val="24"/>
          <w:lang w:eastAsia="en-IN"/>
        </w:rPr>
        <w:t xml:space="preserve"> during the study period. Between the base period (T1: triennium average of 2001-02 to 2003-04) and the current period (T2: triennium average of 2018-19 to 2020-21), the area under maize increased by </w:t>
      </w:r>
      <w:r w:rsidRPr="00EB50ED">
        <w:rPr>
          <w:rFonts w:ascii="Arial" w:eastAsia="Times New Roman" w:hAnsi="Arial" w:cs="Arial"/>
          <w:bCs/>
          <w:sz w:val="24"/>
          <w:szCs w:val="24"/>
          <w:lang w:eastAsia="en-IN"/>
        </w:rPr>
        <w:t>553 thousand hectares</w:t>
      </w:r>
      <w:r w:rsidRPr="00B71A62">
        <w:rPr>
          <w:rFonts w:ascii="Arial" w:eastAsia="Times New Roman" w:hAnsi="Arial" w:cs="Arial"/>
          <w:sz w:val="24"/>
          <w:szCs w:val="24"/>
          <w:lang w:eastAsia="en-IN"/>
        </w:rPr>
        <w:t xml:space="preserve">, while production rose sharply by </w:t>
      </w:r>
      <w:r w:rsidRPr="00EB50ED">
        <w:rPr>
          <w:rFonts w:ascii="Arial" w:eastAsia="Times New Roman" w:hAnsi="Arial" w:cs="Arial"/>
          <w:bCs/>
          <w:sz w:val="24"/>
          <w:szCs w:val="24"/>
          <w:lang w:eastAsia="en-IN"/>
        </w:rPr>
        <w:t>2,665 thousand tonnes</w:t>
      </w:r>
      <w:r w:rsidRPr="00B71A62">
        <w:rPr>
          <w:rFonts w:ascii="Arial" w:eastAsia="Times New Roman" w:hAnsi="Arial" w:cs="Arial"/>
          <w:sz w:val="24"/>
          <w:szCs w:val="24"/>
          <w:lang w:eastAsia="en-IN"/>
        </w:rPr>
        <w:t xml:space="preserve">. Productivity also showed a notable improvement, increasing by </w:t>
      </w:r>
      <w:r w:rsidRPr="00EB50ED">
        <w:rPr>
          <w:rFonts w:ascii="Arial" w:eastAsia="Times New Roman" w:hAnsi="Arial" w:cs="Arial"/>
          <w:bCs/>
          <w:sz w:val="24"/>
          <w:szCs w:val="24"/>
          <w:lang w:eastAsia="en-IN"/>
        </w:rPr>
        <w:t>1,140 kg ha</w:t>
      </w:r>
      <w:r w:rsidRPr="00EB50ED">
        <w:rPr>
          <w:rFonts w:ascii="Cambria Math" w:eastAsia="Times New Roman" w:hAnsi="Cambria Math" w:cs="Cambria Math"/>
          <w:bCs/>
          <w:sz w:val="24"/>
          <w:szCs w:val="24"/>
          <w:lang w:eastAsia="en-IN"/>
        </w:rPr>
        <w:t>⁻</w:t>
      </w:r>
      <w:r w:rsidRPr="00EB50ED">
        <w:rPr>
          <w:rFonts w:ascii="Arial" w:eastAsia="Times New Roman" w:hAnsi="Arial" w:cs="Arial"/>
          <w:bCs/>
          <w:sz w:val="24"/>
          <w:szCs w:val="24"/>
          <w:lang w:eastAsia="en-IN"/>
        </w:rPr>
        <w:t>¹</w:t>
      </w:r>
      <w:r w:rsidRPr="00B71A62">
        <w:rPr>
          <w:rFonts w:ascii="Arial" w:eastAsia="Times New Roman" w:hAnsi="Arial" w:cs="Arial"/>
          <w:sz w:val="24"/>
          <w:szCs w:val="24"/>
          <w:lang w:eastAsia="en-IN"/>
        </w:rPr>
        <w:t xml:space="preserve"> over the same period.</w:t>
      </w:r>
      <w:r w:rsidRPr="00EB50ED">
        <w:rPr>
          <w:rFonts w:ascii="Arial" w:eastAsia="Times New Roman" w:hAnsi="Arial" w:cs="Arial"/>
          <w:sz w:val="24"/>
          <w:szCs w:val="24"/>
          <w:lang w:eastAsia="en-IN"/>
        </w:rPr>
        <w:t xml:space="preserve"> </w:t>
      </w:r>
      <w:r w:rsidRPr="00B71A62">
        <w:rPr>
          <w:rFonts w:ascii="Arial" w:eastAsia="Times New Roman" w:hAnsi="Arial" w:cs="Arial"/>
          <w:sz w:val="24"/>
          <w:szCs w:val="24"/>
          <w:lang w:eastAsia="en-IN"/>
        </w:rPr>
        <w:t xml:space="preserve">In relative terms, the </w:t>
      </w:r>
      <w:r w:rsidRPr="00EB50ED">
        <w:rPr>
          <w:rFonts w:ascii="Arial" w:eastAsia="Times New Roman" w:hAnsi="Arial" w:cs="Arial"/>
          <w:bCs/>
          <w:sz w:val="24"/>
          <w:szCs w:val="24"/>
          <w:lang w:eastAsia="en-IN"/>
        </w:rPr>
        <w:t>highest growth was observed in maize production</w:t>
      </w:r>
      <w:r w:rsidRPr="00B71A62">
        <w:rPr>
          <w:rFonts w:ascii="Arial" w:eastAsia="Times New Roman" w:hAnsi="Arial" w:cs="Arial"/>
          <w:sz w:val="24"/>
          <w:szCs w:val="24"/>
          <w:lang w:eastAsia="en-IN"/>
        </w:rPr>
        <w:t xml:space="preserve">, registering an increase of </w:t>
      </w:r>
      <w:r w:rsidRPr="00EB50ED">
        <w:rPr>
          <w:rFonts w:ascii="Arial" w:eastAsia="Times New Roman" w:hAnsi="Arial" w:cs="Arial"/>
          <w:bCs/>
          <w:sz w:val="24"/>
          <w:szCs w:val="24"/>
          <w:lang w:eastAsia="en-IN"/>
        </w:rPr>
        <w:t>159.33 per cent</w:t>
      </w:r>
      <w:r w:rsidRPr="00B71A62">
        <w:rPr>
          <w:rFonts w:ascii="Arial" w:eastAsia="Times New Roman" w:hAnsi="Arial" w:cs="Arial"/>
          <w:sz w:val="24"/>
          <w:szCs w:val="24"/>
          <w:lang w:eastAsia="en-IN"/>
        </w:rPr>
        <w:t xml:space="preserve">, followed by </w:t>
      </w:r>
      <w:r w:rsidRPr="00EB50ED">
        <w:rPr>
          <w:rFonts w:ascii="Arial" w:eastAsia="Times New Roman" w:hAnsi="Arial" w:cs="Arial"/>
          <w:bCs/>
          <w:sz w:val="24"/>
          <w:szCs w:val="24"/>
          <w:lang w:eastAsia="en-IN"/>
        </w:rPr>
        <w:t>area expansion (64.06 per cent)</w:t>
      </w:r>
      <w:r w:rsidRPr="00B71A62">
        <w:rPr>
          <w:rFonts w:ascii="Arial" w:eastAsia="Times New Roman" w:hAnsi="Arial" w:cs="Arial"/>
          <w:sz w:val="24"/>
          <w:szCs w:val="24"/>
          <w:lang w:eastAsia="en-IN"/>
        </w:rPr>
        <w:t xml:space="preserve"> and </w:t>
      </w:r>
      <w:r w:rsidRPr="00EB50ED">
        <w:rPr>
          <w:rFonts w:ascii="Arial" w:eastAsia="Times New Roman" w:hAnsi="Arial" w:cs="Arial"/>
          <w:bCs/>
          <w:sz w:val="24"/>
          <w:szCs w:val="24"/>
          <w:lang w:eastAsia="en-IN"/>
        </w:rPr>
        <w:t>productivity enhancement (58.97 per cent)</w:t>
      </w:r>
      <w:r w:rsidRPr="00B71A62">
        <w:rPr>
          <w:rFonts w:ascii="Arial" w:eastAsia="Times New Roman" w:hAnsi="Arial" w:cs="Arial"/>
          <w:sz w:val="24"/>
          <w:szCs w:val="24"/>
          <w:lang w:eastAsia="en-IN"/>
        </w:rPr>
        <w:t>. This indicates that production growth was driven not only by area expansion but also by significant gains in yield.</w:t>
      </w:r>
      <w:r w:rsidRPr="00EB50ED">
        <w:rPr>
          <w:rFonts w:ascii="Arial" w:eastAsia="Times New Roman" w:hAnsi="Arial" w:cs="Arial"/>
          <w:sz w:val="24"/>
          <w:szCs w:val="24"/>
          <w:lang w:eastAsia="en-IN"/>
        </w:rPr>
        <w:t xml:space="preserve"> </w:t>
      </w:r>
      <w:r w:rsidRPr="00B71A62">
        <w:rPr>
          <w:rFonts w:ascii="Arial" w:eastAsia="Times New Roman" w:hAnsi="Arial" w:cs="Arial"/>
          <w:sz w:val="24"/>
          <w:szCs w:val="24"/>
          <w:lang w:eastAsia="en-IN"/>
        </w:rPr>
        <w:t xml:space="preserve">Variability analysis further shows that maize production exhibited the </w:t>
      </w:r>
      <w:r w:rsidRPr="00EB50ED">
        <w:rPr>
          <w:rFonts w:ascii="Arial" w:eastAsia="Times New Roman" w:hAnsi="Arial" w:cs="Arial"/>
          <w:bCs/>
          <w:sz w:val="24"/>
          <w:szCs w:val="24"/>
          <w:lang w:eastAsia="en-IN"/>
        </w:rPr>
        <w:t>highest coefficient of variation (60.20 per cent)</w:t>
      </w:r>
      <w:r w:rsidRPr="00B71A62">
        <w:rPr>
          <w:rFonts w:ascii="Arial" w:eastAsia="Times New Roman" w:hAnsi="Arial" w:cs="Arial"/>
          <w:sz w:val="24"/>
          <w:szCs w:val="24"/>
          <w:lang w:eastAsia="en-IN"/>
        </w:rPr>
        <w:t>, reflecting considerable year-to-year fluctuations, followed by productivity (</w:t>
      </w:r>
      <w:r w:rsidRPr="00EB50ED">
        <w:rPr>
          <w:rFonts w:ascii="Arial" w:eastAsia="Times New Roman" w:hAnsi="Arial" w:cs="Arial"/>
          <w:bCs/>
          <w:sz w:val="24"/>
          <w:szCs w:val="24"/>
          <w:lang w:eastAsia="en-IN"/>
        </w:rPr>
        <w:t>38.40 per cent</w:t>
      </w:r>
      <w:r w:rsidRPr="00B71A62">
        <w:rPr>
          <w:rFonts w:ascii="Arial" w:eastAsia="Times New Roman" w:hAnsi="Arial" w:cs="Arial"/>
          <w:sz w:val="24"/>
          <w:szCs w:val="24"/>
          <w:lang w:eastAsia="en-IN"/>
        </w:rPr>
        <w:t>) and area (</w:t>
      </w:r>
      <w:r w:rsidRPr="00EB50ED">
        <w:rPr>
          <w:rFonts w:ascii="Arial" w:eastAsia="Times New Roman" w:hAnsi="Arial" w:cs="Arial"/>
          <w:bCs/>
          <w:sz w:val="24"/>
          <w:szCs w:val="24"/>
          <w:lang w:eastAsia="en-IN"/>
        </w:rPr>
        <w:t>23.60 per cent</w:t>
      </w:r>
      <w:r w:rsidRPr="00B71A62">
        <w:rPr>
          <w:rFonts w:ascii="Arial" w:eastAsia="Times New Roman" w:hAnsi="Arial" w:cs="Arial"/>
          <w:sz w:val="24"/>
          <w:szCs w:val="24"/>
          <w:lang w:eastAsia="en-IN"/>
        </w:rPr>
        <w:t>). The higher variability in production can be attributed to fluctuations in weather conditions, market prices, and differential adoption of improved hybrids and production technologies.</w:t>
      </w:r>
      <w:r w:rsidRPr="00EB50ED">
        <w:rPr>
          <w:rFonts w:ascii="Arial" w:eastAsia="Times New Roman" w:hAnsi="Arial" w:cs="Arial"/>
          <w:sz w:val="24"/>
          <w:szCs w:val="24"/>
          <w:lang w:eastAsia="en-IN"/>
        </w:rPr>
        <w:t xml:space="preserve"> </w:t>
      </w:r>
      <w:r w:rsidRPr="00B71A62">
        <w:rPr>
          <w:rFonts w:ascii="Arial" w:eastAsia="Times New Roman" w:hAnsi="Arial" w:cs="Arial"/>
          <w:sz w:val="24"/>
          <w:szCs w:val="24"/>
          <w:lang w:eastAsia="en-IN"/>
        </w:rPr>
        <w:t xml:space="preserve">The observed expansion in maize area, production, and productivity in Madhya Pradesh can largely be attributed to the </w:t>
      </w:r>
      <w:r w:rsidRPr="00EB50ED">
        <w:rPr>
          <w:rFonts w:ascii="Arial" w:eastAsia="Times New Roman" w:hAnsi="Arial" w:cs="Arial"/>
          <w:bCs/>
          <w:sz w:val="24"/>
          <w:szCs w:val="24"/>
          <w:lang w:eastAsia="en-IN"/>
        </w:rPr>
        <w:t>steadily increasing national demand for maize</w:t>
      </w:r>
      <w:r w:rsidRPr="00B71A62">
        <w:rPr>
          <w:rFonts w:ascii="Arial" w:eastAsia="Times New Roman" w:hAnsi="Arial" w:cs="Arial"/>
          <w:sz w:val="24"/>
          <w:szCs w:val="24"/>
          <w:lang w:eastAsia="en-IN"/>
        </w:rPr>
        <w:t xml:space="preserve">, particularly from the </w:t>
      </w:r>
      <w:r w:rsidRPr="00EB50ED">
        <w:rPr>
          <w:rFonts w:ascii="Arial" w:eastAsia="Times New Roman" w:hAnsi="Arial" w:cs="Arial"/>
          <w:bCs/>
          <w:sz w:val="24"/>
          <w:szCs w:val="24"/>
          <w:lang w:eastAsia="en-IN"/>
        </w:rPr>
        <w:t>industrial and feed sectors</w:t>
      </w:r>
      <w:r w:rsidRPr="00B71A62">
        <w:rPr>
          <w:rFonts w:ascii="Arial" w:eastAsia="Times New Roman" w:hAnsi="Arial" w:cs="Arial"/>
          <w:sz w:val="24"/>
          <w:szCs w:val="24"/>
          <w:lang w:eastAsia="en-IN"/>
        </w:rPr>
        <w:t xml:space="preserve">. Maize is extensively used in the manufacture of starch, ethanol, alcoholic beverages, cosmetics, gums, textiles, food sweeteners, and poultry feed, which has incentivized farmers to shift towards maize cultivation. Similar trends were reported by </w:t>
      </w:r>
      <w:r w:rsidRPr="00EB50ED">
        <w:rPr>
          <w:rFonts w:ascii="Arial" w:eastAsia="Times New Roman" w:hAnsi="Arial" w:cs="Arial"/>
          <w:bCs/>
          <w:sz w:val="24"/>
          <w:szCs w:val="24"/>
          <w:lang w:eastAsia="en-IN"/>
        </w:rPr>
        <w:t>Kumar and Singh (2017)</w:t>
      </w:r>
      <w:r w:rsidRPr="00B71A62">
        <w:rPr>
          <w:rFonts w:ascii="Arial" w:eastAsia="Times New Roman" w:hAnsi="Arial" w:cs="Arial"/>
          <w:sz w:val="24"/>
          <w:szCs w:val="24"/>
          <w:lang w:eastAsia="en-IN"/>
        </w:rPr>
        <w:t xml:space="preserve"> in Bihar, who observed that rising industrial and feed demand necessitated sustained growth in maize production</w:t>
      </w:r>
      <w:r w:rsidR="00EB50ED">
        <w:rPr>
          <w:rFonts w:ascii="Arial" w:eastAsia="Times New Roman" w:hAnsi="Arial" w:cs="Arial"/>
          <w:sz w:val="24"/>
          <w:szCs w:val="24"/>
          <w:lang w:eastAsia="en-IN"/>
        </w:rPr>
        <w:t>.</w:t>
      </w:r>
    </w:p>
    <w:p w14:paraId="30F43EB6" w14:textId="77777777" w:rsidR="0059644D" w:rsidRPr="004372C2" w:rsidRDefault="0059644D" w:rsidP="0059644D">
      <w:pPr>
        <w:rPr>
          <w:rFonts w:ascii="Arial" w:hAnsi="Arial" w:cs="Arial"/>
          <w:b/>
          <w:bCs/>
        </w:rPr>
      </w:pPr>
      <w:r w:rsidRPr="004372C2">
        <w:rPr>
          <w:rFonts w:ascii="Arial" w:hAnsi="Arial" w:cs="Arial"/>
          <w:b/>
          <w:bCs/>
        </w:rPr>
        <w:t>Table</w:t>
      </w:r>
      <w:r w:rsidR="009D4943" w:rsidRPr="004372C2">
        <w:rPr>
          <w:rFonts w:ascii="Arial" w:hAnsi="Arial" w:cs="Arial"/>
          <w:b/>
          <w:bCs/>
        </w:rPr>
        <w:t xml:space="preserve"> </w:t>
      </w:r>
      <w:r w:rsidR="003F2792" w:rsidRPr="004372C2">
        <w:rPr>
          <w:rFonts w:ascii="Arial" w:hAnsi="Arial" w:cs="Arial"/>
          <w:b/>
          <w:bCs/>
        </w:rPr>
        <w:t>1.</w:t>
      </w:r>
      <w:r w:rsidRPr="004372C2">
        <w:rPr>
          <w:rFonts w:ascii="Arial" w:hAnsi="Arial" w:cs="Arial"/>
          <w:b/>
          <w:bCs/>
        </w:rPr>
        <w:t xml:space="preserve"> Relative change and variability in the area, production and yiel</w:t>
      </w:r>
      <w:r w:rsidR="00A51098">
        <w:rPr>
          <w:rFonts w:ascii="Arial" w:hAnsi="Arial" w:cs="Arial"/>
          <w:b/>
          <w:bCs/>
        </w:rPr>
        <w:t>d of Maize</w:t>
      </w:r>
      <w:r w:rsidRPr="004372C2">
        <w:rPr>
          <w:rFonts w:ascii="Arial" w:hAnsi="Arial" w:cs="Arial"/>
          <w:b/>
          <w:bCs/>
        </w:rPr>
        <w:t xml:space="preserve"> in </w:t>
      </w:r>
      <w:r w:rsidR="00A51098">
        <w:rPr>
          <w:rFonts w:ascii="Arial" w:hAnsi="Arial" w:cs="Arial"/>
          <w:b/>
          <w:bCs/>
        </w:rPr>
        <w:t xml:space="preserve">Madhya Pradesh </w:t>
      </w:r>
      <w:r w:rsidRPr="004372C2">
        <w:rPr>
          <w:rFonts w:ascii="Arial" w:hAnsi="Arial" w:cs="Arial"/>
          <w:b/>
          <w:bCs/>
        </w:rPr>
        <w:t>from 2001-02 to 2020-21</w:t>
      </w:r>
    </w:p>
    <w:tbl>
      <w:tblPr>
        <w:tblStyle w:val="LightShading"/>
        <w:tblW w:w="9351" w:type="dxa"/>
        <w:tblLook w:val="04A0" w:firstRow="1" w:lastRow="0" w:firstColumn="1" w:lastColumn="0" w:noHBand="0" w:noVBand="1"/>
      </w:tblPr>
      <w:tblGrid>
        <w:gridCol w:w="2518"/>
        <w:gridCol w:w="2155"/>
        <w:gridCol w:w="2552"/>
        <w:gridCol w:w="2126"/>
      </w:tblGrid>
      <w:tr w:rsidR="0059644D" w:rsidRPr="004372C2" w14:paraId="49307575" w14:textId="77777777" w:rsidTr="00511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5168BBC" w14:textId="77777777" w:rsidR="0059644D" w:rsidRPr="004372C2" w:rsidRDefault="0059644D" w:rsidP="00CD556C">
            <w:pPr>
              <w:rPr>
                <w:rFonts w:ascii="Arial" w:hAnsi="Arial" w:cs="Arial"/>
                <w:b w:val="0"/>
                <w:bCs w:val="0"/>
              </w:rPr>
            </w:pPr>
            <w:r w:rsidRPr="004372C2">
              <w:rPr>
                <w:rFonts w:ascii="Arial" w:hAnsi="Arial" w:cs="Arial"/>
              </w:rPr>
              <w:t>Particulars</w:t>
            </w:r>
          </w:p>
        </w:tc>
        <w:tc>
          <w:tcPr>
            <w:tcW w:w="2155" w:type="dxa"/>
          </w:tcPr>
          <w:p w14:paraId="6CFB66F0"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Area (000</w:t>
            </w:r>
            <w:r w:rsidR="00D714FF" w:rsidRPr="004372C2">
              <w:rPr>
                <w:rFonts w:ascii="Arial" w:hAnsi="Arial" w:cs="Arial"/>
              </w:rPr>
              <w:t xml:space="preserve"> </w:t>
            </w:r>
            <w:r w:rsidRPr="004372C2">
              <w:rPr>
                <w:rFonts w:ascii="Arial" w:hAnsi="Arial" w:cs="Arial"/>
              </w:rPr>
              <w:t>ha.)</w:t>
            </w:r>
          </w:p>
        </w:tc>
        <w:tc>
          <w:tcPr>
            <w:tcW w:w="2552" w:type="dxa"/>
          </w:tcPr>
          <w:p w14:paraId="03A8F582"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 xml:space="preserve">Production </w:t>
            </w:r>
          </w:p>
          <w:p w14:paraId="03DF3A7F"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(000tonnes)</w:t>
            </w:r>
          </w:p>
        </w:tc>
        <w:tc>
          <w:tcPr>
            <w:tcW w:w="2126" w:type="dxa"/>
          </w:tcPr>
          <w:p w14:paraId="25D3CB71" w14:textId="77777777" w:rsidR="0059644D" w:rsidRPr="004372C2" w:rsidRDefault="0059644D" w:rsidP="00CD556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372C2">
              <w:rPr>
                <w:rFonts w:ascii="Arial" w:hAnsi="Arial" w:cs="Arial"/>
              </w:rPr>
              <w:t>Productivity (kg/ha.)</w:t>
            </w:r>
          </w:p>
        </w:tc>
      </w:tr>
      <w:tr w:rsidR="00A51098" w:rsidRPr="004372C2" w14:paraId="71C8F399"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6316E750" w14:textId="77777777" w:rsidR="00A51098" w:rsidRPr="004372C2" w:rsidRDefault="00A51098" w:rsidP="00CD556C">
            <w:pPr>
              <w:rPr>
                <w:rFonts w:ascii="Arial" w:hAnsi="Arial" w:cs="Arial"/>
                <w:b w:val="0"/>
                <w:bCs w:val="0"/>
              </w:rPr>
            </w:pPr>
            <w:r w:rsidRPr="004372C2">
              <w:rPr>
                <w:rFonts w:ascii="Arial" w:hAnsi="Arial" w:cs="Arial"/>
              </w:rPr>
              <w:t>Base year(T</w:t>
            </w:r>
            <w:r w:rsidRPr="004372C2">
              <w:rPr>
                <w:rFonts w:ascii="Arial" w:hAnsi="Arial" w:cs="Arial"/>
                <w:vertAlign w:val="subscript"/>
              </w:rPr>
              <w:t>1</w:t>
            </w:r>
            <w:r w:rsidRPr="004372C2">
              <w:rPr>
                <w:rFonts w:ascii="Arial" w:hAnsi="Arial" w:cs="Arial"/>
              </w:rPr>
              <w:t>)</w:t>
            </w:r>
          </w:p>
        </w:tc>
        <w:tc>
          <w:tcPr>
            <w:tcW w:w="2155" w:type="dxa"/>
            <w:shd w:val="clear" w:color="auto" w:fill="auto"/>
          </w:tcPr>
          <w:p w14:paraId="00B4D1CA" w14:textId="77777777" w:rsidR="00A51098" w:rsidRDefault="00A51098" w:rsidP="00213893">
            <w:pPr>
              <w:pStyle w:val="TableParagraph"/>
              <w:spacing w:line="255" w:lineRule="exact"/>
              <w:ind w:right="16"/>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863.55</w:t>
            </w:r>
          </w:p>
        </w:tc>
        <w:tc>
          <w:tcPr>
            <w:tcW w:w="2552" w:type="dxa"/>
            <w:shd w:val="clear" w:color="auto" w:fill="auto"/>
          </w:tcPr>
          <w:p w14:paraId="33E0F12C" w14:textId="77777777" w:rsidR="00A51098" w:rsidRDefault="00A51098" w:rsidP="00213893">
            <w:pPr>
              <w:pStyle w:val="TableParagraph"/>
              <w:spacing w:line="255" w:lineRule="exact"/>
              <w:ind w:right="16"/>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1672.51</w:t>
            </w:r>
          </w:p>
        </w:tc>
        <w:tc>
          <w:tcPr>
            <w:tcW w:w="2126" w:type="dxa"/>
            <w:shd w:val="clear" w:color="auto" w:fill="auto"/>
          </w:tcPr>
          <w:p w14:paraId="57910711" w14:textId="77777777" w:rsidR="00A51098" w:rsidRDefault="00A51098" w:rsidP="00213893">
            <w:pPr>
              <w:pStyle w:val="TableParagraph"/>
              <w:spacing w:line="255" w:lineRule="exact"/>
              <w:ind w:left="2" w:right="15"/>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1933.33</w:t>
            </w:r>
          </w:p>
        </w:tc>
      </w:tr>
      <w:tr w:rsidR="00A51098" w:rsidRPr="004372C2" w14:paraId="5F2A3EB3" w14:textId="77777777" w:rsidTr="00511944">
        <w:tc>
          <w:tcPr>
            <w:cnfStyle w:val="001000000000" w:firstRow="0" w:lastRow="0" w:firstColumn="1" w:lastColumn="0" w:oddVBand="0" w:evenVBand="0" w:oddHBand="0" w:evenHBand="0" w:firstRowFirstColumn="0" w:firstRowLastColumn="0" w:lastRowFirstColumn="0" w:lastRowLastColumn="0"/>
            <w:tcW w:w="2518" w:type="dxa"/>
          </w:tcPr>
          <w:p w14:paraId="453623A0" w14:textId="77777777" w:rsidR="00A51098" w:rsidRPr="004372C2" w:rsidRDefault="00A51098" w:rsidP="00CD556C">
            <w:pPr>
              <w:rPr>
                <w:rFonts w:ascii="Arial" w:hAnsi="Arial" w:cs="Arial"/>
                <w:b w:val="0"/>
                <w:bCs w:val="0"/>
              </w:rPr>
            </w:pPr>
            <w:r w:rsidRPr="004372C2">
              <w:rPr>
                <w:rFonts w:ascii="Arial" w:hAnsi="Arial" w:cs="Arial"/>
              </w:rPr>
              <w:t>Current year(T</w:t>
            </w:r>
            <w:r w:rsidRPr="004372C2">
              <w:rPr>
                <w:rFonts w:ascii="Arial" w:hAnsi="Arial" w:cs="Arial"/>
                <w:vertAlign w:val="subscript"/>
              </w:rPr>
              <w:t>2</w:t>
            </w:r>
            <w:r w:rsidRPr="004372C2">
              <w:rPr>
                <w:rFonts w:ascii="Arial" w:hAnsi="Arial" w:cs="Arial"/>
              </w:rPr>
              <w:t>)</w:t>
            </w:r>
          </w:p>
        </w:tc>
        <w:tc>
          <w:tcPr>
            <w:tcW w:w="2155" w:type="dxa"/>
          </w:tcPr>
          <w:p w14:paraId="49019275" w14:textId="77777777" w:rsidR="00A51098" w:rsidRDefault="00A51098" w:rsidP="00213893">
            <w:pPr>
              <w:pStyle w:val="TableParagraph"/>
              <w:spacing w:before="1" w:line="256" w:lineRule="exact"/>
              <w:ind w:right="16"/>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1416.74</w:t>
            </w:r>
          </w:p>
        </w:tc>
        <w:tc>
          <w:tcPr>
            <w:tcW w:w="2552" w:type="dxa"/>
          </w:tcPr>
          <w:p w14:paraId="5C5C6A78" w14:textId="77777777" w:rsidR="00A51098" w:rsidRDefault="00A51098" w:rsidP="00213893">
            <w:pPr>
              <w:pStyle w:val="TableParagraph"/>
              <w:spacing w:before="1" w:line="256" w:lineRule="exact"/>
              <w:ind w:left="1" w:right="16"/>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4337.38</w:t>
            </w:r>
          </w:p>
        </w:tc>
        <w:tc>
          <w:tcPr>
            <w:tcW w:w="2126" w:type="dxa"/>
          </w:tcPr>
          <w:p w14:paraId="606D60DF" w14:textId="77777777" w:rsidR="00A51098" w:rsidRDefault="00A51098" w:rsidP="00213893">
            <w:pPr>
              <w:pStyle w:val="TableParagraph"/>
              <w:spacing w:before="1" w:line="256" w:lineRule="exact"/>
              <w:ind w:left="2" w:right="15"/>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3073.33</w:t>
            </w:r>
          </w:p>
        </w:tc>
      </w:tr>
      <w:tr w:rsidR="00A51098" w:rsidRPr="004372C2" w14:paraId="3EF92954"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72B4443F" w14:textId="77777777" w:rsidR="00A51098" w:rsidRPr="004372C2" w:rsidRDefault="00A51098" w:rsidP="00CD556C">
            <w:pPr>
              <w:rPr>
                <w:rFonts w:ascii="Arial" w:hAnsi="Arial" w:cs="Arial"/>
                <w:b w:val="0"/>
                <w:bCs w:val="0"/>
              </w:rPr>
            </w:pPr>
            <w:r w:rsidRPr="004372C2">
              <w:rPr>
                <w:rFonts w:ascii="Arial" w:hAnsi="Arial" w:cs="Arial"/>
              </w:rPr>
              <w:t>Absolute change</w:t>
            </w:r>
          </w:p>
        </w:tc>
        <w:tc>
          <w:tcPr>
            <w:tcW w:w="2155" w:type="dxa"/>
            <w:shd w:val="clear" w:color="auto" w:fill="auto"/>
          </w:tcPr>
          <w:p w14:paraId="08AB2252" w14:textId="77777777" w:rsidR="00A51098" w:rsidRDefault="00A51098" w:rsidP="00213893">
            <w:pPr>
              <w:pStyle w:val="TableParagraph"/>
              <w:spacing w:line="256" w:lineRule="exact"/>
              <w:ind w:left="5" w:right="16"/>
              <w:jc w:val="center"/>
              <w:cnfStyle w:val="000000100000" w:firstRow="0" w:lastRow="0" w:firstColumn="0" w:lastColumn="0" w:oddVBand="0" w:evenVBand="0" w:oddHBand="1" w:evenHBand="0" w:firstRowFirstColumn="0" w:firstRowLastColumn="0" w:lastRowFirstColumn="0" w:lastRowLastColumn="0"/>
              <w:rPr>
                <w:sz w:val="24"/>
              </w:rPr>
            </w:pPr>
            <w:r>
              <w:rPr>
                <w:spacing w:val="-5"/>
                <w:sz w:val="24"/>
              </w:rPr>
              <w:t>553</w:t>
            </w:r>
          </w:p>
        </w:tc>
        <w:tc>
          <w:tcPr>
            <w:tcW w:w="2552" w:type="dxa"/>
            <w:shd w:val="clear" w:color="auto" w:fill="auto"/>
          </w:tcPr>
          <w:p w14:paraId="285059F7" w14:textId="77777777" w:rsidR="00A51098" w:rsidRDefault="00A51098" w:rsidP="00213893">
            <w:pPr>
              <w:pStyle w:val="TableParagraph"/>
              <w:spacing w:line="256" w:lineRule="exact"/>
              <w:ind w:left="1" w:right="16"/>
              <w:jc w:val="center"/>
              <w:cnfStyle w:val="000000100000" w:firstRow="0" w:lastRow="0" w:firstColumn="0" w:lastColumn="0" w:oddVBand="0" w:evenVBand="0" w:oddHBand="1" w:evenHBand="0" w:firstRowFirstColumn="0" w:firstRowLastColumn="0" w:lastRowFirstColumn="0" w:lastRowLastColumn="0"/>
              <w:rPr>
                <w:sz w:val="24"/>
              </w:rPr>
            </w:pPr>
            <w:r>
              <w:rPr>
                <w:spacing w:val="-4"/>
                <w:sz w:val="24"/>
              </w:rPr>
              <w:t>2665</w:t>
            </w:r>
          </w:p>
        </w:tc>
        <w:tc>
          <w:tcPr>
            <w:tcW w:w="2126" w:type="dxa"/>
            <w:shd w:val="clear" w:color="auto" w:fill="auto"/>
          </w:tcPr>
          <w:p w14:paraId="2D9818B8" w14:textId="77777777" w:rsidR="00A51098" w:rsidRDefault="00A51098" w:rsidP="00213893">
            <w:pPr>
              <w:pStyle w:val="TableParagraph"/>
              <w:spacing w:line="256" w:lineRule="exact"/>
              <w:ind w:right="15"/>
              <w:jc w:val="center"/>
              <w:cnfStyle w:val="000000100000" w:firstRow="0" w:lastRow="0" w:firstColumn="0" w:lastColumn="0" w:oddVBand="0" w:evenVBand="0" w:oddHBand="1" w:evenHBand="0" w:firstRowFirstColumn="0" w:firstRowLastColumn="0" w:lastRowFirstColumn="0" w:lastRowLastColumn="0"/>
              <w:rPr>
                <w:sz w:val="24"/>
              </w:rPr>
            </w:pPr>
            <w:r>
              <w:rPr>
                <w:spacing w:val="-4"/>
                <w:sz w:val="24"/>
              </w:rPr>
              <w:t>1140</w:t>
            </w:r>
          </w:p>
        </w:tc>
      </w:tr>
      <w:tr w:rsidR="00A51098" w:rsidRPr="004372C2" w14:paraId="75F00D41" w14:textId="77777777" w:rsidTr="00511944">
        <w:tc>
          <w:tcPr>
            <w:cnfStyle w:val="001000000000" w:firstRow="0" w:lastRow="0" w:firstColumn="1" w:lastColumn="0" w:oddVBand="0" w:evenVBand="0" w:oddHBand="0" w:evenHBand="0" w:firstRowFirstColumn="0" w:firstRowLastColumn="0" w:lastRowFirstColumn="0" w:lastRowLastColumn="0"/>
            <w:tcW w:w="2518" w:type="dxa"/>
          </w:tcPr>
          <w:p w14:paraId="77B3573A" w14:textId="77777777" w:rsidR="00A51098" w:rsidRPr="004372C2" w:rsidRDefault="00A51098" w:rsidP="00CD556C">
            <w:pPr>
              <w:rPr>
                <w:rFonts w:ascii="Arial" w:hAnsi="Arial" w:cs="Arial"/>
                <w:b w:val="0"/>
                <w:bCs w:val="0"/>
              </w:rPr>
            </w:pPr>
            <w:r w:rsidRPr="004372C2">
              <w:rPr>
                <w:rFonts w:ascii="Arial" w:hAnsi="Arial" w:cs="Arial"/>
              </w:rPr>
              <w:t>Relative change (%)</w:t>
            </w:r>
          </w:p>
        </w:tc>
        <w:tc>
          <w:tcPr>
            <w:tcW w:w="2155" w:type="dxa"/>
          </w:tcPr>
          <w:p w14:paraId="36263280" w14:textId="77777777" w:rsidR="00A51098" w:rsidRDefault="00A51098" w:rsidP="00213893">
            <w:pPr>
              <w:pStyle w:val="TableParagraph"/>
              <w:spacing w:line="256" w:lineRule="exact"/>
              <w:ind w:left="1" w:right="16"/>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64.06</w:t>
            </w:r>
          </w:p>
        </w:tc>
        <w:tc>
          <w:tcPr>
            <w:tcW w:w="2552" w:type="dxa"/>
          </w:tcPr>
          <w:p w14:paraId="726C17A9" w14:textId="77777777" w:rsidR="00A51098" w:rsidRDefault="00A51098" w:rsidP="00213893">
            <w:pPr>
              <w:pStyle w:val="TableParagraph"/>
              <w:spacing w:line="256" w:lineRule="exact"/>
              <w:ind w:left="1" w:right="16"/>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159.33</w:t>
            </w:r>
          </w:p>
        </w:tc>
        <w:tc>
          <w:tcPr>
            <w:tcW w:w="2126" w:type="dxa"/>
          </w:tcPr>
          <w:p w14:paraId="37D4B351" w14:textId="77777777" w:rsidR="00A51098" w:rsidRDefault="00A51098" w:rsidP="00213893">
            <w:pPr>
              <w:pStyle w:val="TableParagraph"/>
              <w:spacing w:line="256" w:lineRule="exact"/>
              <w:ind w:left="3" w:right="15"/>
              <w:jc w:val="center"/>
              <w:cnfStyle w:val="000000000000" w:firstRow="0" w:lastRow="0" w:firstColumn="0" w:lastColumn="0" w:oddVBand="0" w:evenVBand="0" w:oddHBand="0" w:evenHBand="0" w:firstRowFirstColumn="0" w:firstRowLastColumn="0" w:lastRowFirstColumn="0" w:lastRowLastColumn="0"/>
              <w:rPr>
                <w:sz w:val="24"/>
              </w:rPr>
            </w:pPr>
            <w:r>
              <w:rPr>
                <w:spacing w:val="-2"/>
                <w:sz w:val="24"/>
              </w:rPr>
              <w:t>58.97</w:t>
            </w:r>
          </w:p>
        </w:tc>
      </w:tr>
      <w:tr w:rsidR="00A51098" w:rsidRPr="004372C2" w14:paraId="7071D522" w14:textId="77777777" w:rsidTr="00511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auto"/>
          </w:tcPr>
          <w:p w14:paraId="153966DC" w14:textId="77777777" w:rsidR="00A51098" w:rsidRPr="004372C2" w:rsidRDefault="00A51098" w:rsidP="00CD556C">
            <w:pPr>
              <w:rPr>
                <w:rFonts w:ascii="Arial" w:hAnsi="Arial" w:cs="Arial"/>
                <w:b w:val="0"/>
                <w:bCs w:val="0"/>
              </w:rPr>
            </w:pPr>
            <w:r w:rsidRPr="004372C2">
              <w:rPr>
                <w:rFonts w:ascii="Arial" w:hAnsi="Arial" w:cs="Arial"/>
              </w:rPr>
              <w:t>CV (%)</w:t>
            </w:r>
          </w:p>
        </w:tc>
        <w:tc>
          <w:tcPr>
            <w:tcW w:w="2155" w:type="dxa"/>
            <w:shd w:val="clear" w:color="auto" w:fill="auto"/>
          </w:tcPr>
          <w:p w14:paraId="562BBD4B" w14:textId="77777777" w:rsidR="00A51098" w:rsidRDefault="00A51098" w:rsidP="00213893">
            <w:pPr>
              <w:pStyle w:val="TableParagraph"/>
              <w:spacing w:line="256" w:lineRule="exact"/>
              <w:ind w:left="1" w:right="16"/>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23.6</w:t>
            </w:r>
            <w:r w:rsidR="00E239D2">
              <w:rPr>
                <w:spacing w:val="-2"/>
                <w:sz w:val="24"/>
              </w:rPr>
              <w:t>0</w:t>
            </w:r>
            <w:r>
              <w:rPr>
                <w:spacing w:val="-2"/>
                <w:sz w:val="24"/>
              </w:rPr>
              <w:t>%</w:t>
            </w:r>
          </w:p>
        </w:tc>
        <w:tc>
          <w:tcPr>
            <w:tcW w:w="2552" w:type="dxa"/>
            <w:shd w:val="clear" w:color="auto" w:fill="auto"/>
          </w:tcPr>
          <w:p w14:paraId="6709C900" w14:textId="77777777" w:rsidR="00A51098" w:rsidRDefault="00A51098" w:rsidP="00213893">
            <w:pPr>
              <w:pStyle w:val="TableParagraph"/>
              <w:spacing w:line="256" w:lineRule="exact"/>
              <w:ind w:left="2" w:right="16"/>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60.2</w:t>
            </w:r>
            <w:r w:rsidR="006A7B99">
              <w:rPr>
                <w:spacing w:val="-2"/>
                <w:sz w:val="24"/>
              </w:rPr>
              <w:t>0</w:t>
            </w:r>
            <w:r>
              <w:rPr>
                <w:spacing w:val="-2"/>
                <w:sz w:val="24"/>
              </w:rPr>
              <w:t>%</w:t>
            </w:r>
          </w:p>
        </w:tc>
        <w:tc>
          <w:tcPr>
            <w:tcW w:w="2126" w:type="dxa"/>
            <w:shd w:val="clear" w:color="auto" w:fill="auto"/>
          </w:tcPr>
          <w:p w14:paraId="7D70EE45" w14:textId="77777777" w:rsidR="00A51098" w:rsidRDefault="00A51098" w:rsidP="00213893">
            <w:pPr>
              <w:pStyle w:val="TableParagraph"/>
              <w:spacing w:line="256" w:lineRule="exact"/>
              <w:ind w:left="3" w:right="15"/>
              <w:jc w:val="center"/>
              <w:cnfStyle w:val="000000100000" w:firstRow="0" w:lastRow="0" w:firstColumn="0" w:lastColumn="0" w:oddVBand="0" w:evenVBand="0" w:oddHBand="1" w:evenHBand="0" w:firstRowFirstColumn="0" w:firstRowLastColumn="0" w:lastRowFirstColumn="0" w:lastRowLastColumn="0"/>
              <w:rPr>
                <w:sz w:val="24"/>
              </w:rPr>
            </w:pPr>
            <w:r>
              <w:rPr>
                <w:spacing w:val="-2"/>
                <w:sz w:val="24"/>
              </w:rPr>
              <w:t>38.4</w:t>
            </w:r>
            <w:r w:rsidR="00E239D2">
              <w:rPr>
                <w:spacing w:val="-2"/>
                <w:sz w:val="24"/>
              </w:rPr>
              <w:t>0</w:t>
            </w:r>
            <w:r>
              <w:rPr>
                <w:spacing w:val="-2"/>
                <w:sz w:val="24"/>
              </w:rPr>
              <w:t>%</w:t>
            </w:r>
          </w:p>
        </w:tc>
      </w:tr>
    </w:tbl>
    <w:p w14:paraId="5A0A7428" w14:textId="77777777" w:rsidR="0059644D" w:rsidRPr="004372C2" w:rsidRDefault="0059644D" w:rsidP="0059644D">
      <w:pPr>
        <w:spacing w:after="0" w:line="360" w:lineRule="auto"/>
        <w:jc w:val="both"/>
        <w:rPr>
          <w:rFonts w:ascii="Arial" w:hAnsi="Arial" w:cs="Arial"/>
        </w:rPr>
      </w:pPr>
      <w:r w:rsidRPr="004372C2">
        <w:rPr>
          <w:rFonts w:ascii="Arial" w:hAnsi="Arial" w:cs="Arial"/>
        </w:rPr>
        <w:t>Base year (T</w:t>
      </w:r>
      <w:r w:rsidRPr="004372C2">
        <w:rPr>
          <w:rFonts w:ascii="Arial" w:hAnsi="Arial" w:cs="Arial"/>
          <w:vertAlign w:val="subscript"/>
        </w:rPr>
        <w:t>1</w:t>
      </w:r>
      <w:r w:rsidRPr="004372C2">
        <w:rPr>
          <w:rFonts w:ascii="Arial" w:hAnsi="Arial" w:cs="Arial"/>
        </w:rPr>
        <w:t>)</w:t>
      </w:r>
      <w:r w:rsidR="00783DE1" w:rsidRPr="004372C2">
        <w:rPr>
          <w:rFonts w:ascii="Arial" w:hAnsi="Arial" w:cs="Arial"/>
        </w:rPr>
        <w:t xml:space="preserve">     </w:t>
      </w:r>
      <w:r w:rsidRPr="004372C2">
        <w:rPr>
          <w:rFonts w:ascii="Arial" w:hAnsi="Arial" w:cs="Arial"/>
        </w:rPr>
        <w:t xml:space="preserve"> = Triennium average for 2001-02 to 2003-04</w:t>
      </w:r>
    </w:p>
    <w:p w14:paraId="5E1717A5" w14:textId="77777777" w:rsidR="0059644D" w:rsidRDefault="0059644D" w:rsidP="0059644D">
      <w:pPr>
        <w:spacing w:after="0" w:line="360" w:lineRule="auto"/>
        <w:jc w:val="both"/>
        <w:rPr>
          <w:rFonts w:ascii="Arial" w:hAnsi="Arial" w:cs="Arial"/>
        </w:rPr>
      </w:pPr>
      <w:r w:rsidRPr="004372C2">
        <w:rPr>
          <w:rFonts w:ascii="Arial" w:hAnsi="Arial" w:cs="Arial"/>
        </w:rPr>
        <w:t>Current year (T</w:t>
      </w:r>
      <w:r w:rsidRPr="004372C2">
        <w:rPr>
          <w:rFonts w:ascii="Arial" w:hAnsi="Arial" w:cs="Arial"/>
          <w:vertAlign w:val="subscript"/>
        </w:rPr>
        <w:t>2</w:t>
      </w:r>
      <w:r w:rsidR="00543154" w:rsidRPr="004372C2">
        <w:rPr>
          <w:rFonts w:ascii="Arial" w:hAnsi="Arial" w:cs="Arial"/>
        </w:rPr>
        <w:t>) =</w:t>
      </w:r>
      <w:r w:rsidRPr="004372C2">
        <w:rPr>
          <w:rFonts w:ascii="Arial" w:hAnsi="Arial" w:cs="Arial"/>
        </w:rPr>
        <w:t xml:space="preserve"> Triennium average for 2018-19 to 2020-21</w:t>
      </w:r>
    </w:p>
    <w:p w14:paraId="36F2EB1C" w14:textId="77777777" w:rsidR="005E732E" w:rsidRPr="00C9332F" w:rsidRDefault="00DA7120" w:rsidP="005E732E">
      <w:pPr>
        <w:pStyle w:val="Heading2"/>
        <w:spacing w:before="168"/>
        <w:ind w:left="0"/>
        <w:jc w:val="both"/>
        <w:rPr>
          <w:spacing w:val="-2"/>
        </w:rPr>
      </w:pPr>
      <w:r w:rsidRPr="00C9332F">
        <w:t xml:space="preserve">  </w:t>
      </w:r>
      <w:r w:rsidR="005E732E" w:rsidRPr="00C9332F">
        <w:t>Trend</w:t>
      </w:r>
      <w:r w:rsidR="005E732E" w:rsidRPr="00C9332F">
        <w:rPr>
          <w:spacing w:val="-5"/>
        </w:rPr>
        <w:t xml:space="preserve"> </w:t>
      </w:r>
      <w:r w:rsidR="005E732E" w:rsidRPr="00C9332F">
        <w:t>and</w:t>
      </w:r>
      <w:r w:rsidR="00F93F80" w:rsidRPr="00C9332F">
        <w:t xml:space="preserve"> Linear Growth Rate (</w:t>
      </w:r>
      <w:r w:rsidR="005E732E" w:rsidRPr="00C9332F">
        <w:t>LGR</w:t>
      </w:r>
      <w:r w:rsidR="00F93F80" w:rsidRPr="00C9332F">
        <w:t>)</w:t>
      </w:r>
      <w:r w:rsidR="005E732E" w:rsidRPr="00C9332F">
        <w:rPr>
          <w:spacing w:val="-4"/>
        </w:rPr>
        <w:t xml:space="preserve"> </w:t>
      </w:r>
      <w:r w:rsidR="005E732E" w:rsidRPr="00C9332F">
        <w:t>of</w:t>
      </w:r>
      <w:r w:rsidR="005E732E" w:rsidRPr="00C9332F">
        <w:rPr>
          <w:spacing w:val="-6"/>
        </w:rPr>
        <w:t xml:space="preserve"> </w:t>
      </w:r>
      <w:r w:rsidR="005E732E" w:rsidRPr="00C9332F">
        <w:t>maize</w:t>
      </w:r>
      <w:r w:rsidR="005E732E" w:rsidRPr="00C9332F">
        <w:rPr>
          <w:spacing w:val="-3"/>
        </w:rPr>
        <w:t xml:space="preserve"> </w:t>
      </w:r>
      <w:r w:rsidR="005E732E" w:rsidRPr="00C9332F">
        <w:t>in</w:t>
      </w:r>
      <w:r w:rsidR="005E732E" w:rsidRPr="00C9332F">
        <w:rPr>
          <w:spacing w:val="-7"/>
        </w:rPr>
        <w:t xml:space="preserve"> </w:t>
      </w:r>
      <w:r w:rsidR="005E732E" w:rsidRPr="00C9332F">
        <w:t>Madhya</w:t>
      </w:r>
      <w:r w:rsidR="005E732E" w:rsidRPr="00C9332F">
        <w:rPr>
          <w:spacing w:val="-4"/>
        </w:rPr>
        <w:t xml:space="preserve"> </w:t>
      </w:r>
      <w:r w:rsidR="005E732E" w:rsidRPr="00C9332F">
        <w:rPr>
          <w:spacing w:val="-2"/>
        </w:rPr>
        <w:t>Pradesh</w:t>
      </w:r>
    </w:p>
    <w:p w14:paraId="203266AB" w14:textId="77777777" w:rsidR="00F93F80" w:rsidRPr="00C9332F" w:rsidRDefault="00F93F80" w:rsidP="00F93F80">
      <w:pPr>
        <w:pStyle w:val="NormalWeb"/>
        <w:jc w:val="both"/>
        <w:rPr>
          <w:rFonts w:ascii="Arial" w:hAnsi="Arial" w:cs="Arial"/>
        </w:rPr>
      </w:pPr>
      <w:r w:rsidRPr="00C9332F">
        <w:rPr>
          <w:rFonts w:ascii="Arial" w:hAnsi="Arial" w:cs="Arial"/>
        </w:rPr>
        <w:t xml:space="preserve">The trends and linear growth rates of maize area, production, and productivity in Madhya Pradesh over the period </w:t>
      </w:r>
      <w:r w:rsidRPr="00C9332F">
        <w:rPr>
          <w:rStyle w:val="Strong"/>
          <w:rFonts w:ascii="Arial" w:hAnsi="Arial" w:cs="Arial"/>
          <w:b w:val="0"/>
        </w:rPr>
        <w:t>2001–02 to 2020–21</w:t>
      </w:r>
      <w:r w:rsidRPr="00C9332F">
        <w:rPr>
          <w:rFonts w:ascii="Arial" w:hAnsi="Arial" w:cs="Arial"/>
        </w:rPr>
        <w:t xml:space="preserve"> are presented in </w:t>
      </w:r>
      <w:r w:rsidRPr="00C9332F">
        <w:rPr>
          <w:rStyle w:val="Strong"/>
          <w:rFonts w:ascii="Arial" w:hAnsi="Arial" w:cs="Arial"/>
          <w:b w:val="0"/>
        </w:rPr>
        <w:t>Table 2</w:t>
      </w:r>
      <w:r w:rsidRPr="00C9332F">
        <w:rPr>
          <w:rFonts w:ascii="Arial" w:hAnsi="Arial" w:cs="Arial"/>
        </w:rPr>
        <w:t xml:space="preserve">. The results reveal a </w:t>
      </w:r>
      <w:r w:rsidRPr="00C9332F">
        <w:rPr>
          <w:rStyle w:val="Strong"/>
          <w:rFonts w:ascii="Arial" w:hAnsi="Arial" w:cs="Arial"/>
          <w:b w:val="0"/>
        </w:rPr>
        <w:t>positive and statistically highly significant growth trend</w:t>
      </w:r>
      <w:r w:rsidRPr="00C9332F">
        <w:rPr>
          <w:rFonts w:ascii="Arial" w:hAnsi="Arial" w:cs="Arial"/>
        </w:rPr>
        <w:t xml:space="preserve"> in all three components of maize production, indicating sustained expansion and intensification of maize cultivation in the state during the last two decades. The </w:t>
      </w:r>
      <w:r w:rsidRPr="00C9332F">
        <w:rPr>
          <w:rStyle w:val="Strong"/>
          <w:rFonts w:ascii="Arial" w:hAnsi="Arial" w:cs="Arial"/>
          <w:b w:val="0"/>
        </w:rPr>
        <w:t>area under maize cultivation</w:t>
      </w:r>
      <w:r w:rsidRPr="00C9332F">
        <w:rPr>
          <w:rFonts w:ascii="Arial" w:hAnsi="Arial" w:cs="Arial"/>
        </w:rPr>
        <w:t xml:space="preserve"> registered a </w:t>
      </w:r>
      <w:r w:rsidRPr="00C9332F">
        <w:rPr>
          <w:rStyle w:val="Strong"/>
          <w:rFonts w:ascii="Arial" w:hAnsi="Arial" w:cs="Arial"/>
          <w:b w:val="0"/>
        </w:rPr>
        <w:t>significant positive linear growth rate of 3.26 per cent per annum</w:t>
      </w:r>
      <w:r w:rsidRPr="00C9332F">
        <w:rPr>
          <w:rFonts w:ascii="Arial" w:hAnsi="Arial" w:cs="Arial"/>
        </w:rPr>
        <w:t xml:space="preserve">, with a regression coefficient (b value) of </w:t>
      </w:r>
      <w:r w:rsidRPr="00C9332F">
        <w:rPr>
          <w:rStyle w:val="Strong"/>
          <w:rFonts w:ascii="Arial" w:hAnsi="Arial" w:cs="Arial"/>
          <w:b w:val="0"/>
        </w:rPr>
        <w:t>32.88</w:t>
      </w:r>
      <w:r w:rsidRPr="00C9332F">
        <w:rPr>
          <w:rFonts w:ascii="Arial" w:hAnsi="Arial" w:cs="Arial"/>
        </w:rPr>
        <w:t xml:space="preserve">, significant at the 1 per cent level. This steady expansion in maize area suggests a gradual shift of farmers towards maize cultivation owing to its </w:t>
      </w:r>
      <w:r w:rsidRPr="00C9332F">
        <w:rPr>
          <w:rStyle w:val="Strong"/>
          <w:rFonts w:ascii="Arial" w:hAnsi="Arial" w:cs="Arial"/>
          <w:b w:val="0"/>
        </w:rPr>
        <w:t xml:space="preserve">comparative profitability, adaptability to diverse </w:t>
      </w:r>
      <w:proofErr w:type="spellStart"/>
      <w:r w:rsidRPr="00C9332F">
        <w:rPr>
          <w:rStyle w:val="Strong"/>
          <w:rFonts w:ascii="Arial" w:hAnsi="Arial" w:cs="Arial"/>
          <w:b w:val="0"/>
        </w:rPr>
        <w:t>agro</w:t>
      </w:r>
      <w:proofErr w:type="spellEnd"/>
      <w:r w:rsidRPr="00C9332F">
        <w:rPr>
          <w:rStyle w:val="Strong"/>
          <w:rFonts w:ascii="Arial" w:hAnsi="Arial" w:cs="Arial"/>
          <w:b w:val="0"/>
        </w:rPr>
        <w:t>-climatic conditions, and lower water requirement</w:t>
      </w:r>
      <w:r w:rsidRPr="00C9332F">
        <w:rPr>
          <w:rFonts w:ascii="Arial" w:hAnsi="Arial" w:cs="Arial"/>
          <w:b/>
        </w:rPr>
        <w:t xml:space="preserve"> </w:t>
      </w:r>
      <w:r w:rsidRPr="00C9332F">
        <w:rPr>
          <w:rFonts w:ascii="Arial" w:hAnsi="Arial" w:cs="Arial"/>
        </w:rPr>
        <w:t>compared to traditional cereals such as rice and wheat. Maize</w:t>
      </w:r>
      <w:r w:rsidRPr="00C9332F">
        <w:rPr>
          <w:rFonts w:ascii="Arial" w:hAnsi="Arial" w:cs="Arial"/>
          <w:b/>
        </w:rPr>
        <w:t xml:space="preserve"> </w:t>
      </w:r>
      <w:r w:rsidRPr="00C9332F">
        <w:rPr>
          <w:rStyle w:val="Strong"/>
          <w:rFonts w:ascii="Arial" w:hAnsi="Arial" w:cs="Arial"/>
          <w:b w:val="0"/>
        </w:rPr>
        <w:t>production exhibited the highest growth rate</w:t>
      </w:r>
      <w:r w:rsidRPr="00C9332F">
        <w:rPr>
          <w:rFonts w:ascii="Arial" w:hAnsi="Arial" w:cs="Arial"/>
          <w:b/>
        </w:rPr>
        <w:t xml:space="preserve">, </w:t>
      </w:r>
      <w:r w:rsidRPr="00C9332F">
        <w:rPr>
          <w:rFonts w:ascii="Arial" w:hAnsi="Arial" w:cs="Arial"/>
        </w:rPr>
        <w:t>recording a</w:t>
      </w:r>
      <w:r w:rsidRPr="00C9332F">
        <w:rPr>
          <w:rFonts w:ascii="Arial" w:hAnsi="Arial" w:cs="Arial"/>
          <w:b/>
        </w:rPr>
        <w:t xml:space="preserve"> </w:t>
      </w:r>
      <w:r w:rsidRPr="00C9332F">
        <w:rPr>
          <w:rStyle w:val="Strong"/>
          <w:rFonts w:ascii="Arial" w:hAnsi="Arial" w:cs="Arial"/>
          <w:b w:val="0"/>
        </w:rPr>
        <w:t>highly significant linear growth rate of 8.31 per cent per annum</w:t>
      </w:r>
      <w:r w:rsidRPr="00C9332F">
        <w:rPr>
          <w:rFonts w:ascii="Arial" w:hAnsi="Arial" w:cs="Arial"/>
          <w:b/>
        </w:rPr>
        <w:t xml:space="preserve">, </w:t>
      </w:r>
      <w:proofErr w:type="gramStart"/>
      <w:r w:rsidR="00C559C2" w:rsidRPr="00C9332F">
        <w:rPr>
          <w:rFonts w:ascii="Arial" w:hAnsi="Arial" w:cs="Arial"/>
        </w:rPr>
        <w:t xml:space="preserve">with </w:t>
      </w:r>
      <w:r w:rsidRPr="00C9332F">
        <w:rPr>
          <w:rFonts w:ascii="Arial" w:hAnsi="Arial" w:cs="Arial"/>
        </w:rPr>
        <w:t xml:space="preserve"> b</w:t>
      </w:r>
      <w:proofErr w:type="gramEnd"/>
      <w:r w:rsidRPr="00C9332F">
        <w:rPr>
          <w:rFonts w:ascii="Arial" w:hAnsi="Arial" w:cs="Arial"/>
        </w:rPr>
        <w:t xml:space="preserve"> value of</w:t>
      </w:r>
      <w:r w:rsidRPr="00C9332F">
        <w:rPr>
          <w:rFonts w:ascii="Arial" w:hAnsi="Arial" w:cs="Arial"/>
          <w:b/>
        </w:rPr>
        <w:t xml:space="preserve"> </w:t>
      </w:r>
      <w:r w:rsidRPr="00C9332F">
        <w:rPr>
          <w:rStyle w:val="Strong"/>
          <w:rFonts w:ascii="Arial" w:hAnsi="Arial" w:cs="Arial"/>
          <w:b w:val="0"/>
        </w:rPr>
        <w:t>191</w:t>
      </w:r>
      <w:r w:rsidRPr="00C9332F">
        <w:rPr>
          <w:rFonts w:ascii="Arial" w:hAnsi="Arial" w:cs="Arial"/>
          <w:b/>
        </w:rPr>
        <w:t xml:space="preserve">, </w:t>
      </w:r>
      <w:r w:rsidRPr="00C9332F">
        <w:rPr>
          <w:rFonts w:ascii="Arial" w:hAnsi="Arial" w:cs="Arial"/>
        </w:rPr>
        <w:t xml:space="preserve">significant at the 1 per cent level. </w:t>
      </w:r>
      <w:r w:rsidR="00BB337E" w:rsidRPr="00C9332F">
        <w:rPr>
          <w:rFonts w:ascii="Arial" w:hAnsi="Arial" w:cs="Arial"/>
        </w:rPr>
        <w:t>This finding is consistent with Chand and Raju (2009), who showed that agricultural output growth in India has been driven by a combination of area expansion and yield improvement, with variation</w:t>
      </w:r>
      <w:r w:rsidR="00151BEC" w:rsidRPr="00C9332F">
        <w:rPr>
          <w:rFonts w:ascii="Arial" w:hAnsi="Arial" w:cs="Arial"/>
        </w:rPr>
        <w:t xml:space="preserve">s across </w:t>
      </w:r>
      <w:r w:rsidR="00151BEC" w:rsidRPr="00C9332F">
        <w:rPr>
          <w:rFonts w:ascii="Arial" w:hAnsi="Arial" w:cs="Arial"/>
        </w:rPr>
        <w:lastRenderedPageBreak/>
        <w:t xml:space="preserve">crops and time </w:t>
      </w:r>
      <w:proofErr w:type="spellStart"/>
      <w:proofErr w:type="gramStart"/>
      <w:r w:rsidR="00151BEC" w:rsidRPr="00C9332F">
        <w:rPr>
          <w:rFonts w:ascii="Arial" w:hAnsi="Arial" w:cs="Arial"/>
        </w:rPr>
        <w:t>periods</w:t>
      </w:r>
      <w:r w:rsidR="001544AB" w:rsidRPr="00C9332F">
        <w:rPr>
          <w:rFonts w:ascii="Arial" w:hAnsi="Arial" w:cs="Arial"/>
        </w:rPr>
        <w:t>.</w:t>
      </w:r>
      <w:r w:rsidRPr="00C9332F">
        <w:rPr>
          <w:rFonts w:ascii="Arial" w:hAnsi="Arial" w:cs="Arial"/>
        </w:rPr>
        <w:t>The</w:t>
      </w:r>
      <w:proofErr w:type="spellEnd"/>
      <w:proofErr w:type="gramEnd"/>
      <w:r w:rsidRPr="00C9332F">
        <w:rPr>
          <w:rFonts w:ascii="Arial" w:hAnsi="Arial" w:cs="Arial"/>
        </w:rPr>
        <w:t xml:space="preserve"> </w:t>
      </w:r>
      <w:r w:rsidRPr="00C9332F">
        <w:rPr>
          <w:rStyle w:val="Strong"/>
          <w:rFonts w:ascii="Arial" w:hAnsi="Arial" w:cs="Arial"/>
          <w:b w:val="0"/>
        </w:rPr>
        <w:t>productivity of maize</w:t>
      </w:r>
      <w:r w:rsidRPr="00C9332F">
        <w:rPr>
          <w:rFonts w:ascii="Arial" w:hAnsi="Arial" w:cs="Arial"/>
        </w:rPr>
        <w:t xml:space="preserve"> also showed a </w:t>
      </w:r>
      <w:r w:rsidRPr="00C9332F">
        <w:rPr>
          <w:rStyle w:val="Strong"/>
          <w:rFonts w:ascii="Arial" w:hAnsi="Arial" w:cs="Arial"/>
          <w:b w:val="0"/>
        </w:rPr>
        <w:t>positive and highly significant growth rate of 2.87 per cent per annum</w:t>
      </w:r>
      <w:r w:rsidR="00B110E6" w:rsidRPr="00C9332F">
        <w:rPr>
          <w:rFonts w:ascii="Arial" w:hAnsi="Arial" w:cs="Arial"/>
        </w:rPr>
        <w:t xml:space="preserve">, supported by </w:t>
      </w:r>
      <w:r w:rsidRPr="00C9332F">
        <w:rPr>
          <w:rFonts w:ascii="Arial" w:hAnsi="Arial" w:cs="Arial"/>
        </w:rPr>
        <w:t xml:space="preserve"> b value of </w:t>
      </w:r>
      <w:r w:rsidRPr="00C9332F">
        <w:rPr>
          <w:rStyle w:val="Strong"/>
          <w:rFonts w:ascii="Arial" w:hAnsi="Arial" w:cs="Arial"/>
          <w:b w:val="0"/>
        </w:rPr>
        <w:t>69.70</w:t>
      </w:r>
      <w:r w:rsidRPr="00C9332F">
        <w:rPr>
          <w:rFonts w:ascii="Arial" w:hAnsi="Arial" w:cs="Arial"/>
          <w:b/>
        </w:rPr>
        <w:t>.</w:t>
      </w:r>
      <w:r w:rsidRPr="00C9332F">
        <w:rPr>
          <w:rFonts w:ascii="Arial" w:hAnsi="Arial" w:cs="Arial"/>
        </w:rPr>
        <w:t xml:space="preserve"> The improvement in maize yield can be attributed to the </w:t>
      </w:r>
      <w:r w:rsidRPr="00C9332F">
        <w:rPr>
          <w:rStyle w:val="Strong"/>
          <w:rFonts w:ascii="Arial" w:hAnsi="Arial" w:cs="Arial"/>
          <w:b w:val="0"/>
        </w:rPr>
        <w:t>increased</w:t>
      </w:r>
      <w:r w:rsidRPr="00C9332F">
        <w:rPr>
          <w:rStyle w:val="Strong"/>
          <w:rFonts w:ascii="Arial" w:hAnsi="Arial" w:cs="Arial"/>
        </w:rPr>
        <w:t xml:space="preserve"> </w:t>
      </w:r>
      <w:r w:rsidRPr="00C9332F">
        <w:rPr>
          <w:rStyle w:val="Strong"/>
          <w:rFonts w:ascii="Arial" w:hAnsi="Arial" w:cs="Arial"/>
          <w:b w:val="0"/>
        </w:rPr>
        <w:t>adoption of high-yielding hybrid varieties</w:t>
      </w:r>
      <w:r w:rsidRPr="00C9332F">
        <w:rPr>
          <w:rFonts w:ascii="Arial" w:hAnsi="Arial" w:cs="Arial"/>
        </w:rPr>
        <w:t>, better agronomic practices, timely availability of quality inputs, and expansion o</w:t>
      </w:r>
      <w:r w:rsidR="008E0E8F" w:rsidRPr="00C9332F">
        <w:rPr>
          <w:rFonts w:ascii="Arial" w:hAnsi="Arial" w:cs="Arial"/>
        </w:rPr>
        <w:t>f irrigation facilities. Study</w:t>
      </w:r>
      <w:r w:rsidRPr="00C9332F">
        <w:rPr>
          <w:rFonts w:ascii="Arial" w:hAnsi="Arial" w:cs="Arial"/>
        </w:rPr>
        <w:t xml:space="preserve"> by </w:t>
      </w:r>
      <w:r w:rsidRPr="00D01231">
        <w:rPr>
          <w:rStyle w:val="Strong"/>
          <w:rFonts w:ascii="Arial" w:hAnsi="Arial" w:cs="Arial"/>
          <w:b w:val="0"/>
        </w:rPr>
        <w:t>Shiferaw et al. (2011)</w:t>
      </w:r>
      <w:r w:rsidRPr="00D01231">
        <w:rPr>
          <w:rFonts w:ascii="Arial" w:hAnsi="Arial" w:cs="Arial"/>
        </w:rPr>
        <w:t xml:space="preserve"> </w:t>
      </w:r>
      <w:r w:rsidRPr="00C9332F">
        <w:rPr>
          <w:rFonts w:ascii="Arial" w:hAnsi="Arial" w:cs="Arial"/>
        </w:rPr>
        <w:t>highlighted that the diffusion of hybrid maize technology and improved crop management practices has significantly enhanced maize productivity across majo</w:t>
      </w:r>
      <w:r w:rsidR="008E0E8F" w:rsidRPr="00C9332F">
        <w:rPr>
          <w:rFonts w:ascii="Arial" w:hAnsi="Arial" w:cs="Arial"/>
        </w:rPr>
        <w:t>r maize-growing regions</w:t>
      </w:r>
      <w:r w:rsidRPr="00C9332F">
        <w:rPr>
          <w:rFonts w:ascii="Arial" w:hAnsi="Arial" w:cs="Arial"/>
        </w:rPr>
        <w:t xml:space="preserve">. The results clearly indicate that </w:t>
      </w:r>
      <w:r w:rsidRPr="00C9332F">
        <w:rPr>
          <w:rStyle w:val="Strong"/>
          <w:rFonts w:ascii="Arial" w:hAnsi="Arial" w:cs="Arial"/>
          <w:b w:val="0"/>
        </w:rPr>
        <w:t>the growth in maize production was primarily area-led, followed by productivity-led growth</w:t>
      </w:r>
      <w:r w:rsidRPr="00C9332F">
        <w:rPr>
          <w:rFonts w:ascii="Arial" w:hAnsi="Arial" w:cs="Arial"/>
          <w:b/>
        </w:rPr>
        <w:t>.</w:t>
      </w:r>
      <w:r w:rsidRPr="00C9332F">
        <w:rPr>
          <w:rFonts w:ascii="Arial" w:hAnsi="Arial" w:cs="Arial"/>
        </w:rPr>
        <w:t xml:space="preserve"> While area expansion has played a dominant role, the positive and significant growth in productivity reflects the impact of </w:t>
      </w:r>
      <w:r w:rsidRPr="00C9332F">
        <w:rPr>
          <w:rStyle w:val="Strong"/>
          <w:rFonts w:ascii="Arial" w:hAnsi="Arial" w:cs="Arial"/>
          <w:b w:val="0"/>
        </w:rPr>
        <w:t>technological advancements</w:t>
      </w:r>
      <w:r w:rsidRPr="00C9332F">
        <w:rPr>
          <w:rFonts w:ascii="Arial" w:hAnsi="Arial" w:cs="Arial"/>
        </w:rPr>
        <w:t xml:space="preserve">, including improved seed technology, mechanization, balanced fertilizer use, and pest and disease management. Similar findings were reported by </w:t>
      </w:r>
      <w:r w:rsidRPr="00C9332F">
        <w:rPr>
          <w:rStyle w:val="Strong"/>
          <w:rFonts w:ascii="Arial" w:hAnsi="Arial" w:cs="Arial"/>
          <w:b w:val="0"/>
        </w:rPr>
        <w:t>Pingali (2012)</w:t>
      </w:r>
      <w:r w:rsidRPr="00C9332F">
        <w:rPr>
          <w:rFonts w:ascii="Arial" w:hAnsi="Arial" w:cs="Arial"/>
          <w:b/>
        </w:rPr>
        <w:t>,</w:t>
      </w:r>
      <w:r w:rsidRPr="00C9332F">
        <w:rPr>
          <w:rFonts w:ascii="Arial" w:hAnsi="Arial" w:cs="Arial"/>
        </w:rPr>
        <w:t xml:space="preserve"> who noted that yield growth in coarse cereals has increasingly depended on technology-driven intensification. The sustained growth of maize in Madhya Pradesh can further be linked to </w:t>
      </w:r>
      <w:r w:rsidRPr="00C9332F">
        <w:rPr>
          <w:rStyle w:val="Strong"/>
          <w:rFonts w:ascii="Arial" w:hAnsi="Arial" w:cs="Arial"/>
          <w:b w:val="0"/>
        </w:rPr>
        <w:t>supportive government policies and infrastructural development</w:t>
      </w:r>
      <w:r w:rsidRPr="00C9332F">
        <w:rPr>
          <w:rFonts w:ascii="Arial" w:hAnsi="Arial" w:cs="Arial"/>
          <w:b/>
        </w:rPr>
        <w:t xml:space="preserve">, </w:t>
      </w:r>
      <w:r w:rsidRPr="00C9332F">
        <w:rPr>
          <w:rFonts w:ascii="Arial" w:hAnsi="Arial" w:cs="Arial"/>
        </w:rPr>
        <w:t xml:space="preserve">such as improved rural electrification, expansion of irrigation networks, better road connectivity, and institutional support for hybrid seed distribution. The promotion of maize as an industrial crop for </w:t>
      </w:r>
      <w:r w:rsidRPr="00C9332F">
        <w:rPr>
          <w:rStyle w:val="Strong"/>
          <w:rFonts w:ascii="Arial" w:hAnsi="Arial" w:cs="Arial"/>
          <w:b w:val="0"/>
        </w:rPr>
        <w:t>starch, ethanol, poultry feed, and food processing industries</w:t>
      </w:r>
      <w:r w:rsidRPr="00C9332F">
        <w:rPr>
          <w:rFonts w:ascii="Arial" w:hAnsi="Arial" w:cs="Arial"/>
        </w:rPr>
        <w:t xml:space="preserve"> has also strengthened market demand, encouraging farmers to expand maize cultivation. These observations align with the findings of </w:t>
      </w:r>
      <w:proofErr w:type="spellStart"/>
      <w:r w:rsidR="007C55FD" w:rsidRPr="00C9332F">
        <w:rPr>
          <w:rStyle w:val="Strong"/>
          <w:rFonts w:ascii="Arial" w:hAnsi="Arial" w:cs="Arial"/>
          <w:b w:val="0"/>
        </w:rPr>
        <w:t>Birthal</w:t>
      </w:r>
      <w:proofErr w:type="spellEnd"/>
      <w:r w:rsidR="007C55FD" w:rsidRPr="00C9332F">
        <w:rPr>
          <w:rStyle w:val="Strong"/>
          <w:rFonts w:ascii="Arial" w:hAnsi="Arial" w:cs="Arial"/>
          <w:b w:val="0"/>
        </w:rPr>
        <w:t xml:space="preserve"> and Pandey</w:t>
      </w:r>
      <w:r w:rsidRPr="00C9332F">
        <w:rPr>
          <w:rStyle w:val="Strong"/>
          <w:rFonts w:ascii="Arial" w:hAnsi="Arial" w:cs="Arial"/>
        </w:rPr>
        <w:t xml:space="preserve"> </w:t>
      </w:r>
      <w:r w:rsidRPr="00C9332F">
        <w:rPr>
          <w:rStyle w:val="Strong"/>
          <w:rFonts w:ascii="Arial" w:hAnsi="Arial" w:cs="Arial"/>
          <w:b w:val="0"/>
        </w:rPr>
        <w:t>(2020</w:t>
      </w:r>
      <w:proofErr w:type="gramStart"/>
      <w:r w:rsidRPr="00C9332F">
        <w:rPr>
          <w:rStyle w:val="Strong"/>
          <w:rFonts w:ascii="Arial" w:hAnsi="Arial" w:cs="Arial"/>
          <w:b w:val="0"/>
        </w:rPr>
        <w:t>)</w:t>
      </w:r>
      <w:r w:rsidRPr="00C9332F">
        <w:rPr>
          <w:rFonts w:ascii="Arial" w:hAnsi="Arial" w:cs="Arial"/>
        </w:rPr>
        <w:t xml:space="preserve">  which</w:t>
      </w:r>
      <w:proofErr w:type="gramEnd"/>
      <w:r w:rsidRPr="00C9332F">
        <w:rPr>
          <w:rFonts w:ascii="Arial" w:hAnsi="Arial" w:cs="Arial"/>
        </w:rPr>
        <w:t xml:space="preserve"> emphasized the growing role of maize in </w:t>
      </w:r>
      <w:proofErr w:type="spellStart"/>
      <w:r w:rsidRPr="00C9332F">
        <w:rPr>
          <w:rFonts w:ascii="Arial" w:hAnsi="Arial" w:cs="Arial"/>
        </w:rPr>
        <w:t>agri</w:t>
      </w:r>
      <w:proofErr w:type="spellEnd"/>
      <w:r w:rsidRPr="00C9332F">
        <w:rPr>
          <w:rFonts w:ascii="Arial" w:hAnsi="Arial" w:cs="Arial"/>
        </w:rPr>
        <w:t>-industrial value chains.</w:t>
      </w:r>
    </w:p>
    <w:p w14:paraId="48996B43" w14:textId="77777777" w:rsidR="00F93F80" w:rsidRPr="00C9332F" w:rsidRDefault="00F93F80" w:rsidP="00F93F80">
      <w:pPr>
        <w:pStyle w:val="NormalWeb"/>
        <w:jc w:val="both"/>
        <w:rPr>
          <w:rFonts w:ascii="Arial" w:hAnsi="Arial" w:cs="Arial"/>
        </w:rPr>
      </w:pPr>
      <w:r w:rsidRPr="00C9332F">
        <w:rPr>
          <w:rFonts w:ascii="Arial" w:hAnsi="Arial" w:cs="Arial"/>
        </w:rPr>
        <w:t xml:space="preserve">Additionally, the </w:t>
      </w:r>
      <w:proofErr w:type="spellStart"/>
      <w:r w:rsidRPr="00C9332F">
        <w:rPr>
          <w:rStyle w:val="Strong"/>
          <w:rFonts w:ascii="Arial" w:hAnsi="Arial" w:cs="Arial"/>
          <w:b w:val="0"/>
        </w:rPr>
        <w:t>favorable</w:t>
      </w:r>
      <w:proofErr w:type="spellEnd"/>
      <w:r w:rsidRPr="00C9332F">
        <w:rPr>
          <w:rStyle w:val="Strong"/>
          <w:rFonts w:ascii="Arial" w:hAnsi="Arial" w:cs="Arial"/>
          <w:b w:val="0"/>
        </w:rPr>
        <w:t xml:space="preserve"> </w:t>
      </w:r>
      <w:proofErr w:type="spellStart"/>
      <w:r w:rsidRPr="00C9332F">
        <w:rPr>
          <w:rStyle w:val="Strong"/>
          <w:rFonts w:ascii="Arial" w:hAnsi="Arial" w:cs="Arial"/>
          <w:b w:val="0"/>
        </w:rPr>
        <w:t>agro</w:t>
      </w:r>
      <w:proofErr w:type="spellEnd"/>
      <w:r w:rsidRPr="00C9332F">
        <w:rPr>
          <w:rStyle w:val="Strong"/>
          <w:rFonts w:ascii="Arial" w:hAnsi="Arial" w:cs="Arial"/>
          <w:b w:val="0"/>
        </w:rPr>
        <w:t>-climatic conditions</w:t>
      </w:r>
      <w:r w:rsidRPr="00C9332F">
        <w:rPr>
          <w:rFonts w:ascii="Arial" w:hAnsi="Arial" w:cs="Arial"/>
        </w:rPr>
        <w:t xml:space="preserve"> of Madhya Pradesh—characterized by suitable temperature regimes and rainfall patterns have contributed to stable maize production over time. Similar results were reported by </w:t>
      </w:r>
      <w:proofErr w:type="spellStart"/>
      <w:r w:rsidRPr="00C9332F">
        <w:rPr>
          <w:rStyle w:val="Strong"/>
          <w:rFonts w:ascii="Arial" w:hAnsi="Arial" w:cs="Arial"/>
          <w:b w:val="0"/>
        </w:rPr>
        <w:t>Unjia</w:t>
      </w:r>
      <w:proofErr w:type="spellEnd"/>
      <w:r w:rsidRPr="00C9332F">
        <w:rPr>
          <w:rStyle w:val="Strong"/>
          <w:rFonts w:ascii="Arial" w:hAnsi="Arial" w:cs="Arial"/>
          <w:b w:val="0"/>
        </w:rPr>
        <w:t xml:space="preserve"> et al. (2021)</w:t>
      </w:r>
      <w:r w:rsidRPr="00C9332F">
        <w:rPr>
          <w:rFonts w:ascii="Arial" w:hAnsi="Arial" w:cs="Arial"/>
          <w:b/>
        </w:rPr>
        <w:t>,</w:t>
      </w:r>
      <w:r w:rsidRPr="00C9332F">
        <w:rPr>
          <w:rFonts w:ascii="Arial" w:hAnsi="Arial" w:cs="Arial"/>
        </w:rPr>
        <w:t xml:space="preserve"> who observed that climatic suitability combined with technological support played a crucial role in enhancing maize performance in the state.</w:t>
      </w:r>
    </w:p>
    <w:p w14:paraId="40B4CB92" w14:textId="77777777" w:rsidR="00F93F80" w:rsidRPr="00C9332F" w:rsidRDefault="00F93F80" w:rsidP="00F93F80">
      <w:pPr>
        <w:pStyle w:val="NormalWeb"/>
        <w:jc w:val="both"/>
        <w:rPr>
          <w:rFonts w:ascii="Arial" w:hAnsi="Arial" w:cs="Arial"/>
        </w:rPr>
      </w:pPr>
      <w:r w:rsidRPr="00C9332F">
        <w:rPr>
          <w:rFonts w:ascii="Arial" w:hAnsi="Arial" w:cs="Arial"/>
        </w:rPr>
        <w:t xml:space="preserve">Overall, the positive and significant trends in maize area, production, and productivity underscore the </w:t>
      </w:r>
      <w:r w:rsidRPr="00C9332F">
        <w:rPr>
          <w:rStyle w:val="Strong"/>
          <w:rFonts w:ascii="Arial" w:hAnsi="Arial" w:cs="Arial"/>
          <w:b w:val="0"/>
        </w:rPr>
        <w:t>increasing importance of maize in the agricultural economy of Madhya Pradesh</w:t>
      </w:r>
      <w:r w:rsidRPr="00C9332F">
        <w:rPr>
          <w:rFonts w:ascii="Arial" w:hAnsi="Arial" w:cs="Arial"/>
          <w:b/>
        </w:rPr>
        <w:t>.</w:t>
      </w:r>
      <w:r w:rsidRPr="00C9332F">
        <w:rPr>
          <w:rFonts w:ascii="Arial" w:hAnsi="Arial" w:cs="Arial"/>
        </w:rPr>
        <w:t xml:space="preserve"> However, to sustain long-term growth, greater emphasis should be placed on </w:t>
      </w:r>
      <w:r w:rsidRPr="00C9332F">
        <w:rPr>
          <w:rStyle w:val="Strong"/>
          <w:rFonts w:ascii="Arial" w:hAnsi="Arial" w:cs="Arial"/>
          <w:b w:val="0"/>
        </w:rPr>
        <w:t>productivity-led growth through climate-resilient hybrids, efficient input use, precision agriculture, and strengthened extension services</w:t>
      </w:r>
      <w:r w:rsidR="00F449FE" w:rsidRPr="00C9332F">
        <w:rPr>
          <w:rFonts w:ascii="Arial" w:hAnsi="Arial" w:cs="Arial"/>
          <w:b/>
        </w:rPr>
        <w:t>.</w:t>
      </w:r>
    </w:p>
    <w:p w14:paraId="72F27EE5" w14:textId="77777777" w:rsidR="00F93F80" w:rsidRPr="00C9332F" w:rsidRDefault="00F93F80" w:rsidP="00F93F80">
      <w:pPr>
        <w:pStyle w:val="BodyText"/>
        <w:spacing w:line="280" w:lineRule="auto"/>
        <w:ind w:right="469"/>
        <w:jc w:val="both"/>
        <w:rPr>
          <w:rFonts w:ascii="Arial" w:hAnsi="Arial" w:cs="Arial"/>
        </w:rPr>
        <w:sectPr w:rsidR="00F93F80" w:rsidRPr="00C9332F">
          <w:headerReference w:type="even" r:id="rId7"/>
          <w:headerReference w:type="default" r:id="rId8"/>
          <w:footerReference w:type="even" r:id="rId9"/>
          <w:footerReference w:type="default" r:id="rId10"/>
          <w:headerReference w:type="first" r:id="rId11"/>
          <w:footerReference w:type="first" r:id="rId12"/>
          <w:pgSz w:w="11910" w:h="16840"/>
          <w:pgMar w:top="1340" w:right="992" w:bottom="1220" w:left="1275" w:header="0" w:footer="1020" w:gutter="0"/>
          <w:cols w:space="720"/>
        </w:sectPr>
      </w:pPr>
    </w:p>
    <w:p w14:paraId="5BFB15BE" w14:textId="77777777" w:rsidR="00F93F80" w:rsidRPr="00C9332F" w:rsidRDefault="00F93F80" w:rsidP="005E732E">
      <w:pPr>
        <w:pStyle w:val="Heading2"/>
        <w:spacing w:before="168"/>
        <w:ind w:left="0"/>
        <w:jc w:val="both"/>
      </w:pPr>
    </w:p>
    <w:p w14:paraId="4A7E1248" w14:textId="77777777" w:rsidR="005E732E" w:rsidRPr="00C9332F" w:rsidRDefault="005E732E" w:rsidP="005E732E">
      <w:pPr>
        <w:pStyle w:val="BodyText"/>
        <w:spacing w:line="283" w:lineRule="auto"/>
        <w:ind w:left="165" w:right="472"/>
        <w:jc w:val="both"/>
        <w:rPr>
          <w:rFonts w:ascii="Arial" w:hAnsi="Arial" w:cs="Arial"/>
        </w:rPr>
      </w:pPr>
    </w:p>
    <w:p w14:paraId="61904273" w14:textId="77777777" w:rsidR="009E60D4" w:rsidRPr="00C9332F" w:rsidRDefault="009E60D4" w:rsidP="00173CFA">
      <w:pPr>
        <w:pStyle w:val="BodyText"/>
        <w:spacing w:line="283" w:lineRule="auto"/>
        <w:ind w:right="472"/>
        <w:jc w:val="both"/>
        <w:rPr>
          <w:rFonts w:ascii="Arial" w:hAnsi="Arial" w:cs="Arial"/>
          <w:sz w:val="22"/>
          <w:szCs w:val="22"/>
        </w:rPr>
      </w:pPr>
    </w:p>
    <w:p w14:paraId="76521E00" w14:textId="77777777" w:rsidR="009E60D4" w:rsidRPr="00C9332F" w:rsidRDefault="009E60D4" w:rsidP="00173CFA">
      <w:pPr>
        <w:pStyle w:val="Heading2"/>
        <w:spacing w:before="168"/>
        <w:ind w:left="0"/>
        <w:jc w:val="both"/>
      </w:pPr>
      <w:r w:rsidRPr="00C9332F">
        <w:t>Table</w:t>
      </w:r>
      <w:r w:rsidRPr="00C9332F">
        <w:rPr>
          <w:spacing w:val="-8"/>
        </w:rPr>
        <w:t xml:space="preserve"> </w:t>
      </w:r>
      <w:r w:rsidRPr="00C9332F">
        <w:t>2,</w:t>
      </w:r>
      <w:r w:rsidRPr="00C9332F">
        <w:rPr>
          <w:spacing w:val="-4"/>
        </w:rPr>
        <w:t xml:space="preserve"> </w:t>
      </w:r>
      <w:r w:rsidRPr="00C9332F">
        <w:t>Trend</w:t>
      </w:r>
      <w:r w:rsidRPr="00C9332F">
        <w:rPr>
          <w:spacing w:val="-5"/>
        </w:rPr>
        <w:t xml:space="preserve"> </w:t>
      </w:r>
      <w:r w:rsidRPr="00C9332F">
        <w:t>and</w:t>
      </w:r>
      <w:r w:rsidRPr="00C9332F">
        <w:rPr>
          <w:spacing w:val="-8"/>
        </w:rPr>
        <w:t xml:space="preserve"> </w:t>
      </w:r>
      <w:r w:rsidRPr="00C9332F">
        <w:t>LGR</w:t>
      </w:r>
      <w:r w:rsidRPr="00C9332F">
        <w:rPr>
          <w:spacing w:val="-4"/>
        </w:rPr>
        <w:t xml:space="preserve"> </w:t>
      </w:r>
      <w:r w:rsidRPr="00C9332F">
        <w:t>of</w:t>
      </w:r>
      <w:r w:rsidRPr="00C9332F">
        <w:rPr>
          <w:spacing w:val="-6"/>
        </w:rPr>
        <w:t xml:space="preserve"> </w:t>
      </w:r>
      <w:r w:rsidRPr="00C9332F">
        <w:t>maize</w:t>
      </w:r>
      <w:r w:rsidRPr="00C9332F">
        <w:rPr>
          <w:spacing w:val="-3"/>
        </w:rPr>
        <w:t xml:space="preserve"> </w:t>
      </w:r>
      <w:r w:rsidRPr="00C9332F">
        <w:t>in</w:t>
      </w:r>
      <w:r w:rsidRPr="00C9332F">
        <w:rPr>
          <w:spacing w:val="-7"/>
        </w:rPr>
        <w:t xml:space="preserve"> </w:t>
      </w:r>
      <w:r w:rsidRPr="00C9332F">
        <w:t>Madhya</w:t>
      </w:r>
      <w:r w:rsidRPr="00C9332F">
        <w:rPr>
          <w:spacing w:val="-4"/>
        </w:rPr>
        <w:t xml:space="preserve"> </w:t>
      </w:r>
      <w:r w:rsidRPr="00C9332F">
        <w:rPr>
          <w:spacing w:val="-2"/>
        </w:rPr>
        <w:t>Pradesh</w:t>
      </w:r>
    </w:p>
    <w:p w14:paraId="4755D93D" w14:textId="77777777" w:rsidR="009E60D4" w:rsidRPr="00C9332F" w:rsidRDefault="009E60D4" w:rsidP="009E60D4">
      <w:pPr>
        <w:pStyle w:val="BodyText"/>
        <w:spacing w:line="283" w:lineRule="auto"/>
        <w:ind w:right="472"/>
        <w:jc w:val="both"/>
        <w:rPr>
          <w:rFonts w:ascii="Arial" w:hAnsi="Arial" w:cs="Arial"/>
          <w:sz w:val="22"/>
          <w:szCs w:val="22"/>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2175"/>
        <w:gridCol w:w="2220"/>
        <w:gridCol w:w="2407"/>
      </w:tblGrid>
      <w:tr w:rsidR="009E60D4" w:rsidRPr="00C9332F" w14:paraId="486ED212" w14:textId="77777777" w:rsidTr="00AD5188">
        <w:trPr>
          <w:trHeight w:val="275"/>
        </w:trPr>
        <w:tc>
          <w:tcPr>
            <w:tcW w:w="2441" w:type="dxa"/>
          </w:tcPr>
          <w:p w14:paraId="437BE116" w14:textId="77777777" w:rsidR="009E60D4" w:rsidRPr="00C9332F" w:rsidRDefault="009E60D4" w:rsidP="00AD5188">
            <w:pPr>
              <w:pStyle w:val="TableParagraph"/>
              <w:spacing w:line="256" w:lineRule="exact"/>
              <w:ind w:left="107"/>
              <w:rPr>
                <w:rFonts w:ascii="Arial" w:hAnsi="Arial" w:cs="Arial"/>
                <w:b/>
                <w:sz w:val="24"/>
              </w:rPr>
            </w:pPr>
            <w:r w:rsidRPr="00C9332F">
              <w:rPr>
                <w:rFonts w:ascii="Arial" w:hAnsi="Arial" w:cs="Arial"/>
                <w:b/>
                <w:spacing w:val="-2"/>
                <w:sz w:val="24"/>
              </w:rPr>
              <w:t>Particulars</w:t>
            </w:r>
          </w:p>
        </w:tc>
        <w:tc>
          <w:tcPr>
            <w:tcW w:w="2175" w:type="dxa"/>
          </w:tcPr>
          <w:p w14:paraId="0276E05D" w14:textId="77777777" w:rsidR="009E60D4" w:rsidRPr="00C9332F" w:rsidRDefault="009E60D4" w:rsidP="00AD5188">
            <w:pPr>
              <w:pStyle w:val="TableParagraph"/>
              <w:spacing w:line="256" w:lineRule="exact"/>
              <w:ind w:right="18"/>
              <w:jc w:val="center"/>
              <w:rPr>
                <w:rFonts w:ascii="Arial" w:hAnsi="Arial" w:cs="Arial"/>
                <w:b/>
                <w:sz w:val="24"/>
              </w:rPr>
            </w:pPr>
            <w:r w:rsidRPr="00C9332F">
              <w:rPr>
                <w:rFonts w:ascii="Arial" w:hAnsi="Arial" w:cs="Arial"/>
                <w:b/>
                <w:spacing w:val="-4"/>
                <w:sz w:val="24"/>
              </w:rPr>
              <w:t>Area</w:t>
            </w:r>
          </w:p>
        </w:tc>
        <w:tc>
          <w:tcPr>
            <w:tcW w:w="2220" w:type="dxa"/>
          </w:tcPr>
          <w:p w14:paraId="2589FB52" w14:textId="77777777" w:rsidR="009E60D4" w:rsidRPr="00C9332F" w:rsidRDefault="009E60D4" w:rsidP="00AD5188">
            <w:pPr>
              <w:pStyle w:val="TableParagraph"/>
              <w:spacing w:line="256" w:lineRule="exact"/>
              <w:ind w:right="15"/>
              <w:jc w:val="center"/>
              <w:rPr>
                <w:rFonts w:ascii="Arial" w:hAnsi="Arial" w:cs="Arial"/>
                <w:b/>
                <w:sz w:val="24"/>
              </w:rPr>
            </w:pPr>
            <w:r w:rsidRPr="00C9332F">
              <w:rPr>
                <w:rFonts w:ascii="Arial" w:hAnsi="Arial" w:cs="Arial"/>
                <w:b/>
                <w:spacing w:val="-2"/>
                <w:sz w:val="24"/>
              </w:rPr>
              <w:t>Production</w:t>
            </w:r>
          </w:p>
        </w:tc>
        <w:tc>
          <w:tcPr>
            <w:tcW w:w="2407" w:type="dxa"/>
          </w:tcPr>
          <w:p w14:paraId="397B40B9" w14:textId="77777777" w:rsidR="009E60D4" w:rsidRPr="00C9332F" w:rsidRDefault="009E60D4" w:rsidP="00AD5188">
            <w:pPr>
              <w:pStyle w:val="TableParagraph"/>
              <w:spacing w:line="256" w:lineRule="exact"/>
              <w:ind w:left="2" w:right="15"/>
              <w:jc w:val="center"/>
              <w:rPr>
                <w:rFonts w:ascii="Arial" w:hAnsi="Arial" w:cs="Arial"/>
                <w:b/>
                <w:sz w:val="24"/>
              </w:rPr>
            </w:pPr>
            <w:r w:rsidRPr="00C9332F">
              <w:rPr>
                <w:rFonts w:ascii="Arial" w:hAnsi="Arial" w:cs="Arial"/>
                <w:b/>
                <w:spacing w:val="-2"/>
                <w:sz w:val="24"/>
              </w:rPr>
              <w:t>Productivity</w:t>
            </w:r>
          </w:p>
        </w:tc>
      </w:tr>
      <w:tr w:rsidR="009E60D4" w:rsidRPr="00C9332F" w14:paraId="1FE8C155" w14:textId="77777777" w:rsidTr="00AD5188">
        <w:trPr>
          <w:trHeight w:val="275"/>
        </w:trPr>
        <w:tc>
          <w:tcPr>
            <w:tcW w:w="2441" w:type="dxa"/>
          </w:tcPr>
          <w:p w14:paraId="5E7DE6B6" w14:textId="77777777" w:rsidR="009E60D4" w:rsidRPr="00C9332F" w:rsidRDefault="009E60D4" w:rsidP="00AD5188">
            <w:pPr>
              <w:pStyle w:val="TableParagraph"/>
              <w:spacing w:line="256" w:lineRule="exact"/>
              <w:ind w:left="107"/>
              <w:rPr>
                <w:rFonts w:ascii="Arial" w:hAnsi="Arial" w:cs="Arial"/>
                <w:b/>
                <w:sz w:val="24"/>
              </w:rPr>
            </w:pPr>
            <w:r w:rsidRPr="00C9332F">
              <w:rPr>
                <w:rFonts w:ascii="Arial" w:hAnsi="Arial" w:cs="Arial"/>
                <w:b/>
                <w:sz w:val="24"/>
              </w:rPr>
              <w:t xml:space="preserve">Standard </w:t>
            </w:r>
            <w:r w:rsidRPr="00C9332F">
              <w:rPr>
                <w:rFonts w:ascii="Arial" w:hAnsi="Arial" w:cs="Arial"/>
                <w:b/>
                <w:spacing w:val="-2"/>
                <w:sz w:val="24"/>
              </w:rPr>
              <w:t>error</w:t>
            </w:r>
          </w:p>
        </w:tc>
        <w:tc>
          <w:tcPr>
            <w:tcW w:w="2175" w:type="dxa"/>
          </w:tcPr>
          <w:p w14:paraId="1F08BCB8" w14:textId="77777777" w:rsidR="009E60D4" w:rsidRPr="00C9332F" w:rsidRDefault="009E60D4" w:rsidP="00AD5188">
            <w:pPr>
              <w:pStyle w:val="TableParagraph"/>
              <w:spacing w:line="256" w:lineRule="exact"/>
              <w:ind w:left="5" w:right="18"/>
              <w:jc w:val="center"/>
              <w:rPr>
                <w:rFonts w:ascii="Arial" w:hAnsi="Arial" w:cs="Arial"/>
                <w:sz w:val="24"/>
              </w:rPr>
            </w:pPr>
            <w:r w:rsidRPr="00C9332F">
              <w:rPr>
                <w:rFonts w:ascii="Arial" w:hAnsi="Arial" w:cs="Arial"/>
                <w:spacing w:val="-4"/>
                <w:sz w:val="24"/>
              </w:rPr>
              <w:t>5.44</w:t>
            </w:r>
          </w:p>
        </w:tc>
        <w:tc>
          <w:tcPr>
            <w:tcW w:w="2220" w:type="dxa"/>
          </w:tcPr>
          <w:p w14:paraId="2D3CA833" w14:textId="77777777" w:rsidR="009E60D4" w:rsidRPr="00C9332F" w:rsidRDefault="009E60D4" w:rsidP="00AD5188">
            <w:pPr>
              <w:pStyle w:val="TableParagraph"/>
              <w:spacing w:line="256" w:lineRule="exact"/>
              <w:ind w:left="2" w:right="15"/>
              <w:jc w:val="center"/>
              <w:rPr>
                <w:rFonts w:ascii="Arial" w:hAnsi="Arial" w:cs="Arial"/>
                <w:sz w:val="24"/>
              </w:rPr>
            </w:pPr>
            <w:r w:rsidRPr="00C9332F">
              <w:rPr>
                <w:rFonts w:ascii="Arial" w:hAnsi="Arial" w:cs="Arial"/>
                <w:spacing w:val="-2"/>
                <w:sz w:val="24"/>
              </w:rPr>
              <w:t>31.73</w:t>
            </w:r>
          </w:p>
        </w:tc>
        <w:tc>
          <w:tcPr>
            <w:tcW w:w="2407" w:type="dxa"/>
          </w:tcPr>
          <w:p w14:paraId="0B0D7FB4" w14:textId="77777777" w:rsidR="009E60D4" w:rsidRPr="00C9332F" w:rsidRDefault="009E60D4" w:rsidP="00AD5188">
            <w:pPr>
              <w:pStyle w:val="TableParagraph"/>
              <w:spacing w:line="256" w:lineRule="exact"/>
              <w:ind w:right="15"/>
              <w:jc w:val="center"/>
              <w:rPr>
                <w:rFonts w:ascii="Arial" w:hAnsi="Arial" w:cs="Arial"/>
                <w:sz w:val="24"/>
              </w:rPr>
            </w:pPr>
            <w:r w:rsidRPr="00C9332F">
              <w:rPr>
                <w:rFonts w:ascii="Arial" w:hAnsi="Arial" w:cs="Arial"/>
                <w:spacing w:val="-4"/>
                <w:sz w:val="24"/>
              </w:rPr>
              <w:t>5.91</w:t>
            </w:r>
          </w:p>
        </w:tc>
      </w:tr>
      <w:tr w:rsidR="009E60D4" w:rsidRPr="00C9332F" w14:paraId="29F0B9AE" w14:textId="77777777" w:rsidTr="00AD5188">
        <w:trPr>
          <w:trHeight w:val="275"/>
        </w:trPr>
        <w:tc>
          <w:tcPr>
            <w:tcW w:w="2441" w:type="dxa"/>
          </w:tcPr>
          <w:p w14:paraId="3F4DA269" w14:textId="77777777" w:rsidR="009E60D4" w:rsidRPr="00C9332F" w:rsidRDefault="009E60D4" w:rsidP="00AD5188">
            <w:pPr>
              <w:pStyle w:val="TableParagraph"/>
              <w:spacing w:line="256" w:lineRule="exact"/>
              <w:ind w:left="107"/>
              <w:rPr>
                <w:rFonts w:ascii="Arial" w:hAnsi="Arial" w:cs="Arial"/>
                <w:b/>
                <w:sz w:val="24"/>
              </w:rPr>
            </w:pPr>
            <w:r w:rsidRPr="00C9332F">
              <w:rPr>
                <w:rFonts w:ascii="Arial" w:hAnsi="Arial" w:cs="Arial"/>
                <w:b/>
                <w:sz w:val="24"/>
              </w:rPr>
              <w:t xml:space="preserve">b </w:t>
            </w:r>
            <w:r w:rsidRPr="00C9332F">
              <w:rPr>
                <w:rFonts w:ascii="Arial" w:hAnsi="Arial" w:cs="Arial"/>
                <w:b/>
                <w:spacing w:val="-2"/>
                <w:sz w:val="24"/>
              </w:rPr>
              <w:t>value</w:t>
            </w:r>
          </w:p>
        </w:tc>
        <w:tc>
          <w:tcPr>
            <w:tcW w:w="2175" w:type="dxa"/>
          </w:tcPr>
          <w:p w14:paraId="205C6964" w14:textId="77777777" w:rsidR="009E60D4" w:rsidRPr="00C9332F" w:rsidRDefault="009E60D4" w:rsidP="00AD5188">
            <w:pPr>
              <w:pStyle w:val="TableParagraph"/>
              <w:spacing w:before="1" w:line="254" w:lineRule="exact"/>
              <w:ind w:left="3" w:right="18"/>
              <w:jc w:val="center"/>
              <w:rPr>
                <w:rFonts w:ascii="Arial" w:hAnsi="Arial" w:cs="Arial"/>
                <w:sz w:val="24"/>
              </w:rPr>
            </w:pPr>
            <w:r w:rsidRPr="00C9332F">
              <w:rPr>
                <w:rFonts w:ascii="Arial" w:hAnsi="Arial" w:cs="Arial"/>
                <w:spacing w:val="-2"/>
                <w:sz w:val="24"/>
              </w:rPr>
              <w:t>32.88**</w:t>
            </w:r>
          </w:p>
        </w:tc>
        <w:tc>
          <w:tcPr>
            <w:tcW w:w="2220" w:type="dxa"/>
          </w:tcPr>
          <w:p w14:paraId="1443F39A" w14:textId="77777777" w:rsidR="009E60D4" w:rsidRPr="00C9332F" w:rsidRDefault="009E60D4" w:rsidP="00AD5188">
            <w:pPr>
              <w:pStyle w:val="TableParagraph"/>
              <w:spacing w:before="1" w:line="254" w:lineRule="exact"/>
              <w:ind w:left="1" w:right="15"/>
              <w:jc w:val="center"/>
              <w:rPr>
                <w:rFonts w:ascii="Arial" w:hAnsi="Arial" w:cs="Arial"/>
                <w:sz w:val="24"/>
              </w:rPr>
            </w:pPr>
            <w:r w:rsidRPr="00C9332F">
              <w:rPr>
                <w:rFonts w:ascii="Arial" w:hAnsi="Arial" w:cs="Arial"/>
                <w:spacing w:val="-4"/>
                <w:sz w:val="24"/>
              </w:rPr>
              <w:t>191**</w:t>
            </w:r>
          </w:p>
        </w:tc>
        <w:tc>
          <w:tcPr>
            <w:tcW w:w="2407" w:type="dxa"/>
          </w:tcPr>
          <w:p w14:paraId="0DE51F5C" w14:textId="77777777" w:rsidR="009E60D4" w:rsidRPr="00C9332F" w:rsidRDefault="009E60D4" w:rsidP="00AD5188">
            <w:pPr>
              <w:pStyle w:val="TableParagraph"/>
              <w:spacing w:before="1" w:line="254" w:lineRule="exact"/>
              <w:ind w:left="2" w:right="15"/>
              <w:jc w:val="center"/>
              <w:rPr>
                <w:rFonts w:ascii="Arial" w:hAnsi="Arial" w:cs="Arial"/>
                <w:sz w:val="24"/>
              </w:rPr>
            </w:pPr>
            <w:r w:rsidRPr="00C9332F">
              <w:rPr>
                <w:rFonts w:ascii="Arial" w:hAnsi="Arial" w:cs="Arial"/>
                <w:spacing w:val="-2"/>
                <w:sz w:val="24"/>
              </w:rPr>
              <w:t>69.70**</w:t>
            </w:r>
          </w:p>
        </w:tc>
      </w:tr>
      <w:tr w:rsidR="009E60D4" w:rsidRPr="00C9332F" w14:paraId="5959B392" w14:textId="77777777" w:rsidTr="00AD5188">
        <w:trPr>
          <w:trHeight w:val="278"/>
        </w:trPr>
        <w:tc>
          <w:tcPr>
            <w:tcW w:w="2441" w:type="dxa"/>
          </w:tcPr>
          <w:p w14:paraId="131016F7" w14:textId="77777777" w:rsidR="009E60D4" w:rsidRPr="00C9332F" w:rsidRDefault="009E60D4" w:rsidP="00AD5188">
            <w:pPr>
              <w:pStyle w:val="TableParagraph"/>
              <w:spacing w:line="258" w:lineRule="exact"/>
              <w:ind w:left="107"/>
              <w:rPr>
                <w:rFonts w:ascii="Arial" w:hAnsi="Arial" w:cs="Arial"/>
                <w:b/>
                <w:sz w:val="24"/>
              </w:rPr>
            </w:pPr>
            <w:r w:rsidRPr="00C9332F">
              <w:rPr>
                <w:rFonts w:ascii="Arial" w:hAnsi="Arial" w:cs="Arial"/>
                <w:b/>
                <w:sz w:val="24"/>
              </w:rPr>
              <w:t xml:space="preserve">LGR </w:t>
            </w:r>
            <w:r w:rsidRPr="00C9332F">
              <w:rPr>
                <w:rFonts w:ascii="Arial" w:hAnsi="Arial" w:cs="Arial"/>
                <w:b/>
                <w:spacing w:val="-5"/>
                <w:sz w:val="24"/>
              </w:rPr>
              <w:t>(%)</w:t>
            </w:r>
          </w:p>
        </w:tc>
        <w:tc>
          <w:tcPr>
            <w:tcW w:w="2175" w:type="dxa"/>
          </w:tcPr>
          <w:p w14:paraId="6B4DB188" w14:textId="77777777" w:rsidR="009E60D4" w:rsidRPr="00C9332F" w:rsidRDefault="009E60D4" w:rsidP="00AD5188">
            <w:pPr>
              <w:pStyle w:val="TableParagraph"/>
              <w:spacing w:before="1" w:line="256" w:lineRule="exact"/>
              <w:ind w:left="3" w:right="18"/>
              <w:jc w:val="center"/>
              <w:rPr>
                <w:rFonts w:ascii="Arial" w:hAnsi="Arial" w:cs="Arial"/>
                <w:sz w:val="24"/>
              </w:rPr>
            </w:pPr>
            <w:r w:rsidRPr="00C9332F">
              <w:rPr>
                <w:rFonts w:ascii="Arial" w:hAnsi="Arial" w:cs="Arial"/>
                <w:spacing w:val="-2"/>
                <w:sz w:val="24"/>
              </w:rPr>
              <w:t>3.26%</w:t>
            </w:r>
          </w:p>
        </w:tc>
        <w:tc>
          <w:tcPr>
            <w:tcW w:w="2220" w:type="dxa"/>
          </w:tcPr>
          <w:p w14:paraId="1EA0AA44" w14:textId="77777777" w:rsidR="009E60D4" w:rsidRPr="00C9332F" w:rsidRDefault="009E60D4" w:rsidP="00AD5188">
            <w:pPr>
              <w:pStyle w:val="TableParagraph"/>
              <w:spacing w:before="1" w:line="256" w:lineRule="exact"/>
              <w:ind w:left="2" w:right="15"/>
              <w:jc w:val="center"/>
              <w:rPr>
                <w:rFonts w:ascii="Arial" w:hAnsi="Arial" w:cs="Arial"/>
                <w:sz w:val="24"/>
              </w:rPr>
            </w:pPr>
            <w:r w:rsidRPr="00C9332F">
              <w:rPr>
                <w:rFonts w:ascii="Arial" w:hAnsi="Arial" w:cs="Arial"/>
                <w:spacing w:val="-2"/>
                <w:sz w:val="24"/>
              </w:rPr>
              <w:t>8.31%</w:t>
            </w:r>
          </w:p>
        </w:tc>
        <w:tc>
          <w:tcPr>
            <w:tcW w:w="2407" w:type="dxa"/>
          </w:tcPr>
          <w:p w14:paraId="14B0AFEC" w14:textId="77777777" w:rsidR="009E60D4" w:rsidRPr="00C9332F" w:rsidRDefault="009E60D4" w:rsidP="00AD5188">
            <w:pPr>
              <w:pStyle w:val="TableParagraph"/>
              <w:spacing w:before="1" w:line="256" w:lineRule="exact"/>
              <w:ind w:left="3" w:right="15"/>
              <w:jc w:val="center"/>
              <w:rPr>
                <w:rFonts w:ascii="Arial" w:hAnsi="Arial" w:cs="Arial"/>
                <w:sz w:val="24"/>
              </w:rPr>
            </w:pPr>
            <w:r w:rsidRPr="00C9332F">
              <w:rPr>
                <w:rFonts w:ascii="Arial" w:hAnsi="Arial" w:cs="Arial"/>
                <w:spacing w:val="-2"/>
                <w:sz w:val="24"/>
              </w:rPr>
              <w:t>2.87%</w:t>
            </w:r>
          </w:p>
        </w:tc>
      </w:tr>
    </w:tbl>
    <w:p w14:paraId="614AC2C7" w14:textId="77777777" w:rsidR="009E60D4" w:rsidRPr="00C9332F" w:rsidRDefault="009E60D4" w:rsidP="009E60D4">
      <w:pPr>
        <w:pStyle w:val="BodyText"/>
        <w:spacing w:before="3"/>
        <w:ind w:left="165"/>
        <w:rPr>
          <w:rFonts w:ascii="Arial" w:hAnsi="Arial" w:cs="Arial"/>
        </w:rPr>
      </w:pPr>
      <w:r w:rsidRPr="00C9332F">
        <w:rPr>
          <w:rFonts w:ascii="Arial" w:hAnsi="Arial" w:cs="Arial"/>
        </w:rPr>
        <w:t>**Significant</w:t>
      </w:r>
      <w:r w:rsidRPr="00C9332F">
        <w:rPr>
          <w:rFonts w:ascii="Arial" w:hAnsi="Arial" w:cs="Arial"/>
          <w:spacing w:val="-4"/>
        </w:rPr>
        <w:t xml:space="preserve"> </w:t>
      </w:r>
      <w:r w:rsidRPr="00C9332F">
        <w:rPr>
          <w:rFonts w:ascii="Arial" w:hAnsi="Arial" w:cs="Arial"/>
        </w:rPr>
        <w:t>at</w:t>
      </w:r>
      <w:r w:rsidRPr="00C9332F">
        <w:rPr>
          <w:rFonts w:ascii="Arial" w:hAnsi="Arial" w:cs="Arial"/>
          <w:spacing w:val="-4"/>
        </w:rPr>
        <w:t xml:space="preserve"> </w:t>
      </w:r>
      <w:r w:rsidRPr="00C9332F">
        <w:rPr>
          <w:rFonts w:ascii="Arial" w:hAnsi="Arial" w:cs="Arial"/>
        </w:rPr>
        <w:t>1%</w:t>
      </w:r>
      <w:r w:rsidRPr="00C9332F">
        <w:rPr>
          <w:rFonts w:ascii="Arial" w:hAnsi="Arial" w:cs="Arial"/>
          <w:spacing w:val="-3"/>
        </w:rPr>
        <w:t xml:space="preserve"> </w:t>
      </w:r>
      <w:r w:rsidRPr="00C9332F">
        <w:rPr>
          <w:rFonts w:ascii="Arial" w:hAnsi="Arial" w:cs="Arial"/>
        </w:rPr>
        <w:t>level</w:t>
      </w:r>
      <w:r w:rsidRPr="00C9332F">
        <w:rPr>
          <w:rFonts w:ascii="Arial" w:hAnsi="Arial" w:cs="Arial"/>
          <w:spacing w:val="-5"/>
        </w:rPr>
        <w:t xml:space="preserve"> </w:t>
      </w:r>
      <w:r w:rsidRPr="00C9332F">
        <w:rPr>
          <w:rFonts w:ascii="Arial" w:hAnsi="Arial" w:cs="Arial"/>
        </w:rPr>
        <w:t>of</w:t>
      </w:r>
      <w:r w:rsidRPr="00C9332F">
        <w:rPr>
          <w:rFonts w:ascii="Arial" w:hAnsi="Arial" w:cs="Arial"/>
          <w:spacing w:val="-3"/>
        </w:rPr>
        <w:t xml:space="preserve"> </w:t>
      </w:r>
      <w:r w:rsidRPr="00C9332F">
        <w:rPr>
          <w:rFonts w:ascii="Arial" w:hAnsi="Arial" w:cs="Arial"/>
          <w:spacing w:val="-2"/>
        </w:rPr>
        <w:t>probability</w:t>
      </w:r>
    </w:p>
    <w:p w14:paraId="0C1F24DD" w14:textId="77777777" w:rsidR="00A51098" w:rsidRPr="00C9332F" w:rsidRDefault="009E60D4" w:rsidP="009A3737">
      <w:pPr>
        <w:pStyle w:val="BodyText"/>
        <w:spacing w:before="48" w:line="283" w:lineRule="auto"/>
        <w:ind w:left="165" w:right="5465" w:firstLine="67"/>
        <w:rPr>
          <w:rFonts w:ascii="Arial" w:hAnsi="Arial" w:cs="Arial"/>
        </w:rPr>
      </w:pPr>
      <w:r w:rsidRPr="00C9332F">
        <w:rPr>
          <w:rFonts w:ascii="Arial" w:hAnsi="Arial" w:cs="Arial"/>
        </w:rPr>
        <w:t>*Significant</w:t>
      </w:r>
      <w:r w:rsidRPr="00C9332F">
        <w:rPr>
          <w:rFonts w:ascii="Arial" w:hAnsi="Arial" w:cs="Arial"/>
          <w:spacing w:val="-6"/>
        </w:rPr>
        <w:t xml:space="preserve"> </w:t>
      </w:r>
      <w:r w:rsidRPr="00C9332F">
        <w:rPr>
          <w:rFonts w:ascii="Arial" w:hAnsi="Arial" w:cs="Arial"/>
        </w:rPr>
        <w:t>at</w:t>
      </w:r>
      <w:r w:rsidRPr="00C9332F">
        <w:rPr>
          <w:rFonts w:ascii="Arial" w:hAnsi="Arial" w:cs="Arial"/>
          <w:spacing w:val="-6"/>
        </w:rPr>
        <w:t xml:space="preserve"> </w:t>
      </w:r>
      <w:r w:rsidRPr="00C9332F">
        <w:rPr>
          <w:rFonts w:ascii="Arial" w:hAnsi="Arial" w:cs="Arial"/>
        </w:rPr>
        <w:t>5%</w:t>
      </w:r>
      <w:r w:rsidRPr="00C9332F">
        <w:rPr>
          <w:rFonts w:ascii="Arial" w:hAnsi="Arial" w:cs="Arial"/>
          <w:spacing w:val="-9"/>
        </w:rPr>
        <w:t xml:space="preserve"> </w:t>
      </w:r>
      <w:r w:rsidRPr="00C9332F">
        <w:rPr>
          <w:rFonts w:ascii="Arial" w:hAnsi="Arial" w:cs="Arial"/>
        </w:rPr>
        <w:t>level</w:t>
      </w:r>
      <w:r w:rsidRPr="00C9332F">
        <w:rPr>
          <w:rFonts w:ascii="Arial" w:hAnsi="Arial" w:cs="Arial"/>
          <w:spacing w:val="-7"/>
        </w:rPr>
        <w:t xml:space="preserve"> </w:t>
      </w:r>
      <w:r w:rsidRPr="00C9332F">
        <w:rPr>
          <w:rFonts w:ascii="Arial" w:hAnsi="Arial" w:cs="Arial"/>
        </w:rPr>
        <w:t>of</w:t>
      </w:r>
      <w:r w:rsidRPr="00C9332F">
        <w:rPr>
          <w:rFonts w:ascii="Arial" w:hAnsi="Arial" w:cs="Arial"/>
          <w:spacing w:val="-5"/>
        </w:rPr>
        <w:t xml:space="preserve"> </w:t>
      </w:r>
      <w:r w:rsidRPr="00C9332F">
        <w:rPr>
          <w:rFonts w:ascii="Arial" w:hAnsi="Arial" w:cs="Arial"/>
        </w:rPr>
        <w:t>probability b value: Coefficient of regression LGR: Linear growth rate</w:t>
      </w:r>
    </w:p>
    <w:p w14:paraId="21D5DA39" w14:textId="77777777" w:rsidR="00A51098" w:rsidRPr="00C9332F" w:rsidRDefault="00A51098" w:rsidP="00CE53F2">
      <w:pPr>
        <w:spacing w:after="0"/>
        <w:rPr>
          <w:rFonts w:ascii="Arial" w:hAnsi="Arial" w:cs="Arial"/>
          <w:b/>
        </w:rPr>
      </w:pPr>
    </w:p>
    <w:p w14:paraId="24218F6E" w14:textId="77777777" w:rsidR="00211B73" w:rsidRPr="00C9332F" w:rsidRDefault="004E40C3" w:rsidP="00211B73">
      <w:pPr>
        <w:spacing w:after="0" w:line="360" w:lineRule="auto"/>
        <w:jc w:val="both"/>
        <w:rPr>
          <w:rFonts w:ascii="Arial" w:hAnsi="Arial" w:cs="Arial"/>
          <w:b/>
          <w:bCs/>
        </w:rPr>
      </w:pPr>
      <w:r w:rsidRPr="00C9332F">
        <w:rPr>
          <w:rFonts w:ascii="Arial" w:hAnsi="Arial" w:cs="Arial"/>
          <w:b/>
          <w:bCs/>
        </w:rPr>
        <w:t>4. CONCLUSIONS</w:t>
      </w:r>
    </w:p>
    <w:p w14:paraId="368836D1" w14:textId="77777777" w:rsidR="00063E52" w:rsidRPr="00C9332F" w:rsidRDefault="00DA02C6" w:rsidP="00AA67D7">
      <w:pPr>
        <w:spacing w:before="100" w:beforeAutospacing="1" w:after="100" w:afterAutospacing="1" w:line="240" w:lineRule="auto"/>
        <w:jc w:val="both"/>
        <w:rPr>
          <w:rFonts w:ascii="Arial" w:eastAsia="Times New Roman" w:hAnsi="Arial" w:cs="Arial"/>
          <w:sz w:val="24"/>
          <w:szCs w:val="24"/>
          <w:lang w:eastAsia="en-IN"/>
        </w:rPr>
      </w:pPr>
      <w:r w:rsidRPr="00C9332F">
        <w:rPr>
          <w:rFonts w:ascii="Arial" w:eastAsia="Times New Roman" w:hAnsi="Arial" w:cs="Arial"/>
          <w:sz w:val="24"/>
          <w:szCs w:val="24"/>
          <w:lang w:eastAsia="en-IN"/>
        </w:rPr>
        <w:t xml:space="preserve">The present study analysed the trends, growth, and variability in the area, production, and productivity of maize in Madhya Pradesh over a period of two decades (2001–02 to 2020–21). The results clearly indicate a </w:t>
      </w:r>
      <w:r w:rsidRPr="00C9332F">
        <w:rPr>
          <w:rFonts w:ascii="Arial" w:eastAsia="Times New Roman" w:hAnsi="Arial" w:cs="Arial"/>
          <w:bCs/>
          <w:sz w:val="24"/>
          <w:szCs w:val="24"/>
          <w:lang w:eastAsia="en-IN"/>
        </w:rPr>
        <w:t>significant and consistent improvement in maize cultivation</w:t>
      </w:r>
      <w:r w:rsidRPr="00C9332F">
        <w:rPr>
          <w:rFonts w:ascii="Arial" w:eastAsia="Times New Roman" w:hAnsi="Arial" w:cs="Arial"/>
          <w:sz w:val="24"/>
          <w:szCs w:val="24"/>
          <w:lang w:eastAsia="en-IN"/>
        </w:rPr>
        <w:t xml:space="preserve"> in the state, reflected by substantial increases in area, production, and yield during the study period. The triennium comparison revealed that maize area expanded considerably, leading to a pronounced rise in production, while productivity also showed notable improvement. Among the three components, </w:t>
      </w:r>
      <w:r w:rsidRPr="00C9332F">
        <w:rPr>
          <w:rFonts w:ascii="Arial" w:eastAsia="Times New Roman" w:hAnsi="Arial" w:cs="Arial"/>
          <w:bCs/>
          <w:sz w:val="24"/>
          <w:szCs w:val="24"/>
          <w:lang w:eastAsia="en-IN"/>
        </w:rPr>
        <w:t>production recorded the highest relative growth</w:t>
      </w:r>
      <w:r w:rsidR="008067ED" w:rsidRPr="00C9332F">
        <w:rPr>
          <w:rFonts w:ascii="Arial" w:eastAsia="Times New Roman" w:hAnsi="Arial" w:cs="Arial"/>
          <w:bCs/>
          <w:sz w:val="24"/>
          <w:szCs w:val="24"/>
          <w:lang w:eastAsia="en-IN"/>
        </w:rPr>
        <w:t xml:space="preserve"> 159.33 percent</w:t>
      </w:r>
      <w:r w:rsidRPr="00C9332F">
        <w:rPr>
          <w:rFonts w:ascii="Arial" w:eastAsia="Times New Roman" w:hAnsi="Arial" w:cs="Arial"/>
          <w:sz w:val="24"/>
          <w:szCs w:val="24"/>
          <w:lang w:eastAsia="en-IN"/>
        </w:rPr>
        <w:t xml:space="preserve">, followed by area </w:t>
      </w:r>
      <w:r w:rsidR="00940055" w:rsidRPr="00C9332F">
        <w:rPr>
          <w:rFonts w:ascii="Arial" w:eastAsia="Times New Roman" w:hAnsi="Arial" w:cs="Arial"/>
          <w:sz w:val="24"/>
          <w:szCs w:val="24"/>
          <w:lang w:eastAsia="en-IN"/>
        </w:rPr>
        <w:t>64.06</w:t>
      </w:r>
      <w:r w:rsidR="008067ED" w:rsidRPr="00C9332F">
        <w:rPr>
          <w:rFonts w:ascii="Arial" w:eastAsia="Times New Roman" w:hAnsi="Arial" w:cs="Arial"/>
          <w:sz w:val="24"/>
          <w:szCs w:val="24"/>
          <w:lang w:eastAsia="en-IN"/>
        </w:rPr>
        <w:t xml:space="preserve"> </w:t>
      </w:r>
      <w:proofErr w:type="gramStart"/>
      <w:r w:rsidR="008067ED" w:rsidRPr="00C9332F">
        <w:rPr>
          <w:rFonts w:ascii="Arial" w:eastAsia="Times New Roman" w:hAnsi="Arial" w:cs="Arial"/>
          <w:sz w:val="24"/>
          <w:szCs w:val="24"/>
          <w:lang w:eastAsia="en-IN"/>
        </w:rPr>
        <w:t xml:space="preserve">percent </w:t>
      </w:r>
      <w:r w:rsidR="00EE08DB" w:rsidRPr="00C9332F">
        <w:rPr>
          <w:rFonts w:ascii="Arial" w:eastAsia="Times New Roman" w:hAnsi="Arial" w:cs="Arial"/>
          <w:sz w:val="24"/>
          <w:szCs w:val="24"/>
          <w:lang w:eastAsia="en-IN"/>
        </w:rPr>
        <w:t xml:space="preserve"> </w:t>
      </w:r>
      <w:r w:rsidRPr="00C9332F">
        <w:rPr>
          <w:rFonts w:ascii="Arial" w:eastAsia="Times New Roman" w:hAnsi="Arial" w:cs="Arial"/>
          <w:sz w:val="24"/>
          <w:szCs w:val="24"/>
          <w:lang w:eastAsia="en-IN"/>
        </w:rPr>
        <w:t>and</w:t>
      </w:r>
      <w:proofErr w:type="gramEnd"/>
      <w:r w:rsidRPr="00C9332F">
        <w:rPr>
          <w:rFonts w:ascii="Arial" w:eastAsia="Times New Roman" w:hAnsi="Arial" w:cs="Arial"/>
          <w:sz w:val="24"/>
          <w:szCs w:val="24"/>
          <w:lang w:eastAsia="en-IN"/>
        </w:rPr>
        <w:t xml:space="preserve"> productivity</w:t>
      </w:r>
      <w:r w:rsidR="008067ED" w:rsidRPr="00C9332F">
        <w:rPr>
          <w:rFonts w:ascii="Arial" w:eastAsia="Times New Roman" w:hAnsi="Arial" w:cs="Arial"/>
          <w:sz w:val="24"/>
          <w:szCs w:val="24"/>
          <w:lang w:eastAsia="en-IN"/>
        </w:rPr>
        <w:t xml:space="preserve"> 58.97 percent</w:t>
      </w:r>
      <w:r w:rsidRPr="00C9332F">
        <w:rPr>
          <w:rFonts w:ascii="Arial" w:eastAsia="Times New Roman" w:hAnsi="Arial" w:cs="Arial"/>
          <w:sz w:val="24"/>
          <w:szCs w:val="24"/>
          <w:lang w:eastAsia="en-IN"/>
        </w:rPr>
        <w:t xml:space="preserve">, suggesting that expansion of cultivated area remained the primary driver of maize output growth in the state. However, the observed increase in yield highlights the positive impact of technological interventions, such as the adoption of high-yielding and hybrid varieties, improved agronomic practices, and better access to inputs. Trend and growth analysis further confirmed </w:t>
      </w:r>
      <w:r w:rsidRPr="00C9332F">
        <w:rPr>
          <w:rFonts w:ascii="Arial" w:eastAsia="Times New Roman" w:hAnsi="Arial" w:cs="Arial"/>
          <w:bCs/>
          <w:sz w:val="24"/>
          <w:szCs w:val="24"/>
          <w:lang w:eastAsia="en-IN"/>
        </w:rPr>
        <w:t>positive and highly significant growth rates</w:t>
      </w:r>
      <w:r w:rsidRPr="00C9332F">
        <w:rPr>
          <w:rFonts w:ascii="Arial" w:eastAsia="Times New Roman" w:hAnsi="Arial" w:cs="Arial"/>
          <w:sz w:val="24"/>
          <w:szCs w:val="24"/>
          <w:lang w:eastAsia="en-IN"/>
        </w:rPr>
        <w:t xml:space="preserve"> for area</w:t>
      </w:r>
      <w:r w:rsidR="00DF5BF3" w:rsidRPr="00C9332F">
        <w:rPr>
          <w:rFonts w:ascii="Arial" w:eastAsia="Times New Roman" w:hAnsi="Arial" w:cs="Arial"/>
          <w:sz w:val="24"/>
          <w:szCs w:val="24"/>
          <w:lang w:eastAsia="en-IN"/>
        </w:rPr>
        <w:t xml:space="preserve"> 3.26 percent</w:t>
      </w:r>
      <w:r w:rsidRPr="00C9332F">
        <w:rPr>
          <w:rFonts w:ascii="Arial" w:eastAsia="Times New Roman" w:hAnsi="Arial" w:cs="Arial"/>
          <w:sz w:val="24"/>
          <w:szCs w:val="24"/>
          <w:lang w:eastAsia="en-IN"/>
        </w:rPr>
        <w:t>, production</w:t>
      </w:r>
      <w:r w:rsidR="00DF5BF3" w:rsidRPr="00C9332F">
        <w:rPr>
          <w:rFonts w:ascii="Arial" w:eastAsia="Times New Roman" w:hAnsi="Arial" w:cs="Arial"/>
          <w:sz w:val="24"/>
          <w:szCs w:val="24"/>
          <w:lang w:eastAsia="en-IN"/>
        </w:rPr>
        <w:t xml:space="preserve"> 8.31 percent</w:t>
      </w:r>
      <w:r w:rsidRPr="00C9332F">
        <w:rPr>
          <w:rFonts w:ascii="Arial" w:eastAsia="Times New Roman" w:hAnsi="Arial" w:cs="Arial"/>
          <w:sz w:val="24"/>
          <w:szCs w:val="24"/>
          <w:lang w:eastAsia="en-IN"/>
        </w:rPr>
        <w:t>, and productivity</w:t>
      </w:r>
      <w:r w:rsidR="00DF5BF3" w:rsidRPr="00C9332F">
        <w:rPr>
          <w:rFonts w:ascii="Arial" w:eastAsia="Times New Roman" w:hAnsi="Arial" w:cs="Arial"/>
          <w:sz w:val="24"/>
          <w:szCs w:val="24"/>
          <w:lang w:eastAsia="en-IN"/>
        </w:rPr>
        <w:t xml:space="preserve"> 2.87 percent</w:t>
      </w:r>
      <w:r w:rsidRPr="00C9332F">
        <w:rPr>
          <w:rFonts w:ascii="Arial" w:eastAsia="Times New Roman" w:hAnsi="Arial" w:cs="Arial"/>
          <w:sz w:val="24"/>
          <w:szCs w:val="24"/>
          <w:lang w:eastAsia="en-IN"/>
        </w:rPr>
        <w:t xml:space="preserve">, with production exhibiting the highest growth rate. This growth can be attributed to favourable </w:t>
      </w:r>
      <w:proofErr w:type="spellStart"/>
      <w:r w:rsidRPr="00C9332F">
        <w:rPr>
          <w:rFonts w:ascii="Arial" w:eastAsia="Times New Roman" w:hAnsi="Arial" w:cs="Arial"/>
          <w:sz w:val="24"/>
          <w:szCs w:val="24"/>
          <w:lang w:eastAsia="en-IN"/>
        </w:rPr>
        <w:t>agro</w:t>
      </w:r>
      <w:proofErr w:type="spellEnd"/>
      <w:r w:rsidRPr="00C9332F">
        <w:rPr>
          <w:rFonts w:ascii="Arial" w:eastAsia="Times New Roman" w:hAnsi="Arial" w:cs="Arial"/>
          <w:sz w:val="24"/>
          <w:szCs w:val="24"/>
          <w:lang w:eastAsia="en-IN"/>
        </w:rPr>
        <w:t>-climatic conditions, rising industrial and feed demand, and supportive state policies, including improved irrigation facilities, rural infrastructure development, and promotion of quality seed distribution. The relatively high coefficient of variation, particularly in production</w:t>
      </w:r>
      <w:r w:rsidR="006A3C58" w:rsidRPr="00C9332F">
        <w:rPr>
          <w:rFonts w:ascii="Arial" w:eastAsia="Times New Roman" w:hAnsi="Arial" w:cs="Arial"/>
          <w:sz w:val="24"/>
          <w:szCs w:val="24"/>
          <w:lang w:eastAsia="en-IN"/>
        </w:rPr>
        <w:t xml:space="preserve"> 60.2 percent</w:t>
      </w:r>
      <w:r w:rsidRPr="00C9332F">
        <w:rPr>
          <w:rFonts w:ascii="Arial" w:eastAsia="Times New Roman" w:hAnsi="Arial" w:cs="Arial"/>
          <w:sz w:val="24"/>
          <w:szCs w:val="24"/>
          <w:lang w:eastAsia="en-IN"/>
        </w:rPr>
        <w:t xml:space="preserve"> and productivity</w:t>
      </w:r>
      <w:r w:rsidR="000F2C3B" w:rsidRPr="00C9332F">
        <w:rPr>
          <w:rFonts w:ascii="Arial" w:eastAsia="Times New Roman" w:hAnsi="Arial" w:cs="Arial"/>
          <w:sz w:val="24"/>
          <w:szCs w:val="24"/>
          <w:lang w:eastAsia="en-IN"/>
        </w:rPr>
        <w:t xml:space="preserve"> 38.4 percent</w:t>
      </w:r>
      <w:r w:rsidRPr="00C9332F">
        <w:rPr>
          <w:rFonts w:ascii="Arial" w:eastAsia="Times New Roman" w:hAnsi="Arial" w:cs="Arial"/>
          <w:sz w:val="24"/>
          <w:szCs w:val="24"/>
          <w:lang w:eastAsia="en-IN"/>
        </w:rPr>
        <w:t>, indicates the presence of instability, largely influenced by climatic variability and dependence on rainfed agriculture.</w:t>
      </w:r>
      <w:r w:rsidR="00FC19C9" w:rsidRPr="00C9332F">
        <w:rPr>
          <w:rFonts w:ascii="Arial" w:eastAsia="Times New Roman" w:hAnsi="Arial" w:cs="Arial"/>
          <w:sz w:val="24"/>
          <w:szCs w:val="24"/>
          <w:lang w:eastAsia="en-IN"/>
        </w:rPr>
        <w:t xml:space="preserve"> </w:t>
      </w:r>
      <w:r w:rsidRPr="00C9332F">
        <w:rPr>
          <w:rFonts w:ascii="Arial" w:eastAsia="Times New Roman" w:hAnsi="Arial" w:cs="Arial"/>
          <w:sz w:val="24"/>
          <w:szCs w:val="24"/>
          <w:lang w:eastAsia="en-IN"/>
        </w:rPr>
        <w:t xml:space="preserve">Overall, the findings suggest that while Madhya Pradesh has achieved remarkable growth in maize production, </w:t>
      </w:r>
      <w:r w:rsidRPr="00C9332F">
        <w:rPr>
          <w:rFonts w:ascii="Arial" w:eastAsia="Times New Roman" w:hAnsi="Arial" w:cs="Arial"/>
          <w:bCs/>
          <w:sz w:val="24"/>
          <w:szCs w:val="24"/>
          <w:lang w:eastAsia="en-IN"/>
        </w:rPr>
        <w:t>future gains must increasingly come from productivity enhancement rather than area expansion</w:t>
      </w:r>
      <w:r w:rsidRPr="00C9332F">
        <w:rPr>
          <w:rFonts w:ascii="Arial" w:eastAsia="Times New Roman" w:hAnsi="Arial" w:cs="Arial"/>
          <w:sz w:val="24"/>
          <w:szCs w:val="24"/>
          <w:lang w:eastAsia="en-IN"/>
        </w:rPr>
        <w:t>. Strengthening research and extension services, promoting climate-resilient hybrids, improving irrigation coverage, and ensuring timely availability of inputs can help stabilise yields and sustain growth. Focused policy interventions aimed at reducing production variability and enhancing resource-use efficiency will be crucial for maintaining Madhya Pradesh’s leading role in maize production and for improving farmers’ income and livelihood security in the state</w:t>
      </w:r>
      <w:r w:rsidR="00AA67D7" w:rsidRPr="00C9332F">
        <w:rPr>
          <w:rFonts w:ascii="Arial" w:eastAsia="Times New Roman" w:hAnsi="Arial" w:cs="Arial"/>
          <w:sz w:val="24"/>
          <w:szCs w:val="24"/>
          <w:lang w:eastAsia="en-IN"/>
        </w:rPr>
        <w:t>.</w:t>
      </w:r>
    </w:p>
    <w:p w14:paraId="22ABD12F" w14:textId="77777777" w:rsidR="007D2127" w:rsidRPr="00C9332F" w:rsidRDefault="00155391" w:rsidP="00211B73">
      <w:pPr>
        <w:spacing w:after="0" w:line="360" w:lineRule="auto"/>
        <w:jc w:val="both"/>
        <w:rPr>
          <w:rFonts w:ascii="Arial" w:eastAsia="Times New Roman" w:hAnsi="Arial" w:cs="Arial"/>
          <w:b/>
          <w:lang w:eastAsia="en-IN"/>
        </w:rPr>
      </w:pPr>
      <w:r w:rsidRPr="00C9332F">
        <w:rPr>
          <w:rFonts w:ascii="Arial" w:eastAsia="Times New Roman" w:hAnsi="Arial" w:cs="Arial"/>
          <w:b/>
          <w:lang w:eastAsia="en-IN"/>
        </w:rPr>
        <w:lastRenderedPageBreak/>
        <w:t>DISCLAIMER (ARTIFIC</w:t>
      </w:r>
      <w:r w:rsidR="007D2127" w:rsidRPr="00C9332F">
        <w:rPr>
          <w:rFonts w:ascii="Arial" w:eastAsia="Times New Roman" w:hAnsi="Arial" w:cs="Arial"/>
          <w:b/>
          <w:lang w:eastAsia="en-IN"/>
        </w:rPr>
        <w:t>IAL INTELLIGENCE)</w:t>
      </w:r>
    </w:p>
    <w:p w14:paraId="3484C913" w14:textId="77777777" w:rsidR="007D2127" w:rsidRPr="00C9332F" w:rsidRDefault="00663564" w:rsidP="007D2127">
      <w:pPr>
        <w:spacing w:after="0" w:line="240" w:lineRule="auto"/>
        <w:jc w:val="both"/>
        <w:rPr>
          <w:rFonts w:ascii="Arial" w:eastAsia="Times New Roman" w:hAnsi="Arial" w:cs="Arial"/>
          <w:sz w:val="20"/>
          <w:szCs w:val="20"/>
          <w:lang w:eastAsia="en-IN"/>
        </w:rPr>
      </w:pPr>
      <w:r w:rsidRPr="00C9332F">
        <w:rPr>
          <w:rFonts w:ascii="Arial" w:eastAsia="Times New Roman" w:hAnsi="Arial" w:cs="Arial"/>
          <w:sz w:val="20"/>
          <w:szCs w:val="20"/>
          <w:lang w:eastAsia="en-IN"/>
        </w:rPr>
        <w:t>Authors (s) hereby declare</w:t>
      </w:r>
      <w:r w:rsidR="007D2127" w:rsidRPr="00C9332F">
        <w:rPr>
          <w:rFonts w:ascii="Arial" w:eastAsia="Times New Roman" w:hAnsi="Arial" w:cs="Arial"/>
          <w:sz w:val="20"/>
          <w:szCs w:val="20"/>
          <w:lang w:eastAsia="en-IN"/>
        </w:rPr>
        <w:t xml:space="preserve"> that NO generative AI technologies such as la</w:t>
      </w:r>
      <w:r w:rsidR="002065C8" w:rsidRPr="00C9332F">
        <w:rPr>
          <w:rFonts w:ascii="Arial" w:eastAsia="Times New Roman" w:hAnsi="Arial" w:cs="Arial"/>
          <w:sz w:val="20"/>
          <w:szCs w:val="20"/>
          <w:lang w:eastAsia="en-IN"/>
        </w:rPr>
        <w:t xml:space="preserve">rge language, Models (Chat GPT, </w:t>
      </w:r>
      <w:r w:rsidR="007D2127" w:rsidRPr="00C9332F">
        <w:rPr>
          <w:rFonts w:ascii="Arial" w:eastAsia="Times New Roman" w:hAnsi="Arial" w:cs="Arial"/>
          <w:sz w:val="20"/>
          <w:szCs w:val="20"/>
          <w:lang w:eastAsia="en-IN"/>
        </w:rPr>
        <w:t xml:space="preserve">COPILOT, etc.) </w:t>
      </w:r>
      <w:r w:rsidR="00722CA6" w:rsidRPr="00C9332F">
        <w:rPr>
          <w:rFonts w:ascii="Arial" w:eastAsia="Times New Roman" w:hAnsi="Arial" w:cs="Arial"/>
          <w:sz w:val="20"/>
          <w:szCs w:val="20"/>
          <w:lang w:eastAsia="en-IN"/>
        </w:rPr>
        <w:t>h</w:t>
      </w:r>
      <w:r w:rsidR="007D2127" w:rsidRPr="00C9332F">
        <w:rPr>
          <w:rFonts w:ascii="Arial" w:eastAsia="Times New Roman" w:hAnsi="Arial" w:cs="Arial"/>
          <w:sz w:val="20"/>
          <w:szCs w:val="20"/>
          <w:lang w:eastAsia="en-IN"/>
        </w:rPr>
        <w:t>ave been used during writing or editing of the manuscript.</w:t>
      </w:r>
    </w:p>
    <w:p w14:paraId="65229EF0" w14:textId="77777777" w:rsidR="00985B4C" w:rsidRPr="00C9332F" w:rsidRDefault="00985B4C" w:rsidP="00211B73">
      <w:pPr>
        <w:spacing w:after="0" w:line="360" w:lineRule="auto"/>
        <w:jc w:val="both"/>
        <w:rPr>
          <w:rFonts w:ascii="Arial" w:eastAsia="Times New Roman" w:hAnsi="Arial" w:cs="Arial"/>
          <w:b/>
          <w:sz w:val="20"/>
          <w:szCs w:val="20"/>
          <w:lang w:eastAsia="en-IN"/>
        </w:rPr>
      </w:pPr>
    </w:p>
    <w:p w14:paraId="05558F59" w14:textId="77777777" w:rsidR="00B216C9" w:rsidRPr="00C9332F" w:rsidRDefault="00B216C9" w:rsidP="00211B73">
      <w:pPr>
        <w:spacing w:after="0" w:line="360" w:lineRule="auto"/>
        <w:jc w:val="both"/>
        <w:rPr>
          <w:rFonts w:ascii="Arial" w:eastAsia="Times New Roman" w:hAnsi="Arial" w:cs="Arial"/>
          <w:b/>
          <w:lang w:eastAsia="en-IN"/>
        </w:rPr>
      </w:pPr>
      <w:bookmarkStart w:id="0" w:name="_GoBack"/>
      <w:bookmarkEnd w:id="0"/>
      <w:r w:rsidRPr="00C9332F">
        <w:rPr>
          <w:rFonts w:ascii="Arial" w:eastAsia="Times New Roman" w:hAnsi="Arial" w:cs="Arial"/>
          <w:b/>
          <w:lang w:eastAsia="en-IN"/>
        </w:rPr>
        <w:t xml:space="preserve">COMPETING INTERESTS </w:t>
      </w:r>
    </w:p>
    <w:p w14:paraId="3E690B6B" w14:textId="77777777" w:rsidR="00F14EAC" w:rsidRPr="00C9332F" w:rsidRDefault="00F5507A" w:rsidP="00080675">
      <w:pPr>
        <w:spacing w:after="0" w:line="360" w:lineRule="auto"/>
        <w:jc w:val="both"/>
        <w:rPr>
          <w:rStyle w:val="oxzekf"/>
          <w:rFonts w:ascii="Arial" w:eastAsia="Times New Roman" w:hAnsi="Arial" w:cs="Arial"/>
          <w:lang w:eastAsia="en-IN"/>
        </w:rPr>
      </w:pPr>
      <w:r w:rsidRPr="00C9332F">
        <w:rPr>
          <w:rFonts w:ascii="Arial" w:eastAsia="Times New Roman" w:hAnsi="Arial" w:cs="Arial"/>
          <w:lang w:eastAsia="en-IN"/>
        </w:rPr>
        <w:t>N</w:t>
      </w:r>
      <w:r w:rsidR="0031679F" w:rsidRPr="00C9332F">
        <w:rPr>
          <w:rFonts w:ascii="Arial" w:eastAsia="Times New Roman" w:hAnsi="Arial" w:cs="Arial"/>
          <w:lang w:eastAsia="en-IN"/>
        </w:rPr>
        <w:t>o competing interests exist.</w:t>
      </w:r>
    </w:p>
    <w:p w14:paraId="5EE7E9A7" w14:textId="77777777" w:rsidR="00F14EAC" w:rsidRPr="00C9332F" w:rsidRDefault="00F14EAC" w:rsidP="00B216C9">
      <w:pPr>
        <w:spacing w:after="0" w:line="360" w:lineRule="auto"/>
        <w:rPr>
          <w:rStyle w:val="oxzekf"/>
          <w:rFonts w:ascii="Arial" w:hAnsi="Arial" w:cs="Arial"/>
          <w:b/>
          <w:color w:val="001D35"/>
          <w:shd w:val="clear" w:color="auto" w:fill="FFFFFF"/>
        </w:rPr>
      </w:pPr>
    </w:p>
    <w:p w14:paraId="01FB8716" w14:textId="77777777" w:rsidR="00476709" w:rsidRPr="00C9332F" w:rsidRDefault="00B216C9" w:rsidP="0068048E">
      <w:pPr>
        <w:spacing w:after="0" w:line="240" w:lineRule="auto"/>
        <w:jc w:val="both"/>
        <w:rPr>
          <w:rStyle w:val="oxzekf"/>
          <w:rFonts w:ascii="Arial" w:hAnsi="Arial" w:cs="Arial"/>
          <w:b/>
          <w:color w:val="001D35"/>
          <w:shd w:val="clear" w:color="auto" w:fill="FFFFFF"/>
        </w:rPr>
      </w:pPr>
      <w:r w:rsidRPr="00C9332F">
        <w:rPr>
          <w:rStyle w:val="oxzekf"/>
          <w:rFonts w:ascii="Arial" w:hAnsi="Arial" w:cs="Arial"/>
          <w:b/>
          <w:color w:val="001D35"/>
          <w:shd w:val="clear" w:color="auto" w:fill="FFFFFF"/>
        </w:rPr>
        <w:t>REFERENCES</w:t>
      </w:r>
    </w:p>
    <w:p w14:paraId="2979FB2F" w14:textId="77777777" w:rsidR="00916FB6" w:rsidRDefault="00916FB6" w:rsidP="0068048E">
      <w:pPr>
        <w:spacing w:after="0" w:line="240" w:lineRule="auto"/>
        <w:ind w:firstLine="165"/>
        <w:jc w:val="both"/>
        <w:rPr>
          <w:rStyle w:val="oxzekf"/>
          <w:rFonts w:ascii="Arial" w:hAnsi="Arial" w:cs="Arial"/>
          <w:color w:val="001D35"/>
          <w:shd w:val="clear" w:color="auto" w:fill="FFFFFF"/>
        </w:rPr>
      </w:pPr>
    </w:p>
    <w:p w14:paraId="47A609A6" w14:textId="77777777" w:rsidR="007C55FD" w:rsidRPr="0079532C" w:rsidRDefault="007C55FD" w:rsidP="0068048E">
      <w:pPr>
        <w:spacing w:after="0" w:line="240" w:lineRule="auto"/>
        <w:ind w:firstLine="165"/>
        <w:jc w:val="both"/>
        <w:rPr>
          <w:rStyle w:val="oxzekf"/>
          <w:rFonts w:ascii="Arial" w:hAnsi="Arial" w:cs="Arial"/>
          <w:color w:val="001D35"/>
          <w:sz w:val="24"/>
          <w:szCs w:val="24"/>
          <w:shd w:val="clear" w:color="auto" w:fill="FFFFFF"/>
        </w:rPr>
      </w:pPr>
      <w:proofErr w:type="spellStart"/>
      <w:r w:rsidRPr="0079532C">
        <w:rPr>
          <w:rStyle w:val="oxzekf"/>
          <w:rFonts w:ascii="Arial" w:hAnsi="Arial" w:cs="Arial"/>
          <w:color w:val="001D35"/>
          <w:sz w:val="24"/>
          <w:szCs w:val="24"/>
          <w:shd w:val="clear" w:color="auto" w:fill="FFFFFF"/>
        </w:rPr>
        <w:t>Brithal</w:t>
      </w:r>
      <w:proofErr w:type="spellEnd"/>
      <w:r w:rsidRPr="0079532C">
        <w:rPr>
          <w:rStyle w:val="oxzekf"/>
          <w:rFonts w:ascii="Arial" w:hAnsi="Arial" w:cs="Arial"/>
          <w:color w:val="001D35"/>
          <w:sz w:val="24"/>
          <w:szCs w:val="24"/>
          <w:shd w:val="clear" w:color="auto" w:fill="FFFFFF"/>
        </w:rPr>
        <w:t xml:space="preserve"> S P., and Pandey G. (2020</w:t>
      </w:r>
      <w:proofErr w:type="gramStart"/>
      <w:r w:rsidRPr="0079532C">
        <w:rPr>
          <w:rStyle w:val="oxzekf"/>
          <w:rFonts w:ascii="Arial" w:hAnsi="Arial" w:cs="Arial"/>
          <w:color w:val="001D35"/>
          <w:sz w:val="24"/>
          <w:szCs w:val="24"/>
          <w:shd w:val="clear" w:color="auto" w:fill="FFFFFF"/>
        </w:rPr>
        <w:t>).Structural</w:t>
      </w:r>
      <w:proofErr w:type="gramEnd"/>
      <w:r w:rsidRPr="0079532C">
        <w:rPr>
          <w:rStyle w:val="oxzekf"/>
          <w:rFonts w:ascii="Arial" w:hAnsi="Arial" w:cs="Arial"/>
          <w:color w:val="001D35"/>
          <w:sz w:val="24"/>
          <w:szCs w:val="24"/>
          <w:shd w:val="clear" w:color="auto" w:fill="FFFFFF"/>
        </w:rPr>
        <w:t xml:space="preserve"> Transformation and Sources of Growth in South Asian Agriculture</w:t>
      </w:r>
      <w:r w:rsidR="00D7412A" w:rsidRPr="0079532C">
        <w:rPr>
          <w:rStyle w:val="oxzekf"/>
          <w:rFonts w:ascii="Arial" w:hAnsi="Arial" w:cs="Arial"/>
          <w:color w:val="001D35"/>
          <w:sz w:val="24"/>
          <w:szCs w:val="24"/>
          <w:shd w:val="clear" w:color="auto" w:fill="FFFFFF"/>
        </w:rPr>
        <w:t>, Transforming Agriculture in South Asia, 49-70</w:t>
      </w:r>
    </w:p>
    <w:p w14:paraId="47CD1266" w14:textId="77777777" w:rsidR="0068048E" w:rsidRPr="0079532C" w:rsidRDefault="0068048E" w:rsidP="0068048E">
      <w:pPr>
        <w:spacing w:after="0" w:line="240" w:lineRule="auto"/>
        <w:ind w:firstLine="165"/>
        <w:jc w:val="both"/>
        <w:rPr>
          <w:rFonts w:ascii="Arial" w:hAnsi="Arial" w:cs="Arial"/>
          <w:sz w:val="24"/>
          <w:szCs w:val="24"/>
        </w:rPr>
      </w:pPr>
    </w:p>
    <w:p w14:paraId="2147BEE1" w14:textId="77777777" w:rsidR="00D34F61" w:rsidRPr="0079532C" w:rsidRDefault="00D34F61" w:rsidP="0068048E">
      <w:pPr>
        <w:spacing w:after="0" w:line="240" w:lineRule="auto"/>
        <w:ind w:firstLine="165"/>
        <w:jc w:val="both"/>
        <w:rPr>
          <w:rStyle w:val="oxzekf"/>
          <w:rFonts w:ascii="Arial" w:hAnsi="Arial" w:cs="Arial"/>
          <w:color w:val="001D35"/>
          <w:sz w:val="24"/>
          <w:szCs w:val="24"/>
          <w:shd w:val="clear" w:color="auto" w:fill="FFFFFF"/>
        </w:rPr>
      </w:pPr>
      <w:r w:rsidRPr="0079532C">
        <w:rPr>
          <w:rFonts w:ascii="Arial" w:hAnsi="Arial" w:cs="Arial"/>
          <w:sz w:val="24"/>
          <w:szCs w:val="24"/>
        </w:rPr>
        <w:t xml:space="preserve">Chand, R. and Raju, S.S. (2009). Instability in Indian agriculture during different phases of technology and policy. </w:t>
      </w:r>
      <w:r w:rsidRPr="0079532C">
        <w:rPr>
          <w:rStyle w:val="Emphasis"/>
          <w:rFonts w:ascii="Arial" w:hAnsi="Arial" w:cs="Arial"/>
          <w:sz w:val="24"/>
          <w:szCs w:val="24"/>
        </w:rPr>
        <w:t>Indian Journal of Agricultural Economics</w:t>
      </w:r>
      <w:r w:rsidRPr="0079532C">
        <w:rPr>
          <w:rFonts w:ascii="Arial" w:hAnsi="Arial" w:cs="Arial"/>
          <w:sz w:val="24"/>
          <w:szCs w:val="24"/>
        </w:rPr>
        <w:t xml:space="preserve">, </w:t>
      </w:r>
      <w:r w:rsidRPr="00423A27">
        <w:rPr>
          <w:rStyle w:val="Strong"/>
          <w:rFonts w:ascii="Arial" w:hAnsi="Arial" w:cs="Arial"/>
          <w:b w:val="0"/>
          <w:sz w:val="24"/>
          <w:szCs w:val="24"/>
        </w:rPr>
        <w:t>64</w:t>
      </w:r>
      <w:r w:rsidRPr="00423A27">
        <w:rPr>
          <w:rFonts w:ascii="Arial" w:hAnsi="Arial" w:cs="Arial"/>
          <w:sz w:val="24"/>
          <w:szCs w:val="24"/>
        </w:rPr>
        <w:t>(2): 187–207</w:t>
      </w:r>
    </w:p>
    <w:p w14:paraId="58727FD3" w14:textId="77777777" w:rsidR="0068048E" w:rsidRPr="0079532C" w:rsidRDefault="0068048E" w:rsidP="0068048E">
      <w:pPr>
        <w:pStyle w:val="BodyText"/>
        <w:ind w:left="165" w:right="477" w:firstLine="555"/>
        <w:jc w:val="both"/>
        <w:rPr>
          <w:rFonts w:ascii="Arial" w:hAnsi="Arial" w:cs="Arial"/>
        </w:rPr>
      </w:pPr>
    </w:p>
    <w:p w14:paraId="3B9EA36F" w14:textId="77777777" w:rsidR="005F1D5A" w:rsidRPr="0079532C" w:rsidRDefault="005F1D5A" w:rsidP="0068048E">
      <w:pPr>
        <w:pStyle w:val="BodyText"/>
        <w:ind w:left="165" w:right="477" w:firstLine="555"/>
        <w:jc w:val="both"/>
        <w:rPr>
          <w:rFonts w:ascii="Arial" w:hAnsi="Arial" w:cs="Arial"/>
        </w:rPr>
      </w:pPr>
      <w:r w:rsidRPr="0079532C">
        <w:rPr>
          <w:rFonts w:ascii="Arial" w:hAnsi="Arial" w:cs="Arial"/>
        </w:rPr>
        <w:t xml:space="preserve">Directorate of Economics, Statistics Division (2023) retrieved from </w:t>
      </w:r>
      <w:r w:rsidRPr="0079532C">
        <w:rPr>
          <w:rFonts w:ascii="Arial" w:hAnsi="Arial" w:cs="Arial"/>
          <w:spacing w:val="-2"/>
        </w:rPr>
        <w:t>https://desagri.gov.in/</w:t>
      </w:r>
      <w:hyperlink r:id="rId13">
        <w:r w:rsidRPr="0079532C">
          <w:rPr>
            <w:rFonts w:ascii="Arial" w:hAnsi="Arial" w:cs="Arial"/>
            <w:color w:val="0000FF"/>
            <w:spacing w:val="-2"/>
            <w:u w:val="single" w:color="0000FF"/>
          </w:rPr>
          <w:t>https://desagri.gov.in/</w:t>
        </w:r>
      </w:hyperlink>
    </w:p>
    <w:p w14:paraId="4FF0B4BC" w14:textId="77777777" w:rsidR="005F1D5A" w:rsidRPr="0079532C" w:rsidRDefault="005F1D5A" w:rsidP="0068048E">
      <w:pPr>
        <w:pStyle w:val="BodyText"/>
        <w:ind w:left="165" w:right="477"/>
        <w:jc w:val="both"/>
        <w:rPr>
          <w:rFonts w:ascii="Arial" w:hAnsi="Arial" w:cs="Arial"/>
        </w:rPr>
      </w:pPr>
    </w:p>
    <w:p w14:paraId="60528136" w14:textId="77777777" w:rsidR="005F1D5A" w:rsidRPr="0079532C" w:rsidRDefault="005F1D5A" w:rsidP="0068048E">
      <w:pPr>
        <w:pStyle w:val="BodyText"/>
        <w:ind w:left="165" w:right="477" w:firstLine="555"/>
        <w:jc w:val="both"/>
        <w:rPr>
          <w:rFonts w:ascii="Arial" w:hAnsi="Arial" w:cs="Arial"/>
          <w:color w:val="0000FF"/>
          <w:spacing w:val="-2"/>
          <w:u w:val="single" w:color="0000FF"/>
        </w:rPr>
      </w:pPr>
      <w:r w:rsidRPr="0079532C">
        <w:rPr>
          <w:rFonts w:ascii="Arial" w:hAnsi="Arial" w:cs="Arial"/>
        </w:rPr>
        <w:t xml:space="preserve">Directorate of Economics, Statistics Division (2023) retrieved from </w:t>
      </w:r>
      <w:r w:rsidRPr="0079532C">
        <w:rPr>
          <w:rFonts w:ascii="Arial" w:hAnsi="Arial" w:cs="Arial"/>
          <w:spacing w:val="-2"/>
        </w:rPr>
        <w:t>https://desagri.gov.in/</w:t>
      </w:r>
      <w:hyperlink r:id="rId14">
        <w:r w:rsidRPr="0079532C">
          <w:rPr>
            <w:rFonts w:ascii="Arial" w:hAnsi="Arial" w:cs="Arial"/>
            <w:color w:val="0000FF"/>
            <w:spacing w:val="-2"/>
            <w:u w:val="single" w:color="0000FF"/>
          </w:rPr>
          <w:t>https://desagri.gov.in/</w:t>
        </w:r>
      </w:hyperlink>
    </w:p>
    <w:p w14:paraId="5833EA8E" w14:textId="77777777" w:rsidR="005F1D5A" w:rsidRPr="0079532C" w:rsidRDefault="005F1D5A" w:rsidP="0068048E">
      <w:pPr>
        <w:pStyle w:val="BodyText"/>
        <w:ind w:left="165" w:right="477"/>
        <w:jc w:val="both"/>
        <w:rPr>
          <w:rStyle w:val="oxzekf"/>
          <w:rFonts w:ascii="Arial" w:hAnsi="Arial" w:cs="Arial"/>
        </w:rPr>
      </w:pPr>
    </w:p>
    <w:p w14:paraId="5ABA1FAD" w14:textId="77777777" w:rsidR="0083184B" w:rsidRPr="0079532C" w:rsidRDefault="0083184B" w:rsidP="0068048E">
      <w:pPr>
        <w:spacing w:after="0" w:line="240" w:lineRule="auto"/>
        <w:jc w:val="both"/>
        <w:rPr>
          <w:rStyle w:val="oxzekf"/>
          <w:rFonts w:ascii="Arial" w:hAnsi="Arial" w:cs="Arial"/>
          <w:color w:val="001D35"/>
          <w:sz w:val="24"/>
          <w:szCs w:val="24"/>
          <w:shd w:val="clear" w:color="auto" w:fill="FFFFFF"/>
        </w:rPr>
      </w:pPr>
      <w:r w:rsidRPr="0079532C">
        <w:rPr>
          <w:rStyle w:val="oxzekf"/>
          <w:rFonts w:ascii="Arial" w:hAnsi="Arial" w:cs="Arial"/>
          <w:color w:val="001D35"/>
          <w:sz w:val="24"/>
          <w:szCs w:val="24"/>
          <w:shd w:val="clear" w:color="auto" w:fill="FFFFFF"/>
        </w:rPr>
        <w:t xml:space="preserve"> </w:t>
      </w:r>
      <w:r w:rsidR="005F6FAF" w:rsidRPr="0079532C">
        <w:rPr>
          <w:rStyle w:val="oxzekf"/>
          <w:rFonts w:ascii="Arial" w:hAnsi="Arial" w:cs="Arial"/>
          <w:color w:val="001D35"/>
          <w:sz w:val="24"/>
          <w:szCs w:val="24"/>
          <w:shd w:val="clear" w:color="auto" w:fill="FFFFFF"/>
        </w:rPr>
        <w:tab/>
      </w:r>
      <w:r w:rsidRPr="0079532C">
        <w:rPr>
          <w:rStyle w:val="oxzekf"/>
          <w:rFonts w:ascii="Arial" w:hAnsi="Arial" w:cs="Arial"/>
          <w:color w:val="001D35"/>
          <w:sz w:val="24"/>
          <w:szCs w:val="24"/>
          <w:shd w:val="clear" w:color="auto" w:fill="FFFFFF"/>
        </w:rPr>
        <w:t xml:space="preserve">Dwivedi </w:t>
      </w:r>
      <w:r w:rsidR="00477CF1" w:rsidRPr="0079532C">
        <w:rPr>
          <w:rStyle w:val="oxzekf"/>
          <w:rFonts w:ascii="Arial" w:hAnsi="Arial" w:cs="Arial"/>
          <w:color w:val="001D35"/>
          <w:sz w:val="24"/>
          <w:szCs w:val="24"/>
          <w:shd w:val="clear" w:color="auto" w:fill="FFFFFF"/>
        </w:rPr>
        <w:t>Neha,</w:t>
      </w:r>
      <w:r w:rsidRPr="0079532C">
        <w:rPr>
          <w:rStyle w:val="oxzekf"/>
          <w:rFonts w:ascii="Arial" w:hAnsi="Arial" w:cs="Arial"/>
          <w:color w:val="001D35"/>
          <w:sz w:val="24"/>
          <w:szCs w:val="24"/>
          <w:shd w:val="clear" w:color="auto" w:fill="FFFFFF"/>
        </w:rPr>
        <w:t xml:space="preserve"> Rajpoot Singh Aradhana, Sahu, R.M., and Shrivastava, A. (2020). Cost and Return Analysis of Sweet Corn in </w:t>
      </w:r>
      <w:proofErr w:type="spellStart"/>
      <w:r w:rsidRPr="0079532C">
        <w:rPr>
          <w:rStyle w:val="oxzekf"/>
          <w:rFonts w:ascii="Arial" w:hAnsi="Arial" w:cs="Arial"/>
          <w:color w:val="001D35"/>
          <w:sz w:val="24"/>
          <w:szCs w:val="24"/>
          <w:shd w:val="clear" w:color="auto" w:fill="FFFFFF"/>
        </w:rPr>
        <w:t>Chhindwara</w:t>
      </w:r>
      <w:proofErr w:type="spellEnd"/>
      <w:r w:rsidRPr="0079532C">
        <w:rPr>
          <w:rStyle w:val="oxzekf"/>
          <w:rFonts w:ascii="Arial" w:hAnsi="Arial" w:cs="Arial"/>
          <w:color w:val="001D35"/>
          <w:sz w:val="24"/>
          <w:szCs w:val="24"/>
          <w:shd w:val="clear" w:color="auto" w:fill="FFFFFF"/>
        </w:rPr>
        <w:t xml:space="preserve"> </w:t>
      </w:r>
      <w:r w:rsidR="00477CF1" w:rsidRPr="0079532C">
        <w:rPr>
          <w:rStyle w:val="oxzekf"/>
          <w:rFonts w:ascii="Arial" w:hAnsi="Arial" w:cs="Arial"/>
          <w:color w:val="001D35"/>
          <w:sz w:val="24"/>
          <w:szCs w:val="24"/>
          <w:shd w:val="clear" w:color="auto" w:fill="FFFFFF"/>
        </w:rPr>
        <w:t>district of</w:t>
      </w:r>
      <w:r w:rsidRPr="0079532C">
        <w:rPr>
          <w:rStyle w:val="oxzekf"/>
          <w:rFonts w:ascii="Arial" w:hAnsi="Arial" w:cs="Arial"/>
          <w:color w:val="001D35"/>
          <w:sz w:val="24"/>
          <w:szCs w:val="24"/>
          <w:shd w:val="clear" w:color="auto" w:fill="FFFFFF"/>
        </w:rPr>
        <w:t xml:space="preserve"> Madhya Pradesh, </w:t>
      </w:r>
      <w:r w:rsidRPr="0079532C">
        <w:rPr>
          <w:rStyle w:val="oxzekf"/>
          <w:rFonts w:ascii="Arial" w:hAnsi="Arial" w:cs="Arial"/>
          <w:i/>
          <w:color w:val="001D35"/>
          <w:sz w:val="24"/>
          <w:szCs w:val="24"/>
          <w:shd w:val="clear" w:color="auto" w:fill="FFFFFF"/>
        </w:rPr>
        <w:t xml:space="preserve">Indian Journal of Economics and </w:t>
      </w:r>
      <w:r w:rsidR="00664E60" w:rsidRPr="0079532C">
        <w:rPr>
          <w:rStyle w:val="oxzekf"/>
          <w:rFonts w:ascii="Arial" w:hAnsi="Arial" w:cs="Arial"/>
          <w:i/>
          <w:color w:val="001D35"/>
          <w:sz w:val="24"/>
          <w:szCs w:val="24"/>
          <w:shd w:val="clear" w:color="auto" w:fill="FFFFFF"/>
        </w:rPr>
        <w:t>Development</w:t>
      </w:r>
      <w:r w:rsidR="00664E60" w:rsidRPr="0079532C">
        <w:rPr>
          <w:rStyle w:val="oxzekf"/>
          <w:rFonts w:ascii="Arial" w:hAnsi="Arial" w:cs="Arial"/>
          <w:color w:val="001D35"/>
          <w:sz w:val="24"/>
          <w:szCs w:val="24"/>
          <w:shd w:val="clear" w:color="auto" w:fill="FFFFFF"/>
        </w:rPr>
        <w:t>,</w:t>
      </w:r>
      <w:r w:rsidRPr="0079532C">
        <w:rPr>
          <w:rStyle w:val="oxzekf"/>
          <w:rFonts w:ascii="Arial" w:hAnsi="Arial" w:cs="Arial"/>
          <w:color w:val="001D35"/>
          <w:sz w:val="24"/>
          <w:szCs w:val="24"/>
          <w:shd w:val="clear" w:color="auto" w:fill="FFFFFF"/>
        </w:rPr>
        <w:t xml:space="preserve"> 16(2s)</w:t>
      </w:r>
      <w:r w:rsidR="00664E60" w:rsidRPr="0079532C">
        <w:rPr>
          <w:rStyle w:val="oxzekf"/>
          <w:rFonts w:ascii="Arial" w:hAnsi="Arial" w:cs="Arial"/>
          <w:color w:val="001D35"/>
          <w:sz w:val="24"/>
          <w:szCs w:val="24"/>
          <w:shd w:val="clear" w:color="auto" w:fill="FFFFFF"/>
        </w:rPr>
        <w:t>, 516</w:t>
      </w:r>
      <w:r w:rsidRPr="0079532C">
        <w:rPr>
          <w:rStyle w:val="oxzekf"/>
          <w:rFonts w:ascii="Arial" w:hAnsi="Arial" w:cs="Arial"/>
          <w:color w:val="001D35"/>
          <w:sz w:val="24"/>
          <w:szCs w:val="24"/>
          <w:shd w:val="clear" w:color="auto" w:fill="FFFFFF"/>
        </w:rPr>
        <w:t xml:space="preserve">-519. </w:t>
      </w:r>
    </w:p>
    <w:p w14:paraId="315E24BD" w14:textId="77777777" w:rsidR="00BB1DD0" w:rsidRPr="0079532C" w:rsidRDefault="00BB1DD0" w:rsidP="0068048E">
      <w:pPr>
        <w:spacing w:before="201" w:line="240" w:lineRule="auto"/>
        <w:ind w:right="471" w:firstLine="720"/>
        <w:jc w:val="both"/>
        <w:rPr>
          <w:rFonts w:ascii="Arial" w:hAnsi="Arial" w:cs="Arial"/>
          <w:sz w:val="24"/>
          <w:szCs w:val="24"/>
        </w:rPr>
      </w:pPr>
      <w:r w:rsidRPr="0079532C">
        <w:rPr>
          <w:rFonts w:ascii="Arial" w:hAnsi="Arial" w:cs="Arial"/>
          <w:sz w:val="24"/>
          <w:szCs w:val="24"/>
        </w:rPr>
        <w:t xml:space="preserve">Kumar, A., &amp; Singh, K. M. (2017). A study on maize production in </w:t>
      </w:r>
      <w:proofErr w:type="spellStart"/>
      <w:r w:rsidRPr="0079532C">
        <w:rPr>
          <w:rFonts w:ascii="Arial" w:hAnsi="Arial" w:cs="Arial"/>
          <w:sz w:val="24"/>
          <w:szCs w:val="24"/>
        </w:rPr>
        <w:t>Samastipur</w:t>
      </w:r>
      <w:proofErr w:type="spellEnd"/>
      <w:r w:rsidRPr="0079532C">
        <w:rPr>
          <w:rFonts w:ascii="Arial" w:hAnsi="Arial" w:cs="Arial"/>
          <w:sz w:val="24"/>
          <w:szCs w:val="24"/>
        </w:rPr>
        <w:t xml:space="preserve"> (Bihar): An empirical analysis. </w:t>
      </w:r>
      <w:r w:rsidRPr="0079532C">
        <w:rPr>
          <w:rFonts w:ascii="Arial" w:hAnsi="Arial" w:cs="Arial"/>
          <w:i/>
          <w:sz w:val="24"/>
          <w:szCs w:val="24"/>
        </w:rPr>
        <w:t xml:space="preserve">Munich Personal </w:t>
      </w:r>
      <w:proofErr w:type="spellStart"/>
      <w:r w:rsidRPr="0079532C">
        <w:rPr>
          <w:rFonts w:ascii="Arial" w:hAnsi="Arial" w:cs="Arial"/>
          <w:i/>
          <w:sz w:val="24"/>
          <w:szCs w:val="24"/>
        </w:rPr>
        <w:t>RePEc</w:t>
      </w:r>
      <w:proofErr w:type="spellEnd"/>
      <w:r w:rsidRPr="0079532C">
        <w:rPr>
          <w:rFonts w:ascii="Arial" w:hAnsi="Arial" w:cs="Arial"/>
          <w:i/>
          <w:sz w:val="24"/>
          <w:szCs w:val="24"/>
        </w:rPr>
        <w:t xml:space="preserve"> Archive (MPRA</w:t>
      </w:r>
      <w:r w:rsidRPr="0079532C">
        <w:rPr>
          <w:rFonts w:ascii="Arial" w:hAnsi="Arial" w:cs="Arial"/>
          <w:sz w:val="24"/>
          <w:szCs w:val="24"/>
        </w:rPr>
        <w:t>), Paper No. 80262.</w:t>
      </w:r>
    </w:p>
    <w:p w14:paraId="03B427ED" w14:textId="77777777" w:rsidR="00BB1DD0" w:rsidRPr="0079532C" w:rsidRDefault="00BB1DD0" w:rsidP="0068048E">
      <w:pPr>
        <w:spacing w:after="0" w:line="240" w:lineRule="auto"/>
        <w:ind w:firstLine="720"/>
        <w:jc w:val="both"/>
        <w:rPr>
          <w:rStyle w:val="oxzekf"/>
          <w:rFonts w:ascii="Arial" w:hAnsi="Arial" w:cs="Arial"/>
          <w:color w:val="001D35"/>
          <w:sz w:val="24"/>
          <w:szCs w:val="24"/>
          <w:shd w:val="clear" w:color="auto" w:fill="FFFFFF"/>
        </w:rPr>
      </w:pPr>
      <w:proofErr w:type="spellStart"/>
      <w:r w:rsidRPr="0079532C">
        <w:rPr>
          <w:rStyle w:val="oxzekf"/>
          <w:rFonts w:ascii="Arial" w:hAnsi="Arial" w:cs="Arial"/>
          <w:color w:val="001D35"/>
          <w:sz w:val="24"/>
          <w:szCs w:val="24"/>
          <w:shd w:val="clear" w:color="auto" w:fill="FFFFFF"/>
        </w:rPr>
        <w:t>Maheshnath</w:t>
      </w:r>
      <w:proofErr w:type="spellEnd"/>
      <w:r w:rsidRPr="0079532C">
        <w:rPr>
          <w:rStyle w:val="oxzekf"/>
          <w:rFonts w:ascii="Arial" w:hAnsi="Arial" w:cs="Arial"/>
          <w:color w:val="001D35"/>
          <w:sz w:val="24"/>
          <w:szCs w:val="24"/>
          <w:shd w:val="clear" w:color="auto" w:fill="FFFFFF"/>
        </w:rPr>
        <w:t xml:space="preserve"> </w:t>
      </w:r>
      <w:proofErr w:type="spellStart"/>
      <w:proofErr w:type="gramStart"/>
      <w:r w:rsidRPr="0079532C">
        <w:rPr>
          <w:rStyle w:val="oxzekf"/>
          <w:rFonts w:ascii="Arial" w:hAnsi="Arial" w:cs="Arial"/>
          <w:color w:val="001D35"/>
          <w:sz w:val="24"/>
          <w:szCs w:val="24"/>
          <w:shd w:val="clear" w:color="auto" w:fill="FFFFFF"/>
        </w:rPr>
        <w:t>M.,Kumari</w:t>
      </w:r>
      <w:proofErr w:type="spellEnd"/>
      <w:proofErr w:type="gramEnd"/>
      <w:r w:rsidRPr="0079532C">
        <w:rPr>
          <w:rStyle w:val="oxzekf"/>
          <w:rFonts w:ascii="Arial" w:hAnsi="Arial" w:cs="Arial"/>
          <w:color w:val="001D35"/>
          <w:sz w:val="24"/>
          <w:szCs w:val="24"/>
          <w:shd w:val="clear" w:color="auto" w:fill="FFFFFF"/>
        </w:rPr>
        <w:t xml:space="preserve"> </w:t>
      </w:r>
      <w:proofErr w:type="spellStart"/>
      <w:r w:rsidRPr="0079532C">
        <w:rPr>
          <w:rStyle w:val="oxzekf"/>
          <w:rFonts w:ascii="Arial" w:hAnsi="Arial" w:cs="Arial"/>
          <w:color w:val="001D35"/>
          <w:sz w:val="24"/>
          <w:szCs w:val="24"/>
          <w:shd w:val="clear" w:color="auto" w:fill="FFFFFF"/>
        </w:rPr>
        <w:t>Vijaye</w:t>
      </w:r>
      <w:proofErr w:type="spellEnd"/>
      <w:r w:rsidRPr="0079532C">
        <w:rPr>
          <w:rStyle w:val="oxzekf"/>
          <w:rFonts w:ascii="Arial" w:hAnsi="Arial" w:cs="Arial"/>
          <w:color w:val="001D35"/>
          <w:sz w:val="24"/>
          <w:szCs w:val="24"/>
          <w:shd w:val="clear" w:color="auto" w:fill="FFFFFF"/>
        </w:rPr>
        <w:t xml:space="preserve"> R., Suhasini k., Reddy Srinivasa D., and Meena A. (2024). </w:t>
      </w:r>
      <w:proofErr w:type="spellStart"/>
      <w:r w:rsidRPr="0079532C">
        <w:rPr>
          <w:rStyle w:val="oxzekf"/>
          <w:rFonts w:ascii="Arial" w:hAnsi="Arial" w:cs="Arial"/>
          <w:color w:val="001D35"/>
          <w:sz w:val="24"/>
          <w:szCs w:val="24"/>
          <w:shd w:val="clear" w:color="auto" w:fill="FFFFFF"/>
        </w:rPr>
        <w:t>Trendds</w:t>
      </w:r>
      <w:proofErr w:type="spellEnd"/>
      <w:r w:rsidRPr="0079532C">
        <w:rPr>
          <w:rStyle w:val="oxzekf"/>
          <w:rFonts w:ascii="Arial" w:hAnsi="Arial" w:cs="Arial"/>
          <w:color w:val="001D35"/>
          <w:sz w:val="24"/>
          <w:szCs w:val="24"/>
          <w:shd w:val="clear" w:color="auto" w:fill="FFFFFF"/>
        </w:rPr>
        <w:t xml:space="preserve"> in Area, Production, Productivity and Market </w:t>
      </w:r>
      <w:proofErr w:type="spellStart"/>
      <w:r w:rsidRPr="0079532C">
        <w:rPr>
          <w:rStyle w:val="oxzekf"/>
          <w:rFonts w:ascii="Arial" w:hAnsi="Arial" w:cs="Arial"/>
          <w:color w:val="001D35"/>
          <w:sz w:val="24"/>
          <w:szCs w:val="24"/>
          <w:shd w:val="clear" w:color="auto" w:fill="FFFFFF"/>
        </w:rPr>
        <w:t>Prics</w:t>
      </w:r>
      <w:proofErr w:type="spellEnd"/>
      <w:r w:rsidRPr="0079532C">
        <w:rPr>
          <w:rStyle w:val="oxzekf"/>
          <w:rFonts w:ascii="Arial" w:hAnsi="Arial" w:cs="Arial"/>
          <w:color w:val="001D35"/>
          <w:sz w:val="24"/>
          <w:szCs w:val="24"/>
          <w:shd w:val="clear" w:color="auto" w:fill="FFFFFF"/>
        </w:rPr>
        <w:t xml:space="preserve"> of Maize in Telangana State, International Journal of Research in Agronomy, SP 7(9):256-260</w:t>
      </w:r>
    </w:p>
    <w:p w14:paraId="316C6A98" w14:textId="77777777" w:rsidR="00C559C2" w:rsidRPr="0079532C" w:rsidRDefault="00C559C2" w:rsidP="0068048E">
      <w:pPr>
        <w:spacing w:line="240" w:lineRule="auto"/>
        <w:ind w:firstLine="720"/>
        <w:jc w:val="both"/>
        <w:rPr>
          <w:rFonts w:ascii="Arial" w:hAnsi="Arial" w:cs="Arial"/>
          <w:sz w:val="24"/>
          <w:szCs w:val="24"/>
          <w:lang w:val="en-US"/>
        </w:rPr>
      </w:pPr>
      <w:proofErr w:type="spellStart"/>
      <w:r w:rsidRPr="0079532C">
        <w:rPr>
          <w:rFonts w:ascii="Arial" w:hAnsi="Arial" w:cs="Arial"/>
          <w:sz w:val="24"/>
          <w:szCs w:val="24"/>
          <w:lang w:val="en-US"/>
        </w:rPr>
        <w:t>Sananse</w:t>
      </w:r>
      <w:proofErr w:type="spellEnd"/>
      <w:r w:rsidRPr="0079532C">
        <w:rPr>
          <w:rFonts w:ascii="Arial" w:hAnsi="Arial" w:cs="Arial"/>
          <w:sz w:val="24"/>
          <w:szCs w:val="24"/>
          <w:lang w:val="en-US"/>
        </w:rPr>
        <w:t xml:space="preserve">, S. L., and </w:t>
      </w:r>
      <w:proofErr w:type="spellStart"/>
      <w:r w:rsidRPr="0079532C">
        <w:rPr>
          <w:rFonts w:ascii="Arial" w:hAnsi="Arial" w:cs="Arial"/>
          <w:sz w:val="24"/>
          <w:szCs w:val="24"/>
          <w:lang w:val="en-US"/>
        </w:rPr>
        <w:t>Maidapwad</w:t>
      </w:r>
      <w:proofErr w:type="spellEnd"/>
      <w:r w:rsidRPr="0079532C">
        <w:rPr>
          <w:rFonts w:ascii="Arial" w:hAnsi="Arial" w:cs="Arial"/>
          <w:sz w:val="24"/>
          <w:szCs w:val="24"/>
          <w:lang w:val="en-US"/>
        </w:rPr>
        <w:t xml:space="preserve">, S. L. (2009). On estimation of growth rates using linear model, </w:t>
      </w:r>
      <w:r w:rsidRPr="0079532C">
        <w:rPr>
          <w:rFonts w:ascii="Arial" w:hAnsi="Arial" w:cs="Arial"/>
          <w:i/>
          <w:sz w:val="24"/>
          <w:szCs w:val="24"/>
          <w:lang w:val="en-US"/>
        </w:rPr>
        <w:t>International Journal of Agricultural and Statistical Sciences</w:t>
      </w:r>
      <w:r w:rsidRPr="0079532C">
        <w:rPr>
          <w:rFonts w:ascii="Arial" w:hAnsi="Arial" w:cs="Arial"/>
          <w:sz w:val="24"/>
          <w:szCs w:val="24"/>
          <w:lang w:val="en-US"/>
        </w:rPr>
        <w:t>, 5(2), 463-469.</w:t>
      </w:r>
    </w:p>
    <w:p w14:paraId="2742053D" w14:textId="77777777" w:rsidR="0041759A" w:rsidRPr="0079532C" w:rsidRDefault="0041759A" w:rsidP="0068048E">
      <w:pPr>
        <w:spacing w:line="240" w:lineRule="auto"/>
        <w:ind w:firstLine="720"/>
        <w:jc w:val="both"/>
        <w:rPr>
          <w:rFonts w:ascii="Arial" w:hAnsi="Arial" w:cs="Arial"/>
          <w:sz w:val="24"/>
          <w:szCs w:val="24"/>
          <w:lang w:val="en-US"/>
        </w:rPr>
      </w:pPr>
      <w:r w:rsidRPr="0079532C">
        <w:rPr>
          <w:rFonts w:ascii="Arial" w:hAnsi="Arial" w:cs="Arial"/>
          <w:color w:val="222222"/>
          <w:sz w:val="24"/>
          <w:szCs w:val="24"/>
          <w:shd w:val="clear" w:color="auto" w:fill="FFFFFF"/>
        </w:rPr>
        <w:t>Shiferaw, B., Prasanna, B.M., Hellin, J. </w:t>
      </w:r>
      <w:r w:rsidRPr="0079532C">
        <w:rPr>
          <w:rFonts w:ascii="Arial" w:hAnsi="Arial" w:cs="Arial"/>
          <w:i/>
          <w:iCs/>
          <w:color w:val="222222"/>
          <w:sz w:val="24"/>
          <w:szCs w:val="24"/>
          <w:shd w:val="clear" w:color="auto" w:fill="FFFFFF"/>
        </w:rPr>
        <w:t>et al.</w:t>
      </w:r>
      <w:r w:rsidRPr="0079532C">
        <w:rPr>
          <w:rFonts w:ascii="Arial" w:hAnsi="Arial" w:cs="Arial"/>
          <w:color w:val="222222"/>
          <w:sz w:val="24"/>
          <w:szCs w:val="24"/>
          <w:shd w:val="clear" w:color="auto" w:fill="FFFFFF"/>
        </w:rPr>
        <w:t> Crops that feed the world 6. Past successes and future challenges to the role played by maize in global food security. </w:t>
      </w:r>
      <w:r w:rsidRPr="0079532C">
        <w:rPr>
          <w:rFonts w:ascii="Arial" w:hAnsi="Arial" w:cs="Arial"/>
          <w:i/>
          <w:iCs/>
          <w:color w:val="222222"/>
          <w:sz w:val="24"/>
          <w:szCs w:val="24"/>
          <w:shd w:val="clear" w:color="auto" w:fill="FFFFFF"/>
        </w:rPr>
        <w:t>Food Sec.</w:t>
      </w:r>
      <w:r w:rsidRPr="0079532C">
        <w:rPr>
          <w:rFonts w:ascii="Arial" w:hAnsi="Arial" w:cs="Arial"/>
          <w:color w:val="222222"/>
          <w:sz w:val="24"/>
          <w:szCs w:val="24"/>
          <w:shd w:val="clear" w:color="auto" w:fill="FFFFFF"/>
        </w:rPr>
        <w:t> </w:t>
      </w:r>
      <w:r w:rsidRPr="0079532C">
        <w:rPr>
          <w:rFonts w:ascii="Arial" w:hAnsi="Arial" w:cs="Arial"/>
          <w:b/>
          <w:bCs/>
          <w:color w:val="222222"/>
          <w:sz w:val="24"/>
          <w:szCs w:val="24"/>
          <w:shd w:val="clear" w:color="auto" w:fill="FFFFFF"/>
        </w:rPr>
        <w:t>3</w:t>
      </w:r>
      <w:r w:rsidRPr="0079532C">
        <w:rPr>
          <w:rFonts w:ascii="Arial" w:hAnsi="Arial" w:cs="Arial"/>
          <w:color w:val="222222"/>
          <w:sz w:val="24"/>
          <w:szCs w:val="24"/>
          <w:shd w:val="clear" w:color="auto" w:fill="FFFFFF"/>
        </w:rPr>
        <w:t>, 307–327 (2011). https://doi.org/10.1007/s12571-011-0140-5</w:t>
      </w:r>
    </w:p>
    <w:p w14:paraId="2ACFBB98" w14:textId="77777777" w:rsidR="00C559C2" w:rsidRPr="0079532C" w:rsidRDefault="00FF60FC" w:rsidP="0068048E">
      <w:pPr>
        <w:spacing w:after="0" w:line="240" w:lineRule="auto"/>
        <w:ind w:firstLine="720"/>
        <w:jc w:val="both"/>
        <w:rPr>
          <w:rStyle w:val="oxzekf"/>
          <w:rFonts w:ascii="Arial" w:hAnsi="Arial" w:cs="Arial"/>
          <w:color w:val="001D35"/>
          <w:sz w:val="24"/>
          <w:szCs w:val="24"/>
          <w:shd w:val="clear" w:color="auto" w:fill="FFFFFF"/>
        </w:rPr>
      </w:pPr>
      <w:r w:rsidRPr="0079532C">
        <w:rPr>
          <w:rStyle w:val="oxzekf"/>
          <w:rFonts w:ascii="Arial" w:hAnsi="Arial" w:cs="Arial"/>
          <w:color w:val="001D35"/>
          <w:sz w:val="24"/>
          <w:szCs w:val="24"/>
          <w:shd w:val="clear" w:color="auto" w:fill="FFFFFF"/>
        </w:rPr>
        <w:t>Pingali Prabhu (2012</w:t>
      </w:r>
      <w:proofErr w:type="gramStart"/>
      <w:r w:rsidRPr="0079532C">
        <w:rPr>
          <w:rStyle w:val="oxzekf"/>
          <w:rFonts w:ascii="Arial" w:hAnsi="Arial" w:cs="Arial"/>
          <w:color w:val="001D35"/>
          <w:sz w:val="24"/>
          <w:szCs w:val="24"/>
          <w:shd w:val="clear" w:color="auto" w:fill="FFFFFF"/>
        </w:rPr>
        <w:t>).Green</w:t>
      </w:r>
      <w:proofErr w:type="gramEnd"/>
      <w:r w:rsidRPr="0079532C">
        <w:rPr>
          <w:rStyle w:val="oxzekf"/>
          <w:rFonts w:ascii="Arial" w:hAnsi="Arial" w:cs="Arial"/>
          <w:color w:val="001D35"/>
          <w:sz w:val="24"/>
          <w:szCs w:val="24"/>
          <w:shd w:val="clear" w:color="auto" w:fill="FFFFFF"/>
        </w:rPr>
        <w:t xml:space="preserve"> Revolution: Impacts, limits, and the path ahead, Proceedings of the National Academy of Sciences, 109 (31):12302-12308</w:t>
      </w:r>
      <w:r w:rsidR="00D812A9" w:rsidRPr="0079532C">
        <w:rPr>
          <w:rStyle w:val="oxzekf"/>
          <w:rFonts w:ascii="Arial" w:hAnsi="Arial" w:cs="Arial"/>
          <w:color w:val="001D35"/>
          <w:sz w:val="24"/>
          <w:szCs w:val="24"/>
          <w:shd w:val="clear" w:color="auto" w:fill="FFFFFF"/>
        </w:rPr>
        <w:t>.</w:t>
      </w:r>
      <w:r w:rsidR="00D812A9" w:rsidRPr="0079532C">
        <w:rPr>
          <w:rFonts w:ascii="Arial" w:hAnsi="Arial" w:cs="Arial"/>
          <w:sz w:val="24"/>
          <w:szCs w:val="24"/>
        </w:rPr>
        <w:t xml:space="preserve"> </w:t>
      </w:r>
      <w:r w:rsidR="00D812A9" w:rsidRPr="0079532C">
        <w:rPr>
          <w:rStyle w:val="oxzekf"/>
          <w:rFonts w:ascii="Arial" w:hAnsi="Arial" w:cs="Arial"/>
          <w:color w:val="001D35"/>
          <w:sz w:val="24"/>
          <w:szCs w:val="24"/>
          <w:shd w:val="clear" w:color="auto" w:fill="FFFFFF"/>
        </w:rPr>
        <w:t>https://www.pnas.org/doi/full/10.1073/pnas.0912953109</w:t>
      </w:r>
    </w:p>
    <w:p w14:paraId="7E5C862A" w14:textId="77777777" w:rsidR="00D45684" w:rsidRPr="00C9332F" w:rsidRDefault="00440D68" w:rsidP="0068048E">
      <w:pPr>
        <w:spacing w:before="79" w:after="0" w:line="240" w:lineRule="auto"/>
        <w:ind w:right="473" w:firstLine="720"/>
        <w:jc w:val="both"/>
        <w:rPr>
          <w:rStyle w:val="oxzekf"/>
          <w:rFonts w:ascii="Arial" w:hAnsi="Arial" w:cs="Arial"/>
          <w:sz w:val="24"/>
          <w:szCs w:val="24"/>
        </w:rPr>
      </w:pPr>
      <w:proofErr w:type="spellStart"/>
      <w:r w:rsidRPr="0079532C">
        <w:rPr>
          <w:rStyle w:val="oxzekf"/>
          <w:rFonts w:ascii="Arial" w:hAnsi="Arial" w:cs="Arial"/>
          <w:sz w:val="24"/>
          <w:szCs w:val="24"/>
        </w:rPr>
        <w:t>Unjia</w:t>
      </w:r>
      <w:proofErr w:type="spellEnd"/>
      <w:r w:rsidRPr="0079532C">
        <w:rPr>
          <w:rStyle w:val="oxzekf"/>
          <w:rFonts w:ascii="Arial" w:hAnsi="Arial" w:cs="Arial"/>
          <w:sz w:val="24"/>
          <w:szCs w:val="24"/>
        </w:rPr>
        <w:t xml:space="preserve">, A., Patel, B., and </w:t>
      </w:r>
      <w:r w:rsidR="00D45684" w:rsidRPr="0079532C">
        <w:rPr>
          <w:rStyle w:val="oxzekf"/>
          <w:rFonts w:ascii="Arial" w:hAnsi="Arial" w:cs="Arial"/>
          <w:sz w:val="24"/>
          <w:szCs w:val="24"/>
        </w:rPr>
        <w:t>Singh, C. (2021). Impact</w:t>
      </w:r>
      <w:r w:rsidR="005F6FAF" w:rsidRPr="0079532C">
        <w:rPr>
          <w:rStyle w:val="oxzekf"/>
          <w:rFonts w:ascii="Arial" w:hAnsi="Arial" w:cs="Arial"/>
          <w:sz w:val="24"/>
          <w:szCs w:val="24"/>
        </w:rPr>
        <w:t xml:space="preserve"> of climatic conditions on maize</w:t>
      </w:r>
      <w:r w:rsidR="00BC7E00" w:rsidRPr="00C9332F">
        <w:rPr>
          <w:rStyle w:val="oxzekf"/>
          <w:rFonts w:ascii="Arial" w:hAnsi="Arial" w:cs="Arial"/>
          <w:sz w:val="24"/>
          <w:szCs w:val="24"/>
        </w:rPr>
        <w:t xml:space="preserve"> </w:t>
      </w:r>
      <w:proofErr w:type="spellStart"/>
      <w:proofErr w:type="gramStart"/>
      <w:r w:rsidR="00BC7E00" w:rsidRPr="00C9332F">
        <w:rPr>
          <w:rStyle w:val="oxzekf"/>
          <w:rFonts w:ascii="Arial" w:hAnsi="Arial" w:cs="Arial"/>
          <w:sz w:val="24"/>
          <w:szCs w:val="24"/>
        </w:rPr>
        <w:t>production:</w:t>
      </w:r>
      <w:r w:rsidR="00D45684" w:rsidRPr="00C9332F">
        <w:rPr>
          <w:rStyle w:val="oxzekf"/>
          <w:rFonts w:ascii="Arial" w:hAnsi="Arial" w:cs="Arial"/>
          <w:sz w:val="24"/>
          <w:szCs w:val="24"/>
        </w:rPr>
        <w:t>Evidence</w:t>
      </w:r>
      <w:proofErr w:type="spellEnd"/>
      <w:proofErr w:type="gramEnd"/>
      <w:r w:rsidR="00D45684" w:rsidRPr="00C9332F">
        <w:rPr>
          <w:rStyle w:val="oxzekf"/>
          <w:rFonts w:ascii="Arial" w:hAnsi="Arial" w:cs="Arial"/>
          <w:sz w:val="24"/>
          <w:szCs w:val="24"/>
        </w:rPr>
        <w:t xml:space="preserve"> from India. J</w:t>
      </w:r>
      <w:r w:rsidR="00D45684" w:rsidRPr="00C9332F">
        <w:rPr>
          <w:rStyle w:val="oxzekf"/>
          <w:rFonts w:ascii="Arial" w:hAnsi="Arial" w:cs="Arial"/>
          <w:i/>
          <w:sz w:val="24"/>
          <w:szCs w:val="24"/>
        </w:rPr>
        <w:t xml:space="preserve">ournal of Agricultural Sciences, </w:t>
      </w:r>
      <w:r w:rsidR="00D45684" w:rsidRPr="00C9332F">
        <w:rPr>
          <w:rStyle w:val="oxzekf"/>
          <w:rFonts w:ascii="Arial" w:hAnsi="Arial" w:cs="Arial"/>
          <w:sz w:val="24"/>
          <w:szCs w:val="24"/>
        </w:rPr>
        <w:t>12(3), 45–53.</w:t>
      </w:r>
    </w:p>
    <w:p w14:paraId="3E93F231" w14:textId="77777777" w:rsidR="00C769BE" w:rsidRPr="00C36E0F" w:rsidRDefault="00C769BE" w:rsidP="0068048E">
      <w:pPr>
        <w:spacing w:after="0" w:line="240" w:lineRule="auto"/>
        <w:jc w:val="both"/>
        <w:rPr>
          <w:rStyle w:val="oxzekf"/>
          <w:rFonts w:ascii="Arial" w:hAnsi="Arial" w:cs="Arial"/>
          <w:color w:val="001D35"/>
          <w:szCs w:val="24"/>
          <w:shd w:val="clear" w:color="auto" w:fill="FFFFFF"/>
        </w:rPr>
      </w:pPr>
    </w:p>
    <w:sectPr w:rsidR="00C769BE" w:rsidRPr="00C36E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7E165" w14:textId="77777777" w:rsidR="00432A5A" w:rsidRDefault="00432A5A" w:rsidP="00C51EF0">
      <w:pPr>
        <w:spacing w:after="0" w:line="240" w:lineRule="auto"/>
      </w:pPr>
      <w:r>
        <w:separator/>
      </w:r>
    </w:p>
  </w:endnote>
  <w:endnote w:type="continuationSeparator" w:id="0">
    <w:p w14:paraId="6405C225" w14:textId="77777777" w:rsidR="00432A5A" w:rsidRDefault="00432A5A" w:rsidP="00C5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7C796" w14:textId="77777777" w:rsidR="00D43714" w:rsidRDefault="00D43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96FB" w14:textId="77777777" w:rsidR="00D43714" w:rsidRDefault="00D43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E8A1" w14:textId="77777777" w:rsidR="00D43714" w:rsidRDefault="00D4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FBF45" w14:textId="77777777" w:rsidR="00432A5A" w:rsidRDefault="00432A5A" w:rsidP="00C51EF0">
      <w:pPr>
        <w:spacing w:after="0" w:line="240" w:lineRule="auto"/>
      </w:pPr>
      <w:r>
        <w:separator/>
      </w:r>
    </w:p>
  </w:footnote>
  <w:footnote w:type="continuationSeparator" w:id="0">
    <w:p w14:paraId="346B1914" w14:textId="77777777" w:rsidR="00432A5A" w:rsidRDefault="00432A5A" w:rsidP="00C51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7D629" w14:textId="6BC88346" w:rsidR="00D43714" w:rsidRDefault="00D43714">
    <w:pPr>
      <w:pStyle w:val="Header"/>
    </w:pPr>
    <w:r>
      <w:rPr>
        <w:noProof/>
      </w:rPr>
      <w:pict w14:anchorId="2AB48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F937" w14:textId="447D9089" w:rsidR="00D43714" w:rsidRDefault="00D43714">
    <w:pPr>
      <w:pStyle w:val="Header"/>
    </w:pPr>
    <w:r>
      <w:rPr>
        <w:noProof/>
      </w:rPr>
      <w:pict w14:anchorId="2FAAB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497BE" w14:textId="3DF72640" w:rsidR="00D43714" w:rsidRDefault="00D43714">
    <w:pPr>
      <w:pStyle w:val="Header"/>
    </w:pPr>
    <w:r>
      <w:rPr>
        <w:noProof/>
      </w:rPr>
      <w:pict w14:anchorId="73772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05728"/>
    <w:multiLevelType w:val="multilevel"/>
    <w:tmpl w:val="16E05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83580"/>
    <w:multiLevelType w:val="hybridMultilevel"/>
    <w:tmpl w:val="038A2674"/>
    <w:lvl w:ilvl="0" w:tplc="6FACA07E">
      <w:start w:val="1"/>
      <w:numFmt w:val="decimal"/>
      <w:lvlText w:val="%1."/>
      <w:lvlJc w:val="left"/>
      <w:pPr>
        <w:ind w:left="720" w:hanging="360"/>
      </w:pPr>
      <w:rPr>
        <w:rFonts w:ascii="Arial" w:eastAsia="Times New Roman" w:hAnsi="Arial" w:cs="Arial"/>
      </w:rPr>
    </w:lvl>
    <w:lvl w:ilvl="1" w:tplc="DBB666B8">
      <w:start w:val="1"/>
      <w:numFmt w:val="decimal"/>
      <w:lvlText w:val="%2."/>
      <w:lvlJc w:val="left"/>
      <w:pPr>
        <w:ind w:left="1440" w:hanging="360"/>
      </w:pPr>
      <w:rPr>
        <w:rFonts w:ascii="Arial" w:eastAsia="Times New Roman" w:hAnsi="Arial" w:cs="Arial"/>
      </w:rPr>
    </w:lvl>
    <w:lvl w:ilvl="2" w:tplc="BA48D6A0">
      <w:start w:val="1"/>
      <w:numFmt w:val="upperLetter"/>
      <w:lvlText w:val="%3."/>
      <w:lvlJc w:val="left"/>
      <w:pPr>
        <w:ind w:left="2340" w:hanging="360"/>
      </w:pPr>
      <w:rPr>
        <w:rFonts w:eastAsiaTheme="minorHAnsi"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17426"/>
    <w:multiLevelType w:val="hybridMultilevel"/>
    <w:tmpl w:val="3E2818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D412C1C"/>
    <w:multiLevelType w:val="multilevel"/>
    <w:tmpl w:val="3D412C1C"/>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5F0878AB"/>
    <w:multiLevelType w:val="hybridMultilevel"/>
    <w:tmpl w:val="70224C98"/>
    <w:lvl w:ilvl="0" w:tplc="5C4A046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41E1180"/>
    <w:multiLevelType w:val="hybridMultilevel"/>
    <w:tmpl w:val="14161136"/>
    <w:lvl w:ilvl="0" w:tplc="26504512">
      <w:start w:val="1"/>
      <w:numFmt w:val="lowerRoman"/>
      <w:lvlText w:val="(%1)"/>
      <w:lvlJc w:val="left"/>
      <w:pPr>
        <w:ind w:left="1200" w:hanging="72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6" w15:restartNumberingAfterBreak="0">
    <w:nsid w:val="7C2F5E6C"/>
    <w:multiLevelType w:val="hybridMultilevel"/>
    <w:tmpl w:val="54FA4F38"/>
    <w:lvl w:ilvl="0" w:tplc="50A8B0E8">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D97"/>
    <w:rsid w:val="000025EA"/>
    <w:rsid w:val="000057AF"/>
    <w:rsid w:val="000069A2"/>
    <w:rsid w:val="000242DB"/>
    <w:rsid w:val="000451E4"/>
    <w:rsid w:val="0004771E"/>
    <w:rsid w:val="00055C57"/>
    <w:rsid w:val="000612A1"/>
    <w:rsid w:val="00063E52"/>
    <w:rsid w:val="000704A3"/>
    <w:rsid w:val="000722BC"/>
    <w:rsid w:val="00080675"/>
    <w:rsid w:val="00084A82"/>
    <w:rsid w:val="00084F69"/>
    <w:rsid w:val="000869DE"/>
    <w:rsid w:val="00087D01"/>
    <w:rsid w:val="00091984"/>
    <w:rsid w:val="00093239"/>
    <w:rsid w:val="000A0634"/>
    <w:rsid w:val="000A10D2"/>
    <w:rsid w:val="000B0604"/>
    <w:rsid w:val="000B2DFC"/>
    <w:rsid w:val="000B3143"/>
    <w:rsid w:val="000B69D3"/>
    <w:rsid w:val="000C0CCB"/>
    <w:rsid w:val="000C61AE"/>
    <w:rsid w:val="000C7E89"/>
    <w:rsid w:val="000D1E7B"/>
    <w:rsid w:val="000D2698"/>
    <w:rsid w:val="000D386C"/>
    <w:rsid w:val="000D40C5"/>
    <w:rsid w:val="000D5B8D"/>
    <w:rsid w:val="000D74EC"/>
    <w:rsid w:val="000E0774"/>
    <w:rsid w:val="000E2FBE"/>
    <w:rsid w:val="000E5690"/>
    <w:rsid w:val="000E671E"/>
    <w:rsid w:val="000E6D36"/>
    <w:rsid w:val="000E7234"/>
    <w:rsid w:val="000F2C3B"/>
    <w:rsid w:val="000F4366"/>
    <w:rsid w:val="000F63ED"/>
    <w:rsid w:val="001004D4"/>
    <w:rsid w:val="00104982"/>
    <w:rsid w:val="00120121"/>
    <w:rsid w:val="001206AA"/>
    <w:rsid w:val="00127055"/>
    <w:rsid w:val="0013442D"/>
    <w:rsid w:val="00141573"/>
    <w:rsid w:val="00146AF7"/>
    <w:rsid w:val="00151BEC"/>
    <w:rsid w:val="001544AB"/>
    <w:rsid w:val="00155391"/>
    <w:rsid w:val="00160187"/>
    <w:rsid w:val="00164E1A"/>
    <w:rsid w:val="0016638A"/>
    <w:rsid w:val="00170851"/>
    <w:rsid w:val="00171E2B"/>
    <w:rsid w:val="00172BD1"/>
    <w:rsid w:val="00173CFA"/>
    <w:rsid w:val="001746A1"/>
    <w:rsid w:val="00177971"/>
    <w:rsid w:val="0019300F"/>
    <w:rsid w:val="0019468D"/>
    <w:rsid w:val="001965DD"/>
    <w:rsid w:val="001969B7"/>
    <w:rsid w:val="00196C97"/>
    <w:rsid w:val="001B7F61"/>
    <w:rsid w:val="001C378E"/>
    <w:rsid w:val="001C522C"/>
    <w:rsid w:val="001C7DFF"/>
    <w:rsid w:val="001D2DAF"/>
    <w:rsid w:val="001D456A"/>
    <w:rsid w:val="001E2334"/>
    <w:rsid w:val="001F6042"/>
    <w:rsid w:val="002007F2"/>
    <w:rsid w:val="00201F59"/>
    <w:rsid w:val="002065C8"/>
    <w:rsid w:val="00211B73"/>
    <w:rsid w:val="00211DCD"/>
    <w:rsid w:val="00212778"/>
    <w:rsid w:val="00213893"/>
    <w:rsid w:val="00216E1F"/>
    <w:rsid w:val="002228BD"/>
    <w:rsid w:val="00222A3F"/>
    <w:rsid w:val="00223522"/>
    <w:rsid w:val="00233F30"/>
    <w:rsid w:val="00243CD4"/>
    <w:rsid w:val="00246855"/>
    <w:rsid w:val="00247150"/>
    <w:rsid w:val="00270190"/>
    <w:rsid w:val="00274114"/>
    <w:rsid w:val="00274706"/>
    <w:rsid w:val="0027530D"/>
    <w:rsid w:val="00276209"/>
    <w:rsid w:val="002852D3"/>
    <w:rsid w:val="00294BA6"/>
    <w:rsid w:val="0029630C"/>
    <w:rsid w:val="0029707C"/>
    <w:rsid w:val="002A331B"/>
    <w:rsid w:val="002A49FC"/>
    <w:rsid w:val="002A5039"/>
    <w:rsid w:val="002B1E00"/>
    <w:rsid w:val="002B5447"/>
    <w:rsid w:val="002B5545"/>
    <w:rsid w:val="002C2A47"/>
    <w:rsid w:val="002C56BC"/>
    <w:rsid w:val="002D0505"/>
    <w:rsid w:val="002E1ED3"/>
    <w:rsid w:val="002E3B7C"/>
    <w:rsid w:val="002E3F34"/>
    <w:rsid w:val="002E4FCF"/>
    <w:rsid w:val="002F3825"/>
    <w:rsid w:val="002F3A31"/>
    <w:rsid w:val="002F6003"/>
    <w:rsid w:val="003009B4"/>
    <w:rsid w:val="00302CDE"/>
    <w:rsid w:val="00304BC0"/>
    <w:rsid w:val="003053CB"/>
    <w:rsid w:val="00312F6B"/>
    <w:rsid w:val="0031679F"/>
    <w:rsid w:val="00322DCC"/>
    <w:rsid w:val="00323B11"/>
    <w:rsid w:val="003272B5"/>
    <w:rsid w:val="00331982"/>
    <w:rsid w:val="00331D74"/>
    <w:rsid w:val="003320A5"/>
    <w:rsid w:val="00335A91"/>
    <w:rsid w:val="003377C2"/>
    <w:rsid w:val="00343DDF"/>
    <w:rsid w:val="00344D9F"/>
    <w:rsid w:val="00346D40"/>
    <w:rsid w:val="003543B6"/>
    <w:rsid w:val="003563B9"/>
    <w:rsid w:val="003576AE"/>
    <w:rsid w:val="003635B8"/>
    <w:rsid w:val="00365167"/>
    <w:rsid w:val="00365708"/>
    <w:rsid w:val="00365B96"/>
    <w:rsid w:val="00373C71"/>
    <w:rsid w:val="003756E3"/>
    <w:rsid w:val="003804D4"/>
    <w:rsid w:val="00381523"/>
    <w:rsid w:val="00382358"/>
    <w:rsid w:val="00382B96"/>
    <w:rsid w:val="003833FE"/>
    <w:rsid w:val="00391B40"/>
    <w:rsid w:val="003A3022"/>
    <w:rsid w:val="003A31C9"/>
    <w:rsid w:val="003A47B3"/>
    <w:rsid w:val="003B6836"/>
    <w:rsid w:val="003C2D99"/>
    <w:rsid w:val="003D5E1B"/>
    <w:rsid w:val="003E1F3A"/>
    <w:rsid w:val="003E4E03"/>
    <w:rsid w:val="003E6259"/>
    <w:rsid w:val="003E6468"/>
    <w:rsid w:val="003F1A8F"/>
    <w:rsid w:val="003F2792"/>
    <w:rsid w:val="003F3C65"/>
    <w:rsid w:val="003F75EA"/>
    <w:rsid w:val="00403349"/>
    <w:rsid w:val="00404F47"/>
    <w:rsid w:val="0040797D"/>
    <w:rsid w:val="00411648"/>
    <w:rsid w:val="0041759A"/>
    <w:rsid w:val="00422C01"/>
    <w:rsid w:val="004230AA"/>
    <w:rsid w:val="00423A27"/>
    <w:rsid w:val="00432A5A"/>
    <w:rsid w:val="00432CB2"/>
    <w:rsid w:val="00434E0A"/>
    <w:rsid w:val="004372C2"/>
    <w:rsid w:val="00440962"/>
    <w:rsid w:val="00440D68"/>
    <w:rsid w:val="0044683A"/>
    <w:rsid w:val="0045200E"/>
    <w:rsid w:val="0045465E"/>
    <w:rsid w:val="00454B4B"/>
    <w:rsid w:val="004625E3"/>
    <w:rsid w:val="00467B16"/>
    <w:rsid w:val="00467DC9"/>
    <w:rsid w:val="0047482B"/>
    <w:rsid w:val="00476709"/>
    <w:rsid w:val="00477CF1"/>
    <w:rsid w:val="00482F9B"/>
    <w:rsid w:val="00483A12"/>
    <w:rsid w:val="00490912"/>
    <w:rsid w:val="004939C0"/>
    <w:rsid w:val="00496009"/>
    <w:rsid w:val="004A35C5"/>
    <w:rsid w:val="004A57F1"/>
    <w:rsid w:val="004A5F3A"/>
    <w:rsid w:val="004A639C"/>
    <w:rsid w:val="004B32BA"/>
    <w:rsid w:val="004D2F5C"/>
    <w:rsid w:val="004E284C"/>
    <w:rsid w:val="004E40C3"/>
    <w:rsid w:val="004E7B4A"/>
    <w:rsid w:val="004F46F0"/>
    <w:rsid w:val="004F5827"/>
    <w:rsid w:val="004F6F3C"/>
    <w:rsid w:val="00502BEE"/>
    <w:rsid w:val="00505AC1"/>
    <w:rsid w:val="00507163"/>
    <w:rsid w:val="0050716C"/>
    <w:rsid w:val="00507367"/>
    <w:rsid w:val="00507BA4"/>
    <w:rsid w:val="00511944"/>
    <w:rsid w:val="00521C6A"/>
    <w:rsid w:val="00523335"/>
    <w:rsid w:val="005255D0"/>
    <w:rsid w:val="00527FBB"/>
    <w:rsid w:val="005301BD"/>
    <w:rsid w:val="00533540"/>
    <w:rsid w:val="00543154"/>
    <w:rsid w:val="0055388C"/>
    <w:rsid w:val="005549BA"/>
    <w:rsid w:val="00562477"/>
    <w:rsid w:val="005639F8"/>
    <w:rsid w:val="00563E05"/>
    <w:rsid w:val="00564B34"/>
    <w:rsid w:val="005717F3"/>
    <w:rsid w:val="00575155"/>
    <w:rsid w:val="005759E7"/>
    <w:rsid w:val="00577916"/>
    <w:rsid w:val="00584972"/>
    <w:rsid w:val="005850A8"/>
    <w:rsid w:val="0059164C"/>
    <w:rsid w:val="0059644D"/>
    <w:rsid w:val="00597E2E"/>
    <w:rsid w:val="005A0374"/>
    <w:rsid w:val="005A1544"/>
    <w:rsid w:val="005A1D4D"/>
    <w:rsid w:val="005B46A0"/>
    <w:rsid w:val="005B57CB"/>
    <w:rsid w:val="005C2978"/>
    <w:rsid w:val="005C350A"/>
    <w:rsid w:val="005C35D4"/>
    <w:rsid w:val="005C671A"/>
    <w:rsid w:val="005D1804"/>
    <w:rsid w:val="005D4BFE"/>
    <w:rsid w:val="005D7620"/>
    <w:rsid w:val="005E3171"/>
    <w:rsid w:val="005E4DFB"/>
    <w:rsid w:val="005E732E"/>
    <w:rsid w:val="005F1D5A"/>
    <w:rsid w:val="005F6FAF"/>
    <w:rsid w:val="00605393"/>
    <w:rsid w:val="00606419"/>
    <w:rsid w:val="00612542"/>
    <w:rsid w:val="006138C6"/>
    <w:rsid w:val="00615603"/>
    <w:rsid w:val="00621B38"/>
    <w:rsid w:val="0062483B"/>
    <w:rsid w:val="0062613C"/>
    <w:rsid w:val="00634826"/>
    <w:rsid w:val="00663564"/>
    <w:rsid w:val="00664E60"/>
    <w:rsid w:val="00671F8B"/>
    <w:rsid w:val="00673068"/>
    <w:rsid w:val="006731D6"/>
    <w:rsid w:val="00676134"/>
    <w:rsid w:val="0068048E"/>
    <w:rsid w:val="00685FCC"/>
    <w:rsid w:val="00686F13"/>
    <w:rsid w:val="00694E35"/>
    <w:rsid w:val="006953A0"/>
    <w:rsid w:val="006A3C58"/>
    <w:rsid w:val="006A7B99"/>
    <w:rsid w:val="006B2458"/>
    <w:rsid w:val="006B4E62"/>
    <w:rsid w:val="006C2036"/>
    <w:rsid w:val="006C34E3"/>
    <w:rsid w:val="006D4F77"/>
    <w:rsid w:val="006E2383"/>
    <w:rsid w:val="006E49E3"/>
    <w:rsid w:val="006E551D"/>
    <w:rsid w:val="006F1F4E"/>
    <w:rsid w:val="00702A3B"/>
    <w:rsid w:val="00704277"/>
    <w:rsid w:val="00704326"/>
    <w:rsid w:val="0071246D"/>
    <w:rsid w:val="00717D03"/>
    <w:rsid w:val="007202F8"/>
    <w:rsid w:val="007219ED"/>
    <w:rsid w:val="00722233"/>
    <w:rsid w:val="00722CA6"/>
    <w:rsid w:val="0073102C"/>
    <w:rsid w:val="007375D5"/>
    <w:rsid w:val="00747080"/>
    <w:rsid w:val="00753A4D"/>
    <w:rsid w:val="00761D31"/>
    <w:rsid w:val="00762604"/>
    <w:rsid w:val="00771B26"/>
    <w:rsid w:val="007818E0"/>
    <w:rsid w:val="007824C5"/>
    <w:rsid w:val="00783161"/>
    <w:rsid w:val="00783A56"/>
    <w:rsid w:val="00783DE1"/>
    <w:rsid w:val="007844E7"/>
    <w:rsid w:val="00790F65"/>
    <w:rsid w:val="007931EB"/>
    <w:rsid w:val="0079532C"/>
    <w:rsid w:val="007A0EB9"/>
    <w:rsid w:val="007A0FEE"/>
    <w:rsid w:val="007B43F9"/>
    <w:rsid w:val="007B586E"/>
    <w:rsid w:val="007B59DF"/>
    <w:rsid w:val="007C55FD"/>
    <w:rsid w:val="007C5D32"/>
    <w:rsid w:val="007C6F1A"/>
    <w:rsid w:val="007D0AAA"/>
    <w:rsid w:val="007D2127"/>
    <w:rsid w:val="007D2C54"/>
    <w:rsid w:val="007D3B20"/>
    <w:rsid w:val="007E13A4"/>
    <w:rsid w:val="007E4CA0"/>
    <w:rsid w:val="007E5D54"/>
    <w:rsid w:val="007E6425"/>
    <w:rsid w:val="007F0702"/>
    <w:rsid w:val="007F1AC0"/>
    <w:rsid w:val="007F1B55"/>
    <w:rsid w:val="007F23E9"/>
    <w:rsid w:val="007F50B9"/>
    <w:rsid w:val="007F635D"/>
    <w:rsid w:val="008037C2"/>
    <w:rsid w:val="008067ED"/>
    <w:rsid w:val="00810BB5"/>
    <w:rsid w:val="00816EE6"/>
    <w:rsid w:val="008215C8"/>
    <w:rsid w:val="00823D97"/>
    <w:rsid w:val="00826B1D"/>
    <w:rsid w:val="0083184B"/>
    <w:rsid w:val="008353C4"/>
    <w:rsid w:val="0083612A"/>
    <w:rsid w:val="00843305"/>
    <w:rsid w:val="00844E72"/>
    <w:rsid w:val="0084522E"/>
    <w:rsid w:val="008457AC"/>
    <w:rsid w:val="0085686E"/>
    <w:rsid w:val="00857A2B"/>
    <w:rsid w:val="00860E1E"/>
    <w:rsid w:val="00863638"/>
    <w:rsid w:val="008649EE"/>
    <w:rsid w:val="00866108"/>
    <w:rsid w:val="00870977"/>
    <w:rsid w:val="008731E2"/>
    <w:rsid w:val="008731E6"/>
    <w:rsid w:val="00876EDA"/>
    <w:rsid w:val="008848EF"/>
    <w:rsid w:val="008849C6"/>
    <w:rsid w:val="00884C2B"/>
    <w:rsid w:val="00886795"/>
    <w:rsid w:val="00887A67"/>
    <w:rsid w:val="00890325"/>
    <w:rsid w:val="00890CC9"/>
    <w:rsid w:val="008A216F"/>
    <w:rsid w:val="008B45FD"/>
    <w:rsid w:val="008B5B08"/>
    <w:rsid w:val="008C6645"/>
    <w:rsid w:val="008C7A77"/>
    <w:rsid w:val="008D495F"/>
    <w:rsid w:val="008D5283"/>
    <w:rsid w:val="008D6E9A"/>
    <w:rsid w:val="008E0E8F"/>
    <w:rsid w:val="008E1927"/>
    <w:rsid w:val="008E2ED7"/>
    <w:rsid w:val="008E45D6"/>
    <w:rsid w:val="008E6ECD"/>
    <w:rsid w:val="008F056B"/>
    <w:rsid w:val="008F11FB"/>
    <w:rsid w:val="008F1275"/>
    <w:rsid w:val="008F19C8"/>
    <w:rsid w:val="008F7F23"/>
    <w:rsid w:val="009025E6"/>
    <w:rsid w:val="0090316A"/>
    <w:rsid w:val="009036E2"/>
    <w:rsid w:val="00903ECB"/>
    <w:rsid w:val="00907D6E"/>
    <w:rsid w:val="00912E2B"/>
    <w:rsid w:val="00913082"/>
    <w:rsid w:val="00916FB6"/>
    <w:rsid w:val="00923ACE"/>
    <w:rsid w:val="00924E6A"/>
    <w:rsid w:val="0092580B"/>
    <w:rsid w:val="00932B2E"/>
    <w:rsid w:val="00934932"/>
    <w:rsid w:val="00935707"/>
    <w:rsid w:val="00935831"/>
    <w:rsid w:val="00940055"/>
    <w:rsid w:val="00945A9D"/>
    <w:rsid w:val="009466FD"/>
    <w:rsid w:val="009537BB"/>
    <w:rsid w:val="00954B27"/>
    <w:rsid w:val="00956946"/>
    <w:rsid w:val="00960C11"/>
    <w:rsid w:val="00972F35"/>
    <w:rsid w:val="009749C0"/>
    <w:rsid w:val="009812A3"/>
    <w:rsid w:val="00984479"/>
    <w:rsid w:val="0098569C"/>
    <w:rsid w:val="00985B4C"/>
    <w:rsid w:val="009861AD"/>
    <w:rsid w:val="009910F5"/>
    <w:rsid w:val="00993D10"/>
    <w:rsid w:val="009A0E0D"/>
    <w:rsid w:val="009A3737"/>
    <w:rsid w:val="009B4D0C"/>
    <w:rsid w:val="009C1F9C"/>
    <w:rsid w:val="009C23F8"/>
    <w:rsid w:val="009C3939"/>
    <w:rsid w:val="009C5838"/>
    <w:rsid w:val="009C5EB7"/>
    <w:rsid w:val="009D2F71"/>
    <w:rsid w:val="009D3BE1"/>
    <w:rsid w:val="009D4943"/>
    <w:rsid w:val="009E60D4"/>
    <w:rsid w:val="009F603B"/>
    <w:rsid w:val="00A01FE2"/>
    <w:rsid w:val="00A100BE"/>
    <w:rsid w:val="00A12CA8"/>
    <w:rsid w:val="00A24E5A"/>
    <w:rsid w:val="00A26C41"/>
    <w:rsid w:val="00A31C52"/>
    <w:rsid w:val="00A32BDE"/>
    <w:rsid w:val="00A33B08"/>
    <w:rsid w:val="00A376F0"/>
    <w:rsid w:val="00A3789C"/>
    <w:rsid w:val="00A445A9"/>
    <w:rsid w:val="00A450F1"/>
    <w:rsid w:val="00A51098"/>
    <w:rsid w:val="00A531B8"/>
    <w:rsid w:val="00A532C0"/>
    <w:rsid w:val="00A545CD"/>
    <w:rsid w:val="00A55A95"/>
    <w:rsid w:val="00A56A94"/>
    <w:rsid w:val="00A60E5D"/>
    <w:rsid w:val="00A6349F"/>
    <w:rsid w:val="00A6779F"/>
    <w:rsid w:val="00A92387"/>
    <w:rsid w:val="00A92CAA"/>
    <w:rsid w:val="00AA2445"/>
    <w:rsid w:val="00AA650F"/>
    <w:rsid w:val="00AA67D7"/>
    <w:rsid w:val="00AA7643"/>
    <w:rsid w:val="00AB3DB5"/>
    <w:rsid w:val="00AB575E"/>
    <w:rsid w:val="00AC0173"/>
    <w:rsid w:val="00AC24CD"/>
    <w:rsid w:val="00AC4EC8"/>
    <w:rsid w:val="00AC5159"/>
    <w:rsid w:val="00AC74BC"/>
    <w:rsid w:val="00AD5188"/>
    <w:rsid w:val="00AE2245"/>
    <w:rsid w:val="00AE421B"/>
    <w:rsid w:val="00AE456B"/>
    <w:rsid w:val="00AE784A"/>
    <w:rsid w:val="00AF07D1"/>
    <w:rsid w:val="00AF175D"/>
    <w:rsid w:val="00AF4E3D"/>
    <w:rsid w:val="00B01F8B"/>
    <w:rsid w:val="00B070D3"/>
    <w:rsid w:val="00B110E6"/>
    <w:rsid w:val="00B13519"/>
    <w:rsid w:val="00B216C9"/>
    <w:rsid w:val="00B30312"/>
    <w:rsid w:val="00B53F8E"/>
    <w:rsid w:val="00B57985"/>
    <w:rsid w:val="00B66F87"/>
    <w:rsid w:val="00B67084"/>
    <w:rsid w:val="00B71A62"/>
    <w:rsid w:val="00B734EC"/>
    <w:rsid w:val="00B74889"/>
    <w:rsid w:val="00B75D6F"/>
    <w:rsid w:val="00B8619E"/>
    <w:rsid w:val="00B930D2"/>
    <w:rsid w:val="00B96B50"/>
    <w:rsid w:val="00BA0324"/>
    <w:rsid w:val="00BB1DD0"/>
    <w:rsid w:val="00BB2E08"/>
    <w:rsid w:val="00BB337E"/>
    <w:rsid w:val="00BB50BF"/>
    <w:rsid w:val="00BB64BD"/>
    <w:rsid w:val="00BB736E"/>
    <w:rsid w:val="00BC0D5B"/>
    <w:rsid w:val="00BC7E00"/>
    <w:rsid w:val="00BD6450"/>
    <w:rsid w:val="00BD7299"/>
    <w:rsid w:val="00BE07AB"/>
    <w:rsid w:val="00BE1D5F"/>
    <w:rsid w:val="00BE73CE"/>
    <w:rsid w:val="00BF2F02"/>
    <w:rsid w:val="00BF360C"/>
    <w:rsid w:val="00BF5376"/>
    <w:rsid w:val="00C01C9A"/>
    <w:rsid w:val="00C24EDA"/>
    <w:rsid w:val="00C306FF"/>
    <w:rsid w:val="00C34D47"/>
    <w:rsid w:val="00C36E0F"/>
    <w:rsid w:val="00C3758A"/>
    <w:rsid w:val="00C4151F"/>
    <w:rsid w:val="00C41B4B"/>
    <w:rsid w:val="00C515B9"/>
    <w:rsid w:val="00C51EF0"/>
    <w:rsid w:val="00C559C2"/>
    <w:rsid w:val="00C56EBD"/>
    <w:rsid w:val="00C62C35"/>
    <w:rsid w:val="00C656C7"/>
    <w:rsid w:val="00C72809"/>
    <w:rsid w:val="00C769BE"/>
    <w:rsid w:val="00C9332F"/>
    <w:rsid w:val="00C945CD"/>
    <w:rsid w:val="00C94D04"/>
    <w:rsid w:val="00C96332"/>
    <w:rsid w:val="00CA1A0B"/>
    <w:rsid w:val="00CA3D82"/>
    <w:rsid w:val="00CA60B3"/>
    <w:rsid w:val="00CA6C41"/>
    <w:rsid w:val="00CB0223"/>
    <w:rsid w:val="00CB4060"/>
    <w:rsid w:val="00CB45AA"/>
    <w:rsid w:val="00CB651E"/>
    <w:rsid w:val="00CC0D3A"/>
    <w:rsid w:val="00CC4F00"/>
    <w:rsid w:val="00CD0D70"/>
    <w:rsid w:val="00CD31DA"/>
    <w:rsid w:val="00CD48D7"/>
    <w:rsid w:val="00CD556C"/>
    <w:rsid w:val="00CE0F49"/>
    <w:rsid w:val="00CE1EA8"/>
    <w:rsid w:val="00CE53F2"/>
    <w:rsid w:val="00CE566C"/>
    <w:rsid w:val="00CE6779"/>
    <w:rsid w:val="00CE7D2C"/>
    <w:rsid w:val="00CF0B94"/>
    <w:rsid w:val="00CF46B1"/>
    <w:rsid w:val="00D0000A"/>
    <w:rsid w:val="00D001DC"/>
    <w:rsid w:val="00D01231"/>
    <w:rsid w:val="00D03E44"/>
    <w:rsid w:val="00D143D8"/>
    <w:rsid w:val="00D16391"/>
    <w:rsid w:val="00D16924"/>
    <w:rsid w:val="00D176A7"/>
    <w:rsid w:val="00D21904"/>
    <w:rsid w:val="00D2213C"/>
    <w:rsid w:val="00D31879"/>
    <w:rsid w:val="00D31B3C"/>
    <w:rsid w:val="00D34F61"/>
    <w:rsid w:val="00D36B13"/>
    <w:rsid w:val="00D375AC"/>
    <w:rsid w:val="00D40E6D"/>
    <w:rsid w:val="00D43714"/>
    <w:rsid w:val="00D45684"/>
    <w:rsid w:val="00D5139A"/>
    <w:rsid w:val="00D53D05"/>
    <w:rsid w:val="00D60EA3"/>
    <w:rsid w:val="00D714FF"/>
    <w:rsid w:val="00D7412A"/>
    <w:rsid w:val="00D812A9"/>
    <w:rsid w:val="00D8394C"/>
    <w:rsid w:val="00D92A5D"/>
    <w:rsid w:val="00D92E9D"/>
    <w:rsid w:val="00D96C8E"/>
    <w:rsid w:val="00D97593"/>
    <w:rsid w:val="00DA02C6"/>
    <w:rsid w:val="00DA5F6C"/>
    <w:rsid w:val="00DA7120"/>
    <w:rsid w:val="00DB213A"/>
    <w:rsid w:val="00DB3F89"/>
    <w:rsid w:val="00DB4F45"/>
    <w:rsid w:val="00DC4AD5"/>
    <w:rsid w:val="00DC6273"/>
    <w:rsid w:val="00DC6D12"/>
    <w:rsid w:val="00DD71A7"/>
    <w:rsid w:val="00DD72F6"/>
    <w:rsid w:val="00DE5670"/>
    <w:rsid w:val="00DF2303"/>
    <w:rsid w:val="00DF5BF3"/>
    <w:rsid w:val="00DF7328"/>
    <w:rsid w:val="00E01A1A"/>
    <w:rsid w:val="00E02925"/>
    <w:rsid w:val="00E04A52"/>
    <w:rsid w:val="00E04DE2"/>
    <w:rsid w:val="00E068B2"/>
    <w:rsid w:val="00E124EE"/>
    <w:rsid w:val="00E1356B"/>
    <w:rsid w:val="00E16899"/>
    <w:rsid w:val="00E239D2"/>
    <w:rsid w:val="00E33017"/>
    <w:rsid w:val="00E3548C"/>
    <w:rsid w:val="00E4029A"/>
    <w:rsid w:val="00E452F0"/>
    <w:rsid w:val="00E503ED"/>
    <w:rsid w:val="00E644E1"/>
    <w:rsid w:val="00E6479B"/>
    <w:rsid w:val="00E6594B"/>
    <w:rsid w:val="00E724DC"/>
    <w:rsid w:val="00E7346D"/>
    <w:rsid w:val="00E80060"/>
    <w:rsid w:val="00E80B78"/>
    <w:rsid w:val="00E816FE"/>
    <w:rsid w:val="00E820D0"/>
    <w:rsid w:val="00E835DD"/>
    <w:rsid w:val="00E84925"/>
    <w:rsid w:val="00E84AB8"/>
    <w:rsid w:val="00EB0AED"/>
    <w:rsid w:val="00EB0B41"/>
    <w:rsid w:val="00EB12AA"/>
    <w:rsid w:val="00EB2881"/>
    <w:rsid w:val="00EB50ED"/>
    <w:rsid w:val="00EB6B5B"/>
    <w:rsid w:val="00EC7819"/>
    <w:rsid w:val="00ED07A8"/>
    <w:rsid w:val="00ED0887"/>
    <w:rsid w:val="00ED124A"/>
    <w:rsid w:val="00ED38AC"/>
    <w:rsid w:val="00ED4C3F"/>
    <w:rsid w:val="00EE08DB"/>
    <w:rsid w:val="00EE091D"/>
    <w:rsid w:val="00EE19ED"/>
    <w:rsid w:val="00EF26B4"/>
    <w:rsid w:val="00EF3C4B"/>
    <w:rsid w:val="00EF41CF"/>
    <w:rsid w:val="00F02C8C"/>
    <w:rsid w:val="00F1322D"/>
    <w:rsid w:val="00F14861"/>
    <w:rsid w:val="00F14EAC"/>
    <w:rsid w:val="00F23C46"/>
    <w:rsid w:val="00F26423"/>
    <w:rsid w:val="00F265DF"/>
    <w:rsid w:val="00F3234D"/>
    <w:rsid w:val="00F34F71"/>
    <w:rsid w:val="00F36BED"/>
    <w:rsid w:val="00F401BE"/>
    <w:rsid w:val="00F40298"/>
    <w:rsid w:val="00F40914"/>
    <w:rsid w:val="00F414F9"/>
    <w:rsid w:val="00F4239C"/>
    <w:rsid w:val="00F433A7"/>
    <w:rsid w:val="00F449FE"/>
    <w:rsid w:val="00F455D4"/>
    <w:rsid w:val="00F54449"/>
    <w:rsid w:val="00F54D20"/>
    <w:rsid w:val="00F5507A"/>
    <w:rsid w:val="00F650CC"/>
    <w:rsid w:val="00F65287"/>
    <w:rsid w:val="00F7091A"/>
    <w:rsid w:val="00F73B1C"/>
    <w:rsid w:val="00F74EC6"/>
    <w:rsid w:val="00F81675"/>
    <w:rsid w:val="00F858CB"/>
    <w:rsid w:val="00F865C3"/>
    <w:rsid w:val="00F93F80"/>
    <w:rsid w:val="00F95E86"/>
    <w:rsid w:val="00F976F2"/>
    <w:rsid w:val="00FA4BE4"/>
    <w:rsid w:val="00FB0D4B"/>
    <w:rsid w:val="00FB1064"/>
    <w:rsid w:val="00FB357D"/>
    <w:rsid w:val="00FB41EA"/>
    <w:rsid w:val="00FB5C5D"/>
    <w:rsid w:val="00FB6657"/>
    <w:rsid w:val="00FC19C9"/>
    <w:rsid w:val="00FC2865"/>
    <w:rsid w:val="00FC33A5"/>
    <w:rsid w:val="00FC51D3"/>
    <w:rsid w:val="00FC6D5E"/>
    <w:rsid w:val="00FD15E5"/>
    <w:rsid w:val="00FE4709"/>
    <w:rsid w:val="00FF4B54"/>
    <w:rsid w:val="00FF60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12A45"/>
  <w15:docId w15:val="{7FC412A9-7C46-4D71-B1D1-65812C29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5E732E"/>
    <w:pPr>
      <w:widowControl w:val="0"/>
      <w:autoSpaceDE w:val="0"/>
      <w:autoSpaceDN w:val="0"/>
      <w:spacing w:after="0" w:line="240" w:lineRule="auto"/>
      <w:ind w:left="165"/>
      <w:outlineLvl w:val="1"/>
    </w:pPr>
    <w:rPr>
      <w:rFonts w:ascii="Arial" w:eastAsia="Arial" w:hAnsi="Arial" w:cs="Arial"/>
      <w:b/>
      <w:bCs/>
      <w:sz w:val="24"/>
      <w:szCs w:val="24"/>
      <w:lang w:val="en-US"/>
    </w:rPr>
  </w:style>
  <w:style w:type="paragraph" w:styleId="Heading3">
    <w:name w:val="heading 3"/>
    <w:basedOn w:val="Normal"/>
    <w:next w:val="Normal"/>
    <w:link w:val="Heading3Char"/>
    <w:uiPriority w:val="9"/>
    <w:semiHidden/>
    <w:unhideWhenUsed/>
    <w:qFormat/>
    <w:rsid w:val="000D5B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E86"/>
    <w:pPr>
      <w:spacing w:after="160" w:line="278" w:lineRule="auto"/>
      <w:ind w:left="720"/>
      <w:contextualSpacing/>
    </w:pPr>
    <w:rPr>
      <w:kern w:val="2"/>
      <w:sz w:val="24"/>
      <w:szCs w:val="21"/>
      <w:lang w:val="en-US" w:bidi="hi-IN"/>
      <w14:ligatures w14:val="standardContextual"/>
    </w:rPr>
  </w:style>
  <w:style w:type="paragraph" w:styleId="BalloonText">
    <w:name w:val="Balloon Text"/>
    <w:basedOn w:val="Normal"/>
    <w:link w:val="BalloonTextChar"/>
    <w:uiPriority w:val="99"/>
    <w:semiHidden/>
    <w:unhideWhenUsed/>
    <w:rsid w:val="00912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E2B"/>
    <w:rPr>
      <w:rFonts w:ascii="Tahoma" w:hAnsi="Tahoma" w:cs="Tahoma"/>
      <w:sz w:val="16"/>
      <w:szCs w:val="16"/>
    </w:rPr>
  </w:style>
  <w:style w:type="character" w:customStyle="1" w:styleId="oxzekf">
    <w:name w:val="oxzekf"/>
    <w:basedOn w:val="DefaultParagraphFont"/>
    <w:qFormat/>
    <w:rsid w:val="00440962"/>
  </w:style>
  <w:style w:type="character" w:styleId="Strong">
    <w:name w:val="Strong"/>
    <w:basedOn w:val="DefaultParagraphFont"/>
    <w:uiPriority w:val="22"/>
    <w:qFormat/>
    <w:rsid w:val="0059644D"/>
    <w:rPr>
      <w:b/>
      <w:bCs/>
    </w:rPr>
  </w:style>
  <w:style w:type="table" w:styleId="TableGrid">
    <w:name w:val="Table Grid"/>
    <w:basedOn w:val="TableNormal"/>
    <w:uiPriority w:val="59"/>
    <w:qFormat/>
    <w:rsid w:val="0059644D"/>
    <w:pPr>
      <w:spacing w:after="0" w:line="240" w:lineRule="auto"/>
    </w:pPr>
    <w:rPr>
      <w:sz w:val="20"/>
      <w:szCs w:val="20"/>
      <w:lang w:val="en-GB" w:eastAsia="en-GB"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BB736E"/>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Hyperlink">
    <w:name w:val="Hyperlink"/>
    <w:basedOn w:val="DefaultParagraphFont"/>
    <w:uiPriority w:val="99"/>
    <w:unhideWhenUsed/>
    <w:rsid w:val="00DA5F6C"/>
    <w:rPr>
      <w:color w:val="0000FF" w:themeColor="hyperlink"/>
      <w:u w:val="single"/>
    </w:rPr>
  </w:style>
  <w:style w:type="character" w:styleId="Emphasis">
    <w:name w:val="Emphasis"/>
    <w:basedOn w:val="DefaultParagraphFont"/>
    <w:uiPriority w:val="20"/>
    <w:qFormat/>
    <w:rsid w:val="00C769BE"/>
    <w:rPr>
      <w:i/>
      <w:iCs/>
    </w:rPr>
  </w:style>
  <w:style w:type="paragraph" w:styleId="Header">
    <w:name w:val="header"/>
    <w:basedOn w:val="Normal"/>
    <w:link w:val="HeaderChar"/>
    <w:uiPriority w:val="99"/>
    <w:unhideWhenUsed/>
    <w:rsid w:val="00C51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EF0"/>
  </w:style>
  <w:style w:type="paragraph" w:styleId="Footer">
    <w:name w:val="footer"/>
    <w:basedOn w:val="Normal"/>
    <w:link w:val="FooterChar"/>
    <w:uiPriority w:val="99"/>
    <w:unhideWhenUsed/>
    <w:rsid w:val="00C51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EF0"/>
  </w:style>
  <w:style w:type="character" w:styleId="PlaceholderText">
    <w:name w:val="Placeholder Text"/>
    <w:basedOn w:val="DefaultParagraphFont"/>
    <w:uiPriority w:val="99"/>
    <w:semiHidden/>
    <w:rsid w:val="00F65287"/>
    <w:rPr>
      <w:color w:val="808080"/>
    </w:rPr>
  </w:style>
  <w:style w:type="table" w:styleId="LightShading">
    <w:name w:val="Light Shading"/>
    <w:basedOn w:val="TableNormal"/>
    <w:uiPriority w:val="60"/>
    <w:rsid w:val="000D1E7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0D1E7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D1E7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ableParagraph">
    <w:name w:val="Table Paragraph"/>
    <w:basedOn w:val="Normal"/>
    <w:uiPriority w:val="1"/>
    <w:qFormat/>
    <w:rsid w:val="00A51098"/>
    <w:pPr>
      <w:widowControl w:val="0"/>
      <w:autoSpaceDE w:val="0"/>
      <w:autoSpaceDN w:val="0"/>
      <w:spacing w:after="0" w:line="240" w:lineRule="auto"/>
    </w:pPr>
    <w:rPr>
      <w:rFonts w:ascii="Microsoft Sans Serif" w:eastAsia="Microsoft Sans Serif" w:hAnsi="Microsoft Sans Serif" w:cs="Microsoft Sans Serif"/>
      <w:lang w:val="en-US"/>
    </w:rPr>
  </w:style>
  <w:style w:type="paragraph" w:styleId="BodyText">
    <w:name w:val="Body Text"/>
    <w:basedOn w:val="Normal"/>
    <w:link w:val="BodyTextChar"/>
    <w:uiPriority w:val="1"/>
    <w:qFormat/>
    <w:rsid w:val="002A49FC"/>
    <w:pPr>
      <w:widowControl w:val="0"/>
      <w:autoSpaceDE w:val="0"/>
      <w:autoSpaceDN w:val="0"/>
      <w:spacing w:after="0" w:line="240" w:lineRule="auto"/>
    </w:pPr>
    <w:rPr>
      <w:rFonts w:ascii="Microsoft Sans Serif" w:eastAsia="Microsoft Sans Serif" w:hAnsi="Microsoft Sans Serif" w:cs="Microsoft Sans Serif"/>
      <w:sz w:val="24"/>
      <w:szCs w:val="24"/>
      <w:lang w:val="en-US"/>
    </w:rPr>
  </w:style>
  <w:style w:type="character" w:customStyle="1" w:styleId="BodyTextChar">
    <w:name w:val="Body Text Char"/>
    <w:basedOn w:val="DefaultParagraphFont"/>
    <w:link w:val="BodyText"/>
    <w:uiPriority w:val="1"/>
    <w:rsid w:val="002A49FC"/>
    <w:rPr>
      <w:rFonts w:ascii="Microsoft Sans Serif" w:eastAsia="Microsoft Sans Serif" w:hAnsi="Microsoft Sans Serif" w:cs="Microsoft Sans Serif"/>
      <w:sz w:val="24"/>
      <w:szCs w:val="24"/>
      <w:lang w:val="en-US"/>
    </w:rPr>
  </w:style>
  <w:style w:type="character" w:customStyle="1" w:styleId="Heading2Char">
    <w:name w:val="Heading 2 Char"/>
    <w:basedOn w:val="DefaultParagraphFont"/>
    <w:link w:val="Heading2"/>
    <w:uiPriority w:val="1"/>
    <w:rsid w:val="005E732E"/>
    <w:rPr>
      <w:rFonts w:ascii="Arial" w:eastAsia="Arial" w:hAnsi="Arial" w:cs="Arial"/>
      <w:b/>
      <w:bCs/>
      <w:sz w:val="24"/>
      <w:szCs w:val="24"/>
      <w:lang w:val="en-US"/>
    </w:rPr>
  </w:style>
  <w:style w:type="character" w:customStyle="1" w:styleId="Heading3Char">
    <w:name w:val="Heading 3 Char"/>
    <w:basedOn w:val="DefaultParagraphFont"/>
    <w:link w:val="Heading3"/>
    <w:uiPriority w:val="9"/>
    <w:semiHidden/>
    <w:rsid w:val="000D5B8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82357">
      <w:bodyDiv w:val="1"/>
      <w:marLeft w:val="0"/>
      <w:marRight w:val="0"/>
      <w:marTop w:val="0"/>
      <w:marBottom w:val="0"/>
      <w:divBdr>
        <w:top w:val="none" w:sz="0" w:space="0" w:color="auto"/>
        <w:left w:val="none" w:sz="0" w:space="0" w:color="auto"/>
        <w:bottom w:val="none" w:sz="0" w:space="0" w:color="auto"/>
        <w:right w:val="none" w:sz="0" w:space="0" w:color="auto"/>
      </w:divBdr>
    </w:div>
    <w:div w:id="525757191">
      <w:bodyDiv w:val="1"/>
      <w:marLeft w:val="0"/>
      <w:marRight w:val="0"/>
      <w:marTop w:val="0"/>
      <w:marBottom w:val="0"/>
      <w:divBdr>
        <w:top w:val="none" w:sz="0" w:space="0" w:color="auto"/>
        <w:left w:val="none" w:sz="0" w:space="0" w:color="auto"/>
        <w:bottom w:val="none" w:sz="0" w:space="0" w:color="auto"/>
        <w:right w:val="none" w:sz="0" w:space="0" w:color="auto"/>
      </w:divBdr>
      <w:divsChild>
        <w:div w:id="663748754">
          <w:marLeft w:val="0"/>
          <w:marRight w:val="0"/>
          <w:marTop w:val="120"/>
          <w:marBottom w:val="120"/>
          <w:divBdr>
            <w:top w:val="none" w:sz="0" w:space="0" w:color="auto"/>
            <w:left w:val="none" w:sz="0" w:space="0" w:color="auto"/>
            <w:bottom w:val="none" w:sz="0" w:space="0" w:color="auto"/>
            <w:right w:val="none" w:sz="0" w:space="0" w:color="auto"/>
          </w:divBdr>
        </w:div>
        <w:div w:id="1659191595">
          <w:marLeft w:val="0"/>
          <w:marRight w:val="0"/>
          <w:marTop w:val="120"/>
          <w:marBottom w:val="120"/>
          <w:divBdr>
            <w:top w:val="none" w:sz="0" w:space="0" w:color="auto"/>
            <w:left w:val="none" w:sz="0" w:space="0" w:color="auto"/>
            <w:bottom w:val="none" w:sz="0" w:space="0" w:color="auto"/>
            <w:right w:val="none" w:sz="0" w:space="0" w:color="auto"/>
          </w:divBdr>
        </w:div>
        <w:div w:id="703361340">
          <w:marLeft w:val="0"/>
          <w:marRight w:val="0"/>
          <w:marTop w:val="120"/>
          <w:marBottom w:val="120"/>
          <w:divBdr>
            <w:top w:val="none" w:sz="0" w:space="0" w:color="auto"/>
            <w:left w:val="none" w:sz="0" w:space="0" w:color="auto"/>
            <w:bottom w:val="none" w:sz="0" w:space="0" w:color="auto"/>
            <w:right w:val="none" w:sz="0" w:space="0" w:color="auto"/>
          </w:divBdr>
        </w:div>
        <w:div w:id="811367460">
          <w:marLeft w:val="0"/>
          <w:marRight w:val="0"/>
          <w:marTop w:val="120"/>
          <w:marBottom w:val="120"/>
          <w:divBdr>
            <w:top w:val="none" w:sz="0" w:space="0" w:color="auto"/>
            <w:left w:val="none" w:sz="0" w:space="0" w:color="auto"/>
            <w:bottom w:val="none" w:sz="0" w:space="0" w:color="auto"/>
            <w:right w:val="none" w:sz="0" w:space="0" w:color="auto"/>
          </w:divBdr>
        </w:div>
        <w:div w:id="798764237">
          <w:marLeft w:val="0"/>
          <w:marRight w:val="0"/>
          <w:marTop w:val="120"/>
          <w:marBottom w:val="120"/>
          <w:divBdr>
            <w:top w:val="none" w:sz="0" w:space="0" w:color="auto"/>
            <w:left w:val="none" w:sz="0" w:space="0" w:color="auto"/>
            <w:bottom w:val="none" w:sz="0" w:space="0" w:color="auto"/>
            <w:right w:val="none" w:sz="0" w:space="0" w:color="auto"/>
          </w:divBdr>
        </w:div>
        <w:div w:id="1282112731">
          <w:marLeft w:val="0"/>
          <w:marRight w:val="0"/>
          <w:marTop w:val="120"/>
          <w:marBottom w:val="120"/>
          <w:divBdr>
            <w:top w:val="none" w:sz="0" w:space="0" w:color="auto"/>
            <w:left w:val="none" w:sz="0" w:space="0" w:color="auto"/>
            <w:bottom w:val="none" w:sz="0" w:space="0" w:color="auto"/>
            <w:right w:val="none" w:sz="0" w:space="0" w:color="auto"/>
          </w:divBdr>
        </w:div>
        <w:div w:id="302465444">
          <w:marLeft w:val="0"/>
          <w:marRight w:val="0"/>
          <w:marTop w:val="120"/>
          <w:marBottom w:val="120"/>
          <w:divBdr>
            <w:top w:val="none" w:sz="0" w:space="0" w:color="auto"/>
            <w:left w:val="none" w:sz="0" w:space="0" w:color="auto"/>
            <w:bottom w:val="none" w:sz="0" w:space="0" w:color="auto"/>
            <w:right w:val="none" w:sz="0" w:space="0" w:color="auto"/>
          </w:divBdr>
        </w:div>
        <w:div w:id="1406761684">
          <w:marLeft w:val="0"/>
          <w:marRight w:val="0"/>
          <w:marTop w:val="120"/>
          <w:marBottom w:val="120"/>
          <w:divBdr>
            <w:top w:val="none" w:sz="0" w:space="0" w:color="auto"/>
            <w:left w:val="none" w:sz="0" w:space="0" w:color="auto"/>
            <w:bottom w:val="none" w:sz="0" w:space="0" w:color="auto"/>
            <w:right w:val="none" w:sz="0" w:space="0" w:color="auto"/>
          </w:divBdr>
        </w:div>
        <w:div w:id="1423408639">
          <w:marLeft w:val="0"/>
          <w:marRight w:val="0"/>
          <w:marTop w:val="120"/>
          <w:marBottom w:val="120"/>
          <w:divBdr>
            <w:top w:val="none" w:sz="0" w:space="0" w:color="auto"/>
            <w:left w:val="none" w:sz="0" w:space="0" w:color="auto"/>
            <w:bottom w:val="none" w:sz="0" w:space="0" w:color="auto"/>
            <w:right w:val="none" w:sz="0" w:space="0" w:color="auto"/>
          </w:divBdr>
        </w:div>
        <w:div w:id="1583104403">
          <w:marLeft w:val="0"/>
          <w:marRight w:val="0"/>
          <w:marTop w:val="120"/>
          <w:marBottom w:val="120"/>
          <w:divBdr>
            <w:top w:val="none" w:sz="0" w:space="0" w:color="auto"/>
            <w:left w:val="none" w:sz="0" w:space="0" w:color="auto"/>
            <w:bottom w:val="none" w:sz="0" w:space="0" w:color="auto"/>
            <w:right w:val="none" w:sz="0" w:space="0" w:color="auto"/>
          </w:divBdr>
        </w:div>
        <w:div w:id="1044981178">
          <w:marLeft w:val="0"/>
          <w:marRight w:val="0"/>
          <w:marTop w:val="120"/>
          <w:marBottom w:val="120"/>
          <w:divBdr>
            <w:top w:val="none" w:sz="0" w:space="0" w:color="auto"/>
            <w:left w:val="none" w:sz="0" w:space="0" w:color="auto"/>
            <w:bottom w:val="none" w:sz="0" w:space="0" w:color="auto"/>
            <w:right w:val="none" w:sz="0" w:space="0" w:color="auto"/>
          </w:divBdr>
        </w:div>
        <w:div w:id="1904370931">
          <w:marLeft w:val="0"/>
          <w:marRight w:val="0"/>
          <w:marTop w:val="120"/>
          <w:marBottom w:val="120"/>
          <w:divBdr>
            <w:top w:val="none" w:sz="0" w:space="0" w:color="auto"/>
            <w:left w:val="none" w:sz="0" w:space="0" w:color="auto"/>
            <w:bottom w:val="none" w:sz="0" w:space="0" w:color="auto"/>
            <w:right w:val="none" w:sz="0" w:space="0" w:color="auto"/>
          </w:divBdr>
        </w:div>
        <w:div w:id="1954434855">
          <w:marLeft w:val="0"/>
          <w:marRight w:val="0"/>
          <w:marTop w:val="120"/>
          <w:marBottom w:val="120"/>
          <w:divBdr>
            <w:top w:val="none" w:sz="0" w:space="0" w:color="auto"/>
            <w:left w:val="none" w:sz="0" w:space="0" w:color="auto"/>
            <w:bottom w:val="none" w:sz="0" w:space="0" w:color="auto"/>
            <w:right w:val="none" w:sz="0" w:space="0" w:color="auto"/>
          </w:divBdr>
        </w:div>
        <w:div w:id="452679640">
          <w:marLeft w:val="0"/>
          <w:marRight w:val="0"/>
          <w:marTop w:val="120"/>
          <w:marBottom w:val="120"/>
          <w:divBdr>
            <w:top w:val="none" w:sz="0" w:space="0" w:color="auto"/>
            <w:left w:val="none" w:sz="0" w:space="0" w:color="auto"/>
            <w:bottom w:val="none" w:sz="0" w:space="0" w:color="auto"/>
            <w:right w:val="none" w:sz="0" w:space="0" w:color="auto"/>
          </w:divBdr>
        </w:div>
        <w:div w:id="182981263">
          <w:marLeft w:val="0"/>
          <w:marRight w:val="0"/>
          <w:marTop w:val="120"/>
          <w:marBottom w:val="120"/>
          <w:divBdr>
            <w:top w:val="none" w:sz="0" w:space="0" w:color="auto"/>
            <w:left w:val="none" w:sz="0" w:space="0" w:color="auto"/>
            <w:bottom w:val="none" w:sz="0" w:space="0" w:color="auto"/>
            <w:right w:val="none" w:sz="0" w:space="0" w:color="auto"/>
          </w:divBdr>
        </w:div>
        <w:div w:id="165824532">
          <w:marLeft w:val="0"/>
          <w:marRight w:val="0"/>
          <w:marTop w:val="120"/>
          <w:marBottom w:val="120"/>
          <w:divBdr>
            <w:top w:val="none" w:sz="0" w:space="0" w:color="auto"/>
            <w:left w:val="none" w:sz="0" w:space="0" w:color="auto"/>
            <w:bottom w:val="none" w:sz="0" w:space="0" w:color="auto"/>
            <w:right w:val="none" w:sz="0" w:space="0" w:color="auto"/>
          </w:divBdr>
        </w:div>
        <w:div w:id="880482347">
          <w:marLeft w:val="0"/>
          <w:marRight w:val="0"/>
          <w:marTop w:val="120"/>
          <w:marBottom w:val="120"/>
          <w:divBdr>
            <w:top w:val="none" w:sz="0" w:space="0" w:color="auto"/>
            <w:left w:val="none" w:sz="0" w:space="0" w:color="auto"/>
            <w:bottom w:val="none" w:sz="0" w:space="0" w:color="auto"/>
            <w:right w:val="none" w:sz="0" w:space="0" w:color="auto"/>
          </w:divBdr>
        </w:div>
        <w:div w:id="1106534551">
          <w:marLeft w:val="0"/>
          <w:marRight w:val="0"/>
          <w:marTop w:val="120"/>
          <w:marBottom w:val="120"/>
          <w:divBdr>
            <w:top w:val="none" w:sz="0" w:space="0" w:color="auto"/>
            <w:left w:val="none" w:sz="0" w:space="0" w:color="auto"/>
            <w:bottom w:val="none" w:sz="0" w:space="0" w:color="auto"/>
            <w:right w:val="none" w:sz="0" w:space="0" w:color="auto"/>
          </w:divBdr>
        </w:div>
        <w:div w:id="680813846">
          <w:marLeft w:val="0"/>
          <w:marRight w:val="0"/>
          <w:marTop w:val="120"/>
          <w:marBottom w:val="120"/>
          <w:divBdr>
            <w:top w:val="none" w:sz="0" w:space="0" w:color="auto"/>
            <w:left w:val="none" w:sz="0" w:space="0" w:color="auto"/>
            <w:bottom w:val="none" w:sz="0" w:space="0" w:color="auto"/>
            <w:right w:val="none" w:sz="0" w:space="0" w:color="auto"/>
          </w:divBdr>
        </w:div>
        <w:div w:id="288899996">
          <w:marLeft w:val="0"/>
          <w:marRight w:val="0"/>
          <w:marTop w:val="120"/>
          <w:marBottom w:val="120"/>
          <w:divBdr>
            <w:top w:val="none" w:sz="0" w:space="0" w:color="auto"/>
            <w:left w:val="none" w:sz="0" w:space="0" w:color="auto"/>
            <w:bottom w:val="none" w:sz="0" w:space="0" w:color="auto"/>
            <w:right w:val="none" w:sz="0" w:space="0" w:color="auto"/>
          </w:divBdr>
        </w:div>
        <w:div w:id="1312054422">
          <w:marLeft w:val="0"/>
          <w:marRight w:val="0"/>
          <w:marTop w:val="120"/>
          <w:marBottom w:val="120"/>
          <w:divBdr>
            <w:top w:val="none" w:sz="0" w:space="0" w:color="auto"/>
            <w:left w:val="none" w:sz="0" w:space="0" w:color="auto"/>
            <w:bottom w:val="none" w:sz="0" w:space="0" w:color="auto"/>
            <w:right w:val="none" w:sz="0" w:space="0" w:color="auto"/>
          </w:divBdr>
        </w:div>
        <w:div w:id="2090148904">
          <w:marLeft w:val="0"/>
          <w:marRight w:val="0"/>
          <w:marTop w:val="120"/>
          <w:marBottom w:val="120"/>
          <w:divBdr>
            <w:top w:val="none" w:sz="0" w:space="0" w:color="auto"/>
            <w:left w:val="none" w:sz="0" w:space="0" w:color="auto"/>
            <w:bottom w:val="none" w:sz="0" w:space="0" w:color="auto"/>
            <w:right w:val="none" w:sz="0" w:space="0" w:color="auto"/>
          </w:divBdr>
        </w:div>
        <w:div w:id="303581351">
          <w:marLeft w:val="0"/>
          <w:marRight w:val="0"/>
          <w:marTop w:val="120"/>
          <w:marBottom w:val="120"/>
          <w:divBdr>
            <w:top w:val="none" w:sz="0" w:space="0" w:color="auto"/>
            <w:left w:val="none" w:sz="0" w:space="0" w:color="auto"/>
            <w:bottom w:val="none" w:sz="0" w:space="0" w:color="auto"/>
            <w:right w:val="none" w:sz="0" w:space="0" w:color="auto"/>
          </w:divBdr>
        </w:div>
        <w:div w:id="1366909993">
          <w:marLeft w:val="0"/>
          <w:marRight w:val="0"/>
          <w:marTop w:val="120"/>
          <w:marBottom w:val="120"/>
          <w:divBdr>
            <w:top w:val="none" w:sz="0" w:space="0" w:color="auto"/>
            <w:left w:val="none" w:sz="0" w:space="0" w:color="auto"/>
            <w:bottom w:val="none" w:sz="0" w:space="0" w:color="auto"/>
            <w:right w:val="none" w:sz="0" w:space="0" w:color="auto"/>
          </w:divBdr>
        </w:div>
        <w:div w:id="267586684">
          <w:marLeft w:val="0"/>
          <w:marRight w:val="0"/>
          <w:marTop w:val="120"/>
          <w:marBottom w:val="120"/>
          <w:divBdr>
            <w:top w:val="none" w:sz="0" w:space="0" w:color="auto"/>
            <w:left w:val="none" w:sz="0" w:space="0" w:color="auto"/>
            <w:bottom w:val="none" w:sz="0" w:space="0" w:color="auto"/>
            <w:right w:val="none" w:sz="0" w:space="0" w:color="auto"/>
          </w:divBdr>
        </w:div>
        <w:div w:id="1802918800">
          <w:marLeft w:val="0"/>
          <w:marRight w:val="0"/>
          <w:marTop w:val="120"/>
          <w:marBottom w:val="120"/>
          <w:divBdr>
            <w:top w:val="none" w:sz="0" w:space="0" w:color="auto"/>
            <w:left w:val="none" w:sz="0" w:space="0" w:color="auto"/>
            <w:bottom w:val="none" w:sz="0" w:space="0" w:color="auto"/>
            <w:right w:val="none" w:sz="0" w:space="0" w:color="auto"/>
          </w:divBdr>
        </w:div>
        <w:div w:id="1384213471">
          <w:marLeft w:val="0"/>
          <w:marRight w:val="0"/>
          <w:marTop w:val="120"/>
          <w:marBottom w:val="120"/>
          <w:divBdr>
            <w:top w:val="none" w:sz="0" w:space="0" w:color="auto"/>
            <w:left w:val="none" w:sz="0" w:space="0" w:color="auto"/>
            <w:bottom w:val="none" w:sz="0" w:space="0" w:color="auto"/>
            <w:right w:val="none" w:sz="0" w:space="0" w:color="auto"/>
          </w:divBdr>
        </w:div>
        <w:div w:id="1942252130">
          <w:marLeft w:val="0"/>
          <w:marRight w:val="0"/>
          <w:marTop w:val="120"/>
          <w:marBottom w:val="120"/>
          <w:divBdr>
            <w:top w:val="none" w:sz="0" w:space="0" w:color="auto"/>
            <w:left w:val="none" w:sz="0" w:space="0" w:color="auto"/>
            <w:bottom w:val="none" w:sz="0" w:space="0" w:color="auto"/>
            <w:right w:val="none" w:sz="0" w:space="0" w:color="auto"/>
          </w:divBdr>
        </w:div>
        <w:div w:id="1360855912">
          <w:marLeft w:val="0"/>
          <w:marRight w:val="0"/>
          <w:marTop w:val="120"/>
          <w:marBottom w:val="120"/>
          <w:divBdr>
            <w:top w:val="none" w:sz="0" w:space="0" w:color="auto"/>
            <w:left w:val="none" w:sz="0" w:space="0" w:color="auto"/>
            <w:bottom w:val="none" w:sz="0" w:space="0" w:color="auto"/>
            <w:right w:val="none" w:sz="0" w:space="0" w:color="auto"/>
          </w:divBdr>
        </w:div>
        <w:div w:id="1179152725">
          <w:marLeft w:val="0"/>
          <w:marRight w:val="0"/>
          <w:marTop w:val="120"/>
          <w:marBottom w:val="120"/>
          <w:divBdr>
            <w:top w:val="none" w:sz="0" w:space="0" w:color="auto"/>
            <w:left w:val="none" w:sz="0" w:space="0" w:color="auto"/>
            <w:bottom w:val="none" w:sz="0" w:space="0" w:color="auto"/>
            <w:right w:val="none" w:sz="0" w:space="0" w:color="auto"/>
          </w:divBdr>
        </w:div>
        <w:div w:id="1839735560">
          <w:marLeft w:val="0"/>
          <w:marRight w:val="0"/>
          <w:marTop w:val="120"/>
          <w:marBottom w:val="120"/>
          <w:divBdr>
            <w:top w:val="none" w:sz="0" w:space="0" w:color="auto"/>
            <w:left w:val="none" w:sz="0" w:space="0" w:color="auto"/>
            <w:bottom w:val="none" w:sz="0" w:space="0" w:color="auto"/>
            <w:right w:val="none" w:sz="0" w:space="0" w:color="auto"/>
          </w:divBdr>
        </w:div>
        <w:div w:id="258560124">
          <w:marLeft w:val="0"/>
          <w:marRight w:val="0"/>
          <w:marTop w:val="120"/>
          <w:marBottom w:val="120"/>
          <w:divBdr>
            <w:top w:val="none" w:sz="0" w:space="0" w:color="auto"/>
            <w:left w:val="none" w:sz="0" w:space="0" w:color="auto"/>
            <w:bottom w:val="none" w:sz="0" w:space="0" w:color="auto"/>
            <w:right w:val="none" w:sz="0" w:space="0" w:color="auto"/>
          </w:divBdr>
        </w:div>
        <w:div w:id="1118137487">
          <w:marLeft w:val="0"/>
          <w:marRight w:val="0"/>
          <w:marTop w:val="120"/>
          <w:marBottom w:val="120"/>
          <w:divBdr>
            <w:top w:val="none" w:sz="0" w:space="0" w:color="auto"/>
            <w:left w:val="none" w:sz="0" w:space="0" w:color="auto"/>
            <w:bottom w:val="none" w:sz="0" w:space="0" w:color="auto"/>
            <w:right w:val="none" w:sz="0" w:space="0" w:color="auto"/>
          </w:divBdr>
        </w:div>
        <w:div w:id="1275791288">
          <w:marLeft w:val="0"/>
          <w:marRight w:val="0"/>
          <w:marTop w:val="120"/>
          <w:marBottom w:val="120"/>
          <w:divBdr>
            <w:top w:val="none" w:sz="0" w:space="0" w:color="auto"/>
            <w:left w:val="none" w:sz="0" w:space="0" w:color="auto"/>
            <w:bottom w:val="none" w:sz="0" w:space="0" w:color="auto"/>
            <w:right w:val="none" w:sz="0" w:space="0" w:color="auto"/>
          </w:divBdr>
        </w:div>
        <w:div w:id="776754174">
          <w:marLeft w:val="0"/>
          <w:marRight w:val="0"/>
          <w:marTop w:val="120"/>
          <w:marBottom w:val="120"/>
          <w:divBdr>
            <w:top w:val="none" w:sz="0" w:space="0" w:color="auto"/>
            <w:left w:val="none" w:sz="0" w:space="0" w:color="auto"/>
            <w:bottom w:val="none" w:sz="0" w:space="0" w:color="auto"/>
            <w:right w:val="none" w:sz="0" w:space="0" w:color="auto"/>
          </w:divBdr>
        </w:div>
        <w:div w:id="1351251294">
          <w:marLeft w:val="0"/>
          <w:marRight w:val="0"/>
          <w:marTop w:val="120"/>
          <w:marBottom w:val="120"/>
          <w:divBdr>
            <w:top w:val="none" w:sz="0" w:space="0" w:color="auto"/>
            <w:left w:val="none" w:sz="0" w:space="0" w:color="auto"/>
            <w:bottom w:val="none" w:sz="0" w:space="0" w:color="auto"/>
            <w:right w:val="none" w:sz="0" w:space="0" w:color="auto"/>
          </w:divBdr>
        </w:div>
        <w:div w:id="842009565">
          <w:marLeft w:val="0"/>
          <w:marRight w:val="0"/>
          <w:marTop w:val="120"/>
          <w:marBottom w:val="120"/>
          <w:divBdr>
            <w:top w:val="none" w:sz="0" w:space="0" w:color="auto"/>
            <w:left w:val="none" w:sz="0" w:space="0" w:color="auto"/>
            <w:bottom w:val="none" w:sz="0" w:space="0" w:color="auto"/>
            <w:right w:val="none" w:sz="0" w:space="0" w:color="auto"/>
          </w:divBdr>
        </w:div>
        <w:div w:id="593900637">
          <w:marLeft w:val="0"/>
          <w:marRight w:val="0"/>
          <w:marTop w:val="120"/>
          <w:marBottom w:val="120"/>
          <w:divBdr>
            <w:top w:val="none" w:sz="0" w:space="0" w:color="auto"/>
            <w:left w:val="none" w:sz="0" w:space="0" w:color="auto"/>
            <w:bottom w:val="none" w:sz="0" w:space="0" w:color="auto"/>
            <w:right w:val="none" w:sz="0" w:space="0" w:color="auto"/>
          </w:divBdr>
        </w:div>
        <w:div w:id="1979413245">
          <w:marLeft w:val="0"/>
          <w:marRight w:val="0"/>
          <w:marTop w:val="120"/>
          <w:marBottom w:val="120"/>
          <w:divBdr>
            <w:top w:val="none" w:sz="0" w:space="0" w:color="auto"/>
            <w:left w:val="none" w:sz="0" w:space="0" w:color="auto"/>
            <w:bottom w:val="none" w:sz="0" w:space="0" w:color="auto"/>
            <w:right w:val="none" w:sz="0" w:space="0" w:color="auto"/>
          </w:divBdr>
        </w:div>
        <w:div w:id="2050761976">
          <w:marLeft w:val="0"/>
          <w:marRight w:val="0"/>
          <w:marTop w:val="120"/>
          <w:marBottom w:val="120"/>
          <w:divBdr>
            <w:top w:val="none" w:sz="0" w:space="0" w:color="auto"/>
            <w:left w:val="none" w:sz="0" w:space="0" w:color="auto"/>
            <w:bottom w:val="none" w:sz="0" w:space="0" w:color="auto"/>
            <w:right w:val="none" w:sz="0" w:space="0" w:color="auto"/>
          </w:divBdr>
        </w:div>
        <w:div w:id="1190408346">
          <w:marLeft w:val="0"/>
          <w:marRight w:val="0"/>
          <w:marTop w:val="120"/>
          <w:marBottom w:val="120"/>
          <w:divBdr>
            <w:top w:val="none" w:sz="0" w:space="0" w:color="auto"/>
            <w:left w:val="none" w:sz="0" w:space="0" w:color="auto"/>
            <w:bottom w:val="none" w:sz="0" w:space="0" w:color="auto"/>
            <w:right w:val="none" w:sz="0" w:space="0" w:color="auto"/>
          </w:divBdr>
        </w:div>
        <w:div w:id="708141641">
          <w:marLeft w:val="0"/>
          <w:marRight w:val="0"/>
          <w:marTop w:val="120"/>
          <w:marBottom w:val="120"/>
          <w:divBdr>
            <w:top w:val="none" w:sz="0" w:space="0" w:color="auto"/>
            <w:left w:val="none" w:sz="0" w:space="0" w:color="auto"/>
            <w:bottom w:val="none" w:sz="0" w:space="0" w:color="auto"/>
            <w:right w:val="none" w:sz="0" w:space="0" w:color="auto"/>
          </w:divBdr>
        </w:div>
        <w:div w:id="1021129800">
          <w:marLeft w:val="0"/>
          <w:marRight w:val="0"/>
          <w:marTop w:val="120"/>
          <w:marBottom w:val="120"/>
          <w:divBdr>
            <w:top w:val="none" w:sz="0" w:space="0" w:color="auto"/>
            <w:left w:val="none" w:sz="0" w:space="0" w:color="auto"/>
            <w:bottom w:val="none" w:sz="0" w:space="0" w:color="auto"/>
            <w:right w:val="none" w:sz="0" w:space="0" w:color="auto"/>
          </w:divBdr>
        </w:div>
        <w:div w:id="996959062">
          <w:marLeft w:val="0"/>
          <w:marRight w:val="0"/>
          <w:marTop w:val="120"/>
          <w:marBottom w:val="120"/>
          <w:divBdr>
            <w:top w:val="none" w:sz="0" w:space="0" w:color="auto"/>
            <w:left w:val="none" w:sz="0" w:space="0" w:color="auto"/>
            <w:bottom w:val="none" w:sz="0" w:space="0" w:color="auto"/>
            <w:right w:val="none" w:sz="0" w:space="0" w:color="auto"/>
          </w:divBdr>
        </w:div>
        <w:div w:id="308439876">
          <w:marLeft w:val="0"/>
          <w:marRight w:val="0"/>
          <w:marTop w:val="120"/>
          <w:marBottom w:val="120"/>
          <w:divBdr>
            <w:top w:val="none" w:sz="0" w:space="0" w:color="auto"/>
            <w:left w:val="none" w:sz="0" w:space="0" w:color="auto"/>
            <w:bottom w:val="none" w:sz="0" w:space="0" w:color="auto"/>
            <w:right w:val="none" w:sz="0" w:space="0" w:color="auto"/>
          </w:divBdr>
        </w:div>
        <w:div w:id="626157293">
          <w:marLeft w:val="0"/>
          <w:marRight w:val="0"/>
          <w:marTop w:val="120"/>
          <w:marBottom w:val="120"/>
          <w:divBdr>
            <w:top w:val="none" w:sz="0" w:space="0" w:color="auto"/>
            <w:left w:val="none" w:sz="0" w:space="0" w:color="auto"/>
            <w:bottom w:val="none" w:sz="0" w:space="0" w:color="auto"/>
            <w:right w:val="none" w:sz="0" w:space="0" w:color="auto"/>
          </w:divBdr>
        </w:div>
        <w:div w:id="888686131">
          <w:marLeft w:val="0"/>
          <w:marRight w:val="0"/>
          <w:marTop w:val="120"/>
          <w:marBottom w:val="120"/>
          <w:divBdr>
            <w:top w:val="none" w:sz="0" w:space="0" w:color="auto"/>
            <w:left w:val="none" w:sz="0" w:space="0" w:color="auto"/>
            <w:bottom w:val="none" w:sz="0" w:space="0" w:color="auto"/>
            <w:right w:val="none" w:sz="0" w:space="0" w:color="auto"/>
          </w:divBdr>
        </w:div>
        <w:div w:id="1078744174">
          <w:marLeft w:val="0"/>
          <w:marRight w:val="0"/>
          <w:marTop w:val="120"/>
          <w:marBottom w:val="120"/>
          <w:divBdr>
            <w:top w:val="none" w:sz="0" w:space="0" w:color="auto"/>
            <w:left w:val="none" w:sz="0" w:space="0" w:color="auto"/>
            <w:bottom w:val="none" w:sz="0" w:space="0" w:color="auto"/>
            <w:right w:val="none" w:sz="0" w:space="0" w:color="auto"/>
          </w:divBdr>
        </w:div>
        <w:div w:id="478158528">
          <w:marLeft w:val="0"/>
          <w:marRight w:val="0"/>
          <w:marTop w:val="120"/>
          <w:marBottom w:val="120"/>
          <w:divBdr>
            <w:top w:val="none" w:sz="0" w:space="0" w:color="auto"/>
            <w:left w:val="none" w:sz="0" w:space="0" w:color="auto"/>
            <w:bottom w:val="none" w:sz="0" w:space="0" w:color="auto"/>
            <w:right w:val="none" w:sz="0" w:space="0" w:color="auto"/>
          </w:divBdr>
        </w:div>
        <w:div w:id="724528317">
          <w:marLeft w:val="0"/>
          <w:marRight w:val="0"/>
          <w:marTop w:val="120"/>
          <w:marBottom w:val="120"/>
          <w:divBdr>
            <w:top w:val="none" w:sz="0" w:space="0" w:color="auto"/>
            <w:left w:val="none" w:sz="0" w:space="0" w:color="auto"/>
            <w:bottom w:val="none" w:sz="0" w:space="0" w:color="auto"/>
            <w:right w:val="none" w:sz="0" w:space="0" w:color="auto"/>
          </w:divBdr>
        </w:div>
        <w:div w:id="1016663052">
          <w:marLeft w:val="0"/>
          <w:marRight w:val="0"/>
          <w:marTop w:val="120"/>
          <w:marBottom w:val="120"/>
          <w:divBdr>
            <w:top w:val="none" w:sz="0" w:space="0" w:color="auto"/>
            <w:left w:val="none" w:sz="0" w:space="0" w:color="auto"/>
            <w:bottom w:val="none" w:sz="0" w:space="0" w:color="auto"/>
            <w:right w:val="none" w:sz="0" w:space="0" w:color="auto"/>
          </w:divBdr>
        </w:div>
        <w:div w:id="846097767">
          <w:marLeft w:val="0"/>
          <w:marRight w:val="0"/>
          <w:marTop w:val="120"/>
          <w:marBottom w:val="120"/>
          <w:divBdr>
            <w:top w:val="none" w:sz="0" w:space="0" w:color="auto"/>
            <w:left w:val="none" w:sz="0" w:space="0" w:color="auto"/>
            <w:bottom w:val="none" w:sz="0" w:space="0" w:color="auto"/>
            <w:right w:val="none" w:sz="0" w:space="0" w:color="auto"/>
          </w:divBdr>
        </w:div>
      </w:divsChild>
    </w:div>
    <w:div w:id="715469895">
      <w:bodyDiv w:val="1"/>
      <w:marLeft w:val="0"/>
      <w:marRight w:val="0"/>
      <w:marTop w:val="0"/>
      <w:marBottom w:val="0"/>
      <w:divBdr>
        <w:top w:val="none" w:sz="0" w:space="0" w:color="auto"/>
        <w:left w:val="none" w:sz="0" w:space="0" w:color="auto"/>
        <w:bottom w:val="none" w:sz="0" w:space="0" w:color="auto"/>
        <w:right w:val="none" w:sz="0" w:space="0" w:color="auto"/>
      </w:divBdr>
    </w:div>
    <w:div w:id="780801529">
      <w:bodyDiv w:val="1"/>
      <w:marLeft w:val="0"/>
      <w:marRight w:val="0"/>
      <w:marTop w:val="0"/>
      <w:marBottom w:val="0"/>
      <w:divBdr>
        <w:top w:val="none" w:sz="0" w:space="0" w:color="auto"/>
        <w:left w:val="none" w:sz="0" w:space="0" w:color="auto"/>
        <w:bottom w:val="none" w:sz="0" w:space="0" w:color="auto"/>
        <w:right w:val="none" w:sz="0" w:space="0" w:color="auto"/>
      </w:divBdr>
    </w:div>
    <w:div w:id="1562522035">
      <w:bodyDiv w:val="1"/>
      <w:marLeft w:val="0"/>
      <w:marRight w:val="0"/>
      <w:marTop w:val="0"/>
      <w:marBottom w:val="0"/>
      <w:divBdr>
        <w:top w:val="none" w:sz="0" w:space="0" w:color="auto"/>
        <w:left w:val="none" w:sz="0" w:space="0" w:color="auto"/>
        <w:bottom w:val="none" w:sz="0" w:space="0" w:color="auto"/>
        <w:right w:val="none" w:sz="0" w:space="0" w:color="auto"/>
      </w:divBdr>
    </w:div>
    <w:div w:id="1808618365">
      <w:bodyDiv w:val="1"/>
      <w:marLeft w:val="0"/>
      <w:marRight w:val="0"/>
      <w:marTop w:val="0"/>
      <w:marBottom w:val="0"/>
      <w:divBdr>
        <w:top w:val="none" w:sz="0" w:space="0" w:color="auto"/>
        <w:left w:val="none" w:sz="0" w:space="0" w:color="auto"/>
        <w:bottom w:val="none" w:sz="0" w:space="0" w:color="auto"/>
        <w:right w:val="none" w:sz="0" w:space="0" w:color="auto"/>
      </w:divBdr>
    </w:div>
    <w:div w:id="189939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esagri.gov.i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esagri.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7</Pages>
  <Words>2980</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242</cp:revision>
  <dcterms:created xsi:type="dcterms:W3CDTF">2026-01-12T19:22:00Z</dcterms:created>
  <dcterms:modified xsi:type="dcterms:W3CDTF">2026-02-05T09:42:00Z</dcterms:modified>
</cp:coreProperties>
</file>