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6D4F0" w14:textId="28DBDBD4" w:rsidR="00656BC8" w:rsidRPr="00656BC8" w:rsidRDefault="00656BC8" w:rsidP="00656BC8">
      <w:pPr>
        <w:pStyle w:val="NormalWeb"/>
        <w:rPr>
          <w:rFonts w:ascii="Arial" w:hAnsi="Arial" w:cs="Arial"/>
          <w:b/>
          <w:bCs/>
          <w:sz w:val="28"/>
          <w:szCs w:val="28"/>
          <w:u w:val="single"/>
        </w:rPr>
      </w:pPr>
      <w:r w:rsidRPr="00656BC8">
        <w:rPr>
          <w:rFonts w:ascii="Arial" w:hAnsi="Arial" w:cs="Arial"/>
          <w:b/>
          <w:bCs/>
          <w:sz w:val="28"/>
          <w:szCs w:val="28"/>
          <w:u w:val="single"/>
        </w:rPr>
        <w:t>Original Research Article</w:t>
      </w:r>
    </w:p>
    <w:p w14:paraId="09B77E80" w14:textId="77777777" w:rsidR="00656BC8" w:rsidRDefault="00656BC8" w:rsidP="009756B3">
      <w:pPr>
        <w:pStyle w:val="NormalWeb"/>
        <w:jc w:val="center"/>
        <w:rPr>
          <w:rFonts w:ascii="Arial" w:hAnsi="Arial" w:cs="Arial"/>
          <w:b/>
          <w:bCs/>
          <w:sz w:val="36"/>
          <w:szCs w:val="36"/>
        </w:rPr>
      </w:pPr>
    </w:p>
    <w:p w14:paraId="6D1327E5" w14:textId="0F13E7FD" w:rsidR="009756B3" w:rsidRPr="00A063B2" w:rsidRDefault="009756B3" w:rsidP="009756B3">
      <w:pPr>
        <w:pStyle w:val="NormalWeb"/>
        <w:jc w:val="center"/>
        <w:rPr>
          <w:rStyle w:val="Emphasis"/>
          <w:rFonts w:ascii="Arial" w:hAnsi="Arial" w:cs="Arial"/>
          <w:b/>
          <w:bCs/>
          <w:sz w:val="36"/>
          <w:szCs w:val="36"/>
        </w:rPr>
      </w:pPr>
      <w:r w:rsidRPr="00A063B2">
        <w:rPr>
          <w:rFonts w:ascii="Arial" w:hAnsi="Arial" w:cs="Arial"/>
          <w:b/>
          <w:bCs/>
          <w:sz w:val="36"/>
          <w:szCs w:val="36"/>
        </w:rPr>
        <w:t xml:space="preserve">Maize-Derived Endophytic </w:t>
      </w:r>
      <w:r w:rsidRPr="00A063B2">
        <w:rPr>
          <w:rStyle w:val="Emphasis"/>
          <w:rFonts w:ascii="Arial" w:hAnsi="Arial" w:cs="Arial"/>
          <w:b/>
          <w:bCs/>
          <w:sz w:val="36"/>
          <w:szCs w:val="36"/>
        </w:rPr>
        <w:t>Bacillus subtilis</w:t>
      </w:r>
      <w:r w:rsidRPr="00A063B2">
        <w:rPr>
          <w:rFonts w:ascii="Arial" w:hAnsi="Arial" w:cs="Arial"/>
          <w:b/>
          <w:bCs/>
          <w:sz w:val="36"/>
          <w:szCs w:val="36"/>
        </w:rPr>
        <w:t xml:space="preserve"> Induces Lethal and Sublethal Effects in the Fall Armyworm, </w:t>
      </w:r>
      <w:r w:rsidRPr="00A063B2">
        <w:rPr>
          <w:rStyle w:val="Emphasis"/>
          <w:rFonts w:ascii="Arial" w:hAnsi="Arial" w:cs="Arial"/>
          <w:b/>
          <w:bCs/>
          <w:sz w:val="36"/>
          <w:szCs w:val="36"/>
        </w:rPr>
        <w:t>Spodoptera frugiperda</w:t>
      </w:r>
    </w:p>
    <w:p w14:paraId="27F9FD99" w14:textId="77777777" w:rsidR="001E1383" w:rsidRDefault="001E1383" w:rsidP="00F136F1">
      <w:pPr>
        <w:pStyle w:val="NormalWeb"/>
        <w:jc w:val="both"/>
        <w:rPr>
          <w:rFonts w:ascii="Arial" w:hAnsi="Arial" w:cs="Arial"/>
          <w:b/>
          <w:bCs/>
          <w:sz w:val="22"/>
          <w:szCs w:val="22"/>
        </w:rPr>
      </w:pPr>
    </w:p>
    <w:p w14:paraId="540708E7" w14:textId="2B0CDFFF" w:rsidR="00F136F1" w:rsidRPr="00A063B2" w:rsidRDefault="00A063B2" w:rsidP="00F136F1">
      <w:pPr>
        <w:pStyle w:val="NormalWeb"/>
        <w:jc w:val="both"/>
        <w:rPr>
          <w:rFonts w:ascii="Arial" w:hAnsi="Arial" w:cs="Arial"/>
          <w:b/>
          <w:bCs/>
          <w:sz w:val="22"/>
          <w:szCs w:val="22"/>
        </w:rPr>
      </w:pPr>
      <w:r w:rsidRPr="00A063B2">
        <w:rPr>
          <w:rFonts w:ascii="Arial" w:hAnsi="Arial" w:cs="Arial"/>
          <w:b/>
          <w:bCs/>
          <w:sz w:val="22"/>
          <w:szCs w:val="22"/>
        </w:rPr>
        <w:t>ABSTRACT</w:t>
      </w:r>
    </w:p>
    <w:p w14:paraId="2CED69F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Aims</w:t>
      </w:r>
      <w:r w:rsidR="00B95B58">
        <w:rPr>
          <w:rFonts w:ascii="Arial" w:hAnsi="Arial" w:cs="Arial"/>
          <w:b/>
          <w:bCs/>
          <w:sz w:val="20"/>
          <w:szCs w:val="20"/>
        </w:rPr>
        <w:t xml:space="preserve">: </w:t>
      </w:r>
      <w:r w:rsidRPr="00B95B58">
        <w:rPr>
          <w:rFonts w:ascii="Arial" w:hAnsi="Arial" w:cs="Arial"/>
          <w:sz w:val="20"/>
          <w:szCs w:val="20"/>
        </w:rPr>
        <w:t xml:space="preserve">To assess the lethal and sublethal effects of maize-associated bacterial endophytes against </w:t>
      </w:r>
      <w:r w:rsidRPr="00B95B58">
        <w:rPr>
          <w:rFonts w:ascii="Arial" w:hAnsi="Arial" w:cs="Arial"/>
          <w:i/>
          <w:iCs/>
          <w:sz w:val="20"/>
          <w:szCs w:val="20"/>
        </w:rPr>
        <w:t>Spodoptera frugiperda</w:t>
      </w:r>
      <w:r w:rsidRPr="00B95B58">
        <w:rPr>
          <w:rFonts w:ascii="Arial" w:hAnsi="Arial" w:cs="Arial"/>
          <w:sz w:val="20"/>
          <w:szCs w:val="20"/>
        </w:rPr>
        <w:t xml:space="preserve"> under laboratory conditions and to identify the most effective isolate through molecular characterization for its potential in biological control.</w:t>
      </w:r>
    </w:p>
    <w:p w14:paraId="2B065590"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Study Design</w:t>
      </w:r>
      <w:r w:rsidR="00B95B58">
        <w:rPr>
          <w:rFonts w:ascii="Arial" w:hAnsi="Arial" w:cs="Arial"/>
          <w:b/>
          <w:bCs/>
          <w:sz w:val="20"/>
          <w:szCs w:val="20"/>
        </w:rPr>
        <w:t xml:space="preserve">: </w:t>
      </w:r>
      <w:r w:rsidRPr="00B95B58">
        <w:rPr>
          <w:rFonts w:ascii="Arial" w:hAnsi="Arial" w:cs="Arial"/>
          <w:sz w:val="20"/>
          <w:szCs w:val="20"/>
        </w:rPr>
        <w:t>Completely randomized laboratory experiment with eight endophytic isolates and an untreated control.</w:t>
      </w:r>
    </w:p>
    <w:p w14:paraId="2D0D375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Place and Duration of Study</w:t>
      </w:r>
      <w:r w:rsidR="00B95B58">
        <w:rPr>
          <w:rFonts w:ascii="Arial" w:hAnsi="Arial" w:cs="Arial"/>
          <w:b/>
          <w:bCs/>
          <w:sz w:val="20"/>
          <w:szCs w:val="20"/>
        </w:rPr>
        <w:t xml:space="preserve">: </w:t>
      </w:r>
      <w:r w:rsidRPr="00B95B58">
        <w:rPr>
          <w:rFonts w:ascii="Arial" w:hAnsi="Arial" w:cs="Arial"/>
          <w:sz w:val="20"/>
          <w:szCs w:val="20"/>
        </w:rPr>
        <w:t>MRC, ARI, Department of Plant Pathology, PJTAU during 2025.</w:t>
      </w:r>
    </w:p>
    <w:p w14:paraId="6F1045F6"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Methodology</w:t>
      </w:r>
      <w:r w:rsidR="00B95B58">
        <w:rPr>
          <w:rFonts w:ascii="Arial" w:hAnsi="Arial" w:cs="Arial"/>
          <w:b/>
          <w:bCs/>
          <w:sz w:val="20"/>
          <w:szCs w:val="20"/>
        </w:rPr>
        <w:t xml:space="preserve">: </w:t>
      </w:r>
      <w:r w:rsidRPr="00B95B58">
        <w:rPr>
          <w:rFonts w:ascii="Arial" w:hAnsi="Arial" w:cs="Arial"/>
          <w:sz w:val="20"/>
          <w:szCs w:val="20"/>
        </w:rPr>
        <w:t xml:space="preserve">Eight maize endophytic bacterial isolates (ESB-1 to ESB-8) were tested on second-instar larvae of </w:t>
      </w:r>
      <w:r w:rsidRPr="00B95B58">
        <w:rPr>
          <w:rFonts w:ascii="Arial" w:hAnsi="Arial" w:cs="Arial"/>
          <w:i/>
          <w:iCs/>
          <w:sz w:val="20"/>
          <w:szCs w:val="20"/>
        </w:rPr>
        <w:t>S. frugiperda</w:t>
      </w:r>
      <w:r w:rsidRPr="00B95B58">
        <w:rPr>
          <w:rFonts w:ascii="Arial" w:hAnsi="Arial" w:cs="Arial"/>
          <w:sz w:val="20"/>
          <w:szCs w:val="20"/>
        </w:rPr>
        <w:t xml:space="preserve"> using in vitro bioassays. Observations included larval mortality, relative growth rate, </w:t>
      </w:r>
      <w:r w:rsidR="004B692A" w:rsidRPr="00B95B58">
        <w:rPr>
          <w:rFonts w:ascii="Arial" w:hAnsi="Arial" w:cs="Arial"/>
          <w:sz w:val="20"/>
          <w:szCs w:val="20"/>
        </w:rPr>
        <w:t>efficiency of conversion of ingested food</w:t>
      </w:r>
      <w:r w:rsidRPr="00B95B58">
        <w:rPr>
          <w:rFonts w:ascii="Arial" w:hAnsi="Arial" w:cs="Arial"/>
          <w:sz w:val="20"/>
          <w:szCs w:val="20"/>
        </w:rPr>
        <w:t xml:space="preserve">, </w:t>
      </w:r>
      <w:r w:rsidR="004B692A" w:rsidRPr="00B95B58">
        <w:rPr>
          <w:rFonts w:ascii="Arial" w:hAnsi="Arial" w:cs="Arial"/>
          <w:sz w:val="20"/>
          <w:szCs w:val="20"/>
        </w:rPr>
        <w:t>feeding deterrence index</w:t>
      </w:r>
      <w:r w:rsidRPr="00B95B58">
        <w:rPr>
          <w:rFonts w:ascii="Arial" w:hAnsi="Arial" w:cs="Arial"/>
          <w:sz w:val="20"/>
          <w:szCs w:val="20"/>
        </w:rPr>
        <w:t>, pupation, adult emergence, and developmental duration. Data were subjected to one-way ANOVA and compared with control. The superior isolate was identified by 16S rRNA sequencing and BLAST analysis.</w:t>
      </w:r>
    </w:p>
    <w:p w14:paraId="5E58F44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Results</w:t>
      </w:r>
      <w:r w:rsidR="00B95B58">
        <w:rPr>
          <w:rFonts w:ascii="Arial" w:hAnsi="Arial" w:cs="Arial"/>
          <w:b/>
          <w:bCs/>
          <w:sz w:val="20"/>
          <w:szCs w:val="20"/>
        </w:rPr>
        <w:t xml:space="preserve">: </w:t>
      </w:r>
      <w:r w:rsidRPr="00B95B58">
        <w:rPr>
          <w:rFonts w:ascii="Arial" w:hAnsi="Arial" w:cs="Arial"/>
          <w:sz w:val="20"/>
          <w:szCs w:val="20"/>
        </w:rPr>
        <w:t xml:space="preserve">Treatments differed significantly for all parameters (p &lt; 0.05). Isolate ESB-8 caused maximum larval mortality (50.88 ± 0.57%) over control (5.00 ± 0.14%). It recorded the lowest growth rate (0.15 ± 0.005) and food conversion efficiency (8.58 ± 0.52) with highest feeding deterrence (42.96 ± 1.69%). ESB-8 markedly reduced pupation (52.93 ± 4.14%) and adult emergence (55.96 ± 6.61%) and extended larval (17.20 ± 1.47 days) and pupal periods (9.43 ± 0.69 days). Isolates ESB-1, ESB-2 and ESB-6 showed negligible effects. The effective isolate ESB-8 was identified as </w:t>
      </w:r>
      <w:r w:rsidRPr="00B95B58">
        <w:rPr>
          <w:rFonts w:ascii="Arial" w:hAnsi="Arial" w:cs="Arial"/>
          <w:i/>
          <w:iCs/>
          <w:sz w:val="20"/>
          <w:szCs w:val="20"/>
        </w:rPr>
        <w:t>Bacillus subtilis</w:t>
      </w:r>
      <w:r w:rsidRPr="00B95B58">
        <w:rPr>
          <w:rFonts w:ascii="Arial" w:hAnsi="Arial" w:cs="Arial"/>
          <w:sz w:val="20"/>
          <w:szCs w:val="20"/>
        </w:rPr>
        <w:t xml:space="preserve"> (GenBank: PV876730).</w:t>
      </w:r>
    </w:p>
    <w:p w14:paraId="159F9EF6"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Conclusion</w:t>
      </w:r>
      <w:r w:rsidR="00B95B58">
        <w:rPr>
          <w:rFonts w:ascii="Arial" w:hAnsi="Arial" w:cs="Arial"/>
          <w:b/>
          <w:bCs/>
          <w:sz w:val="20"/>
          <w:szCs w:val="20"/>
        </w:rPr>
        <w:t xml:space="preserve">: </w:t>
      </w:r>
      <w:r w:rsidRPr="00B95B58">
        <w:rPr>
          <w:rFonts w:ascii="Arial" w:hAnsi="Arial" w:cs="Arial"/>
          <w:sz w:val="20"/>
          <w:szCs w:val="20"/>
        </w:rPr>
        <w:t xml:space="preserve">The endophytic isolate </w:t>
      </w:r>
      <w:r w:rsidRPr="00B95B58">
        <w:rPr>
          <w:rFonts w:ascii="Arial" w:hAnsi="Arial" w:cs="Arial"/>
          <w:i/>
          <w:iCs/>
          <w:sz w:val="20"/>
          <w:szCs w:val="20"/>
        </w:rPr>
        <w:t>Bacillus subtilis</w:t>
      </w:r>
      <w:r w:rsidRPr="00B95B58">
        <w:rPr>
          <w:rFonts w:ascii="Arial" w:hAnsi="Arial" w:cs="Arial"/>
          <w:sz w:val="20"/>
          <w:szCs w:val="20"/>
        </w:rPr>
        <w:t xml:space="preserve"> (ESB-8) demonstrated pronounced toxic and growth-disrupting effects on </w:t>
      </w:r>
      <w:r w:rsidRPr="00B95B58">
        <w:rPr>
          <w:rFonts w:ascii="Arial" w:hAnsi="Arial" w:cs="Arial"/>
          <w:i/>
          <w:iCs/>
          <w:sz w:val="20"/>
          <w:szCs w:val="20"/>
        </w:rPr>
        <w:t>S. frugiperda</w:t>
      </w:r>
      <w:r w:rsidRPr="00B95B58">
        <w:rPr>
          <w:rFonts w:ascii="Arial" w:hAnsi="Arial" w:cs="Arial"/>
          <w:sz w:val="20"/>
          <w:szCs w:val="20"/>
        </w:rPr>
        <w:t xml:space="preserve"> and represents a viable </w:t>
      </w:r>
      <w:r w:rsidR="00CB5ACB" w:rsidRPr="00B95B58">
        <w:rPr>
          <w:rFonts w:ascii="Arial" w:hAnsi="Arial" w:cs="Arial"/>
          <w:sz w:val="20"/>
          <w:szCs w:val="20"/>
        </w:rPr>
        <w:t xml:space="preserve">biopesticide </w:t>
      </w:r>
      <w:r w:rsidRPr="00B95B58">
        <w:rPr>
          <w:rFonts w:ascii="Arial" w:hAnsi="Arial" w:cs="Arial"/>
          <w:sz w:val="20"/>
          <w:szCs w:val="20"/>
        </w:rPr>
        <w:t>for development of eco-</w:t>
      </w:r>
      <w:r w:rsidR="00CB5ACB" w:rsidRPr="00B95B58">
        <w:rPr>
          <w:rFonts w:ascii="Arial" w:hAnsi="Arial" w:cs="Arial"/>
          <w:sz w:val="20"/>
          <w:szCs w:val="20"/>
        </w:rPr>
        <w:t xml:space="preserve">friendly pest management </w:t>
      </w:r>
      <w:r w:rsidRPr="00B95B58">
        <w:rPr>
          <w:rFonts w:ascii="Arial" w:hAnsi="Arial" w:cs="Arial"/>
          <w:sz w:val="20"/>
          <w:szCs w:val="20"/>
        </w:rPr>
        <w:t>strategies in maize.</w:t>
      </w:r>
    </w:p>
    <w:p w14:paraId="27A1F712" w14:textId="77777777" w:rsidR="00DE20C5" w:rsidRPr="00A163D7" w:rsidRDefault="00DE20C5" w:rsidP="00F136F1">
      <w:pPr>
        <w:pStyle w:val="NormalWeb"/>
        <w:jc w:val="both"/>
        <w:rPr>
          <w:rFonts w:ascii="Arial" w:hAnsi="Arial" w:cs="Arial"/>
          <w:i/>
          <w:iCs/>
          <w:sz w:val="20"/>
          <w:szCs w:val="20"/>
        </w:rPr>
      </w:pPr>
      <w:r w:rsidRPr="00A163D7">
        <w:rPr>
          <w:rStyle w:val="Strong"/>
          <w:rFonts w:ascii="Arial" w:hAnsi="Arial" w:cs="Arial"/>
          <w:i/>
          <w:iCs/>
          <w:sz w:val="20"/>
          <w:szCs w:val="20"/>
        </w:rPr>
        <w:t>Keywords:</w:t>
      </w:r>
      <w:r w:rsidRPr="00A163D7">
        <w:rPr>
          <w:rFonts w:ascii="Arial" w:hAnsi="Arial" w:cs="Arial"/>
          <w:i/>
          <w:iCs/>
          <w:sz w:val="20"/>
          <w:szCs w:val="20"/>
        </w:rPr>
        <w:br/>
      </w:r>
      <w:r w:rsidRPr="00060798">
        <w:rPr>
          <w:rStyle w:val="Emphasis"/>
          <w:rFonts w:ascii="Arial" w:hAnsi="Arial" w:cs="Arial"/>
          <w:sz w:val="20"/>
          <w:szCs w:val="20"/>
        </w:rPr>
        <w:t>Spodoptera frugiperda</w:t>
      </w:r>
      <w:r w:rsidRPr="00A163D7">
        <w:rPr>
          <w:rFonts w:ascii="Arial" w:hAnsi="Arial" w:cs="Arial"/>
          <w:i/>
          <w:iCs/>
          <w:sz w:val="20"/>
          <w:szCs w:val="20"/>
        </w:rPr>
        <w:t xml:space="preserve">, maize endophytes, </w:t>
      </w:r>
      <w:r w:rsidRPr="00060798">
        <w:rPr>
          <w:rStyle w:val="Emphasis"/>
          <w:rFonts w:ascii="Arial" w:hAnsi="Arial" w:cs="Arial"/>
          <w:sz w:val="20"/>
          <w:szCs w:val="20"/>
        </w:rPr>
        <w:t>Bacillus subtilis</w:t>
      </w:r>
      <w:r w:rsidRPr="00A163D7">
        <w:rPr>
          <w:rFonts w:ascii="Arial" w:hAnsi="Arial" w:cs="Arial"/>
          <w:i/>
          <w:iCs/>
          <w:sz w:val="20"/>
          <w:szCs w:val="20"/>
        </w:rPr>
        <w:t xml:space="preserve">, biological control, </w:t>
      </w:r>
      <w:r w:rsidR="004B692A" w:rsidRPr="00A163D7">
        <w:rPr>
          <w:rFonts w:ascii="Arial" w:hAnsi="Arial" w:cs="Arial"/>
          <w:i/>
          <w:iCs/>
          <w:sz w:val="20"/>
          <w:szCs w:val="20"/>
        </w:rPr>
        <w:t>feeding deterrence index</w:t>
      </w:r>
      <w:r w:rsidRPr="00A163D7">
        <w:rPr>
          <w:rFonts w:ascii="Arial" w:hAnsi="Arial" w:cs="Arial"/>
          <w:i/>
          <w:iCs/>
          <w:sz w:val="20"/>
          <w:szCs w:val="20"/>
        </w:rPr>
        <w:t xml:space="preserve">, </w:t>
      </w:r>
      <w:r w:rsidR="004B692A" w:rsidRPr="00A163D7">
        <w:rPr>
          <w:rFonts w:ascii="Arial" w:hAnsi="Arial" w:cs="Arial"/>
          <w:i/>
          <w:iCs/>
          <w:sz w:val="20"/>
          <w:szCs w:val="20"/>
        </w:rPr>
        <w:t>developmental duration</w:t>
      </w:r>
    </w:p>
    <w:p w14:paraId="0B902DC2" w14:textId="77777777" w:rsidR="00FD28BC" w:rsidRDefault="00FD28BC" w:rsidP="00E72EE3">
      <w:pPr>
        <w:pStyle w:val="NormalWeb"/>
        <w:jc w:val="both"/>
        <w:rPr>
          <w:rFonts w:ascii="Arial" w:hAnsi="Arial" w:cs="Arial"/>
          <w:b/>
          <w:bCs/>
          <w:sz w:val="22"/>
          <w:szCs w:val="22"/>
        </w:rPr>
        <w:sectPr w:rsidR="00FD28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5381224" w14:textId="77777777" w:rsidR="00747FC9" w:rsidRPr="00FD28BC" w:rsidRDefault="00FD28BC" w:rsidP="00611D50">
      <w:pPr>
        <w:pStyle w:val="NormalWeb"/>
        <w:numPr>
          <w:ilvl w:val="0"/>
          <w:numId w:val="10"/>
        </w:numPr>
        <w:jc w:val="both"/>
        <w:rPr>
          <w:rFonts w:ascii="Arial" w:hAnsi="Arial" w:cs="Arial"/>
          <w:b/>
          <w:bCs/>
          <w:sz w:val="22"/>
          <w:szCs w:val="22"/>
        </w:rPr>
      </w:pPr>
      <w:r w:rsidRPr="00FD28BC">
        <w:rPr>
          <w:rFonts w:ascii="Arial" w:hAnsi="Arial" w:cs="Arial"/>
          <w:b/>
          <w:bCs/>
          <w:sz w:val="22"/>
          <w:szCs w:val="22"/>
        </w:rPr>
        <w:lastRenderedPageBreak/>
        <w:t>INTRODUCTION</w:t>
      </w:r>
    </w:p>
    <w:p w14:paraId="431CBE6D"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Maize (</w:t>
      </w:r>
      <w:r w:rsidRPr="00FD28BC">
        <w:rPr>
          <w:rStyle w:val="Emphasis"/>
          <w:rFonts w:ascii="Arial" w:hAnsi="Arial" w:cs="Arial"/>
          <w:sz w:val="20"/>
          <w:szCs w:val="20"/>
        </w:rPr>
        <w:t>Zea mays</w:t>
      </w:r>
      <w:r w:rsidRPr="00FD28BC">
        <w:rPr>
          <w:rFonts w:ascii="Arial" w:hAnsi="Arial" w:cs="Arial"/>
          <w:sz w:val="20"/>
          <w:szCs w:val="20"/>
        </w:rPr>
        <w:t xml:space="preserve"> L.) is one of the most versatile cereal crops, valued globally for its wide adaptability, high genetic yield potential, and multifaceted uses as food, feed, and industrial raw material. In India, maize ranks as the third most important cereal crop after rice and wheat, contributing approximately 10% to the total food grain production (APEDA, 2019). Beyond its role in food and fodder security, maize serves as a key input for starch, oil, ethanol, and biofuel industries, underscoring its economic and strategic importance in both developing and developed agricultural systems (Swati </w:t>
      </w:r>
      <w:r w:rsidRPr="00400CF5">
        <w:rPr>
          <w:rFonts w:ascii="Arial" w:hAnsi="Arial" w:cs="Arial"/>
          <w:i/>
          <w:iCs/>
          <w:sz w:val="20"/>
          <w:szCs w:val="20"/>
        </w:rPr>
        <w:t>et al</w:t>
      </w:r>
      <w:r w:rsidRPr="00FD28BC">
        <w:rPr>
          <w:rFonts w:ascii="Arial" w:hAnsi="Arial" w:cs="Arial"/>
          <w:sz w:val="20"/>
          <w:szCs w:val="20"/>
        </w:rPr>
        <w:t xml:space="preserve">., 2024; Togola et </w:t>
      </w:r>
      <w:r w:rsidRPr="00400CF5">
        <w:rPr>
          <w:rFonts w:ascii="Arial" w:hAnsi="Arial" w:cs="Arial"/>
          <w:i/>
          <w:iCs/>
          <w:sz w:val="20"/>
          <w:szCs w:val="20"/>
        </w:rPr>
        <w:t>al</w:t>
      </w:r>
      <w:r w:rsidRPr="00FD28BC">
        <w:rPr>
          <w:rFonts w:ascii="Arial" w:hAnsi="Arial" w:cs="Arial"/>
          <w:sz w:val="20"/>
          <w:szCs w:val="20"/>
        </w:rPr>
        <w:t>., 2025).</w:t>
      </w:r>
      <w:r w:rsidR="00FD28BC">
        <w:rPr>
          <w:rFonts w:ascii="Arial" w:hAnsi="Arial" w:cs="Arial"/>
          <w:sz w:val="20"/>
          <w:szCs w:val="20"/>
        </w:rPr>
        <w:t xml:space="preserve"> </w:t>
      </w:r>
      <w:r w:rsidRPr="00FD28BC">
        <w:rPr>
          <w:rFonts w:ascii="Arial" w:hAnsi="Arial" w:cs="Arial"/>
          <w:sz w:val="20"/>
          <w:szCs w:val="20"/>
        </w:rPr>
        <w:t>Despite its importance, maize productivity is increasingly constrained by biotic stresses, among which insect pests represent a major challenge. The fall armyworm (</w:t>
      </w:r>
      <w:r w:rsidRPr="00FD28BC">
        <w:rPr>
          <w:rStyle w:val="Emphasis"/>
          <w:rFonts w:ascii="Arial" w:hAnsi="Arial" w:cs="Arial"/>
          <w:sz w:val="20"/>
          <w:szCs w:val="20"/>
        </w:rPr>
        <w:t>Spodoptera frugiperda</w:t>
      </w:r>
      <w:r w:rsidRPr="00FD28BC">
        <w:rPr>
          <w:rFonts w:ascii="Arial" w:hAnsi="Arial" w:cs="Arial"/>
          <w:sz w:val="20"/>
          <w:szCs w:val="20"/>
        </w:rPr>
        <w:t xml:space="preserve"> J.E. Smith; Lepidoptera: </w:t>
      </w:r>
      <w:proofErr w:type="spellStart"/>
      <w:r w:rsidRPr="00FD28BC">
        <w:rPr>
          <w:rFonts w:ascii="Arial" w:hAnsi="Arial" w:cs="Arial"/>
          <w:sz w:val="20"/>
          <w:szCs w:val="20"/>
        </w:rPr>
        <w:t>Noctuidae</w:t>
      </w:r>
      <w:proofErr w:type="spellEnd"/>
      <w:r w:rsidRPr="00FD28BC">
        <w:rPr>
          <w:rFonts w:ascii="Arial" w:hAnsi="Arial" w:cs="Arial"/>
          <w:sz w:val="20"/>
          <w:szCs w:val="20"/>
        </w:rPr>
        <w:t xml:space="preserve">) has emerged as one of the most destructive invasive pests threatening maize cultivation worldwide. This polyphagous insect attacks more than 80 plant species, including maize, cotton, rice, sorghum, soybean, tomato, potato, onion, beans, and cabbage, causing severe economic losses across diverse agroecosystems (Day et al., 2017). In maize, FAW infestation can lead to yield losses of up to 70%, particularly when plants are attacked during early growth stages (Hruska, 2019). The pest damages all crop stages, from seedling emergence to ear development, by feeding on leaves, whorls, tassels, and cobs, resulting in substantial reductions in photosynthetic capacity and grain yield (Sisay </w:t>
      </w:r>
      <w:r w:rsidRPr="00400CF5">
        <w:rPr>
          <w:rFonts w:ascii="Arial" w:hAnsi="Arial" w:cs="Arial"/>
          <w:i/>
          <w:iCs/>
          <w:sz w:val="20"/>
          <w:szCs w:val="20"/>
        </w:rPr>
        <w:t>et al</w:t>
      </w:r>
      <w:r w:rsidRPr="00FD28BC">
        <w:rPr>
          <w:rFonts w:ascii="Arial" w:hAnsi="Arial" w:cs="Arial"/>
          <w:sz w:val="20"/>
          <w:szCs w:val="20"/>
        </w:rPr>
        <w:t>., 2019).</w:t>
      </w:r>
    </w:p>
    <w:p w14:paraId="40C24326"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Originally native to the Americas, </w:t>
      </w:r>
      <w:r w:rsidRPr="00FD28BC">
        <w:rPr>
          <w:rStyle w:val="Emphasis"/>
          <w:rFonts w:ascii="Arial" w:hAnsi="Arial" w:cs="Arial"/>
          <w:sz w:val="20"/>
          <w:szCs w:val="20"/>
        </w:rPr>
        <w:t>S. frugiperda</w:t>
      </w:r>
      <w:r w:rsidRPr="00FD28BC">
        <w:rPr>
          <w:rFonts w:ascii="Arial" w:hAnsi="Arial" w:cs="Arial"/>
          <w:sz w:val="20"/>
          <w:szCs w:val="20"/>
        </w:rPr>
        <w:t xml:space="preserve"> was first reported in Africa in 2016 and subsequently spread rapidly across sub-Saharan Africa, Asia, and the Indian subcontinent. In India, FAW was first detected in 2018 and has since spread to all major maize-growing regions, drastically altering the pest scenario and posing a serious threat to national maize productivity (Prasanna </w:t>
      </w:r>
      <w:r w:rsidRPr="00400CF5">
        <w:rPr>
          <w:rFonts w:ascii="Arial" w:hAnsi="Arial" w:cs="Arial"/>
          <w:i/>
          <w:iCs/>
          <w:sz w:val="20"/>
          <w:szCs w:val="20"/>
        </w:rPr>
        <w:t>et al</w:t>
      </w:r>
      <w:r w:rsidRPr="00FD28BC">
        <w:rPr>
          <w:rFonts w:ascii="Arial" w:hAnsi="Arial" w:cs="Arial"/>
          <w:sz w:val="20"/>
          <w:szCs w:val="20"/>
        </w:rPr>
        <w:t xml:space="preserve">., 2018; Suby </w:t>
      </w:r>
      <w:r w:rsidRPr="00400CF5">
        <w:rPr>
          <w:rFonts w:ascii="Arial" w:hAnsi="Arial" w:cs="Arial"/>
          <w:i/>
          <w:iCs/>
          <w:sz w:val="20"/>
          <w:szCs w:val="20"/>
        </w:rPr>
        <w:t>et al</w:t>
      </w:r>
      <w:r w:rsidRPr="00FD28BC">
        <w:rPr>
          <w:rFonts w:ascii="Arial" w:hAnsi="Arial" w:cs="Arial"/>
          <w:sz w:val="20"/>
          <w:szCs w:val="20"/>
        </w:rPr>
        <w:t xml:space="preserve">., 2020). Unmanaged infestations typically result </w:t>
      </w:r>
      <w:r w:rsidR="003048E0" w:rsidRPr="00FD28BC">
        <w:rPr>
          <w:rFonts w:ascii="Arial" w:hAnsi="Arial" w:cs="Arial"/>
          <w:sz w:val="20"/>
          <w:szCs w:val="20"/>
        </w:rPr>
        <w:t>in yield losses ranging from 20-</w:t>
      </w:r>
      <w:r w:rsidRPr="00FD28BC">
        <w:rPr>
          <w:rFonts w:ascii="Arial" w:hAnsi="Arial" w:cs="Arial"/>
          <w:sz w:val="20"/>
          <w:szCs w:val="20"/>
        </w:rPr>
        <w:t xml:space="preserve">50%, with higher losses reported under favorable climatic conditions (Anjorin </w:t>
      </w:r>
      <w:r w:rsidRPr="00400CF5">
        <w:rPr>
          <w:rFonts w:ascii="Arial" w:hAnsi="Arial" w:cs="Arial"/>
          <w:i/>
          <w:iCs/>
          <w:sz w:val="20"/>
          <w:szCs w:val="20"/>
        </w:rPr>
        <w:t>et al</w:t>
      </w:r>
      <w:r w:rsidRPr="00FD28BC">
        <w:rPr>
          <w:rFonts w:ascii="Arial" w:hAnsi="Arial" w:cs="Arial"/>
          <w:sz w:val="20"/>
          <w:szCs w:val="20"/>
        </w:rPr>
        <w:t xml:space="preserve">., 2021; </w:t>
      </w:r>
      <w:proofErr w:type="spellStart"/>
      <w:r w:rsidRPr="00FD28BC">
        <w:rPr>
          <w:rFonts w:ascii="Arial" w:hAnsi="Arial" w:cs="Arial"/>
          <w:sz w:val="20"/>
          <w:szCs w:val="20"/>
        </w:rPr>
        <w:t>Matova</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xml:space="preserve">., 2020). The pest’s cryptic feeding </w:t>
      </w:r>
      <w:r w:rsidR="00B626EF" w:rsidRPr="00FD28BC">
        <w:rPr>
          <w:rFonts w:ascii="Arial" w:hAnsi="Arial" w:cs="Arial"/>
          <w:sz w:val="20"/>
          <w:szCs w:val="20"/>
        </w:rPr>
        <w:t>behaviour</w:t>
      </w:r>
      <w:r w:rsidR="005577C8" w:rsidRPr="00FD28BC">
        <w:rPr>
          <w:rFonts w:ascii="Arial" w:hAnsi="Arial" w:cs="Arial"/>
          <w:sz w:val="20"/>
          <w:szCs w:val="20"/>
        </w:rPr>
        <w:t xml:space="preserve"> and its habit of pupating 3-</w:t>
      </w:r>
      <w:r w:rsidRPr="00FD28BC">
        <w:rPr>
          <w:rFonts w:ascii="Arial" w:hAnsi="Arial" w:cs="Arial"/>
          <w:sz w:val="20"/>
          <w:szCs w:val="20"/>
        </w:rPr>
        <w:t xml:space="preserve">5 cm below the soil surface further complicate management by allowing larvae to escape contact insecticides (De Groote </w:t>
      </w:r>
      <w:r w:rsidRPr="00400CF5">
        <w:rPr>
          <w:rFonts w:ascii="Arial" w:hAnsi="Arial" w:cs="Arial"/>
          <w:i/>
          <w:iCs/>
          <w:sz w:val="20"/>
          <w:szCs w:val="20"/>
        </w:rPr>
        <w:t>et al</w:t>
      </w:r>
      <w:r w:rsidRPr="00FD28BC">
        <w:rPr>
          <w:rFonts w:ascii="Arial" w:hAnsi="Arial" w:cs="Arial"/>
          <w:sz w:val="20"/>
          <w:szCs w:val="20"/>
        </w:rPr>
        <w:t xml:space="preserve">., 2020; </w:t>
      </w:r>
      <w:proofErr w:type="spellStart"/>
      <w:r w:rsidRPr="00FD28BC">
        <w:rPr>
          <w:rFonts w:ascii="Arial" w:hAnsi="Arial" w:cs="Arial"/>
          <w:sz w:val="20"/>
          <w:szCs w:val="20"/>
        </w:rPr>
        <w:t>Thirawut</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2023).</w:t>
      </w:r>
      <w:r w:rsidR="00FD28BC">
        <w:rPr>
          <w:rFonts w:ascii="Arial" w:hAnsi="Arial" w:cs="Arial"/>
          <w:sz w:val="20"/>
          <w:szCs w:val="20"/>
        </w:rPr>
        <w:t xml:space="preserve"> </w:t>
      </w:r>
      <w:r w:rsidRPr="00FD28BC">
        <w:rPr>
          <w:rFonts w:ascii="Arial" w:hAnsi="Arial" w:cs="Arial"/>
          <w:sz w:val="20"/>
          <w:szCs w:val="20"/>
        </w:rPr>
        <w:t xml:space="preserve">Climate change has further intensified the FAW problem by expanding its geographical range, increasing reproductive potential, and prolonging survival under warmer temperatures and erratic rainfall patterns (Yan </w:t>
      </w:r>
      <w:r w:rsidRPr="00400CF5">
        <w:rPr>
          <w:rFonts w:ascii="Arial" w:hAnsi="Arial" w:cs="Arial"/>
          <w:i/>
          <w:iCs/>
          <w:sz w:val="20"/>
          <w:szCs w:val="20"/>
        </w:rPr>
        <w:t>et al</w:t>
      </w:r>
      <w:r w:rsidRPr="00FD28BC">
        <w:rPr>
          <w:rFonts w:ascii="Arial" w:hAnsi="Arial" w:cs="Arial"/>
          <w:sz w:val="20"/>
          <w:szCs w:val="20"/>
        </w:rPr>
        <w:t xml:space="preserve">., 2022; </w:t>
      </w:r>
      <w:proofErr w:type="spellStart"/>
      <w:r w:rsidRPr="00FD28BC">
        <w:rPr>
          <w:rFonts w:ascii="Arial" w:hAnsi="Arial" w:cs="Arial"/>
          <w:sz w:val="20"/>
          <w:szCs w:val="20"/>
        </w:rPr>
        <w:t>Zanzana</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xml:space="preserve">., 2024; Mir </w:t>
      </w:r>
      <w:r w:rsidRPr="00400CF5">
        <w:rPr>
          <w:rFonts w:ascii="Arial" w:hAnsi="Arial" w:cs="Arial"/>
          <w:i/>
          <w:iCs/>
          <w:sz w:val="20"/>
          <w:szCs w:val="20"/>
        </w:rPr>
        <w:t>et al</w:t>
      </w:r>
      <w:r w:rsidRPr="00FD28BC">
        <w:rPr>
          <w:rFonts w:ascii="Arial" w:hAnsi="Arial" w:cs="Arial"/>
          <w:sz w:val="20"/>
          <w:szCs w:val="20"/>
        </w:rPr>
        <w:t>., 2024). These factors collectively exacerbate pest pressure in tropical and subtropical regions, including major maize belts in India.</w:t>
      </w:r>
    </w:p>
    <w:p w14:paraId="7796E3B1"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Current management of FAW relies predominantly on chemical insecticides, including anthranilic diamides, </w:t>
      </w:r>
      <w:proofErr w:type="spellStart"/>
      <w:r w:rsidRPr="00FD28BC">
        <w:rPr>
          <w:rFonts w:ascii="Arial" w:hAnsi="Arial" w:cs="Arial"/>
          <w:sz w:val="20"/>
          <w:szCs w:val="20"/>
        </w:rPr>
        <w:t>avermectins</w:t>
      </w:r>
      <w:proofErr w:type="spellEnd"/>
      <w:r w:rsidRPr="00FD28BC">
        <w:rPr>
          <w:rFonts w:ascii="Arial" w:hAnsi="Arial" w:cs="Arial"/>
          <w:sz w:val="20"/>
          <w:szCs w:val="20"/>
        </w:rPr>
        <w:t xml:space="preserve">, and spinosyns, which have been registered in India for emergency use based on their novel modes of action. However, their effectiveness against mature larvae is often limited due to the concealed feeding habit of FAW within maize whorls. Moreover, indiscriminate and repeated use of insecticides has resulted in </w:t>
      </w:r>
      <w:r w:rsidRPr="00A16F39">
        <w:rPr>
          <w:rFonts w:ascii="Arial" w:hAnsi="Arial" w:cs="Arial"/>
          <w:sz w:val="20"/>
          <w:szCs w:val="20"/>
        </w:rPr>
        <w:t xml:space="preserve">resistance development, environmental contamination, and adverse effects on non-target organisms, including natural enemies and pollinators </w:t>
      </w:r>
      <w:r w:rsidRPr="00FD28BC">
        <w:rPr>
          <w:rFonts w:ascii="Arial" w:hAnsi="Arial" w:cs="Arial"/>
          <w:sz w:val="20"/>
          <w:szCs w:val="20"/>
        </w:rPr>
        <w:t xml:space="preserve">(Koskey </w:t>
      </w:r>
      <w:r w:rsidRPr="00400CF5">
        <w:rPr>
          <w:rFonts w:ascii="Arial" w:hAnsi="Arial" w:cs="Arial"/>
          <w:i/>
          <w:iCs/>
          <w:sz w:val="20"/>
          <w:szCs w:val="20"/>
        </w:rPr>
        <w:t>et al</w:t>
      </w:r>
      <w:r w:rsidRPr="00FD28BC">
        <w:rPr>
          <w:rFonts w:ascii="Arial" w:hAnsi="Arial" w:cs="Arial"/>
          <w:sz w:val="20"/>
          <w:szCs w:val="20"/>
        </w:rPr>
        <w:t>., 2021;</w:t>
      </w:r>
      <w:r w:rsidR="00DC17E0">
        <w:rPr>
          <w:rFonts w:ascii="Arial" w:hAnsi="Arial" w:cs="Arial"/>
          <w:sz w:val="20"/>
          <w:szCs w:val="20"/>
        </w:rPr>
        <w:t xml:space="preserve"> </w:t>
      </w:r>
      <w:proofErr w:type="spellStart"/>
      <w:r w:rsidR="00DC17E0" w:rsidRPr="00DC17E0">
        <w:rPr>
          <w:rFonts w:ascii="Arial" w:hAnsi="Arial" w:cs="Arial"/>
          <w:sz w:val="20"/>
          <w:szCs w:val="20"/>
        </w:rPr>
        <w:t>Chandrakumara</w:t>
      </w:r>
      <w:proofErr w:type="spellEnd"/>
      <w:r w:rsidR="00DC17E0">
        <w:rPr>
          <w:rFonts w:ascii="Arial" w:hAnsi="Arial" w:cs="Arial"/>
          <w:sz w:val="20"/>
          <w:szCs w:val="20"/>
        </w:rPr>
        <w:t xml:space="preserve"> </w:t>
      </w:r>
      <w:r w:rsidR="00DC17E0" w:rsidRPr="00400CF5">
        <w:rPr>
          <w:rFonts w:ascii="Arial" w:hAnsi="Arial" w:cs="Arial"/>
          <w:i/>
          <w:iCs/>
          <w:sz w:val="20"/>
          <w:szCs w:val="20"/>
        </w:rPr>
        <w:t>et al</w:t>
      </w:r>
      <w:r w:rsidR="00DC17E0">
        <w:rPr>
          <w:rFonts w:ascii="Arial" w:hAnsi="Arial" w:cs="Arial"/>
          <w:sz w:val="20"/>
          <w:szCs w:val="20"/>
        </w:rPr>
        <w:t>., 2022;</w:t>
      </w:r>
      <w:r w:rsidR="00F210CE">
        <w:rPr>
          <w:rFonts w:ascii="Arial" w:hAnsi="Arial" w:cs="Arial"/>
          <w:sz w:val="20"/>
          <w:szCs w:val="20"/>
        </w:rPr>
        <w:t xml:space="preserve"> </w:t>
      </w:r>
      <w:r w:rsidR="00F210CE">
        <w:rPr>
          <w:rFonts w:ascii="Arial" w:hAnsi="Arial" w:cs="Arial"/>
          <w:color w:val="222222"/>
          <w:sz w:val="20"/>
          <w:szCs w:val="20"/>
          <w:shd w:val="clear" w:color="auto" w:fill="FFFFFF"/>
        </w:rPr>
        <w:t xml:space="preserve">Srinivas </w:t>
      </w:r>
      <w:r w:rsidR="00F210CE" w:rsidRPr="00400CF5">
        <w:rPr>
          <w:rFonts w:ascii="Arial" w:hAnsi="Arial" w:cs="Arial"/>
          <w:i/>
          <w:iCs/>
          <w:color w:val="222222"/>
          <w:sz w:val="20"/>
          <w:szCs w:val="20"/>
          <w:shd w:val="clear" w:color="auto" w:fill="FFFFFF"/>
        </w:rPr>
        <w:t>et al</w:t>
      </w:r>
      <w:r w:rsidR="00F210CE">
        <w:rPr>
          <w:rFonts w:ascii="Arial" w:hAnsi="Arial" w:cs="Arial"/>
          <w:color w:val="222222"/>
          <w:sz w:val="20"/>
          <w:szCs w:val="20"/>
          <w:shd w:val="clear" w:color="auto" w:fill="FFFFFF"/>
        </w:rPr>
        <w:t>., 2022;</w:t>
      </w:r>
      <w:r w:rsidRPr="00FD28BC">
        <w:rPr>
          <w:rFonts w:ascii="Arial" w:hAnsi="Arial" w:cs="Arial"/>
          <w:sz w:val="20"/>
          <w:szCs w:val="20"/>
        </w:rPr>
        <w:t xml:space="preserve"> Yao </w:t>
      </w:r>
      <w:r w:rsidRPr="00400CF5">
        <w:rPr>
          <w:rFonts w:ascii="Arial" w:hAnsi="Arial" w:cs="Arial"/>
          <w:i/>
          <w:iCs/>
          <w:sz w:val="20"/>
          <w:szCs w:val="20"/>
        </w:rPr>
        <w:t>et al</w:t>
      </w:r>
      <w:r w:rsidRPr="00FD28BC">
        <w:rPr>
          <w:rFonts w:ascii="Arial" w:hAnsi="Arial" w:cs="Arial"/>
          <w:sz w:val="20"/>
          <w:szCs w:val="20"/>
        </w:rPr>
        <w:t xml:space="preserve">., 2023; Sangaraju </w:t>
      </w:r>
      <w:r w:rsidRPr="00400CF5">
        <w:rPr>
          <w:rFonts w:ascii="Arial" w:hAnsi="Arial" w:cs="Arial"/>
          <w:i/>
          <w:iCs/>
          <w:sz w:val="20"/>
          <w:szCs w:val="20"/>
        </w:rPr>
        <w:t>et al</w:t>
      </w:r>
      <w:r w:rsidRPr="00FD28BC">
        <w:rPr>
          <w:rFonts w:ascii="Arial" w:hAnsi="Arial" w:cs="Arial"/>
          <w:sz w:val="20"/>
          <w:szCs w:val="20"/>
        </w:rPr>
        <w:t xml:space="preserve">., 2024; Pereira </w:t>
      </w:r>
      <w:r w:rsidRPr="00400CF5">
        <w:rPr>
          <w:rFonts w:ascii="Arial" w:hAnsi="Arial" w:cs="Arial"/>
          <w:i/>
          <w:iCs/>
          <w:sz w:val="20"/>
          <w:szCs w:val="20"/>
        </w:rPr>
        <w:t>et al</w:t>
      </w:r>
      <w:r w:rsidRPr="00FD28BC">
        <w:rPr>
          <w:rFonts w:ascii="Arial" w:hAnsi="Arial" w:cs="Arial"/>
          <w:sz w:val="20"/>
          <w:szCs w:val="20"/>
        </w:rPr>
        <w:t xml:space="preserve">., 2024; Verma </w:t>
      </w:r>
      <w:r w:rsidRPr="00400CF5">
        <w:rPr>
          <w:rFonts w:ascii="Arial" w:hAnsi="Arial" w:cs="Arial"/>
          <w:i/>
          <w:iCs/>
          <w:sz w:val="20"/>
          <w:szCs w:val="20"/>
        </w:rPr>
        <w:t>et a</w:t>
      </w:r>
      <w:r w:rsidRPr="00FD28BC">
        <w:rPr>
          <w:rFonts w:ascii="Arial" w:hAnsi="Arial" w:cs="Arial"/>
          <w:sz w:val="20"/>
          <w:szCs w:val="20"/>
        </w:rPr>
        <w:t xml:space="preserve">l., 2024; Tyagi </w:t>
      </w:r>
      <w:r w:rsidRPr="00400CF5">
        <w:rPr>
          <w:rFonts w:ascii="Arial" w:hAnsi="Arial" w:cs="Arial"/>
          <w:i/>
          <w:iCs/>
          <w:sz w:val="20"/>
          <w:szCs w:val="20"/>
        </w:rPr>
        <w:t>et al</w:t>
      </w:r>
      <w:r w:rsidRPr="00FD28BC">
        <w:rPr>
          <w:rFonts w:ascii="Arial" w:hAnsi="Arial" w:cs="Arial"/>
          <w:sz w:val="20"/>
          <w:szCs w:val="20"/>
        </w:rPr>
        <w:t xml:space="preserve">., 2024). Alarmingly, FAW has already evolved resistance to several chemical insecticides as well as transgenic </w:t>
      </w:r>
      <w:proofErr w:type="spellStart"/>
      <w:r w:rsidRPr="00FD28BC">
        <w:rPr>
          <w:rFonts w:ascii="Arial" w:hAnsi="Arial" w:cs="Arial"/>
          <w:sz w:val="20"/>
          <w:szCs w:val="20"/>
        </w:rPr>
        <w:t>Bt</w:t>
      </w:r>
      <w:proofErr w:type="spellEnd"/>
      <w:r w:rsidRPr="00FD28BC">
        <w:rPr>
          <w:rFonts w:ascii="Arial" w:hAnsi="Arial" w:cs="Arial"/>
          <w:sz w:val="20"/>
          <w:szCs w:val="20"/>
        </w:rPr>
        <w:t xml:space="preserve">-maize in different parts of the world, raising serious concerns about the long-term sustainability of chemical-based control strategies (Prasanna </w:t>
      </w:r>
      <w:r w:rsidRPr="00400CF5">
        <w:rPr>
          <w:rFonts w:ascii="Arial" w:hAnsi="Arial" w:cs="Arial"/>
          <w:i/>
          <w:iCs/>
          <w:sz w:val="20"/>
          <w:szCs w:val="20"/>
        </w:rPr>
        <w:t>et al</w:t>
      </w:r>
      <w:r w:rsidRPr="00FD28BC">
        <w:rPr>
          <w:rFonts w:ascii="Arial" w:hAnsi="Arial" w:cs="Arial"/>
          <w:sz w:val="20"/>
          <w:szCs w:val="20"/>
        </w:rPr>
        <w:t>., 2018).</w:t>
      </w:r>
    </w:p>
    <w:p w14:paraId="72A9E3CD"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In this context, biological control approaches have gained renewed attention as environmentally benign and sustainable alternatives for FAW management. Entomopathogens and plant-associated microorganisms play a vital role as natural population regulators of insect pests. Microbial agents such as </w:t>
      </w:r>
      <w:r w:rsidRPr="00FD28BC">
        <w:rPr>
          <w:rStyle w:val="Emphasis"/>
          <w:rFonts w:ascii="Arial" w:hAnsi="Arial" w:cs="Arial"/>
          <w:sz w:val="20"/>
          <w:szCs w:val="20"/>
        </w:rPr>
        <w:t>Bacillus thuringiensis</w:t>
      </w:r>
      <w:r w:rsidRPr="00FD28BC">
        <w:rPr>
          <w:rFonts w:ascii="Arial" w:hAnsi="Arial" w:cs="Arial"/>
          <w:sz w:val="20"/>
          <w:szCs w:val="20"/>
        </w:rPr>
        <w:t xml:space="preserve">, </w:t>
      </w:r>
      <w:r w:rsidRPr="00FD28BC">
        <w:rPr>
          <w:rStyle w:val="Emphasis"/>
          <w:rFonts w:ascii="Arial" w:hAnsi="Arial" w:cs="Arial"/>
          <w:sz w:val="20"/>
          <w:szCs w:val="20"/>
        </w:rPr>
        <w:t>Pseudomonas putida</w:t>
      </w:r>
      <w:r w:rsidRPr="00FD28BC">
        <w:rPr>
          <w:rFonts w:ascii="Arial" w:hAnsi="Arial" w:cs="Arial"/>
          <w:sz w:val="20"/>
          <w:szCs w:val="20"/>
        </w:rPr>
        <w:t xml:space="preserve">, and </w:t>
      </w:r>
      <w:r w:rsidRPr="00FD28BC">
        <w:rPr>
          <w:rStyle w:val="Emphasis"/>
          <w:rFonts w:ascii="Arial" w:hAnsi="Arial" w:cs="Arial"/>
          <w:sz w:val="20"/>
          <w:szCs w:val="20"/>
        </w:rPr>
        <w:t>Trichoderma</w:t>
      </w:r>
      <w:r w:rsidRPr="00FD28BC">
        <w:rPr>
          <w:rFonts w:ascii="Arial" w:hAnsi="Arial" w:cs="Arial"/>
          <w:sz w:val="20"/>
          <w:szCs w:val="20"/>
        </w:rPr>
        <w:t xml:space="preserve"> spp. have demonstrated promising potential for insect suppression along with plant growth promotion (Irsad </w:t>
      </w:r>
      <w:r w:rsidRPr="00400CF5">
        <w:rPr>
          <w:rFonts w:ascii="Arial" w:hAnsi="Arial" w:cs="Arial"/>
          <w:i/>
          <w:iCs/>
          <w:sz w:val="20"/>
          <w:szCs w:val="20"/>
        </w:rPr>
        <w:t>et al</w:t>
      </w:r>
      <w:r w:rsidRPr="00FD28BC">
        <w:rPr>
          <w:rFonts w:ascii="Arial" w:hAnsi="Arial" w:cs="Arial"/>
          <w:sz w:val="20"/>
          <w:szCs w:val="20"/>
        </w:rPr>
        <w:t xml:space="preserve">., 2023). </w:t>
      </w:r>
      <w:r w:rsidRPr="00FD28BC">
        <w:rPr>
          <w:rStyle w:val="Emphasis"/>
          <w:rFonts w:ascii="Arial" w:hAnsi="Arial" w:cs="Arial"/>
          <w:sz w:val="20"/>
          <w:szCs w:val="20"/>
        </w:rPr>
        <w:t>B. thuringiensis</w:t>
      </w:r>
      <w:r w:rsidRPr="00FD28BC">
        <w:rPr>
          <w:rFonts w:ascii="Arial" w:hAnsi="Arial" w:cs="Arial"/>
          <w:sz w:val="20"/>
          <w:szCs w:val="20"/>
        </w:rPr>
        <w:t xml:space="preserve">, a spore-forming Gram-positive bacterium, produces insecticidal crystal (Cry and </w:t>
      </w:r>
      <w:proofErr w:type="spellStart"/>
      <w:r w:rsidRPr="00FD28BC">
        <w:rPr>
          <w:rFonts w:ascii="Arial" w:hAnsi="Arial" w:cs="Arial"/>
          <w:sz w:val="20"/>
          <w:szCs w:val="20"/>
        </w:rPr>
        <w:t>Cyt</w:t>
      </w:r>
      <w:proofErr w:type="spellEnd"/>
      <w:r w:rsidRPr="00FD28BC">
        <w:rPr>
          <w:rFonts w:ascii="Arial" w:hAnsi="Arial" w:cs="Arial"/>
          <w:sz w:val="20"/>
          <w:szCs w:val="20"/>
        </w:rPr>
        <w:t xml:space="preserve">) proteins that disrupt the larval midgut epithelium, leading to feeding cessation and mortality (Ma </w:t>
      </w:r>
      <w:r w:rsidRPr="00400CF5">
        <w:rPr>
          <w:rFonts w:ascii="Arial" w:hAnsi="Arial" w:cs="Arial"/>
          <w:i/>
          <w:iCs/>
          <w:sz w:val="20"/>
          <w:szCs w:val="20"/>
        </w:rPr>
        <w:t>et al</w:t>
      </w:r>
      <w:r w:rsidRPr="00FD28BC">
        <w:rPr>
          <w:rFonts w:ascii="Arial" w:hAnsi="Arial" w:cs="Arial"/>
          <w:sz w:val="20"/>
          <w:szCs w:val="20"/>
        </w:rPr>
        <w:t xml:space="preserve">., 2023). Similarly, </w:t>
      </w:r>
      <w:r w:rsidRPr="00FD28BC">
        <w:rPr>
          <w:rStyle w:val="Emphasis"/>
          <w:rFonts w:ascii="Arial" w:hAnsi="Arial" w:cs="Arial"/>
          <w:sz w:val="20"/>
          <w:szCs w:val="20"/>
        </w:rPr>
        <w:t>Trichoderma</w:t>
      </w:r>
      <w:r w:rsidRPr="00FD28BC">
        <w:rPr>
          <w:rFonts w:ascii="Arial" w:hAnsi="Arial" w:cs="Arial"/>
          <w:sz w:val="20"/>
          <w:szCs w:val="20"/>
        </w:rPr>
        <w:t xml:space="preserve"> spp. not only act as biopesticides but also enhance plant </w:t>
      </w:r>
      <w:proofErr w:type="spellStart"/>
      <w:r w:rsidRPr="00FD28BC">
        <w:rPr>
          <w:rFonts w:ascii="Arial" w:hAnsi="Arial" w:cs="Arial"/>
          <w:sz w:val="20"/>
          <w:szCs w:val="20"/>
        </w:rPr>
        <w:t>vigor</w:t>
      </w:r>
      <w:proofErr w:type="spellEnd"/>
      <w:r w:rsidRPr="00FD28BC">
        <w:rPr>
          <w:rFonts w:ascii="Arial" w:hAnsi="Arial" w:cs="Arial"/>
          <w:sz w:val="20"/>
          <w:szCs w:val="20"/>
        </w:rPr>
        <w:t xml:space="preserve"> by inducing systemic resistance and improving nutrient acquisition (Sood </w:t>
      </w:r>
      <w:r w:rsidRPr="00400CF5">
        <w:rPr>
          <w:rFonts w:ascii="Arial" w:hAnsi="Arial" w:cs="Arial"/>
          <w:i/>
          <w:iCs/>
          <w:sz w:val="20"/>
          <w:szCs w:val="20"/>
        </w:rPr>
        <w:t>et al</w:t>
      </w:r>
      <w:r w:rsidRPr="00FD28BC">
        <w:rPr>
          <w:rFonts w:ascii="Arial" w:hAnsi="Arial" w:cs="Arial"/>
          <w:sz w:val="20"/>
          <w:szCs w:val="20"/>
        </w:rPr>
        <w:t xml:space="preserve">., 2020; </w:t>
      </w:r>
      <w:proofErr w:type="spellStart"/>
      <w:r w:rsidRPr="00FD28BC">
        <w:rPr>
          <w:rFonts w:ascii="Arial" w:hAnsi="Arial" w:cs="Arial"/>
          <w:sz w:val="20"/>
          <w:szCs w:val="20"/>
        </w:rPr>
        <w:t>Lanzuise</w:t>
      </w:r>
      <w:proofErr w:type="spellEnd"/>
      <w:r w:rsidRPr="00FD28BC">
        <w:rPr>
          <w:rFonts w:ascii="Arial" w:hAnsi="Arial" w:cs="Arial"/>
          <w:sz w:val="20"/>
          <w:szCs w:val="20"/>
        </w:rPr>
        <w:t xml:space="preserve"> </w:t>
      </w:r>
      <w:r w:rsidRPr="00400CF5">
        <w:rPr>
          <w:rFonts w:ascii="Arial" w:hAnsi="Arial" w:cs="Arial"/>
          <w:i/>
          <w:iCs/>
          <w:sz w:val="20"/>
          <w:szCs w:val="20"/>
        </w:rPr>
        <w:t>et</w:t>
      </w:r>
      <w:r w:rsidR="000D4FFD" w:rsidRPr="00400CF5">
        <w:rPr>
          <w:rFonts w:ascii="Arial" w:hAnsi="Arial" w:cs="Arial"/>
          <w:i/>
          <w:iCs/>
          <w:sz w:val="20"/>
          <w:szCs w:val="20"/>
        </w:rPr>
        <w:t xml:space="preserve"> al</w:t>
      </w:r>
      <w:r w:rsidR="000D4FFD" w:rsidRPr="00FD28BC">
        <w:rPr>
          <w:rFonts w:ascii="Arial" w:hAnsi="Arial" w:cs="Arial"/>
          <w:sz w:val="20"/>
          <w:szCs w:val="20"/>
        </w:rPr>
        <w:t xml:space="preserve">., 2022; Waleed </w:t>
      </w:r>
      <w:r w:rsidR="000D4FFD" w:rsidRPr="00400CF5">
        <w:rPr>
          <w:rFonts w:ascii="Arial" w:hAnsi="Arial" w:cs="Arial"/>
          <w:i/>
          <w:iCs/>
          <w:sz w:val="20"/>
          <w:szCs w:val="20"/>
        </w:rPr>
        <w:t>et al</w:t>
      </w:r>
      <w:r w:rsidR="000D4FFD" w:rsidRPr="00FD28BC">
        <w:rPr>
          <w:rFonts w:ascii="Arial" w:hAnsi="Arial" w:cs="Arial"/>
          <w:sz w:val="20"/>
          <w:szCs w:val="20"/>
        </w:rPr>
        <w:t>., 2024</w:t>
      </w:r>
      <w:r w:rsidRPr="00FD28BC">
        <w:rPr>
          <w:rFonts w:ascii="Arial" w:hAnsi="Arial" w:cs="Arial"/>
          <w:sz w:val="20"/>
          <w:szCs w:val="20"/>
        </w:rPr>
        <w:t>).</w:t>
      </w:r>
    </w:p>
    <w:p w14:paraId="7A951BE4"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Among these microbial associates, </w:t>
      </w:r>
      <w:r w:rsidRPr="00FD28BC">
        <w:rPr>
          <w:rStyle w:val="Strong"/>
          <w:rFonts w:ascii="Arial" w:hAnsi="Arial" w:cs="Arial"/>
          <w:b w:val="0"/>
          <w:bCs w:val="0"/>
          <w:sz w:val="20"/>
          <w:szCs w:val="20"/>
        </w:rPr>
        <w:t>endophytic microorganisms</w:t>
      </w:r>
      <w:r w:rsidRPr="00FD28BC">
        <w:rPr>
          <w:rFonts w:ascii="Arial" w:hAnsi="Arial" w:cs="Arial"/>
          <w:sz w:val="20"/>
          <w:szCs w:val="20"/>
        </w:rPr>
        <w:t xml:space="preserve"> which colonize internal plant tissues without causing harm which offer unique advantages by providing sustained, systemic protection against insect pests while simultaneously promoting plant growth. However, information on maize-derived bacterial endophytes and their role in suppressing FAW under Indian agroecological conditions remains limited. The present study was undertaken to evaluate their potential as eco-friendly and locally adaptable biocontrol agents against </w:t>
      </w:r>
      <w:r w:rsidRPr="00FD28BC">
        <w:rPr>
          <w:rStyle w:val="Emphasis"/>
          <w:rFonts w:ascii="Arial" w:hAnsi="Arial" w:cs="Arial"/>
          <w:sz w:val="20"/>
          <w:szCs w:val="20"/>
        </w:rPr>
        <w:t>Spodoptera frugiperda</w:t>
      </w:r>
    </w:p>
    <w:p w14:paraId="455BF3BD" w14:textId="77777777" w:rsidR="009756B3" w:rsidRDefault="009756B3" w:rsidP="004B4CB5">
      <w:pPr>
        <w:jc w:val="both"/>
        <w:rPr>
          <w:rFonts w:ascii="Times New Roman" w:hAnsi="Times New Roman" w:cs="Times New Roman"/>
          <w:b/>
          <w:bCs/>
          <w:sz w:val="24"/>
          <w:szCs w:val="24"/>
        </w:rPr>
      </w:pPr>
    </w:p>
    <w:p w14:paraId="73A26183" w14:textId="77777777" w:rsidR="009756B3" w:rsidRPr="00611D50" w:rsidRDefault="00611D50" w:rsidP="00611D50">
      <w:pPr>
        <w:pStyle w:val="ListParagraph"/>
        <w:numPr>
          <w:ilvl w:val="0"/>
          <w:numId w:val="10"/>
        </w:numPr>
        <w:jc w:val="both"/>
        <w:rPr>
          <w:rFonts w:ascii="Arial" w:hAnsi="Arial" w:cs="Arial"/>
          <w:b/>
          <w:bCs/>
        </w:rPr>
      </w:pPr>
      <w:r w:rsidRPr="00611D50">
        <w:rPr>
          <w:rFonts w:ascii="Arial" w:hAnsi="Arial" w:cs="Arial"/>
          <w:b/>
          <w:bCs/>
        </w:rPr>
        <w:t>MATERIAL AND METHODS</w:t>
      </w:r>
    </w:p>
    <w:p w14:paraId="3783E636" w14:textId="77777777" w:rsidR="005C6F25" w:rsidRPr="00B62317" w:rsidRDefault="00611D50" w:rsidP="00C678F3">
      <w:pPr>
        <w:jc w:val="both"/>
        <w:rPr>
          <w:rFonts w:ascii="Arial" w:hAnsi="Arial" w:cs="Arial"/>
          <w:b/>
          <w:bCs/>
          <w:szCs w:val="22"/>
        </w:rPr>
      </w:pPr>
      <w:r w:rsidRPr="00B62317">
        <w:rPr>
          <w:rFonts w:ascii="Arial" w:hAnsi="Arial" w:cs="Arial"/>
          <w:b/>
          <w:bCs/>
          <w:szCs w:val="22"/>
        </w:rPr>
        <w:lastRenderedPageBreak/>
        <w:t xml:space="preserve">2.1 </w:t>
      </w:r>
      <w:r w:rsidR="005C6F25" w:rsidRPr="00B62317">
        <w:rPr>
          <w:rFonts w:ascii="Arial" w:hAnsi="Arial" w:cs="Arial"/>
          <w:b/>
          <w:bCs/>
          <w:szCs w:val="22"/>
        </w:rPr>
        <w:t>Isolation of bacterial endophytes</w:t>
      </w:r>
    </w:p>
    <w:p w14:paraId="5A2376C3" w14:textId="77777777" w:rsidR="00722920" w:rsidRPr="00611D50" w:rsidRDefault="00AB23EE" w:rsidP="00C678F3">
      <w:pPr>
        <w:jc w:val="both"/>
        <w:rPr>
          <w:rFonts w:ascii="Arial" w:hAnsi="Arial" w:cs="Arial"/>
          <w:sz w:val="20"/>
        </w:rPr>
      </w:pPr>
      <w:r w:rsidRPr="00611D50">
        <w:rPr>
          <w:rFonts w:ascii="Arial" w:hAnsi="Arial" w:cs="Arial"/>
          <w:sz w:val="20"/>
        </w:rPr>
        <w:t>Stem samples collected from different parts of Telangana</w:t>
      </w:r>
      <w:r w:rsidR="009B44C6">
        <w:rPr>
          <w:rFonts w:ascii="Arial" w:hAnsi="Arial" w:cs="Arial"/>
          <w:sz w:val="20"/>
        </w:rPr>
        <w:t xml:space="preserve"> (supplementary file)</w:t>
      </w:r>
      <w:r w:rsidRPr="00611D50">
        <w:rPr>
          <w:rFonts w:ascii="Arial" w:hAnsi="Arial" w:cs="Arial"/>
          <w:sz w:val="20"/>
        </w:rPr>
        <w:t xml:space="preserve"> were surface sterilized using a modified protocol of </w:t>
      </w:r>
      <w:r w:rsidR="00105CFB" w:rsidRPr="00611D50">
        <w:rPr>
          <w:rFonts w:ascii="Arial" w:hAnsi="Arial" w:cs="Arial"/>
          <w:sz w:val="20"/>
        </w:rPr>
        <w:t xml:space="preserve">Hallmann </w:t>
      </w:r>
      <w:r w:rsidR="00105CFB" w:rsidRPr="00400CF5">
        <w:rPr>
          <w:rFonts w:ascii="Arial" w:hAnsi="Arial" w:cs="Arial"/>
          <w:i/>
          <w:iCs/>
          <w:sz w:val="20"/>
        </w:rPr>
        <w:t>et al</w:t>
      </w:r>
      <w:r w:rsidR="00105CFB" w:rsidRPr="00611D50">
        <w:rPr>
          <w:rFonts w:ascii="Arial" w:hAnsi="Arial" w:cs="Arial"/>
          <w:sz w:val="20"/>
        </w:rPr>
        <w:t xml:space="preserve"> (1997</w:t>
      </w:r>
      <w:r w:rsidRPr="00611D50">
        <w:rPr>
          <w:rFonts w:ascii="Arial" w:hAnsi="Arial" w:cs="Arial"/>
          <w:sz w:val="20"/>
        </w:rPr>
        <w:t>). Tissues were washed thoroughly, treated with Tween 80, and sequentially surface disinfected with 80% ethanol, 4% sodium hypochlorite, and 70% ethanol, followed by multiple rinses with sterile distilled water. Bacterial endophytes were isolated by direct plating of sterilized tissue segments and by plating homogenized internal tissues on nutrient agar and tryptic soy agar, with</w:t>
      </w:r>
      <w:r w:rsidR="007B7FD6">
        <w:rPr>
          <w:rFonts w:ascii="Arial" w:hAnsi="Arial" w:cs="Arial"/>
          <w:sz w:val="20"/>
        </w:rPr>
        <w:t xml:space="preserve"> incubation at 30 ± 2 °C for 24-</w:t>
      </w:r>
      <w:r w:rsidRPr="00611D50">
        <w:rPr>
          <w:rFonts w:ascii="Arial" w:hAnsi="Arial" w:cs="Arial"/>
          <w:sz w:val="20"/>
        </w:rPr>
        <w:t xml:space="preserve">48 h. The efficacy of surface sterilization was confirmed by plating the final rinse water, which showed no microbial growth (Schulz </w:t>
      </w:r>
      <w:r w:rsidRPr="00400CF5">
        <w:rPr>
          <w:rFonts w:ascii="Arial" w:hAnsi="Arial" w:cs="Arial"/>
          <w:i/>
          <w:iCs/>
          <w:sz w:val="20"/>
        </w:rPr>
        <w:t>et al</w:t>
      </w:r>
      <w:r w:rsidRPr="00611D50">
        <w:rPr>
          <w:rFonts w:ascii="Arial" w:hAnsi="Arial" w:cs="Arial"/>
          <w:sz w:val="20"/>
        </w:rPr>
        <w:t>., 1998).</w:t>
      </w:r>
    </w:p>
    <w:p w14:paraId="1D900C2E" w14:textId="77777777" w:rsidR="00C678F3" w:rsidRPr="00B62317" w:rsidRDefault="00611D50" w:rsidP="00C678F3">
      <w:pPr>
        <w:jc w:val="both"/>
        <w:rPr>
          <w:rFonts w:ascii="Arial" w:hAnsi="Arial" w:cs="Arial"/>
          <w:b/>
          <w:bCs/>
          <w:szCs w:val="22"/>
        </w:rPr>
      </w:pPr>
      <w:r w:rsidRPr="00B62317">
        <w:rPr>
          <w:rFonts w:ascii="Arial" w:hAnsi="Arial" w:cs="Arial"/>
          <w:b/>
          <w:bCs/>
          <w:szCs w:val="22"/>
        </w:rPr>
        <w:t xml:space="preserve">2.2 </w:t>
      </w:r>
      <w:r w:rsidR="00C678F3" w:rsidRPr="00B62317">
        <w:rPr>
          <w:rFonts w:ascii="Arial" w:hAnsi="Arial" w:cs="Arial"/>
          <w:b/>
          <w:bCs/>
          <w:szCs w:val="22"/>
        </w:rPr>
        <w:t>Bioassay of inoculated plants against fall armyworm </w:t>
      </w:r>
      <w:r w:rsidR="00C678F3" w:rsidRPr="00B62317">
        <w:rPr>
          <w:rFonts w:ascii="Arial" w:hAnsi="Arial" w:cs="Arial"/>
          <w:b/>
          <w:bCs/>
          <w:i/>
          <w:iCs/>
          <w:szCs w:val="22"/>
        </w:rPr>
        <w:t>Spodoptera frugiperda</w:t>
      </w:r>
    </w:p>
    <w:p w14:paraId="3A30056C" w14:textId="77777777" w:rsidR="00FD44C7" w:rsidRPr="00611D50" w:rsidRDefault="00DB6E95" w:rsidP="00FD44C7">
      <w:pPr>
        <w:jc w:val="both"/>
        <w:rPr>
          <w:rFonts w:ascii="Arial" w:hAnsi="Arial" w:cs="Arial"/>
          <w:sz w:val="20"/>
        </w:rPr>
      </w:pPr>
      <w:r>
        <w:rPr>
          <w:rFonts w:ascii="Arial" w:hAnsi="Arial" w:cs="Arial"/>
          <w:sz w:val="20"/>
        </w:rPr>
        <w:t>L</w:t>
      </w:r>
      <w:r w:rsidRPr="00611D50">
        <w:rPr>
          <w:rFonts w:ascii="Arial" w:hAnsi="Arial" w:cs="Arial"/>
          <w:sz w:val="20"/>
        </w:rPr>
        <w:t xml:space="preserve">arvae </w:t>
      </w:r>
      <w:r>
        <w:rPr>
          <w:rFonts w:ascii="Arial" w:hAnsi="Arial" w:cs="Arial"/>
          <w:sz w:val="20"/>
        </w:rPr>
        <w:t xml:space="preserve">of </w:t>
      </w:r>
      <w:r w:rsidR="00FD44C7" w:rsidRPr="00611D50">
        <w:rPr>
          <w:rFonts w:ascii="Arial" w:hAnsi="Arial" w:cs="Arial"/>
          <w:i/>
          <w:iCs/>
          <w:sz w:val="20"/>
        </w:rPr>
        <w:t>S</w:t>
      </w:r>
      <w:r>
        <w:rPr>
          <w:rFonts w:ascii="Arial" w:hAnsi="Arial" w:cs="Arial"/>
          <w:i/>
          <w:iCs/>
          <w:sz w:val="20"/>
        </w:rPr>
        <w:t>.</w:t>
      </w:r>
      <w:r w:rsidR="00FD44C7" w:rsidRPr="00611D50">
        <w:rPr>
          <w:rFonts w:ascii="Arial" w:hAnsi="Arial" w:cs="Arial"/>
          <w:i/>
          <w:iCs/>
          <w:sz w:val="20"/>
        </w:rPr>
        <w:t xml:space="preserve"> frugiperda</w:t>
      </w:r>
      <w:r w:rsidR="00FD44C7" w:rsidRPr="00611D50">
        <w:rPr>
          <w:rFonts w:ascii="Arial" w:hAnsi="Arial" w:cs="Arial"/>
          <w:sz w:val="20"/>
        </w:rPr>
        <w:t xml:space="preserve"> were collected from maize fields at the Maize Research </w:t>
      </w:r>
      <w:proofErr w:type="spellStart"/>
      <w:r w:rsidR="00FD44C7" w:rsidRPr="00611D50">
        <w:rPr>
          <w:rFonts w:ascii="Arial" w:hAnsi="Arial" w:cs="Arial"/>
          <w:sz w:val="20"/>
        </w:rPr>
        <w:t>Center</w:t>
      </w:r>
      <w:proofErr w:type="spellEnd"/>
      <w:r w:rsidR="00FD44C7" w:rsidRPr="00611D50">
        <w:rPr>
          <w:rFonts w:ascii="Arial" w:hAnsi="Arial" w:cs="Arial"/>
          <w:sz w:val="20"/>
        </w:rPr>
        <w:t xml:space="preserve">, Agricultural Research Institute, Hyderabad, Telangana </w:t>
      </w:r>
      <w:r w:rsidR="00E766DF" w:rsidRPr="00611D50">
        <w:rPr>
          <w:rFonts w:ascii="Arial" w:hAnsi="Arial" w:cs="Arial"/>
          <w:sz w:val="20"/>
        </w:rPr>
        <w:t>and reared on a Kabuli gram-</w:t>
      </w:r>
      <w:r w:rsidR="00FD44C7" w:rsidRPr="00611D50">
        <w:rPr>
          <w:rFonts w:ascii="Arial" w:hAnsi="Arial" w:cs="Arial"/>
          <w:sz w:val="20"/>
        </w:rPr>
        <w:t xml:space="preserve">based semi-synthetic diet under controlled conditions (27 ± 1 °C, 70 ± 5% RH, 14:10 h L:D photoperiod) following standard rearing procedures described by Gopalakrishnan and Kalia (2022). Adults were maintained in mating jars (20 × 15 cm) with 10% honey solution and blotting paper for oviposition. Egg masses were collected daily, and </w:t>
      </w:r>
      <w:r w:rsidR="004B692A" w:rsidRPr="00611D50">
        <w:rPr>
          <w:rFonts w:ascii="Arial" w:hAnsi="Arial" w:cs="Arial"/>
          <w:sz w:val="20"/>
        </w:rPr>
        <w:t>second instars</w:t>
      </w:r>
      <w:r w:rsidR="00FD44C7" w:rsidRPr="00611D50">
        <w:rPr>
          <w:rFonts w:ascii="Arial" w:hAnsi="Arial" w:cs="Arial"/>
          <w:sz w:val="20"/>
        </w:rPr>
        <w:t xml:space="preserve"> were used for bioassays.</w:t>
      </w:r>
    </w:p>
    <w:p w14:paraId="5F4CC95D" w14:textId="77777777" w:rsidR="00FD44C7" w:rsidRDefault="00FD44C7" w:rsidP="00FD44C7">
      <w:pPr>
        <w:jc w:val="both"/>
        <w:rPr>
          <w:rFonts w:ascii="Arial" w:hAnsi="Arial" w:cs="Arial"/>
          <w:sz w:val="20"/>
        </w:rPr>
      </w:pPr>
      <w:r w:rsidRPr="00611D50">
        <w:rPr>
          <w:rFonts w:ascii="Arial" w:hAnsi="Arial" w:cs="Arial"/>
          <w:sz w:val="20"/>
        </w:rPr>
        <w:t>The bioefficacy of maize-derived bacterial endophytes was evaluated using a. Leaf bits (≈ 1 inch²) were collected from endophyte-inoculated maize plants and untreated controls at 14 days after inoculation.</w:t>
      </w:r>
      <w:r w:rsidR="00DB6E95">
        <w:rPr>
          <w:rFonts w:ascii="Arial" w:hAnsi="Arial" w:cs="Arial"/>
          <w:sz w:val="20"/>
        </w:rPr>
        <w:t xml:space="preserve"> </w:t>
      </w:r>
      <w:r w:rsidR="00DB6E95">
        <w:t xml:space="preserve">The efficacy of bacterial endophytes against </w:t>
      </w:r>
      <w:r w:rsidR="00DB6E95">
        <w:rPr>
          <w:rStyle w:val="Emphasis"/>
        </w:rPr>
        <w:t>S. frugiperda</w:t>
      </w:r>
      <w:r w:rsidR="00DB6E95">
        <w:t xml:space="preserve"> was assessed in </w:t>
      </w:r>
      <w:r w:rsidR="00DB6E95" w:rsidRPr="00611D50">
        <w:rPr>
          <w:rFonts w:ascii="Arial" w:hAnsi="Arial" w:cs="Arial"/>
          <w:sz w:val="20"/>
        </w:rPr>
        <w:t>leaf bioassay</w:t>
      </w:r>
      <w:r w:rsidR="00DB6E95">
        <w:rPr>
          <w:rFonts w:ascii="Arial" w:hAnsi="Arial" w:cs="Arial"/>
          <w:sz w:val="20"/>
        </w:rPr>
        <w:t>s</w:t>
      </w:r>
      <w:r w:rsidR="00DB6E95">
        <w:t xml:space="preserve"> using multiple biological parameters viz., larval mortality (%), relative growth rate (RGR), efficiency of conversion of ingested food (ECI), feeding deterrence index (FDI), pupation (%) and adult emergence (%). These indices provided a comprehensive evaluation of both lethal and sublethal effects on larval feeding, growth, and developmental success.</w:t>
      </w:r>
      <w:r w:rsidRPr="00611D50">
        <w:rPr>
          <w:rFonts w:ascii="Arial" w:hAnsi="Arial" w:cs="Arial"/>
          <w:sz w:val="20"/>
        </w:rPr>
        <w:t xml:space="preserve"> Each treatment was replicated three times with 10 larvae per replication. Leaf material was replaced daily, larval mortality was recorded for </w:t>
      </w:r>
      <w:r w:rsidR="00DB6E95">
        <w:rPr>
          <w:rFonts w:ascii="Arial" w:hAnsi="Arial" w:cs="Arial"/>
          <w:sz w:val="20"/>
        </w:rPr>
        <w:t>10</w:t>
      </w:r>
      <w:r w:rsidRPr="00611D50">
        <w:rPr>
          <w:rFonts w:ascii="Arial" w:hAnsi="Arial" w:cs="Arial"/>
          <w:sz w:val="20"/>
        </w:rPr>
        <w:t xml:space="preserve"> days, and surviving larvae were individually weighed to assess treatment effects on </w:t>
      </w:r>
      <w:r w:rsidR="00DB6E95">
        <w:rPr>
          <w:rFonts w:ascii="Arial" w:hAnsi="Arial" w:cs="Arial"/>
          <w:sz w:val="20"/>
        </w:rPr>
        <w:t xml:space="preserve">biological parameters of </w:t>
      </w:r>
      <w:r w:rsidR="00DB6E95">
        <w:rPr>
          <w:rStyle w:val="Emphasis"/>
        </w:rPr>
        <w:t>S. frugiperda</w:t>
      </w:r>
      <w:r w:rsidRPr="00611D50">
        <w:rPr>
          <w:rFonts w:ascii="Arial" w:hAnsi="Arial" w:cs="Arial"/>
          <w:sz w:val="20"/>
        </w:rPr>
        <w:t>.</w:t>
      </w:r>
    </w:p>
    <w:p w14:paraId="1FD5D96B" w14:textId="77777777" w:rsidR="00F536E5" w:rsidRPr="00B31FFB" w:rsidRDefault="00F536E5" w:rsidP="00902CED">
      <w:pPr>
        <w:jc w:val="both"/>
        <w:rPr>
          <w:rFonts w:ascii="Arial" w:hAnsi="Arial" w:cs="Arial"/>
          <w:b/>
          <w:bCs/>
          <w:sz w:val="20"/>
        </w:rPr>
      </w:pPr>
      <w:r w:rsidRPr="00B31FFB">
        <w:rPr>
          <w:rFonts w:ascii="Arial" w:hAnsi="Arial" w:cs="Arial"/>
          <w:b/>
          <w:bCs/>
          <w:sz w:val="20"/>
        </w:rPr>
        <w:t>Larval Mortality (%)</w:t>
      </w:r>
    </w:p>
    <w:p w14:paraId="6A028F2C" w14:textId="77777777" w:rsidR="00F536E5" w:rsidRDefault="00F536E5" w:rsidP="00902CED">
      <w:pPr>
        <w:jc w:val="both"/>
        <w:rPr>
          <w:b/>
          <w:bCs/>
        </w:rPr>
      </w:pPr>
      <m:oMathPara>
        <m:oMath>
          <m:r>
            <m:rPr>
              <m:sty m:val="p"/>
            </m:rPr>
            <w:rPr>
              <w:rFonts w:ascii="Cambria Math" w:hAnsi="Cambria Math"/>
            </w:rPr>
            <m:t>Mortality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dead larvae</m:t>
              </m:r>
            </m:num>
            <m:den>
              <m:r>
                <m:rPr>
                  <m:sty m:val="p"/>
                </m:rPr>
                <w:rPr>
                  <w:rFonts w:ascii="Cambria Math" w:hAnsi="Cambria Math"/>
                </w:rPr>
                <m:t>Total number of larvae</m:t>
              </m:r>
            </m:den>
          </m:f>
          <m:r>
            <w:rPr>
              <w:rFonts w:ascii="Cambria Math" w:hAnsi="Cambria Math"/>
            </w:rPr>
            <m:t>×100</m:t>
          </m:r>
        </m:oMath>
      </m:oMathPara>
    </w:p>
    <w:p w14:paraId="7F3B78C0" w14:textId="77777777" w:rsidR="00F536E5" w:rsidRDefault="00F536E5" w:rsidP="00902CED">
      <w:pPr>
        <w:jc w:val="both"/>
        <w:rPr>
          <w:b/>
          <w:bCs/>
        </w:rPr>
      </w:pPr>
    </w:p>
    <w:p w14:paraId="279461ED" w14:textId="77777777" w:rsidR="007E1607" w:rsidRPr="00B31FFB" w:rsidRDefault="007E1607" w:rsidP="00902CED">
      <w:pPr>
        <w:jc w:val="both"/>
        <w:rPr>
          <w:rFonts w:ascii="Arial" w:hAnsi="Arial" w:cs="Arial"/>
          <w:b/>
          <w:bCs/>
          <w:sz w:val="20"/>
        </w:rPr>
      </w:pPr>
      <w:r w:rsidRPr="00B31FFB">
        <w:rPr>
          <w:rFonts w:ascii="Arial" w:hAnsi="Arial" w:cs="Arial"/>
          <w:b/>
          <w:bCs/>
          <w:sz w:val="20"/>
        </w:rPr>
        <w:t>Relative Growth Rate (RGR)</w:t>
      </w:r>
    </w:p>
    <w:p w14:paraId="027D8476" w14:textId="77777777" w:rsidR="007E1607" w:rsidRDefault="007E1607" w:rsidP="00902CED">
      <w:pPr>
        <w:jc w:val="both"/>
        <w:rPr>
          <w:rFonts w:ascii="Arial" w:hAnsi="Arial" w:cs="Arial"/>
          <w:b/>
          <w:bCs/>
          <w:sz w:val="20"/>
        </w:rPr>
      </w:pPr>
      <m:oMathPara>
        <m:oMath>
          <m:r>
            <m:rPr>
              <m:sty m:val="p"/>
            </m:rPr>
            <w:rPr>
              <w:rFonts w:ascii="Cambria Math" w:hAnsi="Cambria Math"/>
            </w:rPr>
            <m:t>RGR</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W2-W1</m:t>
              </m:r>
            </m:num>
            <m:den>
              <m:r>
                <m:rPr>
                  <m:sty m:val="p"/>
                </m:rPr>
                <w:rPr>
                  <w:rFonts w:ascii="Cambria Math" w:hAnsi="Cambria Math" w:cs="Cambria Math"/>
                </w:rPr>
                <m:t>t×W1</m:t>
              </m:r>
            </m:den>
          </m:f>
        </m:oMath>
      </m:oMathPara>
    </w:p>
    <w:p w14:paraId="244F61A9" w14:textId="77777777" w:rsidR="007E1607" w:rsidRPr="007E1607" w:rsidRDefault="007E1607" w:rsidP="007E1607">
      <w:pPr>
        <w:spacing w:before="100" w:beforeAutospacing="1" w:after="100" w:afterAutospacing="1" w:line="240" w:lineRule="auto"/>
        <w:rPr>
          <w:rFonts w:ascii="Arial" w:eastAsia="Times New Roman" w:hAnsi="Arial" w:cs="Arial"/>
          <w:sz w:val="20"/>
          <w:lang w:eastAsia="en-IN"/>
        </w:rPr>
      </w:pPr>
      <w:r w:rsidRPr="007E1607">
        <w:rPr>
          <w:rFonts w:ascii="Arial" w:eastAsia="Times New Roman" w:hAnsi="Arial" w:cs="Arial"/>
          <w:sz w:val="20"/>
          <w:lang w:eastAsia="en-IN"/>
        </w:rPr>
        <w:t>Where: W</w:t>
      </w:r>
      <w:r w:rsidRPr="007E1607">
        <w:rPr>
          <w:rFonts w:ascii="Cambria Math" w:eastAsia="Times New Roman" w:hAnsi="Cambria Math" w:cs="Cambria Math"/>
          <w:sz w:val="20"/>
          <w:lang w:eastAsia="en-IN"/>
        </w:rPr>
        <w:t>₁</w:t>
      </w:r>
      <w:r w:rsidRPr="007E1607">
        <w:rPr>
          <w:rFonts w:ascii="Arial" w:eastAsia="Times New Roman" w:hAnsi="Arial" w:cs="Arial"/>
          <w:sz w:val="20"/>
          <w:lang w:eastAsia="en-IN"/>
        </w:rPr>
        <w:t xml:space="preserve"> = Initial larval weight (mg); W</w:t>
      </w:r>
      <w:r w:rsidRPr="007E1607">
        <w:rPr>
          <w:rFonts w:ascii="Cambria Math" w:eastAsia="Times New Roman" w:hAnsi="Cambria Math" w:cs="Cambria Math"/>
          <w:sz w:val="20"/>
          <w:lang w:eastAsia="en-IN"/>
        </w:rPr>
        <w:t>₂</w:t>
      </w:r>
      <w:r w:rsidRPr="007E1607">
        <w:rPr>
          <w:rFonts w:ascii="Arial" w:eastAsia="Times New Roman" w:hAnsi="Arial" w:cs="Arial"/>
          <w:sz w:val="20"/>
          <w:lang w:eastAsia="en-IN"/>
        </w:rPr>
        <w:t xml:space="preserve"> = Final larval weight (mg); t = Duration of feeding period (days)</w:t>
      </w:r>
    </w:p>
    <w:p w14:paraId="14624C1E" w14:textId="77777777" w:rsidR="007E1607" w:rsidRDefault="007E1607" w:rsidP="00902CED">
      <w:pPr>
        <w:jc w:val="both"/>
        <w:rPr>
          <w:rFonts w:ascii="Arial" w:hAnsi="Arial" w:cs="Arial"/>
          <w:b/>
          <w:bCs/>
          <w:sz w:val="20"/>
        </w:rPr>
      </w:pPr>
    </w:p>
    <w:p w14:paraId="1A0EDC77" w14:textId="77777777" w:rsidR="00902CED" w:rsidRPr="00902CED" w:rsidRDefault="00902CED" w:rsidP="00902CED">
      <w:pPr>
        <w:jc w:val="both"/>
        <w:rPr>
          <w:rFonts w:ascii="Arial" w:hAnsi="Arial" w:cs="Arial"/>
          <w:b/>
          <w:bCs/>
          <w:sz w:val="20"/>
        </w:rPr>
      </w:pPr>
      <w:r w:rsidRPr="00902CED">
        <w:rPr>
          <w:rFonts w:ascii="Arial" w:hAnsi="Arial" w:cs="Arial"/>
          <w:b/>
          <w:bCs/>
          <w:sz w:val="20"/>
        </w:rPr>
        <w:t>Efficiency of Conversion of Ingested food (ECI)</w:t>
      </w:r>
    </w:p>
    <w:p w14:paraId="472C723C" w14:textId="77777777" w:rsidR="00902CED" w:rsidRPr="00611D50" w:rsidRDefault="00902CED" w:rsidP="00902CED">
      <w:pPr>
        <w:jc w:val="both"/>
        <w:rPr>
          <w:rFonts w:ascii="Arial" w:hAnsi="Arial" w:cs="Arial"/>
          <w:sz w:val="20"/>
        </w:rPr>
      </w:pPr>
      <m:oMathPara>
        <m:oMath>
          <m:r>
            <m:rPr>
              <m:sty m:val="p"/>
            </m:rPr>
            <w:rPr>
              <w:rFonts w:ascii="Cambria Math" w:hAnsi="Cambria Math"/>
            </w:rPr>
            <m:t>ECI </m:t>
          </m:r>
          <m:d>
            <m:dPr>
              <m:ctrlPr>
                <w:rPr>
                  <w:rFonts w:ascii="Cambria Math" w:hAnsi="Cambria Math"/>
                </w:rPr>
              </m:ctrlPr>
            </m:dPr>
            <m:e>
              <m:r>
                <m:rPr>
                  <m:sty m:val="p"/>
                </m:rPr>
                <w:rPr>
                  <w:rFonts w:ascii="Cambria Math" w:hAnsi="Cambria Math"/>
                </w:rPr>
                <m:t>%</m:t>
              </m:r>
            </m:e>
          </m:d>
          <m:r>
            <m:rPr>
              <m:sty m:val="p"/>
            </m:rPr>
            <w:rPr>
              <w:rFonts w:ascii="Cambria Math"/>
            </w:rPr>
            <m:t>=</m:t>
          </m:r>
          <m:f>
            <m:fPr>
              <m:ctrlPr>
                <w:rPr>
                  <w:rFonts w:ascii="Cambria Math" w:hAnsi="Cambria Math"/>
                </w:rPr>
              </m:ctrlPr>
            </m:fPr>
            <m:num>
              <m:r>
                <m:rPr>
                  <m:sty m:val="p"/>
                </m:rPr>
                <w:rPr>
                  <w:rFonts w:ascii="Cambria Math"/>
                </w:rPr>
                <m:t xml:space="preserve">Weight gain of larva </m:t>
              </m:r>
              <m:d>
                <m:dPr>
                  <m:ctrlPr>
                    <w:rPr>
                      <w:rFonts w:ascii="Cambria Math" w:hAnsi="Cambria Math"/>
                    </w:rPr>
                  </m:ctrlPr>
                </m:dPr>
                <m:e>
                  <m:r>
                    <m:rPr>
                      <m:sty m:val="p"/>
                    </m:rPr>
                    <w:rPr>
                      <w:rFonts w:ascii="Cambria Math"/>
                    </w:rPr>
                    <m:t>mg</m:t>
                  </m:r>
                </m:e>
              </m:d>
            </m:num>
            <m:den>
              <m:r>
                <w:rPr>
                  <w:rFonts w:ascii="Cambria Math" w:hAnsi="Cambria Math" w:cs="Cambria Math"/>
                </w:rPr>
                <m:t>Food ingested (mg)</m:t>
              </m:r>
            </m:den>
          </m:f>
          <m:r>
            <w:rPr>
              <w:rFonts w:ascii="Cambria Math" w:hAnsi="Cambria Math"/>
            </w:rPr>
            <m:t>×100</m:t>
          </m:r>
        </m:oMath>
      </m:oMathPara>
    </w:p>
    <w:p w14:paraId="0F2739B2" w14:textId="77777777" w:rsidR="006D09AF" w:rsidRPr="00B31FFB" w:rsidRDefault="006D09AF" w:rsidP="00F002D1">
      <w:pPr>
        <w:spacing w:line="360" w:lineRule="auto"/>
        <w:jc w:val="both"/>
        <w:rPr>
          <w:rFonts w:ascii="Arial" w:hAnsi="Arial" w:cs="Arial"/>
          <w:b/>
          <w:bCs/>
          <w:sz w:val="20"/>
        </w:rPr>
      </w:pPr>
      <w:r w:rsidRPr="00B31FFB">
        <w:rPr>
          <w:rFonts w:ascii="Arial" w:hAnsi="Arial" w:cs="Arial"/>
          <w:b/>
          <w:bCs/>
          <w:sz w:val="20"/>
        </w:rPr>
        <w:t>Feeding Deterrence Index (FDI)</w:t>
      </w:r>
    </w:p>
    <w:p w14:paraId="6EDD2998" w14:textId="77777777" w:rsidR="006D09AF" w:rsidRDefault="006D09AF" w:rsidP="00F002D1">
      <w:pPr>
        <w:spacing w:line="360" w:lineRule="auto"/>
        <w:jc w:val="both"/>
        <w:rPr>
          <w:rFonts w:ascii="Arial" w:hAnsi="Arial" w:cs="Arial"/>
          <w:b/>
          <w:bCs/>
          <w:color w:val="C45911" w:themeColor="accent2" w:themeShade="BF"/>
          <w:szCs w:val="22"/>
        </w:rPr>
      </w:pPr>
      <m:oMathPara>
        <m:oMath>
          <m:r>
            <m:rPr>
              <m:sty m:val="p"/>
            </m:rPr>
            <w:rPr>
              <w:rFonts w:ascii="Cambria Math" w:hAnsi="Cambria Math"/>
            </w:rPr>
            <m:t>FDI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C-T</m:t>
              </m:r>
            </m:num>
            <m:den>
              <m:r>
                <m:rPr>
                  <m:sty m:val="p"/>
                </m:rPr>
                <w:rPr>
                  <w:rFonts w:ascii="Cambria Math" w:hAnsi="Cambria Math" w:cs="Cambria Math"/>
                </w:rPr>
                <m:t>C+T</m:t>
              </m:r>
            </m:den>
          </m:f>
          <m:r>
            <w:rPr>
              <w:rFonts w:ascii="Cambria Math" w:hAnsi="Cambria Math"/>
            </w:rPr>
            <m:t>×100</m:t>
          </m:r>
        </m:oMath>
      </m:oMathPara>
    </w:p>
    <w:p w14:paraId="35919472" w14:textId="77777777" w:rsidR="006D09AF" w:rsidRPr="006D09AF" w:rsidRDefault="006D09AF" w:rsidP="005E5AC2">
      <w:pPr>
        <w:spacing w:before="100" w:beforeAutospacing="1" w:after="100" w:afterAutospacing="1" w:line="240" w:lineRule="auto"/>
        <w:rPr>
          <w:rFonts w:ascii="Arial" w:eastAsia="Times New Roman" w:hAnsi="Arial" w:cs="Arial"/>
          <w:sz w:val="20"/>
          <w:lang w:eastAsia="en-IN"/>
        </w:rPr>
      </w:pPr>
      <w:r w:rsidRPr="006D09AF">
        <w:rPr>
          <w:rFonts w:ascii="Arial" w:eastAsia="Times New Roman" w:hAnsi="Arial" w:cs="Arial"/>
          <w:sz w:val="20"/>
          <w:lang w:eastAsia="en-IN"/>
        </w:rPr>
        <w:t>Where: C = Amount of food consumed in control</w:t>
      </w:r>
      <w:r>
        <w:rPr>
          <w:rFonts w:ascii="Arial" w:eastAsia="Times New Roman" w:hAnsi="Arial" w:cs="Arial"/>
          <w:sz w:val="20"/>
          <w:lang w:eastAsia="en-IN"/>
        </w:rPr>
        <w:t xml:space="preserve">; </w:t>
      </w:r>
      <w:r w:rsidRPr="006D09AF">
        <w:rPr>
          <w:rFonts w:ascii="Arial" w:eastAsia="Times New Roman" w:hAnsi="Arial" w:cs="Arial"/>
          <w:sz w:val="20"/>
          <w:lang w:eastAsia="en-IN"/>
        </w:rPr>
        <w:t>T = Amount of food consumed in treatment</w:t>
      </w:r>
    </w:p>
    <w:p w14:paraId="2CF8A65E" w14:textId="77777777" w:rsidR="006D09AF" w:rsidRPr="00B31FFB" w:rsidRDefault="00F536E5" w:rsidP="00F002D1">
      <w:pPr>
        <w:spacing w:line="360" w:lineRule="auto"/>
        <w:jc w:val="both"/>
        <w:rPr>
          <w:rFonts w:ascii="Arial" w:hAnsi="Arial" w:cs="Arial"/>
          <w:b/>
          <w:bCs/>
          <w:sz w:val="20"/>
        </w:rPr>
      </w:pPr>
      <w:r w:rsidRPr="00B31FFB">
        <w:rPr>
          <w:rFonts w:ascii="Arial" w:hAnsi="Arial" w:cs="Arial"/>
          <w:b/>
          <w:bCs/>
          <w:sz w:val="20"/>
        </w:rPr>
        <w:lastRenderedPageBreak/>
        <w:t>Pupation (%)</w:t>
      </w:r>
    </w:p>
    <w:p w14:paraId="5A132C87" w14:textId="77777777" w:rsidR="00F536E5" w:rsidRPr="00F536E5" w:rsidRDefault="00F536E5" w:rsidP="00F002D1">
      <w:pPr>
        <w:spacing w:line="360" w:lineRule="auto"/>
        <w:jc w:val="both"/>
        <w:rPr>
          <w:rFonts w:ascii="Arial" w:eastAsiaTheme="minorEastAsia" w:hAnsi="Arial" w:cs="Arial"/>
        </w:rPr>
      </w:pPr>
      <m:oMathPara>
        <m:oMath>
          <m:r>
            <m:rPr>
              <m:sty m:val="p"/>
            </m:rPr>
            <w:rPr>
              <w:rFonts w:ascii="Cambria Math" w:hAnsi="Cambria Math"/>
            </w:rPr>
            <m:t>Pupation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larvae pupated</m:t>
              </m:r>
            </m:num>
            <m:den>
              <m:r>
                <m:rPr>
                  <m:sty m:val="p"/>
                </m:rPr>
                <w:rPr>
                  <w:rFonts w:ascii="Cambria Math" w:hAnsi="Cambria Math"/>
                </w:rPr>
                <m:t>Total number of larvae</m:t>
              </m:r>
            </m:den>
          </m:f>
          <m:r>
            <w:rPr>
              <w:rFonts w:ascii="Cambria Math" w:hAnsi="Cambria Math"/>
            </w:rPr>
            <m:t>×100</m:t>
          </m:r>
        </m:oMath>
      </m:oMathPara>
    </w:p>
    <w:p w14:paraId="2CA022B7" w14:textId="77777777" w:rsidR="00F536E5" w:rsidRPr="00B31FFB" w:rsidRDefault="00F536E5" w:rsidP="00F002D1">
      <w:pPr>
        <w:spacing w:line="360" w:lineRule="auto"/>
        <w:jc w:val="both"/>
        <w:rPr>
          <w:rFonts w:ascii="Arial" w:hAnsi="Arial" w:cs="Arial"/>
          <w:b/>
          <w:bCs/>
          <w:sz w:val="20"/>
        </w:rPr>
      </w:pPr>
      <w:r w:rsidRPr="00B31FFB">
        <w:rPr>
          <w:rFonts w:ascii="Arial" w:hAnsi="Arial" w:cs="Arial"/>
          <w:b/>
          <w:bCs/>
          <w:sz w:val="20"/>
        </w:rPr>
        <w:t>Adult Emergence (%)</w:t>
      </w:r>
    </w:p>
    <w:p w14:paraId="1660A0FF" w14:textId="77777777" w:rsidR="00F536E5" w:rsidRDefault="00F536E5" w:rsidP="00F002D1">
      <w:pPr>
        <w:spacing w:line="360" w:lineRule="auto"/>
        <w:jc w:val="both"/>
        <w:rPr>
          <w:rFonts w:ascii="Arial" w:hAnsi="Arial" w:cs="Arial"/>
          <w:b/>
          <w:bCs/>
          <w:color w:val="C45911" w:themeColor="accent2" w:themeShade="BF"/>
          <w:szCs w:val="22"/>
        </w:rPr>
      </w:pPr>
      <m:oMathPara>
        <m:oMath>
          <m:r>
            <m:rPr>
              <m:sty m:val="p"/>
            </m:rPr>
            <w:rPr>
              <w:rFonts w:ascii="Cambria Math" w:hAnsi="Cambria Math"/>
            </w:rPr>
            <m:t>Adult Emergence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adults emerged</m:t>
              </m:r>
            </m:num>
            <m:den>
              <m:r>
                <m:rPr>
                  <m:sty m:val="p"/>
                </m:rPr>
                <w:rPr>
                  <w:rFonts w:ascii="Cambria Math" w:hAnsi="Cambria Math"/>
                </w:rPr>
                <m:t>Total number of pupae</m:t>
              </m:r>
            </m:den>
          </m:f>
          <m:r>
            <w:rPr>
              <w:rFonts w:ascii="Cambria Math" w:hAnsi="Cambria Math"/>
            </w:rPr>
            <m:t>×100</m:t>
          </m:r>
        </m:oMath>
      </m:oMathPara>
    </w:p>
    <w:p w14:paraId="140D1A4D" w14:textId="77777777" w:rsidR="00F002D1" w:rsidRPr="00B62317" w:rsidRDefault="00611D50" w:rsidP="00F002D1">
      <w:pPr>
        <w:spacing w:line="360" w:lineRule="auto"/>
        <w:jc w:val="both"/>
        <w:rPr>
          <w:rFonts w:ascii="Arial" w:hAnsi="Arial" w:cs="Arial"/>
          <w:b/>
          <w:bCs/>
          <w:szCs w:val="22"/>
        </w:rPr>
      </w:pPr>
      <w:r w:rsidRPr="00B62317">
        <w:rPr>
          <w:rFonts w:ascii="Arial" w:hAnsi="Arial" w:cs="Arial"/>
          <w:b/>
          <w:bCs/>
          <w:szCs w:val="22"/>
        </w:rPr>
        <w:t xml:space="preserve">2.3 </w:t>
      </w:r>
      <w:r w:rsidR="00C357C5" w:rsidRPr="00B62317">
        <w:rPr>
          <w:rFonts w:ascii="Arial" w:hAnsi="Arial" w:cs="Arial"/>
          <w:b/>
          <w:bCs/>
          <w:szCs w:val="22"/>
        </w:rPr>
        <w:t>Biochemical and m</w:t>
      </w:r>
      <w:r w:rsidR="00161751" w:rsidRPr="00B62317">
        <w:rPr>
          <w:rFonts w:ascii="Arial" w:hAnsi="Arial" w:cs="Arial"/>
          <w:b/>
          <w:bCs/>
          <w:szCs w:val="22"/>
        </w:rPr>
        <w:t>olecular characterisation of b</w:t>
      </w:r>
      <w:r w:rsidR="00F002D1" w:rsidRPr="00B62317">
        <w:rPr>
          <w:rFonts w:ascii="Arial" w:hAnsi="Arial" w:cs="Arial"/>
          <w:b/>
          <w:bCs/>
          <w:szCs w:val="22"/>
        </w:rPr>
        <w:t xml:space="preserve">acterial endophytes </w:t>
      </w:r>
    </w:p>
    <w:p w14:paraId="55B6B046" w14:textId="77777777" w:rsidR="004857DA" w:rsidRPr="004857DA" w:rsidRDefault="004857DA" w:rsidP="00042098">
      <w:pPr>
        <w:spacing w:line="240" w:lineRule="auto"/>
        <w:jc w:val="both"/>
        <w:rPr>
          <w:rFonts w:ascii="Arial" w:hAnsi="Arial" w:cs="Arial"/>
          <w:sz w:val="20"/>
        </w:rPr>
      </w:pPr>
      <w:r>
        <w:rPr>
          <w:rFonts w:ascii="Arial" w:hAnsi="Arial" w:cs="Arial"/>
          <w:sz w:val="20"/>
        </w:rPr>
        <w:t>Plant growth-</w:t>
      </w:r>
      <w:r w:rsidRPr="004857DA">
        <w:rPr>
          <w:rFonts w:ascii="Arial" w:hAnsi="Arial" w:cs="Arial"/>
          <w:sz w:val="20"/>
        </w:rPr>
        <w:t xml:space="preserve">promoting activities of bacterial endophytes were assessed through qualitative and quantitative assays. Siderophore production was determined on Chrome </w:t>
      </w:r>
      <w:proofErr w:type="spellStart"/>
      <w:r w:rsidRPr="004857DA">
        <w:rPr>
          <w:rFonts w:ascii="Arial" w:hAnsi="Arial" w:cs="Arial"/>
          <w:sz w:val="20"/>
        </w:rPr>
        <w:t>Azurol</w:t>
      </w:r>
      <w:proofErr w:type="spellEnd"/>
      <w:r w:rsidRPr="004857DA">
        <w:rPr>
          <w:rFonts w:ascii="Arial" w:hAnsi="Arial" w:cs="Arial"/>
          <w:sz w:val="20"/>
        </w:rPr>
        <w:t xml:space="preserve"> S agar following </w:t>
      </w:r>
      <w:proofErr w:type="spellStart"/>
      <w:r w:rsidRPr="004857DA">
        <w:rPr>
          <w:rFonts w:ascii="Arial" w:hAnsi="Arial" w:cs="Arial"/>
          <w:sz w:val="20"/>
        </w:rPr>
        <w:t>Schwyn</w:t>
      </w:r>
      <w:proofErr w:type="spellEnd"/>
      <w:r w:rsidRPr="004857DA">
        <w:rPr>
          <w:rFonts w:ascii="Arial" w:hAnsi="Arial" w:cs="Arial"/>
          <w:sz w:val="20"/>
        </w:rPr>
        <w:t xml:space="preserve"> an</w:t>
      </w:r>
      <w:r>
        <w:rPr>
          <w:rFonts w:ascii="Arial" w:hAnsi="Arial" w:cs="Arial"/>
          <w:sz w:val="20"/>
        </w:rPr>
        <w:t xml:space="preserve">d </w:t>
      </w:r>
      <w:proofErr w:type="spellStart"/>
      <w:r>
        <w:rPr>
          <w:rFonts w:ascii="Arial" w:hAnsi="Arial" w:cs="Arial"/>
          <w:sz w:val="20"/>
        </w:rPr>
        <w:t>Neilands</w:t>
      </w:r>
      <w:proofErr w:type="spellEnd"/>
      <w:r>
        <w:rPr>
          <w:rFonts w:ascii="Arial" w:hAnsi="Arial" w:cs="Arial"/>
          <w:sz w:val="20"/>
        </w:rPr>
        <w:t xml:space="preserve"> (1987), where yellow-</w:t>
      </w:r>
      <w:r w:rsidRPr="004857DA">
        <w:rPr>
          <w:rFonts w:ascii="Arial" w:hAnsi="Arial" w:cs="Arial"/>
          <w:sz w:val="20"/>
        </w:rPr>
        <w:t xml:space="preserve">orange halos around colonies indicated positive reaction. Phosphate solubilization was evaluated on </w:t>
      </w:r>
      <w:proofErr w:type="spellStart"/>
      <w:r w:rsidRPr="004857DA">
        <w:rPr>
          <w:rFonts w:ascii="Arial" w:hAnsi="Arial" w:cs="Arial"/>
          <w:sz w:val="20"/>
        </w:rPr>
        <w:t>Pikovskaya’s</w:t>
      </w:r>
      <w:proofErr w:type="spellEnd"/>
      <w:r w:rsidRPr="004857DA">
        <w:rPr>
          <w:rFonts w:ascii="Arial" w:hAnsi="Arial" w:cs="Arial"/>
          <w:sz w:val="20"/>
        </w:rPr>
        <w:t xml:space="preserve"> agar with clear zone formation as per </w:t>
      </w:r>
      <w:proofErr w:type="spellStart"/>
      <w:r w:rsidRPr="004857DA">
        <w:rPr>
          <w:rFonts w:ascii="Arial" w:hAnsi="Arial" w:cs="Arial"/>
          <w:sz w:val="20"/>
        </w:rPr>
        <w:t>Pikovskaya</w:t>
      </w:r>
      <w:proofErr w:type="spellEnd"/>
      <w:r w:rsidRPr="004857DA">
        <w:rPr>
          <w:rFonts w:ascii="Arial" w:hAnsi="Arial" w:cs="Arial"/>
          <w:sz w:val="20"/>
        </w:rPr>
        <w:t xml:space="preserve"> (1948). HCN production was detected using glycine-amended nutrient agar and alkaline picrate paper method of </w:t>
      </w:r>
      <w:proofErr w:type="spellStart"/>
      <w:r w:rsidRPr="004857DA">
        <w:rPr>
          <w:rFonts w:ascii="Arial" w:hAnsi="Arial" w:cs="Arial"/>
          <w:sz w:val="20"/>
        </w:rPr>
        <w:t>Castric</w:t>
      </w:r>
      <w:proofErr w:type="spellEnd"/>
      <w:r w:rsidRPr="004857DA">
        <w:rPr>
          <w:rFonts w:ascii="Arial" w:hAnsi="Arial" w:cs="Arial"/>
          <w:sz w:val="20"/>
        </w:rPr>
        <w:t xml:space="preserve"> and </w:t>
      </w:r>
      <w:proofErr w:type="spellStart"/>
      <w:r w:rsidRPr="004857DA">
        <w:rPr>
          <w:rFonts w:ascii="Arial" w:hAnsi="Arial" w:cs="Arial"/>
          <w:sz w:val="20"/>
        </w:rPr>
        <w:t>Castric</w:t>
      </w:r>
      <w:proofErr w:type="spellEnd"/>
      <w:r w:rsidRPr="004857DA">
        <w:rPr>
          <w:rFonts w:ascii="Arial" w:hAnsi="Arial" w:cs="Arial"/>
          <w:sz w:val="20"/>
        </w:rPr>
        <w:t xml:space="preserve"> (1983). Ammonia production was assessed in peptone water using Nessler’s reagent according to Gupta and Pandey (2019). IAA production was quantified </w:t>
      </w:r>
      <w:proofErr w:type="spellStart"/>
      <w:r w:rsidRPr="004857DA">
        <w:rPr>
          <w:rFonts w:ascii="Arial" w:hAnsi="Arial" w:cs="Arial"/>
          <w:sz w:val="20"/>
        </w:rPr>
        <w:t>colorimetrically</w:t>
      </w:r>
      <w:proofErr w:type="spellEnd"/>
      <w:r w:rsidRPr="004857DA">
        <w:rPr>
          <w:rFonts w:ascii="Arial" w:hAnsi="Arial" w:cs="Arial"/>
          <w:sz w:val="20"/>
        </w:rPr>
        <w:t xml:space="preserve"> at 530 nm using Salkowski reagent following Gordon and Weber (1951). Proteolytic and amylolytic activities were examined on </w:t>
      </w:r>
      <w:proofErr w:type="spellStart"/>
      <w:r w:rsidRPr="004857DA">
        <w:rPr>
          <w:rFonts w:ascii="Arial" w:hAnsi="Arial" w:cs="Arial"/>
          <w:sz w:val="20"/>
        </w:rPr>
        <w:t>gelatin</w:t>
      </w:r>
      <w:proofErr w:type="spellEnd"/>
      <w:r w:rsidRPr="004857DA">
        <w:rPr>
          <w:rFonts w:ascii="Arial" w:hAnsi="Arial" w:cs="Arial"/>
          <w:sz w:val="20"/>
        </w:rPr>
        <w:t xml:space="preserve"> agar and starch agar plates respectively based on substrate hydrolysis, while pectinase activity was detected on PSAM medium using Gram’s iodine staining as described by Oumer and Abate (2018). Biochemical confirmation of potential isolates including indole test was performed following standard protocols of Borkar (2018).</w:t>
      </w:r>
    </w:p>
    <w:p w14:paraId="5C953F06" w14:textId="77777777" w:rsidR="00F002D1" w:rsidRDefault="00DF4677" w:rsidP="00042098">
      <w:pPr>
        <w:spacing w:line="240" w:lineRule="auto"/>
        <w:jc w:val="both"/>
        <w:rPr>
          <w:rFonts w:ascii="Arial" w:hAnsi="Arial" w:cs="Arial"/>
          <w:sz w:val="20"/>
        </w:rPr>
      </w:pPr>
      <w:r w:rsidRPr="00611D50">
        <w:rPr>
          <w:rFonts w:ascii="Arial" w:hAnsi="Arial" w:cs="Arial"/>
          <w:sz w:val="20"/>
        </w:rPr>
        <w:t xml:space="preserve">Molecular characterization of selected bacterial endophytes was carried out by amplifying the 16S rRNA gene following the standard protocol described by Weisburg </w:t>
      </w:r>
      <w:r w:rsidRPr="00400CF5">
        <w:rPr>
          <w:rFonts w:ascii="Arial" w:hAnsi="Arial" w:cs="Arial"/>
          <w:i/>
          <w:iCs/>
          <w:sz w:val="20"/>
        </w:rPr>
        <w:t>et al</w:t>
      </w:r>
      <w:r w:rsidRPr="00611D50">
        <w:rPr>
          <w:rFonts w:ascii="Arial" w:hAnsi="Arial" w:cs="Arial"/>
          <w:sz w:val="20"/>
        </w:rPr>
        <w:t>. (1991) with minor modifications. Genomic DNA was extracted using a CTAB-based method, and PCR amplification was performed using universal primers 27F</w:t>
      </w:r>
      <w:r w:rsidR="002A2EC5" w:rsidRPr="00611D50">
        <w:rPr>
          <w:rFonts w:ascii="Arial" w:hAnsi="Arial" w:cs="Arial"/>
          <w:sz w:val="20"/>
        </w:rPr>
        <w:t xml:space="preserve"> (5′-AGAGTTTGATCCTGGCTCAG-3′)</w:t>
      </w:r>
      <w:r w:rsidRPr="00611D50">
        <w:rPr>
          <w:rFonts w:ascii="Arial" w:hAnsi="Arial" w:cs="Arial"/>
          <w:sz w:val="20"/>
        </w:rPr>
        <w:t xml:space="preserve"> and 1492R</w:t>
      </w:r>
      <w:r w:rsidR="002A2EC5" w:rsidRPr="00611D50">
        <w:rPr>
          <w:rFonts w:ascii="Arial" w:hAnsi="Arial" w:cs="Arial"/>
          <w:sz w:val="20"/>
        </w:rPr>
        <w:t xml:space="preserve"> (5′-TACGGYTACCTTGTTACGACTT-3′)</w:t>
      </w:r>
      <w:r w:rsidRPr="00611D50">
        <w:rPr>
          <w:rFonts w:ascii="Arial" w:hAnsi="Arial" w:cs="Arial"/>
          <w:sz w:val="20"/>
        </w:rPr>
        <w:t xml:space="preserve"> in a 25 µL reaction mixture. The PCR conditions consisted of initial denaturation at 9</w:t>
      </w:r>
      <w:r w:rsidR="002A2EC5" w:rsidRPr="00611D50">
        <w:rPr>
          <w:rFonts w:ascii="Arial" w:hAnsi="Arial" w:cs="Arial"/>
          <w:sz w:val="20"/>
        </w:rPr>
        <w:t>6</w:t>
      </w:r>
      <w:r w:rsidRPr="00611D50">
        <w:rPr>
          <w:rFonts w:ascii="Arial" w:hAnsi="Arial" w:cs="Arial"/>
          <w:sz w:val="20"/>
        </w:rPr>
        <w:t xml:space="preserve"> °C for </w:t>
      </w:r>
      <w:r w:rsidR="002A2EC5" w:rsidRPr="00611D50">
        <w:rPr>
          <w:rFonts w:ascii="Arial" w:hAnsi="Arial" w:cs="Arial"/>
          <w:sz w:val="20"/>
        </w:rPr>
        <w:t>4</w:t>
      </w:r>
      <w:r w:rsidRPr="00611D50">
        <w:rPr>
          <w:rFonts w:ascii="Arial" w:hAnsi="Arial" w:cs="Arial"/>
          <w:sz w:val="20"/>
        </w:rPr>
        <w:t xml:space="preserve"> min, followed by 3</w:t>
      </w:r>
      <w:r w:rsidR="002A2EC5" w:rsidRPr="00611D50">
        <w:rPr>
          <w:rFonts w:ascii="Arial" w:hAnsi="Arial" w:cs="Arial"/>
          <w:sz w:val="20"/>
        </w:rPr>
        <w:t>5</w:t>
      </w:r>
      <w:r w:rsidRPr="00611D50">
        <w:rPr>
          <w:rFonts w:ascii="Arial" w:hAnsi="Arial" w:cs="Arial"/>
          <w:sz w:val="20"/>
        </w:rPr>
        <w:t xml:space="preserve"> cycles of denaturation at 9</w:t>
      </w:r>
      <w:r w:rsidR="002A2EC5" w:rsidRPr="00611D50">
        <w:rPr>
          <w:rFonts w:ascii="Arial" w:hAnsi="Arial" w:cs="Arial"/>
          <w:sz w:val="20"/>
        </w:rPr>
        <w:t>4 °C for 4</w:t>
      </w:r>
      <w:r w:rsidRPr="00611D50">
        <w:rPr>
          <w:rFonts w:ascii="Arial" w:hAnsi="Arial" w:cs="Arial"/>
          <w:sz w:val="20"/>
        </w:rPr>
        <w:t>0 s, annealing at 5</w:t>
      </w:r>
      <w:r w:rsidR="002A2EC5" w:rsidRPr="00611D50">
        <w:rPr>
          <w:rFonts w:ascii="Arial" w:hAnsi="Arial" w:cs="Arial"/>
          <w:sz w:val="20"/>
        </w:rPr>
        <w:t>7 °C for 1 min, extension at 72 °C for 8</w:t>
      </w:r>
      <w:r w:rsidRPr="00611D50">
        <w:rPr>
          <w:rFonts w:ascii="Arial" w:hAnsi="Arial" w:cs="Arial"/>
          <w:sz w:val="20"/>
        </w:rPr>
        <w:t xml:space="preserve">0 s, and </w:t>
      </w:r>
      <w:r w:rsidR="002A2EC5" w:rsidRPr="00611D50">
        <w:rPr>
          <w:rFonts w:ascii="Arial" w:hAnsi="Arial" w:cs="Arial"/>
          <w:sz w:val="20"/>
        </w:rPr>
        <w:t>a final extension at 72 °C for 10</w:t>
      </w:r>
      <w:r w:rsidRPr="00611D50">
        <w:rPr>
          <w:rFonts w:ascii="Arial" w:hAnsi="Arial" w:cs="Arial"/>
          <w:sz w:val="20"/>
        </w:rPr>
        <w:t xml:space="preserve"> min. Amplified </w:t>
      </w:r>
      <w:r w:rsidR="00042098" w:rsidRPr="00611D50">
        <w:rPr>
          <w:rFonts w:ascii="Arial" w:hAnsi="Arial" w:cs="Arial"/>
          <w:color w:val="000000"/>
          <w:sz w:val="20"/>
          <w:shd w:val="clear" w:color="auto" w:fill="FFFFFF"/>
        </w:rPr>
        <w:t xml:space="preserve">PCR </w:t>
      </w:r>
      <w:r w:rsidRPr="00611D50">
        <w:rPr>
          <w:rFonts w:ascii="Arial" w:hAnsi="Arial" w:cs="Arial"/>
          <w:sz w:val="20"/>
        </w:rPr>
        <w:t>products (~1.5 kb) were confirmed</w:t>
      </w:r>
      <w:r w:rsidR="00042098" w:rsidRPr="00611D50">
        <w:rPr>
          <w:rFonts w:ascii="Arial" w:hAnsi="Arial" w:cs="Arial"/>
          <w:sz w:val="20"/>
        </w:rPr>
        <w:t xml:space="preserve"> by agarose gel electrophoresis </w:t>
      </w:r>
      <w:r w:rsidR="00992CFA" w:rsidRPr="00611D50">
        <w:rPr>
          <w:rFonts w:ascii="Arial" w:hAnsi="Arial" w:cs="Arial"/>
          <w:color w:val="000000"/>
          <w:sz w:val="20"/>
          <w:shd w:val="clear" w:color="auto" w:fill="FFFFFF"/>
        </w:rPr>
        <w:t xml:space="preserve">and sequenced via sanger </w:t>
      </w:r>
      <w:r w:rsidRPr="00611D50">
        <w:rPr>
          <w:rFonts w:ascii="Arial" w:hAnsi="Arial" w:cs="Arial"/>
          <w:sz w:val="20"/>
        </w:rPr>
        <w:t xml:space="preserve">sequencing. The obtained sequences were compared with reference sequences available in the NCBI GenBank database using the </w:t>
      </w:r>
      <w:proofErr w:type="spellStart"/>
      <w:r w:rsidRPr="00611D50">
        <w:rPr>
          <w:rFonts w:ascii="Arial" w:hAnsi="Arial" w:cs="Arial"/>
          <w:sz w:val="20"/>
        </w:rPr>
        <w:t>BLASTn</w:t>
      </w:r>
      <w:proofErr w:type="spellEnd"/>
      <w:r w:rsidRPr="00611D50">
        <w:rPr>
          <w:rFonts w:ascii="Arial" w:hAnsi="Arial" w:cs="Arial"/>
          <w:sz w:val="20"/>
        </w:rPr>
        <w:t xml:space="preserve"> algorithm for taxonomic identification, and the confirmed sequences were submitted to GenBank</w:t>
      </w:r>
      <w:r w:rsidR="00105CFB" w:rsidRPr="00611D50">
        <w:rPr>
          <w:rFonts w:ascii="Arial" w:hAnsi="Arial" w:cs="Arial"/>
          <w:sz w:val="20"/>
        </w:rPr>
        <w:t>.</w:t>
      </w:r>
    </w:p>
    <w:p w14:paraId="649FC1F6" w14:textId="77777777" w:rsidR="00161751" w:rsidRPr="00161751" w:rsidRDefault="00161751" w:rsidP="00042098">
      <w:pPr>
        <w:spacing w:line="240" w:lineRule="auto"/>
        <w:jc w:val="both"/>
        <w:rPr>
          <w:rFonts w:ascii="Times New Roman" w:hAnsi="Times New Roman" w:cs="Times New Roman"/>
          <w:b/>
          <w:bCs/>
          <w:szCs w:val="22"/>
        </w:rPr>
      </w:pPr>
      <w:r w:rsidRPr="00161751">
        <w:rPr>
          <w:rFonts w:ascii="Arial" w:hAnsi="Arial" w:cs="Arial"/>
          <w:b/>
          <w:bCs/>
          <w:szCs w:val="22"/>
        </w:rPr>
        <w:t>2.4 Statistical Analysis</w:t>
      </w:r>
    </w:p>
    <w:p w14:paraId="5FE0F313" w14:textId="77777777" w:rsidR="00105CFB" w:rsidRPr="00C87E00" w:rsidRDefault="00C87E00" w:rsidP="004B4CB5">
      <w:pPr>
        <w:jc w:val="both"/>
        <w:rPr>
          <w:rFonts w:ascii="Arial" w:hAnsi="Arial" w:cs="Arial"/>
          <w:b/>
          <w:bCs/>
          <w:sz w:val="20"/>
        </w:rPr>
      </w:pPr>
      <w:r w:rsidRPr="00C87E00">
        <w:rPr>
          <w:rFonts w:ascii="Arial" w:hAnsi="Arial" w:cs="Arial"/>
          <w:sz w:val="20"/>
        </w:rPr>
        <w:t xml:space="preserve">Data were subjected to one-way analysis of variance (ANOVA) using SPSS version 22.0 (IBM Corp., USA) with a sample size of n = 30, and treatment means were compared at a significance level of p ≤ 0.05. Duncan’s Multiple Range Test (DMRT) was </w:t>
      </w:r>
      <w:r w:rsidR="00A16F39">
        <w:rPr>
          <w:rFonts w:ascii="Arial" w:hAnsi="Arial" w:cs="Arial"/>
          <w:sz w:val="20"/>
        </w:rPr>
        <w:t>deployed</w:t>
      </w:r>
      <w:r w:rsidRPr="00C87E00">
        <w:rPr>
          <w:rFonts w:ascii="Arial" w:hAnsi="Arial" w:cs="Arial"/>
          <w:sz w:val="20"/>
        </w:rPr>
        <w:t xml:space="preserve"> for post-hoc separation of means and treatments sharing different letters were considered significantly different</w:t>
      </w:r>
      <w:r w:rsidR="00902CED">
        <w:rPr>
          <w:rFonts w:ascii="Arial" w:hAnsi="Arial" w:cs="Arial"/>
          <w:sz w:val="20"/>
        </w:rPr>
        <w:t>.</w:t>
      </w:r>
    </w:p>
    <w:p w14:paraId="53DA11A5" w14:textId="77777777" w:rsidR="00E72EE3" w:rsidRPr="00611D50" w:rsidRDefault="00611D50" w:rsidP="00611D50">
      <w:pPr>
        <w:pStyle w:val="ListParagraph"/>
        <w:numPr>
          <w:ilvl w:val="0"/>
          <w:numId w:val="10"/>
        </w:numPr>
        <w:jc w:val="both"/>
        <w:rPr>
          <w:rFonts w:ascii="Arial" w:hAnsi="Arial" w:cs="Arial"/>
          <w:b/>
          <w:bCs/>
        </w:rPr>
      </w:pPr>
      <w:r w:rsidRPr="00611D50">
        <w:rPr>
          <w:rFonts w:ascii="Arial" w:hAnsi="Arial" w:cs="Arial"/>
          <w:b/>
          <w:bCs/>
        </w:rPr>
        <w:t>RESULTS</w:t>
      </w:r>
    </w:p>
    <w:p w14:paraId="6FE3B670" w14:textId="77777777" w:rsidR="00852E7D" w:rsidRPr="00C30158" w:rsidRDefault="00C30158" w:rsidP="004B4CB5">
      <w:pPr>
        <w:jc w:val="both"/>
        <w:rPr>
          <w:rFonts w:ascii="Arial" w:hAnsi="Arial" w:cs="Arial"/>
          <w:szCs w:val="22"/>
        </w:rPr>
      </w:pPr>
      <w:r>
        <w:rPr>
          <w:rFonts w:ascii="Arial" w:hAnsi="Arial" w:cs="Arial"/>
          <w:b/>
          <w:bCs/>
          <w:szCs w:val="22"/>
        </w:rPr>
        <w:t xml:space="preserve">3.1 </w:t>
      </w:r>
      <w:r w:rsidR="00852E7D" w:rsidRPr="00C30158">
        <w:rPr>
          <w:rFonts w:ascii="Arial" w:hAnsi="Arial" w:cs="Arial"/>
          <w:b/>
          <w:bCs/>
          <w:szCs w:val="22"/>
        </w:rPr>
        <w:t>Effect of maize-derived bacterial endophytes on larval mortality</w:t>
      </w:r>
      <w:r w:rsidR="00852E7D" w:rsidRPr="00C30158">
        <w:rPr>
          <w:rFonts w:ascii="Arial" w:hAnsi="Arial" w:cs="Arial"/>
          <w:szCs w:val="22"/>
        </w:rPr>
        <w:t xml:space="preserve"> </w:t>
      </w:r>
    </w:p>
    <w:p w14:paraId="0DDADC2E" w14:textId="77777777" w:rsidR="00852E7D" w:rsidRPr="00C30158" w:rsidRDefault="00852E7D" w:rsidP="004B4CB5">
      <w:pPr>
        <w:jc w:val="both"/>
        <w:rPr>
          <w:rFonts w:ascii="Arial" w:hAnsi="Arial" w:cs="Arial"/>
          <w:sz w:val="20"/>
        </w:rPr>
      </w:pPr>
      <w:r w:rsidRPr="00C30158">
        <w:rPr>
          <w:rFonts w:ascii="Arial" w:hAnsi="Arial" w:cs="Arial"/>
          <w:sz w:val="20"/>
        </w:rPr>
        <w:t xml:space="preserve">Larval mortality of </w:t>
      </w:r>
      <w:r w:rsidRPr="00C30158">
        <w:rPr>
          <w:rFonts w:ascii="Arial" w:hAnsi="Arial" w:cs="Arial"/>
          <w:i/>
          <w:iCs/>
          <w:sz w:val="20"/>
        </w:rPr>
        <w:t>S</w:t>
      </w:r>
      <w:r w:rsidR="00F77804" w:rsidRPr="00C30158">
        <w:rPr>
          <w:rFonts w:ascii="Arial" w:hAnsi="Arial" w:cs="Arial"/>
          <w:i/>
          <w:iCs/>
          <w:sz w:val="20"/>
        </w:rPr>
        <w:t>.</w:t>
      </w:r>
      <w:r w:rsidRPr="00C30158">
        <w:rPr>
          <w:rFonts w:ascii="Arial" w:hAnsi="Arial" w:cs="Arial"/>
          <w:i/>
          <w:iCs/>
          <w:sz w:val="20"/>
        </w:rPr>
        <w:t xml:space="preserve"> frugiperda</w:t>
      </w:r>
      <w:r w:rsidRPr="00C30158">
        <w:rPr>
          <w:rFonts w:ascii="Arial" w:hAnsi="Arial" w:cs="Arial"/>
          <w:sz w:val="20"/>
        </w:rPr>
        <w:t xml:space="preserve"> varied significantly among the different maize-derived bacterial endophyte tr</w:t>
      </w:r>
      <w:r w:rsidR="009E4BEF" w:rsidRPr="00C30158">
        <w:rPr>
          <w:rFonts w:ascii="Arial" w:hAnsi="Arial" w:cs="Arial"/>
          <w:sz w:val="20"/>
        </w:rPr>
        <w:t>eatments (one-way ANOVA; F = 578; df = 8</w:t>
      </w:r>
      <w:r w:rsidR="00EB72EB" w:rsidRPr="00C30158">
        <w:rPr>
          <w:rFonts w:ascii="Arial" w:hAnsi="Arial" w:cs="Arial"/>
          <w:sz w:val="20"/>
        </w:rPr>
        <w:t xml:space="preserve">; p &lt; </w:t>
      </w:r>
      <w:r w:rsidRPr="00C30158">
        <w:rPr>
          <w:rFonts w:ascii="Arial" w:hAnsi="Arial" w:cs="Arial"/>
          <w:sz w:val="20"/>
        </w:rPr>
        <w:t xml:space="preserve">.05). Among all tested isolates, ESB-8 emerged </w:t>
      </w:r>
      <w:r w:rsidR="00C30158">
        <w:rPr>
          <w:rFonts w:ascii="Arial" w:hAnsi="Arial" w:cs="Arial"/>
          <w:sz w:val="20"/>
        </w:rPr>
        <w:t>as the most effective endophyte which</w:t>
      </w:r>
      <w:r w:rsidRPr="00C30158">
        <w:rPr>
          <w:rFonts w:ascii="Arial" w:hAnsi="Arial" w:cs="Arial"/>
          <w:sz w:val="20"/>
        </w:rPr>
        <w:t xml:space="preserve"> </w:t>
      </w:r>
      <w:r w:rsidR="00C30158">
        <w:rPr>
          <w:rFonts w:ascii="Arial" w:hAnsi="Arial" w:cs="Arial"/>
          <w:sz w:val="20"/>
        </w:rPr>
        <w:t xml:space="preserve">was </w:t>
      </w:r>
      <w:r w:rsidRPr="00C30158">
        <w:rPr>
          <w:rFonts w:ascii="Arial" w:hAnsi="Arial" w:cs="Arial"/>
          <w:sz w:val="20"/>
        </w:rPr>
        <w:t>record</w:t>
      </w:r>
      <w:r w:rsidR="00C30158">
        <w:rPr>
          <w:rFonts w:ascii="Arial" w:hAnsi="Arial" w:cs="Arial"/>
          <w:sz w:val="20"/>
        </w:rPr>
        <w:t>ed with</w:t>
      </w:r>
      <w:r w:rsidRPr="00C30158">
        <w:rPr>
          <w:rFonts w:ascii="Arial" w:hAnsi="Arial" w:cs="Arial"/>
          <w:sz w:val="20"/>
        </w:rPr>
        <w:t xml:space="preserve"> the highest larval mortality</w:t>
      </w:r>
      <w:r w:rsidR="008D447A" w:rsidRPr="00C30158">
        <w:rPr>
          <w:rFonts w:ascii="Arial" w:hAnsi="Arial" w:cs="Arial"/>
          <w:sz w:val="20"/>
        </w:rPr>
        <w:t xml:space="preserve"> (50.88±0.57)</w:t>
      </w:r>
      <w:r w:rsidRPr="00C30158">
        <w:rPr>
          <w:rFonts w:ascii="Arial" w:hAnsi="Arial" w:cs="Arial"/>
          <w:sz w:val="20"/>
        </w:rPr>
        <w:t>, which was significantly greater than the control</w:t>
      </w:r>
      <w:r w:rsidR="00C9563C" w:rsidRPr="00C30158">
        <w:rPr>
          <w:rFonts w:ascii="Arial" w:hAnsi="Arial" w:cs="Arial"/>
          <w:sz w:val="20"/>
        </w:rPr>
        <w:t xml:space="preserve"> (5±0.14)</w:t>
      </w:r>
      <w:r w:rsidRPr="00C30158">
        <w:rPr>
          <w:rFonts w:ascii="Arial" w:hAnsi="Arial" w:cs="Arial"/>
          <w:sz w:val="20"/>
        </w:rPr>
        <w:t xml:space="preserve"> as well as all other endophytic treatments. The pronounced larvicidal effect of ESB-8 indicates its strong pathogenic or toxic influence on </w:t>
      </w:r>
      <w:r w:rsidRPr="00C30158">
        <w:rPr>
          <w:rFonts w:ascii="Arial" w:hAnsi="Arial" w:cs="Arial"/>
          <w:i/>
          <w:iCs/>
          <w:sz w:val="20"/>
        </w:rPr>
        <w:t>S. frugiperda</w:t>
      </w:r>
      <w:r w:rsidRPr="00C30158">
        <w:rPr>
          <w:rFonts w:ascii="Arial" w:hAnsi="Arial" w:cs="Arial"/>
          <w:sz w:val="20"/>
        </w:rPr>
        <w:t xml:space="preserve"> larvae. In contrast, ESB-</w:t>
      </w:r>
      <w:r w:rsidR="00C9563C" w:rsidRPr="00C30158">
        <w:rPr>
          <w:rFonts w:ascii="Arial" w:hAnsi="Arial" w:cs="Arial"/>
          <w:sz w:val="20"/>
        </w:rPr>
        <w:t>6 (12.28±0.57)</w:t>
      </w:r>
      <w:r w:rsidRPr="00C30158">
        <w:rPr>
          <w:rFonts w:ascii="Arial" w:hAnsi="Arial" w:cs="Arial"/>
          <w:sz w:val="20"/>
        </w:rPr>
        <w:t xml:space="preserve"> was the least effective isolate, as the larval mortality observed under this treatment did not differ significantly from the control, suggesting a negligible lethal effect</w:t>
      </w:r>
      <w:r w:rsidR="00C30158">
        <w:rPr>
          <w:rFonts w:ascii="Arial" w:hAnsi="Arial" w:cs="Arial"/>
          <w:sz w:val="20"/>
        </w:rPr>
        <w:t xml:space="preserve"> (Fig. 1)</w:t>
      </w:r>
      <w:r w:rsidRPr="00C30158">
        <w:rPr>
          <w:rFonts w:ascii="Arial" w:hAnsi="Arial" w:cs="Arial"/>
          <w:sz w:val="20"/>
        </w:rPr>
        <w:t>.</w:t>
      </w:r>
    </w:p>
    <w:p w14:paraId="203D7CFF" w14:textId="77777777" w:rsidR="00852E7D" w:rsidRPr="00C30158" w:rsidRDefault="00C30158" w:rsidP="004B4CB5">
      <w:pPr>
        <w:jc w:val="both"/>
        <w:rPr>
          <w:rFonts w:ascii="Arial" w:hAnsi="Arial" w:cs="Arial"/>
          <w:szCs w:val="22"/>
        </w:rPr>
      </w:pPr>
      <w:r>
        <w:rPr>
          <w:rFonts w:ascii="Arial" w:hAnsi="Arial" w:cs="Arial"/>
          <w:b/>
          <w:bCs/>
          <w:szCs w:val="22"/>
        </w:rPr>
        <w:t xml:space="preserve">3.2 </w:t>
      </w:r>
      <w:r w:rsidR="00852E7D" w:rsidRPr="00C30158">
        <w:rPr>
          <w:rFonts w:ascii="Arial" w:hAnsi="Arial" w:cs="Arial"/>
          <w:b/>
          <w:bCs/>
          <w:szCs w:val="22"/>
        </w:rPr>
        <w:t>Effect on relative growth rate (RGR) of larvae</w:t>
      </w:r>
      <w:r w:rsidR="00852E7D" w:rsidRPr="00C30158">
        <w:rPr>
          <w:rFonts w:ascii="Arial" w:hAnsi="Arial" w:cs="Arial"/>
          <w:szCs w:val="22"/>
        </w:rPr>
        <w:t xml:space="preserve"> </w:t>
      </w:r>
    </w:p>
    <w:p w14:paraId="71F10386" w14:textId="77777777" w:rsidR="00852E7D" w:rsidRDefault="00852E7D" w:rsidP="004B4CB5">
      <w:pPr>
        <w:jc w:val="both"/>
        <w:rPr>
          <w:rFonts w:ascii="Arial" w:hAnsi="Arial" w:cs="Arial"/>
          <w:sz w:val="20"/>
        </w:rPr>
      </w:pPr>
      <w:r w:rsidRPr="00C30158">
        <w:rPr>
          <w:rFonts w:ascii="Arial" w:hAnsi="Arial" w:cs="Arial"/>
          <w:sz w:val="20"/>
        </w:rPr>
        <w:lastRenderedPageBreak/>
        <w:t xml:space="preserve">The relative growth rate (RGR) of </w:t>
      </w:r>
      <w:r w:rsidRPr="00C30158">
        <w:rPr>
          <w:rFonts w:ascii="Arial" w:hAnsi="Arial" w:cs="Arial"/>
          <w:i/>
          <w:iCs/>
          <w:sz w:val="20"/>
        </w:rPr>
        <w:t>S. frugiperda</w:t>
      </w:r>
      <w:r w:rsidRPr="00C30158">
        <w:rPr>
          <w:rFonts w:ascii="Arial" w:hAnsi="Arial" w:cs="Arial"/>
          <w:sz w:val="20"/>
        </w:rPr>
        <w:t xml:space="preserve"> larvae was significantly affected by maize-deriv</w:t>
      </w:r>
      <w:r w:rsidR="00A077C3" w:rsidRPr="00C30158">
        <w:rPr>
          <w:rFonts w:ascii="Arial" w:hAnsi="Arial" w:cs="Arial"/>
          <w:sz w:val="20"/>
        </w:rPr>
        <w:t>ed bacterial endophytes (F = 6.33</w:t>
      </w:r>
      <w:r w:rsidR="00166ECF" w:rsidRPr="00C30158">
        <w:rPr>
          <w:rFonts w:ascii="Arial" w:hAnsi="Arial" w:cs="Arial"/>
          <w:sz w:val="20"/>
        </w:rPr>
        <w:t>; df = 8</w:t>
      </w:r>
      <w:r w:rsidR="00C30158" w:rsidRPr="00C30158">
        <w:rPr>
          <w:rFonts w:ascii="Arial" w:hAnsi="Arial" w:cs="Arial"/>
          <w:sz w:val="20"/>
        </w:rPr>
        <w:t xml:space="preserve">; p &lt; </w:t>
      </w:r>
      <w:r w:rsidRPr="00C30158">
        <w:rPr>
          <w:rFonts w:ascii="Arial" w:hAnsi="Arial" w:cs="Arial"/>
          <w:sz w:val="20"/>
        </w:rPr>
        <w:t xml:space="preserve">.05). ESB-8 caused the maximum suppression of larval growth, as evidenced by the lowest RGR </w:t>
      </w:r>
      <w:r w:rsidR="00166ECF" w:rsidRPr="00C30158">
        <w:rPr>
          <w:rFonts w:ascii="Arial" w:hAnsi="Arial" w:cs="Arial"/>
          <w:sz w:val="20"/>
        </w:rPr>
        <w:t xml:space="preserve">(0.15± 0.005) </w:t>
      </w:r>
      <w:r w:rsidRPr="00C30158">
        <w:rPr>
          <w:rFonts w:ascii="Arial" w:hAnsi="Arial" w:cs="Arial"/>
          <w:sz w:val="20"/>
        </w:rPr>
        <w:t xml:space="preserve">among all treatments, indicating severe impairment of nutrient assimilation and physiological growth processes. </w:t>
      </w:r>
      <w:r w:rsidR="00410037" w:rsidRPr="00C30158">
        <w:rPr>
          <w:rFonts w:ascii="Arial" w:hAnsi="Arial" w:cs="Arial"/>
          <w:sz w:val="20"/>
        </w:rPr>
        <w:t>Conversely, ESB-2</w:t>
      </w:r>
      <w:r w:rsidRPr="00C30158">
        <w:rPr>
          <w:rFonts w:ascii="Arial" w:hAnsi="Arial" w:cs="Arial"/>
          <w:sz w:val="20"/>
        </w:rPr>
        <w:t xml:space="preserve"> recorded RGR</w:t>
      </w:r>
      <w:r w:rsidR="00410037" w:rsidRPr="00C30158">
        <w:rPr>
          <w:rFonts w:ascii="Arial" w:hAnsi="Arial" w:cs="Arial"/>
          <w:sz w:val="20"/>
        </w:rPr>
        <w:t xml:space="preserve"> (0.19±0.004)</w:t>
      </w:r>
      <w:r w:rsidRPr="00C30158">
        <w:rPr>
          <w:rFonts w:ascii="Arial" w:hAnsi="Arial" w:cs="Arial"/>
          <w:sz w:val="20"/>
        </w:rPr>
        <w:t xml:space="preserve"> confirming its least effectiveness in restricting larval growth</w:t>
      </w:r>
      <w:r w:rsidR="00C30158">
        <w:rPr>
          <w:rFonts w:ascii="Arial" w:hAnsi="Arial" w:cs="Arial"/>
          <w:sz w:val="20"/>
        </w:rPr>
        <w:t xml:space="preserve"> (Fig. 2)</w:t>
      </w:r>
      <w:r w:rsidRPr="00C30158">
        <w:rPr>
          <w:rFonts w:ascii="Arial" w:hAnsi="Arial" w:cs="Arial"/>
          <w:sz w:val="20"/>
        </w:rPr>
        <w:t>. The remaining isolates produced moderate reductions in RGR, reflecting variable but less pronounced growth-retarding effects.</w:t>
      </w:r>
    </w:p>
    <w:p w14:paraId="4621110F" w14:textId="77777777" w:rsidR="00C30158" w:rsidRDefault="00C30158" w:rsidP="00C30158">
      <w:pPr>
        <w:jc w:val="center"/>
        <w:rPr>
          <w:rFonts w:ascii="Arial" w:hAnsi="Arial" w:cs="Arial"/>
          <w:sz w:val="20"/>
        </w:rPr>
      </w:pPr>
      <w:r w:rsidRPr="00C30158">
        <w:rPr>
          <w:rFonts w:ascii="Arial" w:hAnsi="Arial" w:cs="Arial"/>
          <w:noProof/>
          <w:sz w:val="20"/>
          <w:lang w:eastAsia="en-IN"/>
        </w:rPr>
        <w:drawing>
          <wp:inline distT="0" distB="0" distL="0" distR="0" wp14:anchorId="1B616642" wp14:editId="029CA05C">
            <wp:extent cx="3569676" cy="2860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3589092" cy="2875837"/>
                    </a:xfrm>
                    <a:prstGeom prst="rect">
                      <a:avLst/>
                    </a:prstGeom>
                  </pic:spPr>
                </pic:pic>
              </a:graphicData>
            </a:graphic>
          </wp:inline>
        </w:drawing>
      </w:r>
    </w:p>
    <w:p w14:paraId="7D983D25" w14:textId="77777777" w:rsidR="00C30158" w:rsidRPr="00081E44" w:rsidRDefault="00081E44" w:rsidP="00C30158">
      <w:pPr>
        <w:jc w:val="both"/>
        <w:rPr>
          <w:rFonts w:ascii="Arial" w:hAnsi="Arial" w:cs="Arial"/>
          <w:b/>
          <w:sz w:val="20"/>
        </w:rPr>
      </w:pPr>
      <w:r w:rsidRPr="00081E44">
        <w:rPr>
          <w:rFonts w:ascii="Arial" w:hAnsi="Arial" w:cs="Arial"/>
          <w:b/>
          <w:sz w:val="20"/>
        </w:rPr>
        <w:t>Fig.</w:t>
      </w:r>
      <w:r>
        <w:rPr>
          <w:rFonts w:ascii="Arial" w:hAnsi="Arial" w:cs="Arial"/>
          <w:b/>
          <w:sz w:val="20"/>
        </w:rPr>
        <w:t xml:space="preserve"> </w:t>
      </w:r>
      <w:r w:rsidR="00C30158" w:rsidRPr="00081E44">
        <w:rPr>
          <w:rFonts w:ascii="Arial" w:hAnsi="Arial" w:cs="Arial"/>
          <w:b/>
          <w:sz w:val="20"/>
        </w:rPr>
        <w:t xml:space="preserve">1. Effect of maize-derived bacterial endophytes on larval mortality of </w:t>
      </w:r>
      <w:r w:rsidR="00C30158" w:rsidRPr="00081E44">
        <w:rPr>
          <w:rFonts w:ascii="Arial" w:hAnsi="Arial" w:cs="Arial"/>
          <w:b/>
          <w:i/>
          <w:sz w:val="20"/>
        </w:rPr>
        <w:t>S. frugiperda</w:t>
      </w:r>
      <w:r w:rsidR="00C30158" w:rsidRPr="00081E44">
        <w:rPr>
          <w:rFonts w:ascii="Arial" w:hAnsi="Arial" w:cs="Arial"/>
          <w:b/>
          <w:sz w:val="20"/>
        </w:rPr>
        <w:t xml:space="preserve"> under in vitro conditions (one-way ANOVA, n=30, p = .05, DMRT was used for treatment comparison. Different letters indicate significant differences among treatments)</w:t>
      </w:r>
    </w:p>
    <w:p w14:paraId="546EA655" w14:textId="77777777" w:rsidR="00C30158" w:rsidRDefault="00C30158" w:rsidP="00C30158">
      <w:pPr>
        <w:jc w:val="center"/>
        <w:rPr>
          <w:rFonts w:ascii="Arial" w:hAnsi="Arial" w:cs="Arial"/>
          <w:b/>
          <w:bCs/>
          <w:szCs w:val="22"/>
        </w:rPr>
      </w:pPr>
      <w:r w:rsidRPr="00C30158">
        <w:rPr>
          <w:rFonts w:ascii="Arial" w:hAnsi="Arial" w:cs="Arial"/>
          <w:noProof/>
          <w:sz w:val="20"/>
          <w:lang w:eastAsia="en-IN"/>
        </w:rPr>
        <w:drawing>
          <wp:inline distT="0" distB="0" distL="0" distR="0" wp14:anchorId="4DC0AD9B" wp14:editId="73D0F863">
            <wp:extent cx="3498179" cy="2802993"/>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3526324" cy="2825545"/>
                    </a:xfrm>
                    <a:prstGeom prst="rect">
                      <a:avLst/>
                    </a:prstGeom>
                  </pic:spPr>
                </pic:pic>
              </a:graphicData>
            </a:graphic>
          </wp:inline>
        </w:drawing>
      </w:r>
    </w:p>
    <w:p w14:paraId="33EFE851" w14:textId="77777777" w:rsidR="00C30158" w:rsidRPr="00C30158" w:rsidRDefault="00081E44" w:rsidP="00C30158">
      <w:pPr>
        <w:jc w:val="both"/>
        <w:rPr>
          <w:rFonts w:ascii="Arial" w:hAnsi="Arial" w:cs="Arial"/>
          <w:sz w:val="20"/>
        </w:rPr>
      </w:pPr>
      <w:r w:rsidRPr="00081E44">
        <w:rPr>
          <w:rFonts w:ascii="Arial" w:hAnsi="Arial" w:cs="Arial"/>
          <w:b/>
          <w:sz w:val="20"/>
        </w:rPr>
        <w:t>Fig.</w:t>
      </w:r>
      <w:r w:rsidR="00C30158" w:rsidRPr="00081E44">
        <w:rPr>
          <w:rFonts w:ascii="Arial" w:hAnsi="Arial" w:cs="Arial"/>
          <w:b/>
          <w:sz w:val="20"/>
        </w:rPr>
        <w:t xml:space="preserve"> 2. Effect of maize-derived bacterial endophytes on relative growth rate (RGR) of </w:t>
      </w:r>
      <w:r w:rsidR="00C30158" w:rsidRPr="00081E44">
        <w:rPr>
          <w:rFonts w:ascii="Arial" w:hAnsi="Arial" w:cs="Arial"/>
          <w:b/>
          <w:i/>
          <w:sz w:val="20"/>
        </w:rPr>
        <w:t>S. frugiperda</w:t>
      </w:r>
      <w:r w:rsidR="00C30158" w:rsidRPr="00081E44">
        <w:rPr>
          <w:rFonts w:ascii="Arial" w:hAnsi="Arial" w:cs="Arial"/>
          <w:b/>
          <w:sz w:val="20"/>
        </w:rPr>
        <w:t xml:space="preserve"> larvae under in vitro conditions (one-way ANOVA, n=30, p = .05, DMRT was used for treatment comparison. Different letters indicate significant differences among treatments)</w:t>
      </w:r>
    </w:p>
    <w:p w14:paraId="15B03250" w14:textId="77777777" w:rsidR="00852E7D" w:rsidRPr="00C30158" w:rsidRDefault="00C30158" w:rsidP="004B4CB5">
      <w:pPr>
        <w:jc w:val="both"/>
        <w:rPr>
          <w:rFonts w:ascii="Arial" w:hAnsi="Arial" w:cs="Arial"/>
          <w:szCs w:val="22"/>
        </w:rPr>
      </w:pPr>
      <w:r>
        <w:rPr>
          <w:rFonts w:ascii="Arial" w:hAnsi="Arial" w:cs="Arial"/>
          <w:b/>
          <w:bCs/>
          <w:szCs w:val="22"/>
        </w:rPr>
        <w:t xml:space="preserve">3.3 </w:t>
      </w:r>
      <w:r w:rsidR="00852E7D" w:rsidRPr="00C30158">
        <w:rPr>
          <w:rFonts w:ascii="Arial" w:hAnsi="Arial" w:cs="Arial"/>
          <w:b/>
          <w:bCs/>
          <w:szCs w:val="22"/>
        </w:rPr>
        <w:t>Effect on ECI and feeding deterrence</w:t>
      </w:r>
      <w:r w:rsidR="00852E7D" w:rsidRPr="00C30158">
        <w:rPr>
          <w:rFonts w:ascii="Arial" w:hAnsi="Arial" w:cs="Arial"/>
          <w:szCs w:val="22"/>
        </w:rPr>
        <w:t xml:space="preserve"> </w:t>
      </w:r>
    </w:p>
    <w:p w14:paraId="2386D419" w14:textId="77777777" w:rsidR="00852E7D" w:rsidRPr="00C30158" w:rsidRDefault="00852E7D" w:rsidP="004B4CB5">
      <w:pPr>
        <w:jc w:val="both"/>
        <w:rPr>
          <w:rFonts w:ascii="Arial" w:hAnsi="Arial" w:cs="Arial"/>
          <w:sz w:val="20"/>
        </w:rPr>
      </w:pPr>
      <w:r w:rsidRPr="00C30158">
        <w:rPr>
          <w:rFonts w:ascii="Arial" w:hAnsi="Arial" w:cs="Arial"/>
          <w:sz w:val="20"/>
        </w:rPr>
        <w:t xml:space="preserve">Significant differences were recorded among treatments for both Efficiency </w:t>
      </w:r>
      <w:r w:rsidR="00057DFD" w:rsidRPr="00C30158">
        <w:rPr>
          <w:rFonts w:ascii="Arial" w:hAnsi="Arial" w:cs="Arial"/>
          <w:sz w:val="20"/>
        </w:rPr>
        <w:t xml:space="preserve">of Conversion of Ingested food (F = 6.88; df = 8; p &lt; .05) </w:t>
      </w:r>
      <w:r w:rsidRPr="00C30158">
        <w:rPr>
          <w:rFonts w:ascii="Arial" w:hAnsi="Arial" w:cs="Arial"/>
          <w:sz w:val="20"/>
        </w:rPr>
        <w:t>and Feeding Dete</w:t>
      </w:r>
      <w:r w:rsidR="002553C5" w:rsidRPr="00C30158">
        <w:rPr>
          <w:rFonts w:ascii="Arial" w:hAnsi="Arial" w:cs="Arial"/>
          <w:sz w:val="20"/>
        </w:rPr>
        <w:t xml:space="preserve">rrence Index </w:t>
      </w:r>
      <w:r w:rsidR="00057DFD" w:rsidRPr="00C30158">
        <w:rPr>
          <w:rFonts w:ascii="Arial" w:hAnsi="Arial" w:cs="Arial"/>
          <w:sz w:val="20"/>
        </w:rPr>
        <w:t>(F = 12.79; df = 8</w:t>
      </w:r>
      <w:r w:rsidR="00C30158" w:rsidRPr="00C30158">
        <w:rPr>
          <w:rFonts w:ascii="Arial" w:hAnsi="Arial" w:cs="Arial"/>
          <w:sz w:val="20"/>
        </w:rPr>
        <w:t xml:space="preserve">; p &lt; </w:t>
      </w:r>
      <w:r w:rsidRPr="00C30158">
        <w:rPr>
          <w:rFonts w:ascii="Arial" w:hAnsi="Arial" w:cs="Arial"/>
          <w:sz w:val="20"/>
        </w:rPr>
        <w:t xml:space="preserve">.05). ESB-8 was </w:t>
      </w:r>
      <w:r w:rsidRPr="00C30158">
        <w:rPr>
          <w:rFonts w:ascii="Arial" w:hAnsi="Arial" w:cs="Arial"/>
          <w:sz w:val="20"/>
        </w:rPr>
        <w:lastRenderedPageBreak/>
        <w:t>the most effective isolate, showing the lowest ECI</w:t>
      </w:r>
      <w:r w:rsidR="00057DFD" w:rsidRPr="00C30158">
        <w:rPr>
          <w:rFonts w:ascii="Arial" w:hAnsi="Arial" w:cs="Arial"/>
          <w:sz w:val="20"/>
        </w:rPr>
        <w:t xml:space="preserve"> (8.58±0.52)</w:t>
      </w:r>
      <w:r w:rsidRPr="00C30158">
        <w:rPr>
          <w:rFonts w:ascii="Arial" w:hAnsi="Arial" w:cs="Arial"/>
          <w:sz w:val="20"/>
        </w:rPr>
        <w:t>, indicating poor conversio</w:t>
      </w:r>
      <w:r w:rsidR="00057DFD" w:rsidRPr="00C30158">
        <w:rPr>
          <w:rFonts w:ascii="Arial" w:hAnsi="Arial" w:cs="Arial"/>
          <w:sz w:val="20"/>
        </w:rPr>
        <w:t>n of ingested food into biomass</w:t>
      </w:r>
      <w:r w:rsidRPr="00C30158">
        <w:rPr>
          <w:rFonts w:ascii="Arial" w:hAnsi="Arial" w:cs="Arial"/>
          <w:sz w:val="20"/>
        </w:rPr>
        <w:t xml:space="preserve"> along with the highest FDI</w:t>
      </w:r>
      <w:r w:rsidR="00057DFD" w:rsidRPr="00C30158">
        <w:rPr>
          <w:rFonts w:ascii="Arial" w:hAnsi="Arial" w:cs="Arial"/>
          <w:sz w:val="20"/>
        </w:rPr>
        <w:t xml:space="preserve"> (42.96±1.69) </w:t>
      </w:r>
      <w:r w:rsidRPr="00C30158">
        <w:rPr>
          <w:rFonts w:ascii="Arial" w:hAnsi="Arial" w:cs="Arial"/>
          <w:sz w:val="20"/>
        </w:rPr>
        <w:t xml:space="preserve">reflecting strong feeding deterrent activity. This dual effect highlights the capacity of ESB-8 to disrupt both feeding </w:t>
      </w:r>
      <w:r w:rsidR="00226594" w:rsidRPr="00C30158">
        <w:rPr>
          <w:rFonts w:ascii="Arial" w:hAnsi="Arial" w:cs="Arial"/>
          <w:sz w:val="20"/>
        </w:rPr>
        <w:t>behaviour</w:t>
      </w:r>
      <w:r w:rsidRPr="00C30158">
        <w:rPr>
          <w:rFonts w:ascii="Arial" w:hAnsi="Arial" w:cs="Arial"/>
          <w:sz w:val="20"/>
        </w:rPr>
        <w:t xml:space="preserve"> and digestive efficien</w:t>
      </w:r>
      <w:r w:rsidR="00057DFD" w:rsidRPr="00C30158">
        <w:rPr>
          <w:rFonts w:ascii="Arial" w:hAnsi="Arial" w:cs="Arial"/>
          <w:sz w:val="20"/>
        </w:rPr>
        <w:t>cy of larvae. In contrast, ESB-6</w:t>
      </w:r>
      <w:r w:rsidRPr="00C30158">
        <w:rPr>
          <w:rFonts w:ascii="Arial" w:hAnsi="Arial" w:cs="Arial"/>
          <w:sz w:val="20"/>
        </w:rPr>
        <w:t xml:space="preserve"> </w:t>
      </w:r>
      <w:r w:rsidR="00057DFD" w:rsidRPr="00C30158">
        <w:rPr>
          <w:rFonts w:ascii="Arial" w:hAnsi="Arial" w:cs="Arial"/>
          <w:sz w:val="20"/>
        </w:rPr>
        <w:t xml:space="preserve">and ESB-1 </w:t>
      </w:r>
      <w:r w:rsidRPr="00C30158">
        <w:rPr>
          <w:rFonts w:ascii="Arial" w:hAnsi="Arial" w:cs="Arial"/>
          <w:sz w:val="20"/>
        </w:rPr>
        <w:t xml:space="preserve">exhibited </w:t>
      </w:r>
      <w:r w:rsidR="00057DFD" w:rsidRPr="00C30158">
        <w:rPr>
          <w:rFonts w:ascii="Arial" w:hAnsi="Arial" w:cs="Arial"/>
          <w:sz w:val="20"/>
        </w:rPr>
        <w:t xml:space="preserve">the highest </w:t>
      </w:r>
      <w:r w:rsidRPr="00C30158">
        <w:rPr>
          <w:rFonts w:ascii="Arial" w:hAnsi="Arial" w:cs="Arial"/>
          <w:sz w:val="20"/>
        </w:rPr>
        <w:t xml:space="preserve">ECI </w:t>
      </w:r>
      <w:r w:rsidR="00057DFD" w:rsidRPr="00C30158">
        <w:rPr>
          <w:rFonts w:ascii="Arial" w:hAnsi="Arial" w:cs="Arial"/>
          <w:sz w:val="20"/>
        </w:rPr>
        <w:t xml:space="preserve">(15.31± 1.27) </w:t>
      </w:r>
      <w:r w:rsidRPr="00C30158">
        <w:rPr>
          <w:rFonts w:ascii="Arial" w:hAnsi="Arial" w:cs="Arial"/>
          <w:sz w:val="20"/>
        </w:rPr>
        <w:t xml:space="preserve">and </w:t>
      </w:r>
      <w:r w:rsidR="00057DFD" w:rsidRPr="00C30158">
        <w:rPr>
          <w:rFonts w:ascii="Arial" w:hAnsi="Arial" w:cs="Arial"/>
          <w:sz w:val="20"/>
        </w:rPr>
        <w:t xml:space="preserve">the lowest </w:t>
      </w:r>
      <w:r w:rsidRPr="00C30158">
        <w:rPr>
          <w:rFonts w:ascii="Arial" w:hAnsi="Arial" w:cs="Arial"/>
          <w:sz w:val="20"/>
        </w:rPr>
        <w:t>FDI</w:t>
      </w:r>
      <w:r w:rsidR="00057DFD" w:rsidRPr="00C30158">
        <w:rPr>
          <w:rFonts w:ascii="Arial" w:hAnsi="Arial" w:cs="Arial"/>
          <w:sz w:val="20"/>
        </w:rPr>
        <w:t xml:space="preserve"> </w:t>
      </w:r>
      <w:r w:rsidR="00314355" w:rsidRPr="00C30158">
        <w:rPr>
          <w:rFonts w:ascii="Arial" w:hAnsi="Arial" w:cs="Arial"/>
          <w:sz w:val="20"/>
        </w:rPr>
        <w:t>(6.48</w:t>
      </w:r>
      <w:r w:rsidR="00057DFD" w:rsidRPr="00C30158">
        <w:rPr>
          <w:rFonts w:ascii="Arial" w:hAnsi="Arial" w:cs="Arial"/>
          <w:sz w:val="20"/>
        </w:rPr>
        <w:t>±</w:t>
      </w:r>
      <w:r w:rsidR="00314355" w:rsidRPr="00C30158">
        <w:rPr>
          <w:rFonts w:ascii="Arial" w:hAnsi="Arial" w:cs="Arial"/>
          <w:sz w:val="20"/>
        </w:rPr>
        <w:t>2.15</w:t>
      </w:r>
      <w:r w:rsidR="00057DFD" w:rsidRPr="00C30158">
        <w:rPr>
          <w:rFonts w:ascii="Arial" w:hAnsi="Arial" w:cs="Arial"/>
          <w:sz w:val="20"/>
        </w:rPr>
        <w:t xml:space="preserve">) </w:t>
      </w:r>
      <w:r w:rsidR="00314355" w:rsidRPr="00C30158">
        <w:rPr>
          <w:rFonts w:ascii="Arial" w:hAnsi="Arial" w:cs="Arial"/>
          <w:sz w:val="20"/>
        </w:rPr>
        <w:t>compared</w:t>
      </w:r>
      <w:r w:rsidRPr="00C30158">
        <w:rPr>
          <w:rFonts w:ascii="Arial" w:hAnsi="Arial" w:cs="Arial"/>
          <w:sz w:val="20"/>
        </w:rPr>
        <w:t xml:space="preserve"> to the control</w:t>
      </w:r>
      <w:r w:rsidR="00314355" w:rsidRPr="00C30158">
        <w:rPr>
          <w:rFonts w:ascii="Arial" w:hAnsi="Arial" w:cs="Arial"/>
          <w:sz w:val="20"/>
        </w:rPr>
        <w:t xml:space="preserve"> </w:t>
      </w:r>
      <w:r w:rsidR="00FE40B2" w:rsidRPr="00C30158">
        <w:rPr>
          <w:rFonts w:ascii="Arial" w:hAnsi="Arial" w:cs="Arial"/>
          <w:sz w:val="20"/>
        </w:rPr>
        <w:t xml:space="preserve">(ECI= 12.02±0.17) </w:t>
      </w:r>
      <w:r w:rsidR="00314355" w:rsidRPr="00C30158">
        <w:rPr>
          <w:rFonts w:ascii="Arial" w:hAnsi="Arial" w:cs="Arial"/>
          <w:sz w:val="20"/>
        </w:rPr>
        <w:t>and other endophytes</w:t>
      </w:r>
      <w:r w:rsidRPr="00C30158">
        <w:rPr>
          <w:rFonts w:ascii="Arial" w:hAnsi="Arial" w:cs="Arial"/>
          <w:sz w:val="20"/>
        </w:rPr>
        <w:t>, demonstrating minimal interference with larval feeding and food utilization, and was therefore categorized as the least effective endophyte</w:t>
      </w:r>
      <w:r w:rsidR="00FE40B2" w:rsidRPr="00C30158">
        <w:rPr>
          <w:rFonts w:ascii="Arial" w:hAnsi="Arial" w:cs="Arial"/>
          <w:sz w:val="20"/>
        </w:rPr>
        <w:t>s</w:t>
      </w:r>
      <w:r w:rsidR="00C30158">
        <w:rPr>
          <w:rFonts w:ascii="Arial" w:hAnsi="Arial" w:cs="Arial"/>
          <w:sz w:val="20"/>
        </w:rPr>
        <w:t xml:space="preserve"> (Fig. 3)</w:t>
      </w:r>
      <w:r w:rsidRPr="00C30158">
        <w:rPr>
          <w:rFonts w:ascii="Arial" w:hAnsi="Arial" w:cs="Arial"/>
          <w:sz w:val="20"/>
        </w:rPr>
        <w:t>. Other isolates showed intermediate responses, causing partial reduction in ECI and moderate feeding deterrence.</w:t>
      </w:r>
    </w:p>
    <w:p w14:paraId="06837CEE"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drawing>
          <wp:inline distT="0" distB="0" distL="0" distR="0" wp14:anchorId="32D5E015" wp14:editId="520251AE">
            <wp:extent cx="3651530" cy="34165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5"/>
                    <a:srcRect r="16548"/>
                    <a:stretch/>
                  </pic:blipFill>
                  <pic:spPr bwMode="auto">
                    <a:xfrm>
                      <a:off x="0" y="0"/>
                      <a:ext cx="3674889" cy="3438450"/>
                    </a:xfrm>
                    <a:prstGeom prst="rect">
                      <a:avLst/>
                    </a:prstGeom>
                    <a:ln>
                      <a:noFill/>
                    </a:ln>
                    <a:extLst>
                      <a:ext uri="{53640926-AAD7-44D8-BBD7-CCE9431645EC}">
                        <a14:shadowObscured xmlns:a14="http://schemas.microsoft.com/office/drawing/2010/main"/>
                      </a:ext>
                    </a:extLst>
                  </pic:spPr>
                </pic:pic>
              </a:graphicData>
            </a:graphic>
          </wp:inline>
        </w:drawing>
      </w:r>
    </w:p>
    <w:p w14:paraId="7D5C72A0" w14:textId="77777777" w:rsidR="004A3053" w:rsidRDefault="00081E44" w:rsidP="004A3053">
      <w:pPr>
        <w:jc w:val="both"/>
        <w:rPr>
          <w:rFonts w:ascii="Arial" w:hAnsi="Arial" w:cs="Arial"/>
          <w:b/>
          <w:sz w:val="20"/>
        </w:rPr>
      </w:pPr>
      <w:r w:rsidRPr="00081E44">
        <w:rPr>
          <w:rFonts w:ascii="Arial" w:hAnsi="Arial" w:cs="Arial"/>
          <w:b/>
          <w:sz w:val="20"/>
        </w:rPr>
        <w:t xml:space="preserve">Fig. </w:t>
      </w:r>
      <w:r w:rsidR="004A3053" w:rsidRPr="00081E44">
        <w:rPr>
          <w:rFonts w:ascii="Arial" w:hAnsi="Arial" w:cs="Arial"/>
          <w:b/>
          <w:sz w:val="20"/>
        </w:rPr>
        <w:t xml:space="preserve">3. Effect of maize-derived bacterial endophytes on </w:t>
      </w:r>
      <w:r w:rsidR="004A3053" w:rsidRPr="00081E44">
        <w:rPr>
          <w:rFonts w:ascii="Arial" w:hAnsi="Arial" w:cs="Arial"/>
          <w:b/>
          <w:i/>
          <w:sz w:val="20"/>
        </w:rPr>
        <w:t>S. frugiperda</w:t>
      </w:r>
      <w:r w:rsidR="004A3053" w:rsidRPr="00081E44">
        <w:rPr>
          <w:rFonts w:ascii="Arial" w:hAnsi="Arial" w:cs="Arial"/>
          <w:b/>
          <w:sz w:val="20"/>
        </w:rPr>
        <w:t xml:space="preserve"> larvae’s Efficiency of Conversion of Ingested food (ECI) and Feeding Deterrence Index (FDI)</w:t>
      </w:r>
      <w:r w:rsidR="00C30158" w:rsidRPr="00081E44">
        <w:rPr>
          <w:rFonts w:ascii="Arial" w:hAnsi="Arial" w:cs="Arial"/>
          <w:b/>
          <w:sz w:val="20"/>
        </w:rPr>
        <w:t xml:space="preserve"> (one-way ANOVA, n=30, p = </w:t>
      </w:r>
      <w:r w:rsidR="004A3053" w:rsidRPr="00081E44">
        <w:rPr>
          <w:rFonts w:ascii="Arial" w:hAnsi="Arial" w:cs="Arial"/>
          <w:b/>
          <w:sz w:val="20"/>
        </w:rPr>
        <w:t>.05, DMRT was used for treatment comparison. Different letters indicate significan</w:t>
      </w:r>
      <w:r>
        <w:rPr>
          <w:rFonts w:ascii="Arial" w:hAnsi="Arial" w:cs="Arial"/>
          <w:b/>
          <w:sz w:val="20"/>
        </w:rPr>
        <w:t>t differences among treatments)</w:t>
      </w:r>
    </w:p>
    <w:p w14:paraId="5EA65EDB" w14:textId="77777777" w:rsidR="006311BA" w:rsidRPr="00C30158" w:rsidRDefault="006311BA" w:rsidP="006311BA">
      <w:pPr>
        <w:jc w:val="both"/>
        <w:rPr>
          <w:rFonts w:ascii="Arial" w:hAnsi="Arial" w:cs="Arial"/>
          <w:szCs w:val="22"/>
        </w:rPr>
      </w:pPr>
      <w:r>
        <w:rPr>
          <w:rFonts w:ascii="Arial" w:hAnsi="Arial" w:cs="Arial"/>
          <w:b/>
          <w:bCs/>
          <w:szCs w:val="22"/>
        </w:rPr>
        <w:t xml:space="preserve">3.4 </w:t>
      </w:r>
      <w:r w:rsidRPr="00C30158">
        <w:rPr>
          <w:rFonts w:ascii="Arial" w:hAnsi="Arial" w:cs="Arial"/>
          <w:b/>
          <w:bCs/>
          <w:szCs w:val="22"/>
        </w:rPr>
        <w:t>Effect on pupation and adult emergence</w:t>
      </w:r>
      <w:r w:rsidRPr="00C30158">
        <w:rPr>
          <w:rFonts w:ascii="Arial" w:hAnsi="Arial" w:cs="Arial"/>
          <w:szCs w:val="22"/>
        </w:rPr>
        <w:t xml:space="preserve"> </w:t>
      </w:r>
    </w:p>
    <w:p w14:paraId="2F91E5C8" w14:textId="77777777" w:rsidR="006311BA" w:rsidRPr="00C30158" w:rsidRDefault="006311BA" w:rsidP="006311BA">
      <w:pPr>
        <w:jc w:val="both"/>
        <w:rPr>
          <w:rFonts w:ascii="Arial" w:hAnsi="Arial" w:cs="Arial"/>
          <w:sz w:val="20"/>
        </w:rPr>
      </w:pPr>
      <w:r w:rsidRPr="00C30158">
        <w:rPr>
          <w:rFonts w:ascii="Arial" w:hAnsi="Arial" w:cs="Arial"/>
          <w:sz w:val="20"/>
        </w:rPr>
        <w:t xml:space="preserve">Pupation and adult emergence of </w:t>
      </w:r>
      <w:r w:rsidRPr="00C30158">
        <w:rPr>
          <w:rFonts w:ascii="Arial" w:hAnsi="Arial" w:cs="Arial"/>
          <w:i/>
          <w:iCs/>
          <w:sz w:val="20"/>
        </w:rPr>
        <w:t>S. frugiperda</w:t>
      </w:r>
      <w:r w:rsidRPr="00C30158">
        <w:rPr>
          <w:rFonts w:ascii="Arial" w:hAnsi="Arial" w:cs="Arial"/>
          <w:sz w:val="20"/>
        </w:rPr>
        <w:t xml:space="preserve"> were significantly influenced by endophytic bacterial treatments (Pupation: F = 4.37; df = 8; p &lt; .05, adult emergence: F = 6.62; df = 8; p &lt; .05). ESB-8 resulted in the lowest pupation (52.93±4.14) and adult emergence (55.96±6.61) indicating a strong disruption of post-larval development and successful metamorphosis. The reduced transition from larva to pupa and adult under ESB-8 treatment suggests persistent and cumulative physiological stress. In contrast, ESB-1 and ESB-2 showed pupation (88.13±7.03) and adult emergence rates (78.40±1.59) comparable to the control confirming their limited impact on insect development</w:t>
      </w:r>
      <w:r>
        <w:rPr>
          <w:rFonts w:ascii="Arial" w:hAnsi="Arial" w:cs="Arial"/>
          <w:sz w:val="20"/>
        </w:rPr>
        <w:t xml:space="preserve"> (Fig. 4)</w:t>
      </w:r>
      <w:r w:rsidRPr="00C30158">
        <w:rPr>
          <w:rFonts w:ascii="Arial" w:hAnsi="Arial" w:cs="Arial"/>
          <w:sz w:val="20"/>
        </w:rPr>
        <w:t>. Other endophytes produced moderate reductions, indicating partial developmental inhibition.</w:t>
      </w:r>
    </w:p>
    <w:p w14:paraId="0B28E48E" w14:textId="77777777" w:rsidR="006311BA" w:rsidRPr="00C30158" w:rsidRDefault="006311BA" w:rsidP="006311BA">
      <w:pPr>
        <w:jc w:val="both"/>
        <w:rPr>
          <w:rFonts w:ascii="Arial" w:hAnsi="Arial" w:cs="Arial"/>
          <w:szCs w:val="22"/>
        </w:rPr>
      </w:pPr>
      <w:r>
        <w:rPr>
          <w:rFonts w:ascii="Arial" w:hAnsi="Arial" w:cs="Arial"/>
          <w:b/>
          <w:bCs/>
          <w:szCs w:val="22"/>
        </w:rPr>
        <w:t xml:space="preserve">3.5 </w:t>
      </w:r>
      <w:r w:rsidRPr="00C30158">
        <w:rPr>
          <w:rFonts w:ascii="Arial" w:hAnsi="Arial" w:cs="Arial"/>
          <w:b/>
          <w:bCs/>
          <w:szCs w:val="22"/>
        </w:rPr>
        <w:t>Effect on larval and pupal developmental periods</w:t>
      </w:r>
      <w:r w:rsidRPr="00C30158">
        <w:rPr>
          <w:rFonts w:ascii="Arial" w:hAnsi="Arial" w:cs="Arial"/>
          <w:szCs w:val="22"/>
        </w:rPr>
        <w:t xml:space="preserve"> </w:t>
      </w:r>
    </w:p>
    <w:p w14:paraId="3AD4C639" w14:textId="77777777" w:rsidR="006311BA" w:rsidRPr="00C30158" w:rsidRDefault="006311BA" w:rsidP="006311BA">
      <w:pPr>
        <w:jc w:val="both"/>
        <w:rPr>
          <w:rFonts w:ascii="Arial" w:hAnsi="Arial" w:cs="Arial"/>
          <w:sz w:val="20"/>
        </w:rPr>
      </w:pPr>
      <w:r w:rsidRPr="00C30158">
        <w:rPr>
          <w:rFonts w:ascii="Arial" w:hAnsi="Arial" w:cs="Arial"/>
          <w:sz w:val="20"/>
        </w:rPr>
        <w:t xml:space="preserve">Significant variation in larval and pupal developmental durations was observed among treatments (larval duration: F = 2.78; df = 8; p = .03, pupal duration: F = 2.83; df = 8; p = .03). ESB-8 significantly prolonged both larval (17.20±1.47) and pupal (9.43±0.69) developmental periods compared to the control (13.76±0.31 and 5.81±0.12 respectively) suggesting strong sub lethal effects that delayed normal growth and development. Such prolongation is indicative of physiological stress and metabolic disruption induced by the endophyte. Conversely, ESB-4 and ESB-1 did not significantly alter both larval (11.36±0.33) and pupal duration (6.83± 0.68) respectively maintaining developmental timelines similar </w:t>
      </w:r>
      <w:r w:rsidRPr="00C30158">
        <w:rPr>
          <w:rFonts w:ascii="Arial" w:hAnsi="Arial" w:cs="Arial"/>
          <w:sz w:val="20"/>
        </w:rPr>
        <w:lastRenderedPageBreak/>
        <w:t>to the control and thereby representing the least effective isolates</w:t>
      </w:r>
      <w:r>
        <w:rPr>
          <w:rFonts w:ascii="Arial" w:hAnsi="Arial" w:cs="Arial"/>
          <w:sz w:val="20"/>
        </w:rPr>
        <w:t xml:space="preserve"> (Fig. 5)</w:t>
      </w:r>
      <w:r w:rsidRPr="00C30158">
        <w:rPr>
          <w:rFonts w:ascii="Arial" w:hAnsi="Arial" w:cs="Arial"/>
          <w:sz w:val="20"/>
        </w:rPr>
        <w:t>. Other treatments caused moderate delays in development.</w:t>
      </w:r>
    </w:p>
    <w:p w14:paraId="0FC539C0" w14:textId="77777777" w:rsidR="004A3053" w:rsidRPr="00C30158" w:rsidRDefault="004A3053" w:rsidP="004A3053">
      <w:pPr>
        <w:jc w:val="both"/>
        <w:rPr>
          <w:rFonts w:ascii="Arial" w:hAnsi="Arial" w:cs="Arial"/>
          <w:sz w:val="20"/>
        </w:rPr>
      </w:pPr>
    </w:p>
    <w:p w14:paraId="1C452157"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drawing>
          <wp:inline distT="0" distB="0" distL="0" distR="0" wp14:anchorId="3E046810" wp14:editId="4A18FE36">
            <wp:extent cx="3721925" cy="2968455"/>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6"/>
                    <a:srcRect r="6793"/>
                    <a:stretch/>
                  </pic:blipFill>
                  <pic:spPr bwMode="auto">
                    <a:xfrm>
                      <a:off x="0" y="0"/>
                      <a:ext cx="3755374" cy="2995132"/>
                    </a:xfrm>
                    <a:prstGeom prst="rect">
                      <a:avLst/>
                    </a:prstGeom>
                    <a:ln>
                      <a:noFill/>
                    </a:ln>
                    <a:extLst>
                      <a:ext uri="{53640926-AAD7-44D8-BBD7-CCE9431645EC}">
                        <a14:shadowObscured xmlns:a14="http://schemas.microsoft.com/office/drawing/2010/main"/>
                      </a:ext>
                    </a:extLst>
                  </pic:spPr>
                </pic:pic>
              </a:graphicData>
            </a:graphic>
          </wp:inline>
        </w:drawing>
      </w:r>
    </w:p>
    <w:p w14:paraId="231CCEFD" w14:textId="77777777" w:rsidR="004A3053" w:rsidRPr="00081E44" w:rsidRDefault="00081E44" w:rsidP="004A3053">
      <w:pPr>
        <w:jc w:val="both"/>
        <w:rPr>
          <w:rFonts w:ascii="Arial" w:hAnsi="Arial" w:cs="Arial"/>
          <w:b/>
          <w:sz w:val="20"/>
        </w:rPr>
      </w:pPr>
      <w:r w:rsidRPr="00081E44">
        <w:rPr>
          <w:rFonts w:ascii="Arial" w:hAnsi="Arial" w:cs="Arial"/>
          <w:b/>
          <w:sz w:val="20"/>
        </w:rPr>
        <w:t xml:space="preserve">Fig. </w:t>
      </w:r>
      <w:r w:rsidR="004A3053" w:rsidRPr="00081E44">
        <w:rPr>
          <w:rFonts w:ascii="Arial" w:hAnsi="Arial" w:cs="Arial"/>
          <w:b/>
          <w:sz w:val="20"/>
        </w:rPr>
        <w:t xml:space="preserve">4. Effect of maize-derived bacterial endophytes on pupation and adult emergence of </w:t>
      </w:r>
      <w:r w:rsidR="004A3053" w:rsidRPr="00081E44">
        <w:rPr>
          <w:rFonts w:ascii="Arial" w:hAnsi="Arial" w:cs="Arial"/>
          <w:b/>
          <w:i/>
          <w:sz w:val="20"/>
        </w:rPr>
        <w:t>S. frugiperda</w:t>
      </w:r>
      <w:r w:rsidR="00C30158" w:rsidRPr="00081E44">
        <w:rPr>
          <w:rFonts w:ascii="Arial" w:hAnsi="Arial" w:cs="Arial"/>
          <w:b/>
          <w:sz w:val="20"/>
        </w:rPr>
        <w:t xml:space="preserve"> (one-way ANOVA, n=30, p</w:t>
      </w:r>
      <w:r w:rsidR="004A3053" w:rsidRPr="00081E44">
        <w:rPr>
          <w:rFonts w:ascii="Arial" w:hAnsi="Arial" w:cs="Arial"/>
          <w:b/>
          <w:sz w:val="20"/>
        </w:rPr>
        <w:t xml:space="preserve"> = .05, DMRT was used for treatment comparison. Different letters indicate significan</w:t>
      </w:r>
      <w:r w:rsidRPr="00081E44">
        <w:rPr>
          <w:rFonts w:ascii="Arial" w:hAnsi="Arial" w:cs="Arial"/>
          <w:b/>
          <w:sz w:val="20"/>
        </w:rPr>
        <w:t>t differences among treatments)</w:t>
      </w:r>
    </w:p>
    <w:p w14:paraId="233D8539" w14:textId="77777777" w:rsidR="004A3053" w:rsidRPr="00C30158" w:rsidRDefault="004A3053" w:rsidP="004A3053">
      <w:pPr>
        <w:jc w:val="both"/>
        <w:rPr>
          <w:rFonts w:ascii="Arial" w:hAnsi="Arial" w:cs="Arial"/>
          <w:sz w:val="20"/>
        </w:rPr>
      </w:pPr>
    </w:p>
    <w:p w14:paraId="0A2C8FDC"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drawing>
          <wp:inline distT="0" distB="0" distL="0" distR="0" wp14:anchorId="3BDD33A3" wp14:editId="3012BBC6">
            <wp:extent cx="4044461" cy="33036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7"/>
                    <a:srcRect r="4951"/>
                    <a:stretch/>
                  </pic:blipFill>
                  <pic:spPr bwMode="auto">
                    <a:xfrm>
                      <a:off x="0" y="0"/>
                      <a:ext cx="4061215" cy="3317325"/>
                    </a:xfrm>
                    <a:prstGeom prst="rect">
                      <a:avLst/>
                    </a:prstGeom>
                    <a:ln>
                      <a:noFill/>
                    </a:ln>
                    <a:extLst>
                      <a:ext uri="{53640926-AAD7-44D8-BBD7-CCE9431645EC}">
                        <a14:shadowObscured xmlns:a14="http://schemas.microsoft.com/office/drawing/2010/main"/>
                      </a:ext>
                    </a:extLst>
                  </pic:spPr>
                </pic:pic>
              </a:graphicData>
            </a:graphic>
          </wp:inline>
        </w:drawing>
      </w:r>
    </w:p>
    <w:p w14:paraId="6A97AE94" w14:textId="77777777" w:rsidR="004A3053" w:rsidRPr="00AF14FA" w:rsidRDefault="00AF14FA" w:rsidP="004A3053">
      <w:pPr>
        <w:jc w:val="both"/>
        <w:rPr>
          <w:rFonts w:ascii="Arial" w:hAnsi="Arial" w:cs="Arial"/>
          <w:b/>
          <w:sz w:val="20"/>
        </w:rPr>
      </w:pPr>
      <w:r w:rsidRPr="00AF14FA">
        <w:rPr>
          <w:rFonts w:ascii="Arial" w:hAnsi="Arial" w:cs="Arial"/>
          <w:b/>
          <w:sz w:val="20"/>
        </w:rPr>
        <w:t xml:space="preserve">Fig. </w:t>
      </w:r>
      <w:r w:rsidR="004A3053" w:rsidRPr="00AF14FA">
        <w:rPr>
          <w:rFonts w:ascii="Arial" w:hAnsi="Arial" w:cs="Arial"/>
          <w:b/>
          <w:sz w:val="20"/>
        </w:rPr>
        <w:t xml:space="preserve">5. Effect of maize-derived bacterial endophytes on larval and pupal developmental periods of </w:t>
      </w:r>
      <w:r w:rsidR="004A3053" w:rsidRPr="00AF14FA">
        <w:rPr>
          <w:rFonts w:ascii="Arial" w:hAnsi="Arial" w:cs="Arial"/>
          <w:b/>
          <w:i/>
          <w:sz w:val="20"/>
        </w:rPr>
        <w:t>S. frugiperda</w:t>
      </w:r>
      <w:r w:rsidR="00C30158" w:rsidRPr="00AF14FA">
        <w:rPr>
          <w:rFonts w:ascii="Arial" w:hAnsi="Arial" w:cs="Arial"/>
          <w:b/>
          <w:sz w:val="20"/>
        </w:rPr>
        <w:t xml:space="preserve"> (one-way ANOVA, n=30, p = </w:t>
      </w:r>
      <w:r w:rsidR="004A3053" w:rsidRPr="00AF14FA">
        <w:rPr>
          <w:rFonts w:ascii="Arial" w:hAnsi="Arial" w:cs="Arial"/>
          <w:b/>
          <w:sz w:val="20"/>
        </w:rPr>
        <w:t>.05, DMRT was used for treatment comparison. Different letters indicate significan</w:t>
      </w:r>
      <w:r>
        <w:rPr>
          <w:rFonts w:ascii="Arial" w:hAnsi="Arial" w:cs="Arial"/>
          <w:b/>
          <w:sz w:val="20"/>
        </w:rPr>
        <w:t>t differences among treatments)</w:t>
      </w:r>
    </w:p>
    <w:p w14:paraId="581164CA" w14:textId="77777777" w:rsidR="005C122C" w:rsidRPr="00C30158" w:rsidRDefault="00C30158" w:rsidP="004B4CB5">
      <w:pPr>
        <w:jc w:val="both"/>
        <w:rPr>
          <w:rFonts w:ascii="Arial" w:hAnsi="Arial" w:cs="Arial"/>
          <w:b/>
          <w:bCs/>
          <w:szCs w:val="22"/>
        </w:rPr>
      </w:pPr>
      <w:r w:rsidRPr="00C30158">
        <w:rPr>
          <w:rFonts w:ascii="Arial" w:hAnsi="Arial" w:cs="Arial"/>
          <w:b/>
          <w:bCs/>
          <w:szCs w:val="22"/>
        </w:rPr>
        <w:t>3.</w:t>
      </w:r>
      <w:r w:rsidR="000B50D5">
        <w:rPr>
          <w:rFonts w:ascii="Arial" w:hAnsi="Arial" w:cs="Arial"/>
          <w:b/>
          <w:bCs/>
          <w:szCs w:val="22"/>
        </w:rPr>
        <w:t>6</w:t>
      </w:r>
      <w:r w:rsidRPr="00C30158">
        <w:rPr>
          <w:rFonts w:ascii="Arial" w:hAnsi="Arial" w:cs="Arial"/>
          <w:b/>
          <w:bCs/>
          <w:szCs w:val="22"/>
        </w:rPr>
        <w:t xml:space="preserve"> </w:t>
      </w:r>
      <w:r w:rsidR="005B67E7" w:rsidRPr="005B67E7">
        <w:rPr>
          <w:rFonts w:ascii="Arial" w:hAnsi="Arial" w:cs="Arial"/>
          <w:b/>
          <w:bCs/>
          <w:szCs w:val="22"/>
        </w:rPr>
        <w:t xml:space="preserve">Biochemical traits </w:t>
      </w:r>
      <w:r w:rsidR="005B67E7">
        <w:rPr>
          <w:rFonts w:ascii="Arial" w:hAnsi="Arial" w:cs="Arial"/>
          <w:b/>
          <w:bCs/>
          <w:szCs w:val="22"/>
        </w:rPr>
        <w:t>and m</w:t>
      </w:r>
      <w:r w:rsidR="005C122C" w:rsidRPr="00C30158">
        <w:rPr>
          <w:rFonts w:ascii="Arial" w:hAnsi="Arial" w:cs="Arial"/>
          <w:b/>
          <w:bCs/>
          <w:szCs w:val="22"/>
        </w:rPr>
        <w:t>olecular characterisation endophyte</w:t>
      </w:r>
      <w:r w:rsidR="005B67E7">
        <w:rPr>
          <w:rFonts w:ascii="Arial" w:hAnsi="Arial" w:cs="Arial"/>
          <w:b/>
          <w:bCs/>
          <w:szCs w:val="22"/>
        </w:rPr>
        <w:t>s</w:t>
      </w:r>
    </w:p>
    <w:p w14:paraId="2E549158" w14:textId="77777777" w:rsidR="00CB5E9C" w:rsidRDefault="00CB5E9C" w:rsidP="00CB5E9C">
      <w:pPr>
        <w:spacing w:before="100" w:beforeAutospacing="1" w:after="100" w:afterAutospacing="1" w:line="240" w:lineRule="auto"/>
        <w:jc w:val="both"/>
        <w:rPr>
          <w:rFonts w:ascii="Arial" w:eastAsia="Times New Roman" w:hAnsi="Arial" w:cs="Arial"/>
          <w:sz w:val="20"/>
          <w:lang w:eastAsia="en-IN"/>
        </w:rPr>
      </w:pPr>
      <w:r w:rsidRPr="00CB5E9C">
        <w:rPr>
          <w:rFonts w:ascii="Arial" w:eastAsia="Times New Roman" w:hAnsi="Arial" w:cs="Arial"/>
          <w:sz w:val="20"/>
          <w:lang w:eastAsia="en-IN"/>
        </w:rPr>
        <w:lastRenderedPageBreak/>
        <w:t>Considerable variability was observed among the maize-associated bacter</w:t>
      </w:r>
      <w:r>
        <w:rPr>
          <w:rFonts w:ascii="Arial" w:eastAsia="Times New Roman" w:hAnsi="Arial" w:cs="Arial"/>
          <w:sz w:val="20"/>
          <w:lang w:eastAsia="en-IN"/>
        </w:rPr>
        <w:t>ial endophytes for plant growth-</w:t>
      </w:r>
      <w:r w:rsidRPr="00CB5E9C">
        <w:rPr>
          <w:rFonts w:ascii="Arial" w:eastAsia="Times New Roman" w:hAnsi="Arial" w:cs="Arial"/>
          <w:sz w:val="20"/>
          <w:lang w:eastAsia="en-IN"/>
        </w:rPr>
        <w:t xml:space="preserve">promoting and enzymatic traits. Siderophore production was detected in isolates ESB-2, ESB-5, ESB-6 and </w:t>
      </w:r>
      <w:r>
        <w:rPr>
          <w:rFonts w:ascii="Arial" w:eastAsia="Times New Roman" w:hAnsi="Arial" w:cs="Arial"/>
          <w:sz w:val="20"/>
          <w:lang w:eastAsia="en-IN"/>
        </w:rPr>
        <w:t>ESB-8</w:t>
      </w:r>
      <w:r w:rsidRPr="00CB5E9C">
        <w:rPr>
          <w:rFonts w:ascii="Arial" w:eastAsia="Times New Roman" w:hAnsi="Arial" w:cs="Arial"/>
          <w:sz w:val="20"/>
          <w:lang w:eastAsia="en-IN"/>
        </w:rPr>
        <w:t xml:space="preserve">, whereas strong HCN production (+++) was recorded in </w:t>
      </w:r>
      <w:r>
        <w:rPr>
          <w:rFonts w:ascii="Arial" w:eastAsia="Times New Roman" w:hAnsi="Arial" w:cs="Arial"/>
          <w:sz w:val="20"/>
          <w:lang w:eastAsia="en-IN"/>
        </w:rPr>
        <w:t>ESB-8</w:t>
      </w:r>
      <w:r w:rsidRPr="00CB5E9C">
        <w:rPr>
          <w:rFonts w:ascii="Arial" w:eastAsia="Times New Roman" w:hAnsi="Arial" w:cs="Arial"/>
          <w:sz w:val="20"/>
          <w:lang w:eastAsia="en-IN"/>
        </w:rPr>
        <w:t>followed by moderate activity in ESB-3 and ESB-6. Ammonia production was prominent in ESB-4 and ESB-</w:t>
      </w:r>
      <w:r>
        <w:rPr>
          <w:rFonts w:ascii="Arial" w:eastAsia="Times New Roman" w:hAnsi="Arial" w:cs="Arial"/>
          <w:sz w:val="20"/>
          <w:lang w:eastAsia="en-IN"/>
        </w:rPr>
        <w:t>8</w:t>
      </w:r>
      <w:r w:rsidRPr="00CB5E9C">
        <w:rPr>
          <w:rFonts w:ascii="Arial" w:eastAsia="Times New Roman" w:hAnsi="Arial" w:cs="Arial"/>
          <w:sz w:val="20"/>
          <w:lang w:eastAsia="en-IN"/>
        </w:rPr>
        <w:t xml:space="preserve">, while phosphate solubilization was observed only in ESB-2 and ESB-5. IAA production ranged from 3.97 to 14.29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with the highest level in </w:t>
      </w:r>
      <w:r>
        <w:rPr>
          <w:rFonts w:ascii="Arial" w:eastAsia="Times New Roman" w:hAnsi="Arial" w:cs="Arial"/>
          <w:sz w:val="20"/>
          <w:lang w:eastAsia="en-IN"/>
        </w:rPr>
        <w:t xml:space="preserve">ESB-8 </w:t>
      </w:r>
      <w:r w:rsidRPr="00CB5E9C">
        <w:rPr>
          <w:rFonts w:ascii="Arial" w:eastAsia="Times New Roman" w:hAnsi="Arial" w:cs="Arial"/>
          <w:sz w:val="20"/>
          <w:lang w:eastAsia="en-IN"/>
        </w:rPr>
        <w:t xml:space="preserve">(14.29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followed by ESB-7 (8.86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and ESB-4 (8.76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¹).</w:t>
      </w:r>
      <w:r>
        <w:rPr>
          <w:rFonts w:ascii="Arial" w:eastAsia="Times New Roman" w:hAnsi="Arial" w:cs="Arial"/>
          <w:sz w:val="20"/>
          <w:lang w:eastAsia="en-IN"/>
        </w:rPr>
        <w:t xml:space="preserve"> </w:t>
      </w:r>
      <w:r w:rsidRPr="00CB5E9C">
        <w:rPr>
          <w:rFonts w:ascii="Arial" w:eastAsia="Times New Roman" w:hAnsi="Arial" w:cs="Arial"/>
          <w:sz w:val="20"/>
          <w:lang w:eastAsia="en-IN"/>
        </w:rPr>
        <w:t>Enzymatic profiling revealed strong pectoly</w:t>
      </w:r>
      <w:r>
        <w:rPr>
          <w:rFonts w:ascii="Arial" w:eastAsia="Times New Roman" w:hAnsi="Arial" w:cs="Arial"/>
          <w:sz w:val="20"/>
          <w:lang w:eastAsia="en-IN"/>
        </w:rPr>
        <w:t>tic activity in ESB-3 and ESB-8</w:t>
      </w:r>
      <w:r w:rsidRPr="00CB5E9C">
        <w:rPr>
          <w:rFonts w:ascii="Arial" w:eastAsia="Times New Roman" w:hAnsi="Arial" w:cs="Arial"/>
          <w:sz w:val="20"/>
          <w:lang w:eastAsia="en-IN"/>
        </w:rPr>
        <w:t xml:space="preserve">, whereas amylolytic activity was notable in ESB-5 and ESB-2. Potassium solubilization was evident in ESB-1, ESB-2, ESB-4 and ESB-6, with ESB-6 showing comparatively higher intensity. Proteolytic activity was highest in ESB-3 (+++), followed by </w:t>
      </w:r>
      <w:r>
        <w:rPr>
          <w:rFonts w:ascii="Arial" w:eastAsia="Times New Roman" w:hAnsi="Arial" w:cs="Arial"/>
          <w:sz w:val="20"/>
          <w:lang w:eastAsia="en-IN"/>
        </w:rPr>
        <w:t xml:space="preserve">ESB-8 </w:t>
      </w:r>
      <w:r w:rsidRPr="00CB5E9C">
        <w:rPr>
          <w:rFonts w:ascii="Arial" w:eastAsia="Times New Roman" w:hAnsi="Arial" w:cs="Arial"/>
          <w:sz w:val="20"/>
          <w:lang w:eastAsia="en-IN"/>
        </w:rPr>
        <w:t>and ESB-4</w:t>
      </w:r>
      <w:r w:rsidR="00B62317">
        <w:rPr>
          <w:rFonts w:ascii="Arial" w:eastAsia="Times New Roman" w:hAnsi="Arial" w:cs="Arial"/>
          <w:sz w:val="20"/>
          <w:lang w:eastAsia="en-IN"/>
        </w:rPr>
        <w:t xml:space="preserve"> (</w:t>
      </w:r>
      <w:r w:rsidR="00B62317" w:rsidRPr="00B62317">
        <w:rPr>
          <w:rFonts w:ascii="Arial" w:hAnsi="Arial" w:cs="Arial"/>
          <w:sz w:val="20"/>
        </w:rPr>
        <w:t>Table</w:t>
      </w:r>
      <w:r w:rsidR="00B62317" w:rsidRPr="00B62317">
        <w:rPr>
          <w:rFonts w:ascii="Arial" w:hAnsi="Arial" w:cs="Arial"/>
          <w:spacing w:val="-8"/>
          <w:sz w:val="20"/>
        </w:rPr>
        <w:t xml:space="preserve"> </w:t>
      </w:r>
      <w:r w:rsidR="00B62317">
        <w:rPr>
          <w:rFonts w:ascii="Arial" w:hAnsi="Arial" w:cs="Arial"/>
          <w:sz w:val="20"/>
        </w:rPr>
        <w:t>1)</w:t>
      </w:r>
      <w:r w:rsidRPr="00CB5E9C">
        <w:rPr>
          <w:rFonts w:ascii="Arial" w:eastAsia="Times New Roman" w:hAnsi="Arial" w:cs="Arial"/>
          <w:sz w:val="20"/>
          <w:lang w:eastAsia="en-IN"/>
        </w:rPr>
        <w:t xml:space="preserve">. Overall, isolate </w:t>
      </w:r>
      <w:r>
        <w:rPr>
          <w:rFonts w:ascii="Arial" w:eastAsia="Times New Roman" w:hAnsi="Arial" w:cs="Arial"/>
          <w:sz w:val="20"/>
          <w:lang w:eastAsia="en-IN"/>
        </w:rPr>
        <w:t xml:space="preserve">ESB-8 </w:t>
      </w:r>
      <w:r w:rsidRPr="00CB5E9C">
        <w:rPr>
          <w:rFonts w:ascii="Arial" w:eastAsia="Times New Roman" w:hAnsi="Arial" w:cs="Arial"/>
          <w:sz w:val="20"/>
          <w:lang w:eastAsia="en-IN"/>
        </w:rPr>
        <w:t>exhibited multiple beneficial traits including high IAA production, strong HCN, ammonia, pectolytic and proteolytic activities, indicating its superior plant growth–promoting and biocontrol potential</w:t>
      </w:r>
      <w:r w:rsidR="00B62317">
        <w:rPr>
          <w:rFonts w:ascii="Arial" w:eastAsia="Times New Roman" w:hAnsi="Arial" w:cs="Arial"/>
          <w:sz w:val="20"/>
          <w:lang w:eastAsia="en-IN"/>
        </w:rPr>
        <w:t xml:space="preserve">. </w:t>
      </w:r>
    </w:p>
    <w:p w14:paraId="7D58AF63" w14:textId="77777777" w:rsidR="005C122C" w:rsidRDefault="005C122C" w:rsidP="004B4CB5">
      <w:pPr>
        <w:jc w:val="both"/>
        <w:rPr>
          <w:rFonts w:ascii="Arial" w:hAnsi="Arial" w:cs="Arial"/>
          <w:sz w:val="20"/>
        </w:rPr>
      </w:pPr>
      <w:r w:rsidRPr="00C30158">
        <w:rPr>
          <w:rFonts w:ascii="Arial" w:hAnsi="Arial" w:cs="Arial"/>
          <w:sz w:val="20"/>
        </w:rPr>
        <w:t xml:space="preserve">Molecular characterization of the most effective endophytic isolate, ESB-8, was carried out using 16S rRNA gene sequencing. Sequence analysis revealed that ESB-8 showed a high level of similarity with </w:t>
      </w:r>
      <w:r w:rsidRPr="00C30158">
        <w:rPr>
          <w:rFonts w:ascii="Arial" w:hAnsi="Arial" w:cs="Arial"/>
          <w:i/>
          <w:iCs/>
          <w:sz w:val="20"/>
        </w:rPr>
        <w:t>Bacillus subtilis</w:t>
      </w:r>
      <w:r w:rsidRPr="00C30158">
        <w:rPr>
          <w:rFonts w:ascii="Arial" w:hAnsi="Arial" w:cs="Arial"/>
          <w:sz w:val="20"/>
        </w:rPr>
        <w:t xml:space="preserve">. The nucleotide sequence of ESB-8 was successfully deposited in the NCBI GenBank database under the accession number PV876730, confirming its taxonomic identity as </w:t>
      </w:r>
      <w:r w:rsidRPr="00C30158">
        <w:rPr>
          <w:rFonts w:ascii="Arial" w:hAnsi="Arial" w:cs="Arial"/>
          <w:i/>
          <w:iCs/>
          <w:sz w:val="20"/>
        </w:rPr>
        <w:t>B. subtilis</w:t>
      </w:r>
      <w:r w:rsidRPr="00C30158">
        <w:rPr>
          <w:rFonts w:ascii="Arial" w:hAnsi="Arial" w:cs="Arial"/>
          <w:sz w:val="20"/>
        </w:rPr>
        <w:t>.</w:t>
      </w:r>
    </w:p>
    <w:p w14:paraId="4E4D61AC" w14:textId="77777777" w:rsidR="00B62317" w:rsidRPr="00B62317" w:rsidRDefault="00B62317" w:rsidP="00B62317">
      <w:pPr>
        <w:pStyle w:val="BodyText"/>
        <w:ind w:left="129"/>
        <w:rPr>
          <w:rFonts w:ascii="Arial" w:hAnsi="Arial" w:cs="Arial"/>
          <w:sz w:val="20"/>
          <w:szCs w:val="20"/>
        </w:rPr>
      </w:pPr>
      <w:r w:rsidRPr="00B62317">
        <w:rPr>
          <w:rFonts w:ascii="Arial" w:hAnsi="Arial" w:cs="Arial"/>
          <w:sz w:val="20"/>
          <w:szCs w:val="20"/>
        </w:rPr>
        <w:t>Table</w:t>
      </w:r>
      <w:r w:rsidRPr="00B62317">
        <w:rPr>
          <w:rFonts w:ascii="Arial" w:hAnsi="Arial" w:cs="Arial"/>
          <w:spacing w:val="-8"/>
          <w:sz w:val="20"/>
          <w:szCs w:val="20"/>
        </w:rPr>
        <w:t xml:space="preserve"> </w:t>
      </w:r>
      <w:r>
        <w:rPr>
          <w:rFonts w:ascii="Arial" w:hAnsi="Arial" w:cs="Arial"/>
          <w:sz w:val="20"/>
          <w:szCs w:val="20"/>
        </w:rPr>
        <w:t>1</w:t>
      </w:r>
      <w:r w:rsidRPr="00B62317">
        <w:rPr>
          <w:rFonts w:ascii="Arial" w:hAnsi="Arial" w:cs="Arial"/>
          <w:sz w:val="20"/>
          <w:szCs w:val="20"/>
        </w:rPr>
        <w:t>.</w:t>
      </w:r>
      <w:r w:rsidRPr="00B62317">
        <w:rPr>
          <w:rFonts w:ascii="Arial" w:hAnsi="Arial" w:cs="Arial"/>
          <w:spacing w:val="-5"/>
          <w:sz w:val="20"/>
          <w:szCs w:val="20"/>
        </w:rPr>
        <w:t xml:space="preserve"> </w:t>
      </w:r>
      <w:r w:rsidRPr="00B62317">
        <w:rPr>
          <w:rFonts w:ascii="Arial" w:hAnsi="Arial" w:cs="Arial"/>
          <w:sz w:val="20"/>
          <w:szCs w:val="20"/>
        </w:rPr>
        <w:t>Biochemical</w:t>
      </w:r>
      <w:r w:rsidRPr="00B62317">
        <w:rPr>
          <w:rFonts w:ascii="Arial" w:hAnsi="Arial" w:cs="Arial"/>
          <w:spacing w:val="-5"/>
          <w:sz w:val="20"/>
          <w:szCs w:val="20"/>
        </w:rPr>
        <w:t xml:space="preserve"> </w:t>
      </w:r>
      <w:r w:rsidRPr="00B62317">
        <w:rPr>
          <w:rFonts w:ascii="Arial" w:hAnsi="Arial" w:cs="Arial"/>
          <w:sz w:val="20"/>
          <w:szCs w:val="20"/>
        </w:rPr>
        <w:t>characterization</w:t>
      </w:r>
      <w:r w:rsidRPr="00B62317">
        <w:rPr>
          <w:rFonts w:ascii="Arial" w:hAnsi="Arial" w:cs="Arial"/>
          <w:spacing w:val="-4"/>
          <w:sz w:val="20"/>
          <w:szCs w:val="20"/>
        </w:rPr>
        <w:t xml:space="preserve"> </w:t>
      </w:r>
      <w:r w:rsidRPr="00B62317">
        <w:rPr>
          <w:rFonts w:ascii="Arial" w:hAnsi="Arial" w:cs="Arial"/>
          <w:sz w:val="20"/>
          <w:szCs w:val="20"/>
        </w:rPr>
        <w:t>of</w:t>
      </w:r>
      <w:r w:rsidRPr="00B62317">
        <w:rPr>
          <w:rFonts w:ascii="Arial" w:hAnsi="Arial" w:cs="Arial"/>
          <w:spacing w:val="-4"/>
          <w:sz w:val="20"/>
          <w:szCs w:val="20"/>
        </w:rPr>
        <w:t xml:space="preserve"> </w:t>
      </w:r>
      <w:r w:rsidRPr="00B62317">
        <w:rPr>
          <w:rFonts w:ascii="Arial" w:hAnsi="Arial" w:cs="Arial"/>
          <w:sz w:val="20"/>
          <w:szCs w:val="20"/>
        </w:rPr>
        <w:t>bacterial</w:t>
      </w:r>
      <w:r w:rsidRPr="00B62317">
        <w:rPr>
          <w:rFonts w:ascii="Arial" w:hAnsi="Arial" w:cs="Arial"/>
          <w:spacing w:val="-3"/>
          <w:sz w:val="20"/>
          <w:szCs w:val="20"/>
        </w:rPr>
        <w:t xml:space="preserve"> </w:t>
      </w:r>
      <w:r w:rsidRPr="00B62317">
        <w:rPr>
          <w:rFonts w:ascii="Arial" w:hAnsi="Arial" w:cs="Arial"/>
          <w:sz w:val="20"/>
          <w:szCs w:val="20"/>
        </w:rPr>
        <w:t>endophytes</w:t>
      </w:r>
      <w:r w:rsidRPr="00B62317">
        <w:rPr>
          <w:rFonts w:ascii="Arial" w:hAnsi="Arial" w:cs="Arial"/>
          <w:spacing w:val="-6"/>
          <w:sz w:val="20"/>
          <w:szCs w:val="20"/>
        </w:rPr>
        <w:t xml:space="preserve"> </w:t>
      </w:r>
      <w:r w:rsidRPr="00B62317">
        <w:rPr>
          <w:rFonts w:ascii="Arial" w:hAnsi="Arial" w:cs="Arial"/>
          <w:sz w:val="20"/>
          <w:szCs w:val="20"/>
        </w:rPr>
        <w:t>associated</w:t>
      </w:r>
      <w:r w:rsidRPr="00B62317">
        <w:rPr>
          <w:rFonts w:ascii="Arial" w:hAnsi="Arial" w:cs="Arial"/>
          <w:spacing w:val="-5"/>
          <w:sz w:val="20"/>
          <w:szCs w:val="20"/>
        </w:rPr>
        <w:t xml:space="preserve"> </w:t>
      </w:r>
      <w:r w:rsidRPr="00B62317">
        <w:rPr>
          <w:rFonts w:ascii="Arial" w:hAnsi="Arial" w:cs="Arial"/>
          <w:sz w:val="20"/>
          <w:szCs w:val="20"/>
        </w:rPr>
        <w:t>with</w:t>
      </w:r>
      <w:r w:rsidRPr="00B62317">
        <w:rPr>
          <w:rFonts w:ascii="Arial" w:hAnsi="Arial" w:cs="Arial"/>
          <w:spacing w:val="-5"/>
          <w:sz w:val="20"/>
          <w:szCs w:val="20"/>
        </w:rPr>
        <w:t xml:space="preserve"> </w:t>
      </w:r>
      <w:r w:rsidRPr="00B62317">
        <w:rPr>
          <w:rFonts w:ascii="Arial" w:hAnsi="Arial" w:cs="Arial"/>
          <w:spacing w:val="-2"/>
          <w:sz w:val="20"/>
          <w:szCs w:val="20"/>
        </w:rPr>
        <w:t>maize</w:t>
      </w:r>
    </w:p>
    <w:tbl>
      <w:tblPr>
        <w:tblW w:w="9176"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907"/>
        <w:gridCol w:w="907"/>
        <w:gridCol w:w="907"/>
        <w:gridCol w:w="907"/>
        <w:gridCol w:w="907"/>
        <w:gridCol w:w="907"/>
        <w:gridCol w:w="907"/>
        <w:gridCol w:w="907"/>
        <w:gridCol w:w="907"/>
      </w:tblGrid>
      <w:tr w:rsidR="00897146" w:rsidRPr="00902ED4" w14:paraId="5B731CFE" w14:textId="77777777" w:rsidTr="00897146">
        <w:trPr>
          <w:trHeight w:val="815"/>
        </w:trPr>
        <w:tc>
          <w:tcPr>
            <w:tcW w:w="1013" w:type="dxa"/>
          </w:tcPr>
          <w:p w14:paraId="09A8F54E" w14:textId="77777777" w:rsidR="00897146" w:rsidRPr="00902ED4" w:rsidRDefault="00897146" w:rsidP="00613796">
            <w:pPr>
              <w:pStyle w:val="TableParagraph"/>
              <w:spacing w:before="109" w:line="259" w:lineRule="auto"/>
              <w:ind w:left="359" w:right="144" w:hanging="207"/>
              <w:jc w:val="left"/>
              <w:rPr>
                <w:rFonts w:ascii="Arial" w:hAnsi="Arial" w:cs="Arial"/>
                <w:b/>
                <w:sz w:val="20"/>
                <w:szCs w:val="20"/>
              </w:rPr>
            </w:pPr>
            <w:r w:rsidRPr="00902ED4">
              <w:rPr>
                <w:rFonts w:ascii="Arial" w:hAnsi="Arial" w:cs="Arial"/>
                <w:b/>
                <w:spacing w:val="-2"/>
                <w:sz w:val="20"/>
                <w:szCs w:val="20"/>
              </w:rPr>
              <w:t xml:space="preserve">Isolate </w:t>
            </w:r>
            <w:r w:rsidRPr="00902ED4">
              <w:rPr>
                <w:rFonts w:ascii="Arial" w:hAnsi="Arial" w:cs="Arial"/>
                <w:b/>
                <w:spacing w:val="-6"/>
                <w:sz w:val="20"/>
                <w:szCs w:val="20"/>
              </w:rPr>
              <w:t>ID</w:t>
            </w:r>
          </w:p>
        </w:tc>
        <w:tc>
          <w:tcPr>
            <w:tcW w:w="907" w:type="dxa"/>
            <w:vAlign w:val="center"/>
          </w:tcPr>
          <w:p w14:paraId="31D76171" w14:textId="77777777" w:rsidR="00897146" w:rsidRPr="00902ED4" w:rsidRDefault="00897146" w:rsidP="00613796">
            <w:pPr>
              <w:pStyle w:val="TableParagraph"/>
              <w:spacing w:before="109" w:line="259" w:lineRule="auto"/>
              <w:ind w:left="207" w:right="138" w:hanging="60"/>
              <w:rPr>
                <w:rFonts w:ascii="Arial" w:hAnsi="Arial" w:cs="Arial"/>
                <w:b/>
                <w:sz w:val="20"/>
                <w:szCs w:val="20"/>
              </w:rPr>
            </w:pPr>
            <w:r w:rsidRPr="00902ED4">
              <w:rPr>
                <w:rFonts w:ascii="Arial" w:hAnsi="Arial" w:cs="Arial"/>
                <w:b/>
                <w:sz w:val="20"/>
                <w:szCs w:val="20"/>
              </w:rPr>
              <w:t>1</w:t>
            </w:r>
          </w:p>
        </w:tc>
        <w:tc>
          <w:tcPr>
            <w:tcW w:w="907" w:type="dxa"/>
            <w:vAlign w:val="center"/>
          </w:tcPr>
          <w:p w14:paraId="2EC1F70E" w14:textId="77777777" w:rsidR="00897146" w:rsidRPr="00902ED4" w:rsidRDefault="00897146" w:rsidP="00613796">
            <w:pPr>
              <w:pStyle w:val="TableParagraph"/>
              <w:spacing w:before="22"/>
              <w:ind w:left="7" w:right="4"/>
              <w:rPr>
                <w:rFonts w:ascii="Arial" w:hAnsi="Arial" w:cs="Arial"/>
                <w:b/>
                <w:sz w:val="20"/>
                <w:szCs w:val="20"/>
              </w:rPr>
            </w:pPr>
            <w:r w:rsidRPr="00902ED4">
              <w:rPr>
                <w:rFonts w:ascii="Arial" w:hAnsi="Arial" w:cs="Arial"/>
                <w:b/>
                <w:sz w:val="20"/>
                <w:szCs w:val="20"/>
              </w:rPr>
              <w:t>2</w:t>
            </w:r>
          </w:p>
        </w:tc>
        <w:tc>
          <w:tcPr>
            <w:tcW w:w="907" w:type="dxa"/>
            <w:vAlign w:val="center"/>
          </w:tcPr>
          <w:p w14:paraId="622FA71B" w14:textId="77777777" w:rsidR="00897146" w:rsidRPr="00902ED4" w:rsidRDefault="00897146" w:rsidP="00613796">
            <w:pPr>
              <w:pStyle w:val="TableParagraph"/>
              <w:spacing w:before="109" w:line="259" w:lineRule="auto"/>
              <w:ind w:left="140" w:right="135" w:firstLine="60"/>
              <w:rPr>
                <w:rFonts w:ascii="Arial" w:hAnsi="Arial" w:cs="Arial"/>
                <w:b/>
                <w:sz w:val="20"/>
                <w:szCs w:val="20"/>
              </w:rPr>
            </w:pPr>
            <w:r w:rsidRPr="00902ED4">
              <w:rPr>
                <w:rFonts w:ascii="Arial" w:hAnsi="Arial" w:cs="Arial"/>
                <w:b/>
                <w:sz w:val="20"/>
                <w:szCs w:val="20"/>
              </w:rPr>
              <w:t>3</w:t>
            </w:r>
          </w:p>
        </w:tc>
        <w:tc>
          <w:tcPr>
            <w:tcW w:w="907" w:type="dxa"/>
            <w:vAlign w:val="center"/>
          </w:tcPr>
          <w:p w14:paraId="592A9A89" w14:textId="77777777" w:rsidR="00897146" w:rsidRPr="00902ED4" w:rsidRDefault="00897146" w:rsidP="00897146">
            <w:pPr>
              <w:pStyle w:val="TableParagraph"/>
              <w:spacing w:before="109" w:line="259" w:lineRule="auto"/>
              <w:ind w:left="161" w:firstLine="153"/>
              <w:jc w:val="left"/>
              <w:rPr>
                <w:rFonts w:ascii="Arial" w:hAnsi="Arial" w:cs="Arial"/>
                <w:b/>
                <w:sz w:val="20"/>
                <w:szCs w:val="20"/>
              </w:rPr>
            </w:pPr>
            <w:r w:rsidRPr="00902ED4">
              <w:rPr>
                <w:rFonts w:ascii="Arial" w:hAnsi="Arial" w:cs="Arial"/>
                <w:b/>
                <w:sz w:val="20"/>
                <w:szCs w:val="20"/>
              </w:rPr>
              <w:t>4</w:t>
            </w:r>
          </w:p>
        </w:tc>
        <w:tc>
          <w:tcPr>
            <w:tcW w:w="907" w:type="dxa"/>
            <w:vAlign w:val="center"/>
          </w:tcPr>
          <w:p w14:paraId="527770E8" w14:textId="77777777" w:rsidR="00897146" w:rsidRPr="00902ED4" w:rsidRDefault="00897146" w:rsidP="00613796">
            <w:pPr>
              <w:pStyle w:val="TableParagraph"/>
              <w:spacing w:before="109" w:line="259" w:lineRule="auto"/>
              <w:ind w:left="543" w:hanging="435"/>
              <w:rPr>
                <w:rFonts w:ascii="Arial" w:hAnsi="Arial" w:cs="Arial"/>
                <w:b/>
                <w:sz w:val="20"/>
                <w:szCs w:val="20"/>
              </w:rPr>
            </w:pPr>
            <w:r w:rsidRPr="00902ED4">
              <w:rPr>
                <w:rFonts w:ascii="Arial" w:hAnsi="Arial" w:cs="Arial"/>
                <w:b/>
                <w:sz w:val="20"/>
                <w:szCs w:val="20"/>
              </w:rPr>
              <w:t>5</w:t>
            </w:r>
          </w:p>
        </w:tc>
        <w:tc>
          <w:tcPr>
            <w:tcW w:w="907" w:type="dxa"/>
            <w:vAlign w:val="center"/>
          </w:tcPr>
          <w:p w14:paraId="4B3346C7" w14:textId="77777777" w:rsidR="00897146" w:rsidRPr="00902ED4" w:rsidRDefault="00897146" w:rsidP="00613796">
            <w:pPr>
              <w:pStyle w:val="TableParagraph"/>
              <w:spacing w:before="109" w:line="259" w:lineRule="auto"/>
              <w:ind w:left="254" w:hanging="118"/>
              <w:rPr>
                <w:rFonts w:ascii="Arial" w:hAnsi="Arial" w:cs="Arial"/>
                <w:b/>
                <w:sz w:val="20"/>
                <w:szCs w:val="20"/>
              </w:rPr>
            </w:pPr>
            <w:r w:rsidRPr="00902ED4">
              <w:rPr>
                <w:rFonts w:ascii="Arial" w:hAnsi="Arial" w:cs="Arial"/>
                <w:b/>
                <w:sz w:val="20"/>
                <w:szCs w:val="20"/>
              </w:rPr>
              <w:t>6</w:t>
            </w:r>
          </w:p>
        </w:tc>
        <w:tc>
          <w:tcPr>
            <w:tcW w:w="907" w:type="dxa"/>
            <w:vAlign w:val="center"/>
          </w:tcPr>
          <w:p w14:paraId="092F199C" w14:textId="77777777" w:rsidR="00897146" w:rsidRPr="00902ED4" w:rsidRDefault="00897146" w:rsidP="00613796">
            <w:pPr>
              <w:pStyle w:val="TableParagraph"/>
              <w:spacing w:before="109" w:line="259" w:lineRule="auto"/>
              <w:ind w:left="323" w:hanging="180"/>
              <w:rPr>
                <w:rFonts w:ascii="Arial" w:hAnsi="Arial" w:cs="Arial"/>
                <w:b/>
                <w:sz w:val="20"/>
                <w:szCs w:val="20"/>
              </w:rPr>
            </w:pPr>
            <w:r w:rsidRPr="00902ED4">
              <w:rPr>
                <w:rFonts w:ascii="Arial" w:hAnsi="Arial" w:cs="Arial"/>
                <w:b/>
                <w:sz w:val="20"/>
                <w:szCs w:val="20"/>
              </w:rPr>
              <w:t>7</w:t>
            </w:r>
          </w:p>
        </w:tc>
        <w:tc>
          <w:tcPr>
            <w:tcW w:w="907" w:type="dxa"/>
            <w:vAlign w:val="center"/>
          </w:tcPr>
          <w:p w14:paraId="6EF63CED" w14:textId="77777777" w:rsidR="00897146" w:rsidRPr="00902ED4" w:rsidRDefault="00897146" w:rsidP="00613796">
            <w:pPr>
              <w:pStyle w:val="TableParagraph"/>
              <w:spacing w:before="109" w:line="259" w:lineRule="auto"/>
              <w:ind w:left="167" w:firstLine="153"/>
              <w:rPr>
                <w:rFonts w:ascii="Arial" w:hAnsi="Arial" w:cs="Arial"/>
                <w:b/>
                <w:sz w:val="20"/>
                <w:szCs w:val="20"/>
              </w:rPr>
            </w:pPr>
            <w:r w:rsidRPr="00902ED4">
              <w:rPr>
                <w:rFonts w:ascii="Arial" w:hAnsi="Arial" w:cs="Arial"/>
                <w:b/>
                <w:sz w:val="20"/>
                <w:szCs w:val="20"/>
              </w:rPr>
              <w:t>8</w:t>
            </w:r>
          </w:p>
        </w:tc>
        <w:tc>
          <w:tcPr>
            <w:tcW w:w="907" w:type="dxa"/>
            <w:vAlign w:val="center"/>
          </w:tcPr>
          <w:p w14:paraId="778C4655" w14:textId="77777777" w:rsidR="00897146" w:rsidRPr="00902ED4" w:rsidRDefault="00897146" w:rsidP="00613796">
            <w:pPr>
              <w:pStyle w:val="TableParagraph"/>
              <w:spacing w:before="109" w:line="259" w:lineRule="auto"/>
              <w:ind w:left="322" w:right="147" w:hanging="178"/>
              <w:rPr>
                <w:rFonts w:ascii="Arial" w:hAnsi="Arial" w:cs="Arial"/>
                <w:b/>
                <w:sz w:val="20"/>
                <w:szCs w:val="20"/>
              </w:rPr>
            </w:pPr>
            <w:r w:rsidRPr="00902ED4">
              <w:rPr>
                <w:rFonts w:ascii="Arial" w:hAnsi="Arial" w:cs="Arial"/>
                <w:b/>
                <w:sz w:val="20"/>
                <w:szCs w:val="20"/>
              </w:rPr>
              <w:t>9</w:t>
            </w:r>
          </w:p>
        </w:tc>
      </w:tr>
      <w:tr w:rsidR="00897146" w:rsidRPr="00902ED4" w14:paraId="57B7EDBF" w14:textId="77777777" w:rsidTr="00897146">
        <w:trPr>
          <w:trHeight w:val="297"/>
        </w:trPr>
        <w:tc>
          <w:tcPr>
            <w:tcW w:w="1013" w:type="dxa"/>
          </w:tcPr>
          <w:p w14:paraId="6A2C2EB0" w14:textId="77777777" w:rsidR="00897146" w:rsidRPr="00902ED4" w:rsidRDefault="00897146" w:rsidP="00613796">
            <w:pPr>
              <w:pStyle w:val="TableParagraph"/>
              <w:spacing w:before="7"/>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1</w:t>
            </w:r>
          </w:p>
        </w:tc>
        <w:tc>
          <w:tcPr>
            <w:tcW w:w="907" w:type="dxa"/>
            <w:vAlign w:val="center"/>
          </w:tcPr>
          <w:p w14:paraId="3C07FDCA" w14:textId="77777777" w:rsidR="00897146" w:rsidRPr="00902ED4" w:rsidRDefault="00897146" w:rsidP="00897146">
            <w:pPr>
              <w:pStyle w:val="TableParagraph"/>
              <w:spacing w:line="276"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199FFEC9" w14:textId="77777777" w:rsidR="00897146" w:rsidRPr="00902ED4" w:rsidRDefault="00897146" w:rsidP="00897146">
            <w:pPr>
              <w:pStyle w:val="TableParagraph"/>
              <w:spacing w:line="276"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9FE14AD" w14:textId="77777777" w:rsidR="00897146" w:rsidRPr="00902ED4" w:rsidRDefault="00897146" w:rsidP="00897146">
            <w:pPr>
              <w:pStyle w:val="TableParagraph"/>
              <w:spacing w:line="276"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136BF868" w14:textId="77777777" w:rsidR="00897146" w:rsidRPr="00902ED4" w:rsidRDefault="00897146" w:rsidP="00897146">
            <w:pPr>
              <w:pStyle w:val="TableParagraph"/>
              <w:spacing w:line="276"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3025732B" w14:textId="77777777" w:rsidR="00897146" w:rsidRPr="00902ED4" w:rsidRDefault="00897146" w:rsidP="00897146">
            <w:pPr>
              <w:pStyle w:val="TableParagraph"/>
              <w:spacing w:before="7"/>
              <w:ind w:right="5"/>
              <w:rPr>
                <w:rFonts w:ascii="Arial" w:hAnsi="Arial" w:cs="Arial"/>
                <w:sz w:val="20"/>
                <w:szCs w:val="20"/>
              </w:rPr>
            </w:pPr>
            <w:r w:rsidRPr="00902ED4">
              <w:rPr>
                <w:rFonts w:ascii="Arial" w:hAnsi="Arial" w:cs="Arial"/>
                <w:spacing w:val="-4"/>
                <w:sz w:val="20"/>
                <w:szCs w:val="20"/>
              </w:rPr>
              <w:t>4.95</w:t>
            </w:r>
          </w:p>
        </w:tc>
        <w:tc>
          <w:tcPr>
            <w:tcW w:w="907" w:type="dxa"/>
            <w:vAlign w:val="center"/>
          </w:tcPr>
          <w:p w14:paraId="27BFF3BE" w14:textId="77777777" w:rsidR="00897146" w:rsidRPr="00902ED4" w:rsidRDefault="00897146" w:rsidP="00897146">
            <w:pPr>
              <w:pStyle w:val="TableParagraph"/>
              <w:spacing w:line="276"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09F67F91" w14:textId="77777777" w:rsidR="00897146" w:rsidRPr="00902ED4" w:rsidRDefault="00897146" w:rsidP="00897146">
            <w:pPr>
              <w:pStyle w:val="TableParagraph"/>
              <w:spacing w:line="276"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088925A" w14:textId="77777777" w:rsidR="00897146" w:rsidRPr="00902ED4" w:rsidRDefault="00897146" w:rsidP="00897146">
            <w:pPr>
              <w:pStyle w:val="TableParagraph"/>
              <w:spacing w:line="276"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226354C6" w14:textId="77777777" w:rsidR="00897146" w:rsidRPr="00902ED4" w:rsidRDefault="00897146" w:rsidP="00897146">
            <w:pPr>
              <w:pStyle w:val="TableParagraph"/>
              <w:spacing w:line="276"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72793F2A" w14:textId="77777777" w:rsidTr="00897146">
        <w:trPr>
          <w:trHeight w:val="297"/>
        </w:trPr>
        <w:tc>
          <w:tcPr>
            <w:tcW w:w="1013" w:type="dxa"/>
          </w:tcPr>
          <w:p w14:paraId="46288C9B" w14:textId="77777777" w:rsidR="00897146" w:rsidRPr="00902ED4" w:rsidRDefault="00897146" w:rsidP="00613796">
            <w:pPr>
              <w:pStyle w:val="TableParagraph"/>
              <w:spacing w:before="6"/>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2</w:t>
            </w:r>
          </w:p>
        </w:tc>
        <w:tc>
          <w:tcPr>
            <w:tcW w:w="907" w:type="dxa"/>
            <w:vAlign w:val="center"/>
          </w:tcPr>
          <w:p w14:paraId="1CA6F672"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4C49289D"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DA7E787"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1D69ED61"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03C452B9" w14:textId="77777777" w:rsidR="00897146" w:rsidRPr="00902ED4" w:rsidRDefault="00897146" w:rsidP="00897146">
            <w:pPr>
              <w:pStyle w:val="TableParagraph"/>
              <w:spacing w:before="6"/>
              <w:ind w:right="5"/>
              <w:rPr>
                <w:rFonts w:ascii="Arial" w:hAnsi="Arial" w:cs="Arial"/>
                <w:sz w:val="20"/>
                <w:szCs w:val="20"/>
              </w:rPr>
            </w:pPr>
            <w:r w:rsidRPr="00902ED4">
              <w:rPr>
                <w:rFonts w:ascii="Arial" w:hAnsi="Arial" w:cs="Arial"/>
                <w:spacing w:val="-4"/>
                <w:sz w:val="20"/>
                <w:szCs w:val="20"/>
              </w:rPr>
              <w:t>3.97</w:t>
            </w:r>
          </w:p>
        </w:tc>
        <w:tc>
          <w:tcPr>
            <w:tcW w:w="907" w:type="dxa"/>
            <w:vAlign w:val="center"/>
          </w:tcPr>
          <w:p w14:paraId="1DA62454"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09CC68EF"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01E25811"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63594357"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630E1BB3" w14:textId="77777777" w:rsidTr="00897146">
        <w:trPr>
          <w:trHeight w:val="297"/>
        </w:trPr>
        <w:tc>
          <w:tcPr>
            <w:tcW w:w="1013" w:type="dxa"/>
          </w:tcPr>
          <w:p w14:paraId="307927F1"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3</w:t>
            </w:r>
          </w:p>
        </w:tc>
        <w:tc>
          <w:tcPr>
            <w:tcW w:w="907" w:type="dxa"/>
            <w:vAlign w:val="center"/>
          </w:tcPr>
          <w:p w14:paraId="32FE21CB" w14:textId="77777777" w:rsidR="00897146" w:rsidRPr="00902ED4" w:rsidRDefault="00897146" w:rsidP="00897146">
            <w:pPr>
              <w:pStyle w:val="TableParagraph"/>
              <w:spacing w:line="275"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5A632909" w14:textId="77777777" w:rsidR="00897146" w:rsidRPr="00902ED4" w:rsidRDefault="00897146" w:rsidP="00897146">
            <w:pPr>
              <w:pStyle w:val="TableParagraph"/>
              <w:spacing w:line="275" w:lineRule="exact"/>
              <w:ind w:left="7" w:right="5"/>
              <w:rPr>
                <w:rFonts w:ascii="Arial" w:hAnsi="Arial" w:cs="Arial"/>
                <w:sz w:val="20"/>
                <w:szCs w:val="20"/>
              </w:rPr>
            </w:pPr>
            <w:r w:rsidRPr="00902ED4">
              <w:rPr>
                <w:rFonts w:ascii="Arial" w:hAnsi="Arial" w:cs="Arial"/>
                <w:spacing w:val="-5"/>
                <w:sz w:val="20"/>
                <w:szCs w:val="20"/>
              </w:rPr>
              <w:t>++</w:t>
            </w:r>
          </w:p>
        </w:tc>
        <w:tc>
          <w:tcPr>
            <w:tcW w:w="907" w:type="dxa"/>
            <w:vAlign w:val="center"/>
          </w:tcPr>
          <w:p w14:paraId="292A1244"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4E0B85EE"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2B1DE363"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7.92</w:t>
            </w:r>
          </w:p>
        </w:tc>
        <w:tc>
          <w:tcPr>
            <w:tcW w:w="907" w:type="dxa"/>
            <w:vAlign w:val="center"/>
          </w:tcPr>
          <w:p w14:paraId="34A92455" w14:textId="77777777" w:rsidR="00897146" w:rsidRPr="00902ED4" w:rsidRDefault="00897146" w:rsidP="00897146">
            <w:pPr>
              <w:pStyle w:val="TableParagraph"/>
              <w:spacing w:line="275" w:lineRule="exact"/>
              <w:ind w:right="9"/>
              <w:rPr>
                <w:rFonts w:ascii="Arial" w:hAnsi="Arial" w:cs="Arial"/>
                <w:sz w:val="20"/>
                <w:szCs w:val="20"/>
              </w:rPr>
            </w:pPr>
            <w:r w:rsidRPr="00902ED4">
              <w:rPr>
                <w:rFonts w:ascii="Arial" w:hAnsi="Arial" w:cs="Arial"/>
                <w:spacing w:val="-5"/>
                <w:sz w:val="20"/>
                <w:szCs w:val="20"/>
              </w:rPr>
              <w:t>++</w:t>
            </w:r>
          </w:p>
        </w:tc>
        <w:tc>
          <w:tcPr>
            <w:tcW w:w="907" w:type="dxa"/>
            <w:vAlign w:val="center"/>
          </w:tcPr>
          <w:p w14:paraId="57E3A2C6"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2E87439"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ABF96EF" w14:textId="77777777" w:rsidR="00897146" w:rsidRPr="00902ED4" w:rsidRDefault="00897146" w:rsidP="00897146">
            <w:pPr>
              <w:pStyle w:val="TableParagraph"/>
              <w:spacing w:line="275" w:lineRule="exact"/>
              <w:ind w:left="74" w:right="74"/>
              <w:rPr>
                <w:rFonts w:ascii="Arial" w:hAnsi="Arial" w:cs="Arial"/>
                <w:sz w:val="20"/>
                <w:szCs w:val="20"/>
              </w:rPr>
            </w:pPr>
            <w:r w:rsidRPr="00902ED4">
              <w:rPr>
                <w:rFonts w:ascii="Arial" w:hAnsi="Arial" w:cs="Arial"/>
                <w:spacing w:val="-5"/>
                <w:sz w:val="20"/>
                <w:szCs w:val="20"/>
              </w:rPr>
              <w:t>+++</w:t>
            </w:r>
          </w:p>
        </w:tc>
      </w:tr>
      <w:tr w:rsidR="00897146" w:rsidRPr="00902ED4" w14:paraId="3B7C5DE8" w14:textId="77777777" w:rsidTr="00897146">
        <w:trPr>
          <w:trHeight w:val="299"/>
        </w:trPr>
        <w:tc>
          <w:tcPr>
            <w:tcW w:w="1013" w:type="dxa"/>
          </w:tcPr>
          <w:p w14:paraId="2F4989CE"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4</w:t>
            </w:r>
          </w:p>
        </w:tc>
        <w:tc>
          <w:tcPr>
            <w:tcW w:w="907" w:type="dxa"/>
            <w:vAlign w:val="center"/>
          </w:tcPr>
          <w:p w14:paraId="33386D44" w14:textId="77777777" w:rsidR="00897146" w:rsidRPr="00902ED4" w:rsidRDefault="00897146" w:rsidP="00897146">
            <w:pPr>
              <w:pStyle w:val="TableParagraph"/>
              <w:spacing w:before="1"/>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16C4A3D8" w14:textId="77777777" w:rsidR="00897146" w:rsidRPr="00902ED4" w:rsidRDefault="00897146" w:rsidP="00897146">
            <w:pPr>
              <w:pStyle w:val="TableParagraph"/>
              <w:spacing w:before="1"/>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10CE5CA7" w14:textId="77777777" w:rsidR="00897146" w:rsidRPr="00902ED4" w:rsidRDefault="00897146" w:rsidP="00897146">
            <w:pPr>
              <w:pStyle w:val="TableParagraph"/>
              <w:spacing w:before="1"/>
              <w:ind w:left="77" w:right="73"/>
              <w:rPr>
                <w:rFonts w:ascii="Arial" w:hAnsi="Arial" w:cs="Arial"/>
                <w:sz w:val="20"/>
                <w:szCs w:val="20"/>
              </w:rPr>
            </w:pPr>
            <w:r w:rsidRPr="00902ED4">
              <w:rPr>
                <w:rFonts w:ascii="Arial" w:hAnsi="Arial" w:cs="Arial"/>
                <w:spacing w:val="-5"/>
                <w:sz w:val="20"/>
                <w:szCs w:val="20"/>
              </w:rPr>
              <w:t>++</w:t>
            </w:r>
          </w:p>
        </w:tc>
        <w:tc>
          <w:tcPr>
            <w:tcW w:w="907" w:type="dxa"/>
            <w:vAlign w:val="center"/>
          </w:tcPr>
          <w:p w14:paraId="57C53B92" w14:textId="77777777" w:rsidR="00897146" w:rsidRPr="00902ED4" w:rsidRDefault="00897146" w:rsidP="00897146">
            <w:pPr>
              <w:pStyle w:val="TableParagraph"/>
              <w:spacing w:before="1"/>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448B4620"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8.76</w:t>
            </w:r>
          </w:p>
        </w:tc>
        <w:tc>
          <w:tcPr>
            <w:tcW w:w="907" w:type="dxa"/>
            <w:vAlign w:val="center"/>
          </w:tcPr>
          <w:p w14:paraId="2E0E1DA8" w14:textId="77777777" w:rsidR="00897146" w:rsidRPr="00902ED4" w:rsidRDefault="00897146" w:rsidP="00897146">
            <w:pPr>
              <w:pStyle w:val="TableParagraph"/>
              <w:spacing w:before="1"/>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6E947C50" w14:textId="77777777" w:rsidR="00897146" w:rsidRPr="00902ED4" w:rsidRDefault="00897146" w:rsidP="00897146">
            <w:pPr>
              <w:pStyle w:val="TableParagraph"/>
              <w:spacing w:before="1"/>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171F170" w14:textId="77777777" w:rsidR="00897146" w:rsidRPr="00902ED4" w:rsidRDefault="00897146" w:rsidP="00897146">
            <w:pPr>
              <w:pStyle w:val="TableParagraph"/>
              <w:spacing w:before="1"/>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1B483094" w14:textId="77777777" w:rsidR="00897146" w:rsidRPr="00902ED4" w:rsidRDefault="00897146" w:rsidP="00897146">
            <w:pPr>
              <w:pStyle w:val="TableParagraph"/>
              <w:spacing w:before="1"/>
              <w:ind w:left="74" w:right="74"/>
              <w:rPr>
                <w:rFonts w:ascii="Arial" w:hAnsi="Arial" w:cs="Arial"/>
                <w:sz w:val="20"/>
                <w:szCs w:val="20"/>
              </w:rPr>
            </w:pPr>
            <w:r w:rsidRPr="00902ED4">
              <w:rPr>
                <w:rFonts w:ascii="Arial" w:hAnsi="Arial" w:cs="Arial"/>
                <w:spacing w:val="-10"/>
                <w:sz w:val="20"/>
                <w:szCs w:val="20"/>
              </w:rPr>
              <w:t>+</w:t>
            </w:r>
          </w:p>
        </w:tc>
      </w:tr>
      <w:tr w:rsidR="00897146" w:rsidRPr="00902ED4" w14:paraId="5E77BE38" w14:textId="77777777" w:rsidTr="00897146">
        <w:trPr>
          <w:trHeight w:val="297"/>
        </w:trPr>
        <w:tc>
          <w:tcPr>
            <w:tcW w:w="1013" w:type="dxa"/>
          </w:tcPr>
          <w:p w14:paraId="2D2B5357" w14:textId="77777777" w:rsidR="00897146" w:rsidRPr="00902ED4" w:rsidRDefault="00897146" w:rsidP="00613796">
            <w:pPr>
              <w:pStyle w:val="TableParagraph"/>
              <w:spacing w:before="6"/>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5</w:t>
            </w:r>
          </w:p>
        </w:tc>
        <w:tc>
          <w:tcPr>
            <w:tcW w:w="907" w:type="dxa"/>
            <w:vAlign w:val="center"/>
          </w:tcPr>
          <w:p w14:paraId="72290413"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2A8E3415"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C70C1C0"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7CC5BE75"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49289B4B" w14:textId="77777777" w:rsidR="00897146" w:rsidRPr="00902ED4" w:rsidRDefault="00897146" w:rsidP="00897146">
            <w:pPr>
              <w:pStyle w:val="TableParagraph"/>
              <w:spacing w:before="6"/>
              <w:ind w:right="5"/>
              <w:rPr>
                <w:rFonts w:ascii="Arial" w:hAnsi="Arial" w:cs="Arial"/>
                <w:sz w:val="20"/>
                <w:szCs w:val="20"/>
              </w:rPr>
            </w:pPr>
            <w:r w:rsidRPr="00902ED4">
              <w:rPr>
                <w:rFonts w:ascii="Arial" w:hAnsi="Arial" w:cs="Arial"/>
                <w:spacing w:val="-4"/>
                <w:sz w:val="20"/>
                <w:szCs w:val="20"/>
              </w:rPr>
              <w:t>4.06</w:t>
            </w:r>
          </w:p>
        </w:tc>
        <w:tc>
          <w:tcPr>
            <w:tcW w:w="907" w:type="dxa"/>
            <w:vAlign w:val="center"/>
          </w:tcPr>
          <w:p w14:paraId="35DA71C6"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184B977E"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5"/>
                <w:sz w:val="20"/>
                <w:szCs w:val="20"/>
              </w:rPr>
              <w:t>++</w:t>
            </w:r>
          </w:p>
        </w:tc>
        <w:tc>
          <w:tcPr>
            <w:tcW w:w="907" w:type="dxa"/>
            <w:vAlign w:val="center"/>
          </w:tcPr>
          <w:p w14:paraId="26FF7918"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1D549AA"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6C722D25" w14:textId="77777777" w:rsidTr="00897146">
        <w:trPr>
          <w:trHeight w:val="297"/>
        </w:trPr>
        <w:tc>
          <w:tcPr>
            <w:tcW w:w="1013" w:type="dxa"/>
          </w:tcPr>
          <w:p w14:paraId="32C964C7"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6</w:t>
            </w:r>
          </w:p>
        </w:tc>
        <w:tc>
          <w:tcPr>
            <w:tcW w:w="907" w:type="dxa"/>
            <w:vAlign w:val="center"/>
          </w:tcPr>
          <w:p w14:paraId="732BF87D"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78E8B736" w14:textId="77777777" w:rsidR="00897146" w:rsidRPr="00902ED4" w:rsidRDefault="00897146" w:rsidP="00897146">
            <w:pPr>
              <w:pStyle w:val="TableParagraph"/>
              <w:spacing w:line="275" w:lineRule="exact"/>
              <w:ind w:left="7" w:right="3"/>
              <w:rPr>
                <w:rFonts w:ascii="Arial" w:hAnsi="Arial" w:cs="Arial"/>
                <w:sz w:val="20"/>
                <w:szCs w:val="20"/>
              </w:rPr>
            </w:pPr>
            <w:r w:rsidRPr="00902ED4">
              <w:rPr>
                <w:rFonts w:ascii="Arial" w:hAnsi="Arial" w:cs="Arial"/>
                <w:spacing w:val="-10"/>
                <w:sz w:val="20"/>
                <w:szCs w:val="20"/>
              </w:rPr>
              <w:t>+</w:t>
            </w:r>
          </w:p>
        </w:tc>
        <w:tc>
          <w:tcPr>
            <w:tcW w:w="907" w:type="dxa"/>
            <w:vAlign w:val="center"/>
          </w:tcPr>
          <w:p w14:paraId="12C990B9"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59C1D7A8"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7C7B28AF"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6.98</w:t>
            </w:r>
          </w:p>
        </w:tc>
        <w:tc>
          <w:tcPr>
            <w:tcW w:w="907" w:type="dxa"/>
            <w:vAlign w:val="center"/>
          </w:tcPr>
          <w:p w14:paraId="1BD4CDEB"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4DEC6C17"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01FB7F48" w14:textId="77777777" w:rsidR="00897146" w:rsidRPr="00902ED4" w:rsidRDefault="00897146" w:rsidP="00897146">
            <w:pPr>
              <w:pStyle w:val="TableParagraph"/>
              <w:spacing w:line="275" w:lineRule="exact"/>
              <w:ind w:left="59" w:right="59"/>
              <w:rPr>
                <w:rFonts w:ascii="Arial" w:hAnsi="Arial" w:cs="Arial"/>
                <w:sz w:val="20"/>
                <w:szCs w:val="20"/>
              </w:rPr>
            </w:pPr>
            <w:r w:rsidRPr="00902ED4">
              <w:rPr>
                <w:rFonts w:ascii="Arial" w:hAnsi="Arial" w:cs="Arial"/>
                <w:spacing w:val="-5"/>
                <w:sz w:val="20"/>
                <w:szCs w:val="20"/>
              </w:rPr>
              <w:t>++</w:t>
            </w:r>
          </w:p>
        </w:tc>
        <w:tc>
          <w:tcPr>
            <w:tcW w:w="907" w:type="dxa"/>
            <w:vAlign w:val="center"/>
          </w:tcPr>
          <w:p w14:paraId="284EA73A"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7E4D9196" w14:textId="77777777" w:rsidTr="00897146">
        <w:trPr>
          <w:trHeight w:val="299"/>
        </w:trPr>
        <w:tc>
          <w:tcPr>
            <w:tcW w:w="1013" w:type="dxa"/>
          </w:tcPr>
          <w:p w14:paraId="733AC373"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7</w:t>
            </w:r>
          </w:p>
        </w:tc>
        <w:tc>
          <w:tcPr>
            <w:tcW w:w="907" w:type="dxa"/>
            <w:vAlign w:val="center"/>
          </w:tcPr>
          <w:p w14:paraId="3068F8E8" w14:textId="77777777" w:rsidR="00897146" w:rsidRPr="00902ED4" w:rsidRDefault="00897146" w:rsidP="00897146">
            <w:pPr>
              <w:pStyle w:val="TableParagraph"/>
              <w:spacing w:line="275"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4621A5F0"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13E7B0DF"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3A7915D5"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52475668"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8.86</w:t>
            </w:r>
          </w:p>
        </w:tc>
        <w:tc>
          <w:tcPr>
            <w:tcW w:w="907" w:type="dxa"/>
            <w:vAlign w:val="center"/>
          </w:tcPr>
          <w:p w14:paraId="15CABF4E"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1E19DFEA"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61AFDFE9"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32DC78F" w14:textId="77777777" w:rsidR="00897146" w:rsidRPr="00902ED4" w:rsidRDefault="00897146" w:rsidP="00897146">
            <w:pPr>
              <w:pStyle w:val="TableParagraph"/>
              <w:spacing w:line="275" w:lineRule="exact"/>
              <w:ind w:left="74" w:right="74"/>
              <w:rPr>
                <w:rFonts w:ascii="Arial" w:hAnsi="Arial" w:cs="Arial"/>
                <w:sz w:val="20"/>
                <w:szCs w:val="20"/>
              </w:rPr>
            </w:pPr>
            <w:r w:rsidRPr="00902ED4">
              <w:rPr>
                <w:rFonts w:ascii="Arial" w:hAnsi="Arial" w:cs="Arial"/>
                <w:spacing w:val="-10"/>
                <w:sz w:val="20"/>
                <w:szCs w:val="20"/>
              </w:rPr>
              <w:t>+</w:t>
            </w:r>
          </w:p>
        </w:tc>
      </w:tr>
      <w:tr w:rsidR="00897146" w:rsidRPr="00902ED4" w14:paraId="0C1A45A9" w14:textId="77777777" w:rsidTr="00897146">
        <w:trPr>
          <w:trHeight w:val="297"/>
        </w:trPr>
        <w:tc>
          <w:tcPr>
            <w:tcW w:w="1013" w:type="dxa"/>
          </w:tcPr>
          <w:p w14:paraId="00D72321" w14:textId="77777777" w:rsidR="00897146" w:rsidRPr="00902ED4" w:rsidRDefault="00897146" w:rsidP="00613796">
            <w:pPr>
              <w:pStyle w:val="TableParagraph"/>
              <w:spacing w:before="6"/>
              <w:ind w:left="6" w:right="4"/>
              <w:rPr>
                <w:rFonts w:ascii="Arial" w:hAnsi="Arial" w:cs="Arial"/>
                <w:bCs/>
                <w:sz w:val="20"/>
                <w:szCs w:val="20"/>
              </w:rPr>
            </w:pPr>
            <w:r w:rsidRPr="00902ED4">
              <w:rPr>
                <w:rFonts w:ascii="Arial" w:hAnsi="Arial" w:cs="Arial"/>
                <w:bCs/>
                <w:sz w:val="20"/>
                <w:szCs w:val="20"/>
              </w:rPr>
              <w:t>ESB</w:t>
            </w:r>
            <w:r w:rsidR="00902ED4" w:rsidRPr="00902ED4">
              <w:rPr>
                <w:rFonts w:ascii="Arial" w:hAnsi="Arial" w:cs="Arial"/>
                <w:bCs/>
                <w:spacing w:val="-5"/>
                <w:sz w:val="20"/>
                <w:szCs w:val="20"/>
              </w:rPr>
              <w:t xml:space="preserve"> 8</w:t>
            </w:r>
          </w:p>
        </w:tc>
        <w:tc>
          <w:tcPr>
            <w:tcW w:w="907" w:type="dxa"/>
            <w:vAlign w:val="center"/>
          </w:tcPr>
          <w:p w14:paraId="586B5160"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281DA60C"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5"/>
                <w:sz w:val="20"/>
                <w:szCs w:val="20"/>
              </w:rPr>
              <w:t>+++</w:t>
            </w:r>
          </w:p>
        </w:tc>
        <w:tc>
          <w:tcPr>
            <w:tcW w:w="907" w:type="dxa"/>
            <w:vAlign w:val="center"/>
          </w:tcPr>
          <w:p w14:paraId="1477D4F5" w14:textId="77777777" w:rsidR="00897146" w:rsidRPr="00902ED4" w:rsidRDefault="00897146" w:rsidP="00897146">
            <w:pPr>
              <w:pStyle w:val="TableParagraph"/>
              <w:spacing w:line="275" w:lineRule="exact"/>
              <w:ind w:left="77" w:right="73"/>
              <w:rPr>
                <w:rFonts w:ascii="Arial" w:hAnsi="Arial" w:cs="Arial"/>
                <w:sz w:val="20"/>
                <w:szCs w:val="20"/>
              </w:rPr>
            </w:pPr>
            <w:r w:rsidRPr="00902ED4">
              <w:rPr>
                <w:rFonts w:ascii="Arial" w:hAnsi="Arial" w:cs="Arial"/>
                <w:spacing w:val="-5"/>
                <w:sz w:val="20"/>
                <w:szCs w:val="20"/>
              </w:rPr>
              <w:t>++</w:t>
            </w:r>
          </w:p>
        </w:tc>
        <w:tc>
          <w:tcPr>
            <w:tcW w:w="907" w:type="dxa"/>
            <w:vAlign w:val="center"/>
          </w:tcPr>
          <w:p w14:paraId="54317021"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07A77384" w14:textId="77777777" w:rsidR="00897146" w:rsidRPr="00902ED4" w:rsidRDefault="00897146" w:rsidP="00897146">
            <w:pPr>
              <w:pStyle w:val="TableParagraph"/>
              <w:spacing w:before="6"/>
              <w:ind w:right="8"/>
              <w:rPr>
                <w:rFonts w:ascii="Arial" w:hAnsi="Arial" w:cs="Arial"/>
                <w:sz w:val="20"/>
                <w:szCs w:val="20"/>
              </w:rPr>
            </w:pPr>
            <w:r w:rsidRPr="00902ED4">
              <w:rPr>
                <w:rFonts w:ascii="Arial" w:hAnsi="Arial" w:cs="Arial"/>
                <w:spacing w:val="-2"/>
                <w:sz w:val="20"/>
                <w:szCs w:val="20"/>
              </w:rPr>
              <w:t>14.29</w:t>
            </w:r>
          </w:p>
        </w:tc>
        <w:tc>
          <w:tcPr>
            <w:tcW w:w="907" w:type="dxa"/>
            <w:vAlign w:val="center"/>
          </w:tcPr>
          <w:p w14:paraId="3E07340B" w14:textId="77777777" w:rsidR="00897146" w:rsidRPr="00902ED4" w:rsidRDefault="00897146" w:rsidP="00897146">
            <w:pPr>
              <w:pStyle w:val="TableParagraph"/>
              <w:spacing w:line="275" w:lineRule="exact"/>
              <w:ind w:right="9"/>
              <w:rPr>
                <w:rFonts w:ascii="Arial" w:hAnsi="Arial" w:cs="Arial"/>
                <w:sz w:val="20"/>
                <w:szCs w:val="20"/>
              </w:rPr>
            </w:pPr>
            <w:r w:rsidRPr="00902ED4">
              <w:rPr>
                <w:rFonts w:ascii="Arial" w:hAnsi="Arial" w:cs="Arial"/>
                <w:spacing w:val="-5"/>
                <w:sz w:val="20"/>
                <w:szCs w:val="20"/>
              </w:rPr>
              <w:t>++</w:t>
            </w:r>
          </w:p>
        </w:tc>
        <w:tc>
          <w:tcPr>
            <w:tcW w:w="907" w:type="dxa"/>
            <w:vAlign w:val="center"/>
          </w:tcPr>
          <w:p w14:paraId="35646077"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66D5803B"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27A550D2" w14:textId="77777777" w:rsidR="00897146" w:rsidRPr="00902ED4" w:rsidRDefault="00897146" w:rsidP="00897146">
            <w:pPr>
              <w:pStyle w:val="TableParagraph"/>
              <w:spacing w:line="275" w:lineRule="exact"/>
              <w:ind w:left="74" w:right="78"/>
              <w:rPr>
                <w:rFonts w:ascii="Arial" w:hAnsi="Arial" w:cs="Arial"/>
                <w:sz w:val="20"/>
                <w:szCs w:val="20"/>
              </w:rPr>
            </w:pPr>
            <w:r w:rsidRPr="00902ED4">
              <w:rPr>
                <w:rFonts w:ascii="Arial" w:hAnsi="Arial" w:cs="Arial"/>
                <w:spacing w:val="-5"/>
                <w:sz w:val="20"/>
                <w:szCs w:val="20"/>
              </w:rPr>
              <w:t>++</w:t>
            </w:r>
          </w:p>
        </w:tc>
      </w:tr>
    </w:tbl>
    <w:p w14:paraId="66EF0ECD" w14:textId="77777777" w:rsidR="00B62317" w:rsidRDefault="00B62317" w:rsidP="00B62317">
      <w:pPr>
        <w:pStyle w:val="BodyText"/>
        <w:spacing w:before="1"/>
        <w:ind w:left="448"/>
      </w:pPr>
    </w:p>
    <w:p w14:paraId="7C17C754" w14:textId="77777777" w:rsidR="00B62317" w:rsidRPr="00897146" w:rsidRDefault="00B62317" w:rsidP="00B62317">
      <w:pPr>
        <w:pStyle w:val="NormalWeb"/>
        <w:spacing w:before="0" w:beforeAutospacing="0" w:after="0" w:afterAutospacing="0"/>
        <w:jc w:val="both"/>
        <w:rPr>
          <w:rFonts w:ascii="Arial" w:hAnsi="Arial" w:cs="Arial"/>
          <w:i/>
          <w:iCs/>
          <w:sz w:val="18"/>
          <w:szCs w:val="18"/>
        </w:rPr>
      </w:pPr>
      <w:r w:rsidRPr="00897146">
        <w:rPr>
          <w:rFonts w:ascii="Arial" w:hAnsi="Arial" w:cs="Arial"/>
          <w:i/>
          <w:iCs/>
          <w:sz w:val="18"/>
          <w:szCs w:val="18"/>
        </w:rPr>
        <w:t>1. Siderophore production; 2. HCN production; 3. Ammonia production; 4. Phosphate solubilisation; 5. IAA production (</w:t>
      </w:r>
      <w:proofErr w:type="spellStart"/>
      <w:r w:rsidRPr="00897146">
        <w:rPr>
          <w:rFonts w:ascii="Arial" w:hAnsi="Arial" w:cs="Arial"/>
          <w:i/>
          <w:iCs/>
          <w:sz w:val="18"/>
          <w:szCs w:val="18"/>
        </w:rPr>
        <w:t>μg</w:t>
      </w:r>
      <w:proofErr w:type="spellEnd"/>
      <w:r w:rsidRPr="00897146">
        <w:rPr>
          <w:rFonts w:ascii="Arial" w:hAnsi="Arial" w:cs="Arial"/>
          <w:i/>
          <w:iCs/>
          <w:sz w:val="18"/>
          <w:szCs w:val="18"/>
        </w:rPr>
        <w:t>/ml); 6. Pectolytic activity; 7. Amylolytic activity; 8. Potassium solubilisation; 9. Proteolytic activity</w:t>
      </w:r>
    </w:p>
    <w:p w14:paraId="3746E132" w14:textId="77777777" w:rsidR="00B62317" w:rsidRPr="00C30158" w:rsidRDefault="00B62317" w:rsidP="004B4CB5">
      <w:pPr>
        <w:jc w:val="both"/>
        <w:rPr>
          <w:rFonts w:ascii="Arial" w:hAnsi="Arial" w:cs="Arial"/>
          <w:sz w:val="20"/>
        </w:rPr>
      </w:pPr>
    </w:p>
    <w:p w14:paraId="353A026C" w14:textId="77777777" w:rsidR="00400D2F" w:rsidRPr="00611D50" w:rsidRDefault="00611D50" w:rsidP="00B62317">
      <w:pPr>
        <w:pStyle w:val="ListParagraph"/>
        <w:numPr>
          <w:ilvl w:val="0"/>
          <w:numId w:val="10"/>
        </w:numPr>
        <w:jc w:val="both"/>
        <w:rPr>
          <w:rFonts w:ascii="Arial" w:hAnsi="Arial" w:cs="Arial"/>
          <w:b/>
          <w:bCs/>
        </w:rPr>
      </w:pPr>
      <w:r w:rsidRPr="00611D50">
        <w:rPr>
          <w:rFonts w:ascii="Arial" w:hAnsi="Arial" w:cs="Arial"/>
          <w:b/>
          <w:bCs/>
        </w:rPr>
        <w:t>DISCUSSION</w:t>
      </w:r>
    </w:p>
    <w:p w14:paraId="0D7BB91D" w14:textId="77777777" w:rsidR="00E04076" w:rsidRPr="00E46164" w:rsidRDefault="00E04076" w:rsidP="00E04076">
      <w:pPr>
        <w:pStyle w:val="NormalWeb"/>
        <w:jc w:val="both"/>
        <w:rPr>
          <w:rFonts w:ascii="Arial" w:hAnsi="Arial" w:cs="Arial"/>
          <w:sz w:val="20"/>
          <w:szCs w:val="20"/>
        </w:rPr>
      </w:pPr>
      <w:r w:rsidRPr="00C30158">
        <w:rPr>
          <w:rFonts w:ascii="Arial" w:hAnsi="Arial" w:cs="Arial"/>
          <w:sz w:val="20"/>
          <w:szCs w:val="20"/>
        </w:rPr>
        <w:t xml:space="preserve">The present study identifies the maize-derived endophyte </w:t>
      </w:r>
      <w:r w:rsidRPr="00E46164">
        <w:rPr>
          <w:rStyle w:val="Emphasis"/>
          <w:rFonts w:ascii="Arial" w:hAnsi="Arial" w:cs="Arial"/>
          <w:sz w:val="20"/>
          <w:szCs w:val="20"/>
        </w:rPr>
        <w:t>Bacillus subtilis</w:t>
      </w:r>
      <w:r w:rsidRPr="00E46164">
        <w:rPr>
          <w:rFonts w:ascii="Arial" w:hAnsi="Arial" w:cs="Arial"/>
          <w:sz w:val="20"/>
          <w:szCs w:val="20"/>
        </w:rPr>
        <w:t xml:space="preserve"> as a broadly active biological agent against </w:t>
      </w:r>
      <w:r w:rsidRPr="00E46164">
        <w:rPr>
          <w:rStyle w:val="Emphasis"/>
          <w:rFonts w:ascii="Arial" w:hAnsi="Arial" w:cs="Arial"/>
          <w:sz w:val="20"/>
          <w:szCs w:val="20"/>
        </w:rPr>
        <w:t>S</w:t>
      </w:r>
      <w:r w:rsidR="00B62317">
        <w:rPr>
          <w:rStyle w:val="Emphasis"/>
          <w:rFonts w:ascii="Arial" w:hAnsi="Arial" w:cs="Arial"/>
          <w:sz w:val="20"/>
          <w:szCs w:val="20"/>
        </w:rPr>
        <w:t>.</w:t>
      </w:r>
      <w:r w:rsidRPr="00E46164">
        <w:rPr>
          <w:rStyle w:val="Emphasis"/>
          <w:rFonts w:ascii="Arial" w:hAnsi="Arial" w:cs="Arial"/>
          <w:sz w:val="20"/>
          <w:szCs w:val="20"/>
        </w:rPr>
        <w:t xml:space="preserve"> frugiperda</w:t>
      </w:r>
      <w:r w:rsidRPr="00E46164">
        <w:rPr>
          <w:rFonts w:ascii="Arial" w:hAnsi="Arial" w:cs="Arial"/>
          <w:sz w:val="20"/>
          <w:szCs w:val="20"/>
        </w:rPr>
        <w:t xml:space="preserve">, acting through a combination of lethal and sublethal mechanisms. This multi-modal activity comprising increased mortality, feeding deterrence, reduced food-to-biomass conversion, slowed growth, and impaired metamorphosis implies that </w:t>
      </w:r>
      <w:r w:rsidRPr="00E46164">
        <w:rPr>
          <w:rStyle w:val="Emphasis"/>
          <w:rFonts w:ascii="Arial" w:hAnsi="Arial" w:cs="Arial"/>
          <w:sz w:val="20"/>
          <w:szCs w:val="20"/>
        </w:rPr>
        <w:t>B. subtilis</w:t>
      </w:r>
      <w:r w:rsidRPr="00E46164">
        <w:rPr>
          <w:rFonts w:ascii="Arial" w:hAnsi="Arial" w:cs="Arial"/>
          <w:sz w:val="20"/>
          <w:szCs w:val="20"/>
        </w:rPr>
        <w:t xml:space="preserve"> does not act solely as an acute toxin but rather induces systemic physiological and </w:t>
      </w:r>
      <w:proofErr w:type="spellStart"/>
      <w:r w:rsidRPr="00E46164">
        <w:rPr>
          <w:rFonts w:ascii="Arial" w:hAnsi="Arial" w:cs="Arial"/>
          <w:sz w:val="20"/>
          <w:szCs w:val="20"/>
        </w:rPr>
        <w:t>behavioral</w:t>
      </w:r>
      <w:proofErr w:type="spellEnd"/>
      <w:r w:rsidRPr="00E46164">
        <w:rPr>
          <w:rFonts w:ascii="Arial" w:hAnsi="Arial" w:cs="Arial"/>
          <w:sz w:val="20"/>
          <w:szCs w:val="20"/>
        </w:rPr>
        <w:t xml:space="preserve"> disruption in the insect. Such a composite effect increases the likelihood of durable pest suppression because survivors are less fit, reproduce less successfully, and become more vulnerable to environmental mortality factors and natural enemies (</w:t>
      </w:r>
      <w:proofErr w:type="spellStart"/>
      <w:r w:rsidRPr="00E46164">
        <w:rPr>
          <w:rFonts w:ascii="Arial" w:hAnsi="Arial" w:cs="Arial"/>
          <w:sz w:val="20"/>
          <w:szCs w:val="20"/>
        </w:rPr>
        <w:t>Ruiu</w:t>
      </w:r>
      <w:proofErr w:type="spellEnd"/>
      <w:r w:rsidRPr="00E46164">
        <w:rPr>
          <w:rFonts w:ascii="Arial" w:hAnsi="Arial" w:cs="Arial"/>
          <w:sz w:val="20"/>
          <w:szCs w:val="20"/>
        </w:rPr>
        <w:t>, 2018).</w:t>
      </w:r>
      <w:r w:rsidR="00832BA8" w:rsidRPr="00E46164">
        <w:rPr>
          <w:rFonts w:ascii="Arial" w:hAnsi="Arial" w:cs="Arial"/>
          <w:sz w:val="20"/>
          <w:szCs w:val="20"/>
        </w:rPr>
        <w:t xml:space="preserve"> </w:t>
      </w:r>
      <w:r w:rsidRPr="00E46164">
        <w:rPr>
          <w:rStyle w:val="Emphasis"/>
          <w:rFonts w:ascii="Arial" w:hAnsi="Arial" w:cs="Arial"/>
          <w:sz w:val="20"/>
          <w:szCs w:val="20"/>
        </w:rPr>
        <w:t>Bacillus</w:t>
      </w:r>
      <w:r w:rsidRPr="00E46164">
        <w:rPr>
          <w:rFonts w:ascii="Arial" w:hAnsi="Arial" w:cs="Arial"/>
          <w:sz w:val="20"/>
          <w:szCs w:val="20"/>
        </w:rPr>
        <w:t xml:space="preserve">-produced secondary metabolites such as cyclic lipopeptides which include surfactins, iturins and fengycins and extracellular enzymes consisting of chitinases and proteases in causing both direct toxicity and digestive impairment. Recent genomic-chemical studies and bioassays have demonstrated that surfactins and other lipopeptides produced by </w:t>
      </w:r>
      <w:r w:rsidRPr="00E46164">
        <w:rPr>
          <w:rStyle w:val="Emphasis"/>
          <w:rFonts w:ascii="Arial" w:hAnsi="Arial" w:cs="Arial"/>
          <w:sz w:val="20"/>
          <w:szCs w:val="20"/>
        </w:rPr>
        <w:t>Bacillus</w:t>
      </w:r>
      <w:r w:rsidRPr="00E46164">
        <w:rPr>
          <w:rFonts w:ascii="Arial" w:hAnsi="Arial" w:cs="Arial"/>
          <w:sz w:val="20"/>
          <w:szCs w:val="20"/>
        </w:rPr>
        <w:t xml:space="preserve"> spp. exhibit insecticidal or </w:t>
      </w:r>
      <w:proofErr w:type="spellStart"/>
      <w:r w:rsidRPr="00E46164">
        <w:rPr>
          <w:rFonts w:ascii="Arial" w:hAnsi="Arial" w:cs="Arial"/>
          <w:sz w:val="20"/>
          <w:szCs w:val="20"/>
        </w:rPr>
        <w:t>aphidicidal</w:t>
      </w:r>
      <w:proofErr w:type="spellEnd"/>
      <w:r w:rsidRPr="00E46164">
        <w:rPr>
          <w:rFonts w:ascii="Arial" w:hAnsi="Arial" w:cs="Arial"/>
          <w:sz w:val="20"/>
          <w:szCs w:val="20"/>
        </w:rPr>
        <w:t xml:space="preserve"> activity and can act synergistically with iturins/fengycins to increase lethality (Liu </w:t>
      </w:r>
      <w:r w:rsidRPr="00400CF5">
        <w:rPr>
          <w:rFonts w:ascii="Arial" w:hAnsi="Arial" w:cs="Arial"/>
          <w:i/>
          <w:iCs/>
          <w:sz w:val="20"/>
          <w:szCs w:val="20"/>
        </w:rPr>
        <w:t>et al</w:t>
      </w:r>
      <w:r w:rsidRPr="00E46164">
        <w:rPr>
          <w:rFonts w:ascii="Arial" w:hAnsi="Arial" w:cs="Arial"/>
          <w:sz w:val="20"/>
          <w:szCs w:val="20"/>
        </w:rPr>
        <w:t xml:space="preserve">., 2024; Xia </w:t>
      </w:r>
      <w:r w:rsidRPr="00400CF5">
        <w:rPr>
          <w:rFonts w:ascii="Arial" w:hAnsi="Arial" w:cs="Arial"/>
          <w:i/>
          <w:iCs/>
          <w:sz w:val="20"/>
          <w:szCs w:val="20"/>
        </w:rPr>
        <w:t>et al</w:t>
      </w:r>
      <w:r w:rsidRPr="00E46164">
        <w:rPr>
          <w:rFonts w:ascii="Arial" w:hAnsi="Arial" w:cs="Arial"/>
          <w:sz w:val="20"/>
          <w:szCs w:val="20"/>
        </w:rPr>
        <w:t xml:space="preserve">., 2024; </w:t>
      </w:r>
      <w:r w:rsidR="00761522" w:rsidRPr="00E46164">
        <w:rPr>
          <w:rFonts w:ascii="Arial" w:hAnsi="Arial" w:cs="Arial"/>
          <w:sz w:val="20"/>
          <w:szCs w:val="20"/>
          <w:lang w:val="en-US"/>
        </w:rPr>
        <w:t>Diniz</w:t>
      </w:r>
      <w:r w:rsidR="00761522" w:rsidRPr="00E46164">
        <w:rPr>
          <w:rFonts w:ascii="Arial" w:hAnsi="Arial" w:cs="Arial"/>
          <w:sz w:val="20"/>
          <w:szCs w:val="20"/>
        </w:rPr>
        <w:t xml:space="preserve"> </w:t>
      </w:r>
      <w:r w:rsidR="00761522" w:rsidRPr="00400CF5">
        <w:rPr>
          <w:rFonts w:ascii="Arial" w:hAnsi="Arial" w:cs="Arial"/>
          <w:i/>
          <w:iCs/>
          <w:sz w:val="20"/>
          <w:szCs w:val="20"/>
        </w:rPr>
        <w:t>et al</w:t>
      </w:r>
      <w:r w:rsidR="00761522" w:rsidRPr="00E46164">
        <w:rPr>
          <w:rFonts w:ascii="Arial" w:hAnsi="Arial" w:cs="Arial"/>
          <w:sz w:val="20"/>
          <w:szCs w:val="20"/>
        </w:rPr>
        <w:t>.</w:t>
      </w:r>
      <w:r w:rsidRPr="00E46164">
        <w:rPr>
          <w:rFonts w:ascii="Arial" w:hAnsi="Arial" w:cs="Arial"/>
          <w:sz w:val="20"/>
          <w:szCs w:val="20"/>
        </w:rPr>
        <w:t xml:space="preserve">, 2024). In parallel, several studies of </w:t>
      </w:r>
      <w:r w:rsidRPr="00E46164">
        <w:rPr>
          <w:rStyle w:val="Emphasis"/>
          <w:rFonts w:ascii="Arial" w:hAnsi="Arial" w:cs="Arial"/>
          <w:sz w:val="20"/>
          <w:szCs w:val="20"/>
        </w:rPr>
        <w:t xml:space="preserve">B. </w:t>
      </w:r>
      <w:proofErr w:type="spellStart"/>
      <w:r w:rsidRPr="00E46164">
        <w:rPr>
          <w:rStyle w:val="Emphasis"/>
          <w:rFonts w:ascii="Arial" w:hAnsi="Arial" w:cs="Arial"/>
          <w:sz w:val="20"/>
          <w:szCs w:val="20"/>
        </w:rPr>
        <w:t>velezensis</w:t>
      </w:r>
      <w:proofErr w:type="spellEnd"/>
      <w:r w:rsidRPr="00E46164">
        <w:rPr>
          <w:rFonts w:ascii="Arial" w:hAnsi="Arial" w:cs="Arial"/>
          <w:sz w:val="20"/>
          <w:szCs w:val="20"/>
        </w:rPr>
        <w:t xml:space="preserve"> and related </w:t>
      </w:r>
      <w:r w:rsidRPr="00E46164">
        <w:rPr>
          <w:rFonts w:ascii="Arial" w:hAnsi="Arial" w:cs="Arial"/>
          <w:i/>
          <w:iCs/>
          <w:sz w:val="20"/>
          <w:szCs w:val="20"/>
        </w:rPr>
        <w:t>Bacillus</w:t>
      </w:r>
      <w:r w:rsidRPr="00E46164">
        <w:rPr>
          <w:rFonts w:ascii="Arial" w:hAnsi="Arial" w:cs="Arial"/>
          <w:sz w:val="20"/>
          <w:szCs w:val="20"/>
        </w:rPr>
        <w:t xml:space="preserve"> strains have reported chitinase/protease-mediated cuticle and gut damage that rapidly reduce larval viability. The combination of membrane-active lipopeptides and cuticle-digesting enzymes plausibly explains the pattern in our results where larvae showed both feeding cessation/antifeedant responses and reduced food conversion efficiency (ECI), consistent with midgut damage and enzyme inhibition documented elsewhere (Muthusamy </w:t>
      </w:r>
      <w:r w:rsidRPr="00400CF5">
        <w:rPr>
          <w:rFonts w:ascii="Arial" w:hAnsi="Arial" w:cs="Arial"/>
          <w:i/>
          <w:iCs/>
          <w:sz w:val="20"/>
          <w:szCs w:val="20"/>
        </w:rPr>
        <w:t>et al</w:t>
      </w:r>
      <w:r w:rsidRPr="00E46164">
        <w:rPr>
          <w:rFonts w:ascii="Arial" w:hAnsi="Arial" w:cs="Arial"/>
          <w:sz w:val="20"/>
          <w:szCs w:val="20"/>
        </w:rPr>
        <w:t xml:space="preserve">., 2024; Liu </w:t>
      </w:r>
      <w:r w:rsidRPr="00400CF5">
        <w:rPr>
          <w:rFonts w:ascii="Arial" w:hAnsi="Arial" w:cs="Arial"/>
          <w:i/>
          <w:iCs/>
          <w:sz w:val="20"/>
          <w:szCs w:val="20"/>
        </w:rPr>
        <w:t>et al</w:t>
      </w:r>
      <w:r w:rsidRPr="00E46164">
        <w:rPr>
          <w:rFonts w:ascii="Arial" w:hAnsi="Arial" w:cs="Arial"/>
          <w:sz w:val="20"/>
          <w:szCs w:val="20"/>
        </w:rPr>
        <w:t xml:space="preserve">., 2024; </w:t>
      </w:r>
      <w:proofErr w:type="spellStart"/>
      <w:r w:rsidRPr="00E46164">
        <w:rPr>
          <w:rFonts w:ascii="Arial" w:hAnsi="Arial" w:cs="Arial"/>
          <w:sz w:val="20"/>
          <w:szCs w:val="20"/>
        </w:rPr>
        <w:t>Assié</w:t>
      </w:r>
      <w:proofErr w:type="spellEnd"/>
      <w:r w:rsidRPr="00E46164">
        <w:rPr>
          <w:rFonts w:ascii="Arial" w:hAnsi="Arial" w:cs="Arial"/>
          <w:sz w:val="20"/>
          <w:szCs w:val="20"/>
        </w:rPr>
        <w:t xml:space="preserve"> </w:t>
      </w:r>
      <w:r w:rsidRPr="00400CF5">
        <w:rPr>
          <w:rFonts w:ascii="Arial" w:hAnsi="Arial" w:cs="Arial"/>
          <w:i/>
          <w:iCs/>
          <w:sz w:val="20"/>
          <w:szCs w:val="20"/>
        </w:rPr>
        <w:t>et al</w:t>
      </w:r>
      <w:r w:rsidRPr="00E46164">
        <w:rPr>
          <w:rFonts w:ascii="Arial" w:hAnsi="Arial" w:cs="Arial"/>
          <w:sz w:val="20"/>
          <w:szCs w:val="20"/>
        </w:rPr>
        <w:t>.,</w:t>
      </w:r>
      <w:r w:rsidR="00BB3223" w:rsidRPr="00E46164">
        <w:rPr>
          <w:rFonts w:ascii="Arial" w:hAnsi="Arial" w:cs="Arial"/>
          <w:sz w:val="20"/>
          <w:szCs w:val="20"/>
        </w:rPr>
        <w:t xml:space="preserve"> 2002</w:t>
      </w:r>
      <w:r w:rsidRPr="00E46164">
        <w:rPr>
          <w:rFonts w:ascii="Arial" w:hAnsi="Arial" w:cs="Arial"/>
          <w:sz w:val="20"/>
          <w:szCs w:val="20"/>
        </w:rPr>
        <w:t>).</w:t>
      </w:r>
    </w:p>
    <w:p w14:paraId="5E7932C6" w14:textId="77777777" w:rsidR="00E04076" w:rsidRPr="00E46164" w:rsidRDefault="00E04076" w:rsidP="00E04076">
      <w:pPr>
        <w:pStyle w:val="NormalWeb"/>
        <w:jc w:val="both"/>
        <w:rPr>
          <w:rFonts w:ascii="Arial" w:hAnsi="Arial" w:cs="Arial"/>
          <w:sz w:val="20"/>
          <w:szCs w:val="20"/>
        </w:rPr>
      </w:pPr>
      <w:proofErr w:type="spellStart"/>
      <w:r w:rsidRPr="00E46164">
        <w:rPr>
          <w:rFonts w:ascii="Arial" w:hAnsi="Arial" w:cs="Arial"/>
          <w:sz w:val="20"/>
          <w:szCs w:val="20"/>
        </w:rPr>
        <w:lastRenderedPageBreak/>
        <w:t>Behavioral</w:t>
      </w:r>
      <w:proofErr w:type="spellEnd"/>
      <w:r w:rsidRPr="00E46164">
        <w:rPr>
          <w:rFonts w:ascii="Arial" w:hAnsi="Arial" w:cs="Arial"/>
          <w:sz w:val="20"/>
          <w:szCs w:val="20"/>
        </w:rPr>
        <w:t xml:space="preserve"> responses like feeding deterrence appear to be an important component of the observed damage reduction. Lipopeptides can act as contact or gustatory deterrents and also modify host plant palatability when delivered endophytically or via plant colonization (</w:t>
      </w:r>
      <w:proofErr w:type="spellStart"/>
      <w:r w:rsidRPr="00E46164">
        <w:rPr>
          <w:rFonts w:ascii="Arial" w:hAnsi="Arial" w:cs="Arial"/>
          <w:sz w:val="20"/>
          <w:szCs w:val="20"/>
        </w:rPr>
        <w:t>Ongena</w:t>
      </w:r>
      <w:proofErr w:type="spellEnd"/>
      <w:r w:rsidRPr="00E46164">
        <w:rPr>
          <w:rFonts w:ascii="Arial" w:hAnsi="Arial" w:cs="Arial"/>
          <w:sz w:val="20"/>
          <w:szCs w:val="20"/>
        </w:rPr>
        <w:t xml:space="preserve"> &amp; Jacques, 2008). The marked increase in FDI in our trials thus both reduces immediate tissue loss and compounds nutritional stress, lowering growth rates and ECI even when mortality is incomplete which is a strategy that is ecologically favourable for integrated pest management (</w:t>
      </w:r>
      <w:proofErr w:type="spellStart"/>
      <w:r w:rsidRPr="00E46164">
        <w:rPr>
          <w:rFonts w:ascii="Arial" w:hAnsi="Arial" w:cs="Arial"/>
          <w:sz w:val="20"/>
          <w:szCs w:val="20"/>
        </w:rPr>
        <w:t>Ruiu</w:t>
      </w:r>
      <w:proofErr w:type="spellEnd"/>
      <w:r w:rsidRPr="00E46164">
        <w:rPr>
          <w:rFonts w:ascii="Arial" w:hAnsi="Arial" w:cs="Arial"/>
          <w:sz w:val="20"/>
          <w:szCs w:val="20"/>
        </w:rPr>
        <w:t xml:space="preserve">, 2018; Liu </w:t>
      </w:r>
      <w:r w:rsidRPr="00400CF5">
        <w:rPr>
          <w:rFonts w:ascii="Arial" w:hAnsi="Arial" w:cs="Arial"/>
          <w:i/>
          <w:iCs/>
          <w:sz w:val="20"/>
          <w:szCs w:val="20"/>
        </w:rPr>
        <w:t>et al</w:t>
      </w:r>
      <w:r w:rsidRPr="00E46164">
        <w:rPr>
          <w:rFonts w:ascii="Arial" w:hAnsi="Arial" w:cs="Arial"/>
          <w:sz w:val="20"/>
          <w:szCs w:val="20"/>
        </w:rPr>
        <w:t>., 2024).</w:t>
      </w:r>
      <w:r w:rsidR="00832BA8" w:rsidRPr="00E46164">
        <w:rPr>
          <w:rFonts w:ascii="Arial" w:hAnsi="Arial" w:cs="Arial"/>
          <w:sz w:val="20"/>
          <w:szCs w:val="20"/>
        </w:rPr>
        <w:t xml:space="preserve"> </w:t>
      </w:r>
      <w:r w:rsidRPr="00E46164">
        <w:rPr>
          <w:rFonts w:ascii="Arial" w:hAnsi="Arial" w:cs="Arial"/>
          <w:sz w:val="20"/>
          <w:szCs w:val="20"/>
        </w:rPr>
        <w:t xml:space="preserve">Our observation of prolonged larval and pupal durations and reduced rates of pupation/adult emergence indicates durable sublethal effects that extend beyond the initial exposure window. These developmental disruptions have been reported previously after microbial exposures and are linked to decreased reproductive potential and altered phenology which outcomes depressing population growth in subsequent generations. Recent transcriptomic and metabolomic analyses of insect responses to </w:t>
      </w:r>
      <w:proofErr w:type="spellStart"/>
      <w:r w:rsidRPr="00E46164">
        <w:rPr>
          <w:rFonts w:ascii="Arial" w:hAnsi="Arial" w:cs="Arial"/>
          <w:sz w:val="20"/>
          <w:szCs w:val="20"/>
        </w:rPr>
        <w:t>surfactin</w:t>
      </w:r>
      <w:proofErr w:type="spellEnd"/>
      <w:r w:rsidRPr="00E46164">
        <w:rPr>
          <w:rFonts w:ascii="Arial" w:hAnsi="Arial" w:cs="Arial"/>
          <w:sz w:val="20"/>
          <w:szCs w:val="20"/>
        </w:rPr>
        <w:t xml:space="preserve"> and related compounds suggest oxidative stress, suppression of detoxification pathways, and disruption of neuro-endocrine signalling among likely mechanisms for developmental delay (Xia </w:t>
      </w:r>
      <w:r w:rsidRPr="00400CF5">
        <w:rPr>
          <w:rFonts w:ascii="Arial" w:hAnsi="Arial" w:cs="Arial"/>
          <w:i/>
          <w:iCs/>
          <w:sz w:val="20"/>
          <w:szCs w:val="20"/>
        </w:rPr>
        <w:t>et al</w:t>
      </w:r>
      <w:r w:rsidRPr="00E46164">
        <w:rPr>
          <w:rFonts w:ascii="Arial" w:hAnsi="Arial" w:cs="Arial"/>
          <w:sz w:val="20"/>
          <w:szCs w:val="20"/>
        </w:rPr>
        <w:t>., 2024).</w:t>
      </w:r>
      <w:r w:rsidR="00832BA8" w:rsidRPr="00E46164">
        <w:rPr>
          <w:rFonts w:ascii="Arial" w:hAnsi="Arial" w:cs="Arial"/>
          <w:sz w:val="20"/>
          <w:szCs w:val="20"/>
        </w:rPr>
        <w:t xml:space="preserve"> </w:t>
      </w:r>
      <w:r w:rsidRPr="00E46164">
        <w:rPr>
          <w:rFonts w:ascii="Arial" w:hAnsi="Arial" w:cs="Arial"/>
          <w:sz w:val="20"/>
          <w:szCs w:val="20"/>
        </w:rPr>
        <w:t xml:space="preserve">An important translational advantage in our work is the </w:t>
      </w:r>
      <w:r w:rsidRPr="00E46164">
        <w:rPr>
          <w:rStyle w:val="Strong"/>
          <w:rFonts w:ascii="Arial" w:hAnsi="Arial" w:cs="Arial"/>
          <w:b w:val="0"/>
          <w:bCs w:val="0"/>
          <w:sz w:val="20"/>
          <w:szCs w:val="20"/>
        </w:rPr>
        <w:t>endophytic origin</w:t>
      </w:r>
      <w:r w:rsidRPr="00E46164">
        <w:rPr>
          <w:rFonts w:ascii="Arial" w:hAnsi="Arial" w:cs="Arial"/>
          <w:sz w:val="20"/>
          <w:szCs w:val="20"/>
        </w:rPr>
        <w:t xml:space="preserve"> of the effective isolate. Endophytic </w:t>
      </w:r>
      <w:r w:rsidRPr="00E46164">
        <w:rPr>
          <w:rStyle w:val="Emphasis"/>
          <w:rFonts w:ascii="Arial" w:hAnsi="Arial" w:cs="Arial"/>
          <w:sz w:val="20"/>
          <w:szCs w:val="20"/>
        </w:rPr>
        <w:t>B. subtilis</w:t>
      </w:r>
      <w:r w:rsidRPr="00E46164">
        <w:rPr>
          <w:rFonts w:ascii="Arial" w:hAnsi="Arial" w:cs="Arial"/>
          <w:sz w:val="20"/>
          <w:szCs w:val="20"/>
        </w:rPr>
        <w:t xml:space="preserve"> strains have two practical benefits: ability to colonize and persist inside plant tissues, potentially delivering insecticidal metabolites systemically; and plant-growth promoting traits (phytohormone production and induced resistance) that can mitigate yield loss from herbivory (</w:t>
      </w:r>
      <w:proofErr w:type="spellStart"/>
      <w:r w:rsidRPr="00E46164">
        <w:rPr>
          <w:rFonts w:ascii="Arial" w:hAnsi="Arial" w:cs="Arial"/>
          <w:sz w:val="20"/>
          <w:szCs w:val="20"/>
        </w:rPr>
        <w:t>Sorokan</w:t>
      </w:r>
      <w:proofErr w:type="spellEnd"/>
      <w:r w:rsidRPr="00E46164">
        <w:rPr>
          <w:rFonts w:ascii="Arial" w:hAnsi="Arial" w:cs="Arial"/>
          <w:sz w:val="20"/>
          <w:szCs w:val="20"/>
        </w:rPr>
        <w:t xml:space="preserve"> </w:t>
      </w:r>
      <w:r w:rsidRPr="00400CF5">
        <w:rPr>
          <w:rFonts w:ascii="Arial" w:hAnsi="Arial" w:cs="Arial"/>
          <w:i/>
          <w:iCs/>
          <w:sz w:val="20"/>
          <w:szCs w:val="20"/>
        </w:rPr>
        <w:t>et al</w:t>
      </w:r>
      <w:r w:rsidRPr="00E46164">
        <w:rPr>
          <w:rFonts w:ascii="Arial" w:hAnsi="Arial" w:cs="Arial"/>
          <w:sz w:val="20"/>
          <w:szCs w:val="20"/>
        </w:rPr>
        <w:t xml:space="preserve">., 2021). Field-oriented studies have already shown that endophytic </w:t>
      </w:r>
      <w:r w:rsidRPr="00E46164">
        <w:rPr>
          <w:rStyle w:val="Emphasis"/>
          <w:rFonts w:ascii="Arial" w:hAnsi="Arial" w:cs="Arial"/>
          <w:sz w:val="20"/>
          <w:szCs w:val="20"/>
        </w:rPr>
        <w:t>Bacillus</w:t>
      </w:r>
      <w:r w:rsidRPr="00E46164">
        <w:rPr>
          <w:rFonts w:ascii="Arial" w:hAnsi="Arial" w:cs="Arial"/>
          <w:sz w:val="20"/>
          <w:szCs w:val="20"/>
        </w:rPr>
        <w:t xml:space="preserve"> strains can reduce pest pressure while sometimes enhancing crop vigour, suggesting that endophyte-based approaches may reduce spray frequency and pesticide load in agroecosystems (Muthusamy </w:t>
      </w:r>
      <w:r w:rsidRPr="00400CF5">
        <w:rPr>
          <w:rFonts w:ascii="Arial" w:hAnsi="Arial" w:cs="Arial"/>
          <w:i/>
          <w:iCs/>
          <w:sz w:val="20"/>
          <w:szCs w:val="20"/>
        </w:rPr>
        <w:t>et al</w:t>
      </w:r>
      <w:r w:rsidRPr="00E46164">
        <w:rPr>
          <w:rFonts w:ascii="Arial" w:hAnsi="Arial" w:cs="Arial"/>
          <w:sz w:val="20"/>
          <w:szCs w:val="20"/>
        </w:rPr>
        <w:t xml:space="preserve">., 2024; </w:t>
      </w:r>
      <w:proofErr w:type="spellStart"/>
      <w:r w:rsidR="002C28BD" w:rsidRPr="00E46164">
        <w:rPr>
          <w:rFonts w:ascii="Arial" w:hAnsi="Arial" w:cs="Arial"/>
          <w:sz w:val="20"/>
          <w:szCs w:val="20"/>
        </w:rPr>
        <w:t>Nihorimbere</w:t>
      </w:r>
      <w:proofErr w:type="spellEnd"/>
      <w:r w:rsidR="002C28BD" w:rsidRPr="00E46164">
        <w:rPr>
          <w:rFonts w:ascii="Arial" w:hAnsi="Arial" w:cs="Arial"/>
          <w:sz w:val="20"/>
          <w:szCs w:val="20"/>
        </w:rPr>
        <w:t xml:space="preserve"> </w:t>
      </w:r>
      <w:r w:rsidR="002C28BD" w:rsidRPr="00400CF5">
        <w:rPr>
          <w:rFonts w:ascii="Arial" w:hAnsi="Arial" w:cs="Arial"/>
          <w:i/>
          <w:iCs/>
          <w:sz w:val="20"/>
          <w:szCs w:val="20"/>
        </w:rPr>
        <w:t>et al</w:t>
      </w:r>
      <w:r w:rsidRPr="00E46164">
        <w:rPr>
          <w:rFonts w:ascii="Arial" w:hAnsi="Arial" w:cs="Arial"/>
          <w:sz w:val="20"/>
          <w:szCs w:val="20"/>
        </w:rPr>
        <w:t>., 2024).</w:t>
      </w:r>
    </w:p>
    <w:p w14:paraId="6A9DBA55" w14:textId="77777777" w:rsidR="0086340A" w:rsidRPr="00C30158" w:rsidRDefault="0086340A" w:rsidP="0086340A">
      <w:pPr>
        <w:pStyle w:val="NormalWeb"/>
        <w:jc w:val="both"/>
        <w:rPr>
          <w:rFonts w:ascii="Arial" w:hAnsi="Arial" w:cs="Arial"/>
          <w:sz w:val="20"/>
          <w:szCs w:val="20"/>
        </w:rPr>
      </w:pPr>
      <w:r w:rsidRPr="00C30158">
        <w:rPr>
          <w:rFonts w:ascii="Arial" w:hAnsi="Arial" w:cs="Arial"/>
          <w:sz w:val="20"/>
          <w:szCs w:val="20"/>
        </w:rPr>
        <w:t xml:space="preserve">Although the maize-derived </w:t>
      </w:r>
      <w:r w:rsidRPr="00C30158">
        <w:rPr>
          <w:rStyle w:val="Emphasis"/>
          <w:rFonts w:ascii="Arial" w:hAnsi="Arial" w:cs="Arial"/>
          <w:sz w:val="20"/>
          <w:szCs w:val="20"/>
        </w:rPr>
        <w:t>Bacillus subtilis</w:t>
      </w:r>
      <w:r w:rsidRPr="00C30158">
        <w:rPr>
          <w:rFonts w:ascii="Arial" w:hAnsi="Arial" w:cs="Arial"/>
          <w:sz w:val="20"/>
          <w:szCs w:val="20"/>
        </w:rPr>
        <w:t xml:space="preserve"> isolate demonstrated strong lethal and sublethal effects against </w:t>
      </w:r>
      <w:r w:rsidRPr="00C30158">
        <w:rPr>
          <w:rStyle w:val="Emphasis"/>
          <w:rFonts w:ascii="Arial" w:hAnsi="Arial" w:cs="Arial"/>
          <w:sz w:val="20"/>
          <w:szCs w:val="20"/>
        </w:rPr>
        <w:t>S</w:t>
      </w:r>
      <w:r w:rsidR="00832BA8">
        <w:rPr>
          <w:rStyle w:val="Emphasis"/>
          <w:rFonts w:ascii="Arial" w:hAnsi="Arial" w:cs="Arial"/>
          <w:sz w:val="20"/>
          <w:szCs w:val="20"/>
        </w:rPr>
        <w:t>.</w:t>
      </w:r>
      <w:r w:rsidRPr="00C30158">
        <w:rPr>
          <w:rStyle w:val="Emphasis"/>
          <w:rFonts w:ascii="Arial" w:hAnsi="Arial" w:cs="Arial"/>
          <w:sz w:val="20"/>
          <w:szCs w:val="20"/>
        </w:rPr>
        <w:t xml:space="preserve"> frugiperda</w:t>
      </w:r>
      <w:r w:rsidRPr="00C30158">
        <w:rPr>
          <w:rFonts w:ascii="Arial" w:hAnsi="Arial" w:cs="Arial"/>
          <w:sz w:val="20"/>
          <w:szCs w:val="20"/>
        </w:rPr>
        <w:t xml:space="preserve">, the specific bioactive compounds responsible for these responses remain unidentified. Previous studies indicate that </w:t>
      </w:r>
      <w:r w:rsidRPr="00C30158">
        <w:rPr>
          <w:rStyle w:val="Emphasis"/>
          <w:rFonts w:ascii="Arial" w:hAnsi="Arial" w:cs="Arial"/>
          <w:sz w:val="20"/>
          <w:szCs w:val="20"/>
        </w:rPr>
        <w:t>Bacillus</w:t>
      </w:r>
      <w:r w:rsidRPr="00C30158">
        <w:rPr>
          <w:rFonts w:ascii="Arial" w:hAnsi="Arial" w:cs="Arial"/>
          <w:sz w:val="20"/>
          <w:szCs w:val="20"/>
        </w:rPr>
        <w:t xml:space="preserve"> spp. commonly produce cyclic lipopeptides such as surfactins, fengycins, and iturins, often acting synergistically with hydrolytic enzymes to disrupt insect physiology. Detailed chemical characterizat</w:t>
      </w:r>
      <w:r w:rsidR="00C30158">
        <w:rPr>
          <w:rFonts w:ascii="Arial" w:hAnsi="Arial" w:cs="Arial"/>
          <w:sz w:val="20"/>
          <w:szCs w:val="20"/>
        </w:rPr>
        <w:t>ion using techniques such as LC-MS/MS or UPLC-</w:t>
      </w:r>
      <w:r w:rsidRPr="00C30158">
        <w:rPr>
          <w:rFonts w:ascii="Arial" w:hAnsi="Arial" w:cs="Arial"/>
          <w:sz w:val="20"/>
          <w:szCs w:val="20"/>
        </w:rPr>
        <w:t xml:space="preserve">QTOF, together with bioassays of purified metabolites and functional validation through targeted gene-disruption approaches (e.g., </w:t>
      </w:r>
      <w:proofErr w:type="spellStart"/>
      <w:r w:rsidRPr="00C30158">
        <w:rPr>
          <w:rStyle w:val="Emphasis"/>
          <w:rFonts w:ascii="Arial" w:hAnsi="Arial" w:cs="Arial"/>
          <w:sz w:val="20"/>
          <w:szCs w:val="20"/>
        </w:rPr>
        <w:t>srfA</w:t>
      </w:r>
      <w:proofErr w:type="spellEnd"/>
      <w:r w:rsidRPr="00C30158">
        <w:rPr>
          <w:rFonts w:ascii="Arial" w:hAnsi="Arial" w:cs="Arial"/>
          <w:sz w:val="20"/>
          <w:szCs w:val="20"/>
        </w:rPr>
        <w:t>), would help clarify the mechanisms underlying the observed bioactivity.</w:t>
      </w:r>
      <w:r w:rsidR="00400CF5">
        <w:rPr>
          <w:rFonts w:ascii="Arial" w:hAnsi="Arial" w:cs="Arial"/>
          <w:sz w:val="20"/>
          <w:szCs w:val="20"/>
        </w:rPr>
        <w:t xml:space="preserve"> </w:t>
      </w:r>
      <w:r w:rsidRPr="00C30158">
        <w:rPr>
          <w:rFonts w:ascii="Arial" w:hAnsi="Arial" w:cs="Arial"/>
          <w:sz w:val="20"/>
          <w:szCs w:val="20"/>
        </w:rPr>
        <w:t>The efficacy demonstrated under laboratory and greenhouse conditions may not fully reflect field performance, where environmental variability, microbial competition, and host plant factors can influence persistence and activity. Semi-field and multi-location field evaluations are therefore essential to assess endophytic colonization dynamics, in planta persistence of bioactive compounds, and compatibility with standard agronomic practices. In parallel, assessments of non-target effects on beneficial arthropods and soil microbial communities are necessary to ensure ecological safety, particularly where endophytic inoculation strategies are envisaged.</w:t>
      </w:r>
      <w:r w:rsidR="00E46164">
        <w:rPr>
          <w:rFonts w:ascii="Arial" w:hAnsi="Arial" w:cs="Arial"/>
          <w:sz w:val="20"/>
          <w:szCs w:val="20"/>
        </w:rPr>
        <w:t xml:space="preserve"> </w:t>
      </w:r>
      <w:r w:rsidRPr="00C30158">
        <w:rPr>
          <w:rFonts w:ascii="Arial" w:hAnsi="Arial" w:cs="Arial"/>
          <w:sz w:val="20"/>
          <w:szCs w:val="20"/>
        </w:rPr>
        <w:t xml:space="preserve">From an applied perspective, formulation and delivery approaches will play a critical role in determining practical utility. While live endophytic inoculants offer the advantage of sustained in-plant activity, cell-free metabolite-based products may provide alternative routes with different regulatory and persistence profiles. Exploring integration of </w:t>
      </w:r>
      <w:r w:rsidRPr="00C30158">
        <w:rPr>
          <w:rStyle w:val="Emphasis"/>
          <w:rFonts w:ascii="Arial" w:hAnsi="Arial" w:cs="Arial"/>
          <w:sz w:val="20"/>
          <w:szCs w:val="20"/>
        </w:rPr>
        <w:t>B. subtilis</w:t>
      </w:r>
      <w:r w:rsidRPr="00C30158">
        <w:rPr>
          <w:rFonts w:ascii="Arial" w:hAnsi="Arial" w:cs="Arial"/>
          <w:sz w:val="20"/>
          <w:szCs w:val="20"/>
        </w:rPr>
        <w:t xml:space="preserve"> with other biological control agents or botanicals could further enhance efficacy and reduce resistance risks within integrated pest management systems.</w:t>
      </w:r>
    </w:p>
    <w:p w14:paraId="40023801" w14:textId="77777777" w:rsidR="00E46164" w:rsidRPr="00611D50" w:rsidRDefault="00E46164" w:rsidP="00B62317">
      <w:pPr>
        <w:pStyle w:val="ListParagraph"/>
        <w:numPr>
          <w:ilvl w:val="0"/>
          <w:numId w:val="10"/>
        </w:numPr>
        <w:jc w:val="both"/>
        <w:rPr>
          <w:rFonts w:ascii="Arial" w:hAnsi="Arial" w:cs="Arial"/>
          <w:b/>
          <w:bCs/>
        </w:rPr>
      </w:pPr>
      <w:r>
        <w:rPr>
          <w:rFonts w:ascii="Arial" w:hAnsi="Arial" w:cs="Arial"/>
          <w:b/>
          <w:bCs/>
        </w:rPr>
        <w:t>CONCLUSION</w:t>
      </w:r>
    </w:p>
    <w:p w14:paraId="302B5222" w14:textId="77777777" w:rsidR="00E04076" w:rsidRPr="00C30158" w:rsidRDefault="00273EF4" w:rsidP="0086340A">
      <w:pPr>
        <w:pStyle w:val="NormalWeb"/>
        <w:jc w:val="both"/>
        <w:rPr>
          <w:rFonts w:ascii="Arial" w:hAnsi="Arial" w:cs="Arial"/>
          <w:sz w:val="20"/>
          <w:szCs w:val="20"/>
        </w:rPr>
      </w:pPr>
      <w:r w:rsidRPr="00273EF4">
        <w:rPr>
          <w:rFonts w:ascii="Arial" w:hAnsi="Arial" w:cs="Arial"/>
          <w:sz w:val="20"/>
          <w:szCs w:val="20"/>
        </w:rPr>
        <w:t xml:space="preserve">The maize-derived endophytic isolate </w:t>
      </w:r>
      <w:r w:rsidRPr="00273EF4">
        <w:rPr>
          <w:rFonts w:ascii="Arial" w:hAnsi="Arial" w:cs="Arial"/>
          <w:i/>
          <w:iCs/>
          <w:sz w:val="20"/>
          <w:szCs w:val="20"/>
        </w:rPr>
        <w:t>B</w:t>
      </w:r>
      <w:r>
        <w:rPr>
          <w:rFonts w:ascii="Arial" w:hAnsi="Arial" w:cs="Arial"/>
          <w:i/>
          <w:iCs/>
          <w:sz w:val="20"/>
          <w:szCs w:val="20"/>
        </w:rPr>
        <w:t>.</w:t>
      </w:r>
      <w:r w:rsidRPr="00273EF4">
        <w:rPr>
          <w:rFonts w:ascii="Arial" w:hAnsi="Arial" w:cs="Arial"/>
          <w:i/>
          <w:iCs/>
          <w:sz w:val="20"/>
          <w:szCs w:val="20"/>
        </w:rPr>
        <w:t xml:space="preserve"> subtilis</w:t>
      </w:r>
      <w:r w:rsidRPr="00273EF4">
        <w:rPr>
          <w:rFonts w:ascii="Arial" w:hAnsi="Arial" w:cs="Arial"/>
          <w:sz w:val="20"/>
          <w:szCs w:val="20"/>
        </w:rPr>
        <w:t xml:space="preserve"> exhibited strong lethal and sublethal effects against </w:t>
      </w:r>
      <w:r w:rsidRPr="00273EF4">
        <w:rPr>
          <w:rFonts w:ascii="Arial" w:hAnsi="Arial" w:cs="Arial"/>
          <w:i/>
          <w:iCs/>
          <w:sz w:val="20"/>
          <w:szCs w:val="20"/>
        </w:rPr>
        <w:t>S</w:t>
      </w:r>
      <w:r>
        <w:rPr>
          <w:rFonts w:ascii="Arial" w:hAnsi="Arial" w:cs="Arial"/>
          <w:i/>
          <w:iCs/>
          <w:sz w:val="20"/>
          <w:szCs w:val="20"/>
        </w:rPr>
        <w:t>.</w:t>
      </w:r>
      <w:r w:rsidRPr="00273EF4">
        <w:rPr>
          <w:rFonts w:ascii="Arial" w:hAnsi="Arial" w:cs="Arial"/>
          <w:i/>
          <w:iCs/>
          <w:sz w:val="20"/>
          <w:szCs w:val="20"/>
        </w:rPr>
        <w:t xml:space="preserve"> frugiperda</w:t>
      </w:r>
      <w:r w:rsidR="00F97117">
        <w:rPr>
          <w:rFonts w:ascii="Arial" w:hAnsi="Arial" w:cs="Arial"/>
          <w:sz w:val="20"/>
          <w:szCs w:val="20"/>
        </w:rPr>
        <w:t xml:space="preserve"> which was </w:t>
      </w:r>
      <w:r w:rsidRPr="00273EF4">
        <w:rPr>
          <w:rFonts w:ascii="Arial" w:hAnsi="Arial" w:cs="Arial"/>
          <w:sz w:val="20"/>
          <w:szCs w:val="20"/>
        </w:rPr>
        <w:t xml:space="preserve">disrupting feeding </w:t>
      </w:r>
      <w:proofErr w:type="spellStart"/>
      <w:r w:rsidRPr="00273EF4">
        <w:rPr>
          <w:rFonts w:ascii="Arial" w:hAnsi="Arial" w:cs="Arial"/>
          <w:sz w:val="20"/>
          <w:szCs w:val="20"/>
        </w:rPr>
        <w:t>behavior</w:t>
      </w:r>
      <w:proofErr w:type="spellEnd"/>
      <w:r w:rsidRPr="00273EF4">
        <w:rPr>
          <w:rFonts w:ascii="Arial" w:hAnsi="Arial" w:cs="Arial"/>
          <w:sz w:val="20"/>
          <w:szCs w:val="20"/>
        </w:rPr>
        <w:t xml:space="preserve">, growth, and metamorphosis through likely action of lipopeptides and hydrolytic enzymes. Its multi-modal impact suggests durable pest suppression beyond acute toxicity, making survivors less fit and reproductively compromised. The endophytic nature of the isolate offers added advantages of in-plant persistence and potential plant growth promotion. Further chemical characterization and field validation are required to translate this isolate into a reliable biopesticide. Overall, </w:t>
      </w:r>
      <w:r w:rsidRPr="00273EF4">
        <w:rPr>
          <w:rFonts w:ascii="Arial" w:hAnsi="Arial" w:cs="Arial"/>
          <w:i/>
          <w:iCs/>
          <w:sz w:val="20"/>
          <w:szCs w:val="20"/>
        </w:rPr>
        <w:t>B. subtilis</w:t>
      </w:r>
      <w:r w:rsidRPr="00273EF4">
        <w:rPr>
          <w:rFonts w:ascii="Arial" w:hAnsi="Arial" w:cs="Arial"/>
          <w:sz w:val="20"/>
          <w:szCs w:val="20"/>
        </w:rPr>
        <w:t xml:space="preserve"> represents a promising eco-compatible component for integrated management of fall armyworm in maize</w:t>
      </w:r>
      <w:r w:rsidR="0086340A" w:rsidRPr="00C30158">
        <w:rPr>
          <w:rFonts w:ascii="Arial" w:hAnsi="Arial" w:cs="Arial"/>
          <w:sz w:val="20"/>
          <w:szCs w:val="20"/>
        </w:rPr>
        <w:t>.</w:t>
      </w:r>
    </w:p>
    <w:p w14:paraId="5BC0BEE6" w14:textId="77777777" w:rsidR="000D4FFD" w:rsidRPr="008D2BB5" w:rsidRDefault="00611D50" w:rsidP="008D2BB5">
      <w:pPr>
        <w:jc w:val="both"/>
        <w:rPr>
          <w:rFonts w:ascii="Arial" w:hAnsi="Arial" w:cs="Arial"/>
          <w:b/>
          <w:bCs/>
        </w:rPr>
      </w:pPr>
      <w:bookmarkStart w:id="0" w:name="_GoBack"/>
      <w:bookmarkEnd w:id="0"/>
      <w:r w:rsidRPr="008D2BB5">
        <w:rPr>
          <w:rFonts w:ascii="Arial" w:hAnsi="Arial" w:cs="Arial"/>
          <w:b/>
          <w:bCs/>
        </w:rPr>
        <w:t>REFERENCES</w:t>
      </w:r>
    </w:p>
    <w:p w14:paraId="0C68678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Agricultural and Processed Food Products Export Development Authority (2019). APEDA 2018–19 report. Ministry of Commerce and Industry, Government of India. </w:t>
      </w:r>
      <w:hyperlink r:id="rId18" w:tgtFrame="_new" w:history="1">
        <w:r w:rsidRPr="00F97117">
          <w:rPr>
            <w:rStyle w:val="Hyperlink"/>
            <w:rFonts w:ascii="Arial" w:hAnsi="Arial" w:cs="Arial"/>
            <w:sz w:val="20"/>
            <w:szCs w:val="20"/>
          </w:rPr>
          <w:t>https://apeda.gov.in</w:t>
        </w:r>
      </w:hyperlink>
    </w:p>
    <w:p w14:paraId="1C579390"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lastRenderedPageBreak/>
        <w:t>Anjorin, F. B., Odeyemi, O. O., Akinbode, O. A., &amp; Kareem, K. T. (2022). Fall armyworm infestation: maize yield depression and physiological basis of tolerance. Journal of Plant Protection Research, 62(1), 12-21. https://doi.org/10.24425/jppr.2022.140294</w:t>
      </w:r>
    </w:p>
    <w:p w14:paraId="66C4AAAA"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Assié</w:t>
      </w:r>
      <w:proofErr w:type="spellEnd"/>
      <w:r w:rsidRPr="00F97117">
        <w:rPr>
          <w:rFonts w:ascii="Arial" w:hAnsi="Arial" w:cs="Arial"/>
          <w:sz w:val="20"/>
          <w:szCs w:val="20"/>
        </w:rPr>
        <w:t xml:space="preserve">, L. K., </w:t>
      </w:r>
      <w:proofErr w:type="spellStart"/>
      <w:r w:rsidRPr="00F97117">
        <w:rPr>
          <w:rFonts w:ascii="Arial" w:hAnsi="Arial" w:cs="Arial"/>
          <w:sz w:val="20"/>
          <w:szCs w:val="20"/>
        </w:rPr>
        <w:t>Deleu</w:t>
      </w:r>
      <w:proofErr w:type="spellEnd"/>
      <w:r w:rsidRPr="00F97117">
        <w:rPr>
          <w:rFonts w:ascii="Arial" w:hAnsi="Arial" w:cs="Arial"/>
          <w:sz w:val="20"/>
          <w:szCs w:val="20"/>
        </w:rPr>
        <w:t xml:space="preserve">, M., Arnaud, L., </w:t>
      </w:r>
      <w:proofErr w:type="spellStart"/>
      <w:r w:rsidRPr="00F97117">
        <w:rPr>
          <w:rFonts w:ascii="Arial" w:hAnsi="Arial" w:cs="Arial"/>
          <w:sz w:val="20"/>
          <w:szCs w:val="20"/>
        </w:rPr>
        <w:t>Paquot</w:t>
      </w:r>
      <w:proofErr w:type="spellEnd"/>
      <w:r w:rsidRPr="00F97117">
        <w:rPr>
          <w:rFonts w:ascii="Arial" w:hAnsi="Arial" w:cs="Arial"/>
          <w:sz w:val="20"/>
          <w:szCs w:val="20"/>
        </w:rPr>
        <w:t xml:space="preserve">, M., </w:t>
      </w:r>
      <w:proofErr w:type="spellStart"/>
      <w:r w:rsidRPr="00F97117">
        <w:rPr>
          <w:rFonts w:ascii="Arial" w:hAnsi="Arial" w:cs="Arial"/>
          <w:sz w:val="20"/>
          <w:szCs w:val="20"/>
        </w:rPr>
        <w:t>Thonart</w:t>
      </w:r>
      <w:proofErr w:type="spellEnd"/>
      <w:r w:rsidRPr="00F97117">
        <w:rPr>
          <w:rFonts w:ascii="Arial" w:hAnsi="Arial" w:cs="Arial"/>
          <w:sz w:val="20"/>
          <w:szCs w:val="20"/>
        </w:rPr>
        <w:t xml:space="preserve">, P., &amp; </w:t>
      </w:r>
      <w:proofErr w:type="spellStart"/>
      <w:r w:rsidRPr="00F97117">
        <w:rPr>
          <w:rFonts w:ascii="Arial" w:hAnsi="Arial" w:cs="Arial"/>
          <w:sz w:val="20"/>
          <w:szCs w:val="20"/>
        </w:rPr>
        <w:t>Haubruge</w:t>
      </w:r>
      <w:proofErr w:type="spellEnd"/>
      <w:r w:rsidRPr="00F97117">
        <w:rPr>
          <w:rFonts w:ascii="Arial" w:hAnsi="Arial" w:cs="Arial"/>
          <w:sz w:val="20"/>
          <w:szCs w:val="20"/>
        </w:rPr>
        <w:t xml:space="preserve">, E. (2002). Insecticide activity of </w:t>
      </w:r>
      <w:proofErr w:type="spellStart"/>
      <w:r w:rsidRPr="00F97117">
        <w:rPr>
          <w:rFonts w:ascii="Arial" w:hAnsi="Arial" w:cs="Arial"/>
          <w:sz w:val="20"/>
          <w:szCs w:val="20"/>
        </w:rPr>
        <w:t>surfactins</w:t>
      </w:r>
      <w:proofErr w:type="spellEnd"/>
      <w:r w:rsidRPr="00F97117">
        <w:rPr>
          <w:rFonts w:ascii="Arial" w:hAnsi="Arial" w:cs="Arial"/>
          <w:sz w:val="20"/>
          <w:szCs w:val="20"/>
        </w:rPr>
        <w:t xml:space="preserve"> and </w:t>
      </w:r>
      <w:proofErr w:type="spellStart"/>
      <w:r w:rsidRPr="00F97117">
        <w:rPr>
          <w:rFonts w:ascii="Arial" w:hAnsi="Arial" w:cs="Arial"/>
          <w:sz w:val="20"/>
          <w:szCs w:val="20"/>
        </w:rPr>
        <w:t>iturins</w:t>
      </w:r>
      <w:proofErr w:type="spellEnd"/>
      <w:r w:rsidRPr="00F97117">
        <w:rPr>
          <w:rFonts w:ascii="Arial" w:hAnsi="Arial" w:cs="Arial"/>
          <w:sz w:val="20"/>
          <w:szCs w:val="20"/>
        </w:rPr>
        <w:t xml:space="preserve">. </w:t>
      </w:r>
      <w:proofErr w:type="spellStart"/>
      <w:r w:rsidRPr="00F97117">
        <w:rPr>
          <w:rFonts w:ascii="Arial" w:hAnsi="Arial" w:cs="Arial"/>
          <w:sz w:val="20"/>
          <w:szCs w:val="20"/>
        </w:rPr>
        <w:t>Meded</w:t>
      </w:r>
      <w:proofErr w:type="spellEnd"/>
      <w:r w:rsidRPr="00F97117">
        <w:rPr>
          <w:rFonts w:ascii="Arial" w:hAnsi="Arial" w:cs="Arial"/>
          <w:sz w:val="20"/>
          <w:szCs w:val="20"/>
        </w:rPr>
        <w:t xml:space="preserve"> </w:t>
      </w:r>
      <w:proofErr w:type="spellStart"/>
      <w:r w:rsidRPr="00F97117">
        <w:rPr>
          <w:rFonts w:ascii="Arial" w:hAnsi="Arial" w:cs="Arial"/>
          <w:sz w:val="20"/>
          <w:szCs w:val="20"/>
        </w:rPr>
        <w:t>Rijksuniversiteit</w:t>
      </w:r>
      <w:proofErr w:type="spellEnd"/>
      <w:r w:rsidRPr="00F97117">
        <w:rPr>
          <w:rFonts w:ascii="Arial" w:hAnsi="Arial" w:cs="Arial"/>
          <w:sz w:val="20"/>
          <w:szCs w:val="20"/>
        </w:rPr>
        <w:t xml:space="preserve"> Gent, 67(3), 647-655.</w:t>
      </w:r>
    </w:p>
    <w:p w14:paraId="21D4342B"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 xml:space="preserve">Borkar, S.G. </w:t>
      </w:r>
      <w:r>
        <w:rPr>
          <w:rFonts w:ascii="Arial" w:hAnsi="Arial" w:cs="Arial"/>
          <w:sz w:val="20"/>
          <w:szCs w:val="20"/>
        </w:rPr>
        <w:t>(</w:t>
      </w:r>
      <w:r w:rsidRPr="004857DA">
        <w:rPr>
          <w:rFonts w:ascii="Arial" w:hAnsi="Arial" w:cs="Arial"/>
          <w:sz w:val="20"/>
          <w:szCs w:val="20"/>
        </w:rPr>
        <w:t>2018</w:t>
      </w:r>
      <w:r>
        <w:rPr>
          <w:rFonts w:ascii="Arial" w:hAnsi="Arial" w:cs="Arial"/>
          <w:sz w:val="20"/>
          <w:szCs w:val="20"/>
        </w:rPr>
        <w:t>)</w:t>
      </w:r>
      <w:r w:rsidRPr="004857DA">
        <w:rPr>
          <w:rFonts w:ascii="Arial" w:hAnsi="Arial" w:cs="Arial"/>
          <w:sz w:val="20"/>
          <w:szCs w:val="20"/>
        </w:rPr>
        <w:t>. Biochemical tests used in identification of bacteria. In S.G. Borkar- Laboratory techniques in plant bacteriology. CRC Press. 93-109.</w:t>
      </w:r>
    </w:p>
    <w:p w14:paraId="64E22B7D"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Castric</w:t>
      </w:r>
      <w:proofErr w:type="spellEnd"/>
      <w:r w:rsidRPr="004857DA">
        <w:rPr>
          <w:rFonts w:ascii="Arial" w:hAnsi="Arial" w:cs="Arial"/>
          <w:sz w:val="20"/>
          <w:szCs w:val="20"/>
        </w:rPr>
        <w:t>, K.F</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w:t>
      </w:r>
      <w:proofErr w:type="spellStart"/>
      <w:r w:rsidRPr="004857DA">
        <w:rPr>
          <w:rFonts w:ascii="Arial" w:hAnsi="Arial" w:cs="Arial"/>
          <w:sz w:val="20"/>
          <w:szCs w:val="20"/>
        </w:rPr>
        <w:t>Castric</w:t>
      </w:r>
      <w:proofErr w:type="spellEnd"/>
      <w:r w:rsidRPr="004857DA">
        <w:rPr>
          <w:rFonts w:ascii="Arial" w:hAnsi="Arial" w:cs="Arial"/>
          <w:sz w:val="20"/>
          <w:szCs w:val="20"/>
        </w:rPr>
        <w:t xml:space="preserve">, P.A. </w:t>
      </w:r>
      <w:r>
        <w:rPr>
          <w:rFonts w:ascii="Arial" w:hAnsi="Arial" w:cs="Arial"/>
          <w:sz w:val="20"/>
          <w:szCs w:val="20"/>
        </w:rPr>
        <w:t>(</w:t>
      </w:r>
      <w:r w:rsidRPr="004857DA">
        <w:rPr>
          <w:rFonts w:ascii="Arial" w:hAnsi="Arial" w:cs="Arial"/>
          <w:sz w:val="20"/>
          <w:szCs w:val="20"/>
        </w:rPr>
        <w:t>1983</w:t>
      </w:r>
      <w:r>
        <w:rPr>
          <w:rFonts w:ascii="Arial" w:hAnsi="Arial" w:cs="Arial"/>
          <w:sz w:val="20"/>
          <w:szCs w:val="20"/>
        </w:rPr>
        <w:t>)</w:t>
      </w:r>
      <w:r w:rsidRPr="004857DA">
        <w:rPr>
          <w:rFonts w:ascii="Arial" w:hAnsi="Arial" w:cs="Arial"/>
          <w:sz w:val="20"/>
          <w:szCs w:val="20"/>
        </w:rPr>
        <w:t>. Method for rapid detection of cyanogenic bacteria. Applied and Environmental Microbiology. 45 (2): 701-702</w:t>
      </w:r>
    </w:p>
    <w:p w14:paraId="53AB3A64"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Chandrakumara</w:t>
      </w:r>
      <w:proofErr w:type="spellEnd"/>
      <w:r w:rsidRPr="00F97117">
        <w:rPr>
          <w:rFonts w:ascii="Arial" w:hAnsi="Arial" w:cs="Arial"/>
          <w:sz w:val="20"/>
          <w:szCs w:val="20"/>
        </w:rPr>
        <w:t>, K., Kirankumar, G. N., Srinivas, K., Kumar, A., &amp; Hadimani, B. (2022). Cyantraniliprole toxicity to Indian honey bees. The Pharma Innovation Journal, 11(11), 556-558.</w:t>
      </w:r>
    </w:p>
    <w:p w14:paraId="6AEC025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Day, R., Abrahams, P., Bateman, M., Beale, T., Clottey, V., Cock, M., Colmenarez, Y., </w:t>
      </w:r>
      <w:proofErr w:type="spellStart"/>
      <w:r w:rsidRPr="00F97117">
        <w:rPr>
          <w:rFonts w:ascii="Arial" w:hAnsi="Arial" w:cs="Arial"/>
          <w:sz w:val="20"/>
          <w:szCs w:val="20"/>
        </w:rPr>
        <w:t>Corniani</w:t>
      </w:r>
      <w:proofErr w:type="spellEnd"/>
      <w:r w:rsidRPr="00F97117">
        <w:rPr>
          <w:rFonts w:ascii="Arial" w:hAnsi="Arial" w:cs="Arial"/>
          <w:sz w:val="20"/>
          <w:szCs w:val="20"/>
        </w:rPr>
        <w:t xml:space="preserve">, N., Early, R., Godwin, J., Gomez, J., Moreno, P. J., Murphy, S. T., Mensah, B. O., Phiri, N., Pratt, C., Silvestri, S., &amp; Witt, A. (2017). Fall armyworm: impacts and implications for Africa. Outlooks on Pest Management, 28, 196-201. </w:t>
      </w:r>
      <w:hyperlink r:id="rId19" w:tgtFrame="_new" w:history="1">
        <w:r w:rsidRPr="00F97117">
          <w:rPr>
            <w:rStyle w:val="Hyperlink"/>
            <w:rFonts w:ascii="Arial" w:hAnsi="Arial" w:cs="Arial"/>
            <w:sz w:val="20"/>
            <w:szCs w:val="20"/>
          </w:rPr>
          <w:t>https://doi.org/10.1564/v28_oct_02</w:t>
        </w:r>
      </w:hyperlink>
    </w:p>
    <w:p w14:paraId="7B21BE28"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De Groote, H., </w:t>
      </w:r>
      <w:proofErr w:type="spellStart"/>
      <w:r w:rsidRPr="00F97117">
        <w:rPr>
          <w:rFonts w:ascii="Arial" w:hAnsi="Arial" w:cs="Arial"/>
          <w:sz w:val="20"/>
          <w:szCs w:val="20"/>
        </w:rPr>
        <w:t>Kimenju</w:t>
      </w:r>
      <w:proofErr w:type="spellEnd"/>
      <w:r w:rsidRPr="00F97117">
        <w:rPr>
          <w:rFonts w:ascii="Arial" w:hAnsi="Arial" w:cs="Arial"/>
          <w:sz w:val="20"/>
          <w:szCs w:val="20"/>
        </w:rPr>
        <w:t xml:space="preserve">, S. C., Munyua, B., Palmas, S., Kassie, M., &amp; Bruce, A. (2020). Spread and impact of fall armyworm in maize production areas of Kenya. Agriculture, Ecosystems &amp; Environment, 292, 106804. </w:t>
      </w:r>
      <w:hyperlink r:id="rId20" w:tgtFrame="_new" w:history="1">
        <w:r w:rsidRPr="00F97117">
          <w:rPr>
            <w:rStyle w:val="Hyperlink"/>
            <w:rFonts w:ascii="Arial" w:hAnsi="Arial" w:cs="Arial"/>
            <w:sz w:val="20"/>
            <w:szCs w:val="20"/>
          </w:rPr>
          <w:t>https://doi.org/10.1016/j.agee.2019.106804</w:t>
        </w:r>
      </w:hyperlink>
    </w:p>
    <w:p w14:paraId="5888F18D"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Diniz, G. F. D., Figueiredo, J. E. F., &amp; Santos, V. L. (2024). Characterization of lipopeptides from Bacillus. Frontiers in Microbiology, 15, 1443327. </w:t>
      </w:r>
      <w:hyperlink r:id="rId21" w:tgtFrame="_new" w:history="1">
        <w:r w:rsidRPr="00F97117">
          <w:rPr>
            <w:rStyle w:val="Hyperlink"/>
            <w:rFonts w:ascii="Arial" w:hAnsi="Arial" w:cs="Arial"/>
            <w:sz w:val="20"/>
            <w:szCs w:val="20"/>
          </w:rPr>
          <w:t>https://doi.org/10.3389/fmicb.2024.1443327</w:t>
        </w:r>
      </w:hyperlink>
    </w:p>
    <w:p w14:paraId="18A79327"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Gopalakrishnan, R., &amp; Kalia, V. K. (2022). Biology of Spodoptera frugiperda on different hosts. Pest Management Science, 78(5), 2043-2051. </w:t>
      </w:r>
      <w:hyperlink r:id="rId22" w:tgtFrame="_new" w:history="1">
        <w:r w:rsidRPr="00F97117">
          <w:rPr>
            <w:rStyle w:val="Hyperlink"/>
            <w:rFonts w:ascii="Arial" w:hAnsi="Arial" w:cs="Arial"/>
            <w:sz w:val="20"/>
            <w:szCs w:val="20"/>
          </w:rPr>
          <w:t>https://doi.org/10.1002/ps.6830</w:t>
        </w:r>
      </w:hyperlink>
    </w:p>
    <w:p w14:paraId="6FC50C57"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Gordon, S.A</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Weber, R.P. </w:t>
      </w:r>
      <w:r>
        <w:rPr>
          <w:rFonts w:ascii="Arial" w:hAnsi="Arial" w:cs="Arial"/>
          <w:sz w:val="20"/>
          <w:szCs w:val="20"/>
        </w:rPr>
        <w:t>(</w:t>
      </w:r>
      <w:r w:rsidRPr="004857DA">
        <w:rPr>
          <w:rFonts w:ascii="Arial" w:hAnsi="Arial" w:cs="Arial"/>
          <w:sz w:val="20"/>
          <w:szCs w:val="20"/>
        </w:rPr>
        <w:t>1951</w:t>
      </w:r>
      <w:r>
        <w:rPr>
          <w:rFonts w:ascii="Arial" w:hAnsi="Arial" w:cs="Arial"/>
          <w:sz w:val="20"/>
          <w:szCs w:val="20"/>
        </w:rPr>
        <w:t>)</w:t>
      </w:r>
      <w:r w:rsidRPr="004857DA">
        <w:rPr>
          <w:rFonts w:ascii="Arial" w:hAnsi="Arial" w:cs="Arial"/>
          <w:sz w:val="20"/>
          <w:szCs w:val="20"/>
        </w:rPr>
        <w:t>. Colorimetric estimation of indoleacetic acid. Plant physiology. 26 (1): 192.</w:t>
      </w:r>
    </w:p>
    <w:p w14:paraId="75776940"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Gupta, S</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Pandey, S. </w:t>
      </w:r>
      <w:r>
        <w:rPr>
          <w:rFonts w:ascii="Arial" w:hAnsi="Arial" w:cs="Arial"/>
          <w:sz w:val="20"/>
          <w:szCs w:val="20"/>
        </w:rPr>
        <w:t>(</w:t>
      </w:r>
      <w:r w:rsidRPr="004857DA">
        <w:rPr>
          <w:rFonts w:ascii="Arial" w:hAnsi="Arial" w:cs="Arial"/>
          <w:sz w:val="20"/>
          <w:szCs w:val="20"/>
        </w:rPr>
        <w:t>2019</w:t>
      </w:r>
      <w:r>
        <w:rPr>
          <w:rFonts w:ascii="Arial" w:hAnsi="Arial" w:cs="Arial"/>
          <w:sz w:val="20"/>
          <w:szCs w:val="20"/>
        </w:rPr>
        <w:t>)</w:t>
      </w:r>
      <w:r w:rsidRPr="004857DA">
        <w:rPr>
          <w:rFonts w:ascii="Arial" w:hAnsi="Arial" w:cs="Arial"/>
          <w:sz w:val="20"/>
          <w:szCs w:val="20"/>
        </w:rPr>
        <w:t>. ACC deaminase producing bacteria with multifarious plant growth promoting traits alleviates salinity stress in French bean (</w:t>
      </w:r>
      <w:r w:rsidRPr="004857DA">
        <w:rPr>
          <w:rFonts w:ascii="Arial" w:hAnsi="Arial" w:cs="Arial"/>
          <w:i/>
          <w:iCs/>
          <w:sz w:val="20"/>
          <w:szCs w:val="20"/>
        </w:rPr>
        <w:t>Phaseolus vulgaris</w:t>
      </w:r>
      <w:r w:rsidRPr="004857DA">
        <w:rPr>
          <w:rFonts w:ascii="Arial" w:hAnsi="Arial" w:cs="Arial"/>
          <w:sz w:val="20"/>
          <w:szCs w:val="20"/>
        </w:rPr>
        <w:t>) plants. Frontiers in Microbiology. 10: 1506.</w:t>
      </w:r>
    </w:p>
    <w:p w14:paraId="010DC200"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Hallmann, J., </w:t>
      </w:r>
      <w:proofErr w:type="spellStart"/>
      <w:r w:rsidRPr="00F97117">
        <w:rPr>
          <w:rFonts w:ascii="Arial" w:hAnsi="Arial" w:cs="Arial"/>
          <w:sz w:val="20"/>
          <w:szCs w:val="20"/>
        </w:rPr>
        <w:t>Quadt-Hallmann</w:t>
      </w:r>
      <w:proofErr w:type="spellEnd"/>
      <w:r w:rsidRPr="00F97117">
        <w:rPr>
          <w:rFonts w:ascii="Arial" w:hAnsi="Arial" w:cs="Arial"/>
          <w:sz w:val="20"/>
          <w:szCs w:val="20"/>
        </w:rPr>
        <w:t xml:space="preserve">, A., Mahaffee, W. F., &amp; Kloepper, J. W. (1997). Bacterial endophytes in agricultural crops. Canadian Journal of Microbiology, 43(10), 895-914. </w:t>
      </w:r>
      <w:hyperlink r:id="rId23" w:tgtFrame="_new" w:history="1">
        <w:r w:rsidRPr="00F97117">
          <w:rPr>
            <w:rStyle w:val="Hyperlink"/>
            <w:rFonts w:ascii="Arial" w:hAnsi="Arial" w:cs="Arial"/>
            <w:sz w:val="20"/>
            <w:szCs w:val="20"/>
          </w:rPr>
          <w:t>https://doi.org/10.1139/m97-131</w:t>
        </w:r>
      </w:hyperlink>
    </w:p>
    <w:p w14:paraId="07D8365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Harrison, R. D., Thierfelder, C., </w:t>
      </w:r>
      <w:proofErr w:type="spellStart"/>
      <w:r w:rsidRPr="00F97117">
        <w:rPr>
          <w:rFonts w:ascii="Arial" w:hAnsi="Arial" w:cs="Arial"/>
          <w:sz w:val="20"/>
          <w:szCs w:val="20"/>
        </w:rPr>
        <w:t>Baudron</w:t>
      </w:r>
      <w:proofErr w:type="spellEnd"/>
      <w:r w:rsidRPr="00F97117">
        <w:rPr>
          <w:rFonts w:ascii="Arial" w:hAnsi="Arial" w:cs="Arial"/>
          <w:sz w:val="20"/>
          <w:szCs w:val="20"/>
        </w:rPr>
        <w:t xml:space="preserve">, F., </w:t>
      </w:r>
      <w:proofErr w:type="spellStart"/>
      <w:r w:rsidRPr="00F97117">
        <w:rPr>
          <w:rFonts w:ascii="Arial" w:hAnsi="Arial" w:cs="Arial"/>
          <w:sz w:val="20"/>
          <w:szCs w:val="20"/>
        </w:rPr>
        <w:t>Chinwada</w:t>
      </w:r>
      <w:proofErr w:type="spellEnd"/>
      <w:r w:rsidRPr="00F97117">
        <w:rPr>
          <w:rFonts w:ascii="Arial" w:hAnsi="Arial" w:cs="Arial"/>
          <w:sz w:val="20"/>
          <w:szCs w:val="20"/>
        </w:rPr>
        <w:t xml:space="preserve">, P., Midega, C., Schaffner, U., &amp; van den Berg, J. (2019). Agro-ecological options for fall armyworm management. Journal of Environmental Management, 243, 318-330. </w:t>
      </w:r>
      <w:hyperlink r:id="rId24" w:tgtFrame="_new" w:history="1">
        <w:r w:rsidRPr="00F97117">
          <w:rPr>
            <w:rStyle w:val="Hyperlink"/>
            <w:rFonts w:ascii="Arial" w:hAnsi="Arial" w:cs="Arial"/>
            <w:sz w:val="20"/>
            <w:szCs w:val="20"/>
          </w:rPr>
          <w:t>https://doi.org/10.1016/j.jenvman.2019.05.011</w:t>
        </w:r>
      </w:hyperlink>
    </w:p>
    <w:p w14:paraId="0CA8A3BD"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Hruska, A. J. (2019). Fall armyworm (Spodoptera frugiperda) management by smallholders. CAB Reviews, 14, 1-11. </w:t>
      </w:r>
      <w:hyperlink r:id="rId25" w:tgtFrame="_new" w:history="1">
        <w:r w:rsidRPr="00F97117">
          <w:rPr>
            <w:rStyle w:val="Hyperlink"/>
            <w:rFonts w:ascii="Arial" w:hAnsi="Arial" w:cs="Arial"/>
            <w:sz w:val="20"/>
            <w:szCs w:val="20"/>
          </w:rPr>
          <w:t>https://doi.org/10.1079/PAVSNNR201914043</w:t>
        </w:r>
      </w:hyperlink>
    </w:p>
    <w:p w14:paraId="3C9E2E43"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Irsad, M., Shahid, M., &amp; Rizvi, P. Q. (2023). Entomopathogen-based biopesticides. Frontiers in Microbiology, 14, 1208237. </w:t>
      </w:r>
      <w:hyperlink r:id="rId26" w:tgtFrame="_new" w:history="1">
        <w:r w:rsidRPr="00F97117">
          <w:rPr>
            <w:rStyle w:val="Hyperlink"/>
            <w:rFonts w:ascii="Arial" w:hAnsi="Arial" w:cs="Arial"/>
            <w:sz w:val="20"/>
            <w:szCs w:val="20"/>
          </w:rPr>
          <w:t>https://doi.org/10.3389/fmicb.2023.1208237</w:t>
        </w:r>
      </w:hyperlink>
    </w:p>
    <w:p w14:paraId="1B61A30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Koskey, G., Mburu, S. W., Awino, R., Njeru, E. M., &amp; Maingi, J. M. (2021). Potential use of beneficial microorganisms. Frontiers in Sustainable Food Systems, 5, 606308. https://doi.org/10.3389/fsufs.2021.606308</w:t>
      </w:r>
    </w:p>
    <w:p w14:paraId="0BB94906" w14:textId="77777777" w:rsidR="003B1316" w:rsidRPr="00F97117" w:rsidRDefault="00400CF5" w:rsidP="00F97117">
      <w:pPr>
        <w:pStyle w:val="NormalWeb"/>
        <w:jc w:val="both"/>
        <w:rPr>
          <w:rFonts w:ascii="Arial" w:hAnsi="Arial" w:cs="Arial"/>
          <w:sz w:val="20"/>
          <w:szCs w:val="20"/>
        </w:rPr>
      </w:pPr>
      <w:r>
        <w:rPr>
          <w:rFonts w:ascii="Arial" w:hAnsi="Arial" w:cs="Arial"/>
          <w:sz w:val="20"/>
          <w:szCs w:val="20"/>
        </w:rPr>
        <w:t>Liu, Q., Zhang, L.</w:t>
      </w:r>
      <w:r w:rsidR="003B1316" w:rsidRPr="00F97117">
        <w:rPr>
          <w:rFonts w:ascii="Arial" w:hAnsi="Arial" w:cs="Arial"/>
          <w:sz w:val="20"/>
          <w:szCs w:val="20"/>
        </w:rPr>
        <w:t xml:space="preserve"> (2024). Lipopeptides from </w:t>
      </w:r>
      <w:r w:rsidR="003B1316" w:rsidRPr="00400CF5">
        <w:rPr>
          <w:rFonts w:ascii="Arial" w:hAnsi="Arial" w:cs="Arial"/>
          <w:i/>
          <w:iCs/>
          <w:sz w:val="20"/>
          <w:szCs w:val="20"/>
        </w:rPr>
        <w:t xml:space="preserve">Bacillus </w:t>
      </w:r>
      <w:proofErr w:type="spellStart"/>
      <w:r w:rsidR="003B1316" w:rsidRPr="00400CF5">
        <w:rPr>
          <w:rFonts w:ascii="Arial" w:hAnsi="Arial" w:cs="Arial"/>
          <w:i/>
          <w:iCs/>
          <w:sz w:val="20"/>
          <w:szCs w:val="20"/>
        </w:rPr>
        <w:t>velezensis</w:t>
      </w:r>
      <w:proofErr w:type="spellEnd"/>
      <w:r w:rsidR="003B1316" w:rsidRPr="00F97117">
        <w:rPr>
          <w:rFonts w:ascii="Arial" w:hAnsi="Arial" w:cs="Arial"/>
          <w:sz w:val="20"/>
          <w:szCs w:val="20"/>
        </w:rPr>
        <w:t xml:space="preserve">. BMC Microbiology, 24, 231. </w:t>
      </w:r>
      <w:hyperlink r:id="rId27" w:tgtFrame="_new" w:history="1">
        <w:r w:rsidR="003B1316" w:rsidRPr="00F97117">
          <w:rPr>
            <w:rStyle w:val="Hyperlink"/>
            <w:rFonts w:ascii="Arial" w:hAnsi="Arial" w:cs="Arial"/>
            <w:sz w:val="20"/>
            <w:szCs w:val="20"/>
          </w:rPr>
          <w:t>https://doi.org/10.1186/s12866-024-03378-2</w:t>
        </w:r>
      </w:hyperlink>
    </w:p>
    <w:p w14:paraId="5E332519"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lastRenderedPageBreak/>
        <w:t xml:space="preserve">Matova, P. M., </w:t>
      </w:r>
      <w:proofErr w:type="spellStart"/>
      <w:r w:rsidRPr="00F97117">
        <w:rPr>
          <w:rFonts w:ascii="Arial" w:hAnsi="Arial" w:cs="Arial"/>
          <w:sz w:val="20"/>
          <w:szCs w:val="20"/>
        </w:rPr>
        <w:t>Kamutando</w:t>
      </w:r>
      <w:proofErr w:type="spellEnd"/>
      <w:r w:rsidRPr="00F97117">
        <w:rPr>
          <w:rFonts w:ascii="Arial" w:hAnsi="Arial" w:cs="Arial"/>
          <w:sz w:val="20"/>
          <w:szCs w:val="20"/>
        </w:rPr>
        <w:t xml:space="preserve">, C. N., </w:t>
      </w:r>
      <w:proofErr w:type="spellStart"/>
      <w:r w:rsidRPr="00F97117">
        <w:rPr>
          <w:rFonts w:ascii="Arial" w:hAnsi="Arial" w:cs="Arial"/>
          <w:sz w:val="20"/>
          <w:szCs w:val="20"/>
        </w:rPr>
        <w:t>Magorokosho</w:t>
      </w:r>
      <w:proofErr w:type="spellEnd"/>
      <w:r w:rsidRPr="00F97117">
        <w:rPr>
          <w:rFonts w:ascii="Arial" w:hAnsi="Arial" w:cs="Arial"/>
          <w:sz w:val="20"/>
          <w:szCs w:val="20"/>
        </w:rPr>
        <w:t xml:space="preserve">, C., </w:t>
      </w:r>
      <w:proofErr w:type="spellStart"/>
      <w:r w:rsidRPr="00F97117">
        <w:rPr>
          <w:rFonts w:ascii="Arial" w:hAnsi="Arial" w:cs="Arial"/>
          <w:sz w:val="20"/>
          <w:szCs w:val="20"/>
        </w:rPr>
        <w:t>Kutywayo</w:t>
      </w:r>
      <w:proofErr w:type="spellEnd"/>
      <w:r w:rsidRPr="00F97117">
        <w:rPr>
          <w:rFonts w:ascii="Arial" w:hAnsi="Arial" w:cs="Arial"/>
          <w:sz w:val="20"/>
          <w:szCs w:val="20"/>
        </w:rPr>
        <w:t xml:space="preserve">, D., Gutsa, F., &amp; Labuschagne, M. (2020). Fall-armyworm invasion and control practices in Sub-Saharan Africa. Crop Science, 60(6), 2951-2970. </w:t>
      </w:r>
      <w:hyperlink r:id="rId28" w:tgtFrame="_new" w:history="1">
        <w:r w:rsidRPr="00F97117">
          <w:rPr>
            <w:rStyle w:val="Hyperlink"/>
            <w:rFonts w:ascii="Arial" w:hAnsi="Arial" w:cs="Arial"/>
            <w:sz w:val="20"/>
            <w:szCs w:val="20"/>
          </w:rPr>
          <w:t>https://doi.org/10.1002/csc2.20317</w:t>
        </w:r>
      </w:hyperlink>
    </w:p>
    <w:p w14:paraId="6B231994"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Mir, W., Manda, P., &amp; Das, R. (2024). Pesticide resistance in insects. International Journal of Agricultural and Food Science, 6(2), 121-127. </w:t>
      </w:r>
      <w:hyperlink r:id="rId29" w:tgtFrame="_new" w:history="1">
        <w:r w:rsidRPr="00F97117">
          <w:rPr>
            <w:rStyle w:val="Hyperlink"/>
            <w:rFonts w:ascii="Arial" w:hAnsi="Arial" w:cs="Arial"/>
            <w:sz w:val="20"/>
            <w:szCs w:val="20"/>
          </w:rPr>
          <w:t>https://doi.org/10.33545/2664844X.2024.v6.i2b.215</w:t>
        </w:r>
      </w:hyperlink>
    </w:p>
    <w:p w14:paraId="3C99396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Muthusamy, J., Unni, P. K. S., &amp; Senthil-Nathan, S. (2024). Biocontrol effect of </w:t>
      </w:r>
      <w:r w:rsidRPr="00F64B1D">
        <w:rPr>
          <w:rFonts w:ascii="Arial" w:hAnsi="Arial" w:cs="Arial"/>
          <w:i/>
          <w:iCs/>
          <w:sz w:val="20"/>
          <w:szCs w:val="20"/>
        </w:rPr>
        <w:t>Bacillus subtilis</w:t>
      </w:r>
      <w:r w:rsidRPr="00F97117">
        <w:rPr>
          <w:rFonts w:ascii="Arial" w:hAnsi="Arial" w:cs="Arial"/>
          <w:sz w:val="20"/>
          <w:szCs w:val="20"/>
        </w:rPr>
        <w:t xml:space="preserve">. Agronomy, 14(2), 310. </w:t>
      </w:r>
      <w:hyperlink r:id="rId30" w:tgtFrame="_new" w:history="1">
        <w:r w:rsidRPr="00F97117">
          <w:rPr>
            <w:rStyle w:val="Hyperlink"/>
            <w:rFonts w:ascii="Arial" w:hAnsi="Arial" w:cs="Arial"/>
            <w:sz w:val="20"/>
            <w:szCs w:val="20"/>
          </w:rPr>
          <w:t>https://doi.org/10.3390/agronomy14020310</w:t>
        </w:r>
      </w:hyperlink>
    </w:p>
    <w:p w14:paraId="5D3B0665"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Nihorimbere</w:t>
      </w:r>
      <w:proofErr w:type="spellEnd"/>
      <w:r w:rsidRPr="00F97117">
        <w:rPr>
          <w:rFonts w:ascii="Arial" w:hAnsi="Arial" w:cs="Arial"/>
          <w:sz w:val="20"/>
          <w:szCs w:val="20"/>
        </w:rPr>
        <w:t xml:space="preserve">, G., </w:t>
      </w:r>
      <w:proofErr w:type="spellStart"/>
      <w:r w:rsidRPr="00F97117">
        <w:rPr>
          <w:rFonts w:ascii="Arial" w:hAnsi="Arial" w:cs="Arial"/>
          <w:sz w:val="20"/>
          <w:szCs w:val="20"/>
        </w:rPr>
        <w:t>Alleluya</w:t>
      </w:r>
      <w:proofErr w:type="spellEnd"/>
      <w:r w:rsidRPr="00F97117">
        <w:rPr>
          <w:rFonts w:ascii="Arial" w:hAnsi="Arial" w:cs="Arial"/>
          <w:sz w:val="20"/>
          <w:szCs w:val="20"/>
        </w:rPr>
        <w:t xml:space="preserve">, V. K., &amp; </w:t>
      </w:r>
      <w:proofErr w:type="spellStart"/>
      <w:r w:rsidRPr="00F97117">
        <w:rPr>
          <w:rFonts w:ascii="Arial" w:hAnsi="Arial" w:cs="Arial"/>
          <w:sz w:val="20"/>
          <w:szCs w:val="20"/>
        </w:rPr>
        <w:t>Ongena</w:t>
      </w:r>
      <w:proofErr w:type="spellEnd"/>
      <w:r w:rsidRPr="00F97117">
        <w:rPr>
          <w:rFonts w:ascii="Arial" w:hAnsi="Arial" w:cs="Arial"/>
          <w:sz w:val="20"/>
          <w:szCs w:val="20"/>
        </w:rPr>
        <w:t xml:space="preserve">, M. (2024). Bacillus-based biocontrol in Africa. Frontiers in Plant Science, 15, 1349357. </w:t>
      </w:r>
      <w:hyperlink r:id="rId31" w:tgtFrame="_new" w:history="1">
        <w:r w:rsidRPr="00F97117">
          <w:rPr>
            <w:rStyle w:val="Hyperlink"/>
            <w:rFonts w:ascii="Arial" w:hAnsi="Arial" w:cs="Arial"/>
            <w:sz w:val="20"/>
            <w:szCs w:val="20"/>
          </w:rPr>
          <w:t>https://doi.org/10.3389/fpls.2024.1349357</w:t>
        </w:r>
      </w:hyperlink>
    </w:p>
    <w:p w14:paraId="3C712775"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Ongena</w:t>
      </w:r>
      <w:proofErr w:type="spellEnd"/>
      <w:r w:rsidRPr="00F97117">
        <w:rPr>
          <w:rFonts w:ascii="Arial" w:hAnsi="Arial" w:cs="Arial"/>
          <w:sz w:val="20"/>
          <w:szCs w:val="20"/>
        </w:rPr>
        <w:t xml:space="preserve">, M., &amp; Jacques, P. (2008). Bacillus lipopeptides. Trends in Microbiology, 16(3), 115-125. </w:t>
      </w:r>
      <w:hyperlink r:id="rId32" w:tgtFrame="_new" w:history="1">
        <w:r w:rsidRPr="00F97117">
          <w:rPr>
            <w:rStyle w:val="Hyperlink"/>
            <w:rFonts w:ascii="Arial" w:hAnsi="Arial" w:cs="Arial"/>
            <w:sz w:val="20"/>
            <w:szCs w:val="20"/>
          </w:rPr>
          <w:t>https://doi.org/10.1016/j.tim.2007.12.009</w:t>
        </w:r>
      </w:hyperlink>
    </w:p>
    <w:p w14:paraId="5C039A61"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Oumer, O.J</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Abate, D. </w:t>
      </w:r>
      <w:r>
        <w:rPr>
          <w:rFonts w:ascii="Arial" w:hAnsi="Arial" w:cs="Arial"/>
          <w:sz w:val="20"/>
          <w:szCs w:val="20"/>
        </w:rPr>
        <w:t>(</w:t>
      </w:r>
      <w:r w:rsidRPr="004857DA">
        <w:rPr>
          <w:rFonts w:ascii="Arial" w:hAnsi="Arial" w:cs="Arial"/>
          <w:sz w:val="20"/>
          <w:szCs w:val="20"/>
        </w:rPr>
        <w:t>2018</w:t>
      </w:r>
      <w:r>
        <w:rPr>
          <w:rFonts w:ascii="Arial" w:hAnsi="Arial" w:cs="Arial"/>
          <w:sz w:val="20"/>
          <w:szCs w:val="20"/>
        </w:rPr>
        <w:t>)</w:t>
      </w:r>
      <w:r w:rsidRPr="004857DA">
        <w:rPr>
          <w:rFonts w:ascii="Arial" w:hAnsi="Arial" w:cs="Arial"/>
          <w:sz w:val="20"/>
          <w:szCs w:val="20"/>
        </w:rPr>
        <w:t>. Screening and molecular identification of pectinase producing microbes from coffee pulp. BioMed research international.</w:t>
      </w:r>
    </w:p>
    <w:p w14:paraId="11466424"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Pereira, V., Figueira, O., &amp; Castilho, P. C. (2024). Flavonoids as insecticides in crop protection. Plants, 13(6), 776. </w:t>
      </w:r>
      <w:hyperlink r:id="rId33" w:tgtFrame="_new" w:history="1">
        <w:r w:rsidRPr="00F97117">
          <w:rPr>
            <w:rStyle w:val="Hyperlink"/>
            <w:rFonts w:ascii="Arial" w:hAnsi="Arial" w:cs="Arial"/>
            <w:sz w:val="20"/>
            <w:szCs w:val="20"/>
          </w:rPr>
          <w:t>https://doi.org/10.3390/plants13060776</w:t>
        </w:r>
      </w:hyperlink>
    </w:p>
    <w:p w14:paraId="547C77F1"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Pikovskaya</w:t>
      </w:r>
      <w:proofErr w:type="spellEnd"/>
      <w:r w:rsidRPr="004857DA">
        <w:rPr>
          <w:rFonts w:ascii="Arial" w:hAnsi="Arial" w:cs="Arial"/>
          <w:sz w:val="20"/>
          <w:szCs w:val="20"/>
        </w:rPr>
        <w:t xml:space="preserve">, R.I. </w:t>
      </w:r>
      <w:r>
        <w:rPr>
          <w:rFonts w:ascii="Arial" w:hAnsi="Arial" w:cs="Arial"/>
          <w:sz w:val="20"/>
          <w:szCs w:val="20"/>
        </w:rPr>
        <w:t>(</w:t>
      </w:r>
      <w:r w:rsidRPr="004857DA">
        <w:rPr>
          <w:rFonts w:ascii="Arial" w:hAnsi="Arial" w:cs="Arial"/>
          <w:sz w:val="20"/>
          <w:szCs w:val="20"/>
        </w:rPr>
        <w:t>1948</w:t>
      </w:r>
      <w:r>
        <w:rPr>
          <w:rFonts w:ascii="Arial" w:hAnsi="Arial" w:cs="Arial"/>
          <w:sz w:val="20"/>
          <w:szCs w:val="20"/>
        </w:rPr>
        <w:t>)</w:t>
      </w:r>
      <w:r w:rsidRPr="004857DA">
        <w:rPr>
          <w:rFonts w:ascii="Arial" w:hAnsi="Arial" w:cs="Arial"/>
          <w:sz w:val="20"/>
          <w:szCs w:val="20"/>
        </w:rPr>
        <w:t xml:space="preserve">. Mobilization of phosphorous in soil connection with the vital activity of some microbial species. </w:t>
      </w:r>
      <w:proofErr w:type="spellStart"/>
      <w:r w:rsidRPr="004857DA">
        <w:rPr>
          <w:rFonts w:ascii="Arial" w:hAnsi="Arial" w:cs="Arial"/>
          <w:sz w:val="20"/>
          <w:szCs w:val="20"/>
        </w:rPr>
        <w:t>Microbiologiya</w:t>
      </w:r>
      <w:proofErr w:type="spellEnd"/>
      <w:r w:rsidRPr="004857DA">
        <w:rPr>
          <w:rFonts w:ascii="Arial" w:hAnsi="Arial" w:cs="Arial"/>
          <w:sz w:val="20"/>
          <w:szCs w:val="20"/>
        </w:rPr>
        <w:t>. 17: 362-370</w:t>
      </w:r>
    </w:p>
    <w:p w14:paraId="4612419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Prasanna, B. M. (Ed.). (2018). Host plant resistance to fall armyworm. In Fall armyworm in Africa: a guide for integrated pest management (1st ed., pp. 45-62). CIMMYT, Mexico. </w:t>
      </w:r>
      <w:hyperlink r:id="rId34" w:tgtFrame="_new" w:history="1">
        <w:r w:rsidRPr="00F97117">
          <w:rPr>
            <w:rStyle w:val="Hyperlink"/>
            <w:rFonts w:ascii="Arial" w:hAnsi="Arial" w:cs="Arial"/>
            <w:sz w:val="20"/>
            <w:szCs w:val="20"/>
          </w:rPr>
          <w:t>https://doi.org/10.1007/s00122-022-04073-4</w:t>
        </w:r>
      </w:hyperlink>
    </w:p>
    <w:p w14:paraId="456B7DBF"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Ruiu</w:t>
      </w:r>
      <w:proofErr w:type="spellEnd"/>
      <w:r w:rsidRPr="00F97117">
        <w:rPr>
          <w:rFonts w:ascii="Arial" w:hAnsi="Arial" w:cs="Arial"/>
          <w:sz w:val="20"/>
          <w:szCs w:val="20"/>
        </w:rPr>
        <w:t xml:space="preserve">, L. (2018). Microbial biopesticides in agroecosystems. Agronomy, 8(11), 235. </w:t>
      </w:r>
      <w:hyperlink r:id="rId35" w:tgtFrame="_new" w:history="1">
        <w:r w:rsidRPr="00F97117">
          <w:rPr>
            <w:rStyle w:val="Hyperlink"/>
            <w:rFonts w:ascii="Arial" w:hAnsi="Arial" w:cs="Arial"/>
            <w:sz w:val="20"/>
            <w:szCs w:val="20"/>
          </w:rPr>
          <w:t>https://doi.org/10.3390/agronomy8110235</w:t>
        </w:r>
      </w:hyperlink>
    </w:p>
    <w:p w14:paraId="47C3E93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Sangaraju, R., Kumar, K., Huynh, R., &amp; Sinha, N. (2024). Pesticide effects on human health. </w:t>
      </w:r>
      <w:proofErr w:type="spellStart"/>
      <w:r w:rsidRPr="00F97117">
        <w:rPr>
          <w:rFonts w:ascii="Arial" w:hAnsi="Arial" w:cs="Arial"/>
          <w:sz w:val="20"/>
          <w:szCs w:val="20"/>
        </w:rPr>
        <w:t>IntechOpen</w:t>
      </w:r>
      <w:proofErr w:type="spellEnd"/>
      <w:r w:rsidRPr="00F97117">
        <w:rPr>
          <w:rFonts w:ascii="Arial" w:hAnsi="Arial" w:cs="Arial"/>
          <w:sz w:val="20"/>
          <w:szCs w:val="20"/>
        </w:rPr>
        <w:t>. https://doi.org/10.5772/intechopen.1006807</w:t>
      </w:r>
    </w:p>
    <w:p w14:paraId="41D5F0B7"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Schwyn</w:t>
      </w:r>
      <w:proofErr w:type="spellEnd"/>
      <w:r w:rsidRPr="004857DA">
        <w:rPr>
          <w:rFonts w:ascii="Arial" w:hAnsi="Arial" w:cs="Arial"/>
          <w:sz w:val="20"/>
          <w:szCs w:val="20"/>
        </w:rPr>
        <w:t xml:space="preserve">, B </w:t>
      </w:r>
      <w:r>
        <w:rPr>
          <w:rFonts w:ascii="Arial" w:hAnsi="Arial" w:cs="Arial"/>
          <w:sz w:val="20"/>
          <w:szCs w:val="20"/>
        </w:rPr>
        <w:t>&amp;</w:t>
      </w:r>
      <w:r w:rsidRPr="004857DA">
        <w:rPr>
          <w:rFonts w:ascii="Arial" w:hAnsi="Arial" w:cs="Arial"/>
          <w:sz w:val="20"/>
          <w:szCs w:val="20"/>
        </w:rPr>
        <w:t xml:space="preserve"> </w:t>
      </w:r>
      <w:proofErr w:type="spellStart"/>
      <w:r w:rsidRPr="004857DA">
        <w:rPr>
          <w:rFonts w:ascii="Arial" w:hAnsi="Arial" w:cs="Arial"/>
          <w:sz w:val="20"/>
          <w:szCs w:val="20"/>
        </w:rPr>
        <w:t>Neilands</w:t>
      </w:r>
      <w:proofErr w:type="spellEnd"/>
      <w:r w:rsidRPr="004857DA">
        <w:rPr>
          <w:rFonts w:ascii="Arial" w:hAnsi="Arial" w:cs="Arial"/>
          <w:sz w:val="20"/>
          <w:szCs w:val="20"/>
        </w:rPr>
        <w:t xml:space="preserve">, J.B. </w:t>
      </w:r>
      <w:r>
        <w:rPr>
          <w:rFonts w:ascii="Arial" w:hAnsi="Arial" w:cs="Arial"/>
          <w:sz w:val="20"/>
          <w:szCs w:val="20"/>
        </w:rPr>
        <w:t>(</w:t>
      </w:r>
      <w:r w:rsidRPr="004857DA">
        <w:rPr>
          <w:rFonts w:ascii="Arial" w:hAnsi="Arial" w:cs="Arial"/>
          <w:sz w:val="20"/>
          <w:szCs w:val="20"/>
        </w:rPr>
        <w:t>1987</w:t>
      </w:r>
      <w:r>
        <w:rPr>
          <w:rFonts w:ascii="Arial" w:hAnsi="Arial" w:cs="Arial"/>
          <w:sz w:val="20"/>
          <w:szCs w:val="20"/>
        </w:rPr>
        <w:t>)</w:t>
      </w:r>
      <w:r w:rsidRPr="004857DA">
        <w:rPr>
          <w:rFonts w:ascii="Arial" w:hAnsi="Arial" w:cs="Arial"/>
          <w:sz w:val="20"/>
          <w:szCs w:val="20"/>
        </w:rPr>
        <w:t>. Universal chemical assay for the detection and determination of siderophores. Analytical biochemistry. 160 (1): 47-56.</w:t>
      </w:r>
    </w:p>
    <w:p w14:paraId="4780763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Sisay, B., Simiyu, J., </w:t>
      </w:r>
      <w:proofErr w:type="spellStart"/>
      <w:r w:rsidRPr="00F97117">
        <w:rPr>
          <w:rFonts w:ascii="Arial" w:hAnsi="Arial" w:cs="Arial"/>
          <w:sz w:val="20"/>
          <w:szCs w:val="20"/>
        </w:rPr>
        <w:t>Mendesil</w:t>
      </w:r>
      <w:proofErr w:type="spellEnd"/>
      <w:r w:rsidRPr="00F97117">
        <w:rPr>
          <w:rFonts w:ascii="Arial" w:hAnsi="Arial" w:cs="Arial"/>
          <w:sz w:val="20"/>
          <w:szCs w:val="20"/>
        </w:rPr>
        <w:t xml:space="preserve">, E., </w:t>
      </w:r>
      <w:proofErr w:type="spellStart"/>
      <w:r w:rsidRPr="00F97117">
        <w:rPr>
          <w:rFonts w:ascii="Arial" w:hAnsi="Arial" w:cs="Arial"/>
          <w:sz w:val="20"/>
          <w:szCs w:val="20"/>
        </w:rPr>
        <w:t>Likhayo</w:t>
      </w:r>
      <w:proofErr w:type="spellEnd"/>
      <w:r w:rsidRPr="00F97117">
        <w:rPr>
          <w:rFonts w:ascii="Arial" w:hAnsi="Arial" w:cs="Arial"/>
          <w:sz w:val="20"/>
          <w:szCs w:val="20"/>
        </w:rPr>
        <w:t xml:space="preserve">, P., Ayalew, G., Mohamed, S., Subramanian, S., &amp; Tefera, T. (2019). Fall armyworm, </w:t>
      </w:r>
      <w:r w:rsidRPr="00F64B1D">
        <w:rPr>
          <w:rFonts w:ascii="Arial" w:hAnsi="Arial" w:cs="Arial"/>
          <w:i/>
          <w:iCs/>
          <w:sz w:val="20"/>
          <w:szCs w:val="20"/>
        </w:rPr>
        <w:t>Spodoptera frugiperda</w:t>
      </w:r>
      <w:r w:rsidRPr="00F97117">
        <w:rPr>
          <w:rFonts w:ascii="Arial" w:hAnsi="Arial" w:cs="Arial"/>
          <w:sz w:val="20"/>
          <w:szCs w:val="20"/>
        </w:rPr>
        <w:t xml:space="preserve"> infestations in East Africa: assessment of damage and parasitism. Insects, 10, 195. </w:t>
      </w:r>
      <w:hyperlink r:id="rId36" w:tgtFrame="_new" w:history="1">
        <w:r w:rsidRPr="00F97117">
          <w:rPr>
            <w:rStyle w:val="Hyperlink"/>
            <w:rFonts w:ascii="Arial" w:hAnsi="Arial" w:cs="Arial"/>
            <w:sz w:val="20"/>
            <w:szCs w:val="20"/>
          </w:rPr>
          <w:t>https://doi.org/10.3390/insects10070195</w:t>
        </w:r>
      </w:hyperlink>
    </w:p>
    <w:p w14:paraId="26451998"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Sorokan</w:t>
      </w:r>
      <w:proofErr w:type="spellEnd"/>
      <w:r w:rsidRPr="00F97117">
        <w:rPr>
          <w:rFonts w:ascii="Arial" w:hAnsi="Arial" w:cs="Arial"/>
          <w:sz w:val="20"/>
          <w:szCs w:val="20"/>
        </w:rPr>
        <w:t xml:space="preserve">, A., Veselova, S., &amp; </w:t>
      </w:r>
      <w:proofErr w:type="spellStart"/>
      <w:r w:rsidRPr="00F97117">
        <w:rPr>
          <w:rFonts w:ascii="Arial" w:hAnsi="Arial" w:cs="Arial"/>
          <w:sz w:val="20"/>
          <w:szCs w:val="20"/>
        </w:rPr>
        <w:t>Benkovskaya</w:t>
      </w:r>
      <w:proofErr w:type="spellEnd"/>
      <w:r w:rsidRPr="00F97117">
        <w:rPr>
          <w:rFonts w:ascii="Arial" w:hAnsi="Arial" w:cs="Arial"/>
          <w:sz w:val="20"/>
          <w:szCs w:val="20"/>
        </w:rPr>
        <w:t xml:space="preserve">, G. (2021). Endophytic </w:t>
      </w:r>
      <w:r w:rsidRPr="00F64B1D">
        <w:rPr>
          <w:rFonts w:ascii="Arial" w:hAnsi="Arial" w:cs="Arial"/>
          <w:i/>
          <w:iCs/>
          <w:sz w:val="20"/>
          <w:szCs w:val="20"/>
        </w:rPr>
        <w:t>Bacillus subtilis</w:t>
      </w:r>
      <w:r w:rsidRPr="00F97117">
        <w:rPr>
          <w:rFonts w:ascii="Arial" w:hAnsi="Arial" w:cs="Arial"/>
          <w:sz w:val="20"/>
          <w:szCs w:val="20"/>
        </w:rPr>
        <w:t xml:space="preserve"> improves potato growth. Plants, 10(5), 923. </w:t>
      </w:r>
      <w:hyperlink r:id="rId37" w:tgtFrame="_new" w:history="1">
        <w:r w:rsidRPr="00F97117">
          <w:rPr>
            <w:rStyle w:val="Hyperlink"/>
            <w:rFonts w:ascii="Arial" w:hAnsi="Arial" w:cs="Arial"/>
            <w:sz w:val="20"/>
            <w:szCs w:val="20"/>
          </w:rPr>
          <w:t>https://doi.org/10.3390/plants10050923</w:t>
        </w:r>
      </w:hyperlink>
    </w:p>
    <w:p w14:paraId="43F3935E"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Srinivas, K., Raghuraman, M., Kumar, G. N., Kumar, S. T., &amp; Kumar, E. U. (2022). Management of paddy yellow stem borer with </w:t>
      </w:r>
      <w:proofErr w:type="spellStart"/>
      <w:r w:rsidRPr="00F97117">
        <w:rPr>
          <w:rFonts w:ascii="Arial" w:hAnsi="Arial" w:cs="Arial"/>
          <w:sz w:val="20"/>
          <w:szCs w:val="20"/>
        </w:rPr>
        <w:t>flonicamid</w:t>
      </w:r>
      <w:proofErr w:type="spellEnd"/>
      <w:r w:rsidRPr="00F97117">
        <w:rPr>
          <w:rFonts w:ascii="Arial" w:hAnsi="Arial" w:cs="Arial"/>
          <w:sz w:val="20"/>
          <w:szCs w:val="20"/>
        </w:rPr>
        <w:t>. Pesticide Research Journal, 1, 93-96.</w:t>
      </w:r>
    </w:p>
    <w:p w14:paraId="72694AF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Suby, S. B., Soujanya, P. L., Yadava, P., Patil, J., </w:t>
      </w:r>
      <w:proofErr w:type="spellStart"/>
      <w:r w:rsidRPr="00F97117">
        <w:rPr>
          <w:rFonts w:ascii="Arial" w:hAnsi="Arial" w:cs="Arial"/>
          <w:sz w:val="20"/>
          <w:szCs w:val="20"/>
        </w:rPr>
        <w:t>Subaharan</w:t>
      </w:r>
      <w:proofErr w:type="spellEnd"/>
      <w:r w:rsidRPr="00F97117">
        <w:rPr>
          <w:rFonts w:ascii="Arial" w:hAnsi="Arial" w:cs="Arial"/>
          <w:sz w:val="20"/>
          <w:szCs w:val="20"/>
        </w:rPr>
        <w:t>, K., Prasad, G. S., &amp; Rakshit, S. (2020). Invasion of fall armyworm in India: nature, distribution, management and potential impact. Current Science, 119, 44-51. https://doi.org/10.18520/cs/v119/i1/44-51</w:t>
      </w:r>
    </w:p>
    <w:p w14:paraId="4C6F0E46"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Swati, P., </w:t>
      </w:r>
      <w:proofErr w:type="spellStart"/>
      <w:r w:rsidRPr="00F97117">
        <w:rPr>
          <w:rFonts w:ascii="Arial" w:hAnsi="Arial" w:cs="Arial"/>
          <w:sz w:val="20"/>
          <w:szCs w:val="20"/>
        </w:rPr>
        <w:t>Rasane</w:t>
      </w:r>
      <w:proofErr w:type="spellEnd"/>
      <w:r w:rsidRPr="00F97117">
        <w:rPr>
          <w:rFonts w:ascii="Arial" w:hAnsi="Arial" w:cs="Arial"/>
          <w:sz w:val="20"/>
          <w:szCs w:val="20"/>
        </w:rPr>
        <w:t xml:space="preserve">, P., Kaur, J., Kaur, S., </w:t>
      </w:r>
      <w:proofErr w:type="spellStart"/>
      <w:r w:rsidRPr="00F97117">
        <w:rPr>
          <w:rFonts w:ascii="Arial" w:hAnsi="Arial" w:cs="Arial"/>
          <w:sz w:val="20"/>
          <w:szCs w:val="20"/>
        </w:rPr>
        <w:t>Ercisli</w:t>
      </w:r>
      <w:proofErr w:type="spellEnd"/>
      <w:r w:rsidRPr="00F97117">
        <w:rPr>
          <w:rFonts w:ascii="Arial" w:hAnsi="Arial" w:cs="Arial"/>
          <w:sz w:val="20"/>
          <w:szCs w:val="20"/>
        </w:rPr>
        <w:t xml:space="preserve">, S., </w:t>
      </w:r>
      <w:proofErr w:type="spellStart"/>
      <w:r w:rsidRPr="00F97117">
        <w:rPr>
          <w:rFonts w:ascii="Arial" w:hAnsi="Arial" w:cs="Arial"/>
          <w:sz w:val="20"/>
          <w:szCs w:val="20"/>
        </w:rPr>
        <w:t>Assouguem</w:t>
      </w:r>
      <w:proofErr w:type="spellEnd"/>
      <w:r w:rsidRPr="00F97117">
        <w:rPr>
          <w:rFonts w:ascii="Arial" w:hAnsi="Arial" w:cs="Arial"/>
          <w:sz w:val="20"/>
          <w:szCs w:val="20"/>
        </w:rPr>
        <w:t xml:space="preserve">, A., Ullah, R., Alqahtani, A., &amp; Singh, J. (2024). The nutritional, phytochemical composition, and utilisation of different parts of maize: A comparative analysis. Open Agriculture, 9(1), 20220358. </w:t>
      </w:r>
      <w:hyperlink r:id="rId38" w:tgtFrame="_new" w:history="1">
        <w:r w:rsidRPr="00F97117">
          <w:rPr>
            <w:rStyle w:val="Hyperlink"/>
            <w:rFonts w:ascii="Arial" w:hAnsi="Arial" w:cs="Arial"/>
            <w:sz w:val="20"/>
            <w:szCs w:val="20"/>
          </w:rPr>
          <w:t>https://doi.org/10.1515/opag-2022-0358</w:t>
        </w:r>
      </w:hyperlink>
    </w:p>
    <w:p w14:paraId="5B837429"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lastRenderedPageBreak/>
        <w:t>Thirawut</w:t>
      </w:r>
      <w:proofErr w:type="spellEnd"/>
      <w:r w:rsidRPr="00F97117">
        <w:rPr>
          <w:rFonts w:ascii="Arial" w:hAnsi="Arial" w:cs="Arial"/>
          <w:sz w:val="20"/>
          <w:szCs w:val="20"/>
        </w:rPr>
        <w:t xml:space="preserve">, S., </w:t>
      </w:r>
      <w:proofErr w:type="spellStart"/>
      <w:r w:rsidRPr="00F97117">
        <w:rPr>
          <w:rFonts w:ascii="Arial" w:hAnsi="Arial" w:cs="Arial"/>
          <w:sz w:val="20"/>
          <w:szCs w:val="20"/>
        </w:rPr>
        <w:t>Sutjaritthammajariyangkun</w:t>
      </w:r>
      <w:proofErr w:type="spellEnd"/>
      <w:r w:rsidRPr="00F97117">
        <w:rPr>
          <w:rFonts w:ascii="Arial" w:hAnsi="Arial" w:cs="Arial"/>
          <w:sz w:val="20"/>
          <w:szCs w:val="20"/>
        </w:rPr>
        <w:t xml:space="preserve">, W., &amp; </w:t>
      </w:r>
      <w:proofErr w:type="spellStart"/>
      <w:r w:rsidRPr="00F97117">
        <w:rPr>
          <w:rFonts w:ascii="Arial" w:hAnsi="Arial" w:cs="Arial"/>
          <w:sz w:val="20"/>
          <w:szCs w:val="20"/>
        </w:rPr>
        <w:t>Rukkasikorn</w:t>
      </w:r>
      <w:proofErr w:type="spellEnd"/>
      <w:r w:rsidRPr="00F97117">
        <w:rPr>
          <w:rFonts w:ascii="Arial" w:hAnsi="Arial" w:cs="Arial"/>
          <w:sz w:val="20"/>
          <w:szCs w:val="20"/>
        </w:rPr>
        <w:t xml:space="preserve">, A. (2023). Pesticide susceptibility monitoring of fall armyworms. CABI Agriculture and Bioscience, 4, 19. </w:t>
      </w:r>
      <w:hyperlink r:id="rId39" w:tgtFrame="_new" w:history="1">
        <w:r w:rsidRPr="00F97117">
          <w:rPr>
            <w:rStyle w:val="Hyperlink"/>
            <w:rFonts w:ascii="Arial" w:hAnsi="Arial" w:cs="Arial"/>
            <w:sz w:val="20"/>
            <w:szCs w:val="20"/>
          </w:rPr>
          <w:t>https://doi.org/10.1186/s43170-023-00160-8</w:t>
        </w:r>
      </w:hyperlink>
    </w:p>
    <w:p w14:paraId="5D0C35D7"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Togola, A., Beyene, Y., Bocco, R., Tepa-Yotto, G., Gowda, M., Too, A., &amp; </w:t>
      </w:r>
      <w:proofErr w:type="spellStart"/>
      <w:r w:rsidRPr="00F97117">
        <w:rPr>
          <w:rFonts w:ascii="Arial" w:hAnsi="Arial" w:cs="Arial"/>
          <w:sz w:val="20"/>
          <w:szCs w:val="20"/>
        </w:rPr>
        <w:t>Boddupalli</w:t>
      </w:r>
      <w:proofErr w:type="spellEnd"/>
      <w:r w:rsidRPr="00F97117">
        <w:rPr>
          <w:rFonts w:ascii="Arial" w:hAnsi="Arial" w:cs="Arial"/>
          <w:sz w:val="20"/>
          <w:szCs w:val="20"/>
        </w:rPr>
        <w:t>, P. (2025). Fall armyworm (</w:t>
      </w:r>
      <w:r w:rsidRPr="00F64B1D">
        <w:rPr>
          <w:rFonts w:ascii="Arial" w:hAnsi="Arial" w:cs="Arial"/>
          <w:i/>
          <w:iCs/>
          <w:sz w:val="20"/>
          <w:szCs w:val="20"/>
        </w:rPr>
        <w:t>Spodoptera frugiperda</w:t>
      </w:r>
      <w:r w:rsidRPr="00F97117">
        <w:rPr>
          <w:rFonts w:ascii="Arial" w:hAnsi="Arial" w:cs="Arial"/>
          <w:sz w:val="20"/>
          <w:szCs w:val="20"/>
        </w:rPr>
        <w:t>) in Africa: insights into biology, ecology and impact on staple crops, food systems and management approaches. Frontiers in Agronomy, 7, 1538198. https://doi.org/10.3389/fagro.2025.1538198</w:t>
      </w:r>
    </w:p>
    <w:p w14:paraId="387A56FE"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Tyagi, A., Tamang, L., &amp; Vishwakarma, G. (2024). Biocontrol agents as sustainable approach. </w:t>
      </w:r>
      <w:proofErr w:type="spellStart"/>
      <w:r w:rsidRPr="00F97117">
        <w:rPr>
          <w:rFonts w:ascii="Arial" w:hAnsi="Arial" w:cs="Arial"/>
          <w:sz w:val="20"/>
          <w:szCs w:val="20"/>
        </w:rPr>
        <w:t>Horticulturae</w:t>
      </w:r>
      <w:proofErr w:type="spellEnd"/>
      <w:r w:rsidRPr="00F97117">
        <w:rPr>
          <w:rFonts w:ascii="Arial" w:hAnsi="Arial" w:cs="Arial"/>
          <w:sz w:val="20"/>
          <w:szCs w:val="20"/>
        </w:rPr>
        <w:t xml:space="preserve">, 10(8), 805. </w:t>
      </w:r>
      <w:hyperlink r:id="rId40" w:tgtFrame="_new" w:history="1">
        <w:r w:rsidRPr="00F97117">
          <w:rPr>
            <w:rStyle w:val="Hyperlink"/>
            <w:rFonts w:ascii="Arial" w:hAnsi="Arial" w:cs="Arial"/>
            <w:sz w:val="20"/>
            <w:szCs w:val="20"/>
          </w:rPr>
          <w:t>https://doi.org/10.3390/horticulturae10080805</w:t>
        </w:r>
      </w:hyperlink>
    </w:p>
    <w:p w14:paraId="4868189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Verma, M. L., Kumar, A., &amp; </w:t>
      </w:r>
      <w:proofErr w:type="spellStart"/>
      <w:r w:rsidRPr="00F97117">
        <w:rPr>
          <w:rFonts w:ascii="Arial" w:hAnsi="Arial" w:cs="Arial"/>
          <w:sz w:val="20"/>
          <w:szCs w:val="20"/>
        </w:rPr>
        <w:t>Lichtfouse</w:t>
      </w:r>
      <w:proofErr w:type="spellEnd"/>
      <w:r w:rsidRPr="00F97117">
        <w:rPr>
          <w:rFonts w:ascii="Arial" w:hAnsi="Arial" w:cs="Arial"/>
          <w:sz w:val="20"/>
          <w:szCs w:val="20"/>
        </w:rPr>
        <w:t xml:space="preserve">, E. (2024). Microbial production of biopesticides. Sustainability, 16(17), 7496. </w:t>
      </w:r>
      <w:hyperlink r:id="rId41" w:tgtFrame="_new" w:history="1">
        <w:r w:rsidRPr="00F97117">
          <w:rPr>
            <w:rStyle w:val="Hyperlink"/>
            <w:rFonts w:ascii="Arial" w:hAnsi="Arial" w:cs="Arial"/>
            <w:sz w:val="20"/>
            <w:szCs w:val="20"/>
          </w:rPr>
          <w:t>https://doi.org/10.3390/su16177496</w:t>
        </w:r>
      </w:hyperlink>
    </w:p>
    <w:p w14:paraId="5C84ACF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Weisburg, W. G., Barns, S. M., Pelletier, D. A., &amp; Lane, D. J. (1991). 16S ribosomal DNA amplification. Journal of Bacteriology, 173(2), 697-703. </w:t>
      </w:r>
      <w:hyperlink r:id="rId42" w:tgtFrame="_new" w:history="1">
        <w:r w:rsidRPr="00F97117">
          <w:rPr>
            <w:rStyle w:val="Hyperlink"/>
            <w:rFonts w:ascii="Arial" w:hAnsi="Arial" w:cs="Arial"/>
            <w:sz w:val="20"/>
            <w:szCs w:val="20"/>
          </w:rPr>
          <w:t>https://doi.org/10.1128/jb.173.2.697-703.1991</w:t>
        </w:r>
      </w:hyperlink>
    </w:p>
    <w:p w14:paraId="68ECD546"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Xia, M., Munir, S., &amp; Wu, Y. (2024). </w:t>
      </w:r>
      <w:proofErr w:type="spellStart"/>
      <w:r w:rsidRPr="00F97117">
        <w:rPr>
          <w:rFonts w:ascii="Arial" w:hAnsi="Arial" w:cs="Arial"/>
          <w:sz w:val="20"/>
          <w:szCs w:val="20"/>
        </w:rPr>
        <w:t>Surfactins</w:t>
      </w:r>
      <w:proofErr w:type="spellEnd"/>
      <w:r w:rsidRPr="00F97117">
        <w:rPr>
          <w:rFonts w:ascii="Arial" w:hAnsi="Arial" w:cs="Arial"/>
          <w:sz w:val="20"/>
          <w:szCs w:val="20"/>
        </w:rPr>
        <w:t xml:space="preserve"> from </w:t>
      </w:r>
      <w:r w:rsidRPr="00F64B1D">
        <w:rPr>
          <w:rFonts w:ascii="Arial" w:hAnsi="Arial" w:cs="Arial"/>
          <w:i/>
          <w:iCs/>
          <w:sz w:val="20"/>
          <w:szCs w:val="20"/>
        </w:rPr>
        <w:t>Bacillus subtilis</w:t>
      </w:r>
      <w:r w:rsidRPr="00F97117">
        <w:rPr>
          <w:rFonts w:ascii="Arial" w:hAnsi="Arial" w:cs="Arial"/>
          <w:sz w:val="20"/>
          <w:szCs w:val="20"/>
        </w:rPr>
        <w:t xml:space="preserve">. Pest Management Science, 80(2), 333-340. </w:t>
      </w:r>
      <w:hyperlink r:id="rId43" w:tgtFrame="_new" w:history="1">
        <w:r w:rsidRPr="00F97117">
          <w:rPr>
            <w:rStyle w:val="Hyperlink"/>
            <w:rFonts w:ascii="Arial" w:hAnsi="Arial" w:cs="Arial"/>
            <w:sz w:val="20"/>
            <w:szCs w:val="20"/>
          </w:rPr>
          <w:t>https://doi.org/10.1002/ps.7759</w:t>
        </w:r>
      </w:hyperlink>
    </w:p>
    <w:p w14:paraId="60BED23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Yan, X. R., Wang, Z. Y., Feng, S. Q., Zhao, Z. H., &amp; Li, Z. H. (2022). Impact of temperature change on fall armyworm. Insects, 13(11), 981. </w:t>
      </w:r>
      <w:hyperlink r:id="rId44" w:tgtFrame="_new" w:history="1">
        <w:r w:rsidRPr="00F97117">
          <w:rPr>
            <w:rStyle w:val="Hyperlink"/>
            <w:rFonts w:ascii="Arial" w:hAnsi="Arial" w:cs="Arial"/>
            <w:sz w:val="20"/>
            <w:szCs w:val="20"/>
          </w:rPr>
          <w:t>https://doi.org/10.3390/insects13110981</w:t>
        </w:r>
      </w:hyperlink>
    </w:p>
    <w:p w14:paraId="139293F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Yao, X., </w:t>
      </w:r>
      <w:proofErr w:type="spellStart"/>
      <w:r w:rsidRPr="00F97117">
        <w:rPr>
          <w:rFonts w:ascii="Arial" w:hAnsi="Arial" w:cs="Arial"/>
          <w:sz w:val="20"/>
          <w:szCs w:val="20"/>
        </w:rPr>
        <w:t>Kaixuan</w:t>
      </w:r>
      <w:proofErr w:type="spellEnd"/>
      <w:r w:rsidRPr="00F97117">
        <w:rPr>
          <w:rFonts w:ascii="Arial" w:hAnsi="Arial" w:cs="Arial"/>
          <w:sz w:val="20"/>
          <w:szCs w:val="20"/>
        </w:rPr>
        <w:t xml:space="preserve">, Z., </w:t>
      </w:r>
      <w:proofErr w:type="spellStart"/>
      <w:r w:rsidRPr="00F97117">
        <w:rPr>
          <w:rFonts w:ascii="Arial" w:hAnsi="Arial" w:cs="Arial"/>
          <w:sz w:val="20"/>
          <w:szCs w:val="20"/>
        </w:rPr>
        <w:t>Mengyu</w:t>
      </w:r>
      <w:proofErr w:type="spellEnd"/>
      <w:r w:rsidRPr="00F97117">
        <w:rPr>
          <w:rFonts w:ascii="Arial" w:hAnsi="Arial" w:cs="Arial"/>
          <w:sz w:val="20"/>
          <w:szCs w:val="20"/>
        </w:rPr>
        <w:t xml:space="preserve">, Z., &amp; Jie, C. (2023). </w:t>
      </w:r>
      <w:r w:rsidRPr="00F64B1D">
        <w:rPr>
          <w:rFonts w:ascii="Arial" w:hAnsi="Arial" w:cs="Arial"/>
          <w:i/>
          <w:iCs/>
          <w:sz w:val="20"/>
          <w:szCs w:val="20"/>
        </w:rPr>
        <w:t>Trichoderma</w:t>
      </w:r>
      <w:r w:rsidRPr="00F97117">
        <w:rPr>
          <w:rFonts w:ascii="Arial" w:hAnsi="Arial" w:cs="Arial"/>
          <w:sz w:val="20"/>
          <w:szCs w:val="20"/>
        </w:rPr>
        <w:t xml:space="preserve"> and its role in biological control. Frontiers in Microbiology, 14, 1160551. https://doi.org/10.3389/fmicb.2023.1160551</w:t>
      </w:r>
    </w:p>
    <w:p w14:paraId="79444A37" w14:textId="77777777" w:rsidR="003B1316" w:rsidRDefault="003B1316" w:rsidP="00D20127">
      <w:pPr>
        <w:pStyle w:val="NormalWeb"/>
        <w:jc w:val="both"/>
        <w:rPr>
          <w:rFonts w:ascii="Arial" w:hAnsi="Arial" w:cs="Arial"/>
          <w:sz w:val="20"/>
          <w:szCs w:val="20"/>
        </w:rPr>
      </w:pPr>
      <w:proofErr w:type="spellStart"/>
      <w:r w:rsidRPr="00F97117">
        <w:rPr>
          <w:rFonts w:ascii="Arial" w:hAnsi="Arial" w:cs="Arial"/>
          <w:sz w:val="20"/>
          <w:szCs w:val="20"/>
        </w:rPr>
        <w:t>Zanzana</w:t>
      </w:r>
      <w:proofErr w:type="spellEnd"/>
      <w:r w:rsidRPr="00F97117">
        <w:rPr>
          <w:rFonts w:ascii="Arial" w:hAnsi="Arial" w:cs="Arial"/>
          <w:sz w:val="20"/>
          <w:szCs w:val="20"/>
        </w:rPr>
        <w:t xml:space="preserve">, K., Dannon, E. A., &amp; </w:t>
      </w:r>
      <w:proofErr w:type="spellStart"/>
      <w:r w:rsidRPr="00F97117">
        <w:rPr>
          <w:rFonts w:ascii="Arial" w:hAnsi="Arial" w:cs="Arial"/>
          <w:sz w:val="20"/>
          <w:szCs w:val="20"/>
        </w:rPr>
        <w:t>Sinzogan</w:t>
      </w:r>
      <w:proofErr w:type="spellEnd"/>
      <w:r w:rsidRPr="00F97117">
        <w:rPr>
          <w:rFonts w:ascii="Arial" w:hAnsi="Arial" w:cs="Arial"/>
          <w:sz w:val="20"/>
          <w:szCs w:val="20"/>
        </w:rPr>
        <w:t xml:space="preserve">, A. A. (2024). Fall armyworm management in a changing climate. Egyptian Journal of Biological Pest Control, 34, 54. </w:t>
      </w:r>
      <w:hyperlink r:id="rId45" w:tgtFrame="_new" w:history="1">
        <w:r w:rsidRPr="00F97117">
          <w:rPr>
            <w:rStyle w:val="Hyperlink"/>
            <w:rFonts w:ascii="Arial" w:hAnsi="Arial" w:cs="Arial"/>
            <w:sz w:val="20"/>
            <w:szCs w:val="20"/>
          </w:rPr>
          <w:t>https://doi.org/10.1186/s41938-024-00814-3</w:t>
        </w:r>
      </w:hyperlink>
    </w:p>
    <w:p w14:paraId="4BE0231B" w14:textId="77777777" w:rsidR="00946770" w:rsidRDefault="00946770" w:rsidP="000D4FFD">
      <w:pPr>
        <w:pStyle w:val="NormalWeb"/>
        <w:jc w:val="both"/>
      </w:pPr>
    </w:p>
    <w:p w14:paraId="70AF97D9" w14:textId="77777777" w:rsidR="000D4FFD" w:rsidRDefault="000D4FFD" w:rsidP="004B4CB5">
      <w:pPr>
        <w:jc w:val="both"/>
        <w:rPr>
          <w:rFonts w:ascii="Times New Roman" w:hAnsi="Times New Roman" w:cs="Times New Roman"/>
          <w:b/>
          <w:bCs/>
          <w:sz w:val="24"/>
          <w:szCs w:val="24"/>
        </w:rPr>
      </w:pPr>
    </w:p>
    <w:p w14:paraId="2EF3C911" w14:textId="77777777" w:rsidR="0043720E" w:rsidRDefault="0043720E" w:rsidP="004B4CB5">
      <w:pPr>
        <w:jc w:val="both"/>
        <w:rPr>
          <w:rFonts w:ascii="Times New Roman" w:hAnsi="Times New Roman" w:cs="Times New Roman"/>
          <w:b/>
          <w:bCs/>
          <w:sz w:val="24"/>
          <w:szCs w:val="24"/>
        </w:rPr>
      </w:pPr>
    </w:p>
    <w:p w14:paraId="0016663A" w14:textId="77777777" w:rsidR="0043720E" w:rsidRDefault="0043720E" w:rsidP="004B4CB5">
      <w:pPr>
        <w:jc w:val="both"/>
        <w:rPr>
          <w:rFonts w:ascii="Times New Roman" w:hAnsi="Times New Roman" w:cs="Times New Roman"/>
          <w:b/>
          <w:bCs/>
          <w:sz w:val="24"/>
          <w:szCs w:val="24"/>
        </w:rPr>
      </w:pPr>
    </w:p>
    <w:p w14:paraId="534FDA48" w14:textId="77777777" w:rsidR="0043720E" w:rsidRDefault="0043720E" w:rsidP="004B4CB5">
      <w:pPr>
        <w:jc w:val="both"/>
        <w:rPr>
          <w:rFonts w:ascii="Times New Roman" w:hAnsi="Times New Roman" w:cs="Times New Roman"/>
          <w:b/>
          <w:bCs/>
          <w:sz w:val="24"/>
          <w:szCs w:val="24"/>
        </w:rPr>
      </w:pPr>
    </w:p>
    <w:p w14:paraId="7B45CAC9" w14:textId="77777777" w:rsidR="0043720E" w:rsidRDefault="0043720E" w:rsidP="004B4CB5">
      <w:pPr>
        <w:jc w:val="both"/>
        <w:rPr>
          <w:rFonts w:ascii="Times New Roman" w:hAnsi="Times New Roman" w:cs="Times New Roman"/>
          <w:b/>
          <w:bCs/>
          <w:sz w:val="24"/>
          <w:szCs w:val="24"/>
        </w:rPr>
      </w:pPr>
    </w:p>
    <w:p w14:paraId="64309182" w14:textId="77777777" w:rsidR="0043720E" w:rsidRDefault="0043720E" w:rsidP="004B4CB5">
      <w:pPr>
        <w:jc w:val="both"/>
        <w:rPr>
          <w:rFonts w:ascii="Times New Roman" w:hAnsi="Times New Roman" w:cs="Times New Roman"/>
          <w:b/>
          <w:bCs/>
          <w:sz w:val="24"/>
          <w:szCs w:val="24"/>
        </w:rPr>
      </w:pPr>
    </w:p>
    <w:p w14:paraId="77786DE3" w14:textId="77777777" w:rsidR="0043720E" w:rsidRDefault="0043720E" w:rsidP="004B4CB5">
      <w:pPr>
        <w:jc w:val="both"/>
        <w:rPr>
          <w:rFonts w:ascii="Times New Roman" w:hAnsi="Times New Roman" w:cs="Times New Roman"/>
          <w:b/>
          <w:bCs/>
          <w:sz w:val="24"/>
          <w:szCs w:val="24"/>
        </w:rPr>
      </w:pPr>
    </w:p>
    <w:p w14:paraId="7D38ADB1" w14:textId="77777777" w:rsidR="0043720E" w:rsidRDefault="0043720E" w:rsidP="004B4CB5">
      <w:pPr>
        <w:jc w:val="both"/>
        <w:rPr>
          <w:rFonts w:ascii="Times New Roman" w:hAnsi="Times New Roman" w:cs="Times New Roman"/>
          <w:b/>
          <w:bCs/>
          <w:sz w:val="24"/>
          <w:szCs w:val="24"/>
        </w:rPr>
      </w:pPr>
    </w:p>
    <w:p w14:paraId="122E4E79" w14:textId="77777777" w:rsidR="0043720E" w:rsidRDefault="0043720E" w:rsidP="004B4CB5">
      <w:pPr>
        <w:jc w:val="both"/>
        <w:rPr>
          <w:rFonts w:ascii="Times New Roman" w:hAnsi="Times New Roman" w:cs="Times New Roman"/>
          <w:b/>
          <w:bCs/>
          <w:sz w:val="24"/>
          <w:szCs w:val="24"/>
        </w:rPr>
      </w:pPr>
    </w:p>
    <w:p w14:paraId="32C03467" w14:textId="77777777" w:rsidR="0043720E" w:rsidRDefault="0043720E" w:rsidP="004B4CB5">
      <w:pPr>
        <w:jc w:val="both"/>
        <w:rPr>
          <w:rFonts w:ascii="Times New Roman" w:hAnsi="Times New Roman" w:cs="Times New Roman"/>
          <w:b/>
          <w:bCs/>
          <w:sz w:val="24"/>
          <w:szCs w:val="24"/>
        </w:rPr>
      </w:pPr>
    </w:p>
    <w:p w14:paraId="316C1B11" w14:textId="77777777" w:rsidR="0043720E" w:rsidRDefault="0043720E" w:rsidP="004B4CB5">
      <w:pPr>
        <w:jc w:val="both"/>
        <w:rPr>
          <w:rFonts w:ascii="Times New Roman" w:hAnsi="Times New Roman" w:cs="Times New Roman"/>
          <w:b/>
          <w:bCs/>
          <w:sz w:val="24"/>
          <w:szCs w:val="24"/>
        </w:rPr>
      </w:pPr>
    </w:p>
    <w:p w14:paraId="77949A6C" w14:textId="77777777" w:rsidR="0043720E" w:rsidRDefault="0043720E" w:rsidP="004B4CB5">
      <w:pPr>
        <w:jc w:val="both"/>
        <w:rPr>
          <w:rFonts w:ascii="Times New Roman" w:hAnsi="Times New Roman" w:cs="Times New Roman"/>
          <w:b/>
          <w:bCs/>
          <w:sz w:val="24"/>
          <w:szCs w:val="24"/>
        </w:rPr>
      </w:pPr>
    </w:p>
    <w:p w14:paraId="45E03C2A" w14:textId="77777777" w:rsidR="0043720E" w:rsidRDefault="0043720E" w:rsidP="004B4CB5">
      <w:pPr>
        <w:jc w:val="both"/>
        <w:rPr>
          <w:rFonts w:ascii="Times New Roman" w:hAnsi="Times New Roman" w:cs="Times New Roman"/>
          <w:b/>
          <w:bCs/>
          <w:sz w:val="24"/>
          <w:szCs w:val="24"/>
        </w:rPr>
      </w:pPr>
    </w:p>
    <w:p w14:paraId="7403D317" w14:textId="77777777" w:rsidR="0043720E" w:rsidRDefault="0043720E" w:rsidP="004B4CB5">
      <w:pPr>
        <w:jc w:val="both"/>
        <w:rPr>
          <w:rFonts w:ascii="Times New Roman" w:hAnsi="Times New Roman" w:cs="Times New Roman"/>
          <w:b/>
          <w:bCs/>
          <w:sz w:val="24"/>
          <w:szCs w:val="24"/>
        </w:rPr>
      </w:pPr>
    </w:p>
    <w:p w14:paraId="3628C7A2" w14:textId="77777777" w:rsidR="0043720E" w:rsidRDefault="0043720E" w:rsidP="004B4CB5">
      <w:pPr>
        <w:jc w:val="both"/>
        <w:rPr>
          <w:rFonts w:ascii="Times New Roman" w:hAnsi="Times New Roman" w:cs="Times New Roman"/>
          <w:b/>
          <w:bCs/>
          <w:sz w:val="24"/>
          <w:szCs w:val="24"/>
        </w:rPr>
      </w:pPr>
    </w:p>
    <w:p w14:paraId="130E6597" w14:textId="77777777" w:rsidR="0043720E" w:rsidRDefault="0043720E" w:rsidP="004B4CB5">
      <w:pPr>
        <w:jc w:val="both"/>
        <w:rPr>
          <w:rFonts w:ascii="Times New Roman" w:hAnsi="Times New Roman" w:cs="Times New Roman"/>
          <w:b/>
          <w:bCs/>
          <w:sz w:val="24"/>
          <w:szCs w:val="24"/>
        </w:rPr>
      </w:pPr>
    </w:p>
    <w:p w14:paraId="28003725" w14:textId="77777777" w:rsidR="0043720E" w:rsidRDefault="0043720E" w:rsidP="004B4CB5">
      <w:pPr>
        <w:jc w:val="both"/>
        <w:rPr>
          <w:rFonts w:ascii="Times New Roman" w:hAnsi="Times New Roman" w:cs="Times New Roman"/>
          <w:b/>
          <w:bCs/>
          <w:sz w:val="24"/>
          <w:szCs w:val="24"/>
        </w:rPr>
      </w:pPr>
    </w:p>
    <w:p w14:paraId="45931B71" w14:textId="77777777" w:rsidR="0043720E" w:rsidRDefault="0043720E" w:rsidP="004B4CB5">
      <w:pPr>
        <w:jc w:val="both"/>
        <w:rPr>
          <w:rFonts w:ascii="Times New Roman" w:hAnsi="Times New Roman" w:cs="Times New Roman"/>
          <w:b/>
          <w:bCs/>
          <w:sz w:val="24"/>
          <w:szCs w:val="24"/>
        </w:rPr>
      </w:pPr>
    </w:p>
    <w:p w14:paraId="3F344D9D" w14:textId="77777777" w:rsidR="0043720E" w:rsidRDefault="0043720E" w:rsidP="004B4CB5">
      <w:pPr>
        <w:jc w:val="both"/>
        <w:rPr>
          <w:rFonts w:ascii="Times New Roman" w:hAnsi="Times New Roman" w:cs="Times New Roman"/>
          <w:b/>
          <w:bCs/>
          <w:sz w:val="24"/>
          <w:szCs w:val="24"/>
        </w:rPr>
      </w:pPr>
    </w:p>
    <w:p w14:paraId="0F9CC062" w14:textId="77777777" w:rsidR="0043720E" w:rsidRDefault="0043720E" w:rsidP="004B4CB5">
      <w:pPr>
        <w:jc w:val="both"/>
        <w:rPr>
          <w:rFonts w:ascii="Times New Roman" w:hAnsi="Times New Roman" w:cs="Times New Roman"/>
          <w:b/>
          <w:bCs/>
          <w:sz w:val="24"/>
          <w:szCs w:val="24"/>
        </w:rPr>
      </w:pPr>
    </w:p>
    <w:p w14:paraId="426D5215" w14:textId="77777777" w:rsidR="0043720E" w:rsidRDefault="0043720E" w:rsidP="004B4CB5">
      <w:pPr>
        <w:jc w:val="both"/>
        <w:rPr>
          <w:rFonts w:ascii="Times New Roman" w:hAnsi="Times New Roman" w:cs="Times New Roman"/>
          <w:b/>
          <w:bCs/>
          <w:sz w:val="24"/>
          <w:szCs w:val="24"/>
        </w:rPr>
      </w:pPr>
    </w:p>
    <w:p w14:paraId="5A337D42" w14:textId="77777777" w:rsidR="0043720E" w:rsidRDefault="0043720E" w:rsidP="004B4CB5">
      <w:pPr>
        <w:jc w:val="both"/>
        <w:rPr>
          <w:rFonts w:ascii="Times New Roman" w:hAnsi="Times New Roman" w:cs="Times New Roman"/>
          <w:b/>
          <w:bCs/>
          <w:sz w:val="24"/>
          <w:szCs w:val="24"/>
        </w:rPr>
      </w:pPr>
    </w:p>
    <w:p w14:paraId="6BE52994" w14:textId="77777777" w:rsidR="0043720E" w:rsidRDefault="0043720E" w:rsidP="004B4CB5">
      <w:pPr>
        <w:jc w:val="both"/>
        <w:rPr>
          <w:rFonts w:ascii="Times New Roman" w:hAnsi="Times New Roman" w:cs="Times New Roman"/>
          <w:b/>
          <w:bCs/>
          <w:sz w:val="24"/>
          <w:szCs w:val="24"/>
        </w:rPr>
      </w:pPr>
    </w:p>
    <w:p w14:paraId="28FCB255" w14:textId="77777777" w:rsidR="0043720E" w:rsidRDefault="0043720E" w:rsidP="004B4CB5">
      <w:pPr>
        <w:jc w:val="both"/>
        <w:rPr>
          <w:rFonts w:ascii="Times New Roman" w:hAnsi="Times New Roman" w:cs="Times New Roman"/>
          <w:b/>
          <w:bCs/>
          <w:sz w:val="24"/>
          <w:szCs w:val="24"/>
        </w:rPr>
      </w:pPr>
    </w:p>
    <w:p w14:paraId="467EFE95" w14:textId="77777777" w:rsidR="0043720E" w:rsidRDefault="0043720E" w:rsidP="004B4CB5">
      <w:pPr>
        <w:jc w:val="both"/>
        <w:rPr>
          <w:rFonts w:ascii="Times New Roman" w:hAnsi="Times New Roman" w:cs="Times New Roman"/>
          <w:b/>
          <w:bCs/>
          <w:sz w:val="24"/>
          <w:szCs w:val="24"/>
        </w:rPr>
      </w:pPr>
    </w:p>
    <w:p w14:paraId="4E279F9E" w14:textId="77777777" w:rsidR="0043720E" w:rsidRDefault="0043720E" w:rsidP="004B4CB5">
      <w:pPr>
        <w:jc w:val="both"/>
        <w:rPr>
          <w:rFonts w:ascii="Times New Roman" w:hAnsi="Times New Roman" w:cs="Times New Roman"/>
          <w:b/>
          <w:bCs/>
          <w:sz w:val="24"/>
          <w:szCs w:val="24"/>
        </w:rPr>
      </w:pPr>
    </w:p>
    <w:p w14:paraId="1FD2EFA1" w14:textId="77777777" w:rsidR="0043720E" w:rsidRDefault="0043720E" w:rsidP="004B4CB5">
      <w:pPr>
        <w:jc w:val="both"/>
        <w:rPr>
          <w:rFonts w:ascii="Times New Roman" w:hAnsi="Times New Roman" w:cs="Times New Roman"/>
          <w:b/>
          <w:bCs/>
          <w:sz w:val="24"/>
          <w:szCs w:val="24"/>
        </w:rPr>
      </w:pPr>
    </w:p>
    <w:p w14:paraId="7B4AB17B" w14:textId="77777777" w:rsidR="0043720E" w:rsidRDefault="0043720E" w:rsidP="004B4CB5">
      <w:pPr>
        <w:jc w:val="both"/>
        <w:rPr>
          <w:rFonts w:ascii="Times New Roman" w:hAnsi="Times New Roman" w:cs="Times New Roman"/>
          <w:b/>
          <w:bCs/>
          <w:sz w:val="24"/>
          <w:szCs w:val="24"/>
        </w:rPr>
      </w:pPr>
    </w:p>
    <w:p w14:paraId="1E8264C5" w14:textId="77777777" w:rsidR="0043720E" w:rsidRDefault="0043720E" w:rsidP="004B4CB5">
      <w:pPr>
        <w:jc w:val="both"/>
        <w:rPr>
          <w:rFonts w:ascii="Times New Roman" w:hAnsi="Times New Roman" w:cs="Times New Roman"/>
          <w:b/>
          <w:bCs/>
          <w:sz w:val="24"/>
          <w:szCs w:val="24"/>
        </w:rPr>
      </w:pPr>
    </w:p>
    <w:p w14:paraId="14431753" w14:textId="77777777" w:rsidR="0043720E" w:rsidRDefault="0043720E" w:rsidP="004B4CB5">
      <w:pPr>
        <w:jc w:val="both"/>
        <w:rPr>
          <w:rFonts w:ascii="Times New Roman" w:hAnsi="Times New Roman" w:cs="Times New Roman"/>
          <w:b/>
          <w:bCs/>
          <w:sz w:val="24"/>
          <w:szCs w:val="24"/>
        </w:rPr>
      </w:pPr>
    </w:p>
    <w:p w14:paraId="47BEFC8F" w14:textId="77777777" w:rsidR="0043720E" w:rsidRDefault="0043720E" w:rsidP="004B4CB5">
      <w:pPr>
        <w:jc w:val="both"/>
        <w:rPr>
          <w:rFonts w:ascii="Times New Roman" w:hAnsi="Times New Roman" w:cs="Times New Roman"/>
          <w:b/>
          <w:bCs/>
          <w:sz w:val="24"/>
          <w:szCs w:val="24"/>
        </w:rPr>
      </w:pPr>
    </w:p>
    <w:p w14:paraId="6417D5D9" w14:textId="77777777" w:rsidR="0043720E" w:rsidRDefault="0043720E" w:rsidP="004B4CB5">
      <w:pPr>
        <w:jc w:val="both"/>
        <w:rPr>
          <w:rFonts w:ascii="Times New Roman" w:hAnsi="Times New Roman" w:cs="Times New Roman"/>
          <w:b/>
          <w:bCs/>
          <w:sz w:val="24"/>
          <w:szCs w:val="24"/>
        </w:rPr>
      </w:pPr>
    </w:p>
    <w:p w14:paraId="54E2893C" w14:textId="77777777" w:rsidR="0043720E" w:rsidRDefault="0043720E" w:rsidP="004B4CB5">
      <w:pPr>
        <w:jc w:val="both"/>
        <w:rPr>
          <w:rFonts w:ascii="Times New Roman" w:hAnsi="Times New Roman" w:cs="Times New Roman"/>
          <w:b/>
          <w:bCs/>
          <w:sz w:val="24"/>
          <w:szCs w:val="24"/>
        </w:rPr>
      </w:pPr>
    </w:p>
    <w:p w14:paraId="1CA4B7A7" w14:textId="77777777" w:rsidR="0043720E" w:rsidRDefault="0043720E" w:rsidP="0043720E">
      <w:pPr>
        <w:jc w:val="both"/>
        <w:rPr>
          <w:rFonts w:ascii="Times New Roman" w:hAnsi="Times New Roman" w:cs="Times New Roman"/>
          <w:b/>
          <w:bCs/>
          <w:sz w:val="24"/>
          <w:szCs w:val="24"/>
        </w:rPr>
        <w:sectPr w:rsidR="0043720E">
          <w:pgSz w:w="11906" w:h="16838"/>
          <w:pgMar w:top="1440" w:right="1440" w:bottom="1440" w:left="1440" w:header="708" w:footer="708" w:gutter="0"/>
          <w:cols w:space="708"/>
          <w:docGrid w:linePitch="360"/>
        </w:sectPr>
      </w:pPr>
    </w:p>
    <w:p w14:paraId="45E31F60" w14:textId="7AAA658E"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lastRenderedPageBreak/>
        <w:t xml:space="preserve">Table </w:t>
      </w:r>
      <w:r w:rsidR="00F116EE">
        <w:rPr>
          <w:rFonts w:ascii="Times New Roman" w:hAnsi="Times New Roman" w:cs="Times New Roman"/>
          <w:b/>
          <w:bCs/>
          <w:sz w:val="24"/>
          <w:szCs w:val="24"/>
          <w:lang w:val="en-US"/>
        </w:rPr>
        <w:t>2</w:t>
      </w:r>
      <w:r w:rsidRPr="0043720E">
        <w:rPr>
          <w:rFonts w:ascii="Times New Roman" w:hAnsi="Times New Roman" w:cs="Times New Roman"/>
          <w:b/>
          <w:bCs/>
          <w:sz w:val="24"/>
          <w:szCs w:val="24"/>
          <w:lang w:val="en-US"/>
        </w:rPr>
        <w:t>. Endophytic bacterial isolates collected from the stem portions of the plant</w:t>
      </w:r>
    </w:p>
    <w:p w14:paraId="35378748" w14:textId="77777777" w:rsidR="0043720E" w:rsidRPr="0043720E" w:rsidRDefault="0043720E" w:rsidP="0043720E">
      <w:pPr>
        <w:jc w:val="both"/>
        <w:rPr>
          <w:rFonts w:ascii="Times New Roman" w:hAnsi="Times New Roman" w:cs="Times New Roman"/>
          <w:b/>
          <w:bCs/>
          <w:sz w:val="24"/>
          <w:szCs w:val="24"/>
          <w:lang w:val="en-US"/>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275"/>
        <w:gridCol w:w="1772"/>
        <w:gridCol w:w="2199"/>
        <w:gridCol w:w="2127"/>
        <w:gridCol w:w="1985"/>
        <w:gridCol w:w="1986"/>
        <w:gridCol w:w="1983"/>
      </w:tblGrid>
      <w:tr w:rsidR="0043720E" w:rsidRPr="0043720E" w14:paraId="114747F5" w14:textId="77777777" w:rsidTr="00B07FEB">
        <w:trPr>
          <w:trHeight w:val="710"/>
        </w:trPr>
        <w:tc>
          <w:tcPr>
            <w:tcW w:w="848" w:type="dxa"/>
          </w:tcPr>
          <w:p w14:paraId="2E4DB418" w14:textId="77777777" w:rsidR="0043720E" w:rsidRPr="0043720E" w:rsidRDefault="0043720E" w:rsidP="0043720E">
            <w:pPr>
              <w:jc w:val="both"/>
              <w:rPr>
                <w:rFonts w:ascii="Times New Roman" w:hAnsi="Times New Roman" w:cs="Times New Roman"/>
                <w:b/>
                <w:bCs/>
                <w:sz w:val="24"/>
                <w:szCs w:val="24"/>
                <w:lang w:val="en-US"/>
              </w:rPr>
            </w:pPr>
            <w:proofErr w:type="spellStart"/>
            <w:proofErr w:type="gramStart"/>
            <w:r w:rsidRPr="0043720E">
              <w:rPr>
                <w:rFonts w:ascii="Times New Roman" w:hAnsi="Times New Roman" w:cs="Times New Roman"/>
                <w:b/>
                <w:bCs/>
                <w:sz w:val="24"/>
                <w:szCs w:val="24"/>
                <w:lang w:val="en-US"/>
              </w:rPr>
              <w:t>S.No</w:t>
            </w:r>
            <w:proofErr w:type="spellEnd"/>
            <w:proofErr w:type="gramEnd"/>
          </w:p>
        </w:tc>
        <w:tc>
          <w:tcPr>
            <w:tcW w:w="1275" w:type="dxa"/>
          </w:tcPr>
          <w:p w14:paraId="7602B58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Isolate code</w:t>
            </w:r>
          </w:p>
        </w:tc>
        <w:tc>
          <w:tcPr>
            <w:tcW w:w="1772" w:type="dxa"/>
          </w:tcPr>
          <w:p w14:paraId="60FA56A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Plant variety</w:t>
            </w:r>
          </w:p>
        </w:tc>
        <w:tc>
          <w:tcPr>
            <w:tcW w:w="2199" w:type="dxa"/>
          </w:tcPr>
          <w:p w14:paraId="7EDB2C7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Village</w:t>
            </w:r>
          </w:p>
        </w:tc>
        <w:tc>
          <w:tcPr>
            <w:tcW w:w="2127" w:type="dxa"/>
          </w:tcPr>
          <w:p w14:paraId="3944DAD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District</w:t>
            </w:r>
          </w:p>
        </w:tc>
        <w:tc>
          <w:tcPr>
            <w:tcW w:w="1985" w:type="dxa"/>
          </w:tcPr>
          <w:p w14:paraId="218C6A9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Latitude</w:t>
            </w:r>
          </w:p>
        </w:tc>
        <w:tc>
          <w:tcPr>
            <w:tcW w:w="1986" w:type="dxa"/>
          </w:tcPr>
          <w:p w14:paraId="22E2A9D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Longitude</w:t>
            </w:r>
          </w:p>
        </w:tc>
        <w:tc>
          <w:tcPr>
            <w:tcW w:w="1983" w:type="dxa"/>
          </w:tcPr>
          <w:p w14:paraId="6C9AFF7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Stage of the plant</w:t>
            </w:r>
          </w:p>
        </w:tc>
      </w:tr>
      <w:tr w:rsidR="0043720E" w:rsidRPr="0043720E" w14:paraId="6299067F" w14:textId="77777777" w:rsidTr="00B07FEB">
        <w:trPr>
          <w:trHeight w:val="359"/>
        </w:trPr>
        <w:tc>
          <w:tcPr>
            <w:tcW w:w="848" w:type="dxa"/>
          </w:tcPr>
          <w:p w14:paraId="76A03FA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w:t>
            </w:r>
          </w:p>
        </w:tc>
        <w:tc>
          <w:tcPr>
            <w:tcW w:w="1275" w:type="dxa"/>
          </w:tcPr>
          <w:p w14:paraId="7CB76FC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1</w:t>
            </w:r>
          </w:p>
        </w:tc>
        <w:tc>
          <w:tcPr>
            <w:tcW w:w="1772" w:type="dxa"/>
          </w:tcPr>
          <w:p w14:paraId="24479AB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DHM 182</w:t>
            </w:r>
          </w:p>
        </w:tc>
        <w:tc>
          <w:tcPr>
            <w:tcW w:w="2199" w:type="dxa"/>
          </w:tcPr>
          <w:p w14:paraId="6A07BA65"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Pochampad</w:t>
            </w:r>
            <w:proofErr w:type="spellEnd"/>
          </w:p>
        </w:tc>
        <w:tc>
          <w:tcPr>
            <w:tcW w:w="2127" w:type="dxa"/>
          </w:tcPr>
          <w:p w14:paraId="458692F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Nirmal</w:t>
            </w:r>
          </w:p>
        </w:tc>
        <w:tc>
          <w:tcPr>
            <w:tcW w:w="1985" w:type="dxa"/>
          </w:tcPr>
          <w:p w14:paraId="56C0617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18.9797°N</w:t>
            </w:r>
          </w:p>
        </w:tc>
        <w:tc>
          <w:tcPr>
            <w:tcW w:w="1986" w:type="dxa"/>
          </w:tcPr>
          <w:p w14:paraId="2D67453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78.3278°E</w:t>
            </w:r>
          </w:p>
        </w:tc>
        <w:tc>
          <w:tcPr>
            <w:tcW w:w="1983" w:type="dxa"/>
          </w:tcPr>
          <w:p w14:paraId="6DD6C03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V10-V11</w:t>
            </w:r>
          </w:p>
        </w:tc>
      </w:tr>
      <w:tr w:rsidR="0043720E" w:rsidRPr="0043720E" w14:paraId="6D0ACDFD" w14:textId="77777777" w:rsidTr="00B07FEB">
        <w:trPr>
          <w:trHeight w:val="350"/>
        </w:trPr>
        <w:tc>
          <w:tcPr>
            <w:tcW w:w="848" w:type="dxa"/>
          </w:tcPr>
          <w:p w14:paraId="239B348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2</w:t>
            </w:r>
          </w:p>
        </w:tc>
        <w:tc>
          <w:tcPr>
            <w:tcW w:w="1275" w:type="dxa"/>
          </w:tcPr>
          <w:p w14:paraId="143B7C6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2</w:t>
            </w:r>
          </w:p>
        </w:tc>
        <w:tc>
          <w:tcPr>
            <w:tcW w:w="1772" w:type="dxa"/>
          </w:tcPr>
          <w:p w14:paraId="491F84C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DHM 144</w:t>
            </w:r>
          </w:p>
        </w:tc>
        <w:tc>
          <w:tcPr>
            <w:tcW w:w="2199" w:type="dxa"/>
          </w:tcPr>
          <w:p w14:paraId="5936BE6F"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Nagulamallial</w:t>
            </w:r>
            <w:proofErr w:type="spellEnd"/>
          </w:p>
        </w:tc>
        <w:tc>
          <w:tcPr>
            <w:tcW w:w="2127" w:type="dxa"/>
          </w:tcPr>
          <w:p w14:paraId="24347BD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Karimnagar</w:t>
            </w:r>
          </w:p>
        </w:tc>
        <w:tc>
          <w:tcPr>
            <w:tcW w:w="1985" w:type="dxa"/>
          </w:tcPr>
          <w:p w14:paraId="0C80E1C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18.4781°N</w:t>
            </w:r>
          </w:p>
        </w:tc>
        <w:tc>
          <w:tcPr>
            <w:tcW w:w="1986" w:type="dxa"/>
          </w:tcPr>
          <w:p w14:paraId="4763030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79.1481°E</w:t>
            </w:r>
          </w:p>
        </w:tc>
        <w:tc>
          <w:tcPr>
            <w:tcW w:w="1983" w:type="dxa"/>
          </w:tcPr>
          <w:p w14:paraId="3C78456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V8-V9</w:t>
            </w:r>
          </w:p>
        </w:tc>
      </w:tr>
      <w:tr w:rsidR="0043720E" w:rsidRPr="0043720E" w14:paraId="4D6EB6C8" w14:textId="77777777" w:rsidTr="00B07FEB">
        <w:trPr>
          <w:trHeight w:val="347"/>
        </w:trPr>
        <w:tc>
          <w:tcPr>
            <w:tcW w:w="848" w:type="dxa"/>
          </w:tcPr>
          <w:p w14:paraId="528D59B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3</w:t>
            </w:r>
          </w:p>
        </w:tc>
        <w:tc>
          <w:tcPr>
            <w:tcW w:w="1275" w:type="dxa"/>
          </w:tcPr>
          <w:p w14:paraId="13B8D18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3</w:t>
            </w:r>
          </w:p>
        </w:tc>
        <w:tc>
          <w:tcPr>
            <w:tcW w:w="1772" w:type="dxa"/>
          </w:tcPr>
          <w:p w14:paraId="344AD30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PFSR 104</w:t>
            </w:r>
          </w:p>
        </w:tc>
        <w:tc>
          <w:tcPr>
            <w:tcW w:w="2199" w:type="dxa"/>
          </w:tcPr>
          <w:p w14:paraId="358F7D9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MRC, ARI</w:t>
            </w:r>
          </w:p>
        </w:tc>
        <w:tc>
          <w:tcPr>
            <w:tcW w:w="2127" w:type="dxa"/>
          </w:tcPr>
          <w:p w14:paraId="5CD25BA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Hyderabad</w:t>
            </w:r>
          </w:p>
        </w:tc>
        <w:tc>
          <w:tcPr>
            <w:tcW w:w="1985" w:type="dxa"/>
          </w:tcPr>
          <w:p w14:paraId="0D13064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17.3101°N</w:t>
            </w:r>
          </w:p>
        </w:tc>
        <w:tc>
          <w:tcPr>
            <w:tcW w:w="1986" w:type="dxa"/>
          </w:tcPr>
          <w:p w14:paraId="2DE4F89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78.3949°E</w:t>
            </w:r>
          </w:p>
        </w:tc>
        <w:tc>
          <w:tcPr>
            <w:tcW w:w="1983" w:type="dxa"/>
          </w:tcPr>
          <w:p w14:paraId="442152B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V7-V9</w:t>
            </w:r>
          </w:p>
        </w:tc>
      </w:tr>
      <w:tr w:rsidR="0043720E" w:rsidRPr="0043720E" w14:paraId="4258D0CD" w14:textId="77777777" w:rsidTr="00B07FEB">
        <w:trPr>
          <w:trHeight w:val="347"/>
        </w:trPr>
        <w:tc>
          <w:tcPr>
            <w:tcW w:w="848" w:type="dxa"/>
          </w:tcPr>
          <w:p w14:paraId="2B66E60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4</w:t>
            </w:r>
          </w:p>
        </w:tc>
        <w:tc>
          <w:tcPr>
            <w:tcW w:w="1275" w:type="dxa"/>
          </w:tcPr>
          <w:p w14:paraId="25929BE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4</w:t>
            </w:r>
          </w:p>
        </w:tc>
        <w:tc>
          <w:tcPr>
            <w:tcW w:w="1772" w:type="dxa"/>
          </w:tcPr>
          <w:p w14:paraId="04743AE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Pioneer 3567</w:t>
            </w:r>
          </w:p>
        </w:tc>
        <w:tc>
          <w:tcPr>
            <w:tcW w:w="2199" w:type="dxa"/>
          </w:tcPr>
          <w:p w14:paraId="7A0449B1"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Kallur</w:t>
            </w:r>
            <w:proofErr w:type="spellEnd"/>
          </w:p>
        </w:tc>
        <w:tc>
          <w:tcPr>
            <w:tcW w:w="2127" w:type="dxa"/>
          </w:tcPr>
          <w:p w14:paraId="118BF7B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Nirmal</w:t>
            </w:r>
          </w:p>
        </w:tc>
        <w:tc>
          <w:tcPr>
            <w:tcW w:w="1985" w:type="dxa"/>
          </w:tcPr>
          <w:p w14:paraId="41AB47C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19.0981°N</w:t>
            </w:r>
          </w:p>
        </w:tc>
        <w:tc>
          <w:tcPr>
            <w:tcW w:w="1986" w:type="dxa"/>
          </w:tcPr>
          <w:p w14:paraId="62EC7EE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78.3356°E</w:t>
            </w:r>
          </w:p>
        </w:tc>
        <w:tc>
          <w:tcPr>
            <w:tcW w:w="1983" w:type="dxa"/>
          </w:tcPr>
          <w:p w14:paraId="25CCF17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V4-V6</w:t>
            </w:r>
          </w:p>
        </w:tc>
      </w:tr>
      <w:tr w:rsidR="0043720E" w:rsidRPr="0043720E" w14:paraId="29BD256F" w14:textId="77777777" w:rsidTr="00B07FEB">
        <w:trPr>
          <w:trHeight w:val="347"/>
        </w:trPr>
        <w:tc>
          <w:tcPr>
            <w:tcW w:w="848" w:type="dxa"/>
          </w:tcPr>
          <w:p w14:paraId="644F2F7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5</w:t>
            </w:r>
          </w:p>
        </w:tc>
        <w:tc>
          <w:tcPr>
            <w:tcW w:w="1275" w:type="dxa"/>
          </w:tcPr>
          <w:p w14:paraId="4CDE11F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5</w:t>
            </w:r>
          </w:p>
        </w:tc>
        <w:tc>
          <w:tcPr>
            <w:tcW w:w="1772" w:type="dxa"/>
          </w:tcPr>
          <w:p w14:paraId="7E645A7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BML 106</w:t>
            </w:r>
          </w:p>
        </w:tc>
        <w:tc>
          <w:tcPr>
            <w:tcW w:w="2199" w:type="dxa"/>
          </w:tcPr>
          <w:p w14:paraId="6AEE8AD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MRC, ARI</w:t>
            </w:r>
          </w:p>
        </w:tc>
        <w:tc>
          <w:tcPr>
            <w:tcW w:w="2127" w:type="dxa"/>
          </w:tcPr>
          <w:p w14:paraId="5C5192F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Hyderabad</w:t>
            </w:r>
          </w:p>
        </w:tc>
        <w:tc>
          <w:tcPr>
            <w:tcW w:w="1985" w:type="dxa"/>
          </w:tcPr>
          <w:p w14:paraId="407F78A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17.3101°N</w:t>
            </w:r>
          </w:p>
        </w:tc>
        <w:tc>
          <w:tcPr>
            <w:tcW w:w="1986" w:type="dxa"/>
          </w:tcPr>
          <w:p w14:paraId="75455D1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78.3949°E</w:t>
            </w:r>
          </w:p>
        </w:tc>
        <w:tc>
          <w:tcPr>
            <w:tcW w:w="1983" w:type="dxa"/>
          </w:tcPr>
          <w:p w14:paraId="0111FA5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V6-V8</w:t>
            </w:r>
          </w:p>
        </w:tc>
      </w:tr>
      <w:tr w:rsidR="0043720E" w:rsidRPr="0043720E" w14:paraId="259F9433" w14:textId="77777777" w:rsidTr="00B07FEB">
        <w:trPr>
          <w:trHeight w:val="347"/>
        </w:trPr>
        <w:tc>
          <w:tcPr>
            <w:tcW w:w="848" w:type="dxa"/>
          </w:tcPr>
          <w:p w14:paraId="5851E0A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6</w:t>
            </w:r>
          </w:p>
        </w:tc>
        <w:tc>
          <w:tcPr>
            <w:tcW w:w="1275" w:type="dxa"/>
          </w:tcPr>
          <w:p w14:paraId="5824370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6</w:t>
            </w:r>
          </w:p>
        </w:tc>
        <w:tc>
          <w:tcPr>
            <w:tcW w:w="1772" w:type="dxa"/>
          </w:tcPr>
          <w:p w14:paraId="005FED4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DKC 817</w:t>
            </w:r>
          </w:p>
        </w:tc>
        <w:tc>
          <w:tcPr>
            <w:tcW w:w="2199" w:type="dxa"/>
          </w:tcPr>
          <w:p w14:paraId="7B1F49B5"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Madhira</w:t>
            </w:r>
            <w:proofErr w:type="spellEnd"/>
          </w:p>
        </w:tc>
        <w:tc>
          <w:tcPr>
            <w:tcW w:w="2127" w:type="dxa"/>
          </w:tcPr>
          <w:p w14:paraId="7A5BA16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Khammam</w:t>
            </w:r>
          </w:p>
        </w:tc>
        <w:tc>
          <w:tcPr>
            <w:tcW w:w="1985" w:type="dxa"/>
          </w:tcPr>
          <w:p w14:paraId="284D112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16.9231°N</w:t>
            </w:r>
          </w:p>
        </w:tc>
        <w:tc>
          <w:tcPr>
            <w:tcW w:w="1986" w:type="dxa"/>
          </w:tcPr>
          <w:p w14:paraId="2F97689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80.3625°E</w:t>
            </w:r>
          </w:p>
        </w:tc>
        <w:tc>
          <w:tcPr>
            <w:tcW w:w="1983" w:type="dxa"/>
          </w:tcPr>
          <w:p w14:paraId="5E956DB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V10-V11</w:t>
            </w:r>
          </w:p>
        </w:tc>
      </w:tr>
      <w:tr w:rsidR="0043720E" w:rsidRPr="0043720E" w14:paraId="5709D361" w14:textId="77777777" w:rsidTr="00B07FEB">
        <w:trPr>
          <w:trHeight w:val="347"/>
        </w:trPr>
        <w:tc>
          <w:tcPr>
            <w:tcW w:w="848" w:type="dxa"/>
          </w:tcPr>
          <w:p w14:paraId="7605264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w:t>
            </w:r>
          </w:p>
        </w:tc>
        <w:tc>
          <w:tcPr>
            <w:tcW w:w="1275" w:type="dxa"/>
          </w:tcPr>
          <w:p w14:paraId="3E99F25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7</w:t>
            </w:r>
          </w:p>
        </w:tc>
        <w:tc>
          <w:tcPr>
            <w:tcW w:w="1772" w:type="dxa"/>
          </w:tcPr>
          <w:p w14:paraId="32F1F1C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Advanta 731</w:t>
            </w:r>
          </w:p>
        </w:tc>
        <w:tc>
          <w:tcPr>
            <w:tcW w:w="2199" w:type="dxa"/>
          </w:tcPr>
          <w:p w14:paraId="06D45B46"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Pochampad</w:t>
            </w:r>
            <w:proofErr w:type="spellEnd"/>
          </w:p>
        </w:tc>
        <w:tc>
          <w:tcPr>
            <w:tcW w:w="2127" w:type="dxa"/>
          </w:tcPr>
          <w:p w14:paraId="1BBE3DF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Nirmal</w:t>
            </w:r>
          </w:p>
        </w:tc>
        <w:tc>
          <w:tcPr>
            <w:tcW w:w="1985" w:type="dxa"/>
          </w:tcPr>
          <w:p w14:paraId="6C5BBC5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18.9797°N</w:t>
            </w:r>
          </w:p>
        </w:tc>
        <w:tc>
          <w:tcPr>
            <w:tcW w:w="1986" w:type="dxa"/>
          </w:tcPr>
          <w:p w14:paraId="165440E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78.3278°E</w:t>
            </w:r>
          </w:p>
        </w:tc>
        <w:tc>
          <w:tcPr>
            <w:tcW w:w="1983" w:type="dxa"/>
          </w:tcPr>
          <w:p w14:paraId="394995E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V11-V12</w:t>
            </w:r>
          </w:p>
        </w:tc>
      </w:tr>
      <w:tr w:rsidR="0043720E" w:rsidRPr="0043720E" w14:paraId="4613DB86" w14:textId="77777777" w:rsidTr="00B07FEB">
        <w:trPr>
          <w:trHeight w:val="347"/>
        </w:trPr>
        <w:tc>
          <w:tcPr>
            <w:tcW w:w="848" w:type="dxa"/>
          </w:tcPr>
          <w:p w14:paraId="2EFF1D1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12</w:t>
            </w:r>
          </w:p>
        </w:tc>
        <w:tc>
          <w:tcPr>
            <w:tcW w:w="1275" w:type="dxa"/>
          </w:tcPr>
          <w:p w14:paraId="0C0C921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12</w:t>
            </w:r>
          </w:p>
        </w:tc>
        <w:tc>
          <w:tcPr>
            <w:tcW w:w="1772" w:type="dxa"/>
          </w:tcPr>
          <w:p w14:paraId="594D4AC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DHM 206</w:t>
            </w:r>
          </w:p>
        </w:tc>
        <w:tc>
          <w:tcPr>
            <w:tcW w:w="2199" w:type="dxa"/>
          </w:tcPr>
          <w:p w14:paraId="053BA17F" w14:textId="77777777" w:rsidR="0043720E" w:rsidRPr="0043720E" w:rsidRDefault="0043720E" w:rsidP="0043720E">
            <w:pPr>
              <w:jc w:val="both"/>
              <w:rPr>
                <w:rFonts w:ascii="Times New Roman" w:hAnsi="Times New Roman" w:cs="Times New Roman"/>
                <w:b/>
                <w:bCs/>
                <w:sz w:val="24"/>
                <w:szCs w:val="24"/>
                <w:lang w:val="en-US"/>
              </w:rPr>
            </w:pPr>
            <w:proofErr w:type="spellStart"/>
            <w:r w:rsidRPr="0043720E">
              <w:rPr>
                <w:rFonts w:ascii="Times New Roman" w:hAnsi="Times New Roman" w:cs="Times New Roman"/>
                <w:b/>
                <w:bCs/>
                <w:sz w:val="24"/>
                <w:szCs w:val="24"/>
                <w:lang w:val="en-US"/>
              </w:rPr>
              <w:t>Lolam</w:t>
            </w:r>
            <w:proofErr w:type="spellEnd"/>
          </w:p>
        </w:tc>
        <w:tc>
          <w:tcPr>
            <w:tcW w:w="2127" w:type="dxa"/>
          </w:tcPr>
          <w:p w14:paraId="5BAF44C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Nirmal</w:t>
            </w:r>
          </w:p>
        </w:tc>
        <w:tc>
          <w:tcPr>
            <w:tcW w:w="1985" w:type="dxa"/>
          </w:tcPr>
          <w:p w14:paraId="6DED5BC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19.1014°N</w:t>
            </w:r>
          </w:p>
        </w:tc>
        <w:tc>
          <w:tcPr>
            <w:tcW w:w="1986" w:type="dxa"/>
          </w:tcPr>
          <w:p w14:paraId="45E5EB6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78.2539°E</w:t>
            </w:r>
          </w:p>
        </w:tc>
        <w:tc>
          <w:tcPr>
            <w:tcW w:w="1983" w:type="dxa"/>
          </w:tcPr>
          <w:p w14:paraId="2085BF9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V6-V8</w:t>
            </w:r>
          </w:p>
        </w:tc>
      </w:tr>
    </w:tbl>
    <w:p w14:paraId="02D96B17" w14:textId="77777777" w:rsidR="0043720E" w:rsidRPr="0043720E" w:rsidRDefault="0043720E" w:rsidP="0043720E">
      <w:pPr>
        <w:jc w:val="both"/>
        <w:rPr>
          <w:rFonts w:ascii="Times New Roman" w:hAnsi="Times New Roman" w:cs="Times New Roman"/>
          <w:b/>
          <w:bCs/>
          <w:sz w:val="24"/>
          <w:szCs w:val="24"/>
          <w:lang w:val="en-US"/>
        </w:rPr>
      </w:pPr>
    </w:p>
    <w:p w14:paraId="69EE08CD" w14:textId="03F3759A"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 xml:space="preserve">Table </w:t>
      </w:r>
      <w:r w:rsidR="00F116EE">
        <w:rPr>
          <w:rFonts w:ascii="Times New Roman" w:hAnsi="Times New Roman" w:cs="Times New Roman"/>
          <w:b/>
          <w:bCs/>
          <w:sz w:val="24"/>
          <w:szCs w:val="24"/>
          <w:lang w:val="en-US"/>
        </w:rPr>
        <w:t>3</w:t>
      </w:r>
      <w:r w:rsidRPr="0043720E">
        <w:rPr>
          <w:rFonts w:ascii="Times New Roman" w:hAnsi="Times New Roman" w:cs="Times New Roman"/>
          <w:b/>
          <w:bCs/>
          <w:sz w:val="24"/>
          <w:szCs w:val="24"/>
          <w:lang w:val="en-US"/>
        </w:rPr>
        <w:t xml:space="preserve"> Morphological and colony characters of bacterial endophytic isolates collected from root different maize genotypes</w:t>
      </w:r>
    </w:p>
    <w:p w14:paraId="6BD48A32" w14:textId="77777777" w:rsidR="0043720E" w:rsidRPr="0043720E" w:rsidRDefault="0043720E" w:rsidP="0043720E">
      <w:pPr>
        <w:jc w:val="both"/>
        <w:rPr>
          <w:rFonts w:ascii="Times New Roman" w:hAnsi="Times New Roman" w:cs="Times New Roman"/>
          <w:b/>
          <w:bCs/>
          <w:sz w:val="24"/>
          <w:szCs w:val="24"/>
          <w:lang w:val="en-US"/>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99"/>
        <w:gridCol w:w="1702"/>
        <w:gridCol w:w="1417"/>
        <w:gridCol w:w="1032"/>
        <w:gridCol w:w="1339"/>
        <w:gridCol w:w="1234"/>
        <w:gridCol w:w="1097"/>
        <w:gridCol w:w="1116"/>
        <w:gridCol w:w="1131"/>
        <w:gridCol w:w="1370"/>
        <w:gridCol w:w="1409"/>
      </w:tblGrid>
      <w:tr w:rsidR="0043720E" w:rsidRPr="0043720E" w14:paraId="46411240" w14:textId="77777777" w:rsidTr="00B07FEB">
        <w:trPr>
          <w:trHeight w:val="892"/>
        </w:trPr>
        <w:tc>
          <w:tcPr>
            <w:tcW w:w="704" w:type="dxa"/>
          </w:tcPr>
          <w:p w14:paraId="53C69C52" w14:textId="77777777" w:rsidR="0043720E" w:rsidRPr="0043720E" w:rsidRDefault="0043720E" w:rsidP="0043720E">
            <w:pPr>
              <w:jc w:val="both"/>
              <w:rPr>
                <w:rFonts w:ascii="Times New Roman" w:hAnsi="Times New Roman" w:cs="Times New Roman"/>
                <w:b/>
                <w:bCs/>
                <w:sz w:val="24"/>
                <w:szCs w:val="24"/>
                <w:lang w:val="en-US"/>
              </w:rPr>
            </w:pPr>
          </w:p>
          <w:p w14:paraId="0567CEE2" w14:textId="77777777" w:rsidR="0043720E" w:rsidRPr="0043720E" w:rsidRDefault="0043720E" w:rsidP="0043720E">
            <w:pPr>
              <w:jc w:val="both"/>
              <w:rPr>
                <w:rFonts w:ascii="Times New Roman" w:hAnsi="Times New Roman" w:cs="Times New Roman"/>
                <w:b/>
                <w:bCs/>
                <w:sz w:val="24"/>
                <w:szCs w:val="24"/>
                <w:lang w:val="en-US"/>
              </w:rPr>
            </w:pPr>
            <w:proofErr w:type="spellStart"/>
            <w:proofErr w:type="gramStart"/>
            <w:r w:rsidRPr="0043720E">
              <w:rPr>
                <w:rFonts w:ascii="Times New Roman" w:hAnsi="Times New Roman" w:cs="Times New Roman"/>
                <w:b/>
                <w:bCs/>
                <w:sz w:val="24"/>
                <w:szCs w:val="24"/>
                <w:lang w:val="en-US"/>
              </w:rPr>
              <w:t>S.No</w:t>
            </w:r>
            <w:proofErr w:type="spellEnd"/>
            <w:proofErr w:type="gramEnd"/>
          </w:p>
        </w:tc>
        <w:tc>
          <w:tcPr>
            <w:tcW w:w="999" w:type="dxa"/>
          </w:tcPr>
          <w:p w14:paraId="7A78667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Isolate ID</w:t>
            </w:r>
          </w:p>
        </w:tc>
        <w:tc>
          <w:tcPr>
            <w:tcW w:w="1702" w:type="dxa"/>
          </w:tcPr>
          <w:p w14:paraId="77FF4C60" w14:textId="77777777" w:rsidR="0043720E" w:rsidRPr="0043720E" w:rsidRDefault="0043720E" w:rsidP="0043720E">
            <w:pPr>
              <w:jc w:val="both"/>
              <w:rPr>
                <w:rFonts w:ascii="Times New Roman" w:hAnsi="Times New Roman" w:cs="Times New Roman"/>
                <w:b/>
                <w:bCs/>
                <w:sz w:val="24"/>
                <w:szCs w:val="24"/>
                <w:lang w:val="en-US"/>
              </w:rPr>
            </w:pPr>
          </w:p>
          <w:p w14:paraId="1821EFC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 xml:space="preserve">Colony </w:t>
            </w:r>
            <w:proofErr w:type="spellStart"/>
            <w:r w:rsidRPr="0043720E">
              <w:rPr>
                <w:rFonts w:ascii="Times New Roman" w:hAnsi="Times New Roman" w:cs="Times New Roman"/>
                <w:b/>
                <w:bCs/>
                <w:sz w:val="24"/>
                <w:szCs w:val="24"/>
                <w:lang w:val="en-US"/>
              </w:rPr>
              <w:t>colour</w:t>
            </w:r>
            <w:proofErr w:type="spellEnd"/>
          </w:p>
        </w:tc>
        <w:tc>
          <w:tcPr>
            <w:tcW w:w="1417" w:type="dxa"/>
          </w:tcPr>
          <w:p w14:paraId="68F90E6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Colony shape</w:t>
            </w:r>
          </w:p>
        </w:tc>
        <w:tc>
          <w:tcPr>
            <w:tcW w:w="1032" w:type="dxa"/>
          </w:tcPr>
          <w:p w14:paraId="35AA15C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Colony size</w:t>
            </w:r>
          </w:p>
        </w:tc>
        <w:tc>
          <w:tcPr>
            <w:tcW w:w="1339" w:type="dxa"/>
          </w:tcPr>
          <w:p w14:paraId="5911578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Optical property</w:t>
            </w:r>
          </w:p>
        </w:tc>
        <w:tc>
          <w:tcPr>
            <w:tcW w:w="1234" w:type="dxa"/>
          </w:tcPr>
          <w:p w14:paraId="09574AF5" w14:textId="77777777" w:rsidR="0043720E" w:rsidRPr="0043720E" w:rsidRDefault="0043720E" w:rsidP="0043720E">
            <w:pPr>
              <w:jc w:val="both"/>
              <w:rPr>
                <w:rFonts w:ascii="Times New Roman" w:hAnsi="Times New Roman" w:cs="Times New Roman"/>
                <w:b/>
                <w:bCs/>
                <w:sz w:val="24"/>
                <w:szCs w:val="24"/>
                <w:lang w:val="en-US"/>
              </w:rPr>
            </w:pPr>
          </w:p>
          <w:p w14:paraId="74E350F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Elevation</w:t>
            </w:r>
          </w:p>
        </w:tc>
        <w:tc>
          <w:tcPr>
            <w:tcW w:w="1097" w:type="dxa"/>
          </w:tcPr>
          <w:p w14:paraId="4FA65498" w14:textId="77777777" w:rsidR="0043720E" w:rsidRPr="0043720E" w:rsidRDefault="0043720E" w:rsidP="0043720E">
            <w:pPr>
              <w:jc w:val="both"/>
              <w:rPr>
                <w:rFonts w:ascii="Times New Roman" w:hAnsi="Times New Roman" w:cs="Times New Roman"/>
                <w:b/>
                <w:bCs/>
                <w:sz w:val="24"/>
                <w:szCs w:val="24"/>
                <w:lang w:val="en-US"/>
              </w:rPr>
            </w:pPr>
          </w:p>
          <w:p w14:paraId="3B083A0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Margin</w:t>
            </w:r>
          </w:p>
        </w:tc>
        <w:tc>
          <w:tcPr>
            <w:tcW w:w="1116" w:type="dxa"/>
          </w:tcPr>
          <w:p w14:paraId="45A75DE9" w14:textId="77777777" w:rsidR="0043720E" w:rsidRPr="0043720E" w:rsidRDefault="0043720E" w:rsidP="0043720E">
            <w:pPr>
              <w:jc w:val="both"/>
              <w:rPr>
                <w:rFonts w:ascii="Times New Roman" w:hAnsi="Times New Roman" w:cs="Times New Roman"/>
                <w:b/>
                <w:bCs/>
                <w:sz w:val="24"/>
                <w:szCs w:val="24"/>
                <w:lang w:val="en-US"/>
              </w:rPr>
            </w:pPr>
          </w:p>
          <w:p w14:paraId="40CA8A0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Texture</w:t>
            </w:r>
          </w:p>
        </w:tc>
        <w:tc>
          <w:tcPr>
            <w:tcW w:w="1131" w:type="dxa"/>
          </w:tcPr>
          <w:p w14:paraId="351E65A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Cell shape</w:t>
            </w:r>
          </w:p>
        </w:tc>
        <w:tc>
          <w:tcPr>
            <w:tcW w:w="1370" w:type="dxa"/>
          </w:tcPr>
          <w:p w14:paraId="6A2F2843" w14:textId="77777777" w:rsidR="0043720E" w:rsidRPr="0043720E" w:rsidRDefault="0043720E" w:rsidP="0043720E">
            <w:pPr>
              <w:jc w:val="both"/>
              <w:rPr>
                <w:rFonts w:ascii="Times New Roman" w:hAnsi="Times New Roman" w:cs="Times New Roman"/>
                <w:b/>
                <w:bCs/>
                <w:sz w:val="24"/>
                <w:szCs w:val="24"/>
                <w:lang w:val="en-US"/>
              </w:rPr>
            </w:pPr>
          </w:p>
          <w:p w14:paraId="2E2875B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Motility</w:t>
            </w:r>
          </w:p>
        </w:tc>
        <w:tc>
          <w:tcPr>
            <w:tcW w:w="1409" w:type="dxa"/>
          </w:tcPr>
          <w:p w14:paraId="613801F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w:t>
            </w:r>
          </w:p>
          <w:p w14:paraId="3CAFFB1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staining reaction</w:t>
            </w:r>
          </w:p>
        </w:tc>
      </w:tr>
      <w:tr w:rsidR="0043720E" w:rsidRPr="0043720E" w14:paraId="34480667" w14:textId="77777777" w:rsidTr="00B07FEB">
        <w:trPr>
          <w:trHeight w:val="352"/>
        </w:trPr>
        <w:tc>
          <w:tcPr>
            <w:tcW w:w="704" w:type="dxa"/>
          </w:tcPr>
          <w:p w14:paraId="4965FA1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w:t>
            </w:r>
          </w:p>
        </w:tc>
        <w:tc>
          <w:tcPr>
            <w:tcW w:w="999" w:type="dxa"/>
          </w:tcPr>
          <w:p w14:paraId="683914B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1</w:t>
            </w:r>
          </w:p>
        </w:tc>
        <w:tc>
          <w:tcPr>
            <w:tcW w:w="1702" w:type="dxa"/>
          </w:tcPr>
          <w:p w14:paraId="70DC4C5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Cream</w:t>
            </w:r>
          </w:p>
        </w:tc>
        <w:tc>
          <w:tcPr>
            <w:tcW w:w="1417" w:type="dxa"/>
          </w:tcPr>
          <w:p w14:paraId="4E6A086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Filamentous</w:t>
            </w:r>
          </w:p>
        </w:tc>
        <w:tc>
          <w:tcPr>
            <w:tcW w:w="1032" w:type="dxa"/>
          </w:tcPr>
          <w:p w14:paraId="54D19DC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Medium</w:t>
            </w:r>
          </w:p>
        </w:tc>
        <w:tc>
          <w:tcPr>
            <w:tcW w:w="1339" w:type="dxa"/>
          </w:tcPr>
          <w:p w14:paraId="089DC76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Opaque</w:t>
            </w:r>
          </w:p>
        </w:tc>
        <w:tc>
          <w:tcPr>
            <w:tcW w:w="1234" w:type="dxa"/>
          </w:tcPr>
          <w:p w14:paraId="27F6E56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Flat</w:t>
            </w:r>
          </w:p>
        </w:tc>
        <w:tc>
          <w:tcPr>
            <w:tcW w:w="1097" w:type="dxa"/>
          </w:tcPr>
          <w:p w14:paraId="45CA677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Entire</w:t>
            </w:r>
          </w:p>
        </w:tc>
        <w:tc>
          <w:tcPr>
            <w:tcW w:w="1116" w:type="dxa"/>
          </w:tcPr>
          <w:p w14:paraId="00F141E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Mucoid</w:t>
            </w:r>
          </w:p>
        </w:tc>
        <w:tc>
          <w:tcPr>
            <w:tcW w:w="1131" w:type="dxa"/>
          </w:tcPr>
          <w:p w14:paraId="427977A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48EF575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20F6B9F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4C14B0F8" w14:textId="77777777" w:rsidTr="00B07FEB">
        <w:trPr>
          <w:trHeight w:val="352"/>
        </w:trPr>
        <w:tc>
          <w:tcPr>
            <w:tcW w:w="704" w:type="dxa"/>
          </w:tcPr>
          <w:p w14:paraId="4A2A6B9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2</w:t>
            </w:r>
          </w:p>
        </w:tc>
        <w:tc>
          <w:tcPr>
            <w:tcW w:w="999" w:type="dxa"/>
          </w:tcPr>
          <w:p w14:paraId="586D84D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2</w:t>
            </w:r>
          </w:p>
        </w:tc>
        <w:tc>
          <w:tcPr>
            <w:tcW w:w="1702" w:type="dxa"/>
          </w:tcPr>
          <w:p w14:paraId="7C8D62B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White</w:t>
            </w:r>
          </w:p>
        </w:tc>
        <w:tc>
          <w:tcPr>
            <w:tcW w:w="1417" w:type="dxa"/>
          </w:tcPr>
          <w:p w14:paraId="5712404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Circular</w:t>
            </w:r>
          </w:p>
        </w:tc>
        <w:tc>
          <w:tcPr>
            <w:tcW w:w="1032" w:type="dxa"/>
          </w:tcPr>
          <w:p w14:paraId="7237FC0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Medium</w:t>
            </w:r>
          </w:p>
        </w:tc>
        <w:tc>
          <w:tcPr>
            <w:tcW w:w="1339" w:type="dxa"/>
          </w:tcPr>
          <w:p w14:paraId="68CC0FB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Translucent</w:t>
            </w:r>
          </w:p>
        </w:tc>
        <w:tc>
          <w:tcPr>
            <w:tcW w:w="1234" w:type="dxa"/>
          </w:tcPr>
          <w:p w14:paraId="778335B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Flat</w:t>
            </w:r>
          </w:p>
        </w:tc>
        <w:tc>
          <w:tcPr>
            <w:tcW w:w="1097" w:type="dxa"/>
          </w:tcPr>
          <w:p w14:paraId="7FB1B38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Lobate</w:t>
            </w:r>
          </w:p>
        </w:tc>
        <w:tc>
          <w:tcPr>
            <w:tcW w:w="1116" w:type="dxa"/>
          </w:tcPr>
          <w:p w14:paraId="5F42406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Smooth</w:t>
            </w:r>
          </w:p>
        </w:tc>
        <w:tc>
          <w:tcPr>
            <w:tcW w:w="1131" w:type="dxa"/>
          </w:tcPr>
          <w:p w14:paraId="0BAD85F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1AF9005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5D8ED88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2C7CD993" w14:textId="77777777" w:rsidTr="00B07FEB">
        <w:trPr>
          <w:trHeight w:val="352"/>
        </w:trPr>
        <w:tc>
          <w:tcPr>
            <w:tcW w:w="704" w:type="dxa"/>
          </w:tcPr>
          <w:p w14:paraId="50D5E75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3</w:t>
            </w:r>
          </w:p>
        </w:tc>
        <w:tc>
          <w:tcPr>
            <w:tcW w:w="999" w:type="dxa"/>
          </w:tcPr>
          <w:p w14:paraId="3918FF3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3</w:t>
            </w:r>
          </w:p>
        </w:tc>
        <w:tc>
          <w:tcPr>
            <w:tcW w:w="1702" w:type="dxa"/>
          </w:tcPr>
          <w:p w14:paraId="0F0408E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Cream</w:t>
            </w:r>
          </w:p>
        </w:tc>
        <w:tc>
          <w:tcPr>
            <w:tcW w:w="1417" w:type="dxa"/>
          </w:tcPr>
          <w:p w14:paraId="28D6153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Circular</w:t>
            </w:r>
          </w:p>
        </w:tc>
        <w:tc>
          <w:tcPr>
            <w:tcW w:w="1032" w:type="dxa"/>
          </w:tcPr>
          <w:p w14:paraId="37F847D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Small</w:t>
            </w:r>
          </w:p>
        </w:tc>
        <w:tc>
          <w:tcPr>
            <w:tcW w:w="1339" w:type="dxa"/>
          </w:tcPr>
          <w:p w14:paraId="4AE864F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Opaque</w:t>
            </w:r>
          </w:p>
        </w:tc>
        <w:tc>
          <w:tcPr>
            <w:tcW w:w="1234" w:type="dxa"/>
          </w:tcPr>
          <w:p w14:paraId="5076F0A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Convex</w:t>
            </w:r>
          </w:p>
        </w:tc>
        <w:tc>
          <w:tcPr>
            <w:tcW w:w="1097" w:type="dxa"/>
          </w:tcPr>
          <w:p w14:paraId="7DFA75E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Entire</w:t>
            </w:r>
          </w:p>
        </w:tc>
        <w:tc>
          <w:tcPr>
            <w:tcW w:w="1116" w:type="dxa"/>
          </w:tcPr>
          <w:p w14:paraId="0C8B07B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Smooth</w:t>
            </w:r>
          </w:p>
        </w:tc>
        <w:tc>
          <w:tcPr>
            <w:tcW w:w="1131" w:type="dxa"/>
          </w:tcPr>
          <w:p w14:paraId="4CB3289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1028ABB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Non-motile</w:t>
            </w:r>
          </w:p>
        </w:tc>
        <w:tc>
          <w:tcPr>
            <w:tcW w:w="1409" w:type="dxa"/>
          </w:tcPr>
          <w:p w14:paraId="034FEE7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709E4B92" w14:textId="77777777" w:rsidTr="00B07FEB">
        <w:trPr>
          <w:trHeight w:val="352"/>
        </w:trPr>
        <w:tc>
          <w:tcPr>
            <w:tcW w:w="704" w:type="dxa"/>
          </w:tcPr>
          <w:p w14:paraId="4CB39DA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4</w:t>
            </w:r>
          </w:p>
        </w:tc>
        <w:tc>
          <w:tcPr>
            <w:tcW w:w="999" w:type="dxa"/>
          </w:tcPr>
          <w:p w14:paraId="21B47B9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4</w:t>
            </w:r>
          </w:p>
        </w:tc>
        <w:tc>
          <w:tcPr>
            <w:tcW w:w="1702" w:type="dxa"/>
          </w:tcPr>
          <w:p w14:paraId="23F735B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Yellowish</w:t>
            </w:r>
          </w:p>
        </w:tc>
        <w:tc>
          <w:tcPr>
            <w:tcW w:w="1417" w:type="dxa"/>
          </w:tcPr>
          <w:p w14:paraId="5DD474B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Circular</w:t>
            </w:r>
          </w:p>
        </w:tc>
        <w:tc>
          <w:tcPr>
            <w:tcW w:w="1032" w:type="dxa"/>
          </w:tcPr>
          <w:p w14:paraId="3A8F468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Medium</w:t>
            </w:r>
          </w:p>
        </w:tc>
        <w:tc>
          <w:tcPr>
            <w:tcW w:w="1339" w:type="dxa"/>
          </w:tcPr>
          <w:p w14:paraId="2591C16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Opaque</w:t>
            </w:r>
          </w:p>
        </w:tc>
        <w:tc>
          <w:tcPr>
            <w:tcW w:w="1234" w:type="dxa"/>
          </w:tcPr>
          <w:p w14:paraId="63B43DE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Flat</w:t>
            </w:r>
          </w:p>
        </w:tc>
        <w:tc>
          <w:tcPr>
            <w:tcW w:w="1097" w:type="dxa"/>
          </w:tcPr>
          <w:p w14:paraId="14B8232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Entire</w:t>
            </w:r>
          </w:p>
        </w:tc>
        <w:tc>
          <w:tcPr>
            <w:tcW w:w="1116" w:type="dxa"/>
          </w:tcPr>
          <w:p w14:paraId="7728A31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Mucoid</w:t>
            </w:r>
          </w:p>
        </w:tc>
        <w:tc>
          <w:tcPr>
            <w:tcW w:w="1131" w:type="dxa"/>
          </w:tcPr>
          <w:p w14:paraId="6D06B8F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35F2104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2267511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28200A31" w14:textId="77777777" w:rsidTr="00B07FEB">
        <w:trPr>
          <w:trHeight w:val="350"/>
        </w:trPr>
        <w:tc>
          <w:tcPr>
            <w:tcW w:w="704" w:type="dxa"/>
          </w:tcPr>
          <w:p w14:paraId="03C6220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lastRenderedPageBreak/>
              <w:t>5</w:t>
            </w:r>
          </w:p>
        </w:tc>
        <w:tc>
          <w:tcPr>
            <w:tcW w:w="999" w:type="dxa"/>
          </w:tcPr>
          <w:p w14:paraId="6314B92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5</w:t>
            </w:r>
          </w:p>
        </w:tc>
        <w:tc>
          <w:tcPr>
            <w:tcW w:w="1702" w:type="dxa"/>
          </w:tcPr>
          <w:p w14:paraId="2D1070C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White</w:t>
            </w:r>
          </w:p>
        </w:tc>
        <w:tc>
          <w:tcPr>
            <w:tcW w:w="1417" w:type="dxa"/>
          </w:tcPr>
          <w:p w14:paraId="6AC43B9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Irregular</w:t>
            </w:r>
          </w:p>
        </w:tc>
        <w:tc>
          <w:tcPr>
            <w:tcW w:w="1032" w:type="dxa"/>
          </w:tcPr>
          <w:p w14:paraId="052E146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Large</w:t>
            </w:r>
          </w:p>
        </w:tc>
        <w:tc>
          <w:tcPr>
            <w:tcW w:w="1339" w:type="dxa"/>
          </w:tcPr>
          <w:p w14:paraId="53D0738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Opaque</w:t>
            </w:r>
          </w:p>
        </w:tc>
        <w:tc>
          <w:tcPr>
            <w:tcW w:w="1234" w:type="dxa"/>
          </w:tcPr>
          <w:p w14:paraId="7EECD4E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Flat</w:t>
            </w:r>
          </w:p>
        </w:tc>
        <w:tc>
          <w:tcPr>
            <w:tcW w:w="1097" w:type="dxa"/>
          </w:tcPr>
          <w:p w14:paraId="5EB0EAC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Undulate</w:t>
            </w:r>
          </w:p>
        </w:tc>
        <w:tc>
          <w:tcPr>
            <w:tcW w:w="1116" w:type="dxa"/>
          </w:tcPr>
          <w:p w14:paraId="442C939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Mucoid</w:t>
            </w:r>
          </w:p>
        </w:tc>
        <w:tc>
          <w:tcPr>
            <w:tcW w:w="1131" w:type="dxa"/>
          </w:tcPr>
          <w:p w14:paraId="7D25D40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2F43ECC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5BDF7F3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63AD38AD" w14:textId="77777777" w:rsidTr="00B07FEB">
        <w:trPr>
          <w:trHeight w:val="352"/>
        </w:trPr>
        <w:tc>
          <w:tcPr>
            <w:tcW w:w="704" w:type="dxa"/>
          </w:tcPr>
          <w:p w14:paraId="7033CFE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6</w:t>
            </w:r>
          </w:p>
        </w:tc>
        <w:tc>
          <w:tcPr>
            <w:tcW w:w="999" w:type="dxa"/>
          </w:tcPr>
          <w:p w14:paraId="0EBB52B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6</w:t>
            </w:r>
          </w:p>
        </w:tc>
        <w:tc>
          <w:tcPr>
            <w:tcW w:w="1702" w:type="dxa"/>
          </w:tcPr>
          <w:p w14:paraId="43611E1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Cream</w:t>
            </w:r>
          </w:p>
        </w:tc>
        <w:tc>
          <w:tcPr>
            <w:tcW w:w="1417" w:type="dxa"/>
          </w:tcPr>
          <w:p w14:paraId="7FCCD3A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Circular</w:t>
            </w:r>
          </w:p>
        </w:tc>
        <w:tc>
          <w:tcPr>
            <w:tcW w:w="1032" w:type="dxa"/>
          </w:tcPr>
          <w:p w14:paraId="6FE1032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Medium</w:t>
            </w:r>
          </w:p>
        </w:tc>
        <w:tc>
          <w:tcPr>
            <w:tcW w:w="1339" w:type="dxa"/>
          </w:tcPr>
          <w:p w14:paraId="26424296"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Opaque</w:t>
            </w:r>
          </w:p>
        </w:tc>
        <w:tc>
          <w:tcPr>
            <w:tcW w:w="1234" w:type="dxa"/>
          </w:tcPr>
          <w:p w14:paraId="57014B7C"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Convex</w:t>
            </w:r>
          </w:p>
        </w:tc>
        <w:tc>
          <w:tcPr>
            <w:tcW w:w="1097" w:type="dxa"/>
          </w:tcPr>
          <w:p w14:paraId="67B9A97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Filiform</w:t>
            </w:r>
          </w:p>
        </w:tc>
        <w:tc>
          <w:tcPr>
            <w:tcW w:w="1116" w:type="dxa"/>
          </w:tcPr>
          <w:p w14:paraId="58A716C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Smooth</w:t>
            </w:r>
          </w:p>
        </w:tc>
        <w:tc>
          <w:tcPr>
            <w:tcW w:w="1131" w:type="dxa"/>
          </w:tcPr>
          <w:p w14:paraId="1D21438F"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Coccus</w:t>
            </w:r>
          </w:p>
        </w:tc>
        <w:tc>
          <w:tcPr>
            <w:tcW w:w="1370" w:type="dxa"/>
          </w:tcPr>
          <w:p w14:paraId="20297D1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Non-motile</w:t>
            </w:r>
          </w:p>
        </w:tc>
        <w:tc>
          <w:tcPr>
            <w:tcW w:w="1409" w:type="dxa"/>
          </w:tcPr>
          <w:p w14:paraId="72AFF74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71B00BC9" w14:textId="77777777" w:rsidTr="00B07FEB">
        <w:trPr>
          <w:trHeight w:val="352"/>
        </w:trPr>
        <w:tc>
          <w:tcPr>
            <w:tcW w:w="704" w:type="dxa"/>
          </w:tcPr>
          <w:p w14:paraId="07642A6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7</w:t>
            </w:r>
          </w:p>
        </w:tc>
        <w:tc>
          <w:tcPr>
            <w:tcW w:w="999" w:type="dxa"/>
          </w:tcPr>
          <w:p w14:paraId="28BA837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7</w:t>
            </w:r>
          </w:p>
        </w:tc>
        <w:tc>
          <w:tcPr>
            <w:tcW w:w="1702" w:type="dxa"/>
          </w:tcPr>
          <w:p w14:paraId="16511C0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White</w:t>
            </w:r>
          </w:p>
        </w:tc>
        <w:tc>
          <w:tcPr>
            <w:tcW w:w="1417" w:type="dxa"/>
          </w:tcPr>
          <w:p w14:paraId="40AC34A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Circular</w:t>
            </w:r>
          </w:p>
        </w:tc>
        <w:tc>
          <w:tcPr>
            <w:tcW w:w="1032" w:type="dxa"/>
          </w:tcPr>
          <w:p w14:paraId="296D69F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Small</w:t>
            </w:r>
          </w:p>
        </w:tc>
        <w:tc>
          <w:tcPr>
            <w:tcW w:w="1339" w:type="dxa"/>
          </w:tcPr>
          <w:p w14:paraId="6586635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Translucent</w:t>
            </w:r>
          </w:p>
        </w:tc>
        <w:tc>
          <w:tcPr>
            <w:tcW w:w="1234" w:type="dxa"/>
          </w:tcPr>
          <w:p w14:paraId="6F9E1F8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Raised</w:t>
            </w:r>
          </w:p>
        </w:tc>
        <w:tc>
          <w:tcPr>
            <w:tcW w:w="1097" w:type="dxa"/>
          </w:tcPr>
          <w:p w14:paraId="202C61D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Entire</w:t>
            </w:r>
          </w:p>
        </w:tc>
        <w:tc>
          <w:tcPr>
            <w:tcW w:w="1116" w:type="dxa"/>
          </w:tcPr>
          <w:p w14:paraId="61B29992"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Mucoid</w:t>
            </w:r>
          </w:p>
        </w:tc>
        <w:tc>
          <w:tcPr>
            <w:tcW w:w="1131" w:type="dxa"/>
          </w:tcPr>
          <w:p w14:paraId="1BBA6AC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599F2DFB"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4AB3E048"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r w:rsidR="0043720E" w:rsidRPr="0043720E" w14:paraId="5F7FB558" w14:textId="77777777" w:rsidTr="00B07FEB">
        <w:trPr>
          <w:trHeight w:val="352"/>
        </w:trPr>
        <w:tc>
          <w:tcPr>
            <w:tcW w:w="704" w:type="dxa"/>
          </w:tcPr>
          <w:p w14:paraId="09C111DD"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12</w:t>
            </w:r>
          </w:p>
        </w:tc>
        <w:tc>
          <w:tcPr>
            <w:tcW w:w="999" w:type="dxa"/>
          </w:tcPr>
          <w:p w14:paraId="4ED6F7DE"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ESB 12</w:t>
            </w:r>
          </w:p>
        </w:tc>
        <w:tc>
          <w:tcPr>
            <w:tcW w:w="1702" w:type="dxa"/>
          </w:tcPr>
          <w:p w14:paraId="27EFDC6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Translucent</w:t>
            </w:r>
          </w:p>
        </w:tc>
        <w:tc>
          <w:tcPr>
            <w:tcW w:w="1417" w:type="dxa"/>
          </w:tcPr>
          <w:p w14:paraId="37E77D0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Irregular</w:t>
            </w:r>
          </w:p>
        </w:tc>
        <w:tc>
          <w:tcPr>
            <w:tcW w:w="1032" w:type="dxa"/>
          </w:tcPr>
          <w:p w14:paraId="46B4BAC1"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Large</w:t>
            </w:r>
          </w:p>
        </w:tc>
        <w:tc>
          <w:tcPr>
            <w:tcW w:w="1339" w:type="dxa"/>
          </w:tcPr>
          <w:p w14:paraId="1E6D5AF4"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Translucent</w:t>
            </w:r>
          </w:p>
        </w:tc>
        <w:tc>
          <w:tcPr>
            <w:tcW w:w="1234" w:type="dxa"/>
          </w:tcPr>
          <w:p w14:paraId="6446F823"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Flat</w:t>
            </w:r>
          </w:p>
        </w:tc>
        <w:tc>
          <w:tcPr>
            <w:tcW w:w="1097" w:type="dxa"/>
          </w:tcPr>
          <w:p w14:paraId="11AA4B15"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Undulate</w:t>
            </w:r>
          </w:p>
        </w:tc>
        <w:tc>
          <w:tcPr>
            <w:tcW w:w="1116" w:type="dxa"/>
          </w:tcPr>
          <w:p w14:paraId="4D0F1B7A"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Mucoid</w:t>
            </w:r>
          </w:p>
        </w:tc>
        <w:tc>
          <w:tcPr>
            <w:tcW w:w="1131" w:type="dxa"/>
          </w:tcPr>
          <w:p w14:paraId="579DEFA9"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Rod</w:t>
            </w:r>
          </w:p>
        </w:tc>
        <w:tc>
          <w:tcPr>
            <w:tcW w:w="1370" w:type="dxa"/>
          </w:tcPr>
          <w:p w14:paraId="61000627"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Motile</w:t>
            </w:r>
          </w:p>
        </w:tc>
        <w:tc>
          <w:tcPr>
            <w:tcW w:w="1409" w:type="dxa"/>
          </w:tcPr>
          <w:p w14:paraId="58F8E540" w14:textId="77777777" w:rsidR="0043720E" w:rsidRPr="0043720E" w:rsidRDefault="0043720E" w:rsidP="0043720E">
            <w:pPr>
              <w:jc w:val="both"/>
              <w:rPr>
                <w:rFonts w:ascii="Times New Roman" w:hAnsi="Times New Roman" w:cs="Times New Roman"/>
                <w:b/>
                <w:bCs/>
                <w:sz w:val="24"/>
                <w:szCs w:val="24"/>
                <w:lang w:val="en-US"/>
              </w:rPr>
            </w:pPr>
            <w:r w:rsidRPr="0043720E">
              <w:rPr>
                <w:rFonts w:ascii="Times New Roman" w:hAnsi="Times New Roman" w:cs="Times New Roman"/>
                <w:b/>
                <w:bCs/>
                <w:sz w:val="24"/>
                <w:szCs w:val="24"/>
                <w:lang w:val="en-US"/>
              </w:rPr>
              <w:t>Gram −</w:t>
            </w:r>
          </w:p>
        </w:tc>
      </w:tr>
    </w:tbl>
    <w:p w14:paraId="415CDCCA" w14:textId="77777777" w:rsidR="0043720E" w:rsidRPr="0043720E" w:rsidRDefault="0043720E" w:rsidP="0043720E">
      <w:pPr>
        <w:jc w:val="both"/>
        <w:rPr>
          <w:rFonts w:ascii="Times New Roman" w:hAnsi="Times New Roman" w:cs="Times New Roman"/>
          <w:b/>
          <w:bCs/>
          <w:sz w:val="24"/>
          <w:szCs w:val="24"/>
          <w:lang w:val="en-US"/>
        </w:rPr>
        <w:sectPr w:rsidR="0043720E" w:rsidRPr="0043720E" w:rsidSect="0043720E">
          <w:headerReference w:type="even" r:id="rId46"/>
          <w:headerReference w:type="default" r:id="rId47"/>
          <w:headerReference w:type="first" r:id="rId48"/>
          <w:pgSz w:w="16840" w:h="11910" w:orient="landscape"/>
          <w:pgMar w:top="1400" w:right="566" w:bottom="280" w:left="708" w:header="751" w:footer="0" w:gutter="0"/>
          <w:cols w:space="720"/>
        </w:sectPr>
      </w:pPr>
    </w:p>
    <w:p w14:paraId="228F19D6" w14:textId="77777777" w:rsidR="0043720E" w:rsidRPr="0043720E" w:rsidRDefault="0043720E" w:rsidP="0043720E">
      <w:pPr>
        <w:jc w:val="both"/>
        <w:rPr>
          <w:rFonts w:ascii="Times New Roman" w:hAnsi="Times New Roman" w:cs="Times New Roman"/>
          <w:b/>
          <w:bCs/>
          <w:sz w:val="24"/>
          <w:szCs w:val="24"/>
          <w:lang w:val="en-US"/>
        </w:rPr>
      </w:pPr>
    </w:p>
    <w:p w14:paraId="4F0353B1" w14:textId="77777777" w:rsidR="0043720E" w:rsidRPr="00400D2F" w:rsidRDefault="0043720E" w:rsidP="0043720E">
      <w:pPr>
        <w:jc w:val="both"/>
        <w:rPr>
          <w:rFonts w:ascii="Times New Roman" w:hAnsi="Times New Roman" w:cs="Times New Roman"/>
          <w:b/>
          <w:bCs/>
          <w:sz w:val="24"/>
          <w:szCs w:val="24"/>
        </w:rPr>
      </w:pPr>
    </w:p>
    <w:sectPr w:rsidR="0043720E" w:rsidRPr="00400D2F" w:rsidSect="0043720E">
      <w:headerReference w:type="even" r:id="rId49"/>
      <w:headerReference w:type="default" r:id="rId50"/>
      <w:headerReference w:type="first" r:id="rId51"/>
      <w:pgSz w:w="11910" w:h="16840"/>
      <w:pgMar w:top="992" w:right="1400" w:bottom="850" w:left="993" w:header="75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8EAE" w14:textId="77777777" w:rsidR="00975550" w:rsidRDefault="00975550">
      <w:pPr>
        <w:spacing w:after="0" w:line="240" w:lineRule="auto"/>
      </w:pPr>
      <w:r>
        <w:separator/>
      </w:r>
    </w:p>
  </w:endnote>
  <w:endnote w:type="continuationSeparator" w:id="0">
    <w:p w14:paraId="18F7A1C0" w14:textId="77777777" w:rsidR="00975550" w:rsidRDefault="0097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DE55" w14:textId="77777777" w:rsidR="000E7293" w:rsidRDefault="000E7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0723" w14:textId="77777777" w:rsidR="000E7293" w:rsidRDefault="000E7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ED69" w14:textId="77777777" w:rsidR="000E7293" w:rsidRDefault="000E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6D69D" w14:textId="77777777" w:rsidR="00975550" w:rsidRDefault="00975550">
      <w:pPr>
        <w:spacing w:after="0" w:line="240" w:lineRule="auto"/>
      </w:pPr>
      <w:r>
        <w:separator/>
      </w:r>
    </w:p>
  </w:footnote>
  <w:footnote w:type="continuationSeparator" w:id="0">
    <w:p w14:paraId="17F9CDB5" w14:textId="77777777" w:rsidR="00975550" w:rsidRDefault="0097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03EE" w14:textId="74773D1D" w:rsidR="000E7293" w:rsidRDefault="000E7293">
    <w:pPr>
      <w:pStyle w:val="Header"/>
    </w:pPr>
    <w:r>
      <w:rPr>
        <w:noProof/>
      </w:rPr>
      <w:pict w14:anchorId="60BE0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6"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14939" w14:textId="29AC53CD" w:rsidR="000E7293" w:rsidRDefault="000E7293">
    <w:pPr>
      <w:pStyle w:val="Header"/>
    </w:pPr>
    <w:r>
      <w:rPr>
        <w:noProof/>
      </w:rPr>
      <w:pict w14:anchorId="46FB1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7"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6C15" w14:textId="0CC61F23" w:rsidR="000E7293" w:rsidRDefault="000E7293">
    <w:pPr>
      <w:pStyle w:val="Header"/>
    </w:pPr>
    <w:r>
      <w:rPr>
        <w:noProof/>
      </w:rPr>
      <w:pict w14:anchorId="600A7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5"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7526" w14:textId="12433FF3" w:rsidR="000E7293" w:rsidRDefault="000E7293">
    <w:pPr>
      <w:pStyle w:val="Header"/>
    </w:pPr>
    <w:r>
      <w:rPr>
        <w:noProof/>
      </w:rPr>
      <w:pict w14:anchorId="6868A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9" o:spid="_x0000_s2053" type="#_x0000_t136" style="position:absolute;margin-left:0;margin-top:0;width:535.8pt;height:100.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1A4F" w14:textId="0EEFA879" w:rsidR="0043720E" w:rsidRDefault="000E7293">
    <w:pPr>
      <w:pStyle w:val="BodyText"/>
      <w:spacing w:line="14" w:lineRule="auto"/>
      <w:rPr>
        <w:b w:val="0"/>
        <w:sz w:val="20"/>
      </w:rPr>
    </w:pPr>
    <w:r>
      <w:rPr>
        <w:noProof/>
      </w:rPr>
      <w:pict w14:anchorId="5B9F7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0" o:spid="_x0000_s2054" type="#_x0000_t136" style="position:absolute;margin-left:0;margin-top:0;width:535.8pt;height:100.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r w:rsidR="0043720E">
      <w:rPr>
        <w:b w:val="0"/>
        <w:noProof/>
        <w:sz w:val="20"/>
        <w:lang w:val="en-IN" w:eastAsia="en-IN" w:bidi="hi-IN"/>
      </w:rPr>
      <mc:AlternateContent>
        <mc:Choice Requires="wps">
          <w:drawing>
            <wp:anchor distT="0" distB="0" distL="0" distR="0" simplePos="0" relativeHeight="251657216" behindDoc="1" locked="0" layoutInCell="1" allowOverlap="1" wp14:anchorId="4CC47430" wp14:editId="27AA2B88">
              <wp:simplePos x="0" y="0"/>
              <wp:positionH relativeFrom="page">
                <wp:posOffset>901700</wp:posOffset>
              </wp:positionH>
              <wp:positionV relativeFrom="page">
                <wp:posOffset>464312</wp:posOffset>
              </wp:positionV>
              <wp:extent cx="90170" cy="165735"/>
              <wp:effectExtent l="0" t="0" r="0" b="0"/>
              <wp:wrapNone/>
              <wp:docPr id="47526618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65735"/>
                      </a:xfrm>
                      <a:prstGeom prst="rect">
                        <a:avLst/>
                      </a:prstGeom>
                    </wps:spPr>
                    <wps:txbx>
                      <w:txbxContent>
                        <w:p w14:paraId="66DEE229" w14:textId="77777777" w:rsidR="0043720E" w:rsidRDefault="0043720E">
                          <w:pPr>
                            <w:spacing w:line="245" w:lineRule="exact"/>
                            <w:ind w:left="20"/>
                            <w:rPr>
                              <w:rFonts w:ascii="Calibri"/>
                            </w:rPr>
                          </w:pPr>
                          <w:r>
                            <w:rPr>
                              <w:rFonts w:ascii="Calibri"/>
                              <w:spacing w:val="-10"/>
                            </w:rPr>
                            <w:t>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C47430" id="_x0000_t202" coordsize="21600,21600" o:spt="202" path="m,l,21600r21600,l21600,xe">
              <v:stroke joinstyle="miter"/>
              <v:path gradientshapeok="t" o:connecttype="rect"/>
            </v:shapetype>
            <v:shape id="Textbox 1" o:spid="_x0000_s1026" type="#_x0000_t202" style="position:absolute;margin-left:71pt;margin-top:36.55pt;width: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" filled="f" stroked="f">
              <v:textbox inset="0,0,0,0">
                <w:txbxContent>
                  <w:p w14:paraId="66DEE229" w14:textId="77777777" w:rsidR="0043720E" w:rsidRDefault="0043720E">
                    <w:pPr>
                      <w:spacing w:line="245" w:lineRule="exact"/>
                      <w:ind w:left="20"/>
                      <w:rPr>
                        <w:rFonts w:ascii="Calibri"/>
                      </w:rPr>
                    </w:pPr>
                    <w:r>
                      <w:rPr>
                        <w:rFonts w:ascii="Calibri"/>
                        <w:spacing w:val="-10"/>
                      </w:rPr>
                      <w: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E646" w14:textId="50D522B3" w:rsidR="000E7293" w:rsidRDefault="000E7293">
    <w:pPr>
      <w:pStyle w:val="Header"/>
    </w:pPr>
    <w:r>
      <w:rPr>
        <w:noProof/>
      </w:rPr>
      <w:pict w14:anchorId="018B1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8" o:spid="_x0000_s2052"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3F22" w14:textId="3A690A73" w:rsidR="000E7293" w:rsidRDefault="000E7293">
    <w:pPr>
      <w:pStyle w:val="Header"/>
    </w:pPr>
    <w:r>
      <w:rPr>
        <w:noProof/>
      </w:rPr>
      <w:pict w14:anchorId="238B8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2" o:spid="_x0000_s2056" type="#_x0000_t136" style="position:absolute;margin-left:0;margin-top:0;width:535.8pt;height:100.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6816" w14:textId="4B665484" w:rsidR="0043720E" w:rsidRDefault="000E7293">
    <w:pPr>
      <w:pStyle w:val="BodyText"/>
      <w:spacing w:line="14" w:lineRule="auto"/>
      <w:rPr>
        <w:b w:val="0"/>
        <w:sz w:val="20"/>
      </w:rPr>
    </w:pPr>
    <w:r>
      <w:rPr>
        <w:noProof/>
      </w:rPr>
      <w:pict w14:anchorId="64FFF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3" o:spid="_x0000_s2057" type="#_x0000_t136" style="position:absolute;margin-left:0;margin-top:0;width:535.8pt;height:100.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r w:rsidR="0043720E">
      <w:rPr>
        <w:b w:val="0"/>
        <w:noProof/>
        <w:sz w:val="20"/>
        <w:lang w:val="en-IN" w:eastAsia="en-IN" w:bidi="hi-IN"/>
      </w:rPr>
      <mc:AlternateContent>
        <mc:Choice Requires="wps">
          <w:drawing>
            <wp:anchor distT="0" distB="0" distL="0" distR="0" simplePos="0" relativeHeight="251658240" behindDoc="1" locked="0" layoutInCell="1" allowOverlap="1" wp14:anchorId="64406836" wp14:editId="15EACC6A">
              <wp:simplePos x="0" y="0"/>
              <wp:positionH relativeFrom="page">
                <wp:posOffset>901700</wp:posOffset>
              </wp:positionH>
              <wp:positionV relativeFrom="page">
                <wp:posOffset>464312</wp:posOffset>
              </wp:positionV>
              <wp:extent cx="90170" cy="165735"/>
              <wp:effectExtent l="0" t="0" r="0" b="0"/>
              <wp:wrapNone/>
              <wp:docPr id="121877962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65735"/>
                      </a:xfrm>
                      <a:prstGeom prst="rect">
                        <a:avLst/>
                      </a:prstGeom>
                    </wps:spPr>
                    <wps:txbx>
                      <w:txbxContent>
                        <w:p w14:paraId="4654CEEE" w14:textId="77777777" w:rsidR="0043720E" w:rsidRDefault="0043720E">
                          <w:pPr>
                            <w:spacing w:line="245" w:lineRule="exact"/>
                            <w:ind w:left="20"/>
                            <w:rPr>
                              <w:rFonts w:ascii="Calibri"/>
                            </w:rPr>
                          </w:pPr>
                          <w:r>
                            <w:rPr>
                              <w:rFonts w:ascii="Calibri"/>
                              <w:spacing w:val="-10"/>
                            </w:rPr>
                            <w:t>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406836" id="_x0000_t202" coordsize="21600,21600" o:spt="202" path="m,l,21600r21600,l21600,xe">
              <v:stroke joinstyle="miter"/>
              <v:path gradientshapeok="t" o:connecttype="rect"/>
            </v:shapetype>
            <v:shape id="Textbox 5" o:spid="_x0000_s1027" type="#_x0000_t202" style="position:absolute;margin-left:71pt;margin-top:36.55pt;width: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" filled="f" stroked="f">
              <v:textbox inset="0,0,0,0">
                <w:txbxContent>
                  <w:p w14:paraId="4654CEEE" w14:textId="77777777" w:rsidR="0043720E" w:rsidRDefault="0043720E">
                    <w:pPr>
                      <w:spacing w:line="245" w:lineRule="exact"/>
                      <w:ind w:left="20"/>
                      <w:rPr>
                        <w:rFonts w:ascii="Calibri"/>
                      </w:rPr>
                    </w:pPr>
                    <w:r>
                      <w:rPr>
                        <w:rFonts w:ascii="Calibri"/>
                        <w:spacing w:val="-10"/>
                      </w:rPr>
                      <w: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533E" w14:textId="7CA2D178" w:rsidR="000E7293" w:rsidRDefault="000E7293">
    <w:pPr>
      <w:pStyle w:val="Header"/>
    </w:pPr>
    <w:r>
      <w:rPr>
        <w:noProof/>
      </w:rPr>
      <w:pict w14:anchorId="18C2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1" o:spid="_x0000_s2055"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5A7B"/>
    <w:multiLevelType w:val="multilevel"/>
    <w:tmpl w:val="ECFC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770B0"/>
    <w:multiLevelType w:val="hybridMultilevel"/>
    <w:tmpl w:val="D55E26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BC3384"/>
    <w:multiLevelType w:val="hybridMultilevel"/>
    <w:tmpl w:val="02280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1329CD"/>
    <w:multiLevelType w:val="multilevel"/>
    <w:tmpl w:val="BAF4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D4100"/>
    <w:multiLevelType w:val="hybridMultilevel"/>
    <w:tmpl w:val="99689E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1C5872"/>
    <w:multiLevelType w:val="hybridMultilevel"/>
    <w:tmpl w:val="70CA60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094796"/>
    <w:multiLevelType w:val="multilevel"/>
    <w:tmpl w:val="025C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C1A91"/>
    <w:multiLevelType w:val="multilevel"/>
    <w:tmpl w:val="C32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B3FFA"/>
    <w:multiLevelType w:val="hybridMultilevel"/>
    <w:tmpl w:val="C5887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CE385A"/>
    <w:multiLevelType w:val="multilevel"/>
    <w:tmpl w:val="174C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E45C3"/>
    <w:multiLevelType w:val="hybridMultilevel"/>
    <w:tmpl w:val="0952D8F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BC2EA5"/>
    <w:multiLevelType w:val="multilevel"/>
    <w:tmpl w:val="39C8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54256"/>
    <w:multiLevelType w:val="multilevel"/>
    <w:tmpl w:val="2AE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06418"/>
    <w:multiLevelType w:val="hybridMultilevel"/>
    <w:tmpl w:val="77E2AA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F03766"/>
    <w:multiLevelType w:val="multilevel"/>
    <w:tmpl w:val="1C4C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137DAB"/>
    <w:multiLevelType w:val="multilevel"/>
    <w:tmpl w:val="9E7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02815"/>
    <w:multiLevelType w:val="multilevel"/>
    <w:tmpl w:val="BE5C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9"/>
  </w:num>
  <w:num w:numId="5">
    <w:abstractNumId w:val="11"/>
  </w:num>
  <w:num w:numId="6">
    <w:abstractNumId w:val="16"/>
  </w:num>
  <w:num w:numId="7">
    <w:abstractNumId w:val="14"/>
  </w:num>
  <w:num w:numId="8">
    <w:abstractNumId w:val="6"/>
  </w:num>
  <w:num w:numId="9">
    <w:abstractNumId w:val="1"/>
  </w:num>
  <w:num w:numId="10">
    <w:abstractNumId w:val="13"/>
  </w:num>
  <w:num w:numId="11">
    <w:abstractNumId w:val="12"/>
  </w:num>
  <w:num w:numId="12">
    <w:abstractNumId w:val="15"/>
  </w:num>
  <w:num w:numId="13">
    <w:abstractNumId w:val="4"/>
  </w:num>
  <w:num w:numId="14">
    <w:abstractNumId w:val="10"/>
  </w:num>
  <w:num w:numId="15">
    <w:abstractNumId w:val="8"/>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CA"/>
    <w:rsid w:val="00010B70"/>
    <w:rsid w:val="00042098"/>
    <w:rsid w:val="00057DFD"/>
    <w:rsid w:val="00060798"/>
    <w:rsid w:val="00081E44"/>
    <w:rsid w:val="00083385"/>
    <w:rsid w:val="000B50D5"/>
    <w:rsid w:val="000C68E7"/>
    <w:rsid w:val="000D4FFD"/>
    <w:rsid w:val="000E7293"/>
    <w:rsid w:val="00105CFB"/>
    <w:rsid w:val="00135A2C"/>
    <w:rsid w:val="00161751"/>
    <w:rsid w:val="00166ECF"/>
    <w:rsid w:val="001B159A"/>
    <w:rsid w:val="001E1383"/>
    <w:rsid w:val="001E2EF5"/>
    <w:rsid w:val="00203900"/>
    <w:rsid w:val="0022590D"/>
    <w:rsid w:val="00226594"/>
    <w:rsid w:val="00226C53"/>
    <w:rsid w:val="00254AB9"/>
    <w:rsid w:val="002553C5"/>
    <w:rsid w:val="00273EF4"/>
    <w:rsid w:val="002A2EC5"/>
    <w:rsid w:val="002C28BD"/>
    <w:rsid w:val="002E1F62"/>
    <w:rsid w:val="0030181B"/>
    <w:rsid w:val="003048E0"/>
    <w:rsid w:val="00306FB5"/>
    <w:rsid w:val="00314355"/>
    <w:rsid w:val="00321D92"/>
    <w:rsid w:val="00375B01"/>
    <w:rsid w:val="0037719B"/>
    <w:rsid w:val="003B1316"/>
    <w:rsid w:val="00400CF5"/>
    <w:rsid w:val="00400D2F"/>
    <w:rsid w:val="00410037"/>
    <w:rsid w:val="004316EA"/>
    <w:rsid w:val="0043720E"/>
    <w:rsid w:val="004857DA"/>
    <w:rsid w:val="004A3053"/>
    <w:rsid w:val="004A4142"/>
    <w:rsid w:val="004B1085"/>
    <w:rsid w:val="004B4CB5"/>
    <w:rsid w:val="004B692A"/>
    <w:rsid w:val="005577C8"/>
    <w:rsid w:val="00563ADA"/>
    <w:rsid w:val="00580372"/>
    <w:rsid w:val="005B6299"/>
    <w:rsid w:val="005B67E7"/>
    <w:rsid w:val="005C122C"/>
    <w:rsid w:val="005C6F25"/>
    <w:rsid w:val="005D2169"/>
    <w:rsid w:val="005E5AC2"/>
    <w:rsid w:val="00611D50"/>
    <w:rsid w:val="00630F50"/>
    <w:rsid w:val="006311BA"/>
    <w:rsid w:val="006417D5"/>
    <w:rsid w:val="00643994"/>
    <w:rsid w:val="00656BC8"/>
    <w:rsid w:val="00662DF0"/>
    <w:rsid w:val="006762CA"/>
    <w:rsid w:val="006D09AF"/>
    <w:rsid w:val="006D6F8A"/>
    <w:rsid w:val="00722920"/>
    <w:rsid w:val="00725DDC"/>
    <w:rsid w:val="00747FC9"/>
    <w:rsid w:val="00761522"/>
    <w:rsid w:val="007B3BA6"/>
    <w:rsid w:val="007B7FD6"/>
    <w:rsid w:val="007D4803"/>
    <w:rsid w:val="007E1607"/>
    <w:rsid w:val="007E2F45"/>
    <w:rsid w:val="007F1B89"/>
    <w:rsid w:val="007F561D"/>
    <w:rsid w:val="00820891"/>
    <w:rsid w:val="00832BA8"/>
    <w:rsid w:val="00835F16"/>
    <w:rsid w:val="00852E7D"/>
    <w:rsid w:val="0086340A"/>
    <w:rsid w:val="00897146"/>
    <w:rsid w:val="008B1B72"/>
    <w:rsid w:val="008D2BB5"/>
    <w:rsid w:val="008D447A"/>
    <w:rsid w:val="00902CED"/>
    <w:rsid w:val="00902ED4"/>
    <w:rsid w:val="00917544"/>
    <w:rsid w:val="00926A9A"/>
    <w:rsid w:val="00946770"/>
    <w:rsid w:val="00975550"/>
    <w:rsid w:val="009756B3"/>
    <w:rsid w:val="00992CFA"/>
    <w:rsid w:val="009A202C"/>
    <w:rsid w:val="009B44C6"/>
    <w:rsid w:val="009E4BEF"/>
    <w:rsid w:val="009E6D7F"/>
    <w:rsid w:val="00A063B2"/>
    <w:rsid w:val="00A077C3"/>
    <w:rsid w:val="00A163D7"/>
    <w:rsid w:val="00A16F39"/>
    <w:rsid w:val="00A25D9C"/>
    <w:rsid w:val="00A70410"/>
    <w:rsid w:val="00AB0DF3"/>
    <w:rsid w:val="00AB23EE"/>
    <w:rsid w:val="00AB7088"/>
    <w:rsid w:val="00AB7714"/>
    <w:rsid w:val="00AD679F"/>
    <w:rsid w:val="00AD6E46"/>
    <w:rsid w:val="00AF14FA"/>
    <w:rsid w:val="00AF2261"/>
    <w:rsid w:val="00B31FFB"/>
    <w:rsid w:val="00B453D8"/>
    <w:rsid w:val="00B61841"/>
    <w:rsid w:val="00B62317"/>
    <w:rsid w:val="00B626EF"/>
    <w:rsid w:val="00B95B58"/>
    <w:rsid w:val="00B95F0B"/>
    <w:rsid w:val="00BB3223"/>
    <w:rsid w:val="00BD75B8"/>
    <w:rsid w:val="00C30158"/>
    <w:rsid w:val="00C357C5"/>
    <w:rsid w:val="00C61024"/>
    <w:rsid w:val="00C64F03"/>
    <w:rsid w:val="00C678F3"/>
    <w:rsid w:val="00C767DC"/>
    <w:rsid w:val="00C87E00"/>
    <w:rsid w:val="00C9563C"/>
    <w:rsid w:val="00CA677F"/>
    <w:rsid w:val="00CB23C8"/>
    <w:rsid w:val="00CB5ACB"/>
    <w:rsid w:val="00CB5E9C"/>
    <w:rsid w:val="00CC627E"/>
    <w:rsid w:val="00D005C2"/>
    <w:rsid w:val="00D20127"/>
    <w:rsid w:val="00D847E2"/>
    <w:rsid w:val="00DB6E95"/>
    <w:rsid w:val="00DC17E0"/>
    <w:rsid w:val="00DE20C5"/>
    <w:rsid w:val="00DF4677"/>
    <w:rsid w:val="00E04076"/>
    <w:rsid w:val="00E46164"/>
    <w:rsid w:val="00E72EE3"/>
    <w:rsid w:val="00E766DF"/>
    <w:rsid w:val="00E805CA"/>
    <w:rsid w:val="00EB0398"/>
    <w:rsid w:val="00EB72EB"/>
    <w:rsid w:val="00EF1CB3"/>
    <w:rsid w:val="00EF5F44"/>
    <w:rsid w:val="00F002D1"/>
    <w:rsid w:val="00F116EE"/>
    <w:rsid w:val="00F136F1"/>
    <w:rsid w:val="00F210CE"/>
    <w:rsid w:val="00F536E5"/>
    <w:rsid w:val="00F64B1D"/>
    <w:rsid w:val="00F77804"/>
    <w:rsid w:val="00F97117"/>
    <w:rsid w:val="00FC7395"/>
    <w:rsid w:val="00FD28BC"/>
    <w:rsid w:val="00FD44C7"/>
    <w:rsid w:val="00FE3B15"/>
    <w:rsid w:val="00FE40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808E418"/>
  <w15:chartTrackingRefBased/>
  <w15:docId w15:val="{11BA244E-353B-4573-B9C3-3CEED738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B5E9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0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4076"/>
    <w:rPr>
      <w:b/>
      <w:bCs/>
    </w:rPr>
  </w:style>
  <w:style w:type="character" w:styleId="Emphasis">
    <w:name w:val="Emphasis"/>
    <w:basedOn w:val="DefaultParagraphFont"/>
    <w:uiPriority w:val="20"/>
    <w:qFormat/>
    <w:rsid w:val="00E04076"/>
    <w:rPr>
      <w:i/>
      <w:iCs/>
    </w:rPr>
  </w:style>
  <w:style w:type="character" w:styleId="Hyperlink">
    <w:name w:val="Hyperlink"/>
    <w:basedOn w:val="DefaultParagraphFont"/>
    <w:uiPriority w:val="99"/>
    <w:unhideWhenUsed/>
    <w:rsid w:val="00321D92"/>
    <w:rPr>
      <w:color w:val="0563C1" w:themeColor="hyperlink"/>
      <w:u w:val="single"/>
    </w:rPr>
  </w:style>
  <w:style w:type="paragraph" w:styleId="ListParagraph">
    <w:name w:val="List Paragraph"/>
    <w:basedOn w:val="Normal"/>
    <w:uiPriority w:val="34"/>
    <w:qFormat/>
    <w:rsid w:val="00946770"/>
    <w:pPr>
      <w:ind w:left="720"/>
      <w:contextualSpacing/>
    </w:pPr>
    <w:rPr>
      <w:szCs w:val="22"/>
      <w:lang w:val="en-US" w:bidi="ar-SA"/>
    </w:rPr>
  </w:style>
  <w:style w:type="paragraph" w:customStyle="1" w:styleId="ReferHead">
    <w:name w:val="Refer Head"/>
    <w:basedOn w:val="Normal"/>
    <w:rsid w:val="00FC7395"/>
    <w:pPr>
      <w:keepNext/>
      <w:spacing w:after="240" w:line="240" w:lineRule="auto"/>
    </w:pPr>
    <w:rPr>
      <w:rFonts w:ascii="Helvetica" w:eastAsia="Times New Roman" w:hAnsi="Helvetica" w:cs="Times New Roman"/>
      <w:b/>
      <w:caps/>
      <w:lang w:val="en-US" w:bidi="ar-SA"/>
    </w:rPr>
  </w:style>
  <w:style w:type="paragraph" w:customStyle="1" w:styleId="AcknHead">
    <w:name w:val="Ackn Head"/>
    <w:basedOn w:val="Normal"/>
    <w:rsid w:val="00306FB5"/>
    <w:pPr>
      <w:keepNext/>
      <w:spacing w:after="240" w:line="240" w:lineRule="auto"/>
    </w:pPr>
    <w:rPr>
      <w:rFonts w:ascii="Helvetica" w:eastAsia="Times New Roman" w:hAnsi="Helvetica" w:cs="Times New Roman"/>
      <w:b/>
      <w:caps/>
      <w:lang w:val="en-US" w:bidi="ar-SA"/>
    </w:rPr>
  </w:style>
  <w:style w:type="character" w:styleId="PlaceholderText">
    <w:name w:val="Placeholder Text"/>
    <w:basedOn w:val="DefaultParagraphFont"/>
    <w:uiPriority w:val="99"/>
    <w:semiHidden/>
    <w:rsid w:val="00902CED"/>
    <w:rPr>
      <w:color w:val="808080"/>
    </w:rPr>
  </w:style>
  <w:style w:type="character" w:customStyle="1" w:styleId="Heading3Char">
    <w:name w:val="Heading 3 Char"/>
    <w:basedOn w:val="DefaultParagraphFont"/>
    <w:link w:val="Heading3"/>
    <w:uiPriority w:val="9"/>
    <w:rsid w:val="00CB5E9C"/>
    <w:rPr>
      <w:rFonts w:ascii="Times New Roman" w:eastAsia="Times New Roman" w:hAnsi="Times New Roman" w:cs="Times New Roman"/>
      <w:b/>
      <w:bCs/>
      <w:sz w:val="27"/>
      <w:szCs w:val="27"/>
      <w:lang w:eastAsia="en-IN"/>
    </w:rPr>
  </w:style>
  <w:style w:type="paragraph" w:styleId="BodyText">
    <w:name w:val="Body Text"/>
    <w:basedOn w:val="Normal"/>
    <w:link w:val="BodyTextChar"/>
    <w:uiPriority w:val="1"/>
    <w:qFormat/>
    <w:rsid w:val="00B62317"/>
    <w:pPr>
      <w:widowControl w:val="0"/>
      <w:autoSpaceDE w:val="0"/>
      <w:autoSpaceDN w:val="0"/>
      <w:spacing w:after="0" w:line="240" w:lineRule="auto"/>
    </w:pPr>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uiPriority w:val="1"/>
    <w:rsid w:val="00B62317"/>
    <w:rPr>
      <w:rFonts w:ascii="Times New Roman" w:eastAsia="Times New Roman" w:hAnsi="Times New Roman" w:cs="Times New Roman"/>
      <w:b/>
      <w:bCs/>
      <w:sz w:val="24"/>
      <w:szCs w:val="24"/>
      <w:lang w:val="en-US" w:bidi="ar-SA"/>
    </w:rPr>
  </w:style>
  <w:style w:type="paragraph" w:customStyle="1" w:styleId="TableParagraph">
    <w:name w:val="Table Paragraph"/>
    <w:basedOn w:val="Normal"/>
    <w:uiPriority w:val="1"/>
    <w:qFormat/>
    <w:rsid w:val="00B62317"/>
    <w:pPr>
      <w:widowControl w:val="0"/>
      <w:autoSpaceDE w:val="0"/>
      <w:autoSpaceDN w:val="0"/>
      <w:spacing w:after="0" w:line="240" w:lineRule="auto"/>
      <w:ind w:left="9"/>
      <w:jc w:val="center"/>
    </w:pPr>
    <w:rPr>
      <w:rFonts w:ascii="Times New Roman" w:eastAsia="Times New Roman" w:hAnsi="Times New Roman" w:cs="Times New Roman"/>
      <w:szCs w:val="22"/>
      <w:lang w:val="en-US" w:bidi="ar-SA"/>
    </w:rPr>
  </w:style>
  <w:style w:type="character" w:styleId="UnresolvedMention">
    <w:name w:val="Unresolved Mention"/>
    <w:basedOn w:val="DefaultParagraphFont"/>
    <w:uiPriority w:val="99"/>
    <w:semiHidden/>
    <w:unhideWhenUsed/>
    <w:rsid w:val="00656BC8"/>
    <w:rPr>
      <w:color w:val="605E5C"/>
      <w:shd w:val="clear" w:color="auto" w:fill="E1DFDD"/>
    </w:rPr>
  </w:style>
  <w:style w:type="paragraph" w:styleId="Header">
    <w:name w:val="header"/>
    <w:basedOn w:val="Normal"/>
    <w:link w:val="HeaderChar"/>
    <w:uiPriority w:val="99"/>
    <w:unhideWhenUsed/>
    <w:rsid w:val="000E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93"/>
  </w:style>
  <w:style w:type="paragraph" w:styleId="Footer">
    <w:name w:val="footer"/>
    <w:basedOn w:val="Normal"/>
    <w:link w:val="FooterChar"/>
    <w:uiPriority w:val="99"/>
    <w:unhideWhenUsed/>
    <w:rsid w:val="000E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058">
      <w:bodyDiv w:val="1"/>
      <w:marLeft w:val="0"/>
      <w:marRight w:val="0"/>
      <w:marTop w:val="0"/>
      <w:marBottom w:val="0"/>
      <w:divBdr>
        <w:top w:val="none" w:sz="0" w:space="0" w:color="auto"/>
        <w:left w:val="none" w:sz="0" w:space="0" w:color="auto"/>
        <w:bottom w:val="none" w:sz="0" w:space="0" w:color="auto"/>
        <w:right w:val="none" w:sz="0" w:space="0" w:color="auto"/>
      </w:divBdr>
    </w:div>
    <w:div w:id="114175705">
      <w:bodyDiv w:val="1"/>
      <w:marLeft w:val="0"/>
      <w:marRight w:val="0"/>
      <w:marTop w:val="0"/>
      <w:marBottom w:val="0"/>
      <w:divBdr>
        <w:top w:val="none" w:sz="0" w:space="0" w:color="auto"/>
        <w:left w:val="none" w:sz="0" w:space="0" w:color="auto"/>
        <w:bottom w:val="none" w:sz="0" w:space="0" w:color="auto"/>
        <w:right w:val="none" w:sz="0" w:space="0" w:color="auto"/>
      </w:divBdr>
    </w:div>
    <w:div w:id="167446509">
      <w:bodyDiv w:val="1"/>
      <w:marLeft w:val="0"/>
      <w:marRight w:val="0"/>
      <w:marTop w:val="0"/>
      <w:marBottom w:val="0"/>
      <w:divBdr>
        <w:top w:val="none" w:sz="0" w:space="0" w:color="auto"/>
        <w:left w:val="none" w:sz="0" w:space="0" w:color="auto"/>
        <w:bottom w:val="none" w:sz="0" w:space="0" w:color="auto"/>
        <w:right w:val="none" w:sz="0" w:space="0" w:color="auto"/>
      </w:divBdr>
    </w:div>
    <w:div w:id="217782447">
      <w:bodyDiv w:val="1"/>
      <w:marLeft w:val="0"/>
      <w:marRight w:val="0"/>
      <w:marTop w:val="0"/>
      <w:marBottom w:val="0"/>
      <w:divBdr>
        <w:top w:val="none" w:sz="0" w:space="0" w:color="auto"/>
        <w:left w:val="none" w:sz="0" w:space="0" w:color="auto"/>
        <w:bottom w:val="none" w:sz="0" w:space="0" w:color="auto"/>
        <w:right w:val="none" w:sz="0" w:space="0" w:color="auto"/>
      </w:divBdr>
    </w:div>
    <w:div w:id="227768453">
      <w:bodyDiv w:val="1"/>
      <w:marLeft w:val="0"/>
      <w:marRight w:val="0"/>
      <w:marTop w:val="0"/>
      <w:marBottom w:val="0"/>
      <w:divBdr>
        <w:top w:val="none" w:sz="0" w:space="0" w:color="auto"/>
        <w:left w:val="none" w:sz="0" w:space="0" w:color="auto"/>
        <w:bottom w:val="none" w:sz="0" w:space="0" w:color="auto"/>
        <w:right w:val="none" w:sz="0" w:space="0" w:color="auto"/>
      </w:divBdr>
    </w:div>
    <w:div w:id="288055587">
      <w:bodyDiv w:val="1"/>
      <w:marLeft w:val="0"/>
      <w:marRight w:val="0"/>
      <w:marTop w:val="0"/>
      <w:marBottom w:val="0"/>
      <w:divBdr>
        <w:top w:val="none" w:sz="0" w:space="0" w:color="auto"/>
        <w:left w:val="none" w:sz="0" w:space="0" w:color="auto"/>
        <w:bottom w:val="none" w:sz="0" w:space="0" w:color="auto"/>
        <w:right w:val="none" w:sz="0" w:space="0" w:color="auto"/>
      </w:divBdr>
    </w:div>
    <w:div w:id="320238183">
      <w:bodyDiv w:val="1"/>
      <w:marLeft w:val="0"/>
      <w:marRight w:val="0"/>
      <w:marTop w:val="0"/>
      <w:marBottom w:val="0"/>
      <w:divBdr>
        <w:top w:val="none" w:sz="0" w:space="0" w:color="auto"/>
        <w:left w:val="none" w:sz="0" w:space="0" w:color="auto"/>
        <w:bottom w:val="none" w:sz="0" w:space="0" w:color="auto"/>
        <w:right w:val="none" w:sz="0" w:space="0" w:color="auto"/>
      </w:divBdr>
    </w:div>
    <w:div w:id="330451355">
      <w:bodyDiv w:val="1"/>
      <w:marLeft w:val="0"/>
      <w:marRight w:val="0"/>
      <w:marTop w:val="0"/>
      <w:marBottom w:val="0"/>
      <w:divBdr>
        <w:top w:val="none" w:sz="0" w:space="0" w:color="auto"/>
        <w:left w:val="none" w:sz="0" w:space="0" w:color="auto"/>
        <w:bottom w:val="none" w:sz="0" w:space="0" w:color="auto"/>
        <w:right w:val="none" w:sz="0" w:space="0" w:color="auto"/>
      </w:divBdr>
    </w:div>
    <w:div w:id="335886307">
      <w:bodyDiv w:val="1"/>
      <w:marLeft w:val="0"/>
      <w:marRight w:val="0"/>
      <w:marTop w:val="0"/>
      <w:marBottom w:val="0"/>
      <w:divBdr>
        <w:top w:val="none" w:sz="0" w:space="0" w:color="auto"/>
        <w:left w:val="none" w:sz="0" w:space="0" w:color="auto"/>
        <w:bottom w:val="none" w:sz="0" w:space="0" w:color="auto"/>
        <w:right w:val="none" w:sz="0" w:space="0" w:color="auto"/>
      </w:divBdr>
    </w:div>
    <w:div w:id="342560642">
      <w:bodyDiv w:val="1"/>
      <w:marLeft w:val="0"/>
      <w:marRight w:val="0"/>
      <w:marTop w:val="0"/>
      <w:marBottom w:val="0"/>
      <w:divBdr>
        <w:top w:val="none" w:sz="0" w:space="0" w:color="auto"/>
        <w:left w:val="none" w:sz="0" w:space="0" w:color="auto"/>
        <w:bottom w:val="none" w:sz="0" w:space="0" w:color="auto"/>
        <w:right w:val="none" w:sz="0" w:space="0" w:color="auto"/>
      </w:divBdr>
    </w:div>
    <w:div w:id="499856424">
      <w:bodyDiv w:val="1"/>
      <w:marLeft w:val="0"/>
      <w:marRight w:val="0"/>
      <w:marTop w:val="0"/>
      <w:marBottom w:val="0"/>
      <w:divBdr>
        <w:top w:val="none" w:sz="0" w:space="0" w:color="auto"/>
        <w:left w:val="none" w:sz="0" w:space="0" w:color="auto"/>
        <w:bottom w:val="none" w:sz="0" w:space="0" w:color="auto"/>
        <w:right w:val="none" w:sz="0" w:space="0" w:color="auto"/>
      </w:divBdr>
    </w:div>
    <w:div w:id="591864382">
      <w:bodyDiv w:val="1"/>
      <w:marLeft w:val="0"/>
      <w:marRight w:val="0"/>
      <w:marTop w:val="0"/>
      <w:marBottom w:val="0"/>
      <w:divBdr>
        <w:top w:val="none" w:sz="0" w:space="0" w:color="auto"/>
        <w:left w:val="none" w:sz="0" w:space="0" w:color="auto"/>
        <w:bottom w:val="none" w:sz="0" w:space="0" w:color="auto"/>
        <w:right w:val="none" w:sz="0" w:space="0" w:color="auto"/>
      </w:divBdr>
    </w:div>
    <w:div w:id="687827549">
      <w:bodyDiv w:val="1"/>
      <w:marLeft w:val="0"/>
      <w:marRight w:val="0"/>
      <w:marTop w:val="0"/>
      <w:marBottom w:val="0"/>
      <w:divBdr>
        <w:top w:val="none" w:sz="0" w:space="0" w:color="auto"/>
        <w:left w:val="none" w:sz="0" w:space="0" w:color="auto"/>
        <w:bottom w:val="none" w:sz="0" w:space="0" w:color="auto"/>
        <w:right w:val="none" w:sz="0" w:space="0" w:color="auto"/>
      </w:divBdr>
    </w:div>
    <w:div w:id="719480841">
      <w:bodyDiv w:val="1"/>
      <w:marLeft w:val="0"/>
      <w:marRight w:val="0"/>
      <w:marTop w:val="0"/>
      <w:marBottom w:val="0"/>
      <w:divBdr>
        <w:top w:val="none" w:sz="0" w:space="0" w:color="auto"/>
        <w:left w:val="none" w:sz="0" w:space="0" w:color="auto"/>
        <w:bottom w:val="none" w:sz="0" w:space="0" w:color="auto"/>
        <w:right w:val="none" w:sz="0" w:space="0" w:color="auto"/>
      </w:divBdr>
    </w:div>
    <w:div w:id="745686605">
      <w:bodyDiv w:val="1"/>
      <w:marLeft w:val="0"/>
      <w:marRight w:val="0"/>
      <w:marTop w:val="0"/>
      <w:marBottom w:val="0"/>
      <w:divBdr>
        <w:top w:val="none" w:sz="0" w:space="0" w:color="auto"/>
        <w:left w:val="none" w:sz="0" w:space="0" w:color="auto"/>
        <w:bottom w:val="none" w:sz="0" w:space="0" w:color="auto"/>
        <w:right w:val="none" w:sz="0" w:space="0" w:color="auto"/>
      </w:divBdr>
    </w:div>
    <w:div w:id="757018585">
      <w:bodyDiv w:val="1"/>
      <w:marLeft w:val="0"/>
      <w:marRight w:val="0"/>
      <w:marTop w:val="0"/>
      <w:marBottom w:val="0"/>
      <w:divBdr>
        <w:top w:val="none" w:sz="0" w:space="0" w:color="auto"/>
        <w:left w:val="none" w:sz="0" w:space="0" w:color="auto"/>
        <w:bottom w:val="none" w:sz="0" w:space="0" w:color="auto"/>
        <w:right w:val="none" w:sz="0" w:space="0" w:color="auto"/>
      </w:divBdr>
    </w:div>
    <w:div w:id="802037017">
      <w:bodyDiv w:val="1"/>
      <w:marLeft w:val="0"/>
      <w:marRight w:val="0"/>
      <w:marTop w:val="0"/>
      <w:marBottom w:val="0"/>
      <w:divBdr>
        <w:top w:val="none" w:sz="0" w:space="0" w:color="auto"/>
        <w:left w:val="none" w:sz="0" w:space="0" w:color="auto"/>
        <w:bottom w:val="none" w:sz="0" w:space="0" w:color="auto"/>
        <w:right w:val="none" w:sz="0" w:space="0" w:color="auto"/>
      </w:divBdr>
    </w:div>
    <w:div w:id="1019160698">
      <w:bodyDiv w:val="1"/>
      <w:marLeft w:val="0"/>
      <w:marRight w:val="0"/>
      <w:marTop w:val="0"/>
      <w:marBottom w:val="0"/>
      <w:divBdr>
        <w:top w:val="none" w:sz="0" w:space="0" w:color="auto"/>
        <w:left w:val="none" w:sz="0" w:space="0" w:color="auto"/>
        <w:bottom w:val="none" w:sz="0" w:space="0" w:color="auto"/>
        <w:right w:val="none" w:sz="0" w:space="0" w:color="auto"/>
      </w:divBdr>
    </w:div>
    <w:div w:id="1101531486">
      <w:bodyDiv w:val="1"/>
      <w:marLeft w:val="0"/>
      <w:marRight w:val="0"/>
      <w:marTop w:val="0"/>
      <w:marBottom w:val="0"/>
      <w:divBdr>
        <w:top w:val="none" w:sz="0" w:space="0" w:color="auto"/>
        <w:left w:val="none" w:sz="0" w:space="0" w:color="auto"/>
        <w:bottom w:val="none" w:sz="0" w:space="0" w:color="auto"/>
        <w:right w:val="none" w:sz="0" w:space="0" w:color="auto"/>
      </w:divBdr>
    </w:div>
    <w:div w:id="1103184462">
      <w:bodyDiv w:val="1"/>
      <w:marLeft w:val="0"/>
      <w:marRight w:val="0"/>
      <w:marTop w:val="0"/>
      <w:marBottom w:val="0"/>
      <w:divBdr>
        <w:top w:val="none" w:sz="0" w:space="0" w:color="auto"/>
        <w:left w:val="none" w:sz="0" w:space="0" w:color="auto"/>
        <w:bottom w:val="none" w:sz="0" w:space="0" w:color="auto"/>
        <w:right w:val="none" w:sz="0" w:space="0" w:color="auto"/>
      </w:divBdr>
      <w:divsChild>
        <w:div w:id="1978562713">
          <w:marLeft w:val="0"/>
          <w:marRight w:val="0"/>
          <w:marTop w:val="0"/>
          <w:marBottom w:val="0"/>
          <w:divBdr>
            <w:top w:val="none" w:sz="0" w:space="0" w:color="auto"/>
            <w:left w:val="none" w:sz="0" w:space="0" w:color="auto"/>
            <w:bottom w:val="none" w:sz="0" w:space="0" w:color="auto"/>
            <w:right w:val="none" w:sz="0" w:space="0" w:color="auto"/>
          </w:divBdr>
          <w:divsChild>
            <w:div w:id="12226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4434">
      <w:bodyDiv w:val="1"/>
      <w:marLeft w:val="0"/>
      <w:marRight w:val="0"/>
      <w:marTop w:val="0"/>
      <w:marBottom w:val="0"/>
      <w:divBdr>
        <w:top w:val="none" w:sz="0" w:space="0" w:color="auto"/>
        <w:left w:val="none" w:sz="0" w:space="0" w:color="auto"/>
        <w:bottom w:val="none" w:sz="0" w:space="0" w:color="auto"/>
        <w:right w:val="none" w:sz="0" w:space="0" w:color="auto"/>
      </w:divBdr>
    </w:div>
    <w:div w:id="1224949896">
      <w:bodyDiv w:val="1"/>
      <w:marLeft w:val="0"/>
      <w:marRight w:val="0"/>
      <w:marTop w:val="0"/>
      <w:marBottom w:val="0"/>
      <w:divBdr>
        <w:top w:val="none" w:sz="0" w:space="0" w:color="auto"/>
        <w:left w:val="none" w:sz="0" w:space="0" w:color="auto"/>
        <w:bottom w:val="none" w:sz="0" w:space="0" w:color="auto"/>
        <w:right w:val="none" w:sz="0" w:space="0" w:color="auto"/>
      </w:divBdr>
    </w:div>
    <w:div w:id="1302805893">
      <w:bodyDiv w:val="1"/>
      <w:marLeft w:val="0"/>
      <w:marRight w:val="0"/>
      <w:marTop w:val="0"/>
      <w:marBottom w:val="0"/>
      <w:divBdr>
        <w:top w:val="none" w:sz="0" w:space="0" w:color="auto"/>
        <w:left w:val="none" w:sz="0" w:space="0" w:color="auto"/>
        <w:bottom w:val="none" w:sz="0" w:space="0" w:color="auto"/>
        <w:right w:val="none" w:sz="0" w:space="0" w:color="auto"/>
      </w:divBdr>
    </w:div>
    <w:div w:id="1399403982">
      <w:bodyDiv w:val="1"/>
      <w:marLeft w:val="0"/>
      <w:marRight w:val="0"/>
      <w:marTop w:val="0"/>
      <w:marBottom w:val="0"/>
      <w:divBdr>
        <w:top w:val="none" w:sz="0" w:space="0" w:color="auto"/>
        <w:left w:val="none" w:sz="0" w:space="0" w:color="auto"/>
        <w:bottom w:val="none" w:sz="0" w:space="0" w:color="auto"/>
        <w:right w:val="none" w:sz="0" w:space="0" w:color="auto"/>
      </w:divBdr>
    </w:div>
    <w:div w:id="1452555053">
      <w:bodyDiv w:val="1"/>
      <w:marLeft w:val="0"/>
      <w:marRight w:val="0"/>
      <w:marTop w:val="0"/>
      <w:marBottom w:val="0"/>
      <w:divBdr>
        <w:top w:val="none" w:sz="0" w:space="0" w:color="auto"/>
        <w:left w:val="none" w:sz="0" w:space="0" w:color="auto"/>
        <w:bottom w:val="none" w:sz="0" w:space="0" w:color="auto"/>
        <w:right w:val="none" w:sz="0" w:space="0" w:color="auto"/>
      </w:divBdr>
    </w:div>
    <w:div w:id="1529296827">
      <w:bodyDiv w:val="1"/>
      <w:marLeft w:val="0"/>
      <w:marRight w:val="0"/>
      <w:marTop w:val="0"/>
      <w:marBottom w:val="0"/>
      <w:divBdr>
        <w:top w:val="none" w:sz="0" w:space="0" w:color="auto"/>
        <w:left w:val="none" w:sz="0" w:space="0" w:color="auto"/>
        <w:bottom w:val="none" w:sz="0" w:space="0" w:color="auto"/>
        <w:right w:val="none" w:sz="0" w:space="0" w:color="auto"/>
      </w:divBdr>
      <w:divsChild>
        <w:div w:id="1006634107">
          <w:marLeft w:val="0"/>
          <w:marRight w:val="0"/>
          <w:marTop w:val="0"/>
          <w:marBottom w:val="0"/>
          <w:divBdr>
            <w:top w:val="none" w:sz="0" w:space="0" w:color="auto"/>
            <w:left w:val="none" w:sz="0" w:space="0" w:color="auto"/>
            <w:bottom w:val="none" w:sz="0" w:space="0" w:color="auto"/>
            <w:right w:val="none" w:sz="0" w:space="0" w:color="auto"/>
          </w:divBdr>
          <w:divsChild>
            <w:div w:id="1199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863">
      <w:bodyDiv w:val="1"/>
      <w:marLeft w:val="0"/>
      <w:marRight w:val="0"/>
      <w:marTop w:val="0"/>
      <w:marBottom w:val="0"/>
      <w:divBdr>
        <w:top w:val="none" w:sz="0" w:space="0" w:color="auto"/>
        <w:left w:val="none" w:sz="0" w:space="0" w:color="auto"/>
        <w:bottom w:val="none" w:sz="0" w:space="0" w:color="auto"/>
        <w:right w:val="none" w:sz="0" w:space="0" w:color="auto"/>
      </w:divBdr>
    </w:div>
    <w:div w:id="1684045015">
      <w:bodyDiv w:val="1"/>
      <w:marLeft w:val="0"/>
      <w:marRight w:val="0"/>
      <w:marTop w:val="0"/>
      <w:marBottom w:val="0"/>
      <w:divBdr>
        <w:top w:val="none" w:sz="0" w:space="0" w:color="auto"/>
        <w:left w:val="none" w:sz="0" w:space="0" w:color="auto"/>
        <w:bottom w:val="none" w:sz="0" w:space="0" w:color="auto"/>
        <w:right w:val="none" w:sz="0" w:space="0" w:color="auto"/>
      </w:divBdr>
    </w:div>
    <w:div w:id="1755711013">
      <w:bodyDiv w:val="1"/>
      <w:marLeft w:val="0"/>
      <w:marRight w:val="0"/>
      <w:marTop w:val="0"/>
      <w:marBottom w:val="0"/>
      <w:divBdr>
        <w:top w:val="none" w:sz="0" w:space="0" w:color="auto"/>
        <w:left w:val="none" w:sz="0" w:space="0" w:color="auto"/>
        <w:bottom w:val="none" w:sz="0" w:space="0" w:color="auto"/>
        <w:right w:val="none" w:sz="0" w:space="0" w:color="auto"/>
      </w:divBdr>
    </w:div>
    <w:div w:id="1782217287">
      <w:bodyDiv w:val="1"/>
      <w:marLeft w:val="0"/>
      <w:marRight w:val="0"/>
      <w:marTop w:val="0"/>
      <w:marBottom w:val="0"/>
      <w:divBdr>
        <w:top w:val="none" w:sz="0" w:space="0" w:color="auto"/>
        <w:left w:val="none" w:sz="0" w:space="0" w:color="auto"/>
        <w:bottom w:val="none" w:sz="0" w:space="0" w:color="auto"/>
        <w:right w:val="none" w:sz="0" w:space="0" w:color="auto"/>
      </w:divBdr>
    </w:div>
    <w:div w:id="1838032744">
      <w:bodyDiv w:val="1"/>
      <w:marLeft w:val="0"/>
      <w:marRight w:val="0"/>
      <w:marTop w:val="0"/>
      <w:marBottom w:val="0"/>
      <w:divBdr>
        <w:top w:val="none" w:sz="0" w:space="0" w:color="auto"/>
        <w:left w:val="none" w:sz="0" w:space="0" w:color="auto"/>
        <w:bottom w:val="none" w:sz="0" w:space="0" w:color="auto"/>
        <w:right w:val="none" w:sz="0" w:space="0" w:color="auto"/>
      </w:divBdr>
    </w:div>
    <w:div w:id="1857889754">
      <w:bodyDiv w:val="1"/>
      <w:marLeft w:val="0"/>
      <w:marRight w:val="0"/>
      <w:marTop w:val="0"/>
      <w:marBottom w:val="0"/>
      <w:divBdr>
        <w:top w:val="none" w:sz="0" w:space="0" w:color="auto"/>
        <w:left w:val="none" w:sz="0" w:space="0" w:color="auto"/>
        <w:bottom w:val="none" w:sz="0" w:space="0" w:color="auto"/>
        <w:right w:val="none" w:sz="0" w:space="0" w:color="auto"/>
      </w:divBdr>
    </w:div>
    <w:div w:id="1904367815">
      <w:bodyDiv w:val="1"/>
      <w:marLeft w:val="0"/>
      <w:marRight w:val="0"/>
      <w:marTop w:val="0"/>
      <w:marBottom w:val="0"/>
      <w:divBdr>
        <w:top w:val="none" w:sz="0" w:space="0" w:color="auto"/>
        <w:left w:val="none" w:sz="0" w:space="0" w:color="auto"/>
        <w:bottom w:val="none" w:sz="0" w:space="0" w:color="auto"/>
        <w:right w:val="none" w:sz="0" w:space="0" w:color="auto"/>
      </w:divBdr>
    </w:div>
    <w:div w:id="1981374718">
      <w:bodyDiv w:val="1"/>
      <w:marLeft w:val="0"/>
      <w:marRight w:val="0"/>
      <w:marTop w:val="0"/>
      <w:marBottom w:val="0"/>
      <w:divBdr>
        <w:top w:val="none" w:sz="0" w:space="0" w:color="auto"/>
        <w:left w:val="none" w:sz="0" w:space="0" w:color="auto"/>
        <w:bottom w:val="none" w:sz="0" w:space="0" w:color="auto"/>
        <w:right w:val="none" w:sz="0" w:space="0" w:color="auto"/>
      </w:divBdr>
    </w:div>
    <w:div w:id="2068843035">
      <w:bodyDiv w:val="1"/>
      <w:marLeft w:val="0"/>
      <w:marRight w:val="0"/>
      <w:marTop w:val="0"/>
      <w:marBottom w:val="0"/>
      <w:divBdr>
        <w:top w:val="none" w:sz="0" w:space="0" w:color="auto"/>
        <w:left w:val="none" w:sz="0" w:space="0" w:color="auto"/>
        <w:bottom w:val="none" w:sz="0" w:space="0" w:color="auto"/>
        <w:right w:val="none" w:sz="0" w:space="0" w:color="auto"/>
      </w:divBdr>
    </w:div>
    <w:div w:id="21145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apeda.gov.in" TargetMode="External"/><Relationship Id="rId26" Type="http://schemas.openxmlformats.org/officeDocument/2006/relationships/hyperlink" Target="https://doi.org/10.3389/fmicb.2023.1208237" TargetMode="External"/><Relationship Id="rId39" Type="http://schemas.openxmlformats.org/officeDocument/2006/relationships/hyperlink" Target="https://doi.org/10.1186/s43170-023-00160-8" TargetMode="External"/><Relationship Id="rId21" Type="http://schemas.openxmlformats.org/officeDocument/2006/relationships/hyperlink" Target="https://doi.org/10.3389/fmicb.2024.1443327" TargetMode="External"/><Relationship Id="rId34" Type="http://schemas.openxmlformats.org/officeDocument/2006/relationships/hyperlink" Target="https://doi.org/10.1007/s00122-022-04073-4" TargetMode="External"/><Relationship Id="rId42" Type="http://schemas.openxmlformats.org/officeDocument/2006/relationships/hyperlink" Target="https://doi.org/10.1128/jb.173.2.697-703.1991" TargetMode="External"/><Relationship Id="rId47" Type="http://schemas.openxmlformats.org/officeDocument/2006/relationships/header" Target="header5.xml"/><Relationship Id="rId50" Type="http://schemas.openxmlformats.org/officeDocument/2006/relationships/header" Target="header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33545/2664844X.2024.v6.i2b.215" TargetMode="External"/><Relationship Id="rId11" Type="http://schemas.openxmlformats.org/officeDocument/2006/relationships/header" Target="header3.xml"/><Relationship Id="rId24" Type="http://schemas.openxmlformats.org/officeDocument/2006/relationships/hyperlink" Target="https://doi.org/10.1016/j.jenvman.2019.05.011" TargetMode="External"/><Relationship Id="rId32" Type="http://schemas.openxmlformats.org/officeDocument/2006/relationships/hyperlink" Target="https://doi.org/10.1016/j.tim.2007.12.009" TargetMode="External"/><Relationship Id="rId37" Type="http://schemas.openxmlformats.org/officeDocument/2006/relationships/hyperlink" Target="https://doi.org/10.3390/plants10050923" TargetMode="External"/><Relationship Id="rId40" Type="http://schemas.openxmlformats.org/officeDocument/2006/relationships/hyperlink" Target="https://doi.org/10.3390/horticulturae10080805" TargetMode="External"/><Relationship Id="rId45" Type="http://schemas.openxmlformats.org/officeDocument/2006/relationships/hyperlink" Target="https://doi.org/10.1186/s41938-024-00814-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1564/v28_oct_02" TargetMode="External"/><Relationship Id="rId31" Type="http://schemas.openxmlformats.org/officeDocument/2006/relationships/hyperlink" Target="https://doi.org/10.3389/fpls.2024.1349357" TargetMode="External"/><Relationship Id="rId44" Type="http://schemas.openxmlformats.org/officeDocument/2006/relationships/hyperlink" Target="https://doi.org/10.3390/insects1311098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02/ps.6830" TargetMode="External"/><Relationship Id="rId27" Type="http://schemas.openxmlformats.org/officeDocument/2006/relationships/hyperlink" Target="https://doi.org/10.1186/s12866-024-03378-2" TargetMode="External"/><Relationship Id="rId30" Type="http://schemas.openxmlformats.org/officeDocument/2006/relationships/hyperlink" Target="https://doi.org/10.3390/agronomy14020310" TargetMode="External"/><Relationship Id="rId35" Type="http://schemas.openxmlformats.org/officeDocument/2006/relationships/hyperlink" Target="https://doi.org/10.3390/agronomy8110235" TargetMode="External"/><Relationship Id="rId43" Type="http://schemas.openxmlformats.org/officeDocument/2006/relationships/hyperlink" Target="https://doi.org/10.1002/ps.7759" TargetMode="External"/><Relationship Id="rId48" Type="http://schemas.openxmlformats.org/officeDocument/2006/relationships/header" Target="header6.xml"/><Relationship Id="rId8" Type="http://schemas.openxmlformats.org/officeDocument/2006/relationships/header" Target="header2.xml"/><Relationship Id="rId51"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1079/PAVSNNR201914043" TargetMode="External"/><Relationship Id="rId33" Type="http://schemas.openxmlformats.org/officeDocument/2006/relationships/hyperlink" Target="https://doi.org/10.3390/plants13060776" TargetMode="External"/><Relationship Id="rId38" Type="http://schemas.openxmlformats.org/officeDocument/2006/relationships/hyperlink" Target="https://doi.org/10.1515/opag-2022-0358" TargetMode="External"/><Relationship Id="rId46" Type="http://schemas.openxmlformats.org/officeDocument/2006/relationships/header" Target="header4.xml"/><Relationship Id="rId20" Type="http://schemas.openxmlformats.org/officeDocument/2006/relationships/hyperlink" Target="https://doi.org/10.1016/j.agee.2019.106804" TargetMode="External"/><Relationship Id="rId41" Type="http://schemas.openxmlformats.org/officeDocument/2006/relationships/hyperlink" Target="https://doi.org/10.3390/su1617749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10.1139/m97-131" TargetMode="External"/><Relationship Id="rId28" Type="http://schemas.openxmlformats.org/officeDocument/2006/relationships/hyperlink" Target="https://doi.org/10.1002/csc2.20317" TargetMode="External"/><Relationship Id="rId36" Type="http://schemas.openxmlformats.org/officeDocument/2006/relationships/hyperlink" Target="https://doi.org/10.3390/insects10070195" TargetMode="External"/><Relationship Id="rId4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16</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1170</cp:lastModifiedBy>
  <cp:revision>193</cp:revision>
  <dcterms:created xsi:type="dcterms:W3CDTF">2026-01-15T07:04:00Z</dcterms:created>
  <dcterms:modified xsi:type="dcterms:W3CDTF">2026-01-21T10:39:00Z</dcterms:modified>
</cp:coreProperties>
</file>