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E79EF" w14:textId="37D8933A" w:rsidR="00A50A76" w:rsidRDefault="00EF351F" w:rsidP="00A50A76">
      <w:pPr>
        <w:jc w:val="center"/>
        <w:rPr>
          <w:rFonts w:asciiTheme="majorBidi" w:hAnsiTheme="majorBidi" w:cstheme="majorBidi"/>
          <w:b/>
          <w:bCs/>
          <w:sz w:val="28"/>
          <w:szCs w:val="28"/>
        </w:rPr>
      </w:pPr>
      <w:r w:rsidRPr="00CD2808">
        <w:rPr>
          <w:rFonts w:asciiTheme="majorBidi" w:hAnsiTheme="majorBidi" w:cstheme="majorBidi"/>
          <w:b/>
          <w:bCs/>
          <w:sz w:val="28"/>
          <w:szCs w:val="28"/>
        </w:rPr>
        <w:t>Assessment of benefits of e-</w:t>
      </w:r>
      <w:r>
        <w:rPr>
          <w:rFonts w:asciiTheme="majorBidi" w:hAnsiTheme="majorBidi" w:cstheme="majorBidi"/>
          <w:b/>
          <w:bCs/>
          <w:sz w:val="28"/>
          <w:szCs w:val="28"/>
        </w:rPr>
        <w:t>NAM</w:t>
      </w:r>
      <w:r w:rsidRPr="00CD2808">
        <w:rPr>
          <w:rFonts w:asciiTheme="majorBidi" w:hAnsiTheme="majorBidi" w:cstheme="majorBidi"/>
          <w:b/>
          <w:bCs/>
          <w:sz w:val="28"/>
          <w:szCs w:val="28"/>
        </w:rPr>
        <w:t xml:space="preserve"> </w:t>
      </w:r>
      <w:r w:rsidRPr="00F94C5E">
        <w:rPr>
          <w:rFonts w:asciiTheme="majorBidi" w:hAnsiTheme="majorBidi" w:cstheme="majorBidi"/>
          <w:b/>
          <w:bCs/>
          <w:sz w:val="28"/>
          <w:szCs w:val="28"/>
        </w:rPr>
        <w:t xml:space="preserve">on </w:t>
      </w:r>
      <w:r w:rsidRPr="00CD2808">
        <w:rPr>
          <w:rFonts w:asciiTheme="majorBidi" w:hAnsiTheme="majorBidi" w:cstheme="majorBidi"/>
          <w:b/>
          <w:bCs/>
          <w:sz w:val="28"/>
          <w:szCs w:val="28"/>
        </w:rPr>
        <w:t>socio-economic status of farmers</w:t>
      </w:r>
      <w:r>
        <w:rPr>
          <w:rFonts w:asciiTheme="majorBidi" w:hAnsiTheme="majorBidi" w:cstheme="majorBidi"/>
          <w:b/>
          <w:bCs/>
          <w:sz w:val="28"/>
          <w:szCs w:val="28"/>
        </w:rPr>
        <w:t xml:space="preserve"> in western Uttar Pradesh India</w:t>
      </w:r>
    </w:p>
    <w:p w14:paraId="2F3D8A97" w14:textId="77777777" w:rsidR="00A42A76" w:rsidRDefault="00A42A76" w:rsidP="00D01FDB">
      <w:pPr>
        <w:rPr>
          <w:rFonts w:asciiTheme="majorBidi" w:hAnsiTheme="majorBidi" w:cstheme="majorBidi"/>
        </w:rPr>
      </w:pPr>
    </w:p>
    <w:p w14:paraId="32B9DF9F" w14:textId="77777777" w:rsidR="00A42A76" w:rsidRPr="00D01FDB" w:rsidRDefault="00A42A76" w:rsidP="00D01FDB">
      <w:pPr>
        <w:rPr>
          <w:rFonts w:asciiTheme="majorBidi" w:hAnsiTheme="majorBidi" w:cstheme="majorBidi"/>
        </w:rPr>
      </w:pPr>
    </w:p>
    <w:p w14:paraId="008F4BA0" w14:textId="2D965837" w:rsidR="00D838FE" w:rsidRDefault="00D838FE" w:rsidP="00D838FE">
      <w:pPr>
        <w:jc w:val="center"/>
        <w:rPr>
          <w:rFonts w:asciiTheme="majorBidi" w:hAnsiTheme="majorBidi" w:cstheme="majorBidi"/>
        </w:rPr>
      </w:pPr>
      <w:r w:rsidRPr="0055232F">
        <w:rPr>
          <w:rFonts w:asciiTheme="majorBidi" w:hAnsiTheme="majorBidi" w:cstheme="majorBidi"/>
          <w:b/>
          <w:bCs/>
        </w:rPr>
        <w:t>ABSTRACT</w:t>
      </w:r>
    </w:p>
    <w:p w14:paraId="206C4E23" w14:textId="5208BB74" w:rsidR="0055232F" w:rsidRPr="00D838FE" w:rsidRDefault="0055232F" w:rsidP="00D838FE">
      <w:pPr>
        <w:jc w:val="both"/>
        <w:rPr>
          <w:rFonts w:asciiTheme="majorBidi" w:hAnsiTheme="majorBidi" w:cstheme="majorBidi"/>
        </w:rPr>
      </w:pPr>
      <w:r w:rsidRPr="0055232F">
        <w:rPr>
          <w:rFonts w:asciiTheme="majorBidi" w:hAnsiTheme="majorBidi" w:cstheme="majorBidi"/>
        </w:rPr>
        <w:t>The National Agriculture Market (e-NAM) was introduced to strengthen agricultural marketing by improving transparency, price discovery and market access for farmers. This study examined farmers’ socio-economic characteristics and the benefits they perceive from e-NAM in Meerut district of Uttar Pradesh, an early adopter of the platform. A descriptive–analytical design was used</w:t>
      </w:r>
      <w:r w:rsidR="00365DA6">
        <w:rPr>
          <w:rFonts w:asciiTheme="majorBidi" w:hAnsiTheme="majorBidi" w:cstheme="majorBidi"/>
        </w:rPr>
        <w:t xml:space="preserve"> and</w:t>
      </w:r>
      <w:r w:rsidRPr="0055232F">
        <w:rPr>
          <w:rFonts w:asciiTheme="majorBidi" w:hAnsiTheme="majorBidi" w:cstheme="majorBidi"/>
        </w:rPr>
        <w:t xml:space="preserve"> 80 farmers were selected through multi-stage sampling from two e-NAM mandis. Primary data were collected through a pre-tested interview schedule. A socio-economic status (SES) index was constructed using z-score normalisation of education, landholding and farm income. Analytical tools included chi-square tests, Pearson and Spearman correlations</w:t>
      </w:r>
      <w:r w:rsidR="00365DA6">
        <w:rPr>
          <w:rFonts w:asciiTheme="majorBidi" w:hAnsiTheme="majorBidi" w:cstheme="majorBidi"/>
        </w:rPr>
        <w:t xml:space="preserve"> and</w:t>
      </w:r>
      <w:r w:rsidRPr="0055232F">
        <w:rPr>
          <w:rFonts w:asciiTheme="majorBidi" w:hAnsiTheme="majorBidi" w:cstheme="majorBidi"/>
        </w:rPr>
        <w:t xml:space="preserve"> exploratory factor analysis.</w:t>
      </w:r>
      <w:r w:rsidR="00D838FE">
        <w:rPr>
          <w:rFonts w:asciiTheme="majorBidi" w:hAnsiTheme="majorBidi" w:cstheme="majorBidi"/>
        </w:rPr>
        <w:t xml:space="preserve"> </w:t>
      </w:r>
      <w:r w:rsidRPr="0055232F">
        <w:rPr>
          <w:rFonts w:asciiTheme="majorBidi" w:hAnsiTheme="majorBidi" w:cstheme="majorBidi"/>
        </w:rPr>
        <w:t>Results show that most respondents belonged to medium SES households with moderate education and small to medium landholdings. Economic benefits were the most widely experienced outcomes: 71.25% were satisfied with prices received and 82.5% reported higher profitability through e-NAM. Record keeping was rated positively, though infrastructural facilities such as storage, drinking water and trolleys remained inadequate. Education and landholding were significantly associated with key benefits</w:t>
      </w:r>
      <w:r w:rsidR="00365DA6">
        <w:rPr>
          <w:rFonts w:asciiTheme="majorBidi" w:hAnsiTheme="majorBidi" w:cstheme="majorBidi"/>
        </w:rPr>
        <w:t xml:space="preserve"> and</w:t>
      </w:r>
      <w:r w:rsidRPr="0055232F">
        <w:rPr>
          <w:rFonts w:asciiTheme="majorBidi" w:hAnsiTheme="majorBidi" w:cstheme="majorBidi"/>
        </w:rPr>
        <w:t xml:space="preserve"> factor analysis identified three underlying benefit dimensions</w:t>
      </w:r>
      <w:r w:rsidR="00D838FE">
        <w:rPr>
          <w:rFonts w:asciiTheme="majorBidi" w:hAnsiTheme="majorBidi" w:cstheme="majorBidi"/>
        </w:rPr>
        <w:t xml:space="preserve"> </w:t>
      </w:r>
      <w:r w:rsidRPr="0055232F">
        <w:rPr>
          <w:rFonts w:asciiTheme="majorBidi" w:hAnsiTheme="majorBidi" w:cstheme="majorBidi"/>
        </w:rPr>
        <w:t>economic gains, market services and infrastructure. The findings indicate that while e-NAM enhances transparency and market returns, complementary improvements in mandi infrastructure and inclusive capacity-building are essential for equitable participation.</w:t>
      </w:r>
    </w:p>
    <w:p w14:paraId="4D95E3E7" w14:textId="2BC2FAA2" w:rsidR="0087387B" w:rsidRPr="003D0CFE" w:rsidRDefault="003D0CFE" w:rsidP="003D0CFE">
      <w:pPr>
        <w:pStyle w:val="ListParagraph"/>
        <w:numPr>
          <w:ilvl w:val="0"/>
          <w:numId w:val="2"/>
        </w:numPr>
        <w:spacing w:after="0"/>
        <w:ind w:left="284" w:hanging="284"/>
        <w:rPr>
          <w:rFonts w:asciiTheme="majorBidi" w:hAnsiTheme="majorBidi" w:cstheme="majorBidi"/>
          <w:b/>
          <w:bCs/>
        </w:rPr>
      </w:pPr>
      <w:r w:rsidRPr="003D0CFE">
        <w:rPr>
          <w:rFonts w:asciiTheme="majorBidi" w:hAnsiTheme="majorBidi" w:cstheme="majorBidi"/>
          <w:b/>
          <w:bCs/>
        </w:rPr>
        <w:t>INTRODUCTION</w:t>
      </w:r>
    </w:p>
    <w:p w14:paraId="0ED9771F" w14:textId="5CF70FAB" w:rsidR="007818BB" w:rsidRPr="007818BB" w:rsidRDefault="007818BB" w:rsidP="007818BB">
      <w:pPr>
        <w:jc w:val="both"/>
        <w:rPr>
          <w:rFonts w:asciiTheme="majorBidi" w:hAnsiTheme="majorBidi" w:cstheme="majorBidi"/>
        </w:rPr>
      </w:pPr>
      <w:r w:rsidRPr="007818BB">
        <w:rPr>
          <w:rFonts w:asciiTheme="majorBidi" w:hAnsiTheme="majorBidi" w:cstheme="majorBidi"/>
        </w:rPr>
        <w:t>Agricultural marketing forms a critical pillar of India’s rural economy, shaping how produce moves from the farm to final consumers and determining whether farmers receive fair and timely returns for their efforts. Although agricultural production has expanded considerably over the past decades, farmers’ incomes have not grown at the same pace. A wide body of research identifies structural gaps</w:t>
      </w:r>
      <w:r w:rsidR="00B7568C">
        <w:rPr>
          <w:rFonts w:asciiTheme="majorBidi" w:hAnsiTheme="majorBidi" w:cstheme="majorBidi"/>
        </w:rPr>
        <w:t xml:space="preserve"> we</w:t>
      </w:r>
      <w:r w:rsidRPr="007818BB">
        <w:rPr>
          <w:rFonts w:asciiTheme="majorBidi" w:hAnsiTheme="majorBidi" w:cstheme="majorBidi"/>
        </w:rPr>
        <w:t>ak market linkages, limited transparency, infrastructural bottlenecks, dominance of intermediaries and persistent price volatility</w:t>
      </w:r>
      <w:r>
        <w:rPr>
          <w:rFonts w:asciiTheme="majorBidi" w:hAnsiTheme="majorBidi" w:cstheme="majorBidi"/>
        </w:rPr>
        <w:t xml:space="preserve"> </w:t>
      </w:r>
      <w:r w:rsidRPr="007818BB">
        <w:rPr>
          <w:rFonts w:asciiTheme="majorBidi" w:hAnsiTheme="majorBidi" w:cstheme="majorBidi"/>
        </w:rPr>
        <w:t>as key constraints that prevent farmers from realising remunerative prices (Balkrishna et al., 2022). Together, these factors erode farmers’ bargaining power and reduce their share in the value chain. As noted by Meena and Singh (2018), while the APMC system originally served to protect farmers through regulated auctions and standardized procedures, over time it became encumbered by procedural delays, restrictive licensing and entrenched trader networks that hindered competitive trading.</w:t>
      </w:r>
    </w:p>
    <w:p w14:paraId="0195918B" w14:textId="33CD3397" w:rsidR="007818BB" w:rsidRPr="007818BB" w:rsidRDefault="007818BB" w:rsidP="007818BB">
      <w:pPr>
        <w:jc w:val="both"/>
        <w:rPr>
          <w:rFonts w:asciiTheme="majorBidi" w:hAnsiTheme="majorBidi" w:cstheme="majorBidi"/>
        </w:rPr>
      </w:pPr>
      <w:r w:rsidRPr="007818BB">
        <w:rPr>
          <w:rFonts w:asciiTheme="majorBidi" w:hAnsiTheme="majorBidi" w:cstheme="majorBidi"/>
        </w:rPr>
        <w:t xml:space="preserve">Historically, regulated mandis played an important role in standardising weights, grading and auction practices in the post-independence period. However, excessive regulation and the mandate in many states requiring farmers to sell only within designated APMC markets gradually restricted their access to alternative buyers. This limited competition and enabled cartels to influence market behaviour, often resulting in unfavourable price discovery for </w:t>
      </w:r>
      <w:r w:rsidRPr="007818BB">
        <w:rPr>
          <w:rFonts w:asciiTheme="majorBidi" w:hAnsiTheme="majorBidi" w:cstheme="majorBidi"/>
        </w:rPr>
        <w:lastRenderedPageBreak/>
        <w:t xml:space="preserve">farmers. Chatterjee and Kapur (2016) documented how poor spatial integration across markets resulted in substantial price differences for identical commodities, indicating inefficiencies in the traditional marketing system. Similarly, </w:t>
      </w:r>
      <w:proofErr w:type="spellStart"/>
      <w:r w:rsidRPr="007818BB">
        <w:rPr>
          <w:rFonts w:asciiTheme="majorBidi" w:hAnsiTheme="majorBidi" w:cstheme="majorBidi"/>
        </w:rPr>
        <w:t>Birthal</w:t>
      </w:r>
      <w:proofErr w:type="spellEnd"/>
      <w:r w:rsidRPr="007818BB">
        <w:rPr>
          <w:rFonts w:asciiTheme="majorBidi" w:hAnsiTheme="majorBidi" w:cstheme="majorBidi"/>
        </w:rPr>
        <w:t xml:space="preserve"> et al. (2017) highlighted how fragmented supply chains, inadequate infrastructure and layers of intermediation reduce farmers’ share of high-value commodity markets. Such evidence underscored the need for policy reforms that ease market barriers, improve transparency and allow farmers access to a more competitive and integrated marketing environment.</w:t>
      </w:r>
      <w:r w:rsidR="00C34C62">
        <w:rPr>
          <w:rFonts w:asciiTheme="majorBidi" w:hAnsiTheme="majorBidi" w:cstheme="majorBidi"/>
        </w:rPr>
        <w:t xml:space="preserve"> </w:t>
      </w:r>
      <w:r w:rsidRPr="007818BB">
        <w:rPr>
          <w:rFonts w:asciiTheme="majorBidi" w:hAnsiTheme="majorBidi" w:cstheme="majorBidi"/>
        </w:rPr>
        <w:t>Reform efforts began with the Model APMC Act (2003), which sought to expand private market participation, encourage contract farming and facilitate direct marketing channels. Later, the APLM Act (2017) introduced provisions for unified market licensing, electronic trading and inter-state integration. However, the pace of reform implementation varied widely across states due to institutional inertia, conflicting interests within APMC structures and limited administrative capacities. The persistence of fragmented markets and logistical constraints ultimately signalled the need for a digitally enabled reform capable of transcending state-level limitations.</w:t>
      </w:r>
    </w:p>
    <w:p w14:paraId="78E0A0BF" w14:textId="6E9782EB" w:rsidR="007818BB" w:rsidRPr="007818BB" w:rsidRDefault="007818BB" w:rsidP="007818BB">
      <w:pPr>
        <w:jc w:val="both"/>
        <w:rPr>
          <w:rFonts w:asciiTheme="majorBidi" w:hAnsiTheme="majorBidi" w:cstheme="majorBidi"/>
        </w:rPr>
      </w:pPr>
      <w:r w:rsidRPr="007818BB">
        <w:rPr>
          <w:rFonts w:asciiTheme="majorBidi" w:hAnsiTheme="majorBidi" w:cstheme="majorBidi"/>
        </w:rPr>
        <w:t>At the same time, India was witnessing remarkable growth in digital infrastructure. Programmes such as Digital India expanded mobile connectivity, improved broadband penetration and accelerated the adoption of digital payment systems in rural areas. The widespread use of smartphones, UPI platforms, Aadhaar-enabled verification and online banking created the technological environment necessary for digital transformation in agricultural marketing. Against this backdrop, the Government of India launched the Electronic National Agriculture Market (e-NAM) on 14 April 2016. Implemented by the Small Farmers’ Agribusiness Consortium (SFAC), e-NAM aims to link APMC markets across the country into a single electronic trading platform. Its objective is to reduce market fragmentation, encourage inter-market competition, integrate real-time price discovery and streamline payment mechanisms (Sekhar &amp; Bhatt, 2018).</w:t>
      </w:r>
      <w:r w:rsidR="00C34C62">
        <w:rPr>
          <w:rFonts w:asciiTheme="majorBidi" w:hAnsiTheme="majorBidi" w:cstheme="majorBidi"/>
        </w:rPr>
        <w:t xml:space="preserve"> </w:t>
      </w:r>
      <w:r w:rsidRPr="007818BB">
        <w:rPr>
          <w:rFonts w:asciiTheme="majorBidi" w:hAnsiTheme="majorBidi" w:cstheme="majorBidi"/>
        </w:rPr>
        <w:t>From an initial 21 markets, e-NAM has rapidly expanded. More than 1,389 mandis across 23 states and four union territories are now integrated (</w:t>
      </w:r>
      <w:proofErr w:type="spellStart"/>
      <w:r w:rsidRPr="007818BB">
        <w:rPr>
          <w:rFonts w:asciiTheme="majorBidi" w:hAnsiTheme="majorBidi" w:cstheme="majorBidi"/>
        </w:rPr>
        <w:t>Nimbrayan</w:t>
      </w:r>
      <w:proofErr w:type="spellEnd"/>
      <w:r w:rsidRPr="007818BB">
        <w:rPr>
          <w:rFonts w:asciiTheme="majorBidi" w:hAnsiTheme="majorBidi" w:cstheme="majorBidi"/>
        </w:rPr>
        <w:t xml:space="preserve"> et al., 2024). Recent updates from the Ministry of Agriculture indicate that 1,522 mandis are connected to the platform (2025), making e-NAM the largest digital agricultural market network globally. The platform incorporates several innovative features</w:t>
      </w:r>
      <w:r w:rsidR="00B7568C">
        <w:rPr>
          <w:rFonts w:asciiTheme="majorBidi" w:hAnsiTheme="majorBidi" w:cstheme="majorBidi"/>
        </w:rPr>
        <w:t xml:space="preserve"> </w:t>
      </w:r>
      <w:r w:rsidRPr="007818BB">
        <w:rPr>
          <w:rFonts w:asciiTheme="majorBidi" w:hAnsiTheme="majorBidi" w:cstheme="majorBidi"/>
        </w:rPr>
        <w:t>electronic bidding, quality-based assaying, unified trader licensing, online gate entry, digital weighing, real-time information services and warehouse-based trading using electronic Negotiable Warehouse Receipts. Evidence indicates that these innovations promote competitive bidding, reduce intermediary dominance and enhance price transparency (Singh, 2021).</w:t>
      </w:r>
      <w:r w:rsidR="00C34C62">
        <w:rPr>
          <w:rFonts w:asciiTheme="majorBidi" w:hAnsiTheme="majorBidi" w:cstheme="majorBidi"/>
        </w:rPr>
        <w:t xml:space="preserve"> </w:t>
      </w:r>
      <w:r w:rsidRPr="007818BB">
        <w:rPr>
          <w:rFonts w:asciiTheme="majorBidi" w:hAnsiTheme="majorBidi" w:cstheme="majorBidi"/>
        </w:rPr>
        <w:t xml:space="preserve">A growing body of empirical work highlights the tangible benefits of e-NAM. Saini et al. (2023) reported that electronic bidding and ICT integration improved competition and transparency across markets. </w:t>
      </w:r>
      <w:proofErr w:type="spellStart"/>
      <w:r w:rsidRPr="005C1944">
        <w:rPr>
          <w:rFonts w:asciiTheme="majorBidi" w:hAnsiTheme="majorBidi" w:cstheme="majorBidi"/>
        </w:rPr>
        <w:t>Samantaray</w:t>
      </w:r>
      <w:proofErr w:type="spellEnd"/>
      <w:r w:rsidRPr="005C1944">
        <w:rPr>
          <w:rFonts w:asciiTheme="majorBidi" w:hAnsiTheme="majorBidi" w:cstheme="majorBidi"/>
        </w:rPr>
        <w:t xml:space="preserve"> and Farhan (2023)</w:t>
      </w:r>
      <w:r w:rsidRPr="007818BB">
        <w:rPr>
          <w:rFonts w:asciiTheme="majorBidi" w:hAnsiTheme="majorBidi" w:cstheme="majorBidi"/>
        </w:rPr>
        <w:t xml:space="preserve"> observed that e-NAM strengthened farmers’ decision-making capabilities by improving access to real-time information. Studies from Haryana, Rajasthan and Punjab confirm enhanced price realisation, better payment efficiency and reduced market manipulation (Swain et al., 2022; Kaur &amp; Kaur, 2020; </w:t>
      </w:r>
      <w:proofErr w:type="spellStart"/>
      <w:r w:rsidRPr="007818BB">
        <w:rPr>
          <w:rFonts w:asciiTheme="majorBidi" w:hAnsiTheme="majorBidi" w:cstheme="majorBidi"/>
        </w:rPr>
        <w:t>Nimbrayan</w:t>
      </w:r>
      <w:proofErr w:type="spellEnd"/>
      <w:r w:rsidRPr="007818BB">
        <w:rPr>
          <w:rFonts w:asciiTheme="majorBidi" w:hAnsiTheme="majorBidi" w:cstheme="majorBidi"/>
        </w:rPr>
        <w:t xml:space="preserve"> et al., 2024). Furthermore, Chand (2017) emphasised that digital market integration plays a central role in the strategy for doubling farmers’ income. AERC Delhi’s evaluation (Sekhar &amp; Bhatt, 2018) likewise found that e-NAM lowered transaction costs and improved transparency in price discovery. More recently, Ravi Kumar et al. (2024) demonstrated measurable increases in price realisation for </w:t>
      </w:r>
      <w:r w:rsidRPr="007818BB">
        <w:rPr>
          <w:rFonts w:asciiTheme="majorBidi" w:hAnsiTheme="majorBidi" w:cstheme="majorBidi"/>
        </w:rPr>
        <w:lastRenderedPageBreak/>
        <w:t>cash crops under e-NAM mandis in Andhra Pradesh, reinforcing the platform’s economic potential.</w:t>
      </w:r>
    </w:p>
    <w:p w14:paraId="1EA47213" w14:textId="29D69DFE" w:rsidR="00216991" w:rsidRDefault="007818BB" w:rsidP="00216991">
      <w:pPr>
        <w:jc w:val="both"/>
        <w:rPr>
          <w:rFonts w:asciiTheme="majorBidi" w:hAnsiTheme="majorBidi" w:cstheme="majorBidi"/>
        </w:rPr>
      </w:pPr>
      <w:r w:rsidRPr="007818BB">
        <w:rPr>
          <w:rFonts w:asciiTheme="majorBidi" w:hAnsiTheme="majorBidi" w:cstheme="majorBidi"/>
        </w:rPr>
        <w:t>Despite these achievements, challenges persist. Benefits tend to be skewed towards farmers with higher education, better digital skills and larger landholdings (Singh &amp; Sharma, 2019). Small and marginal farmers frequently face barriers such as inadequate smartphone access, poor internet connectivity and continued dependence on intermediaries for credit and transportation. Infrastructure gaps</w:t>
      </w:r>
      <w:r w:rsidR="00B7568C">
        <w:rPr>
          <w:rFonts w:asciiTheme="majorBidi" w:hAnsiTheme="majorBidi" w:cstheme="majorBidi"/>
        </w:rPr>
        <w:t xml:space="preserve"> </w:t>
      </w:r>
      <w:r w:rsidRPr="007818BB">
        <w:rPr>
          <w:rFonts w:asciiTheme="majorBidi" w:hAnsiTheme="majorBidi" w:cstheme="majorBidi"/>
        </w:rPr>
        <w:t>including insufficiency of assaying equipment, storage facilities and mandi-level digital readiness</w:t>
      </w:r>
      <w:r w:rsidR="00B7568C">
        <w:rPr>
          <w:rFonts w:asciiTheme="majorBidi" w:hAnsiTheme="majorBidi" w:cstheme="majorBidi"/>
        </w:rPr>
        <w:t xml:space="preserve"> </w:t>
      </w:r>
      <w:r w:rsidRPr="007818BB">
        <w:rPr>
          <w:rFonts w:asciiTheme="majorBidi" w:hAnsiTheme="majorBidi" w:cstheme="majorBidi"/>
        </w:rPr>
        <w:t>remain major obstacles (Sharma &amp; Meena, 2021). These constraints lead to uneven adoption across states and socio-economic groups.</w:t>
      </w:r>
      <w:r w:rsidR="00C34C62">
        <w:rPr>
          <w:rFonts w:asciiTheme="majorBidi" w:hAnsiTheme="majorBidi" w:cstheme="majorBidi"/>
        </w:rPr>
        <w:t xml:space="preserve"> </w:t>
      </w:r>
      <w:r w:rsidRPr="007818BB">
        <w:rPr>
          <w:rFonts w:asciiTheme="majorBidi" w:hAnsiTheme="majorBidi" w:cstheme="majorBidi"/>
        </w:rPr>
        <w:t>Uttar Pradesh, with 162 e-NAM mandis (Ministry of Agriculture &amp; Farmers Welfare, 2025), is one of India’s leading agricultural states. Meerut district, with its diverse cropping systems</w:t>
      </w:r>
      <w:r w:rsidR="00A21FAF">
        <w:rPr>
          <w:rFonts w:asciiTheme="majorBidi" w:hAnsiTheme="majorBidi" w:cstheme="majorBidi"/>
        </w:rPr>
        <w:t xml:space="preserve"> </w:t>
      </w:r>
      <w:r w:rsidRPr="007818BB">
        <w:rPr>
          <w:rFonts w:asciiTheme="majorBidi" w:hAnsiTheme="majorBidi" w:cstheme="majorBidi"/>
        </w:rPr>
        <w:t>sugarcane, wheat, vegetables and floriculture</w:t>
      </w:r>
      <w:r w:rsidR="00B7568C">
        <w:rPr>
          <w:rFonts w:asciiTheme="majorBidi" w:hAnsiTheme="majorBidi" w:cstheme="majorBidi"/>
        </w:rPr>
        <w:t xml:space="preserve"> </w:t>
      </w:r>
      <w:r w:rsidRPr="007818BB">
        <w:rPr>
          <w:rFonts w:asciiTheme="majorBidi" w:hAnsiTheme="majorBidi" w:cstheme="majorBidi"/>
        </w:rPr>
        <w:t>presents favourable opportunities for farmers to benefit from digital market linkages. Yet farmers continue to encounter persistent barriers, including high input costs, limited storage, inadequate extension outreach and low awareness regarding digital trading options (NABARD, 2021; Meena et al., 2022).</w:t>
      </w:r>
      <w:r w:rsidR="00C34C62">
        <w:rPr>
          <w:rFonts w:asciiTheme="majorBidi" w:hAnsiTheme="majorBidi" w:cstheme="majorBidi"/>
        </w:rPr>
        <w:t xml:space="preserve"> </w:t>
      </w:r>
      <w:r w:rsidRPr="007818BB">
        <w:rPr>
          <w:rFonts w:asciiTheme="majorBidi" w:hAnsiTheme="majorBidi" w:cstheme="majorBidi"/>
        </w:rPr>
        <w:t>Given this context, understanding the socio-economic profile of e-NAM users in Meerut becomes essential. Examining their awareness, adoption behaviour and perceived benefits helps identify the inclusiveness of the platform and the extent to which it bridges existing market gaps. Insights derived from such analysis can assist policymakers and extension agencies in tailoring interventions aimed at strengthening digital literacy, improving infrastructure and ensuring equitable participation. Ultimately, a clearer understanding of these dynamics will support efforts to modernise agricultural marketing, enhance transparency and increase farmers’ incomes through a more integrated and efficient digital market ecosystem (FAO, 2020).</w:t>
      </w:r>
    </w:p>
    <w:p w14:paraId="5AB56E51" w14:textId="7A6BE05A" w:rsidR="007818BB" w:rsidRPr="003D0CFE" w:rsidRDefault="007818BB" w:rsidP="003D0CFE">
      <w:pPr>
        <w:pStyle w:val="ListParagraph"/>
        <w:numPr>
          <w:ilvl w:val="0"/>
          <w:numId w:val="2"/>
        </w:numPr>
        <w:ind w:left="284" w:hanging="284"/>
        <w:rPr>
          <w:rFonts w:asciiTheme="majorBidi" w:hAnsiTheme="majorBidi" w:cstheme="majorBidi"/>
          <w:b/>
          <w:bCs/>
        </w:rPr>
      </w:pPr>
      <w:r w:rsidRPr="003D0CFE">
        <w:rPr>
          <w:rFonts w:asciiTheme="majorBidi" w:hAnsiTheme="majorBidi" w:cstheme="majorBidi"/>
          <w:b/>
          <w:bCs/>
        </w:rPr>
        <w:t>METHODOLOGY</w:t>
      </w:r>
    </w:p>
    <w:p w14:paraId="1EFE49CA" w14:textId="2F1E5875" w:rsidR="00E85A3C" w:rsidRPr="00E85A3C" w:rsidRDefault="00E85A3C" w:rsidP="00E85A3C">
      <w:pPr>
        <w:jc w:val="both"/>
        <w:rPr>
          <w:rFonts w:asciiTheme="majorBidi" w:hAnsiTheme="majorBidi" w:cstheme="majorBidi"/>
        </w:rPr>
      </w:pPr>
      <w:r w:rsidRPr="00E85A3C">
        <w:rPr>
          <w:rFonts w:asciiTheme="majorBidi" w:hAnsiTheme="majorBidi" w:cstheme="majorBidi"/>
        </w:rPr>
        <w:t>The study was conducted in Meerut district of Uttar Pradesh, a major agricultural hub and an early adopter of the National Agriculture Market (e-NAM). The district was selected purposefully because its APMC mandis differ in their level of digitalisation, allowing an assessment of both farmers’ socio-economic conditions and the benefits experienced under e-NAM. Data were collected during 2021–2022, when mandi operations had stabilised after COVID-19, ensuring accurate recall from respondents.</w:t>
      </w:r>
    </w:p>
    <w:p w14:paraId="677A9A12" w14:textId="560B02BA" w:rsidR="007818BB" w:rsidRDefault="00E85A3C" w:rsidP="00216991">
      <w:pPr>
        <w:jc w:val="both"/>
        <w:rPr>
          <w:rFonts w:asciiTheme="majorBidi" w:hAnsiTheme="majorBidi" w:cstheme="majorBidi"/>
        </w:rPr>
      </w:pPr>
      <w:r w:rsidRPr="00E85A3C">
        <w:rPr>
          <w:rFonts w:asciiTheme="majorBidi" w:hAnsiTheme="majorBidi" w:cstheme="majorBidi"/>
        </w:rPr>
        <w:t>A descriptive–analytical research design was employed to profile e-NAM users and examine their perceived benefits. A multi-stage sampling technique was used. In the first stage, two mandis with more than one year of e-NAM operations and consistent arrivals were purposively selected. In the second stage, 80 farmers were chosen through simple random sampling from official e-NAM registries. Only farmers who had used the platform at least once in the preceding twelve months were included.</w:t>
      </w:r>
      <w:r w:rsidR="00C34C62">
        <w:rPr>
          <w:rFonts w:asciiTheme="majorBidi" w:hAnsiTheme="majorBidi" w:cstheme="majorBidi"/>
        </w:rPr>
        <w:t xml:space="preserve"> </w:t>
      </w:r>
      <w:r w:rsidRPr="00E85A3C">
        <w:rPr>
          <w:rFonts w:asciiTheme="majorBidi" w:hAnsiTheme="majorBidi" w:cstheme="majorBidi"/>
        </w:rPr>
        <w:t>Primary data were collected using a pre-tested structured interview schedule covering socio-demographic features, economic attributes, use of e-NAM services and perceived benefits. Pre-testing ensured clarity and sequencing of items. Face-to-face interviews were conducted either in farmers’ homes or mandi premises after obtaining informed consent and assuring confidentiality.</w:t>
      </w:r>
    </w:p>
    <w:p w14:paraId="45430B94" w14:textId="0B8964C9" w:rsidR="00544856" w:rsidRPr="003D0CFE" w:rsidRDefault="00544856" w:rsidP="00C2775B">
      <w:pPr>
        <w:pStyle w:val="ListParagraph"/>
        <w:numPr>
          <w:ilvl w:val="1"/>
          <w:numId w:val="2"/>
        </w:numPr>
        <w:tabs>
          <w:tab w:val="left" w:pos="426"/>
        </w:tabs>
        <w:spacing w:line="240" w:lineRule="auto"/>
        <w:ind w:left="284" w:hanging="284"/>
        <w:jc w:val="both"/>
        <w:rPr>
          <w:rFonts w:asciiTheme="majorBidi" w:hAnsiTheme="majorBidi" w:cstheme="majorBidi"/>
          <w:b/>
          <w:bCs/>
          <w:color w:val="EE0000"/>
        </w:rPr>
      </w:pPr>
      <w:r w:rsidRPr="003D0CFE">
        <w:rPr>
          <w:rFonts w:asciiTheme="majorBidi" w:hAnsiTheme="majorBidi" w:cstheme="majorBidi"/>
          <w:b/>
          <w:bCs/>
        </w:rPr>
        <w:t>Construction of the Socio-Economic Status (SES) Index</w:t>
      </w:r>
    </w:p>
    <w:p w14:paraId="381FF4EC" w14:textId="77777777" w:rsidR="00544856" w:rsidRDefault="00544856" w:rsidP="00544856">
      <w:pPr>
        <w:spacing w:line="240" w:lineRule="auto"/>
        <w:jc w:val="both"/>
        <w:rPr>
          <w:rFonts w:asciiTheme="majorBidi" w:hAnsiTheme="majorBidi" w:cstheme="majorBidi"/>
        </w:rPr>
      </w:pPr>
      <w:r w:rsidRPr="0033707A">
        <w:rPr>
          <w:rFonts w:asciiTheme="majorBidi" w:hAnsiTheme="majorBidi" w:cstheme="majorBidi"/>
        </w:rPr>
        <w:lastRenderedPageBreak/>
        <w:t>To examine economic differentiation among e-NAM users, a composite Socio-Economic Status (SES) Index was constructed using three core variables:</w:t>
      </w:r>
      <w:r w:rsidRPr="00047C31">
        <w:rPr>
          <w:rFonts w:asciiTheme="majorBidi" w:hAnsiTheme="majorBidi" w:cstheme="majorBidi"/>
        </w:rPr>
        <w:t xml:space="preserve"> 1. </w:t>
      </w:r>
      <w:r w:rsidRPr="0033707A">
        <w:rPr>
          <w:rFonts w:asciiTheme="majorBidi" w:hAnsiTheme="majorBidi" w:cstheme="majorBidi"/>
        </w:rPr>
        <w:t>Education level of the farmer</w:t>
      </w:r>
      <w:r w:rsidRPr="00047C31">
        <w:rPr>
          <w:rFonts w:asciiTheme="majorBidi" w:hAnsiTheme="majorBidi" w:cstheme="majorBidi"/>
        </w:rPr>
        <w:t xml:space="preserve">. 2. </w:t>
      </w:r>
      <w:r w:rsidRPr="0033707A">
        <w:rPr>
          <w:rFonts w:asciiTheme="majorBidi" w:hAnsiTheme="majorBidi" w:cstheme="majorBidi"/>
        </w:rPr>
        <w:t>Size of operational landholding (hectares)</w:t>
      </w:r>
      <w:r w:rsidRPr="00047C31">
        <w:rPr>
          <w:rFonts w:asciiTheme="majorBidi" w:hAnsiTheme="majorBidi" w:cstheme="majorBidi"/>
        </w:rPr>
        <w:t xml:space="preserve">; 3. </w:t>
      </w:r>
      <w:r w:rsidRPr="0033707A">
        <w:rPr>
          <w:rFonts w:asciiTheme="majorBidi" w:hAnsiTheme="majorBidi" w:cstheme="majorBidi"/>
        </w:rPr>
        <w:t>Annual farm income (₹)</w:t>
      </w:r>
      <w:r w:rsidRPr="00047C31">
        <w:rPr>
          <w:rFonts w:asciiTheme="majorBidi" w:hAnsiTheme="majorBidi" w:cstheme="majorBidi"/>
        </w:rPr>
        <w:t xml:space="preserve">. </w:t>
      </w:r>
      <w:r w:rsidRPr="0033707A">
        <w:rPr>
          <w:rFonts w:asciiTheme="majorBidi" w:hAnsiTheme="majorBidi" w:cstheme="majorBidi"/>
        </w:rPr>
        <w:t>Each variable was first normalised using z-score standardisation to ensure comparability across different units of measurement. The SES score for each respondent was generated by summing the three standardised values.</w:t>
      </w:r>
    </w:p>
    <w:p w14:paraId="78A6E85B" w14:textId="362CDD66" w:rsidR="00A21FAF" w:rsidRPr="00A21FAF" w:rsidRDefault="00A21FAF" w:rsidP="00544856">
      <w:pPr>
        <w:spacing w:line="240" w:lineRule="auto"/>
        <w:jc w:val="both"/>
        <w:rPr>
          <w:rFonts w:asciiTheme="majorBidi" w:eastAsiaTheme="minorEastAsia" w:hAnsiTheme="majorBidi" w:cstheme="majorBidi"/>
        </w:rPr>
      </w:pPr>
      <m:oMathPara>
        <m:oMath>
          <m:r>
            <w:rPr>
              <w:rFonts w:ascii="Cambria Math" w:hAnsi="Cambria Math" w:cstheme="majorBidi"/>
            </w:rPr>
            <m:t>SE</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=z</m:t>
          </m:r>
          <m:d>
            <m:dPr>
              <m:ctrlPr>
                <w:rPr>
                  <w:rFonts w:ascii="Cambria Math" w:hAnsi="Cambria Math" w:cstheme="majorBidi"/>
                  <w:i/>
                </w:rPr>
              </m:ctrlPr>
            </m:dPr>
            <m:e>
              <m:r>
                <w:rPr>
                  <w:rFonts w:ascii="Cambria Math" w:hAnsi="Cambria Math" w:cstheme="majorBidi"/>
                </w:rPr>
                <m:t>Education</m:t>
              </m:r>
            </m:e>
          </m:d>
          <m:r>
            <w:rPr>
              <w:rFonts w:ascii="Cambria Math" w:hAnsi="Cambria Math" w:cstheme="majorBidi"/>
            </w:rPr>
            <m:t>+z</m:t>
          </m:r>
          <m:d>
            <m:dPr>
              <m:ctrlPr>
                <w:rPr>
                  <w:rFonts w:ascii="Cambria Math" w:hAnsi="Cambria Math" w:cstheme="majorBidi"/>
                  <w:i/>
                </w:rPr>
              </m:ctrlPr>
            </m:dPr>
            <m:e>
              <m:r>
                <w:rPr>
                  <w:rFonts w:ascii="Cambria Math" w:hAnsi="Cambria Math" w:cstheme="majorBidi"/>
                </w:rPr>
                <m:t>Landholding</m:t>
              </m:r>
            </m:e>
          </m:d>
          <m:r>
            <w:rPr>
              <w:rFonts w:ascii="Cambria Math" w:hAnsi="Cambria Math" w:cstheme="majorBidi"/>
            </w:rPr>
            <m:t>+z</m:t>
          </m:r>
          <m:d>
            <m:dPr>
              <m:ctrlPr>
                <w:rPr>
                  <w:rFonts w:ascii="Cambria Math" w:hAnsi="Cambria Math" w:cstheme="majorBidi"/>
                  <w:i/>
                </w:rPr>
              </m:ctrlPr>
            </m:dPr>
            <m:e>
              <m:r>
                <w:rPr>
                  <w:rFonts w:ascii="Cambria Math" w:hAnsi="Cambria Math" w:cstheme="majorBidi"/>
                </w:rPr>
                <m:t>Income</m:t>
              </m:r>
            </m:e>
          </m:d>
        </m:oMath>
      </m:oMathPara>
    </w:p>
    <w:p w14:paraId="57958D60" w14:textId="6C385BC0" w:rsidR="00544856" w:rsidRDefault="00544856" w:rsidP="00544856">
      <w:pPr>
        <w:spacing w:line="240" w:lineRule="auto"/>
        <w:jc w:val="both"/>
        <w:rPr>
          <w:rFonts w:asciiTheme="majorBidi" w:hAnsiTheme="majorBidi" w:cstheme="majorBidi"/>
        </w:rPr>
      </w:pPr>
      <w:r w:rsidRPr="00047C31">
        <w:rPr>
          <w:rFonts w:asciiTheme="majorBidi" w:hAnsiTheme="majorBidi" w:cstheme="majorBidi"/>
        </w:rPr>
        <w:t>The index was then categorised into three levels Low, Medium and High based on score ranges that reflected the natural distribution of the sample. This index was later used to test statistical associations with perceived benefits of e-NAM.</w:t>
      </w:r>
    </w:p>
    <w:p w14:paraId="5552F95E" w14:textId="36186E3E" w:rsidR="006429FD" w:rsidRPr="00AB58CB" w:rsidRDefault="00265FD6" w:rsidP="00544856">
      <w:pPr>
        <w:spacing w:line="240" w:lineRule="auto"/>
        <w:jc w:val="both"/>
        <w:rPr>
          <w:rFonts w:asciiTheme="majorBidi" w:hAnsiTheme="majorBidi" w:cstheme="majorBidi"/>
          <w:b/>
          <w:bCs/>
        </w:rPr>
      </w:pPr>
      <w:r w:rsidRPr="00AB58CB">
        <w:rPr>
          <w:rFonts w:asciiTheme="majorBidi" w:hAnsiTheme="majorBidi" w:cstheme="majorBidi"/>
          <w:b/>
          <w:bCs/>
        </w:rPr>
        <w:t>Table</w:t>
      </w:r>
      <w:r w:rsidR="006429FD" w:rsidRPr="00AB58CB">
        <w:rPr>
          <w:rFonts w:asciiTheme="majorBidi" w:hAnsiTheme="majorBidi" w:cstheme="majorBidi"/>
          <w:b/>
          <w:bCs/>
        </w:rPr>
        <w:t xml:space="preserve"> 1. </w:t>
      </w:r>
      <w:r w:rsidR="00E97C30" w:rsidRPr="00AB58CB">
        <w:rPr>
          <w:rFonts w:asciiTheme="majorBidi" w:hAnsiTheme="majorBidi" w:cstheme="majorBidi"/>
          <w:b/>
          <w:bCs/>
        </w:rPr>
        <w:t>Measurement of variables used in the study</w:t>
      </w:r>
    </w:p>
    <w:tbl>
      <w:tblPr>
        <w:tblStyle w:val="TableGrid"/>
        <w:tblW w:w="5000" w:type="pct"/>
        <w:tblLook w:val="04A0" w:firstRow="1" w:lastRow="0" w:firstColumn="1" w:lastColumn="0" w:noHBand="0" w:noVBand="1"/>
      </w:tblPr>
      <w:tblGrid>
        <w:gridCol w:w="2012"/>
        <w:gridCol w:w="3794"/>
        <w:gridCol w:w="3210"/>
      </w:tblGrid>
      <w:tr w:rsidR="004411B7" w:rsidRPr="003C6C17" w14:paraId="6D5EA50E" w14:textId="77777777" w:rsidTr="00C321EF">
        <w:tc>
          <w:tcPr>
            <w:tcW w:w="1116" w:type="pct"/>
            <w:vAlign w:val="center"/>
            <w:hideMark/>
          </w:tcPr>
          <w:p w14:paraId="72407803" w14:textId="77777777" w:rsidR="004411B7" w:rsidRPr="00E97C30" w:rsidRDefault="004411B7" w:rsidP="003C6C17">
            <w:pPr>
              <w:rPr>
                <w:rFonts w:asciiTheme="majorBidi" w:hAnsiTheme="majorBidi" w:cstheme="majorBidi"/>
                <w:b/>
                <w:bCs/>
                <w:sz w:val="23"/>
                <w:szCs w:val="23"/>
              </w:rPr>
            </w:pPr>
            <w:r w:rsidRPr="00E97C30">
              <w:rPr>
                <w:rFonts w:asciiTheme="majorBidi" w:hAnsiTheme="majorBidi" w:cstheme="majorBidi"/>
                <w:b/>
                <w:bCs/>
                <w:sz w:val="23"/>
                <w:szCs w:val="23"/>
              </w:rPr>
              <w:t>Variable</w:t>
            </w:r>
          </w:p>
        </w:tc>
        <w:tc>
          <w:tcPr>
            <w:tcW w:w="2104" w:type="pct"/>
            <w:vAlign w:val="center"/>
            <w:hideMark/>
          </w:tcPr>
          <w:p w14:paraId="2E48F304" w14:textId="77777777" w:rsidR="004411B7" w:rsidRPr="00E97C30" w:rsidRDefault="004411B7" w:rsidP="003C6C17">
            <w:pPr>
              <w:rPr>
                <w:rFonts w:asciiTheme="majorBidi" w:hAnsiTheme="majorBidi" w:cstheme="majorBidi"/>
                <w:b/>
                <w:bCs/>
                <w:sz w:val="23"/>
                <w:szCs w:val="23"/>
              </w:rPr>
            </w:pPr>
            <w:r w:rsidRPr="00E97C30">
              <w:rPr>
                <w:rFonts w:asciiTheme="majorBidi" w:hAnsiTheme="majorBidi" w:cstheme="majorBidi"/>
                <w:b/>
                <w:bCs/>
                <w:sz w:val="23"/>
                <w:szCs w:val="23"/>
              </w:rPr>
              <w:t>Definition / Measurement</w:t>
            </w:r>
          </w:p>
        </w:tc>
        <w:tc>
          <w:tcPr>
            <w:tcW w:w="1780" w:type="pct"/>
            <w:vAlign w:val="center"/>
            <w:hideMark/>
          </w:tcPr>
          <w:p w14:paraId="3F9FB7E5" w14:textId="77777777" w:rsidR="004411B7" w:rsidRPr="00E97C30" w:rsidRDefault="004411B7" w:rsidP="003C6C17">
            <w:pPr>
              <w:rPr>
                <w:rFonts w:asciiTheme="majorBidi" w:hAnsiTheme="majorBidi" w:cstheme="majorBidi"/>
                <w:b/>
                <w:bCs/>
                <w:sz w:val="23"/>
                <w:szCs w:val="23"/>
              </w:rPr>
            </w:pPr>
            <w:r w:rsidRPr="00E97C30">
              <w:rPr>
                <w:rFonts w:asciiTheme="majorBidi" w:hAnsiTheme="majorBidi" w:cstheme="majorBidi"/>
                <w:b/>
                <w:bCs/>
                <w:sz w:val="23"/>
                <w:szCs w:val="23"/>
              </w:rPr>
              <w:t>Scale / Coding</w:t>
            </w:r>
          </w:p>
        </w:tc>
      </w:tr>
      <w:tr w:rsidR="004411B7" w:rsidRPr="003C6C17" w14:paraId="1C828D53" w14:textId="77777777" w:rsidTr="00C321EF">
        <w:tc>
          <w:tcPr>
            <w:tcW w:w="1116" w:type="pct"/>
            <w:vAlign w:val="center"/>
            <w:hideMark/>
          </w:tcPr>
          <w:p w14:paraId="62EEF442"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Age</w:t>
            </w:r>
          </w:p>
        </w:tc>
        <w:tc>
          <w:tcPr>
            <w:tcW w:w="2104" w:type="pct"/>
            <w:vAlign w:val="center"/>
            <w:hideMark/>
          </w:tcPr>
          <w:p w14:paraId="041D70A8"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Age of respondent in completed years</w:t>
            </w:r>
          </w:p>
        </w:tc>
        <w:tc>
          <w:tcPr>
            <w:tcW w:w="1780" w:type="pct"/>
            <w:vAlign w:val="center"/>
            <w:hideMark/>
          </w:tcPr>
          <w:p w14:paraId="787786FD"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Continuous</w:t>
            </w:r>
          </w:p>
        </w:tc>
      </w:tr>
      <w:tr w:rsidR="004411B7" w:rsidRPr="003C6C17" w14:paraId="05195472" w14:textId="77777777" w:rsidTr="00C321EF">
        <w:tc>
          <w:tcPr>
            <w:tcW w:w="1116" w:type="pct"/>
            <w:vAlign w:val="center"/>
            <w:hideMark/>
          </w:tcPr>
          <w:p w14:paraId="577474E7"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Gender</w:t>
            </w:r>
          </w:p>
        </w:tc>
        <w:tc>
          <w:tcPr>
            <w:tcW w:w="2104" w:type="pct"/>
            <w:vAlign w:val="center"/>
            <w:hideMark/>
          </w:tcPr>
          <w:p w14:paraId="29B5B443"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Biological sex of respondent</w:t>
            </w:r>
          </w:p>
        </w:tc>
        <w:tc>
          <w:tcPr>
            <w:tcW w:w="1780" w:type="pct"/>
            <w:vAlign w:val="center"/>
            <w:hideMark/>
          </w:tcPr>
          <w:p w14:paraId="3AD128DC"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Male = 1, Female = 0</w:t>
            </w:r>
          </w:p>
        </w:tc>
      </w:tr>
      <w:tr w:rsidR="004411B7" w:rsidRPr="003C6C17" w14:paraId="086850B4" w14:textId="77777777" w:rsidTr="00C321EF">
        <w:tc>
          <w:tcPr>
            <w:tcW w:w="1116" w:type="pct"/>
            <w:vAlign w:val="center"/>
            <w:hideMark/>
          </w:tcPr>
          <w:p w14:paraId="37C948B2"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Education</w:t>
            </w:r>
          </w:p>
        </w:tc>
        <w:tc>
          <w:tcPr>
            <w:tcW w:w="2104" w:type="pct"/>
            <w:vAlign w:val="center"/>
            <w:hideMark/>
          </w:tcPr>
          <w:p w14:paraId="3FF69FBE"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Highest completed level of formal education</w:t>
            </w:r>
          </w:p>
        </w:tc>
        <w:tc>
          <w:tcPr>
            <w:tcW w:w="1780" w:type="pct"/>
            <w:vAlign w:val="center"/>
            <w:hideMark/>
          </w:tcPr>
          <w:p w14:paraId="735B1602"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0 = Illiterate, 1 = Primary, 2 = Middle, 3 = High school, 4 = Intermediate, 5 = Graduate, 6 = Postgraduate</w:t>
            </w:r>
          </w:p>
        </w:tc>
      </w:tr>
      <w:tr w:rsidR="004411B7" w:rsidRPr="003C6C17" w14:paraId="16C0046B" w14:textId="77777777" w:rsidTr="00C321EF">
        <w:tc>
          <w:tcPr>
            <w:tcW w:w="1116" w:type="pct"/>
            <w:vAlign w:val="center"/>
            <w:hideMark/>
          </w:tcPr>
          <w:p w14:paraId="24ECB42D"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Caste</w:t>
            </w:r>
          </w:p>
        </w:tc>
        <w:tc>
          <w:tcPr>
            <w:tcW w:w="2104" w:type="pct"/>
            <w:vAlign w:val="center"/>
            <w:hideMark/>
          </w:tcPr>
          <w:p w14:paraId="27C8F153"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Social category as reported by farmer</w:t>
            </w:r>
          </w:p>
        </w:tc>
        <w:tc>
          <w:tcPr>
            <w:tcW w:w="1780" w:type="pct"/>
            <w:vAlign w:val="center"/>
            <w:hideMark/>
          </w:tcPr>
          <w:p w14:paraId="62DEC1DC"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General / OBC / SC–ST</w:t>
            </w:r>
          </w:p>
        </w:tc>
      </w:tr>
      <w:tr w:rsidR="004411B7" w:rsidRPr="003C6C17" w14:paraId="6989D289" w14:textId="77777777" w:rsidTr="00C321EF">
        <w:tc>
          <w:tcPr>
            <w:tcW w:w="1116" w:type="pct"/>
            <w:vAlign w:val="center"/>
            <w:hideMark/>
          </w:tcPr>
          <w:p w14:paraId="5F763B23"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Family size</w:t>
            </w:r>
          </w:p>
        </w:tc>
        <w:tc>
          <w:tcPr>
            <w:tcW w:w="2104" w:type="pct"/>
            <w:vAlign w:val="center"/>
            <w:hideMark/>
          </w:tcPr>
          <w:p w14:paraId="55C78561"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Total number of family members sharing the same kitchen</w:t>
            </w:r>
          </w:p>
        </w:tc>
        <w:tc>
          <w:tcPr>
            <w:tcW w:w="1780" w:type="pct"/>
            <w:vAlign w:val="center"/>
            <w:hideMark/>
          </w:tcPr>
          <w:p w14:paraId="6254C802"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Continuous</w:t>
            </w:r>
          </w:p>
        </w:tc>
      </w:tr>
      <w:tr w:rsidR="004411B7" w:rsidRPr="003C6C17" w14:paraId="4DDEE0A2" w14:textId="77777777" w:rsidTr="00C321EF">
        <w:tc>
          <w:tcPr>
            <w:tcW w:w="1116" w:type="pct"/>
            <w:vAlign w:val="center"/>
            <w:hideMark/>
          </w:tcPr>
          <w:p w14:paraId="675EBB7E"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Occupation</w:t>
            </w:r>
          </w:p>
        </w:tc>
        <w:tc>
          <w:tcPr>
            <w:tcW w:w="2104" w:type="pct"/>
            <w:vAlign w:val="center"/>
            <w:hideMark/>
          </w:tcPr>
          <w:p w14:paraId="384BB5ED"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Main livelihood activity</w:t>
            </w:r>
          </w:p>
        </w:tc>
        <w:tc>
          <w:tcPr>
            <w:tcW w:w="1780" w:type="pct"/>
            <w:vAlign w:val="center"/>
            <w:hideMark/>
          </w:tcPr>
          <w:p w14:paraId="4B8F272E"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Farming / Farming + Labour / Other</w:t>
            </w:r>
          </w:p>
        </w:tc>
      </w:tr>
      <w:tr w:rsidR="004411B7" w:rsidRPr="003C6C17" w14:paraId="7EAA58A3" w14:textId="77777777" w:rsidTr="00C321EF">
        <w:tc>
          <w:tcPr>
            <w:tcW w:w="1116" w:type="pct"/>
            <w:vAlign w:val="center"/>
            <w:hideMark/>
          </w:tcPr>
          <w:p w14:paraId="7A5C8748"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Landholding size</w:t>
            </w:r>
          </w:p>
        </w:tc>
        <w:tc>
          <w:tcPr>
            <w:tcW w:w="2104" w:type="pct"/>
            <w:vAlign w:val="center"/>
            <w:hideMark/>
          </w:tcPr>
          <w:p w14:paraId="4ABECC97"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Total operational land (owned + leased)</w:t>
            </w:r>
          </w:p>
        </w:tc>
        <w:tc>
          <w:tcPr>
            <w:tcW w:w="1780" w:type="pct"/>
            <w:vAlign w:val="center"/>
            <w:hideMark/>
          </w:tcPr>
          <w:p w14:paraId="14BBAB61"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Marginal &lt;1 ha, Small 1–2 ha, Medium 2–4 ha, Large &gt;4 ha</w:t>
            </w:r>
          </w:p>
        </w:tc>
      </w:tr>
      <w:tr w:rsidR="004411B7" w:rsidRPr="003C6C17" w14:paraId="6D33BBDC" w14:textId="77777777" w:rsidTr="00C321EF">
        <w:tc>
          <w:tcPr>
            <w:tcW w:w="1116" w:type="pct"/>
            <w:vAlign w:val="center"/>
            <w:hideMark/>
          </w:tcPr>
          <w:p w14:paraId="68177274"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Annual farm income</w:t>
            </w:r>
          </w:p>
        </w:tc>
        <w:tc>
          <w:tcPr>
            <w:tcW w:w="2104" w:type="pct"/>
            <w:vAlign w:val="center"/>
            <w:hideMark/>
          </w:tcPr>
          <w:p w14:paraId="668EB51D"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Income from farm activities (self-reported)</w:t>
            </w:r>
          </w:p>
        </w:tc>
        <w:tc>
          <w:tcPr>
            <w:tcW w:w="1780" w:type="pct"/>
            <w:vAlign w:val="center"/>
            <w:hideMark/>
          </w:tcPr>
          <w:p w14:paraId="0BC705BC"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&lt;₹50k, ₹50–100k, ₹100–200k, &gt;₹200k</w:t>
            </w:r>
          </w:p>
        </w:tc>
      </w:tr>
      <w:tr w:rsidR="004411B7" w:rsidRPr="003C6C17" w14:paraId="50F3809C" w14:textId="77777777" w:rsidTr="00C321EF">
        <w:tc>
          <w:tcPr>
            <w:tcW w:w="1116" w:type="pct"/>
            <w:vAlign w:val="center"/>
            <w:hideMark/>
          </w:tcPr>
          <w:p w14:paraId="74BADA75"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Socio-economic Status (SES)</w:t>
            </w:r>
          </w:p>
        </w:tc>
        <w:tc>
          <w:tcPr>
            <w:tcW w:w="2104" w:type="pct"/>
            <w:vAlign w:val="center"/>
            <w:hideMark/>
          </w:tcPr>
          <w:p w14:paraId="3F5BBE4E" w14:textId="52F3642E"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Composite index based on education, income</w:t>
            </w:r>
            <w:r w:rsidR="00365DA6" w:rsidRPr="003C6C17">
              <w:rPr>
                <w:rFonts w:asciiTheme="majorBidi" w:hAnsiTheme="majorBidi" w:cstheme="majorBidi"/>
                <w:sz w:val="23"/>
                <w:szCs w:val="23"/>
              </w:rPr>
              <w:t xml:space="preserve"> and</w:t>
            </w:r>
            <w:r w:rsidRPr="003C6C17">
              <w:rPr>
                <w:rFonts w:asciiTheme="majorBidi" w:hAnsiTheme="majorBidi" w:cstheme="majorBidi"/>
                <w:sz w:val="23"/>
                <w:szCs w:val="23"/>
              </w:rPr>
              <w:t xml:space="preserve"> landholding; values standardized and summed</w:t>
            </w:r>
          </w:p>
        </w:tc>
        <w:tc>
          <w:tcPr>
            <w:tcW w:w="1780" w:type="pct"/>
            <w:vAlign w:val="center"/>
            <w:hideMark/>
          </w:tcPr>
          <w:p w14:paraId="3DA07D4B"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SES score: Low / Medium / High</w:t>
            </w:r>
          </w:p>
        </w:tc>
      </w:tr>
      <w:tr w:rsidR="004411B7" w:rsidRPr="003C6C17" w14:paraId="7BCE9E3D" w14:textId="77777777" w:rsidTr="00C321EF">
        <w:tc>
          <w:tcPr>
            <w:tcW w:w="1116" w:type="pct"/>
            <w:vAlign w:val="center"/>
            <w:hideMark/>
          </w:tcPr>
          <w:p w14:paraId="2899BCC3"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Awareness of e-NAM</w:t>
            </w:r>
          </w:p>
        </w:tc>
        <w:tc>
          <w:tcPr>
            <w:tcW w:w="2104" w:type="pct"/>
            <w:vAlign w:val="center"/>
            <w:hideMark/>
          </w:tcPr>
          <w:p w14:paraId="2CEB4162"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Whether the farmer has heard about e-NAM</w:t>
            </w:r>
          </w:p>
        </w:tc>
        <w:tc>
          <w:tcPr>
            <w:tcW w:w="1780" w:type="pct"/>
            <w:vAlign w:val="center"/>
            <w:hideMark/>
          </w:tcPr>
          <w:p w14:paraId="58381D73"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Yes = 1, No = 0</w:t>
            </w:r>
          </w:p>
        </w:tc>
      </w:tr>
      <w:tr w:rsidR="004411B7" w:rsidRPr="003C6C17" w14:paraId="15B794BD" w14:textId="77777777" w:rsidTr="00C321EF">
        <w:tc>
          <w:tcPr>
            <w:tcW w:w="1116" w:type="pct"/>
            <w:vAlign w:val="center"/>
            <w:hideMark/>
          </w:tcPr>
          <w:p w14:paraId="409985B8"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Use of e-NAM platform</w:t>
            </w:r>
          </w:p>
        </w:tc>
        <w:tc>
          <w:tcPr>
            <w:tcW w:w="2104" w:type="pct"/>
            <w:vAlign w:val="center"/>
            <w:hideMark/>
          </w:tcPr>
          <w:p w14:paraId="5CABAB8C"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Whether the farmer ever used e-NAM for sale</w:t>
            </w:r>
          </w:p>
        </w:tc>
        <w:tc>
          <w:tcPr>
            <w:tcW w:w="1780" w:type="pct"/>
            <w:vAlign w:val="center"/>
            <w:hideMark/>
          </w:tcPr>
          <w:p w14:paraId="40E1138B"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Yes = 1, No = 0</w:t>
            </w:r>
          </w:p>
        </w:tc>
      </w:tr>
      <w:tr w:rsidR="004411B7" w:rsidRPr="003C6C17" w14:paraId="690418F4" w14:textId="77777777" w:rsidTr="00C321EF">
        <w:tc>
          <w:tcPr>
            <w:tcW w:w="1116" w:type="pct"/>
            <w:vAlign w:val="center"/>
            <w:hideMark/>
          </w:tcPr>
          <w:p w14:paraId="3ED1D6F3"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Dependent variable: Perceived Benefits of e-NAM</w:t>
            </w:r>
          </w:p>
        </w:tc>
        <w:tc>
          <w:tcPr>
            <w:tcW w:w="2104" w:type="pct"/>
            <w:vAlign w:val="center"/>
            <w:hideMark/>
          </w:tcPr>
          <w:p w14:paraId="132FFC46" w14:textId="77777777" w:rsidR="004411B7" w:rsidRPr="003C6C17" w:rsidRDefault="004411B7" w:rsidP="003C6C17">
            <w:pPr>
              <w:jc w:val="both"/>
              <w:rPr>
                <w:rFonts w:asciiTheme="majorBidi" w:hAnsiTheme="majorBidi" w:cstheme="majorBidi"/>
                <w:sz w:val="23"/>
                <w:szCs w:val="23"/>
              </w:rPr>
            </w:pPr>
            <w:r w:rsidRPr="003C6C17">
              <w:rPr>
                <w:rFonts w:asciiTheme="majorBidi" w:hAnsiTheme="majorBidi" w:cstheme="majorBidi"/>
                <w:sz w:val="23"/>
                <w:szCs w:val="23"/>
              </w:rPr>
              <w:t>Benefits were measured using seven dichotomous items (Yes/No) covering: (a) price satisfaction, (b) income gain, (c) record keeping, (d) cleanliness, (e) safe drinking water, (f) canteen facility, (g) trolley availability. Each benefit = 1 if present.</w:t>
            </w:r>
          </w:p>
        </w:tc>
        <w:tc>
          <w:tcPr>
            <w:tcW w:w="1780" w:type="pct"/>
            <w:vAlign w:val="center"/>
            <w:hideMark/>
          </w:tcPr>
          <w:p w14:paraId="32EDD4A9" w14:textId="77777777" w:rsidR="004411B7" w:rsidRPr="003C6C17" w:rsidRDefault="004411B7" w:rsidP="003C6C17">
            <w:pPr>
              <w:rPr>
                <w:rFonts w:asciiTheme="majorBidi" w:hAnsiTheme="majorBidi" w:cstheme="majorBidi"/>
                <w:sz w:val="23"/>
                <w:szCs w:val="23"/>
              </w:rPr>
            </w:pPr>
            <w:r w:rsidRPr="003C6C17">
              <w:rPr>
                <w:rFonts w:asciiTheme="majorBidi" w:hAnsiTheme="majorBidi" w:cstheme="majorBidi"/>
                <w:sz w:val="23"/>
                <w:szCs w:val="23"/>
              </w:rPr>
              <w:t>Score range: 0–7 (binary additive index)</w:t>
            </w:r>
          </w:p>
        </w:tc>
      </w:tr>
    </w:tbl>
    <w:p w14:paraId="4877F171" w14:textId="77777777" w:rsidR="003C6C17" w:rsidRPr="003C6C17" w:rsidRDefault="003C6C17" w:rsidP="003C6C17">
      <w:pPr>
        <w:tabs>
          <w:tab w:val="left" w:pos="426"/>
        </w:tabs>
        <w:spacing w:line="240" w:lineRule="auto"/>
        <w:jc w:val="both"/>
        <w:rPr>
          <w:rFonts w:asciiTheme="majorBidi" w:hAnsiTheme="majorBidi" w:cstheme="majorBidi"/>
        </w:rPr>
      </w:pPr>
    </w:p>
    <w:p w14:paraId="333C592A" w14:textId="6CBA7719" w:rsidR="00544856" w:rsidRPr="003D0CFE" w:rsidRDefault="00544856" w:rsidP="003D0CFE">
      <w:pPr>
        <w:pStyle w:val="ListParagraph"/>
        <w:numPr>
          <w:ilvl w:val="1"/>
          <w:numId w:val="2"/>
        </w:numPr>
        <w:tabs>
          <w:tab w:val="left" w:pos="426"/>
        </w:tabs>
        <w:spacing w:line="240" w:lineRule="auto"/>
        <w:ind w:left="284" w:hanging="284"/>
        <w:jc w:val="both"/>
        <w:rPr>
          <w:rFonts w:asciiTheme="majorBidi" w:hAnsiTheme="majorBidi" w:cstheme="majorBidi"/>
        </w:rPr>
      </w:pPr>
      <w:r w:rsidRPr="003D0CFE">
        <w:rPr>
          <w:rFonts w:asciiTheme="majorBidi" w:hAnsiTheme="majorBidi" w:cstheme="majorBidi"/>
          <w:b/>
          <w:bCs/>
        </w:rPr>
        <w:t>Measurement of Perceived Benefits</w:t>
      </w:r>
    </w:p>
    <w:p w14:paraId="1D74A61B" w14:textId="61E55EDD" w:rsidR="007B5C03" w:rsidRPr="003C069F" w:rsidRDefault="00544856" w:rsidP="00544856">
      <w:pPr>
        <w:spacing w:line="240" w:lineRule="auto"/>
        <w:jc w:val="both"/>
        <w:rPr>
          <w:rFonts w:asciiTheme="majorBidi" w:hAnsiTheme="majorBidi" w:cstheme="majorBidi"/>
        </w:rPr>
      </w:pPr>
      <w:r w:rsidRPr="00AE1E8B">
        <w:rPr>
          <w:rFonts w:asciiTheme="majorBidi" w:hAnsiTheme="majorBidi" w:cstheme="majorBidi"/>
        </w:rPr>
        <w:t xml:space="preserve">To capture farmers’ experience with e-NAM services, a set of seven benefit indicators was used. These included satisfaction with price, improvement in profitability, ease of record keeping, cleanliness of mandi premises, availability of storage facilities, satisfaction with drinking </w:t>
      </w:r>
      <w:r w:rsidRPr="00AE57B1">
        <w:rPr>
          <w:rFonts w:asciiTheme="majorBidi" w:hAnsiTheme="majorBidi" w:cstheme="majorBidi"/>
        </w:rPr>
        <w:t xml:space="preserve">water/canteen services and availability of trolleys for commodity movement. </w:t>
      </w:r>
      <w:r w:rsidRPr="00AE57B1">
        <w:rPr>
          <w:rFonts w:asciiTheme="majorBidi" w:hAnsiTheme="majorBidi" w:cstheme="majorBidi"/>
        </w:rPr>
        <w:lastRenderedPageBreak/>
        <w:t>Responses were recorded as Yes/No, making the indicators binary in nature. Before conducting factor analysis, internal consistency of this scale was assessed:</w:t>
      </w:r>
      <w:r w:rsidR="00A21FAF">
        <w:rPr>
          <w:rFonts w:asciiTheme="majorBidi" w:hAnsiTheme="majorBidi" w:cstheme="majorBidi"/>
        </w:rPr>
        <w:t xml:space="preserve"> </w:t>
      </w:r>
      <m:oMath>
        <m:r>
          <m:rPr>
            <m:sty m:val="p"/>
          </m:rPr>
          <w:rPr>
            <w:rFonts w:ascii="Cambria Math" w:hAnsi="Cambria Math" w:cstheme="majorBidi"/>
          </w:rPr>
          <m:t>α</m:t>
        </m:r>
        <m:r>
          <w:rPr>
            <w:rFonts w:ascii="Cambria Math" w:hAnsi="Cambria Math" w:cstheme="majorBidi"/>
          </w:rPr>
          <m:t>= 0.82</m:t>
        </m:r>
      </m:oMath>
      <w:r w:rsidRPr="00AE57B1">
        <w:rPr>
          <w:rFonts w:asciiTheme="majorBidi" w:hAnsiTheme="majorBidi" w:cstheme="majorBidi"/>
        </w:rPr>
        <w:t>, indicating very good reliability. KMO Measure = 0.78, confirming sampling adequacy. Bartlett’s Test of Sphericity was highly significant, indicating that the correlation matrix was suitable for factor extraction. Because the items were binary, correlations were treated accordingly during the analysis to ensure interpretationa</w:t>
      </w:r>
      <w:r w:rsidRPr="00AE1E8B">
        <w:rPr>
          <w:rFonts w:asciiTheme="majorBidi" w:hAnsiTheme="majorBidi" w:cstheme="majorBidi"/>
        </w:rPr>
        <w:t>l accuracy.</w:t>
      </w:r>
    </w:p>
    <w:p w14:paraId="080A11D9" w14:textId="77777777" w:rsidR="00544856" w:rsidRPr="00544856" w:rsidRDefault="00544856" w:rsidP="003D0CFE">
      <w:pPr>
        <w:pStyle w:val="ListParagraph"/>
        <w:numPr>
          <w:ilvl w:val="1"/>
          <w:numId w:val="2"/>
        </w:numPr>
        <w:tabs>
          <w:tab w:val="left" w:pos="426"/>
        </w:tabs>
        <w:spacing w:line="240" w:lineRule="auto"/>
        <w:ind w:left="284" w:hanging="284"/>
        <w:jc w:val="both"/>
        <w:rPr>
          <w:rFonts w:asciiTheme="majorBidi" w:hAnsiTheme="majorBidi" w:cstheme="majorBidi"/>
          <w:b/>
          <w:bCs/>
        </w:rPr>
      </w:pPr>
      <w:r w:rsidRPr="00544856">
        <w:rPr>
          <w:rFonts w:asciiTheme="majorBidi" w:hAnsiTheme="majorBidi" w:cstheme="majorBidi"/>
          <w:b/>
          <w:bCs/>
        </w:rPr>
        <w:t>Analytical tools and statistical tests</w:t>
      </w:r>
    </w:p>
    <w:p w14:paraId="055B70DA" w14:textId="77777777" w:rsidR="00544856" w:rsidRPr="00544856" w:rsidRDefault="00544856" w:rsidP="00544856">
      <w:pPr>
        <w:jc w:val="both"/>
        <w:rPr>
          <w:rFonts w:asciiTheme="majorBidi" w:hAnsiTheme="majorBidi" w:cstheme="majorBidi"/>
        </w:rPr>
      </w:pPr>
      <w:r w:rsidRPr="00544856">
        <w:rPr>
          <w:rFonts w:asciiTheme="majorBidi" w:hAnsiTheme="majorBidi" w:cstheme="majorBidi"/>
        </w:rPr>
        <w:t>Data were analysed in IBM SPSS. A combination of inferential techniques was used to test associations, direction and strength of relationships between socio-economic variables and perceived benefits.</w:t>
      </w:r>
    </w:p>
    <w:p w14:paraId="4527E2A5" w14:textId="651042E2" w:rsidR="00544856" w:rsidRDefault="00544856" w:rsidP="003D0CFE">
      <w:pPr>
        <w:pStyle w:val="ListParagraph"/>
        <w:numPr>
          <w:ilvl w:val="1"/>
          <w:numId w:val="2"/>
        </w:numPr>
        <w:tabs>
          <w:tab w:val="left" w:pos="426"/>
        </w:tabs>
        <w:spacing w:line="240" w:lineRule="auto"/>
        <w:ind w:left="284" w:hanging="284"/>
        <w:jc w:val="both"/>
        <w:rPr>
          <w:rFonts w:asciiTheme="majorBidi" w:hAnsiTheme="majorBidi" w:cstheme="majorBidi"/>
        </w:rPr>
      </w:pPr>
      <w:r w:rsidRPr="00544856">
        <w:rPr>
          <w:rFonts w:asciiTheme="majorBidi" w:hAnsiTheme="majorBidi" w:cstheme="majorBidi"/>
          <w:b/>
          <w:bCs/>
        </w:rPr>
        <w:t>Chi-square test of independence</w:t>
      </w:r>
    </w:p>
    <w:p w14:paraId="61EAD23F" w14:textId="291BAF13" w:rsidR="00A92CB5" w:rsidRDefault="00544856" w:rsidP="00216991">
      <w:pPr>
        <w:jc w:val="both"/>
        <w:rPr>
          <w:rFonts w:asciiTheme="majorBidi" w:hAnsiTheme="majorBidi" w:cstheme="majorBidi"/>
        </w:rPr>
      </w:pPr>
      <w:r w:rsidRPr="00544856">
        <w:rPr>
          <w:rFonts w:asciiTheme="majorBidi" w:hAnsiTheme="majorBidi" w:cstheme="majorBidi"/>
        </w:rPr>
        <w:t>Pearson’s chi-square (</w:t>
      </w:r>
      <m:oMath>
        <m:sSup>
          <m:sSupPr>
            <m:ctrlPr>
              <w:rPr>
                <w:rFonts w:ascii="Cambria Math" w:hAnsi="Cambria Math" w:cstheme="majorBidi"/>
                <w:i/>
              </w:rPr>
            </m:ctrlPr>
          </m:sSupPr>
          <m:e>
            <m:r>
              <w:rPr>
                <w:rFonts w:ascii="Cambria Math" w:hAnsi="Cambria Math" w:cstheme="majorBidi"/>
              </w:rPr>
              <m:t>χ</m:t>
            </m:r>
            <m:ctrlPr>
              <w:rPr>
                <w:rFonts w:ascii="Cambria Math" w:hAnsi="Cambria Math" w:cstheme="majorBidi"/>
              </w:rPr>
            </m:ctrlPr>
          </m:e>
          <m:sup>
            <m:r>
              <w:rPr>
                <w:rFonts w:ascii="Cambria Math" w:hAnsi="Cambria Math" w:cstheme="majorBidi"/>
              </w:rPr>
              <m:t>2</m:t>
            </m:r>
          </m:sup>
        </m:sSup>
      </m:oMath>
      <w:r w:rsidRPr="00544856">
        <w:rPr>
          <w:rFonts w:asciiTheme="majorBidi" w:hAnsiTheme="majorBidi" w:cstheme="majorBidi"/>
        </w:rPr>
        <w:t>) test was applied to examine associations between categorical socio-economic variables (education, caste, landholding category, occupation) and binary benefit indicators (Yes/No). The test statistic is computed as:</w:t>
      </w:r>
    </w:p>
    <w:p w14:paraId="6D78A921" w14:textId="166498E3" w:rsidR="00A92CB5" w:rsidRPr="00A92CB5" w:rsidRDefault="009F532B" w:rsidP="00216991">
      <w:pPr>
        <w:jc w:val="both"/>
        <w:rPr>
          <w:rFonts w:asciiTheme="majorBidi" w:eastAsiaTheme="minorEastAsia" w:hAnsiTheme="majorBidi" w:cstheme="majorBidi"/>
        </w:rPr>
      </w:pPr>
      <m:oMathPara>
        <m:oMath>
          <m:sSup>
            <m:sSupPr>
              <m:ctrlPr>
                <w:rPr>
                  <w:rFonts w:ascii="Cambria Math" w:hAnsi="Cambria Math" w:cstheme="majorBidi"/>
                  <w:i/>
                </w:rPr>
              </m:ctrlPr>
            </m:sSupPr>
            <m:e>
              <m:r>
                <m:rPr>
                  <m:sty m:val="p"/>
                </m:rPr>
                <w:rPr>
                  <w:rFonts w:ascii="Cambria Math" w:hAnsi="Cambria Math" w:cstheme="majorBidi"/>
                </w:rPr>
                <m:t>χ</m:t>
              </m:r>
              <m:ctrlPr>
                <w:rPr>
                  <w:rFonts w:ascii="Cambria Math" w:hAnsi="Cambria Math" w:cstheme="majorBidi"/>
                </w:rPr>
              </m:ctrlPr>
            </m:e>
            <m:sup>
              <m:r>
                <w:rPr>
                  <w:rFonts w:ascii="Cambria Math" w:hAnsi="Cambria Math" w:cstheme="majorBidi"/>
                </w:rPr>
                <m:t>2</m:t>
              </m:r>
            </m:sup>
          </m:sSup>
          <m:r>
            <w:rPr>
              <w:rFonts w:ascii="Cambria Math" w:hAnsi="Cambria Math" w:cstheme="majorBidi"/>
            </w:rPr>
            <m:t>=</m:t>
          </m:r>
          <m:nary>
            <m:naryPr>
              <m:chr m:val="∑"/>
              <m:subHide m:val="1"/>
              <m:supHide m:val="1"/>
              <m:ctrlPr>
                <w:rPr>
                  <w:rFonts w:ascii="Cambria Math" w:hAnsi="Cambria Math" w:cstheme="majorBidi"/>
                </w:rPr>
              </m:ctrlPr>
            </m:naryPr>
            <m:sub/>
            <m:sup/>
            <m:e>
              <m:f>
                <m:fPr>
                  <m:ctrlPr>
                    <w:rPr>
                      <w:rFonts w:ascii="Cambria Math" w:hAnsi="Cambria Math" w:cstheme="majorBidi"/>
                    </w:rPr>
                  </m:ctrlPr>
                </m:fPr>
                <m:num>
                  <m:sSup>
                    <m:sSupPr>
                      <m:ctrlPr>
                        <w:rPr>
                          <w:rFonts w:ascii="Cambria Math" w:hAnsi="Cambria Math" w:cstheme="majorBidi"/>
                          <w:i/>
                        </w:rPr>
                      </m:ctrlPr>
                    </m:sSupPr>
                    <m:e>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O</m:t>
                              </m:r>
                            </m:e>
                            <m:sub>
                              <m:r>
                                <w:rPr>
                                  <w:rFonts w:ascii="Cambria Math" w:hAnsi="Cambria Math" w:cstheme="majorBidi"/>
                                </w:rPr>
                                <m:t>ij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ij</m:t>
                              </m:r>
                            </m:sub>
                          </m:sSub>
                        </m:e>
                      </m:d>
                    </m:e>
                    <m:sup>
                      <m:r>
                        <w:rPr>
                          <w:rFonts w:ascii="Cambria Math" w:hAnsi="Cambria Math" w:cstheme="majorBidi"/>
                        </w:rPr>
                        <m:t>2</m:t>
                      </m:r>
                    </m:sup>
                  </m:sSup>
                  <m:ctrlPr>
                    <w:rPr>
                      <w:rFonts w:ascii="Cambria Math" w:hAnsi="Cambria Math" w:cstheme="majorBidi"/>
                      <w:i/>
                    </w:rPr>
                  </m:ctrlPr>
                </m:num>
                <m:den>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ij</m:t>
                      </m:r>
                    </m:sub>
                  </m:sSub>
                  <m:ctrlPr>
                    <w:rPr>
                      <w:rFonts w:ascii="Cambria Math" w:hAnsi="Cambria Math" w:cstheme="majorBidi"/>
                      <w:i/>
                    </w:rPr>
                  </m:ctrlPr>
                </m:den>
              </m:f>
            </m:e>
          </m:nary>
        </m:oMath>
      </m:oMathPara>
    </w:p>
    <w:p w14:paraId="51D597A5" w14:textId="64BEA3E5" w:rsidR="00A92CB5" w:rsidRDefault="00A92CB5" w:rsidP="00216991">
      <w:pPr>
        <w:jc w:val="both"/>
        <w:rPr>
          <w:rFonts w:asciiTheme="majorBidi" w:eastAsiaTheme="minorEastAsia" w:hAnsiTheme="majorBidi" w:cstheme="majorBidi"/>
        </w:rPr>
      </w:pPr>
      <w:r w:rsidRPr="00A92CB5">
        <w:rPr>
          <w:rFonts w:asciiTheme="majorBidi" w:eastAsiaTheme="minorEastAsia" w:hAnsiTheme="majorBidi" w:cstheme="majorBidi"/>
        </w:rPr>
        <w:t xml:space="preserve">where </w:t>
      </w:r>
      <m:oMath>
        <m:sSub>
          <m:sSubPr>
            <m:ctrlPr>
              <w:rPr>
                <w:rFonts w:ascii="Cambria Math" w:eastAsiaTheme="minorEastAsia" w:hAnsi="Cambria Math" w:cstheme="majorBidi"/>
                <w:i/>
              </w:rPr>
            </m:ctrlPr>
          </m:sSubPr>
          <m:e>
            <m:r>
              <w:rPr>
                <w:rFonts w:ascii="Cambria Math" w:eastAsiaTheme="minorEastAsia" w:hAnsi="Cambria Math" w:cstheme="majorBidi"/>
              </w:rPr>
              <m:t>O</m:t>
            </m:r>
          </m:e>
          <m:sub>
            <m:r>
              <w:rPr>
                <w:rFonts w:ascii="Cambria Math" w:eastAsiaTheme="minorEastAsia" w:hAnsi="Cambria Math" w:cstheme="majorBidi"/>
              </w:rPr>
              <m:t>ij</m:t>
            </m:r>
          </m:sub>
        </m:sSub>
        <m:r>
          <m:rPr>
            <m:sty m:val="p"/>
          </m:rPr>
          <w:rPr>
            <w:rFonts w:ascii="Cambria Math" w:eastAsiaTheme="minorEastAsia" w:hAnsi="Cambria Math" w:cstheme="majorBidi"/>
          </w:rPr>
          <m:t xml:space="preserve"> and </m:t>
        </m:r>
        <m:sSub>
          <m:sSubPr>
            <m:ctrlPr>
              <w:rPr>
                <w:rFonts w:ascii="Cambria Math" w:eastAsiaTheme="minorEastAsia" w:hAnsi="Cambria Math" w:cstheme="majorBidi"/>
                <w:i/>
              </w:rPr>
            </m:ctrlPr>
          </m:sSubPr>
          <m:e>
            <m:r>
              <w:rPr>
                <w:rFonts w:ascii="Cambria Math" w:eastAsiaTheme="minorEastAsia" w:hAnsi="Cambria Math" w:cstheme="majorBidi"/>
              </w:rPr>
              <m:t>E</m:t>
            </m:r>
            <m:ctrlPr>
              <w:rPr>
                <w:rFonts w:ascii="Cambria Math" w:eastAsiaTheme="minorEastAsia" w:hAnsi="Cambria Math" w:cstheme="majorBidi"/>
              </w:rPr>
            </m:ctrlPr>
          </m:e>
          <m:sub>
            <m:r>
              <w:rPr>
                <w:rFonts w:ascii="Cambria Math" w:eastAsiaTheme="minorEastAsia" w:hAnsi="Cambria Math" w:cstheme="majorBidi"/>
              </w:rPr>
              <m:t>ij</m:t>
            </m:r>
          </m:sub>
        </m:sSub>
      </m:oMath>
      <w:r>
        <w:rPr>
          <w:rFonts w:asciiTheme="majorBidi" w:eastAsiaTheme="minorEastAsia" w:hAnsiTheme="majorBidi" w:cstheme="majorBidi"/>
        </w:rPr>
        <w:t xml:space="preserve"> </w:t>
      </w:r>
      <w:r w:rsidRPr="00A92CB5">
        <w:rPr>
          <w:rFonts w:asciiTheme="majorBidi" w:eastAsiaTheme="minorEastAsia" w:hAnsiTheme="majorBidi" w:cstheme="majorBidi"/>
        </w:rPr>
        <w:t>are the observed and expected frequencies in cell</w:t>
      </w:r>
      <w:r w:rsidR="006122DA">
        <w:rPr>
          <w:rFonts w:asciiTheme="majorBidi" w:eastAsiaTheme="minorEastAsia" w:hAnsiTheme="majorBidi" w:cstheme="majorBidi"/>
        </w:rPr>
        <w:t xml:space="preserve"> </w:t>
      </w:r>
      <m:oMath>
        <m:r>
          <w:rPr>
            <w:rFonts w:ascii="Cambria Math" w:hAnsi="Cambria Math" w:cstheme="majorBidi"/>
          </w:rPr>
          <m:t>ij</m:t>
        </m:r>
      </m:oMath>
      <w:r w:rsidR="00454D1E">
        <w:rPr>
          <w:rFonts w:asciiTheme="majorBidi" w:eastAsiaTheme="minorEastAsia" w:hAnsiTheme="majorBidi" w:cstheme="majorBidi"/>
          <w:i/>
          <w:iCs/>
        </w:rPr>
        <w:t>.</w:t>
      </w:r>
      <w:r w:rsidR="00454D1E">
        <w:rPr>
          <w:rFonts w:asciiTheme="majorBidi" w:eastAsiaTheme="minorEastAsia" w:hAnsiTheme="majorBidi" w:cstheme="majorBidi"/>
        </w:rPr>
        <w:t xml:space="preserve"> </w:t>
      </w:r>
      <w:r w:rsidRPr="00A92CB5">
        <w:rPr>
          <w:rFonts w:asciiTheme="majorBidi" w:eastAsiaTheme="minorEastAsia" w:hAnsiTheme="majorBidi" w:cstheme="majorBidi"/>
        </w:rPr>
        <w:t>Degrees of freedom</w:t>
      </w:r>
      <w:r w:rsidR="00BA1E5C">
        <w:rPr>
          <w:rFonts w:asciiTheme="majorBidi" w:eastAsiaTheme="minorEastAsia" w:hAnsiTheme="majorBidi" w:cstheme="majorBidi"/>
        </w:rPr>
        <w:t xml:space="preserve"> </w:t>
      </w:r>
      <w:r w:rsidRPr="00A92CB5">
        <w:rPr>
          <w:rFonts w:asciiTheme="majorBidi" w:eastAsiaTheme="minorEastAsia" w:hAnsiTheme="majorBidi" w:cstheme="majorBidi"/>
        </w:rPr>
        <w:t>(</w:t>
      </w:r>
      <m:oMath>
        <m:r>
          <w:rPr>
            <w:rFonts w:ascii="Cambria Math" w:eastAsiaTheme="minorEastAsia" w:hAnsi="Cambria Math" w:cstheme="majorBidi"/>
          </w:rPr>
          <m:t>df</m:t>
        </m:r>
      </m:oMath>
      <w:r w:rsidRPr="00A92CB5">
        <w:rPr>
          <w:rFonts w:asciiTheme="majorBidi" w:eastAsiaTheme="minorEastAsia" w:hAnsiTheme="majorBidi" w:cstheme="majorBidi"/>
        </w:rPr>
        <w:t>) equal</w:t>
      </w:r>
      <w:r w:rsidR="00454D1E">
        <w:rPr>
          <w:rFonts w:asciiTheme="majorBidi" w:eastAsiaTheme="minorEastAsia" w:hAnsiTheme="majorBidi" w:cstheme="majorBidi"/>
        </w:rPr>
        <w:t xml:space="preserve"> </w:t>
      </w:r>
      <m:oMath>
        <m:r>
          <w:rPr>
            <w:rFonts w:ascii="Cambria Math" w:eastAsiaTheme="minorEastAsia" w:hAnsi="Cambria Math" w:cstheme="majorBidi"/>
          </w:rPr>
          <m:t>df=</m:t>
        </m:r>
        <m:d>
          <m:dPr>
            <m:ctrlPr>
              <w:rPr>
                <w:rFonts w:ascii="Cambria Math" w:eastAsiaTheme="minorEastAsia" w:hAnsi="Cambria Math" w:cstheme="majorBidi"/>
                <w:i/>
              </w:rPr>
            </m:ctrlPr>
          </m:dPr>
          <m:e>
            <m:r>
              <w:rPr>
                <w:rFonts w:ascii="Cambria Math" w:eastAsiaTheme="minorEastAsia" w:hAnsi="Cambria Math" w:cstheme="majorBidi"/>
              </w:rPr>
              <m:t>r-1</m:t>
            </m:r>
          </m:e>
        </m:d>
        <m:d>
          <m:dPr>
            <m:ctrlPr>
              <w:rPr>
                <w:rFonts w:ascii="Cambria Math" w:eastAsiaTheme="minorEastAsia" w:hAnsi="Cambria Math" w:cstheme="majorBidi"/>
                <w:i/>
              </w:rPr>
            </m:ctrlPr>
          </m:dPr>
          <m:e>
            <m:r>
              <w:rPr>
                <w:rFonts w:ascii="Cambria Math" w:eastAsiaTheme="minorEastAsia" w:hAnsi="Cambria Math" w:cstheme="majorBidi"/>
              </w:rPr>
              <m:t>c-1</m:t>
            </m:r>
          </m:e>
        </m:d>
      </m:oMath>
      <w:r w:rsidR="00454D1E">
        <w:rPr>
          <w:rFonts w:asciiTheme="majorBidi" w:eastAsiaTheme="minorEastAsia" w:hAnsiTheme="majorBidi" w:cstheme="majorBidi"/>
        </w:rPr>
        <w:t>.</w:t>
      </w:r>
      <w:r w:rsidRPr="00A92CB5">
        <w:rPr>
          <w:rFonts w:asciiTheme="majorBidi" w:eastAsiaTheme="minorEastAsia" w:hAnsiTheme="majorBidi" w:cstheme="majorBidi"/>
        </w:rPr>
        <w:t xml:space="preserve"> When any expected cell frequency was &lt;5, categories were merged to satisfy test assumptions or Fisher’s exact test was used for 2×2 tables. Statistical significance was assessed via the p-value; results with </w:t>
      </w:r>
      <m:oMath>
        <m:r>
          <w:rPr>
            <w:rFonts w:ascii="Cambria Math" w:eastAsiaTheme="minorEastAsia" w:hAnsi="Cambria Math" w:cstheme="majorBidi"/>
          </w:rPr>
          <m:t>p &lt; 0.05</m:t>
        </m:r>
      </m:oMath>
      <w:r w:rsidR="00454D1E">
        <w:rPr>
          <w:rFonts w:asciiTheme="majorBidi" w:eastAsiaTheme="minorEastAsia" w:hAnsiTheme="majorBidi" w:cstheme="majorBidi"/>
        </w:rPr>
        <w:t xml:space="preserve"> </w:t>
      </w:r>
      <w:r w:rsidRPr="00A92CB5">
        <w:rPr>
          <w:rFonts w:asciiTheme="majorBidi" w:eastAsiaTheme="minorEastAsia" w:hAnsiTheme="majorBidi" w:cstheme="majorBidi"/>
        </w:rPr>
        <w:t xml:space="preserve">were treated as statistically significant and </w:t>
      </w:r>
      <m:oMath>
        <m:r>
          <w:rPr>
            <w:rFonts w:ascii="Cambria Math" w:eastAsiaTheme="minorEastAsia" w:hAnsi="Cambria Math" w:cstheme="majorBidi"/>
          </w:rPr>
          <m:t>p &lt; 0.01</m:t>
        </m:r>
      </m:oMath>
      <w:r w:rsidRPr="00A92CB5">
        <w:rPr>
          <w:rFonts w:asciiTheme="majorBidi" w:eastAsiaTheme="minorEastAsia" w:hAnsiTheme="majorBidi" w:cstheme="majorBidi"/>
        </w:rPr>
        <w:t xml:space="preserve"> as highly significant. For significant chi-square results, effect size was reported using Phi (for 2×2 tables) or Cramer’s V (for larger tables):</w:t>
      </w:r>
    </w:p>
    <w:p w14:paraId="00298D82" w14:textId="0A354AC7" w:rsidR="00BA1E5C" w:rsidRPr="00BA1E5C" w:rsidRDefault="00BA1E5C" w:rsidP="00216991">
      <w:pPr>
        <w:jc w:val="both"/>
        <w:rPr>
          <w:rFonts w:asciiTheme="majorBidi" w:eastAsiaTheme="minorEastAsia" w:hAnsiTheme="majorBidi" w:cstheme="majorBidi"/>
        </w:rPr>
      </w:pPr>
      <m:oMathPara>
        <m:oMath>
          <m:r>
            <w:rPr>
              <w:rFonts w:ascii="Cambria Math" w:eastAsiaTheme="minorEastAsia" w:hAnsi="Cambria Math" w:cstheme="majorBidi"/>
            </w:rPr>
            <m:t>V=</m:t>
          </m:r>
          <m:rad>
            <m:radPr>
              <m:degHide m:val="1"/>
              <m:ctrlPr>
                <w:rPr>
                  <w:rFonts w:ascii="Cambria Math" w:eastAsiaTheme="minorEastAsia" w:hAnsi="Cambria Math" w:cstheme="majorBidi"/>
                </w:rPr>
              </m:ctrlPr>
            </m:radPr>
            <m:deg>
              <m:ctrlPr>
                <w:rPr>
                  <w:rFonts w:ascii="Cambria Math" w:eastAsiaTheme="minorEastAsia" w:hAnsi="Cambria Math" w:cstheme="majorBidi"/>
                  <w:i/>
                </w:rPr>
              </m:ctrlPr>
            </m:deg>
            <m:e>
              <m:f>
                <m:fPr>
                  <m:ctrlPr>
                    <w:rPr>
                      <w:rFonts w:ascii="Cambria Math" w:eastAsiaTheme="minorEastAsia" w:hAnsi="Cambria Math" w:cstheme="majorBidi"/>
                    </w:rPr>
                  </m:ctrlPr>
                </m:fPr>
                <m:num>
                  <m:sSup>
                    <m:sSupPr>
                      <m:ctrlPr>
                        <w:rPr>
                          <w:rFonts w:ascii="Cambria Math" w:eastAsiaTheme="minorEastAsia" w:hAnsi="Cambria Math" w:cstheme="majorBidi"/>
                          <w:i/>
                        </w:rPr>
                      </m:ctrlPr>
                    </m:sSupPr>
                    <m:e>
                      <m:r>
                        <m:rPr>
                          <m:sty m:val="p"/>
                        </m:rPr>
                        <w:rPr>
                          <w:rFonts w:ascii="Cambria Math" w:eastAsiaTheme="minorEastAsia" w:hAnsi="Cambria Math" w:cstheme="majorBidi"/>
                        </w:rPr>
                        <m:t>χ</m:t>
                      </m:r>
                    </m:e>
                    <m:sup>
                      <m:r>
                        <w:rPr>
                          <w:rFonts w:ascii="Cambria Math" w:eastAsiaTheme="minorEastAsia" w:hAnsi="Cambria Math" w:cstheme="majorBidi"/>
                        </w:rPr>
                        <m:t>2</m:t>
                      </m:r>
                    </m:sup>
                  </m:sSup>
                  <m:ctrlPr>
                    <w:rPr>
                      <w:rFonts w:ascii="Cambria Math" w:eastAsiaTheme="minorEastAsia" w:hAnsi="Cambria Math" w:cstheme="majorBidi"/>
                      <w:i/>
                    </w:rPr>
                  </m:ctrlPr>
                </m:num>
                <m:den>
                  <m:r>
                    <w:rPr>
                      <w:rFonts w:ascii="Cambria Math" w:eastAsiaTheme="minorEastAsia" w:hAnsi="Cambria Math" w:cstheme="majorBidi"/>
                    </w:rPr>
                    <m:t>n</m:t>
                  </m:r>
                  <m:d>
                    <m:dPr>
                      <m:ctrlPr>
                        <w:rPr>
                          <w:rFonts w:ascii="Cambria Math" w:eastAsiaTheme="minorEastAsia" w:hAnsi="Cambria Math" w:cstheme="majorBidi"/>
                          <w:i/>
                        </w:rPr>
                      </m:ctrlPr>
                    </m:dPr>
                    <m:e>
                      <m:r>
                        <w:rPr>
                          <w:rFonts w:ascii="Cambria Math" w:eastAsiaTheme="minorEastAsia" w:hAnsi="Cambria Math" w:cstheme="majorBidi"/>
                        </w:rPr>
                        <m:t>k-1</m:t>
                      </m:r>
                    </m:e>
                  </m:d>
                  <m:ctrlPr>
                    <w:rPr>
                      <w:rFonts w:ascii="Cambria Math" w:eastAsiaTheme="minorEastAsia" w:hAnsi="Cambria Math" w:cstheme="majorBidi"/>
                      <w:i/>
                    </w:rPr>
                  </m:ctrlPr>
                </m:den>
              </m:f>
            </m:e>
          </m:rad>
        </m:oMath>
      </m:oMathPara>
    </w:p>
    <w:p w14:paraId="7C8C536A" w14:textId="322EA033" w:rsidR="00BA1E5C" w:rsidRDefault="006122DA" w:rsidP="00216991">
      <w:pPr>
        <w:jc w:val="both"/>
        <w:rPr>
          <w:rFonts w:asciiTheme="majorBidi" w:eastAsiaTheme="minorEastAsia" w:hAnsiTheme="majorBidi" w:cstheme="majorBidi"/>
        </w:rPr>
      </w:pPr>
      <w:r w:rsidRPr="006122DA">
        <w:rPr>
          <w:rFonts w:asciiTheme="majorBidi" w:eastAsiaTheme="minorEastAsia" w:hAnsiTheme="majorBidi" w:cstheme="majorBidi"/>
        </w:rPr>
        <w:t xml:space="preserve">where </w:t>
      </w:r>
      <m:oMath>
        <m:r>
          <w:rPr>
            <w:rFonts w:ascii="Cambria Math" w:eastAsiaTheme="minorEastAsia" w:hAnsi="Cambria Math" w:cstheme="majorBidi"/>
          </w:rPr>
          <m:t>n</m:t>
        </m:r>
      </m:oMath>
      <w:r w:rsidRPr="006122DA">
        <w:rPr>
          <w:rFonts w:asciiTheme="majorBidi" w:eastAsiaTheme="minorEastAsia" w:hAnsiTheme="majorBidi" w:cstheme="majorBidi"/>
        </w:rPr>
        <w:t xml:space="preserve"> is sample size and </w:t>
      </w:r>
      <m:oMath>
        <m:r>
          <w:rPr>
            <w:rFonts w:ascii="Cambria Math" w:eastAsiaTheme="minorEastAsia" w:hAnsi="Cambria Math" w:cstheme="majorBidi"/>
          </w:rPr>
          <m:t>k</m:t>
        </m:r>
      </m:oMath>
      <w:r w:rsidRPr="006122DA">
        <w:rPr>
          <w:rFonts w:asciiTheme="majorBidi" w:eastAsiaTheme="minorEastAsia" w:hAnsiTheme="majorBidi" w:cstheme="majorBidi"/>
        </w:rPr>
        <w:t xml:space="preserve"> is the smaller of the number of rows or columns. This provides a measure of association strength (small/medium/large).</w:t>
      </w:r>
    </w:p>
    <w:p w14:paraId="3A9780B7" w14:textId="4CFCDD96" w:rsidR="00E03737" w:rsidRDefault="00E03737" w:rsidP="003D0CFE">
      <w:pPr>
        <w:pStyle w:val="ListParagraph"/>
        <w:numPr>
          <w:ilvl w:val="1"/>
          <w:numId w:val="2"/>
        </w:numPr>
        <w:tabs>
          <w:tab w:val="left" w:pos="426"/>
        </w:tabs>
        <w:spacing w:line="240" w:lineRule="auto"/>
        <w:ind w:left="284" w:hanging="284"/>
        <w:jc w:val="both"/>
        <w:rPr>
          <w:rFonts w:asciiTheme="majorBidi" w:eastAsiaTheme="minorEastAsia" w:hAnsiTheme="majorBidi" w:cstheme="majorBidi"/>
        </w:rPr>
      </w:pPr>
      <w:r w:rsidRPr="003D0CFE">
        <w:rPr>
          <w:rFonts w:asciiTheme="majorBidi" w:hAnsiTheme="majorBidi" w:cstheme="majorBidi"/>
          <w:b/>
          <w:bCs/>
        </w:rPr>
        <w:t>Correlation</w:t>
      </w:r>
      <w:r w:rsidRPr="00E03737">
        <w:rPr>
          <w:rFonts w:asciiTheme="majorBidi" w:eastAsiaTheme="minorEastAsia" w:hAnsiTheme="majorBidi" w:cstheme="majorBidi"/>
          <w:b/>
          <w:bCs/>
        </w:rPr>
        <w:t xml:space="preserve"> analysis.</w:t>
      </w:r>
    </w:p>
    <w:p w14:paraId="5AD636E1" w14:textId="36FC4241" w:rsidR="00E03737" w:rsidRDefault="00E03737" w:rsidP="00216991">
      <w:pPr>
        <w:jc w:val="both"/>
        <w:rPr>
          <w:rFonts w:asciiTheme="majorBidi" w:eastAsiaTheme="minorEastAsia" w:hAnsiTheme="majorBidi" w:cstheme="majorBidi"/>
        </w:rPr>
      </w:pPr>
      <w:r w:rsidRPr="00E03737">
        <w:rPr>
          <w:rFonts w:asciiTheme="majorBidi" w:eastAsiaTheme="minorEastAsia" w:hAnsiTheme="majorBidi" w:cstheme="majorBidi"/>
        </w:rPr>
        <w:t>Associations between continuous or ordinal variables (SES score, landholding in hectares, annual income</w:t>
      </w:r>
      <w:r w:rsidR="00AB0D1A">
        <w:rPr>
          <w:rFonts w:asciiTheme="majorBidi" w:eastAsiaTheme="minorEastAsia" w:hAnsiTheme="majorBidi" w:cstheme="majorBidi"/>
        </w:rPr>
        <w:t xml:space="preserve"> and</w:t>
      </w:r>
      <w:r w:rsidRPr="00E03737">
        <w:rPr>
          <w:rFonts w:asciiTheme="majorBidi" w:eastAsiaTheme="minorEastAsia" w:hAnsiTheme="majorBidi" w:cstheme="majorBidi"/>
        </w:rPr>
        <w:t xml:space="preserve"> overall benefit score) were quantified using Pearson’s correlation coefficient </w:t>
      </w:r>
      <m:oMath>
        <m:r>
          <w:rPr>
            <w:rFonts w:ascii="Cambria Math" w:eastAsiaTheme="minorEastAsia" w:hAnsi="Cambria Math" w:cstheme="majorBidi"/>
          </w:rPr>
          <m:t>r</m:t>
        </m:r>
      </m:oMath>
      <w:r w:rsidRPr="00E03737">
        <w:rPr>
          <w:rFonts w:asciiTheme="majorBidi" w:eastAsiaTheme="minorEastAsia" w:hAnsiTheme="majorBidi" w:cstheme="majorBidi"/>
        </w:rPr>
        <w:t xml:space="preserve"> when both variables approximated normal distribution:</w:t>
      </w:r>
    </w:p>
    <w:p w14:paraId="47682A02" w14:textId="3DE932A4" w:rsidR="00A77F05" w:rsidRPr="00A77F05" w:rsidRDefault="00A77F05" w:rsidP="00216991">
      <w:pPr>
        <w:jc w:val="both"/>
        <w:rPr>
          <w:rFonts w:asciiTheme="majorBidi" w:eastAsiaTheme="minorEastAsia" w:hAnsiTheme="majorBidi" w:cstheme="majorBidi"/>
        </w:rPr>
      </w:pPr>
      <w:bookmarkStart w:id="0" w:name="_Hlk215780720"/>
      <m:oMathPara>
        <m:oMath>
          <m:r>
            <w:rPr>
              <w:rFonts w:ascii="Cambria Math" w:eastAsiaTheme="minorEastAsia" w:hAnsi="Cambria Math" w:cstheme="majorBidi"/>
            </w:rPr>
            <m:t>r</m:t>
          </m:r>
          <w:bookmarkEnd w:id="0"/>
          <m:r>
            <w:rPr>
              <w:rFonts w:ascii="Cambria Math" w:eastAsiaTheme="minorEastAsia" w:hAnsi="Cambria Math" w:cstheme="majorBidi"/>
            </w:rPr>
            <m:t>=</m:t>
          </m:r>
          <m:f>
            <m:fPr>
              <m:ctrlPr>
                <w:rPr>
                  <w:rFonts w:ascii="Cambria Math" w:eastAsiaTheme="minorEastAsia" w:hAnsi="Cambria Math" w:cstheme="majorBidi"/>
                </w:rPr>
              </m:ctrlPr>
            </m:fPr>
            <m:num>
              <m:nary>
                <m:naryPr>
                  <m:chr m:val="∑"/>
                  <m:subHide m:val="1"/>
                  <m:supHide m:val="1"/>
                  <m:ctrlPr>
                    <w:rPr>
                      <w:rFonts w:ascii="Cambria Math" w:eastAsiaTheme="minorEastAsia" w:hAnsi="Cambria Math" w:cstheme="majorBidi"/>
                    </w:rPr>
                  </m:ctrlPr>
                </m:naryPr>
                <m:sub>
                  <m:ctrlPr>
                    <w:rPr>
                      <w:rFonts w:ascii="Cambria Math" w:eastAsiaTheme="minorEastAsia" w:hAnsi="Cambria Math" w:cstheme="majorBidi"/>
                      <w:i/>
                    </w:rPr>
                  </m:ctrlPr>
                </m:sub>
                <m:sup>
                  <m:ctrlPr>
                    <w:rPr>
                      <w:rFonts w:ascii="Cambria Math" w:eastAsiaTheme="minorEastAsia" w:hAnsi="Cambria Math" w:cstheme="majorBidi"/>
                      <w:i/>
                    </w:rPr>
                  </m:ctrlPr>
                </m:sup>
                <m:e>
                  <m:d>
                    <m:dPr>
                      <m:ctrlPr>
                        <w:rPr>
                          <w:rFonts w:ascii="Cambria Math" w:eastAsiaTheme="minorEastAsia" w:hAnsi="Cambria Math" w:cstheme="majorBidi"/>
                          <w:i/>
                        </w:rPr>
                      </m:ctrlPr>
                    </m:dPr>
                    <m:e>
                      <m:r>
                        <w:rPr>
                          <w:rFonts w:ascii="Cambria Math" w:eastAsiaTheme="minorEastAsia" w:hAnsi="Cambria Math" w:cstheme="majorBidi"/>
                        </w:rPr>
                        <m:t>x-</m:t>
                      </m:r>
                      <m:acc>
                        <m:accPr>
                          <m:chr m:val="̅"/>
                          <m:ctrlPr>
                            <w:rPr>
                              <w:rFonts w:ascii="Cambria Math" w:eastAsiaTheme="minorEastAsia" w:hAnsi="Cambria Math" w:cstheme="majorBidi"/>
                            </w:rPr>
                          </m:ctrlPr>
                        </m:accPr>
                        <m:e>
                          <m:r>
                            <w:rPr>
                              <w:rFonts w:ascii="Cambria Math" w:eastAsiaTheme="minorEastAsia" w:hAnsi="Cambria Math" w:cstheme="majorBidi"/>
                            </w:rPr>
                            <m:t>x</m:t>
                          </m:r>
                        </m:e>
                      </m:acc>
                    </m:e>
                  </m:d>
                  <m:d>
                    <m:dPr>
                      <m:ctrlPr>
                        <w:rPr>
                          <w:rFonts w:ascii="Cambria Math" w:eastAsiaTheme="minorEastAsia" w:hAnsi="Cambria Math" w:cstheme="majorBidi"/>
                          <w:i/>
                        </w:rPr>
                      </m:ctrlPr>
                    </m:dPr>
                    <m:e>
                      <m:r>
                        <w:rPr>
                          <w:rFonts w:ascii="Cambria Math" w:eastAsiaTheme="minorEastAsia" w:hAnsi="Cambria Math" w:cstheme="majorBidi"/>
                        </w:rPr>
                        <m:t>y-</m:t>
                      </m:r>
                      <m:acc>
                        <m:accPr>
                          <m:chr m:val="̅"/>
                          <m:ctrlPr>
                            <w:rPr>
                              <w:rFonts w:ascii="Cambria Math" w:eastAsiaTheme="minorEastAsia" w:hAnsi="Cambria Math" w:cstheme="majorBidi"/>
                            </w:rPr>
                          </m:ctrlPr>
                        </m:accPr>
                        <m:e>
                          <m:r>
                            <w:rPr>
                              <w:rFonts w:ascii="Cambria Math" w:eastAsiaTheme="minorEastAsia" w:hAnsi="Cambria Math" w:cstheme="majorBidi"/>
                            </w:rPr>
                            <m:t>y</m:t>
                          </m:r>
                        </m:e>
                      </m:acc>
                    </m:e>
                  </m:d>
                  <m:ctrlPr>
                    <w:rPr>
                      <w:rFonts w:ascii="Cambria Math" w:eastAsiaTheme="minorEastAsia" w:hAnsi="Cambria Math" w:cstheme="majorBidi"/>
                      <w:i/>
                    </w:rPr>
                  </m:ctrlPr>
                </m:e>
              </m:nary>
              <m:ctrlPr>
                <w:rPr>
                  <w:rFonts w:ascii="Cambria Math" w:eastAsiaTheme="minorEastAsia" w:hAnsi="Cambria Math" w:cstheme="majorBidi"/>
                  <w:i/>
                </w:rPr>
              </m:ctrlPr>
            </m:num>
            <m:den>
              <m:rad>
                <m:radPr>
                  <m:degHide m:val="1"/>
                  <m:ctrlPr>
                    <w:rPr>
                      <w:rFonts w:ascii="Cambria Math" w:eastAsiaTheme="minorEastAsia" w:hAnsi="Cambria Math" w:cstheme="majorBidi"/>
                    </w:rPr>
                  </m:ctrlPr>
                </m:radPr>
                <m:deg>
                  <m:ctrlPr>
                    <w:rPr>
                      <w:rFonts w:ascii="Cambria Math" w:eastAsiaTheme="minorEastAsia" w:hAnsi="Cambria Math" w:cstheme="majorBidi"/>
                      <w:i/>
                    </w:rPr>
                  </m:ctrlPr>
                </m:deg>
                <m:e>
                  <m:nary>
                    <m:naryPr>
                      <m:chr m:val="∑"/>
                      <m:subHide m:val="1"/>
                      <m:supHide m:val="1"/>
                      <m:ctrlPr>
                        <w:rPr>
                          <w:rFonts w:ascii="Cambria Math" w:eastAsiaTheme="minorEastAsia" w:hAnsi="Cambria Math" w:cstheme="majorBidi"/>
                        </w:rPr>
                      </m:ctrlPr>
                    </m:naryPr>
                    <m:sub>
                      <m:ctrlPr>
                        <w:rPr>
                          <w:rFonts w:ascii="Cambria Math" w:eastAsiaTheme="minorEastAsia" w:hAnsi="Cambria Math" w:cstheme="majorBidi"/>
                          <w:i/>
                        </w:rPr>
                      </m:ctrlPr>
                    </m:sub>
                    <m:sup>
                      <m:ctrlPr>
                        <w:rPr>
                          <w:rFonts w:ascii="Cambria Math" w:eastAsiaTheme="minorEastAsia" w:hAnsi="Cambria Math" w:cstheme="majorBidi"/>
                          <w:i/>
                        </w:rPr>
                      </m:ctrlPr>
                    </m:sup>
                    <m:e>
                      <m:sSup>
                        <m:sSupPr>
                          <m:ctrlPr>
                            <w:rPr>
                              <w:rFonts w:ascii="Cambria Math" w:eastAsiaTheme="minorEastAsia" w:hAnsi="Cambria Math" w:cstheme="majorBidi"/>
                              <w:i/>
                            </w:rPr>
                          </m:ctrlPr>
                        </m:sSupPr>
                        <m:e>
                          <m:d>
                            <m:dPr>
                              <m:ctrlPr>
                                <w:rPr>
                                  <w:rFonts w:ascii="Cambria Math" w:eastAsiaTheme="minorEastAsia" w:hAnsi="Cambria Math" w:cstheme="majorBidi"/>
                                  <w:i/>
                                </w:rPr>
                              </m:ctrlPr>
                            </m:dPr>
                            <m:e>
                              <m:r>
                                <w:rPr>
                                  <w:rFonts w:ascii="Cambria Math" w:eastAsiaTheme="minorEastAsia" w:hAnsi="Cambria Math" w:cstheme="majorBidi"/>
                                </w:rPr>
                                <m:t>x-</m:t>
                              </m:r>
                              <m:acc>
                                <m:accPr>
                                  <m:chr m:val="̅"/>
                                  <m:ctrlPr>
                                    <w:rPr>
                                      <w:rFonts w:ascii="Cambria Math" w:eastAsiaTheme="minorEastAsia" w:hAnsi="Cambria Math" w:cstheme="majorBidi"/>
                                    </w:rPr>
                                  </m:ctrlPr>
                                </m:accPr>
                                <m:e>
                                  <m:r>
                                    <w:rPr>
                                      <w:rFonts w:ascii="Cambria Math" w:eastAsiaTheme="minorEastAsia" w:hAnsi="Cambria Math" w:cstheme="majorBidi"/>
                                    </w:rPr>
                                    <m:t>x</m:t>
                                  </m:r>
                                </m:e>
                              </m:acc>
                            </m:e>
                          </m:d>
                        </m:e>
                        <m:sup>
                          <m:r>
                            <w:rPr>
                              <w:rFonts w:ascii="Cambria Math" w:eastAsiaTheme="minorEastAsia" w:hAnsi="Cambria Math" w:cstheme="majorBidi"/>
                            </w:rPr>
                            <m:t>2</m:t>
                          </m:r>
                        </m:sup>
                      </m:sSup>
                      <m:ctrlPr>
                        <w:rPr>
                          <w:rFonts w:ascii="Cambria Math" w:eastAsiaTheme="minorEastAsia" w:hAnsi="Cambria Math" w:cstheme="majorBidi"/>
                          <w:i/>
                        </w:rPr>
                      </m:ctrlPr>
                    </m:e>
                  </m:nary>
                  <m:r>
                    <m:rPr>
                      <m:sty m:val="p"/>
                    </m:rPr>
                    <w:rPr>
                      <w:rFonts w:ascii="Cambria Math" w:eastAsiaTheme="minorEastAsia" w:hAnsi="Cambria Math" w:cstheme="majorBidi"/>
                    </w:rPr>
                    <m:t>⋅</m:t>
                  </m:r>
                  <m:nary>
                    <m:naryPr>
                      <m:chr m:val="∑"/>
                      <m:subHide m:val="1"/>
                      <m:supHide m:val="1"/>
                      <m:ctrlPr>
                        <w:rPr>
                          <w:rFonts w:ascii="Cambria Math" w:eastAsiaTheme="minorEastAsia" w:hAnsi="Cambria Math" w:cstheme="majorBidi"/>
                        </w:rPr>
                      </m:ctrlPr>
                    </m:naryPr>
                    <m:sub>
                      <m:ctrlPr>
                        <w:rPr>
                          <w:rFonts w:ascii="Cambria Math" w:eastAsiaTheme="minorEastAsia" w:hAnsi="Cambria Math" w:cstheme="majorBidi"/>
                          <w:i/>
                        </w:rPr>
                      </m:ctrlPr>
                    </m:sub>
                    <m:sup>
                      <m:ctrlPr>
                        <w:rPr>
                          <w:rFonts w:ascii="Cambria Math" w:eastAsiaTheme="minorEastAsia" w:hAnsi="Cambria Math" w:cstheme="majorBidi"/>
                          <w:i/>
                        </w:rPr>
                      </m:ctrlPr>
                    </m:sup>
                    <m:e>
                      <m:sSup>
                        <m:sSupPr>
                          <m:ctrlPr>
                            <w:rPr>
                              <w:rFonts w:ascii="Cambria Math" w:eastAsiaTheme="minorEastAsia" w:hAnsi="Cambria Math" w:cstheme="majorBidi"/>
                              <w:i/>
                            </w:rPr>
                          </m:ctrlPr>
                        </m:sSupPr>
                        <m:e>
                          <m:d>
                            <m:dPr>
                              <m:ctrlPr>
                                <w:rPr>
                                  <w:rFonts w:ascii="Cambria Math" w:eastAsiaTheme="minorEastAsia" w:hAnsi="Cambria Math" w:cstheme="majorBidi"/>
                                  <w:i/>
                                </w:rPr>
                              </m:ctrlPr>
                            </m:dPr>
                            <m:e>
                              <m:r>
                                <w:rPr>
                                  <w:rFonts w:ascii="Cambria Math" w:eastAsiaTheme="minorEastAsia" w:hAnsi="Cambria Math" w:cstheme="majorBidi"/>
                                </w:rPr>
                                <m:t>y-</m:t>
                              </m:r>
                              <m:acc>
                                <m:accPr>
                                  <m:chr m:val="̅"/>
                                  <m:ctrlPr>
                                    <w:rPr>
                                      <w:rFonts w:ascii="Cambria Math" w:eastAsiaTheme="minorEastAsia" w:hAnsi="Cambria Math" w:cstheme="majorBidi"/>
                                    </w:rPr>
                                  </m:ctrlPr>
                                </m:accPr>
                                <m:e>
                                  <m:r>
                                    <w:rPr>
                                      <w:rFonts w:ascii="Cambria Math" w:eastAsiaTheme="minorEastAsia" w:hAnsi="Cambria Math" w:cstheme="majorBidi"/>
                                    </w:rPr>
                                    <m:t>y</m:t>
                                  </m:r>
                                </m:e>
                              </m:acc>
                            </m:e>
                          </m:d>
                        </m:e>
                        <m:sup>
                          <m:r>
                            <w:rPr>
                              <w:rFonts w:ascii="Cambria Math" w:eastAsiaTheme="minorEastAsia" w:hAnsi="Cambria Math" w:cstheme="majorBidi"/>
                            </w:rPr>
                            <m:t>2</m:t>
                          </m:r>
                        </m:sup>
                      </m:sSup>
                      <m:ctrlPr>
                        <w:rPr>
                          <w:rFonts w:ascii="Cambria Math" w:eastAsiaTheme="minorEastAsia" w:hAnsi="Cambria Math" w:cstheme="majorBidi"/>
                          <w:i/>
                        </w:rPr>
                      </m:ctrlPr>
                    </m:e>
                  </m:nary>
                </m:e>
              </m:rad>
              <m:ctrlPr>
                <w:rPr>
                  <w:rFonts w:ascii="Cambria Math" w:eastAsiaTheme="minorEastAsia" w:hAnsi="Cambria Math" w:cstheme="majorBidi"/>
                  <w:i/>
                </w:rPr>
              </m:ctrlPr>
            </m:den>
          </m:f>
        </m:oMath>
      </m:oMathPara>
    </w:p>
    <w:p w14:paraId="441B8567" w14:textId="4C8A1DF5" w:rsidR="009E0FF6" w:rsidRPr="009E0FF6" w:rsidRDefault="00A77F05" w:rsidP="009E0FF6">
      <w:pPr>
        <w:jc w:val="both"/>
        <w:rPr>
          <w:rFonts w:asciiTheme="majorBidi" w:eastAsiaTheme="minorEastAsia" w:hAnsiTheme="majorBidi" w:cstheme="majorBidi"/>
        </w:rPr>
      </w:pPr>
      <w:r w:rsidRPr="00A77F05">
        <w:rPr>
          <w:rFonts w:asciiTheme="majorBidi" w:eastAsiaTheme="minorEastAsia" w:hAnsiTheme="majorBidi" w:cstheme="majorBidi"/>
        </w:rPr>
        <w:t xml:space="preserve">Significance of </w:t>
      </w:r>
      <m:oMath>
        <m:r>
          <w:rPr>
            <w:rFonts w:ascii="Cambria Math" w:eastAsiaTheme="minorEastAsia" w:hAnsi="Cambria Math" w:cstheme="majorBidi"/>
          </w:rPr>
          <m:t>r</m:t>
        </m:r>
      </m:oMath>
      <w:r w:rsidRPr="00A77F05">
        <w:rPr>
          <w:rFonts w:asciiTheme="majorBidi" w:eastAsiaTheme="minorEastAsia" w:hAnsiTheme="majorBidi" w:cstheme="majorBidi"/>
        </w:rPr>
        <w:t xml:space="preserve"> was tested using a two-tailed t test and corresponding p-value. Where variables were non-normal or ordinal, Spearman’s rank correlation coefficient </w:t>
      </w:r>
      <w:r>
        <w:rPr>
          <w:rFonts w:asciiTheme="majorBidi" w:eastAsiaTheme="minorEastAsia" w:hAnsiTheme="majorBidi" w:cstheme="majorBidi"/>
        </w:rPr>
        <w:t>(</w:t>
      </w:r>
      <m:oMath>
        <m:r>
          <m:rPr>
            <m:sty m:val="p"/>
          </m:rPr>
          <w:rPr>
            <w:rFonts w:ascii="Cambria Math" w:eastAsiaTheme="minorEastAsia" w:hAnsi="Cambria Math" w:cstheme="majorBidi"/>
          </w:rPr>
          <m:t>ρ</m:t>
        </m:r>
      </m:oMath>
      <w:r>
        <w:rPr>
          <w:rFonts w:asciiTheme="majorBidi" w:eastAsiaTheme="minorEastAsia" w:hAnsiTheme="majorBidi" w:cstheme="majorBidi"/>
        </w:rPr>
        <w:t xml:space="preserve">) </w:t>
      </w:r>
      <w:r w:rsidRPr="00A77F05">
        <w:rPr>
          <w:rFonts w:asciiTheme="majorBidi" w:eastAsiaTheme="minorEastAsia" w:hAnsiTheme="majorBidi" w:cstheme="majorBidi"/>
        </w:rPr>
        <w:t xml:space="preserve">was computed using ranked data; </w:t>
      </w:r>
      <m:oMath>
        <m:r>
          <w:rPr>
            <w:rFonts w:ascii="Cambria Math" w:eastAsiaTheme="minorEastAsia" w:hAnsi="Cambria Math" w:cstheme="majorBidi"/>
          </w:rPr>
          <m:t>ρ</m:t>
        </m:r>
      </m:oMath>
      <w:r w:rsidRPr="00A77F05">
        <w:rPr>
          <w:rFonts w:asciiTheme="majorBidi" w:eastAsiaTheme="minorEastAsia" w:hAnsiTheme="majorBidi" w:cstheme="majorBidi"/>
        </w:rPr>
        <w:t xml:space="preserve"> was interpreted similarly to Pearson’s </w:t>
      </w:r>
      <m:oMath>
        <m:r>
          <w:rPr>
            <w:rFonts w:ascii="Cambria Math" w:eastAsiaTheme="minorEastAsia" w:hAnsi="Cambria Math" w:cstheme="majorBidi"/>
          </w:rPr>
          <m:t>r</m:t>
        </m:r>
      </m:oMath>
      <w:r w:rsidRPr="00A77F05">
        <w:rPr>
          <w:rFonts w:asciiTheme="majorBidi" w:eastAsiaTheme="minorEastAsia" w:hAnsiTheme="majorBidi" w:cstheme="majorBidi"/>
        </w:rPr>
        <w:t>. Correlation magnitude was interpreted as: |</w:t>
      </w:r>
      <m:oMath>
        <m:r>
          <w:rPr>
            <w:rFonts w:ascii="Cambria Math" w:eastAsiaTheme="minorEastAsia" w:hAnsi="Cambria Math" w:cstheme="majorBidi"/>
          </w:rPr>
          <m:t>r</m:t>
        </m:r>
      </m:oMath>
      <w:r w:rsidRPr="00A77F05">
        <w:rPr>
          <w:rFonts w:asciiTheme="majorBidi" w:eastAsiaTheme="minorEastAsia" w:hAnsiTheme="majorBidi" w:cstheme="majorBidi"/>
        </w:rPr>
        <w:t xml:space="preserve">| &lt; 0.20 negligible, 0.20–0.39 weak, 0.40–0.59 moderate, 0.60–0.79 </w:t>
      </w:r>
      <w:r w:rsidRPr="00A77F05">
        <w:rPr>
          <w:rFonts w:asciiTheme="majorBidi" w:eastAsiaTheme="minorEastAsia" w:hAnsiTheme="majorBidi" w:cstheme="majorBidi"/>
        </w:rPr>
        <w:lastRenderedPageBreak/>
        <w:t>strong, ≥</w:t>
      </w:r>
      <w:r>
        <w:rPr>
          <w:rFonts w:asciiTheme="majorBidi" w:eastAsiaTheme="minorEastAsia" w:hAnsiTheme="majorBidi" w:cstheme="majorBidi"/>
        </w:rPr>
        <w:t xml:space="preserve"> </w:t>
      </w:r>
      <w:r w:rsidRPr="00A77F05">
        <w:rPr>
          <w:rFonts w:asciiTheme="majorBidi" w:eastAsiaTheme="minorEastAsia" w:hAnsiTheme="majorBidi" w:cstheme="majorBidi"/>
        </w:rPr>
        <w:t>0.80 very strong. All correlations reported with the coefficient and p-value (e.g.,</w:t>
      </w:r>
      <w:r>
        <w:rPr>
          <w:rFonts w:asciiTheme="majorBidi" w:eastAsiaTheme="minorEastAsia" w:hAnsiTheme="majorBidi" w:cstheme="majorBidi"/>
        </w:rPr>
        <w:t xml:space="preserve"> </w:t>
      </w:r>
      <m:oMath>
        <m:r>
          <w:rPr>
            <w:rFonts w:ascii="Cambria Math" w:eastAsiaTheme="minorEastAsia" w:hAnsi="Cambria Math" w:cstheme="majorBidi"/>
          </w:rPr>
          <m:t>r=0.41,p=0.003).</m:t>
        </m:r>
      </m:oMath>
    </w:p>
    <w:p w14:paraId="6ED9A472" w14:textId="16E9F77B" w:rsidR="009E0FF6" w:rsidRPr="009E0FF6" w:rsidRDefault="009E0FF6" w:rsidP="003D0CFE">
      <w:pPr>
        <w:pStyle w:val="ListParagraph"/>
        <w:numPr>
          <w:ilvl w:val="1"/>
          <w:numId w:val="2"/>
        </w:numPr>
        <w:tabs>
          <w:tab w:val="left" w:pos="426"/>
        </w:tabs>
        <w:spacing w:line="240" w:lineRule="auto"/>
        <w:ind w:left="284" w:hanging="284"/>
        <w:jc w:val="both"/>
        <w:rPr>
          <w:rFonts w:asciiTheme="majorBidi" w:eastAsiaTheme="minorEastAsia" w:hAnsiTheme="majorBidi" w:cstheme="majorBidi"/>
          <w:b/>
          <w:bCs/>
        </w:rPr>
      </w:pPr>
      <w:r w:rsidRPr="003D0CFE">
        <w:rPr>
          <w:rFonts w:asciiTheme="majorBidi" w:hAnsiTheme="majorBidi" w:cstheme="majorBidi"/>
          <w:b/>
          <w:bCs/>
        </w:rPr>
        <w:t>Factor</w:t>
      </w:r>
      <w:r w:rsidRPr="009E0FF6">
        <w:rPr>
          <w:rFonts w:asciiTheme="majorBidi" w:eastAsiaTheme="minorEastAsia" w:hAnsiTheme="majorBidi" w:cstheme="majorBidi"/>
          <w:b/>
          <w:bCs/>
        </w:rPr>
        <w:t xml:space="preserve"> Analysis </w:t>
      </w:r>
    </w:p>
    <w:p w14:paraId="5F85A274" w14:textId="23E10A35" w:rsidR="009E0FF6" w:rsidRPr="009E0FF6" w:rsidRDefault="009E0FF6" w:rsidP="009E0FF6">
      <w:pPr>
        <w:jc w:val="both"/>
        <w:rPr>
          <w:rFonts w:asciiTheme="majorBidi" w:eastAsiaTheme="minorEastAsia" w:hAnsiTheme="majorBidi" w:cstheme="majorBidi"/>
        </w:rPr>
      </w:pPr>
      <w:r w:rsidRPr="009E0FF6">
        <w:rPr>
          <w:rFonts w:asciiTheme="majorBidi" w:eastAsiaTheme="minorEastAsia" w:hAnsiTheme="majorBidi" w:cstheme="majorBidi"/>
        </w:rPr>
        <w:t>Factor analysis was employed to examine whether the different benefit indicators reported by farmers represented broader underlying dimensions rather than functioning independently. This method was suitable because e-NAM provides multiple economic and service-related advantages that farmers perceive in interconnected ways. Before extraction, the suitability of the dataset was confirmed through the KMO measure and Bartlett’s Test of Sphericity, both indicating strong correlations among variables.</w:t>
      </w:r>
      <w:r w:rsidR="00B7568C">
        <w:rPr>
          <w:rFonts w:asciiTheme="majorBidi" w:eastAsiaTheme="minorEastAsia" w:hAnsiTheme="majorBidi" w:cstheme="majorBidi"/>
        </w:rPr>
        <w:t xml:space="preserve"> </w:t>
      </w:r>
      <w:r w:rsidRPr="009E0FF6">
        <w:rPr>
          <w:rFonts w:asciiTheme="majorBidi" w:eastAsiaTheme="minorEastAsia" w:hAnsiTheme="majorBidi" w:cstheme="majorBidi"/>
        </w:rPr>
        <w:t>Principal Axis Factoring was used, as it aims to uncover latent constructs rather than merely reduce data. The analysis followed the standard factor model</w:t>
      </w:r>
      <w:r w:rsidR="00B7568C">
        <w:rPr>
          <w:rFonts w:asciiTheme="majorBidi" w:eastAsiaTheme="minorEastAsia" w:hAnsiTheme="majorBidi" w:cstheme="majorBidi"/>
        </w:rPr>
        <w:t>.</w:t>
      </w:r>
    </w:p>
    <w:p w14:paraId="24B8D78D" w14:textId="6FF6E13A" w:rsidR="009E0FF6" w:rsidRPr="008F167F" w:rsidRDefault="009F532B" w:rsidP="00216991">
      <w:pPr>
        <w:jc w:val="both"/>
        <w:rPr>
          <w:rFonts w:asciiTheme="majorBidi" w:eastAsiaTheme="minorEastAsia" w:hAnsiTheme="majorBidi" w:cstheme="majorBidi"/>
        </w:rPr>
      </w:pPr>
      <m:oMathPara>
        <m:oMath>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a</m:t>
              </m:r>
            </m:e>
            <m:sub>
              <m:r>
                <w:rPr>
                  <w:rFonts w:ascii="Cambria Math" w:eastAsiaTheme="minorEastAsia" w:hAnsi="Cambria Math" w:cstheme="majorBidi"/>
                </w:rPr>
                <m:t>i</m:t>
              </m:r>
              <m:r>
                <w:rPr>
                  <w:rFonts w:ascii="Cambria Math" w:eastAsiaTheme="minorEastAsia" w:hAnsi="Cambria Math" w:cstheme="majorBidi"/>
                </w:rPr>
                <m:t>1</m:t>
              </m:r>
            </m:sub>
          </m:sSub>
          <m:sSub>
            <m:sSubPr>
              <m:ctrlPr>
                <w:rPr>
                  <w:rFonts w:ascii="Cambria Math" w:eastAsiaTheme="minorEastAsia" w:hAnsi="Cambria Math" w:cstheme="majorBidi"/>
                  <w:i/>
                </w:rPr>
              </m:ctrlPr>
            </m:sSubPr>
            <m:e>
              <m:r>
                <w:rPr>
                  <w:rFonts w:ascii="Cambria Math" w:eastAsiaTheme="minorEastAsia" w:hAnsi="Cambria Math" w:cstheme="majorBidi"/>
                </w:rPr>
                <m:t>F</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a</m:t>
              </m:r>
            </m:e>
            <m:sub>
              <m:r>
                <w:rPr>
                  <w:rFonts w:ascii="Cambria Math" w:eastAsiaTheme="minorEastAsia" w:hAnsi="Cambria Math" w:cstheme="majorBidi"/>
                </w:rPr>
                <m:t>i</m:t>
              </m:r>
              <m:r>
                <w:rPr>
                  <w:rFonts w:ascii="Cambria Math" w:eastAsiaTheme="minorEastAsia" w:hAnsi="Cambria Math" w:cstheme="majorBidi"/>
                </w:rPr>
                <m:t>2</m:t>
              </m:r>
            </m:sub>
          </m:sSub>
          <m:sSub>
            <m:sSubPr>
              <m:ctrlPr>
                <w:rPr>
                  <w:rFonts w:ascii="Cambria Math" w:eastAsiaTheme="minorEastAsia" w:hAnsi="Cambria Math" w:cstheme="majorBidi"/>
                  <w:i/>
                </w:rPr>
              </m:ctrlPr>
            </m:sSubPr>
            <m:e>
              <m:r>
                <w:rPr>
                  <w:rFonts w:ascii="Cambria Math" w:eastAsiaTheme="minorEastAsia" w:hAnsi="Cambria Math" w:cstheme="majorBidi"/>
                </w:rPr>
                <m:t>F</m:t>
              </m:r>
            </m:e>
            <m:sub>
              <m:r>
                <w:rPr>
                  <w:rFonts w:ascii="Cambria Math" w:eastAsiaTheme="minorEastAsia" w:hAnsi="Cambria Math" w:cstheme="majorBidi"/>
                </w:rPr>
                <m:t>2</m:t>
              </m:r>
            </m:sub>
          </m:sSub>
          <m:r>
            <w:rPr>
              <w:rFonts w:ascii="Cambria Math" w:eastAsiaTheme="minorEastAsia" w:hAnsi="Cambria Math" w:cstheme="majorBidi"/>
            </w:rPr>
            <m:t>+</m:t>
          </m:r>
          <m:r>
            <m:rPr>
              <m:sty m:val="p"/>
            </m:rPr>
            <w:rPr>
              <w:rFonts w:ascii="Cambria Math" w:eastAsiaTheme="minorEastAsia" w:hAnsi="Cambria Math" w:cstheme="majorBidi"/>
            </w:rPr>
            <m:t>⋯</m:t>
          </m:r>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a</m:t>
              </m:r>
            </m:e>
            <m:sub>
              <m:r>
                <w:rPr>
                  <w:rFonts w:ascii="Cambria Math" w:eastAsiaTheme="minorEastAsia" w:hAnsi="Cambria Math" w:cstheme="majorBidi"/>
                </w:rPr>
                <m:t>im</m:t>
              </m:r>
            </m:sub>
          </m:sSub>
          <m:sSub>
            <m:sSubPr>
              <m:ctrlPr>
                <w:rPr>
                  <w:rFonts w:ascii="Cambria Math" w:eastAsiaTheme="minorEastAsia" w:hAnsi="Cambria Math" w:cstheme="majorBidi"/>
                  <w:i/>
                </w:rPr>
              </m:ctrlPr>
            </m:sSubPr>
            <m:e>
              <m:r>
                <w:rPr>
                  <w:rFonts w:ascii="Cambria Math" w:eastAsiaTheme="minorEastAsia" w:hAnsi="Cambria Math" w:cstheme="majorBidi"/>
                </w:rPr>
                <m:t>F</m:t>
              </m:r>
            </m:e>
            <m:sub>
              <m:r>
                <w:rPr>
                  <w:rFonts w:ascii="Cambria Math" w:eastAsiaTheme="minorEastAsia" w:hAnsi="Cambria Math" w:cstheme="majorBidi"/>
                </w:rPr>
                <m:t>m</m:t>
              </m:r>
            </m:sub>
          </m:sSub>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U</m:t>
              </m:r>
            </m:e>
            <m:sub>
              <m:r>
                <w:rPr>
                  <w:rFonts w:ascii="Cambria Math" w:eastAsiaTheme="minorEastAsia" w:hAnsi="Cambria Math" w:cstheme="majorBidi"/>
                </w:rPr>
                <m:t>i</m:t>
              </m:r>
            </m:sub>
          </m:sSub>
        </m:oMath>
      </m:oMathPara>
    </w:p>
    <w:p w14:paraId="0AD0F123" w14:textId="523DADB7" w:rsidR="009E0FF6" w:rsidRPr="009E0FF6" w:rsidRDefault="009E0FF6" w:rsidP="009E0FF6">
      <w:pPr>
        <w:jc w:val="both"/>
        <w:rPr>
          <w:rFonts w:asciiTheme="majorBidi" w:eastAsiaTheme="minorEastAsia" w:hAnsiTheme="majorBidi" w:cstheme="majorBidi"/>
        </w:rPr>
      </w:pPr>
      <w:r w:rsidRPr="009E0FF6">
        <w:rPr>
          <w:rFonts w:asciiTheme="majorBidi" w:eastAsiaTheme="minorEastAsia" w:hAnsiTheme="majorBidi" w:cstheme="majorBidi"/>
        </w:rPr>
        <w:t xml:space="preserve">where the loadings </w:t>
      </w:r>
      <m:oMath>
        <m:r>
          <w:rPr>
            <w:rFonts w:ascii="Cambria Math" w:eastAsiaTheme="minorEastAsia" w:hAnsi="Cambria Math" w:cstheme="majorBidi"/>
          </w:rPr>
          <m:t>aij</m:t>
        </m:r>
      </m:oMath>
      <w:r w:rsidRPr="009E0FF6">
        <w:rPr>
          <w:rFonts w:asciiTheme="majorBidi" w:eastAsiaTheme="minorEastAsia" w:hAnsiTheme="majorBidi" w:cstheme="majorBidi"/>
        </w:rPr>
        <w:t xml:space="preserve"> reflect the contribution of each factor and </w:t>
      </w:r>
      <m:oMath>
        <m:sSub>
          <m:sSubPr>
            <m:ctrlPr>
              <w:rPr>
                <w:rFonts w:ascii="Cambria Math" w:eastAsiaTheme="minorEastAsia" w:hAnsi="Cambria Math" w:cstheme="majorBidi"/>
                <w:i/>
              </w:rPr>
            </m:ctrlPr>
          </m:sSubPr>
          <m:e>
            <m:r>
              <w:rPr>
                <w:rFonts w:ascii="Cambria Math" w:eastAsiaTheme="minorEastAsia" w:hAnsi="Cambria Math" w:cstheme="majorBidi"/>
              </w:rPr>
              <m:t>U</m:t>
            </m:r>
          </m:e>
          <m:sub>
            <m:r>
              <w:rPr>
                <w:rFonts w:ascii="Cambria Math" w:eastAsiaTheme="minorEastAsia" w:hAnsi="Cambria Math" w:cstheme="majorBidi"/>
              </w:rPr>
              <m:t>i</m:t>
            </m:r>
          </m:sub>
        </m:sSub>
      </m:oMath>
      <w:r w:rsidRPr="009E0FF6">
        <w:rPr>
          <w:rFonts w:asciiTheme="majorBidi" w:eastAsiaTheme="minorEastAsia" w:hAnsiTheme="majorBidi" w:cstheme="majorBidi"/>
        </w:rPr>
        <w:t xml:space="preserve"> represents item-specific variance. Varimax rotation was applied to achieve a clearer and more interpretable factor structure.</w:t>
      </w:r>
      <w:r w:rsidR="00B7568C">
        <w:rPr>
          <w:rFonts w:asciiTheme="majorBidi" w:eastAsiaTheme="minorEastAsia" w:hAnsiTheme="majorBidi" w:cstheme="majorBidi"/>
        </w:rPr>
        <w:t xml:space="preserve"> </w:t>
      </w:r>
      <w:r w:rsidRPr="009E0FF6">
        <w:rPr>
          <w:rFonts w:asciiTheme="majorBidi" w:eastAsiaTheme="minorEastAsia" w:hAnsiTheme="majorBidi" w:cstheme="majorBidi"/>
        </w:rPr>
        <w:t>Factors with eigenvalues greater than one were retained</w:t>
      </w:r>
      <w:r w:rsidR="00AB0D1A">
        <w:rPr>
          <w:rFonts w:asciiTheme="majorBidi" w:eastAsiaTheme="minorEastAsia" w:hAnsiTheme="majorBidi" w:cstheme="majorBidi"/>
        </w:rPr>
        <w:t xml:space="preserve"> and</w:t>
      </w:r>
      <w:r w:rsidRPr="009E0FF6">
        <w:rPr>
          <w:rFonts w:asciiTheme="majorBidi" w:eastAsiaTheme="minorEastAsia" w:hAnsiTheme="majorBidi" w:cstheme="majorBidi"/>
        </w:rPr>
        <w:t xml:space="preserve"> items loading above 0.50 were considered meaningful contributors. This approach enabled the study to identify coherent themes</w:t>
      </w:r>
      <w:r w:rsidR="00B80A64">
        <w:rPr>
          <w:rFonts w:asciiTheme="majorBidi" w:eastAsiaTheme="minorEastAsia" w:hAnsiTheme="majorBidi" w:cstheme="majorBidi"/>
        </w:rPr>
        <w:t xml:space="preserve"> </w:t>
      </w:r>
      <w:r w:rsidRPr="009E0FF6">
        <w:rPr>
          <w:rFonts w:asciiTheme="majorBidi" w:eastAsiaTheme="minorEastAsia" w:hAnsiTheme="majorBidi" w:cstheme="majorBidi"/>
        </w:rPr>
        <w:t>primarily economic gains, service quality and infrastructure</w:t>
      </w:r>
      <w:r w:rsidR="00B80A64">
        <w:rPr>
          <w:rFonts w:asciiTheme="majorBidi" w:eastAsiaTheme="minorEastAsia" w:hAnsiTheme="majorBidi" w:cstheme="majorBidi"/>
        </w:rPr>
        <w:t xml:space="preserve"> </w:t>
      </w:r>
      <w:r w:rsidRPr="009E0FF6">
        <w:rPr>
          <w:rFonts w:asciiTheme="majorBidi" w:eastAsiaTheme="minorEastAsia" w:hAnsiTheme="majorBidi" w:cstheme="majorBidi"/>
        </w:rPr>
        <w:t>from the benefit indicators, offering a clearer understanding of how farmers evaluate e-NAM.</w:t>
      </w:r>
    </w:p>
    <w:p w14:paraId="13B51897" w14:textId="77777777" w:rsidR="003D0CFE" w:rsidRDefault="00A84954" w:rsidP="00A84954">
      <w:pPr>
        <w:pStyle w:val="ListParagraph"/>
        <w:numPr>
          <w:ilvl w:val="0"/>
          <w:numId w:val="2"/>
        </w:numPr>
        <w:ind w:left="284" w:hanging="284"/>
        <w:rPr>
          <w:rFonts w:asciiTheme="majorBidi" w:hAnsiTheme="majorBidi" w:cstheme="majorBidi"/>
          <w:b/>
          <w:bCs/>
        </w:rPr>
      </w:pPr>
      <w:r w:rsidRPr="003D0CFE">
        <w:rPr>
          <w:rFonts w:asciiTheme="majorBidi" w:hAnsiTheme="majorBidi" w:cstheme="majorBidi"/>
          <w:b/>
          <w:bCs/>
        </w:rPr>
        <w:t>RESULTS</w:t>
      </w:r>
    </w:p>
    <w:p w14:paraId="404D2A16" w14:textId="1F9D6E35" w:rsidR="00A84954" w:rsidRPr="003D0CFE" w:rsidRDefault="00A84954" w:rsidP="003D0CFE">
      <w:pPr>
        <w:pStyle w:val="ListParagraph"/>
        <w:numPr>
          <w:ilvl w:val="1"/>
          <w:numId w:val="2"/>
        </w:numPr>
        <w:ind w:left="567" w:hanging="567"/>
        <w:rPr>
          <w:rFonts w:asciiTheme="majorBidi" w:hAnsiTheme="majorBidi" w:cstheme="majorBidi"/>
          <w:b/>
          <w:bCs/>
        </w:rPr>
      </w:pPr>
      <w:r w:rsidRPr="003D0CFE">
        <w:rPr>
          <w:rFonts w:asciiTheme="majorBidi" w:hAnsiTheme="majorBidi" w:cstheme="majorBidi"/>
          <w:b/>
          <w:bCs/>
        </w:rPr>
        <w:t>Socio-economic status of farmers associated with e-NAM</w:t>
      </w:r>
    </w:p>
    <w:p w14:paraId="65D18158" w14:textId="60E385D8" w:rsidR="00F510C4" w:rsidRDefault="00F510C4" w:rsidP="00315F2E">
      <w:pPr>
        <w:jc w:val="both"/>
        <w:rPr>
          <w:rFonts w:asciiTheme="majorBidi" w:hAnsiTheme="majorBidi" w:cstheme="majorBidi"/>
        </w:rPr>
      </w:pPr>
      <w:r w:rsidRPr="00F510C4">
        <w:rPr>
          <w:rFonts w:asciiTheme="majorBidi" w:hAnsiTheme="majorBidi" w:cstheme="majorBidi"/>
        </w:rPr>
        <w:t>Table 2 presents the socio-economic features of the farmers using e-NAM. The sample was largely composed of economically active individuals, with 62.5% falling in the 31</w:t>
      </w:r>
      <w:r w:rsidR="00F42178">
        <w:rPr>
          <w:rFonts w:asciiTheme="majorBidi" w:hAnsiTheme="majorBidi" w:cstheme="majorBidi"/>
        </w:rPr>
        <w:t xml:space="preserve"> to </w:t>
      </w:r>
      <w:r w:rsidRPr="00F510C4">
        <w:rPr>
          <w:rFonts w:asciiTheme="majorBidi" w:hAnsiTheme="majorBidi" w:cstheme="majorBidi"/>
        </w:rPr>
        <w:t>60-year range. Educational attainment was moderate to high for a rural setting</w:t>
      </w:r>
      <w:r w:rsidR="00F42178">
        <w:rPr>
          <w:rFonts w:asciiTheme="majorBidi" w:hAnsiTheme="majorBidi" w:cstheme="majorBidi"/>
        </w:rPr>
        <w:t xml:space="preserve"> </w:t>
      </w:r>
      <w:r w:rsidRPr="00F510C4">
        <w:rPr>
          <w:rFonts w:asciiTheme="majorBidi" w:hAnsiTheme="majorBidi" w:cstheme="majorBidi"/>
        </w:rPr>
        <w:t>nearly 69% had completed high school or intermediate education</w:t>
      </w:r>
      <w:r w:rsidR="00365DA6">
        <w:rPr>
          <w:rFonts w:asciiTheme="majorBidi" w:hAnsiTheme="majorBidi" w:cstheme="majorBidi"/>
        </w:rPr>
        <w:t xml:space="preserve"> and</w:t>
      </w:r>
      <w:r w:rsidRPr="00F510C4">
        <w:rPr>
          <w:rFonts w:asciiTheme="majorBidi" w:hAnsiTheme="majorBidi" w:cstheme="majorBidi"/>
        </w:rPr>
        <w:t xml:space="preserve"> one in five held a university degree. Caste distribution showed dominance of OBC households (47.5%), followed by General (30%) and SC/ST (22.5%).</w:t>
      </w:r>
      <w:r w:rsidR="0087542C">
        <w:rPr>
          <w:rFonts w:asciiTheme="majorBidi" w:hAnsiTheme="majorBidi" w:cstheme="majorBidi"/>
        </w:rPr>
        <w:t xml:space="preserve"> </w:t>
      </w:r>
      <w:r w:rsidRPr="00F510C4">
        <w:rPr>
          <w:rFonts w:asciiTheme="majorBidi" w:hAnsiTheme="majorBidi" w:cstheme="majorBidi"/>
        </w:rPr>
        <w:t>More than half of the households were medium-sized (51.25%), indicating adequate labour availability. Landholding distribution shows that marginal, small and medium farmers constituted over 90% of the sample, with an average operational holding of 1.94 ha. Nearly half the respondents (47.5%) belonged to the high-income group (₹1–2 lakhs annually).</w:t>
      </w:r>
      <w:r w:rsidR="0087542C">
        <w:rPr>
          <w:rFonts w:asciiTheme="majorBidi" w:hAnsiTheme="majorBidi" w:cstheme="majorBidi"/>
        </w:rPr>
        <w:t xml:space="preserve"> </w:t>
      </w:r>
      <w:r w:rsidRPr="00F510C4">
        <w:rPr>
          <w:rFonts w:asciiTheme="majorBidi" w:hAnsiTheme="majorBidi" w:cstheme="majorBidi"/>
        </w:rPr>
        <w:t>The SES index reflects this diversity: 20% were classified as low SES, 47.5% medium and 32.5% high. These SES variations align with differences in education, land and income</w:t>
      </w:r>
      <w:r w:rsidR="00365DA6">
        <w:rPr>
          <w:rFonts w:asciiTheme="majorBidi" w:hAnsiTheme="majorBidi" w:cstheme="majorBidi"/>
        </w:rPr>
        <w:t xml:space="preserve"> and</w:t>
      </w:r>
      <w:r w:rsidRPr="00F510C4">
        <w:rPr>
          <w:rFonts w:asciiTheme="majorBidi" w:hAnsiTheme="majorBidi" w:cstheme="majorBidi"/>
        </w:rPr>
        <w:t xml:space="preserve"> help explain variation in benefits experienced through e-NAM.</w:t>
      </w:r>
    </w:p>
    <w:p w14:paraId="24F0C377" w14:textId="77777777" w:rsidR="0068218D" w:rsidRDefault="0068218D" w:rsidP="00A84954">
      <w:pPr>
        <w:rPr>
          <w:rFonts w:asciiTheme="majorBidi" w:hAnsiTheme="majorBidi" w:cstheme="majorBidi"/>
          <w:b/>
          <w:bCs/>
        </w:rPr>
      </w:pPr>
    </w:p>
    <w:p w14:paraId="10309A83" w14:textId="77777777" w:rsidR="003D0CFE" w:rsidRDefault="003D0CFE" w:rsidP="00C321EF">
      <w:pPr>
        <w:rPr>
          <w:rFonts w:asciiTheme="majorBidi" w:hAnsiTheme="majorBidi" w:cstheme="majorBidi"/>
          <w:b/>
          <w:bCs/>
        </w:rPr>
      </w:pPr>
    </w:p>
    <w:p w14:paraId="0BE279C7" w14:textId="77777777" w:rsidR="00C321EF" w:rsidRPr="00C321EF" w:rsidRDefault="00C321EF" w:rsidP="00C321EF">
      <w:pPr>
        <w:rPr>
          <w:rFonts w:asciiTheme="majorBidi" w:hAnsiTheme="majorBidi" w:cstheme="majorBidi"/>
          <w:b/>
          <w:bCs/>
        </w:rPr>
      </w:pPr>
    </w:p>
    <w:p w14:paraId="6E8C621F" w14:textId="5E30FAC5" w:rsidR="00A84954" w:rsidRPr="008167D1" w:rsidRDefault="00265FD6" w:rsidP="00A84954">
      <w:pPr>
        <w:rPr>
          <w:rFonts w:asciiTheme="majorBidi" w:hAnsiTheme="majorBidi" w:cstheme="majorBidi"/>
          <w:b/>
          <w:bCs/>
        </w:rPr>
      </w:pPr>
      <w:r w:rsidRPr="008167D1">
        <w:rPr>
          <w:rFonts w:asciiTheme="majorBidi" w:hAnsiTheme="majorBidi" w:cstheme="majorBidi"/>
          <w:b/>
          <w:bCs/>
        </w:rPr>
        <w:t>Table</w:t>
      </w:r>
      <w:r w:rsidR="008167D1" w:rsidRPr="008167D1">
        <w:rPr>
          <w:rFonts w:asciiTheme="majorBidi" w:hAnsiTheme="majorBidi" w:cstheme="majorBidi"/>
          <w:b/>
          <w:bCs/>
        </w:rPr>
        <w:t xml:space="preserve"> 2. Socio-economic </w:t>
      </w:r>
      <w:r w:rsidR="00E97C30" w:rsidRPr="008167D1">
        <w:rPr>
          <w:rFonts w:asciiTheme="majorBidi" w:hAnsiTheme="majorBidi" w:cstheme="majorBidi"/>
          <w:b/>
          <w:bCs/>
        </w:rPr>
        <w:t>c</w:t>
      </w:r>
      <w:r w:rsidR="008167D1" w:rsidRPr="008167D1">
        <w:rPr>
          <w:rFonts w:asciiTheme="majorBidi" w:hAnsiTheme="majorBidi" w:cstheme="majorBidi"/>
          <w:b/>
          <w:bCs/>
        </w:rPr>
        <w:t xml:space="preserve">haracteristics and SES </w:t>
      </w:r>
      <w:r w:rsidR="00E97C30" w:rsidRPr="008167D1">
        <w:rPr>
          <w:rFonts w:asciiTheme="majorBidi" w:hAnsiTheme="majorBidi" w:cstheme="majorBidi"/>
          <w:b/>
          <w:bCs/>
        </w:rPr>
        <w:t xml:space="preserve">categories of respondents </w:t>
      </w:r>
    </w:p>
    <w:tbl>
      <w:tblPr>
        <w:tblStyle w:val="TableGrid"/>
        <w:tblW w:w="5000" w:type="pct"/>
        <w:jc w:val="center"/>
        <w:tblLook w:val="04A0" w:firstRow="1" w:lastRow="0" w:firstColumn="1" w:lastColumn="0" w:noHBand="0" w:noVBand="1"/>
      </w:tblPr>
      <w:tblGrid>
        <w:gridCol w:w="4010"/>
        <w:gridCol w:w="3107"/>
        <w:gridCol w:w="1899"/>
      </w:tblGrid>
      <w:tr w:rsidR="001E461A" w:rsidRPr="001E461A" w14:paraId="44F2A44D" w14:textId="77777777" w:rsidTr="00C321EF">
        <w:trPr>
          <w:trHeight w:val="480"/>
          <w:jc w:val="center"/>
        </w:trPr>
        <w:tc>
          <w:tcPr>
            <w:tcW w:w="2224" w:type="pct"/>
            <w:vAlign w:val="center"/>
            <w:hideMark/>
          </w:tcPr>
          <w:p w14:paraId="122F7FC9" w14:textId="77777777" w:rsidR="001E461A" w:rsidRPr="00E97C30" w:rsidRDefault="001E461A" w:rsidP="0087542C">
            <w:pPr>
              <w:spacing w:line="278" w:lineRule="auto"/>
              <w:rPr>
                <w:rFonts w:asciiTheme="majorBidi" w:hAnsiTheme="majorBidi" w:cstheme="majorBidi"/>
                <w:b/>
                <w:bCs/>
              </w:rPr>
            </w:pPr>
            <w:r w:rsidRPr="00E97C30">
              <w:rPr>
                <w:rFonts w:asciiTheme="majorBidi" w:hAnsiTheme="majorBidi" w:cstheme="majorBidi"/>
                <w:b/>
                <w:bCs/>
              </w:rPr>
              <w:t>Characteristic</w:t>
            </w:r>
          </w:p>
        </w:tc>
        <w:tc>
          <w:tcPr>
            <w:tcW w:w="1723" w:type="pct"/>
            <w:vAlign w:val="center"/>
            <w:hideMark/>
          </w:tcPr>
          <w:p w14:paraId="43460A40" w14:textId="77777777" w:rsidR="001E461A" w:rsidRPr="00E97C30" w:rsidRDefault="001E461A" w:rsidP="0087542C">
            <w:pPr>
              <w:spacing w:line="278" w:lineRule="auto"/>
              <w:rPr>
                <w:rFonts w:asciiTheme="majorBidi" w:hAnsiTheme="majorBidi" w:cstheme="majorBidi"/>
                <w:b/>
                <w:bCs/>
              </w:rPr>
            </w:pPr>
            <w:r w:rsidRPr="00E97C30">
              <w:rPr>
                <w:rFonts w:asciiTheme="majorBidi" w:hAnsiTheme="majorBidi" w:cstheme="majorBidi"/>
                <w:b/>
                <w:bCs/>
              </w:rPr>
              <w:t>Category</w:t>
            </w:r>
          </w:p>
        </w:tc>
        <w:tc>
          <w:tcPr>
            <w:tcW w:w="1053" w:type="pct"/>
            <w:vAlign w:val="center"/>
            <w:hideMark/>
          </w:tcPr>
          <w:p w14:paraId="710416FC" w14:textId="55444480" w:rsidR="001E461A" w:rsidRPr="00E97C30" w:rsidRDefault="00E97C30" w:rsidP="0087542C">
            <w:pPr>
              <w:spacing w:line="278" w:lineRule="auto"/>
              <w:rPr>
                <w:rFonts w:asciiTheme="majorBidi" w:hAnsiTheme="majorBidi" w:cstheme="majorBidi"/>
                <w:b/>
                <w:bCs/>
              </w:rPr>
            </w:pPr>
            <w:r w:rsidRPr="00E97C30">
              <w:rPr>
                <w:rFonts w:asciiTheme="majorBidi" w:hAnsiTheme="majorBidi" w:cstheme="majorBidi"/>
                <w:b/>
                <w:bCs/>
              </w:rPr>
              <w:t>N</w:t>
            </w:r>
            <w:r>
              <w:rPr>
                <w:rFonts w:asciiTheme="majorBidi" w:hAnsiTheme="majorBidi" w:cstheme="majorBidi"/>
                <w:b/>
                <w:bCs/>
              </w:rPr>
              <w:t xml:space="preserve">umber &amp; </w:t>
            </w:r>
            <w:r w:rsidR="001E461A" w:rsidRPr="00E97C30">
              <w:rPr>
                <w:rFonts w:asciiTheme="majorBidi" w:hAnsiTheme="majorBidi" w:cstheme="majorBidi"/>
                <w:b/>
                <w:bCs/>
              </w:rPr>
              <w:t>(%)</w:t>
            </w:r>
          </w:p>
        </w:tc>
      </w:tr>
      <w:tr w:rsidR="00465668" w:rsidRPr="001E461A" w14:paraId="0826BCD7" w14:textId="77777777" w:rsidTr="00C321EF">
        <w:trPr>
          <w:trHeight w:val="480"/>
          <w:jc w:val="center"/>
        </w:trPr>
        <w:tc>
          <w:tcPr>
            <w:tcW w:w="2224" w:type="pct"/>
            <w:vMerge w:val="restart"/>
            <w:vAlign w:val="center"/>
            <w:hideMark/>
          </w:tcPr>
          <w:p w14:paraId="2B960766"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lastRenderedPageBreak/>
              <w:t>Age group</w:t>
            </w:r>
          </w:p>
        </w:tc>
        <w:tc>
          <w:tcPr>
            <w:tcW w:w="1723" w:type="pct"/>
            <w:vAlign w:val="center"/>
            <w:hideMark/>
          </w:tcPr>
          <w:p w14:paraId="35A69D56" w14:textId="2ABF7475" w:rsidR="00465668" w:rsidRPr="002B1292" w:rsidRDefault="0087542C" w:rsidP="0087542C">
            <w:pPr>
              <w:spacing w:line="278" w:lineRule="auto"/>
              <w:rPr>
                <w:rFonts w:asciiTheme="majorBidi" w:hAnsiTheme="majorBidi" w:cstheme="majorBidi"/>
              </w:rPr>
            </w:pPr>
            <w:r w:rsidRPr="002B1292">
              <w:rPr>
                <w:rFonts w:asciiTheme="majorBidi" w:hAnsiTheme="majorBidi" w:cstheme="majorBidi"/>
              </w:rPr>
              <w:t>&lt;</w:t>
            </w:r>
            <w:r w:rsidR="00465668" w:rsidRPr="002B1292">
              <w:rPr>
                <w:rFonts w:asciiTheme="majorBidi" w:hAnsiTheme="majorBidi" w:cstheme="majorBidi"/>
              </w:rPr>
              <w:t>30 years</w:t>
            </w:r>
          </w:p>
        </w:tc>
        <w:tc>
          <w:tcPr>
            <w:tcW w:w="1053" w:type="pct"/>
            <w:vAlign w:val="center"/>
            <w:hideMark/>
          </w:tcPr>
          <w:p w14:paraId="53EEB872"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14 (17.5)</w:t>
            </w:r>
          </w:p>
        </w:tc>
      </w:tr>
      <w:tr w:rsidR="00465668" w:rsidRPr="001E461A" w14:paraId="6973318C" w14:textId="77777777" w:rsidTr="00C321EF">
        <w:trPr>
          <w:trHeight w:val="144"/>
          <w:jc w:val="center"/>
        </w:trPr>
        <w:tc>
          <w:tcPr>
            <w:tcW w:w="2224" w:type="pct"/>
            <w:vMerge/>
            <w:vAlign w:val="center"/>
            <w:hideMark/>
          </w:tcPr>
          <w:p w14:paraId="51274C43"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6BA57D1B"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31–45 years</w:t>
            </w:r>
          </w:p>
        </w:tc>
        <w:tc>
          <w:tcPr>
            <w:tcW w:w="1053" w:type="pct"/>
            <w:vAlign w:val="center"/>
            <w:hideMark/>
          </w:tcPr>
          <w:p w14:paraId="46BD5BAF"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28 (35.0)</w:t>
            </w:r>
          </w:p>
        </w:tc>
      </w:tr>
      <w:tr w:rsidR="00465668" w:rsidRPr="001E461A" w14:paraId="375614C7" w14:textId="77777777" w:rsidTr="00C321EF">
        <w:trPr>
          <w:trHeight w:val="144"/>
          <w:jc w:val="center"/>
        </w:trPr>
        <w:tc>
          <w:tcPr>
            <w:tcW w:w="2224" w:type="pct"/>
            <w:vMerge/>
            <w:vAlign w:val="center"/>
            <w:hideMark/>
          </w:tcPr>
          <w:p w14:paraId="0340B40F"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64486203"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46–60 years</w:t>
            </w:r>
          </w:p>
        </w:tc>
        <w:tc>
          <w:tcPr>
            <w:tcW w:w="1053" w:type="pct"/>
            <w:vAlign w:val="center"/>
            <w:hideMark/>
          </w:tcPr>
          <w:p w14:paraId="47E500A2"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22 (27.5)</w:t>
            </w:r>
          </w:p>
        </w:tc>
      </w:tr>
      <w:tr w:rsidR="00465668" w:rsidRPr="001E461A" w14:paraId="5D8C3245" w14:textId="77777777" w:rsidTr="00C321EF">
        <w:trPr>
          <w:trHeight w:val="144"/>
          <w:jc w:val="center"/>
        </w:trPr>
        <w:tc>
          <w:tcPr>
            <w:tcW w:w="2224" w:type="pct"/>
            <w:vMerge/>
            <w:vAlign w:val="center"/>
            <w:hideMark/>
          </w:tcPr>
          <w:p w14:paraId="7C67EC88"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39EA203B"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&gt;60 years</w:t>
            </w:r>
          </w:p>
        </w:tc>
        <w:tc>
          <w:tcPr>
            <w:tcW w:w="1053" w:type="pct"/>
            <w:vAlign w:val="center"/>
            <w:hideMark/>
          </w:tcPr>
          <w:p w14:paraId="65E356F7"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16 (20.0)</w:t>
            </w:r>
          </w:p>
        </w:tc>
      </w:tr>
      <w:tr w:rsidR="00465668" w:rsidRPr="001E461A" w14:paraId="226D77B3" w14:textId="77777777" w:rsidTr="00C321EF">
        <w:trPr>
          <w:trHeight w:val="480"/>
          <w:jc w:val="center"/>
        </w:trPr>
        <w:tc>
          <w:tcPr>
            <w:tcW w:w="2224" w:type="pct"/>
            <w:vMerge w:val="restart"/>
            <w:vAlign w:val="center"/>
            <w:hideMark/>
          </w:tcPr>
          <w:p w14:paraId="66717A86"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Education</w:t>
            </w:r>
          </w:p>
        </w:tc>
        <w:tc>
          <w:tcPr>
            <w:tcW w:w="1723" w:type="pct"/>
            <w:vAlign w:val="center"/>
            <w:hideMark/>
          </w:tcPr>
          <w:p w14:paraId="2A765161"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Illiterate</w:t>
            </w:r>
          </w:p>
        </w:tc>
        <w:tc>
          <w:tcPr>
            <w:tcW w:w="1053" w:type="pct"/>
            <w:vAlign w:val="center"/>
            <w:hideMark/>
          </w:tcPr>
          <w:p w14:paraId="181CC2E5"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3 (3.75)</w:t>
            </w:r>
          </w:p>
        </w:tc>
      </w:tr>
      <w:tr w:rsidR="00465668" w:rsidRPr="001E461A" w14:paraId="14214811" w14:textId="77777777" w:rsidTr="00C321EF">
        <w:trPr>
          <w:trHeight w:val="144"/>
          <w:jc w:val="center"/>
        </w:trPr>
        <w:tc>
          <w:tcPr>
            <w:tcW w:w="2224" w:type="pct"/>
            <w:vMerge/>
            <w:vAlign w:val="center"/>
            <w:hideMark/>
          </w:tcPr>
          <w:p w14:paraId="5C95E3D2"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7D51C84D"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Primary</w:t>
            </w:r>
          </w:p>
        </w:tc>
        <w:tc>
          <w:tcPr>
            <w:tcW w:w="1053" w:type="pct"/>
            <w:vAlign w:val="center"/>
            <w:hideMark/>
          </w:tcPr>
          <w:p w14:paraId="457E2A15"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7 (8.75)</w:t>
            </w:r>
          </w:p>
        </w:tc>
      </w:tr>
      <w:tr w:rsidR="00465668" w:rsidRPr="001E461A" w14:paraId="631C1223" w14:textId="77777777" w:rsidTr="00C321EF">
        <w:trPr>
          <w:trHeight w:val="144"/>
          <w:jc w:val="center"/>
        </w:trPr>
        <w:tc>
          <w:tcPr>
            <w:tcW w:w="2224" w:type="pct"/>
            <w:vMerge/>
            <w:vAlign w:val="center"/>
            <w:hideMark/>
          </w:tcPr>
          <w:p w14:paraId="5BD65EE2"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4A02F278"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Middle</w:t>
            </w:r>
          </w:p>
        </w:tc>
        <w:tc>
          <w:tcPr>
            <w:tcW w:w="1053" w:type="pct"/>
            <w:vAlign w:val="center"/>
            <w:hideMark/>
          </w:tcPr>
          <w:p w14:paraId="6E1CD4C9"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11 (13.75)</w:t>
            </w:r>
          </w:p>
        </w:tc>
      </w:tr>
      <w:tr w:rsidR="00465668" w:rsidRPr="001E461A" w14:paraId="54257F4E" w14:textId="77777777" w:rsidTr="00C321EF">
        <w:trPr>
          <w:trHeight w:val="144"/>
          <w:jc w:val="center"/>
        </w:trPr>
        <w:tc>
          <w:tcPr>
            <w:tcW w:w="2224" w:type="pct"/>
            <w:vMerge/>
            <w:vAlign w:val="center"/>
            <w:hideMark/>
          </w:tcPr>
          <w:p w14:paraId="46F0B0F1"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1AC0DA6E"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High school</w:t>
            </w:r>
          </w:p>
        </w:tc>
        <w:tc>
          <w:tcPr>
            <w:tcW w:w="1053" w:type="pct"/>
            <w:vAlign w:val="center"/>
            <w:hideMark/>
          </w:tcPr>
          <w:p w14:paraId="73886F5F"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25 (31.25)</w:t>
            </w:r>
          </w:p>
        </w:tc>
      </w:tr>
      <w:tr w:rsidR="00465668" w:rsidRPr="001E461A" w14:paraId="3E99064A" w14:textId="77777777" w:rsidTr="00C321EF">
        <w:trPr>
          <w:trHeight w:val="144"/>
          <w:jc w:val="center"/>
        </w:trPr>
        <w:tc>
          <w:tcPr>
            <w:tcW w:w="2224" w:type="pct"/>
            <w:vMerge/>
            <w:vAlign w:val="center"/>
            <w:hideMark/>
          </w:tcPr>
          <w:p w14:paraId="3D91AD7A"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18B8E881"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Intermediate</w:t>
            </w:r>
          </w:p>
        </w:tc>
        <w:tc>
          <w:tcPr>
            <w:tcW w:w="1053" w:type="pct"/>
            <w:vAlign w:val="center"/>
            <w:hideMark/>
          </w:tcPr>
          <w:p w14:paraId="08BC65C6"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18 (22.5)</w:t>
            </w:r>
          </w:p>
        </w:tc>
      </w:tr>
      <w:tr w:rsidR="00465668" w:rsidRPr="001E461A" w14:paraId="5312F8CA" w14:textId="77777777" w:rsidTr="00C321EF">
        <w:trPr>
          <w:trHeight w:val="144"/>
          <w:jc w:val="center"/>
        </w:trPr>
        <w:tc>
          <w:tcPr>
            <w:tcW w:w="2224" w:type="pct"/>
            <w:vMerge/>
            <w:vAlign w:val="center"/>
            <w:hideMark/>
          </w:tcPr>
          <w:p w14:paraId="0F9328EA"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1B955F4B"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Graduation</w:t>
            </w:r>
          </w:p>
        </w:tc>
        <w:tc>
          <w:tcPr>
            <w:tcW w:w="1053" w:type="pct"/>
            <w:vAlign w:val="center"/>
            <w:hideMark/>
          </w:tcPr>
          <w:p w14:paraId="4C758242"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12 (15.0)</w:t>
            </w:r>
          </w:p>
        </w:tc>
      </w:tr>
      <w:tr w:rsidR="00465668" w:rsidRPr="001E461A" w14:paraId="6550A71F" w14:textId="77777777" w:rsidTr="00C321EF">
        <w:trPr>
          <w:trHeight w:val="144"/>
          <w:jc w:val="center"/>
        </w:trPr>
        <w:tc>
          <w:tcPr>
            <w:tcW w:w="2224" w:type="pct"/>
            <w:vMerge/>
            <w:vAlign w:val="center"/>
            <w:hideMark/>
          </w:tcPr>
          <w:p w14:paraId="19DF3CEB"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2430CD8D"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Postgraduate &amp; above</w:t>
            </w:r>
          </w:p>
        </w:tc>
        <w:tc>
          <w:tcPr>
            <w:tcW w:w="1053" w:type="pct"/>
            <w:vAlign w:val="center"/>
            <w:hideMark/>
          </w:tcPr>
          <w:p w14:paraId="7F4A6D51"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4 (5.0)</w:t>
            </w:r>
          </w:p>
        </w:tc>
      </w:tr>
      <w:tr w:rsidR="00465668" w:rsidRPr="001E461A" w14:paraId="6171A23C" w14:textId="77777777" w:rsidTr="00C321EF">
        <w:trPr>
          <w:trHeight w:val="468"/>
          <w:jc w:val="center"/>
        </w:trPr>
        <w:tc>
          <w:tcPr>
            <w:tcW w:w="2224" w:type="pct"/>
            <w:vMerge w:val="restart"/>
            <w:vAlign w:val="center"/>
            <w:hideMark/>
          </w:tcPr>
          <w:p w14:paraId="62284346"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Caste</w:t>
            </w:r>
          </w:p>
        </w:tc>
        <w:tc>
          <w:tcPr>
            <w:tcW w:w="1723" w:type="pct"/>
            <w:vAlign w:val="center"/>
            <w:hideMark/>
          </w:tcPr>
          <w:p w14:paraId="3DA9CDAA"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General</w:t>
            </w:r>
          </w:p>
        </w:tc>
        <w:tc>
          <w:tcPr>
            <w:tcW w:w="1053" w:type="pct"/>
            <w:vAlign w:val="center"/>
            <w:hideMark/>
          </w:tcPr>
          <w:p w14:paraId="3643C88D"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24 (30.0)</w:t>
            </w:r>
          </w:p>
        </w:tc>
      </w:tr>
      <w:tr w:rsidR="00465668" w:rsidRPr="001E461A" w14:paraId="07CC9DC8" w14:textId="77777777" w:rsidTr="00C321EF">
        <w:trPr>
          <w:trHeight w:val="144"/>
          <w:jc w:val="center"/>
        </w:trPr>
        <w:tc>
          <w:tcPr>
            <w:tcW w:w="2224" w:type="pct"/>
            <w:vMerge/>
            <w:vAlign w:val="center"/>
            <w:hideMark/>
          </w:tcPr>
          <w:p w14:paraId="5F69CFE8"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7959D7A3"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OBC</w:t>
            </w:r>
          </w:p>
        </w:tc>
        <w:tc>
          <w:tcPr>
            <w:tcW w:w="1053" w:type="pct"/>
            <w:vAlign w:val="center"/>
            <w:hideMark/>
          </w:tcPr>
          <w:p w14:paraId="06B278B0"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38 (47.5)</w:t>
            </w:r>
          </w:p>
        </w:tc>
      </w:tr>
      <w:tr w:rsidR="00465668" w:rsidRPr="001E461A" w14:paraId="334AC915" w14:textId="77777777" w:rsidTr="00C321EF">
        <w:trPr>
          <w:trHeight w:val="144"/>
          <w:jc w:val="center"/>
        </w:trPr>
        <w:tc>
          <w:tcPr>
            <w:tcW w:w="2224" w:type="pct"/>
            <w:vMerge/>
            <w:vAlign w:val="center"/>
            <w:hideMark/>
          </w:tcPr>
          <w:p w14:paraId="4FCDAAB7"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201B1D01"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SC/ST</w:t>
            </w:r>
          </w:p>
        </w:tc>
        <w:tc>
          <w:tcPr>
            <w:tcW w:w="1053" w:type="pct"/>
            <w:vAlign w:val="center"/>
            <w:hideMark/>
          </w:tcPr>
          <w:p w14:paraId="4B345FC4"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18 (22.5)</w:t>
            </w:r>
          </w:p>
        </w:tc>
      </w:tr>
      <w:tr w:rsidR="00465668" w:rsidRPr="001E461A" w14:paraId="2232A2E3" w14:textId="77777777" w:rsidTr="00C321EF">
        <w:trPr>
          <w:trHeight w:val="480"/>
          <w:jc w:val="center"/>
        </w:trPr>
        <w:tc>
          <w:tcPr>
            <w:tcW w:w="2224" w:type="pct"/>
            <w:vMerge w:val="restart"/>
            <w:vAlign w:val="center"/>
            <w:hideMark/>
          </w:tcPr>
          <w:p w14:paraId="5710ED2A"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Family size</w:t>
            </w:r>
          </w:p>
        </w:tc>
        <w:tc>
          <w:tcPr>
            <w:tcW w:w="1723" w:type="pct"/>
            <w:vAlign w:val="center"/>
            <w:hideMark/>
          </w:tcPr>
          <w:p w14:paraId="3F67497C" w14:textId="7C0BC843"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Small (</w:t>
            </w:r>
            <w:r w:rsidR="0087542C" w:rsidRPr="002B1292">
              <w:rPr>
                <w:rFonts w:asciiTheme="majorBidi" w:hAnsiTheme="majorBidi" w:cstheme="majorBidi"/>
              </w:rPr>
              <w:t>&lt;</w:t>
            </w:r>
            <w:r w:rsidRPr="002B1292">
              <w:rPr>
                <w:rFonts w:asciiTheme="majorBidi" w:hAnsiTheme="majorBidi" w:cstheme="majorBidi"/>
              </w:rPr>
              <w:t>4)</w:t>
            </w:r>
          </w:p>
        </w:tc>
        <w:tc>
          <w:tcPr>
            <w:tcW w:w="1053" w:type="pct"/>
            <w:vAlign w:val="center"/>
            <w:hideMark/>
          </w:tcPr>
          <w:p w14:paraId="787B0318"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23 (28.75)</w:t>
            </w:r>
          </w:p>
        </w:tc>
      </w:tr>
      <w:tr w:rsidR="00465668" w:rsidRPr="001E461A" w14:paraId="05F7D05F" w14:textId="77777777" w:rsidTr="00C321EF">
        <w:trPr>
          <w:trHeight w:val="144"/>
          <w:jc w:val="center"/>
        </w:trPr>
        <w:tc>
          <w:tcPr>
            <w:tcW w:w="2224" w:type="pct"/>
            <w:vMerge/>
            <w:vAlign w:val="center"/>
            <w:hideMark/>
          </w:tcPr>
          <w:p w14:paraId="0B9F98FD"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04BCD012"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Medium (5–7)</w:t>
            </w:r>
          </w:p>
        </w:tc>
        <w:tc>
          <w:tcPr>
            <w:tcW w:w="1053" w:type="pct"/>
            <w:vAlign w:val="center"/>
            <w:hideMark/>
          </w:tcPr>
          <w:p w14:paraId="5A86F1D1"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41 (51.25)</w:t>
            </w:r>
          </w:p>
        </w:tc>
      </w:tr>
      <w:tr w:rsidR="00465668" w:rsidRPr="001E461A" w14:paraId="2D5203F3" w14:textId="77777777" w:rsidTr="00C321EF">
        <w:trPr>
          <w:trHeight w:val="144"/>
          <w:jc w:val="center"/>
        </w:trPr>
        <w:tc>
          <w:tcPr>
            <w:tcW w:w="2224" w:type="pct"/>
            <w:vMerge/>
            <w:vAlign w:val="center"/>
            <w:hideMark/>
          </w:tcPr>
          <w:p w14:paraId="0F018024"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479D9E53"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Large (&gt;7)</w:t>
            </w:r>
          </w:p>
        </w:tc>
        <w:tc>
          <w:tcPr>
            <w:tcW w:w="1053" w:type="pct"/>
            <w:vAlign w:val="center"/>
            <w:hideMark/>
          </w:tcPr>
          <w:p w14:paraId="04CFA74E"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16 (20.0)</w:t>
            </w:r>
          </w:p>
        </w:tc>
      </w:tr>
      <w:tr w:rsidR="00465668" w:rsidRPr="001E461A" w14:paraId="252E1A02" w14:textId="77777777" w:rsidTr="00C321EF">
        <w:trPr>
          <w:trHeight w:val="480"/>
          <w:jc w:val="center"/>
        </w:trPr>
        <w:tc>
          <w:tcPr>
            <w:tcW w:w="2224" w:type="pct"/>
            <w:vMerge w:val="restart"/>
            <w:vAlign w:val="center"/>
            <w:hideMark/>
          </w:tcPr>
          <w:p w14:paraId="3E6E45FD"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Occupation</w:t>
            </w:r>
          </w:p>
        </w:tc>
        <w:tc>
          <w:tcPr>
            <w:tcW w:w="1723" w:type="pct"/>
            <w:vAlign w:val="center"/>
            <w:hideMark/>
          </w:tcPr>
          <w:p w14:paraId="277FC40B"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Farming only</w:t>
            </w:r>
          </w:p>
        </w:tc>
        <w:tc>
          <w:tcPr>
            <w:tcW w:w="1053" w:type="pct"/>
            <w:vAlign w:val="center"/>
            <w:hideMark/>
          </w:tcPr>
          <w:p w14:paraId="6B909842"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43 (53.75)</w:t>
            </w:r>
          </w:p>
        </w:tc>
      </w:tr>
      <w:tr w:rsidR="00465668" w:rsidRPr="001E461A" w14:paraId="3B75CCB3" w14:textId="77777777" w:rsidTr="00C321EF">
        <w:trPr>
          <w:trHeight w:val="144"/>
          <w:jc w:val="center"/>
        </w:trPr>
        <w:tc>
          <w:tcPr>
            <w:tcW w:w="2224" w:type="pct"/>
            <w:vMerge/>
            <w:vAlign w:val="center"/>
            <w:hideMark/>
          </w:tcPr>
          <w:p w14:paraId="74A88648"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003463E8"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Farming + allied</w:t>
            </w:r>
          </w:p>
        </w:tc>
        <w:tc>
          <w:tcPr>
            <w:tcW w:w="1053" w:type="pct"/>
            <w:vAlign w:val="center"/>
            <w:hideMark/>
          </w:tcPr>
          <w:p w14:paraId="74E9768C"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18 (22.5)</w:t>
            </w:r>
          </w:p>
        </w:tc>
      </w:tr>
      <w:tr w:rsidR="00465668" w:rsidRPr="001E461A" w14:paraId="73714BCE" w14:textId="77777777" w:rsidTr="00C321EF">
        <w:trPr>
          <w:trHeight w:val="144"/>
          <w:jc w:val="center"/>
        </w:trPr>
        <w:tc>
          <w:tcPr>
            <w:tcW w:w="2224" w:type="pct"/>
            <w:vMerge/>
            <w:vAlign w:val="center"/>
            <w:hideMark/>
          </w:tcPr>
          <w:p w14:paraId="313AD036"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385271A6"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Farming + business</w:t>
            </w:r>
          </w:p>
        </w:tc>
        <w:tc>
          <w:tcPr>
            <w:tcW w:w="1053" w:type="pct"/>
            <w:vAlign w:val="center"/>
            <w:hideMark/>
          </w:tcPr>
          <w:p w14:paraId="4DDEB277"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14 (17.5)</w:t>
            </w:r>
          </w:p>
        </w:tc>
      </w:tr>
      <w:tr w:rsidR="00465668" w:rsidRPr="001E461A" w14:paraId="2F05C5F9" w14:textId="77777777" w:rsidTr="00C321EF">
        <w:trPr>
          <w:trHeight w:val="144"/>
          <w:jc w:val="center"/>
        </w:trPr>
        <w:tc>
          <w:tcPr>
            <w:tcW w:w="2224" w:type="pct"/>
            <w:vMerge/>
            <w:vAlign w:val="center"/>
            <w:hideMark/>
          </w:tcPr>
          <w:p w14:paraId="5C76101A"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38548F6F"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Farming + service</w:t>
            </w:r>
          </w:p>
        </w:tc>
        <w:tc>
          <w:tcPr>
            <w:tcW w:w="1053" w:type="pct"/>
            <w:vAlign w:val="center"/>
            <w:hideMark/>
          </w:tcPr>
          <w:p w14:paraId="1F0F74EF"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5 (6.25)</w:t>
            </w:r>
          </w:p>
        </w:tc>
      </w:tr>
      <w:tr w:rsidR="00465668" w:rsidRPr="001E461A" w14:paraId="7396D6AE" w14:textId="77777777" w:rsidTr="00C321EF">
        <w:trPr>
          <w:trHeight w:val="480"/>
          <w:jc w:val="center"/>
        </w:trPr>
        <w:tc>
          <w:tcPr>
            <w:tcW w:w="2224" w:type="pct"/>
            <w:vMerge w:val="restart"/>
            <w:vAlign w:val="center"/>
            <w:hideMark/>
          </w:tcPr>
          <w:p w14:paraId="0B88B06F"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Landholding</w:t>
            </w:r>
          </w:p>
        </w:tc>
        <w:tc>
          <w:tcPr>
            <w:tcW w:w="1723" w:type="pct"/>
            <w:vAlign w:val="center"/>
            <w:hideMark/>
          </w:tcPr>
          <w:p w14:paraId="15E55709"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Marginal (&lt;1 ha)</w:t>
            </w:r>
          </w:p>
        </w:tc>
        <w:tc>
          <w:tcPr>
            <w:tcW w:w="1053" w:type="pct"/>
            <w:vAlign w:val="center"/>
            <w:hideMark/>
          </w:tcPr>
          <w:p w14:paraId="1A48BD67"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23 (28.75)</w:t>
            </w:r>
          </w:p>
        </w:tc>
      </w:tr>
      <w:tr w:rsidR="00465668" w:rsidRPr="001E461A" w14:paraId="28A2C072" w14:textId="77777777" w:rsidTr="00C321EF">
        <w:trPr>
          <w:trHeight w:val="144"/>
          <w:jc w:val="center"/>
        </w:trPr>
        <w:tc>
          <w:tcPr>
            <w:tcW w:w="2224" w:type="pct"/>
            <w:vMerge/>
            <w:vAlign w:val="center"/>
            <w:hideMark/>
          </w:tcPr>
          <w:p w14:paraId="7CB6CF3D"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0C394515"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Small (1–2 ha)</w:t>
            </w:r>
          </w:p>
        </w:tc>
        <w:tc>
          <w:tcPr>
            <w:tcW w:w="1053" w:type="pct"/>
            <w:vAlign w:val="center"/>
            <w:hideMark/>
          </w:tcPr>
          <w:p w14:paraId="0C1BFC17"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26 (32.5)</w:t>
            </w:r>
          </w:p>
        </w:tc>
      </w:tr>
      <w:tr w:rsidR="00465668" w:rsidRPr="001E461A" w14:paraId="6C583D8B" w14:textId="77777777" w:rsidTr="00C321EF">
        <w:trPr>
          <w:trHeight w:val="144"/>
          <w:jc w:val="center"/>
        </w:trPr>
        <w:tc>
          <w:tcPr>
            <w:tcW w:w="2224" w:type="pct"/>
            <w:vMerge/>
            <w:vAlign w:val="center"/>
            <w:hideMark/>
          </w:tcPr>
          <w:p w14:paraId="06BD90D6"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316A16CB"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Medium (2–4 ha)</w:t>
            </w:r>
          </w:p>
        </w:tc>
        <w:tc>
          <w:tcPr>
            <w:tcW w:w="1053" w:type="pct"/>
            <w:vAlign w:val="center"/>
            <w:hideMark/>
          </w:tcPr>
          <w:p w14:paraId="4DF9344D"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25 (31.25)</w:t>
            </w:r>
          </w:p>
        </w:tc>
      </w:tr>
      <w:tr w:rsidR="00465668" w:rsidRPr="001E461A" w14:paraId="5D7EC7D9" w14:textId="77777777" w:rsidTr="00C321EF">
        <w:trPr>
          <w:trHeight w:val="144"/>
          <w:jc w:val="center"/>
        </w:trPr>
        <w:tc>
          <w:tcPr>
            <w:tcW w:w="2224" w:type="pct"/>
            <w:vMerge/>
            <w:vAlign w:val="center"/>
            <w:hideMark/>
          </w:tcPr>
          <w:p w14:paraId="103DF9F5"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34AAD43E"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Large (&gt;4 ha)</w:t>
            </w:r>
          </w:p>
        </w:tc>
        <w:tc>
          <w:tcPr>
            <w:tcW w:w="1053" w:type="pct"/>
            <w:vAlign w:val="center"/>
            <w:hideMark/>
          </w:tcPr>
          <w:p w14:paraId="189D16C2"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6 (7.5)</w:t>
            </w:r>
          </w:p>
        </w:tc>
      </w:tr>
      <w:tr w:rsidR="00465668" w:rsidRPr="001E461A" w14:paraId="26D53417" w14:textId="77777777" w:rsidTr="00C321EF">
        <w:trPr>
          <w:trHeight w:val="480"/>
          <w:jc w:val="center"/>
        </w:trPr>
        <w:tc>
          <w:tcPr>
            <w:tcW w:w="2224" w:type="pct"/>
            <w:vMerge w:val="restart"/>
            <w:vAlign w:val="center"/>
            <w:hideMark/>
          </w:tcPr>
          <w:p w14:paraId="63C5B296"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Annual income</w:t>
            </w:r>
          </w:p>
        </w:tc>
        <w:tc>
          <w:tcPr>
            <w:tcW w:w="1723" w:type="pct"/>
            <w:vAlign w:val="center"/>
            <w:hideMark/>
          </w:tcPr>
          <w:p w14:paraId="32610DC5"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&lt;₹50,000</w:t>
            </w:r>
          </w:p>
        </w:tc>
        <w:tc>
          <w:tcPr>
            <w:tcW w:w="1053" w:type="pct"/>
            <w:vAlign w:val="center"/>
            <w:hideMark/>
          </w:tcPr>
          <w:p w14:paraId="5059F9E9"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11 (13.75)</w:t>
            </w:r>
          </w:p>
        </w:tc>
      </w:tr>
      <w:tr w:rsidR="00465668" w:rsidRPr="001E461A" w14:paraId="4ECC8E5D" w14:textId="77777777" w:rsidTr="00C321EF">
        <w:trPr>
          <w:trHeight w:val="144"/>
          <w:jc w:val="center"/>
        </w:trPr>
        <w:tc>
          <w:tcPr>
            <w:tcW w:w="2224" w:type="pct"/>
            <w:vMerge/>
            <w:vAlign w:val="center"/>
            <w:hideMark/>
          </w:tcPr>
          <w:p w14:paraId="5C3C2507"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0A65731C"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₹50,000–1,00,000</w:t>
            </w:r>
          </w:p>
        </w:tc>
        <w:tc>
          <w:tcPr>
            <w:tcW w:w="1053" w:type="pct"/>
            <w:vAlign w:val="center"/>
            <w:hideMark/>
          </w:tcPr>
          <w:p w14:paraId="70FDAC6C"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19 (23.75)</w:t>
            </w:r>
          </w:p>
        </w:tc>
      </w:tr>
      <w:tr w:rsidR="00465668" w:rsidRPr="001E461A" w14:paraId="6BEC3A2A" w14:textId="77777777" w:rsidTr="00C321EF">
        <w:trPr>
          <w:trHeight w:val="144"/>
          <w:jc w:val="center"/>
        </w:trPr>
        <w:tc>
          <w:tcPr>
            <w:tcW w:w="2224" w:type="pct"/>
            <w:vMerge/>
            <w:vAlign w:val="center"/>
            <w:hideMark/>
          </w:tcPr>
          <w:p w14:paraId="187E6B9E"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44F33A1B"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₹1,00,000–2,00,000</w:t>
            </w:r>
          </w:p>
        </w:tc>
        <w:tc>
          <w:tcPr>
            <w:tcW w:w="1053" w:type="pct"/>
            <w:vAlign w:val="center"/>
            <w:hideMark/>
          </w:tcPr>
          <w:p w14:paraId="4208F001"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38 (47.5)</w:t>
            </w:r>
          </w:p>
        </w:tc>
      </w:tr>
      <w:tr w:rsidR="00465668" w:rsidRPr="001E461A" w14:paraId="23E2E31F" w14:textId="77777777" w:rsidTr="00C321EF">
        <w:trPr>
          <w:trHeight w:val="144"/>
          <w:jc w:val="center"/>
        </w:trPr>
        <w:tc>
          <w:tcPr>
            <w:tcW w:w="2224" w:type="pct"/>
            <w:vMerge/>
            <w:vAlign w:val="center"/>
            <w:hideMark/>
          </w:tcPr>
          <w:p w14:paraId="60805B5C"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373DCD3C"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&gt;₹2,00,000</w:t>
            </w:r>
          </w:p>
        </w:tc>
        <w:tc>
          <w:tcPr>
            <w:tcW w:w="1053" w:type="pct"/>
            <w:vAlign w:val="center"/>
            <w:hideMark/>
          </w:tcPr>
          <w:p w14:paraId="58F75774"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12 (15.0)</w:t>
            </w:r>
          </w:p>
        </w:tc>
      </w:tr>
      <w:tr w:rsidR="00465668" w:rsidRPr="001E461A" w14:paraId="47AD1865" w14:textId="77777777" w:rsidTr="00C321EF">
        <w:trPr>
          <w:trHeight w:val="480"/>
          <w:jc w:val="center"/>
        </w:trPr>
        <w:tc>
          <w:tcPr>
            <w:tcW w:w="2224" w:type="pct"/>
            <w:vMerge w:val="restart"/>
            <w:vAlign w:val="center"/>
            <w:hideMark/>
          </w:tcPr>
          <w:p w14:paraId="522FD7E7"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Socio-economic status (SES)</w:t>
            </w:r>
          </w:p>
        </w:tc>
        <w:tc>
          <w:tcPr>
            <w:tcW w:w="1723" w:type="pct"/>
            <w:vAlign w:val="center"/>
            <w:hideMark/>
          </w:tcPr>
          <w:p w14:paraId="107AA93D" w14:textId="6855E14D"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Low (</w:t>
            </w:r>
            <w:r w:rsidR="0087542C" w:rsidRPr="002B1292">
              <w:rPr>
                <w:rFonts w:asciiTheme="majorBidi" w:hAnsiTheme="majorBidi" w:cstheme="majorBidi"/>
              </w:rPr>
              <w:t>&lt;</w:t>
            </w:r>
            <w:r w:rsidRPr="002B1292">
              <w:rPr>
                <w:rFonts w:asciiTheme="majorBidi" w:hAnsiTheme="majorBidi" w:cstheme="majorBidi"/>
              </w:rPr>
              <w:t>40)</w:t>
            </w:r>
          </w:p>
        </w:tc>
        <w:tc>
          <w:tcPr>
            <w:tcW w:w="1053" w:type="pct"/>
            <w:vAlign w:val="center"/>
            <w:hideMark/>
          </w:tcPr>
          <w:p w14:paraId="4CBB475A"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16 (20.0)</w:t>
            </w:r>
          </w:p>
        </w:tc>
      </w:tr>
      <w:tr w:rsidR="00465668" w:rsidRPr="001E461A" w14:paraId="72242B86" w14:textId="77777777" w:rsidTr="00C321EF">
        <w:trPr>
          <w:trHeight w:val="144"/>
          <w:jc w:val="center"/>
        </w:trPr>
        <w:tc>
          <w:tcPr>
            <w:tcW w:w="2224" w:type="pct"/>
            <w:vMerge/>
            <w:vAlign w:val="center"/>
            <w:hideMark/>
          </w:tcPr>
          <w:p w14:paraId="568DA638"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132E8FC8"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Medium (41–80)</w:t>
            </w:r>
          </w:p>
        </w:tc>
        <w:tc>
          <w:tcPr>
            <w:tcW w:w="1053" w:type="pct"/>
            <w:vAlign w:val="center"/>
            <w:hideMark/>
          </w:tcPr>
          <w:p w14:paraId="7C4EB289"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38 (47.5)</w:t>
            </w:r>
          </w:p>
        </w:tc>
      </w:tr>
      <w:tr w:rsidR="00465668" w:rsidRPr="001E461A" w14:paraId="2B298A37" w14:textId="77777777" w:rsidTr="00C321EF">
        <w:trPr>
          <w:trHeight w:val="144"/>
          <w:jc w:val="center"/>
        </w:trPr>
        <w:tc>
          <w:tcPr>
            <w:tcW w:w="2224" w:type="pct"/>
            <w:vMerge/>
            <w:vAlign w:val="center"/>
            <w:hideMark/>
          </w:tcPr>
          <w:p w14:paraId="70A6BA53" w14:textId="77777777" w:rsidR="00465668" w:rsidRPr="002B1292" w:rsidRDefault="00465668" w:rsidP="0087542C">
            <w:pPr>
              <w:spacing w:line="278" w:lineRule="auto"/>
              <w:rPr>
                <w:rFonts w:asciiTheme="majorBidi" w:hAnsiTheme="majorBidi" w:cstheme="majorBidi"/>
              </w:rPr>
            </w:pPr>
          </w:p>
        </w:tc>
        <w:tc>
          <w:tcPr>
            <w:tcW w:w="1723" w:type="pct"/>
            <w:vAlign w:val="center"/>
            <w:hideMark/>
          </w:tcPr>
          <w:p w14:paraId="4746EBBA"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High (81–120)</w:t>
            </w:r>
          </w:p>
        </w:tc>
        <w:tc>
          <w:tcPr>
            <w:tcW w:w="1053" w:type="pct"/>
            <w:vAlign w:val="center"/>
            <w:hideMark/>
          </w:tcPr>
          <w:p w14:paraId="06CE15DE" w14:textId="77777777" w:rsidR="00465668" w:rsidRPr="002B1292" w:rsidRDefault="00465668" w:rsidP="0087542C">
            <w:pPr>
              <w:spacing w:line="278" w:lineRule="auto"/>
              <w:rPr>
                <w:rFonts w:asciiTheme="majorBidi" w:hAnsiTheme="majorBidi" w:cstheme="majorBidi"/>
              </w:rPr>
            </w:pPr>
            <w:r w:rsidRPr="002B1292">
              <w:rPr>
                <w:rFonts w:asciiTheme="majorBidi" w:hAnsiTheme="majorBidi" w:cstheme="majorBidi"/>
              </w:rPr>
              <w:t>26 (32.5)</w:t>
            </w:r>
          </w:p>
        </w:tc>
      </w:tr>
    </w:tbl>
    <w:p w14:paraId="765FF7FE" w14:textId="77777777" w:rsidR="00A84954" w:rsidRDefault="00A84954" w:rsidP="00A84954">
      <w:pPr>
        <w:rPr>
          <w:rFonts w:asciiTheme="majorBidi" w:hAnsiTheme="majorBidi" w:cstheme="majorBidi"/>
        </w:rPr>
      </w:pPr>
    </w:p>
    <w:p w14:paraId="1454EBEE" w14:textId="77777777" w:rsidR="00E97C30" w:rsidRPr="00807680" w:rsidRDefault="00E97C30" w:rsidP="00A84954">
      <w:pPr>
        <w:rPr>
          <w:rFonts w:asciiTheme="majorBidi" w:hAnsiTheme="majorBidi" w:cstheme="majorBidi"/>
        </w:rPr>
      </w:pPr>
    </w:p>
    <w:p w14:paraId="408D45FA" w14:textId="77777777" w:rsidR="00A84954" w:rsidRPr="00B4318B" w:rsidRDefault="00A84954" w:rsidP="003D0CFE">
      <w:pPr>
        <w:pStyle w:val="ListParagraph"/>
        <w:numPr>
          <w:ilvl w:val="1"/>
          <w:numId w:val="2"/>
        </w:numPr>
        <w:ind w:left="567" w:hanging="567"/>
        <w:rPr>
          <w:rFonts w:asciiTheme="majorBidi" w:hAnsiTheme="majorBidi" w:cstheme="majorBidi"/>
          <w:b/>
          <w:bCs/>
        </w:rPr>
      </w:pPr>
      <w:r w:rsidRPr="00B4318B">
        <w:rPr>
          <w:rFonts w:asciiTheme="majorBidi" w:hAnsiTheme="majorBidi" w:cstheme="majorBidi"/>
          <w:b/>
          <w:bCs/>
        </w:rPr>
        <w:t>Benefits Perceived by Farmers through e-NAM</w:t>
      </w:r>
    </w:p>
    <w:p w14:paraId="2A50A47E" w14:textId="5B198407" w:rsidR="00F510C4" w:rsidRDefault="00F510C4" w:rsidP="00A92D3F">
      <w:pPr>
        <w:jc w:val="both"/>
        <w:rPr>
          <w:rFonts w:asciiTheme="majorBidi" w:hAnsiTheme="majorBidi" w:cstheme="majorBidi"/>
        </w:rPr>
      </w:pPr>
      <w:r w:rsidRPr="00F510C4">
        <w:rPr>
          <w:rFonts w:asciiTheme="majorBidi" w:hAnsiTheme="majorBidi" w:cstheme="majorBidi"/>
        </w:rPr>
        <w:t>Farmers reported a strong set of economic benefits from e-NAM (Table 3). Price satisfaction was high (71.25%)</w:t>
      </w:r>
      <w:r w:rsidR="00365DA6">
        <w:rPr>
          <w:rFonts w:asciiTheme="majorBidi" w:hAnsiTheme="majorBidi" w:cstheme="majorBidi"/>
        </w:rPr>
        <w:t xml:space="preserve"> and</w:t>
      </w:r>
      <w:r w:rsidRPr="00F510C4">
        <w:rPr>
          <w:rFonts w:asciiTheme="majorBidi" w:hAnsiTheme="majorBidi" w:cstheme="majorBidi"/>
        </w:rPr>
        <w:t xml:space="preserve"> 82.5% felt that e-NAM sales were more profitable than those conducted </w:t>
      </w:r>
      <w:r w:rsidRPr="00F510C4">
        <w:rPr>
          <w:rFonts w:asciiTheme="majorBidi" w:hAnsiTheme="majorBidi" w:cstheme="majorBidi"/>
        </w:rPr>
        <w:lastRenderedPageBreak/>
        <w:t>through traditional market channels. Record keeping was widely appreciated (92.5%), suggesting clear improvements in transparency.</w:t>
      </w:r>
      <w:r w:rsidR="0087542C">
        <w:rPr>
          <w:rFonts w:asciiTheme="majorBidi" w:hAnsiTheme="majorBidi" w:cstheme="majorBidi"/>
        </w:rPr>
        <w:t xml:space="preserve"> </w:t>
      </w:r>
      <w:r w:rsidRPr="00F510C4">
        <w:rPr>
          <w:rFonts w:asciiTheme="majorBidi" w:hAnsiTheme="majorBidi" w:cstheme="majorBidi"/>
        </w:rPr>
        <w:t>Service-related benefits were uneven. While cleanliness was viewed favourably by 68.75% of respondents, access to storage, drinking water, canteen services and trolleys was limited. Only 37.5% reported adequate storage facilities</w:t>
      </w:r>
      <w:r w:rsidR="00365DA6">
        <w:rPr>
          <w:rFonts w:asciiTheme="majorBidi" w:hAnsiTheme="majorBidi" w:cstheme="majorBidi"/>
        </w:rPr>
        <w:t xml:space="preserve"> and</w:t>
      </w:r>
      <w:r w:rsidRPr="00F510C4">
        <w:rPr>
          <w:rFonts w:asciiTheme="majorBidi" w:hAnsiTheme="majorBidi" w:cstheme="majorBidi"/>
        </w:rPr>
        <w:t xml:space="preserve"> just 25% were satisfied with drinking water and canteen amenities. These results indicate that while e-NAM strengthened economic opportunities, mandi infrastructure remains weak.</w:t>
      </w:r>
    </w:p>
    <w:p w14:paraId="3ED374FE" w14:textId="2FC0680C" w:rsidR="003F46B6" w:rsidRPr="00AB58CB" w:rsidRDefault="003F46B6" w:rsidP="003F46B6">
      <w:pPr>
        <w:rPr>
          <w:rFonts w:asciiTheme="majorBidi" w:hAnsiTheme="majorBidi" w:cstheme="majorBidi"/>
          <w:b/>
          <w:bCs/>
        </w:rPr>
      </w:pPr>
      <w:r w:rsidRPr="00B4318B">
        <w:rPr>
          <w:rFonts w:asciiTheme="majorBidi" w:hAnsiTheme="majorBidi" w:cstheme="majorBidi"/>
          <w:b/>
          <w:bCs/>
        </w:rPr>
        <w:t xml:space="preserve">Table 3. </w:t>
      </w:r>
      <w:r w:rsidRPr="00AB58CB">
        <w:rPr>
          <w:rFonts w:asciiTheme="majorBidi" w:hAnsiTheme="majorBidi" w:cstheme="majorBidi"/>
          <w:b/>
          <w:bCs/>
        </w:rPr>
        <w:t xml:space="preserve">Distribution of Respondents According to the Benefits Received Through e-NAM </w:t>
      </w:r>
    </w:p>
    <w:tbl>
      <w:tblPr>
        <w:tblStyle w:val="TableGrid"/>
        <w:tblW w:w="5000" w:type="pct"/>
        <w:tblLook w:val="04A0" w:firstRow="1" w:lastRow="0" w:firstColumn="1" w:lastColumn="0" w:noHBand="0" w:noVBand="1"/>
      </w:tblPr>
      <w:tblGrid>
        <w:gridCol w:w="1994"/>
        <w:gridCol w:w="3599"/>
        <w:gridCol w:w="1524"/>
        <w:gridCol w:w="1899"/>
      </w:tblGrid>
      <w:tr w:rsidR="003F46B6" w:rsidRPr="002B1292" w14:paraId="562E9B8B" w14:textId="77777777" w:rsidTr="00C321EF">
        <w:tc>
          <w:tcPr>
            <w:tcW w:w="1105" w:type="pct"/>
            <w:vAlign w:val="center"/>
            <w:hideMark/>
          </w:tcPr>
          <w:p w14:paraId="513C08DE" w14:textId="77777777" w:rsidR="003F46B6" w:rsidRPr="00E97C30" w:rsidRDefault="003F46B6" w:rsidP="00FB4B6F">
            <w:pPr>
              <w:spacing w:line="278" w:lineRule="auto"/>
              <w:rPr>
                <w:rFonts w:asciiTheme="majorBidi" w:hAnsiTheme="majorBidi" w:cstheme="majorBidi"/>
                <w:b/>
                <w:bCs/>
              </w:rPr>
            </w:pPr>
            <w:r w:rsidRPr="00E97C30">
              <w:rPr>
                <w:rFonts w:asciiTheme="majorBidi" w:hAnsiTheme="majorBidi" w:cstheme="majorBidi"/>
                <w:b/>
                <w:bCs/>
              </w:rPr>
              <w:t>Benefit Dimension</w:t>
            </w:r>
          </w:p>
        </w:tc>
        <w:tc>
          <w:tcPr>
            <w:tcW w:w="1996" w:type="pct"/>
            <w:vAlign w:val="center"/>
            <w:hideMark/>
          </w:tcPr>
          <w:p w14:paraId="072D0943" w14:textId="77777777" w:rsidR="003F46B6" w:rsidRPr="00E97C30" w:rsidRDefault="003F46B6" w:rsidP="00FB4B6F">
            <w:pPr>
              <w:spacing w:line="278" w:lineRule="auto"/>
              <w:rPr>
                <w:rFonts w:asciiTheme="majorBidi" w:hAnsiTheme="majorBidi" w:cstheme="majorBidi"/>
                <w:b/>
                <w:bCs/>
              </w:rPr>
            </w:pPr>
            <w:r w:rsidRPr="00E97C30">
              <w:rPr>
                <w:rFonts w:asciiTheme="majorBidi" w:hAnsiTheme="majorBidi" w:cstheme="majorBidi"/>
                <w:b/>
                <w:bCs/>
              </w:rPr>
              <w:t>Indicators</w:t>
            </w:r>
          </w:p>
        </w:tc>
        <w:tc>
          <w:tcPr>
            <w:tcW w:w="845" w:type="pct"/>
            <w:vAlign w:val="center"/>
            <w:hideMark/>
          </w:tcPr>
          <w:p w14:paraId="65C9164C" w14:textId="77777777" w:rsidR="003F46B6" w:rsidRPr="00E97C30" w:rsidRDefault="003F46B6" w:rsidP="00FB4B6F">
            <w:pPr>
              <w:spacing w:line="278" w:lineRule="auto"/>
              <w:jc w:val="center"/>
              <w:rPr>
                <w:rFonts w:asciiTheme="majorBidi" w:hAnsiTheme="majorBidi" w:cstheme="majorBidi"/>
                <w:b/>
                <w:bCs/>
              </w:rPr>
            </w:pPr>
            <w:r w:rsidRPr="00E97C30">
              <w:rPr>
                <w:rFonts w:asciiTheme="majorBidi" w:hAnsiTheme="majorBidi" w:cstheme="majorBidi"/>
                <w:b/>
                <w:bCs/>
              </w:rPr>
              <w:t>Benefited (%)</w:t>
            </w:r>
          </w:p>
        </w:tc>
        <w:tc>
          <w:tcPr>
            <w:tcW w:w="1053" w:type="pct"/>
            <w:vAlign w:val="center"/>
            <w:hideMark/>
          </w:tcPr>
          <w:p w14:paraId="6E693BF8" w14:textId="77777777" w:rsidR="003F46B6" w:rsidRPr="00E97C30" w:rsidRDefault="003F46B6" w:rsidP="00FB4B6F">
            <w:pPr>
              <w:spacing w:line="278" w:lineRule="auto"/>
              <w:jc w:val="center"/>
              <w:rPr>
                <w:rFonts w:asciiTheme="majorBidi" w:hAnsiTheme="majorBidi" w:cstheme="majorBidi"/>
                <w:b/>
                <w:bCs/>
              </w:rPr>
            </w:pPr>
            <w:r w:rsidRPr="00E97C30">
              <w:rPr>
                <w:rFonts w:asciiTheme="majorBidi" w:hAnsiTheme="majorBidi" w:cstheme="majorBidi"/>
                <w:b/>
                <w:bCs/>
              </w:rPr>
              <w:t>Not Benefited (%)</w:t>
            </w:r>
          </w:p>
        </w:tc>
      </w:tr>
      <w:tr w:rsidR="003F46B6" w:rsidRPr="002B1292" w14:paraId="5F585EED" w14:textId="77777777" w:rsidTr="00C321EF">
        <w:tc>
          <w:tcPr>
            <w:tcW w:w="1105" w:type="pct"/>
            <w:vMerge w:val="restart"/>
            <w:vAlign w:val="center"/>
            <w:hideMark/>
          </w:tcPr>
          <w:p w14:paraId="5512067A"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Economic Benefits</w:t>
            </w:r>
          </w:p>
        </w:tc>
        <w:tc>
          <w:tcPr>
            <w:tcW w:w="1996" w:type="pct"/>
            <w:vAlign w:val="center"/>
            <w:hideMark/>
          </w:tcPr>
          <w:p w14:paraId="2F8F4E23"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Price satisfaction</w:t>
            </w:r>
          </w:p>
        </w:tc>
        <w:tc>
          <w:tcPr>
            <w:tcW w:w="845" w:type="pct"/>
            <w:vAlign w:val="center"/>
            <w:hideMark/>
          </w:tcPr>
          <w:p w14:paraId="27B56A0F"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71.25</w:t>
            </w:r>
          </w:p>
        </w:tc>
        <w:tc>
          <w:tcPr>
            <w:tcW w:w="1053" w:type="pct"/>
            <w:vAlign w:val="center"/>
            <w:hideMark/>
          </w:tcPr>
          <w:p w14:paraId="75B29704"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28.75</w:t>
            </w:r>
          </w:p>
        </w:tc>
      </w:tr>
      <w:tr w:rsidR="003F46B6" w:rsidRPr="002B1292" w14:paraId="0CE4610A" w14:textId="77777777" w:rsidTr="00C321EF">
        <w:tc>
          <w:tcPr>
            <w:tcW w:w="1105" w:type="pct"/>
            <w:vMerge/>
            <w:vAlign w:val="center"/>
            <w:hideMark/>
          </w:tcPr>
          <w:p w14:paraId="5C3E8848" w14:textId="77777777" w:rsidR="003F46B6" w:rsidRPr="002B1292" w:rsidRDefault="003F46B6" w:rsidP="00FB4B6F">
            <w:pPr>
              <w:spacing w:line="278" w:lineRule="auto"/>
              <w:rPr>
                <w:rFonts w:asciiTheme="majorBidi" w:hAnsiTheme="majorBidi" w:cstheme="majorBidi"/>
              </w:rPr>
            </w:pPr>
          </w:p>
        </w:tc>
        <w:tc>
          <w:tcPr>
            <w:tcW w:w="1996" w:type="pct"/>
            <w:vAlign w:val="center"/>
            <w:hideMark/>
          </w:tcPr>
          <w:p w14:paraId="65FF185B"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Higher profitability than other mandis</w:t>
            </w:r>
          </w:p>
        </w:tc>
        <w:tc>
          <w:tcPr>
            <w:tcW w:w="845" w:type="pct"/>
            <w:vAlign w:val="center"/>
            <w:hideMark/>
          </w:tcPr>
          <w:p w14:paraId="065651F9"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82.50</w:t>
            </w:r>
          </w:p>
        </w:tc>
        <w:tc>
          <w:tcPr>
            <w:tcW w:w="1053" w:type="pct"/>
            <w:vAlign w:val="center"/>
            <w:hideMark/>
          </w:tcPr>
          <w:p w14:paraId="38937B0D"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17.50</w:t>
            </w:r>
          </w:p>
        </w:tc>
      </w:tr>
      <w:tr w:rsidR="003F46B6" w:rsidRPr="002B1292" w14:paraId="06179471" w14:textId="77777777" w:rsidTr="00C321EF">
        <w:tc>
          <w:tcPr>
            <w:tcW w:w="1105" w:type="pct"/>
            <w:vMerge w:val="restart"/>
            <w:vAlign w:val="center"/>
            <w:hideMark/>
          </w:tcPr>
          <w:p w14:paraId="306B82C4"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Service Quality</w:t>
            </w:r>
          </w:p>
        </w:tc>
        <w:tc>
          <w:tcPr>
            <w:tcW w:w="1996" w:type="pct"/>
            <w:vAlign w:val="center"/>
            <w:hideMark/>
          </w:tcPr>
          <w:p w14:paraId="278473A5"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Record-keeping accuracy</w:t>
            </w:r>
          </w:p>
        </w:tc>
        <w:tc>
          <w:tcPr>
            <w:tcW w:w="845" w:type="pct"/>
            <w:vAlign w:val="center"/>
            <w:hideMark/>
          </w:tcPr>
          <w:p w14:paraId="1F553DA3"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92.50</w:t>
            </w:r>
          </w:p>
        </w:tc>
        <w:tc>
          <w:tcPr>
            <w:tcW w:w="1053" w:type="pct"/>
            <w:vAlign w:val="center"/>
            <w:hideMark/>
          </w:tcPr>
          <w:p w14:paraId="242A4EA3"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7.50</w:t>
            </w:r>
          </w:p>
        </w:tc>
      </w:tr>
      <w:tr w:rsidR="003F46B6" w:rsidRPr="002B1292" w14:paraId="20257499" w14:textId="77777777" w:rsidTr="00C321EF">
        <w:tc>
          <w:tcPr>
            <w:tcW w:w="1105" w:type="pct"/>
            <w:vMerge/>
            <w:vAlign w:val="center"/>
            <w:hideMark/>
          </w:tcPr>
          <w:p w14:paraId="51A662A1" w14:textId="77777777" w:rsidR="003F46B6" w:rsidRPr="002B1292" w:rsidRDefault="003F46B6" w:rsidP="00FB4B6F">
            <w:pPr>
              <w:spacing w:line="278" w:lineRule="auto"/>
              <w:rPr>
                <w:rFonts w:asciiTheme="majorBidi" w:hAnsiTheme="majorBidi" w:cstheme="majorBidi"/>
              </w:rPr>
            </w:pPr>
          </w:p>
        </w:tc>
        <w:tc>
          <w:tcPr>
            <w:tcW w:w="1996" w:type="pct"/>
            <w:vAlign w:val="center"/>
            <w:hideMark/>
          </w:tcPr>
          <w:p w14:paraId="7722A170"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Market cleanliness</w:t>
            </w:r>
          </w:p>
        </w:tc>
        <w:tc>
          <w:tcPr>
            <w:tcW w:w="845" w:type="pct"/>
            <w:vAlign w:val="center"/>
            <w:hideMark/>
          </w:tcPr>
          <w:p w14:paraId="0698358F"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68.75</w:t>
            </w:r>
          </w:p>
        </w:tc>
        <w:tc>
          <w:tcPr>
            <w:tcW w:w="1053" w:type="pct"/>
            <w:vAlign w:val="center"/>
            <w:hideMark/>
          </w:tcPr>
          <w:p w14:paraId="184B69C5"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31.25</w:t>
            </w:r>
          </w:p>
        </w:tc>
      </w:tr>
      <w:tr w:rsidR="003F46B6" w:rsidRPr="002B1292" w14:paraId="67BAC406" w14:textId="77777777" w:rsidTr="00C321EF">
        <w:tc>
          <w:tcPr>
            <w:tcW w:w="1105" w:type="pct"/>
            <w:vMerge w:val="restart"/>
            <w:vAlign w:val="center"/>
            <w:hideMark/>
          </w:tcPr>
          <w:p w14:paraId="57F6D6BD"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Infrastructure</w:t>
            </w:r>
          </w:p>
        </w:tc>
        <w:tc>
          <w:tcPr>
            <w:tcW w:w="1996" w:type="pct"/>
            <w:vAlign w:val="center"/>
            <w:hideMark/>
          </w:tcPr>
          <w:p w14:paraId="3399039A"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Storage facility availability</w:t>
            </w:r>
          </w:p>
        </w:tc>
        <w:tc>
          <w:tcPr>
            <w:tcW w:w="845" w:type="pct"/>
            <w:vAlign w:val="center"/>
            <w:hideMark/>
          </w:tcPr>
          <w:p w14:paraId="102BF6DA"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37.50</w:t>
            </w:r>
          </w:p>
        </w:tc>
        <w:tc>
          <w:tcPr>
            <w:tcW w:w="1053" w:type="pct"/>
            <w:vAlign w:val="center"/>
            <w:hideMark/>
          </w:tcPr>
          <w:p w14:paraId="01A9BCC0"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62.50</w:t>
            </w:r>
          </w:p>
        </w:tc>
      </w:tr>
      <w:tr w:rsidR="003F46B6" w:rsidRPr="002B1292" w14:paraId="4B315C84" w14:textId="77777777" w:rsidTr="00C321EF">
        <w:tc>
          <w:tcPr>
            <w:tcW w:w="1105" w:type="pct"/>
            <w:vMerge/>
            <w:vAlign w:val="center"/>
            <w:hideMark/>
          </w:tcPr>
          <w:p w14:paraId="02FF15D1" w14:textId="77777777" w:rsidR="003F46B6" w:rsidRPr="002B1292" w:rsidRDefault="003F46B6" w:rsidP="00FB4B6F">
            <w:pPr>
              <w:spacing w:line="278" w:lineRule="auto"/>
              <w:rPr>
                <w:rFonts w:asciiTheme="majorBidi" w:hAnsiTheme="majorBidi" w:cstheme="majorBidi"/>
              </w:rPr>
            </w:pPr>
          </w:p>
        </w:tc>
        <w:tc>
          <w:tcPr>
            <w:tcW w:w="1996" w:type="pct"/>
            <w:vAlign w:val="center"/>
            <w:hideMark/>
          </w:tcPr>
          <w:p w14:paraId="0EF4A6A1"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Drinking water &amp; canteen facilities</w:t>
            </w:r>
          </w:p>
        </w:tc>
        <w:tc>
          <w:tcPr>
            <w:tcW w:w="845" w:type="pct"/>
            <w:vAlign w:val="center"/>
            <w:hideMark/>
          </w:tcPr>
          <w:p w14:paraId="5AA92EB4"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25.00</w:t>
            </w:r>
          </w:p>
        </w:tc>
        <w:tc>
          <w:tcPr>
            <w:tcW w:w="1053" w:type="pct"/>
            <w:vAlign w:val="center"/>
            <w:hideMark/>
          </w:tcPr>
          <w:p w14:paraId="2771936C"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75.00</w:t>
            </w:r>
          </w:p>
        </w:tc>
      </w:tr>
      <w:tr w:rsidR="003F46B6" w:rsidRPr="002B1292" w14:paraId="781953E2" w14:textId="77777777" w:rsidTr="00C321EF">
        <w:tc>
          <w:tcPr>
            <w:tcW w:w="1105" w:type="pct"/>
            <w:vMerge/>
            <w:vAlign w:val="center"/>
            <w:hideMark/>
          </w:tcPr>
          <w:p w14:paraId="3FB71C54" w14:textId="77777777" w:rsidR="003F46B6" w:rsidRPr="002B1292" w:rsidRDefault="003F46B6" w:rsidP="00FB4B6F">
            <w:pPr>
              <w:spacing w:line="278" w:lineRule="auto"/>
              <w:rPr>
                <w:rFonts w:asciiTheme="majorBidi" w:hAnsiTheme="majorBidi" w:cstheme="majorBidi"/>
              </w:rPr>
            </w:pPr>
          </w:p>
        </w:tc>
        <w:tc>
          <w:tcPr>
            <w:tcW w:w="1996" w:type="pct"/>
            <w:vAlign w:val="center"/>
            <w:hideMark/>
          </w:tcPr>
          <w:p w14:paraId="6EC69D54" w14:textId="77777777" w:rsidR="003F46B6" w:rsidRPr="002B1292" w:rsidRDefault="003F46B6" w:rsidP="00FB4B6F">
            <w:pPr>
              <w:spacing w:line="278" w:lineRule="auto"/>
              <w:rPr>
                <w:rFonts w:asciiTheme="majorBidi" w:hAnsiTheme="majorBidi" w:cstheme="majorBidi"/>
              </w:rPr>
            </w:pPr>
            <w:r w:rsidRPr="002B1292">
              <w:rPr>
                <w:rFonts w:asciiTheme="majorBidi" w:hAnsiTheme="majorBidi" w:cstheme="majorBidi"/>
              </w:rPr>
              <w:t>Availability of trolleys</w:t>
            </w:r>
          </w:p>
        </w:tc>
        <w:tc>
          <w:tcPr>
            <w:tcW w:w="845" w:type="pct"/>
            <w:vAlign w:val="center"/>
            <w:hideMark/>
          </w:tcPr>
          <w:p w14:paraId="548E7F0C"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43.75</w:t>
            </w:r>
          </w:p>
        </w:tc>
        <w:tc>
          <w:tcPr>
            <w:tcW w:w="1053" w:type="pct"/>
            <w:vAlign w:val="center"/>
            <w:hideMark/>
          </w:tcPr>
          <w:p w14:paraId="79ACDFF9" w14:textId="77777777" w:rsidR="003F46B6" w:rsidRPr="002B1292" w:rsidRDefault="003F46B6" w:rsidP="00FB4B6F">
            <w:pPr>
              <w:spacing w:line="278" w:lineRule="auto"/>
              <w:jc w:val="center"/>
              <w:rPr>
                <w:rFonts w:asciiTheme="majorBidi" w:hAnsiTheme="majorBidi" w:cstheme="majorBidi"/>
              </w:rPr>
            </w:pPr>
            <w:r w:rsidRPr="002B1292">
              <w:rPr>
                <w:rFonts w:asciiTheme="majorBidi" w:hAnsiTheme="majorBidi" w:cstheme="majorBidi"/>
              </w:rPr>
              <w:t>56.25</w:t>
            </w:r>
          </w:p>
        </w:tc>
      </w:tr>
    </w:tbl>
    <w:p w14:paraId="75B8253E" w14:textId="77777777" w:rsidR="00265FD6" w:rsidRDefault="00265FD6" w:rsidP="003F46B6">
      <w:pPr>
        <w:jc w:val="both"/>
        <w:rPr>
          <w:rFonts w:asciiTheme="majorBidi" w:hAnsiTheme="majorBidi" w:cstheme="majorBidi"/>
          <w:b/>
          <w:bCs/>
        </w:rPr>
      </w:pPr>
    </w:p>
    <w:p w14:paraId="6CEC9DC4" w14:textId="3F031E8F" w:rsidR="003F46B6" w:rsidRPr="003F46B6" w:rsidRDefault="003F46B6" w:rsidP="003D0CFE">
      <w:pPr>
        <w:pStyle w:val="ListParagraph"/>
        <w:numPr>
          <w:ilvl w:val="1"/>
          <w:numId w:val="2"/>
        </w:numPr>
        <w:ind w:left="567" w:hanging="567"/>
        <w:rPr>
          <w:rFonts w:asciiTheme="majorBidi" w:hAnsiTheme="majorBidi" w:cstheme="majorBidi"/>
          <w:b/>
          <w:bCs/>
        </w:rPr>
      </w:pPr>
      <w:r w:rsidRPr="003F46B6">
        <w:rPr>
          <w:rFonts w:asciiTheme="majorBidi" w:hAnsiTheme="majorBidi" w:cstheme="majorBidi"/>
          <w:b/>
          <w:bCs/>
        </w:rPr>
        <w:t>Associations between socio-economic traits and perceived benefits</w:t>
      </w:r>
    </w:p>
    <w:p w14:paraId="4C6D475D" w14:textId="77777777" w:rsidR="003F46B6" w:rsidRPr="003F46B6" w:rsidRDefault="003F46B6" w:rsidP="003F46B6">
      <w:pPr>
        <w:jc w:val="both"/>
        <w:rPr>
          <w:rFonts w:asciiTheme="majorBidi" w:hAnsiTheme="majorBidi" w:cstheme="majorBidi"/>
        </w:rPr>
      </w:pPr>
      <w:r w:rsidRPr="003F46B6">
        <w:rPr>
          <w:rFonts w:asciiTheme="majorBidi" w:hAnsiTheme="majorBidi" w:cstheme="majorBidi"/>
        </w:rPr>
        <w:t xml:space="preserve">Results of chi-square tests revealed important socio-economic patterns. Education was significantly associated with price satisfaction (χ² = 9.62, </w:t>
      </w:r>
      <w:r w:rsidRPr="003F46B6">
        <w:rPr>
          <w:rFonts w:asciiTheme="majorBidi" w:hAnsiTheme="majorBidi" w:cstheme="majorBidi"/>
          <w:i/>
          <w:iCs/>
        </w:rPr>
        <w:t>p</w:t>
      </w:r>
      <w:r w:rsidRPr="003F46B6">
        <w:rPr>
          <w:rFonts w:asciiTheme="majorBidi" w:hAnsiTheme="majorBidi" w:cstheme="majorBidi"/>
        </w:rPr>
        <w:t xml:space="preserve"> = 0.022), indicating that better-educated farmers navigated e-NAM processes more effectively. Landholding size showed a significant association with perceived profitability (χ² = 11.48, </w:t>
      </w:r>
      <w:r w:rsidRPr="003F46B6">
        <w:rPr>
          <w:rFonts w:asciiTheme="majorBidi" w:hAnsiTheme="majorBidi" w:cstheme="majorBidi"/>
          <w:i/>
          <w:iCs/>
        </w:rPr>
        <w:t>p</w:t>
      </w:r>
      <w:r w:rsidRPr="003F46B6">
        <w:rPr>
          <w:rFonts w:asciiTheme="majorBidi" w:hAnsiTheme="majorBidi" w:cstheme="majorBidi"/>
        </w:rPr>
        <w:t xml:space="preserve"> = 0.009); larger farmers reported greater monetary gains, likely due to higher marketed surplus.</w:t>
      </w:r>
    </w:p>
    <w:p w14:paraId="087F246B" w14:textId="77777777" w:rsidR="0068218D" w:rsidRDefault="003F46B6" w:rsidP="0068218D">
      <w:pPr>
        <w:jc w:val="both"/>
        <w:rPr>
          <w:rFonts w:asciiTheme="majorBidi" w:hAnsiTheme="majorBidi" w:cstheme="majorBidi"/>
        </w:rPr>
      </w:pPr>
      <w:r w:rsidRPr="003F46B6">
        <w:rPr>
          <w:rFonts w:asciiTheme="majorBidi" w:hAnsiTheme="majorBidi" w:cstheme="majorBidi"/>
        </w:rPr>
        <w:t>Other associations such as age with price satisfaction and family size with record maintenance were not statistically significant. Effect sizes (Phi/Cramer’s V) indicated modest but meaningful relationships.</w:t>
      </w:r>
    </w:p>
    <w:p w14:paraId="2057DB4C" w14:textId="77777777" w:rsidR="0068218D" w:rsidRDefault="0068218D" w:rsidP="0068218D">
      <w:pPr>
        <w:jc w:val="both"/>
        <w:rPr>
          <w:rFonts w:asciiTheme="majorBidi" w:hAnsiTheme="majorBidi" w:cstheme="majorBidi"/>
          <w:b/>
          <w:bCs/>
        </w:rPr>
      </w:pPr>
    </w:p>
    <w:p w14:paraId="2DB3625B" w14:textId="77777777" w:rsidR="0068218D" w:rsidRDefault="0068218D" w:rsidP="0068218D">
      <w:pPr>
        <w:jc w:val="both"/>
        <w:rPr>
          <w:rFonts w:asciiTheme="majorBidi" w:hAnsiTheme="majorBidi" w:cstheme="majorBidi"/>
          <w:b/>
          <w:bCs/>
        </w:rPr>
      </w:pPr>
    </w:p>
    <w:p w14:paraId="172806F7" w14:textId="77777777" w:rsidR="00FB4B6F" w:rsidRDefault="00FB4B6F" w:rsidP="0068218D">
      <w:pPr>
        <w:jc w:val="both"/>
        <w:rPr>
          <w:rFonts w:asciiTheme="majorBidi" w:hAnsiTheme="majorBidi" w:cstheme="majorBidi"/>
          <w:b/>
          <w:bCs/>
        </w:rPr>
      </w:pPr>
    </w:p>
    <w:p w14:paraId="161CC668" w14:textId="59E42C55" w:rsidR="00FB4B6F" w:rsidRDefault="00FB4B6F" w:rsidP="0068218D">
      <w:pPr>
        <w:jc w:val="both"/>
        <w:rPr>
          <w:rFonts w:asciiTheme="majorBidi" w:hAnsiTheme="majorBidi" w:cstheme="majorBidi"/>
          <w:b/>
          <w:bCs/>
        </w:rPr>
      </w:pPr>
    </w:p>
    <w:p w14:paraId="21858BD4" w14:textId="1B51FA6B" w:rsidR="003D1AB8" w:rsidRDefault="003D1AB8" w:rsidP="0068218D">
      <w:pPr>
        <w:jc w:val="both"/>
        <w:rPr>
          <w:rFonts w:asciiTheme="majorBidi" w:hAnsiTheme="majorBidi" w:cstheme="majorBidi"/>
          <w:b/>
          <w:bCs/>
        </w:rPr>
      </w:pPr>
    </w:p>
    <w:p w14:paraId="33008967" w14:textId="77777777" w:rsidR="003D1AB8" w:rsidRDefault="003D1AB8" w:rsidP="0068218D">
      <w:pPr>
        <w:jc w:val="both"/>
        <w:rPr>
          <w:rFonts w:asciiTheme="majorBidi" w:hAnsiTheme="majorBidi" w:cstheme="majorBidi"/>
          <w:b/>
          <w:bCs/>
        </w:rPr>
      </w:pPr>
      <w:bookmarkStart w:id="1" w:name="_GoBack"/>
      <w:bookmarkEnd w:id="1"/>
    </w:p>
    <w:p w14:paraId="7D0124BF" w14:textId="77777777" w:rsidR="00FB4B6F" w:rsidRDefault="00FB4B6F" w:rsidP="0068218D">
      <w:pPr>
        <w:jc w:val="both"/>
        <w:rPr>
          <w:rFonts w:asciiTheme="majorBidi" w:hAnsiTheme="majorBidi" w:cstheme="majorBidi"/>
          <w:b/>
          <w:bCs/>
        </w:rPr>
      </w:pPr>
    </w:p>
    <w:p w14:paraId="1CB3B690" w14:textId="03646A4E" w:rsidR="003F46B6" w:rsidRPr="0068218D" w:rsidRDefault="003F46B6" w:rsidP="0068218D">
      <w:pPr>
        <w:jc w:val="both"/>
        <w:rPr>
          <w:rFonts w:asciiTheme="majorBidi" w:hAnsiTheme="majorBidi" w:cstheme="majorBidi"/>
        </w:rPr>
      </w:pPr>
      <w:r w:rsidRPr="00B4318B">
        <w:rPr>
          <w:rFonts w:asciiTheme="majorBidi" w:hAnsiTheme="majorBidi" w:cstheme="majorBidi"/>
          <w:b/>
          <w:bCs/>
        </w:rPr>
        <w:lastRenderedPageBreak/>
        <w:t xml:space="preserve">Table 4. Chi-square Tests of Association between Socio-economic Variables and Benefits </w:t>
      </w:r>
    </w:p>
    <w:tbl>
      <w:tblPr>
        <w:tblStyle w:val="TableGrid"/>
        <w:tblW w:w="5000" w:type="pct"/>
        <w:jc w:val="center"/>
        <w:tblLook w:val="04A0" w:firstRow="1" w:lastRow="0" w:firstColumn="1" w:lastColumn="0" w:noHBand="0" w:noVBand="1"/>
      </w:tblPr>
      <w:tblGrid>
        <w:gridCol w:w="2084"/>
        <w:gridCol w:w="2424"/>
        <w:gridCol w:w="1607"/>
        <w:gridCol w:w="1040"/>
        <w:gridCol w:w="1861"/>
      </w:tblGrid>
      <w:tr w:rsidR="003F46B6" w:rsidRPr="00265FD6" w14:paraId="4CEE968E" w14:textId="77777777" w:rsidTr="00C321EF">
        <w:trPr>
          <w:trHeight w:val="327"/>
          <w:jc w:val="center"/>
        </w:trPr>
        <w:tc>
          <w:tcPr>
            <w:tcW w:w="1156" w:type="pct"/>
            <w:hideMark/>
          </w:tcPr>
          <w:p w14:paraId="356F8230" w14:textId="77777777" w:rsidR="003F46B6" w:rsidRPr="00E97C30" w:rsidRDefault="003F46B6" w:rsidP="00FB4B6F">
            <w:pPr>
              <w:spacing w:line="276" w:lineRule="auto"/>
              <w:rPr>
                <w:rFonts w:asciiTheme="majorBidi" w:hAnsiTheme="majorBidi" w:cstheme="majorBidi"/>
                <w:b/>
                <w:bCs/>
              </w:rPr>
            </w:pPr>
            <w:r w:rsidRPr="00E97C30">
              <w:rPr>
                <w:rFonts w:asciiTheme="majorBidi" w:hAnsiTheme="majorBidi" w:cstheme="majorBidi"/>
                <w:b/>
                <w:bCs/>
              </w:rPr>
              <w:t>Variable</w:t>
            </w:r>
          </w:p>
        </w:tc>
        <w:tc>
          <w:tcPr>
            <w:tcW w:w="1344" w:type="pct"/>
            <w:hideMark/>
          </w:tcPr>
          <w:p w14:paraId="11E2370B" w14:textId="77777777" w:rsidR="003F46B6" w:rsidRPr="00E97C30" w:rsidRDefault="003F46B6" w:rsidP="00FB4B6F">
            <w:pPr>
              <w:spacing w:line="276" w:lineRule="auto"/>
              <w:rPr>
                <w:rFonts w:asciiTheme="majorBidi" w:hAnsiTheme="majorBidi" w:cstheme="majorBidi"/>
                <w:b/>
                <w:bCs/>
              </w:rPr>
            </w:pPr>
            <w:r w:rsidRPr="00E97C30">
              <w:rPr>
                <w:rFonts w:asciiTheme="majorBidi" w:hAnsiTheme="majorBidi" w:cstheme="majorBidi"/>
                <w:b/>
                <w:bCs/>
              </w:rPr>
              <w:t>Outcome Tested</w:t>
            </w:r>
          </w:p>
        </w:tc>
        <w:tc>
          <w:tcPr>
            <w:tcW w:w="891" w:type="pct"/>
            <w:hideMark/>
          </w:tcPr>
          <w:p w14:paraId="2E665F0A" w14:textId="77777777" w:rsidR="003F46B6" w:rsidRPr="00E97C30" w:rsidRDefault="003F46B6" w:rsidP="00FB4B6F">
            <w:pPr>
              <w:spacing w:line="276" w:lineRule="auto"/>
              <w:rPr>
                <w:rFonts w:asciiTheme="majorBidi" w:hAnsiTheme="majorBidi" w:cstheme="majorBidi"/>
                <w:b/>
                <w:bCs/>
              </w:rPr>
            </w:pPr>
            <w:r w:rsidRPr="00E97C30">
              <w:rPr>
                <w:rFonts w:asciiTheme="majorBidi" w:hAnsiTheme="majorBidi" w:cstheme="majorBidi"/>
                <w:b/>
                <w:bCs/>
              </w:rPr>
              <w:t>Test Statistic</w:t>
            </w:r>
          </w:p>
        </w:tc>
        <w:tc>
          <w:tcPr>
            <w:tcW w:w="577" w:type="pct"/>
            <w:hideMark/>
          </w:tcPr>
          <w:p w14:paraId="2858C565" w14:textId="77777777" w:rsidR="003F46B6" w:rsidRPr="00E97C30" w:rsidRDefault="003F46B6" w:rsidP="00FB4B6F">
            <w:pPr>
              <w:spacing w:line="276" w:lineRule="auto"/>
              <w:rPr>
                <w:rFonts w:asciiTheme="majorBidi" w:hAnsiTheme="majorBidi" w:cstheme="majorBidi"/>
                <w:b/>
                <w:bCs/>
              </w:rPr>
            </w:pPr>
            <w:r w:rsidRPr="00E97C30">
              <w:rPr>
                <w:rFonts w:asciiTheme="majorBidi" w:hAnsiTheme="majorBidi" w:cstheme="majorBidi"/>
                <w:b/>
                <w:bCs/>
              </w:rPr>
              <w:t>p-value</w:t>
            </w:r>
          </w:p>
        </w:tc>
        <w:tc>
          <w:tcPr>
            <w:tcW w:w="1033" w:type="pct"/>
            <w:hideMark/>
          </w:tcPr>
          <w:p w14:paraId="70998775" w14:textId="77777777" w:rsidR="003F46B6" w:rsidRPr="00E97C30" w:rsidRDefault="003F46B6" w:rsidP="00FB4B6F">
            <w:pPr>
              <w:spacing w:line="276" w:lineRule="auto"/>
              <w:rPr>
                <w:rFonts w:asciiTheme="majorBidi" w:hAnsiTheme="majorBidi" w:cstheme="majorBidi"/>
                <w:b/>
                <w:bCs/>
              </w:rPr>
            </w:pPr>
            <w:r w:rsidRPr="00E97C30">
              <w:rPr>
                <w:rFonts w:asciiTheme="majorBidi" w:hAnsiTheme="majorBidi" w:cstheme="majorBidi"/>
                <w:b/>
                <w:bCs/>
              </w:rPr>
              <w:t>Inference</w:t>
            </w:r>
          </w:p>
        </w:tc>
      </w:tr>
      <w:tr w:rsidR="003F46B6" w:rsidRPr="00265FD6" w14:paraId="7BECB796" w14:textId="77777777" w:rsidTr="00C321EF">
        <w:trPr>
          <w:trHeight w:val="340"/>
          <w:jc w:val="center"/>
        </w:trPr>
        <w:tc>
          <w:tcPr>
            <w:tcW w:w="1156" w:type="pct"/>
            <w:hideMark/>
          </w:tcPr>
          <w:p w14:paraId="78129395"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Age group</w:t>
            </w:r>
          </w:p>
        </w:tc>
        <w:tc>
          <w:tcPr>
            <w:tcW w:w="1344" w:type="pct"/>
            <w:hideMark/>
          </w:tcPr>
          <w:p w14:paraId="7BB4BEB3"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Price satisfaction</w:t>
            </w:r>
          </w:p>
        </w:tc>
        <w:tc>
          <w:tcPr>
            <w:tcW w:w="891" w:type="pct"/>
            <w:hideMark/>
          </w:tcPr>
          <w:p w14:paraId="6004D7BB"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χ² = 4.27</w:t>
            </w:r>
          </w:p>
        </w:tc>
        <w:tc>
          <w:tcPr>
            <w:tcW w:w="577" w:type="pct"/>
            <w:hideMark/>
          </w:tcPr>
          <w:p w14:paraId="34D500C5"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0.234</w:t>
            </w:r>
          </w:p>
        </w:tc>
        <w:tc>
          <w:tcPr>
            <w:tcW w:w="1033" w:type="pct"/>
            <w:hideMark/>
          </w:tcPr>
          <w:p w14:paraId="6A8B4541"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NS</w:t>
            </w:r>
          </w:p>
        </w:tc>
      </w:tr>
      <w:tr w:rsidR="003F46B6" w:rsidRPr="00265FD6" w14:paraId="21715AC7" w14:textId="77777777" w:rsidTr="00C321EF">
        <w:trPr>
          <w:trHeight w:val="327"/>
          <w:jc w:val="center"/>
        </w:trPr>
        <w:tc>
          <w:tcPr>
            <w:tcW w:w="1156" w:type="pct"/>
            <w:hideMark/>
          </w:tcPr>
          <w:p w14:paraId="434BE1B0"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Education</w:t>
            </w:r>
          </w:p>
        </w:tc>
        <w:tc>
          <w:tcPr>
            <w:tcW w:w="1344" w:type="pct"/>
            <w:hideMark/>
          </w:tcPr>
          <w:p w14:paraId="511E01DD"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Price satisfaction</w:t>
            </w:r>
          </w:p>
        </w:tc>
        <w:tc>
          <w:tcPr>
            <w:tcW w:w="891" w:type="pct"/>
            <w:hideMark/>
          </w:tcPr>
          <w:p w14:paraId="073A6ED4"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χ² = 9.62</w:t>
            </w:r>
          </w:p>
        </w:tc>
        <w:tc>
          <w:tcPr>
            <w:tcW w:w="577" w:type="pct"/>
            <w:hideMark/>
          </w:tcPr>
          <w:p w14:paraId="67BA71F0"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0.022</w:t>
            </w:r>
          </w:p>
        </w:tc>
        <w:tc>
          <w:tcPr>
            <w:tcW w:w="1033" w:type="pct"/>
            <w:hideMark/>
          </w:tcPr>
          <w:p w14:paraId="76B1E37E"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i/>
                <w:iCs/>
              </w:rPr>
              <w:t>Significant</w:t>
            </w:r>
          </w:p>
        </w:tc>
      </w:tr>
      <w:tr w:rsidR="003F46B6" w:rsidRPr="00265FD6" w14:paraId="4C6A1F46" w14:textId="77777777" w:rsidTr="00C321EF">
        <w:trPr>
          <w:trHeight w:val="327"/>
          <w:jc w:val="center"/>
        </w:trPr>
        <w:tc>
          <w:tcPr>
            <w:tcW w:w="1156" w:type="pct"/>
            <w:hideMark/>
          </w:tcPr>
          <w:p w14:paraId="14B43D77"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Family size</w:t>
            </w:r>
          </w:p>
        </w:tc>
        <w:tc>
          <w:tcPr>
            <w:tcW w:w="1344" w:type="pct"/>
            <w:hideMark/>
          </w:tcPr>
          <w:p w14:paraId="61A6C868"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Record maintenance</w:t>
            </w:r>
          </w:p>
        </w:tc>
        <w:tc>
          <w:tcPr>
            <w:tcW w:w="891" w:type="pct"/>
            <w:hideMark/>
          </w:tcPr>
          <w:p w14:paraId="5663373D"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χ² = 3.65</w:t>
            </w:r>
          </w:p>
        </w:tc>
        <w:tc>
          <w:tcPr>
            <w:tcW w:w="577" w:type="pct"/>
            <w:hideMark/>
          </w:tcPr>
          <w:p w14:paraId="374B09DC"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0.162</w:t>
            </w:r>
          </w:p>
        </w:tc>
        <w:tc>
          <w:tcPr>
            <w:tcW w:w="1033" w:type="pct"/>
            <w:hideMark/>
          </w:tcPr>
          <w:p w14:paraId="54C60993"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NS</w:t>
            </w:r>
          </w:p>
        </w:tc>
      </w:tr>
      <w:tr w:rsidR="003F46B6" w:rsidRPr="00265FD6" w14:paraId="70F515AD" w14:textId="77777777" w:rsidTr="00C321EF">
        <w:trPr>
          <w:trHeight w:val="327"/>
          <w:jc w:val="center"/>
        </w:trPr>
        <w:tc>
          <w:tcPr>
            <w:tcW w:w="1156" w:type="pct"/>
            <w:hideMark/>
          </w:tcPr>
          <w:p w14:paraId="1E3E963A"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Landholding size</w:t>
            </w:r>
          </w:p>
        </w:tc>
        <w:tc>
          <w:tcPr>
            <w:tcW w:w="1344" w:type="pct"/>
            <w:hideMark/>
          </w:tcPr>
          <w:p w14:paraId="6215E1B8"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Profitability</w:t>
            </w:r>
          </w:p>
        </w:tc>
        <w:tc>
          <w:tcPr>
            <w:tcW w:w="891" w:type="pct"/>
            <w:hideMark/>
          </w:tcPr>
          <w:p w14:paraId="7C8147F3"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χ² = 11.48</w:t>
            </w:r>
          </w:p>
        </w:tc>
        <w:tc>
          <w:tcPr>
            <w:tcW w:w="577" w:type="pct"/>
            <w:hideMark/>
          </w:tcPr>
          <w:p w14:paraId="06B23C01"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0.009</w:t>
            </w:r>
          </w:p>
        </w:tc>
        <w:tc>
          <w:tcPr>
            <w:tcW w:w="1033" w:type="pct"/>
            <w:hideMark/>
          </w:tcPr>
          <w:p w14:paraId="7EB49640"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Significant</w:t>
            </w:r>
          </w:p>
        </w:tc>
      </w:tr>
      <w:tr w:rsidR="003F46B6" w:rsidRPr="00265FD6" w14:paraId="731FFE37" w14:textId="77777777" w:rsidTr="00C321EF">
        <w:trPr>
          <w:trHeight w:val="340"/>
          <w:jc w:val="center"/>
        </w:trPr>
        <w:tc>
          <w:tcPr>
            <w:tcW w:w="1156" w:type="pct"/>
            <w:hideMark/>
          </w:tcPr>
          <w:p w14:paraId="054D7494"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Age</w:t>
            </w:r>
          </w:p>
        </w:tc>
        <w:tc>
          <w:tcPr>
            <w:tcW w:w="1344" w:type="pct"/>
            <w:hideMark/>
          </w:tcPr>
          <w:p w14:paraId="077E0672"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Benefits score</w:t>
            </w:r>
          </w:p>
        </w:tc>
        <w:tc>
          <w:tcPr>
            <w:tcW w:w="891" w:type="pct"/>
            <w:hideMark/>
          </w:tcPr>
          <w:p w14:paraId="08C9EB21"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r = –0.12</w:t>
            </w:r>
          </w:p>
        </w:tc>
        <w:tc>
          <w:tcPr>
            <w:tcW w:w="577" w:type="pct"/>
            <w:hideMark/>
          </w:tcPr>
          <w:p w14:paraId="454E0ECE"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NS</w:t>
            </w:r>
          </w:p>
        </w:tc>
        <w:tc>
          <w:tcPr>
            <w:tcW w:w="1033" w:type="pct"/>
            <w:hideMark/>
          </w:tcPr>
          <w:p w14:paraId="5E9AC90E"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NS</w:t>
            </w:r>
          </w:p>
        </w:tc>
      </w:tr>
      <w:tr w:rsidR="003F46B6" w:rsidRPr="00265FD6" w14:paraId="7D948A19" w14:textId="77777777" w:rsidTr="00C321EF">
        <w:trPr>
          <w:trHeight w:val="327"/>
          <w:jc w:val="center"/>
        </w:trPr>
        <w:tc>
          <w:tcPr>
            <w:tcW w:w="1156" w:type="pct"/>
            <w:hideMark/>
          </w:tcPr>
          <w:p w14:paraId="2D6885E8"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Education</w:t>
            </w:r>
          </w:p>
        </w:tc>
        <w:tc>
          <w:tcPr>
            <w:tcW w:w="1344" w:type="pct"/>
            <w:hideMark/>
          </w:tcPr>
          <w:p w14:paraId="1DE5EDEC"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Benefits score</w:t>
            </w:r>
          </w:p>
        </w:tc>
        <w:tc>
          <w:tcPr>
            <w:tcW w:w="891" w:type="pct"/>
            <w:hideMark/>
          </w:tcPr>
          <w:p w14:paraId="18E54C01"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r = 0.29</w:t>
            </w:r>
          </w:p>
        </w:tc>
        <w:tc>
          <w:tcPr>
            <w:tcW w:w="577" w:type="pct"/>
            <w:hideMark/>
          </w:tcPr>
          <w:p w14:paraId="2FA190F7"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0.041</w:t>
            </w:r>
          </w:p>
        </w:tc>
        <w:tc>
          <w:tcPr>
            <w:tcW w:w="1033" w:type="pct"/>
            <w:hideMark/>
          </w:tcPr>
          <w:p w14:paraId="64431BF6"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i/>
                <w:iCs/>
              </w:rPr>
              <w:t>Positive</w:t>
            </w:r>
          </w:p>
        </w:tc>
      </w:tr>
      <w:tr w:rsidR="003F46B6" w:rsidRPr="00265FD6" w14:paraId="1F60EA32" w14:textId="77777777" w:rsidTr="00C321EF">
        <w:trPr>
          <w:trHeight w:val="327"/>
          <w:jc w:val="center"/>
        </w:trPr>
        <w:tc>
          <w:tcPr>
            <w:tcW w:w="1156" w:type="pct"/>
            <w:hideMark/>
          </w:tcPr>
          <w:p w14:paraId="4682EA33"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Landholding</w:t>
            </w:r>
          </w:p>
        </w:tc>
        <w:tc>
          <w:tcPr>
            <w:tcW w:w="1344" w:type="pct"/>
            <w:hideMark/>
          </w:tcPr>
          <w:p w14:paraId="275F8FF4"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Benefits score</w:t>
            </w:r>
          </w:p>
        </w:tc>
        <w:tc>
          <w:tcPr>
            <w:tcW w:w="891" w:type="pct"/>
            <w:hideMark/>
          </w:tcPr>
          <w:p w14:paraId="18224CEC"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r = 0.41</w:t>
            </w:r>
          </w:p>
        </w:tc>
        <w:tc>
          <w:tcPr>
            <w:tcW w:w="577" w:type="pct"/>
            <w:hideMark/>
          </w:tcPr>
          <w:p w14:paraId="76EDC5EF"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0.003</w:t>
            </w:r>
          </w:p>
        </w:tc>
        <w:tc>
          <w:tcPr>
            <w:tcW w:w="1033" w:type="pct"/>
            <w:hideMark/>
          </w:tcPr>
          <w:p w14:paraId="1ACF579D"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Strong positive</w:t>
            </w:r>
          </w:p>
        </w:tc>
      </w:tr>
      <w:tr w:rsidR="003F46B6" w:rsidRPr="00265FD6" w14:paraId="6D307CAB" w14:textId="77777777" w:rsidTr="00C321EF">
        <w:trPr>
          <w:trHeight w:val="340"/>
          <w:jc w:val="center"/>
        </w:trPr>
        <w:tc>
          <w:tcPr>
            <w:tcW w:w="1156" w:type="pct"/>
            <w:hideMark/>
          </w:tcPr>
          <w:p w14:paraId="64053091"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Annual income</w:t>
            </w:r>
          </w:p>
        </w:tc>
        <w:tc>
          <w:tcPr>
            <w:tcW w:w="1344" w:type="pct"/>
            <w:hideMark/>
          </w:tcPr>
          <w:p w14:paraId="3625118E"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Benefits score</w:t>
            </w:r>
          </w:p>
        </w:tc>
        <w:tc>
          <w:tcPr>
            <w:tcW w:w="891" w:type="pct"/>
            <w:hideMark/>
          </w:tcPr>
          <w:p w14:paraId="471F371F"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r = 0.38</w:t>
            </w:r>
          </w:p>
        </w:tc>
        <w:tc>
          <w:tcPr>
            <w:tcW w:w="577" w:type="pct"/>
            <w:hideMark/>
          </w:tcPr>
          <w:p w14:paraId="1392857E"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0.012</w:t>
            </w:r>
          </w:p>
        </w:tc>
        <w:tc>
          <w:tcPr>
            <w:tcW w:w="1033" w:type="pct"/>
            <w:hideMark/>
          </w:tcPr>
          <w:p w14:paraId="7717F575"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i/>
                <w:iCs/>
              </w:rPr>
              <w:t>Positive</w:t>
            </w:r>
          </w:p>
        </w:tc>
      </w:tr>
      <w:tr w:rsidR="003F46B6" w:rsidRPr="00265FD6" w14:paraId="36B55A86" w14:textId="77777777" w:rsidTr="00C321EF">
        <w:trPr>
          <w:trHeight w:val="327"/>
          <w:jc w:val="center"/>
        </w:trPr>
        <w:tc>
          <w:tcPr>
            <w:tcW w:w="1156" w:type="pct"/>
            <w:hideMark/>
          </w:tcPr>
          <w:p w14:paraId="782B8D00"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SES Index</w:t>
            </w:r>
          </w:p>
        </w:tc>
        <w:tc>
          <w:tcPr>
            <w:tcW w:w="1344" w:type="pct"/>
            <w:hideMark/>
          </w:tcPr>
          <w:p w14:paraId="39CD33F5"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Benefits score</w:t>
            </w:r>
          </w:p>
        </w:tc>
        <w:tc>
          <w:tcPr>
            <w:tcW w:w="891" w:type="pct"/>
            <w:hideMark/>
          </w:tcPr>
          <w:p w14:paraId="104F1AB2"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r = 0.33</w:t>
            </w:r>
          </w:p>
        </w:tc>
        <w:tc>
          <w:tcPr>
            <w:tcW w:w="577" w:type="pct"/>
            <w:hideMark/>
          </w:tcPr>
          <w:p w14:paraId="45BFC63A"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rPr>
              <w:t>0.024</w:t>
            </w:r>
          </w:p>
        </w:tc>
        <w:tc>
          <w:tcPr>
            <w:tcW w:w="1033" w:type="pct"/>
            <w:hideMark/>
          </w:tcPr>
          <w:p w14:paraId="69247550" w14:textId="77777777" w:rsidR="003F46B6" w:rsidRPr="00265FD6" w:rsidRDefault="003F46B6" w:rsidP="00FB4B6F">
            <w:pPr>
              <w:spacing w:line="276" w:lineRule="auto"/>
              <w:rPr>
                <w:rFonts w:asciiTheme="majorBidi" w:hAnsiTheme="majorBidi" w:cstheme="majorBidi"/>
              </w:rPr>
            </w:pPr>
            <w:r w:rsidRPr="00265FD6">
              <w:rPr>
                <w:rFonts w:asciiTheme="majorBidi" w:hAnsiTheme="majorBidi" w:cstheme="majorBidi"/>
                <w:i/>
                <w:iCs/>
              </w:rPr>
              <w:t>Positive</w:t>
            </w:r>
          </w:p>
        </w:tc>
      </w:tr>
    </w:tbl>
    <w:p w14:paraId="272E0249" w14:textId="029550AB" w:rsidR="003F46B6" w:rsidRPr="003F46B6" w:rsidRDefault="003F46B6" w:rsidP="003D0CFE">
      <w:pPr>
        <w:pStyle w:val="ListParagraph"/>
        <w:numPr>
          <w:ilvl w:val="1"/>
          <w:numId w:val="2"/>
        </w:numPr>
        <w:ind w:left="567" w:hanging="567"/>
        <w:rPr>
          <w:rFonts w:asciiTheme="majorBidi" w:hAnsiTheme="majorBidi" w:cstheme="majorBidi"/>
          <w:b/>
          <w:bCs/>
        </w:rPr>
      </w:pPr>
      <w:r w:rsidRPr="003F46B6">
        <w:rPr>
          <w:rFonts w:asciiTheme="majorBidi" w:hAnsiTheme="majorBidi" w:cstheme="majorBidi"/>
          <w:b/>
          <w:bCs/>
        </w:rPr>
        <w:t>Correlations with the overall benefit score</w:t>
      </w:r>
    </w:p>
    <w:p w14:paraId="183D623C" w14:textId="5015DE5F" w:rsidR="00F541D2" w:rsidRDefault="003F46B6" w:rsidP="00365DA6">
      <w:pPr>
        <w:jc w:val="both"/>
        <w:rPr>
          <w:rFonts w:asciiTheme="majorBidi" w:hAnsiTheme="majorBidi" w:cstheme="majorBidi"/>
        </w:rPr>
      </w:pPr>
      <w:r w:rsidRPr="003F46B6">
        <w:rPr>
          <w:rFonts w:asciiTheme="majorBidi" w:hAnsiTheme="majorBidi" w:cstheme="majorBidi"/>
        </w:rPr>
        <w:t>Positive correlations were observed between the benefit score and key socio-economic variables. Landholding showed a moderate correlation (</w:t>
      </w:r>
      <w:r w:rsidRPr="003F46B6">
        <w:rPr>
          <w:rFonts w:asciiTheme="majorBidi" w:hAnsiTheme="majorBidi" w:cstheme="majorBidi"/>
          <w:i/>
          <w:iCs/>
        </w:rPr>
        <w:t>r</w:t>
      </w:r>
      <w:r w:rsidRPr="003F46B6">
        <w:rPr>
          <w:rFonts w:asciiTheme="majorBidi" w:hAnsiTheme="majorBidi" w:cstheme="majorBidi"/>
        </w:rPr>
        <w:t xml:space="preserve"> = 0.41, </w:t>
      </w:r>
      <w:r w:rsidRPr="003F46B6">
        <w:rPr>
          <w:rFonts w:asciiTheme="majorBidi" w:hAnsiTheme="majorBidi" w:cstheme="majorBidi"/>
          <w:i/>
          <w:iCs/>
        </w:rPr>
        <w:t>p</w:t>
      </w:r>
      <w:r w:rsidRPr="003F46B6">
        <w:rPr>
          <w:rFonts w:asciiTheme="majorBidi" w:hAnsiTheme="majorBidi" w:cstheme="majorBidi"/>
        </w:rPr>
        <w:t xml:space="preserve"> = 0.003), followed by annual income (</w:t>
      </w:r>
      <w:r w:rsidRPr="003F46B6">
        <w:rPr>
          <w:rFonts w:asciiTheme="majorBidi" w:hAnsiTheme="majorBidi" w:cstheme="majorBidi"/>
          <w:i/>
          <w:iCs/>
        </w:rPr>
        <w:t>r</w:t>
      </w:r>
      <w:r w:rsidRPr="003F46B6">
        <w:rPr>
          <w:rFonts w:asciiTheme="majorBidi" w:hAnsiTheme="majorBidi" w:cstheme="majorBidi"/>
        </w:rPr>
        <w:t xml:space="preserve"> = 0.38, </w:t>
      </w:r>
      <w:r w:rsidRPr="003F46B6">
        <w:rPr>
          <w:rFonts w:asciiTheme="majorBidi" w:hAnsiTheme="majorBidi" w:cstheme="majorBidi"/>
          <w:i/>
          <w:iCs/>
        </w:rPr>
        <w:t>p</w:t>
      </w:r>
      <w:r w:rsidRPr="003F46B6">
        <w:rPr>
          <w:rFonts w:asciiTheme="majorBidi" w:hAnsiTheme="majorBidi" w:cstheme="majorBidi"/>
        </w:rPr>
        <w:t xml:space="preserve"> = 0.012) and SES index (</w:t>
      </w:r>
      <w:r w:rsidRPr="003F46B6">
        <w:rPr>
          <w:rFonts w:asciiTheme="majorBidi" w:hAnsiTheme="majorBidi" w:cstheme="majorBidi"/>
          <w:i/>
          <w:iCs/>
        </w:rPr>
        <w:t>r</w:t>
      </w:r>
      <w:r w:rsidRPr="003F46B6">
        <w:rPr>
          <w:rFonts w:asciiTheme="majorBidi" w:hAnsiTheme="majorBidi" w:cstheme="majorBidi"/>
        </w:rPr>
        <w:t xml:space="preserve"> = 0.33, </w:t>
      </w:r>
      <w:r w:rsidRPr="003F46B6">
        <w:rPr>
          <w:rFonts w:asciiTheme="majorBidi" w:hAnsiTheme="majorBidi" w:cstheme="majorBidi"/>
          <w:i/>
          <w:iCs/>
        </w:rPr>
        <w:t>p</w:t>
      </w:r>
      <w:r w:rsidRPr="003F46B6">
        <w:rPr>
          <w:rFonts w:asciiTheme="majorBidi" w:hAnsiTheme="majorBidi" w:cstheme="majorBidi"/>
        </w:rPr>
        <w:t xml:space="preserve"> = 0.024). Education also demonstrated</w:t>
      </w:r>
      <w:r w:rsidR="000C2082">
        <w:rPr>
          <w:rFonts w:asciiTheme="majorBidi" w:hAnsiTheme="majorBidi" w:cstheme="majorBidi"/>
        </w:rPr>
        <w:t xml:space="preserve"> </w:t>
      </w:r>
      <w:r w:rsidRPr="003F46B6">
        <w:rPr>
          <w:rFonts w:asciiTheme="majorBidi" w:hAnsiTheme="majorBidi" w:cstheme="majorBidi"/>
        </w:rPr>
        <w:t>a positive though weaker link (</w:t>
      </w:r>
      <w:r w:rsidRPr="003F46B6">
        <w:rPr>
          <w:rFonts w:asciiTheme="majorBidi" w:hAnsiTheme="majorBidi" w:cstheme="majorBidi"/>
          <w:i/>
          <w:iCs/>
        </w:rPr>
        <w:t>r</w:t>
      </w:r>
      <w:r w:rsidRPr="003F46B6">
        <w:rPr>
          <w:rFonts w:asciiTheme="majorBidi" w:hAnsiTheme="majorBidi" w:cstheme="majorBidi"/>
        </w:rPr>
        <w:t xml:space="preserve"> = 0.29, </w:t>
      </w:r>
      <w:r w:rsidRPr="003F46B6">
        <w:rPr>
          <w:rFonts w:asciiTheme="majorBidi" w:hAnsiTheme="majorBidi" w:cstheme="majorBidi"/>
          <w:i/>
          <w:iCs/>
        </w:rPr>
        <w:t>p</w:t>
      </w:r>
      <w:r w:rsidRPr="003F46B6">
        <w:rPr>
          <w:rFonts w:asciiTheme="majorBidi" w:hAnsiTheme="majorBidi" w:cstheme="majorBidi"/>
        </w:rPr>
        <w:t xml:space="preserve"> = 0.041).</w:t>
      </w:r>
      <w:r w:rsidR="00365DA6">
        <w:rPr>
          <w:rFonts w:asciiTheme="majorBidi" w:hAnsiTheme="majorBidi" w:cstheme="majorBidi"/>
        </w:rPr>
        <w:t xml:space="preserve"> </w:t>
      </w:r>
      <w:r w:rsidRPr="003F46B6">
        <w:rPr>
          <w:rFonts w:asciiTheme="majorBidi" w:hAnsiTheme="majorBidi" w:cstheme="majorBidi"/>
        </w:rPr>
        <w:t>Age had a small, non-significant negative correlation (</w:t>
      </w:r>
      <w:r w:rsidRPr="003F46B6">
        <w:rPr>
          <w:rFonts w:asciiTheme="majorBidi" w:hAnsiTheme="majorBidi" w:cstheme="majorBidi"/>
          <w:i/>
          <w:iCs/>
        </w:rPr>
        <w:t>r</w:t>
      </w:r>
      <w:r w:rsidRPr="003F46B6">
        <w:rPr>
          <w:rFonts w:asciiTheme="majorBidi" w:hAnsiTheme="majorBidi" w:cstheme="majorBidi"/>
        </w:rPr>
        <w:t xml:space="preserve"> = −0.12), suggesting older farmers perceived slightly fewer benefits from e-NAM.</w:t>
      </w:r>
    </w:p>
    <w:p w14:paraId="1714FC81" w14:textId="77777777" w:rsidR="00A84954" w:rsidRPr="00B4318B" w:rsidRDefault="00A84954" w:rsidP="003D0CFE">
      <w:pPr>
        <w:pStyle w:val="ListParagraph"/>
        <w:numPr>
          <w:ilvl w:val="1"/>
          <w:numId w:val="2"/>
        </w:numPr>
        <w:ind w:left="567" w:hanging="567"/>
        <w:rPr>
          <w:rFonts w:asciiTheme="majorBidi" w:hAnsiTheme="majorBidi" w:cstheme="majorBidi"/>
          <w:b/>
          <w:bCs/>
        </w:rPr>
      </w:pPr>
      <w:r w:rsidRPr="00B4318B">
        <w:rPr>
          <w:rFonts w:asciiTheme="majorBidi" w:hAnsiTheme="majorBidi" w:cstheme="majorBidi"/>
          <w:b/>
          <w:bCs/>
        </w:rPr>
        <w:t>Factor Analysis of Perceived Benefits</w:t>
      </w:r>
      <w:r>
        <w:rPr>
          <w:rFonts w:asciiTheme="majorBidi" w:hAnsiTheme="majorBidi" w:cstheme="majorBidi"/>
          <w:b/>
          <w:bCs/>
        </w:rPr>
        <w:t>:</w:t>
      </w:r>
    </w:p>
    <w:p w14:paraId="59F2C74C" w14:textId="77777777" w:rsidR="003F46B6" w:rsidRPr="004A6E77" w:rsidRDefault="003F46B6" w:rsidP="003F46B6">
      <w:pPr>
        <w:jc w:val="both"/>
        <w:rPr>
          <w:rFonts w:asciiTheme="majorBidi" w:hAnsiTheme="majorBidi" w:cstheme="majorBidi"/>
        </w:rPr>
      </w:pPr>
      <w:r w:rsidRPr="004A6E77">
        <w:rPr>
          <w:rFonts w:asciiTheme="majorBidi" w:hAnsiTheme="majorBidi" w:cstheme="majorBidi"/>
        </w:rPr>
        <w:t>Factor analysis revealed a clear three-factor solution explaining 79.4% of the total variance. The first factor, Economic Benefits, accounted for 36.2% of the variance and had strong loadings for price satisfaction, profitability and record keeping. The second factor, Market Services, included cleanliness and drinking water/canteen facilities (24.5%). The third factor, Infrastructure, consisted of storage facilities and trolley availability (18.7%).</w:t>
      </w:r>
    </w:p>
    <w:p w14:paraId="75CA3799" w14:textId="2FEBB7A3" w:rsidR="008F167F" w:rsidRPr="00FB4B6F" w:rsidRDefault="003F46B6" w:rsidP="00FB4B6F">
      <w:pPr>
        <w:jc w:val="both"/>
        <w:rPr>
          <w:rFonts w:asciiTheme="majorBidi" w:hAnsiTheme="majorBidi" w:cstheme="majorBidi"/>
        </w:rPr>
      </w:pPr>
      <w:r w:rsidRPr="003F46B6">
        <w:rPr>
          <w:rFonts w:asciiTheme="majorBidi" w:hAnsiTheme="majorBidi" w:cstheme="majorBidi"/>
        </w:rPr>
        <w:t xml:space="preserve">This multidimensional structure suggests that farmers judge e-NAM not only by income gains but also by the </w:t>
      </w:r>
      <w:r w:rsidR="00F42178" w:rsidRPr="003F46B6">
        <w:rPr>
          <w:rFonts w:asciiTheme="majorBidi" w:hAnsiTheme="majorBidi" w:cstheme="majorBidi"/>
        </w:rPr>
        <w:t>quality-of-service</w:t>
      </w:r>
      <w:r w:rsidRPr="003F46B6">
        <w:rPr>
          <w:rFonts w:asciiTheme="majorBidi" w:hAnsiTheme="majorBidi" w:cstheme="majorBidi"/>
        </w:rPr>
        <w:t xml:space="preserve"> delivery and physical infrastructure at mandis.</w:t>
      </w:r>
    </w:p>
    <w:p w14:paraId="791DF7FB" w14:textId="69C3F00D" w:rsidR="00A84954" w:rsidRPr="00B4318B" w:rsidRDefault="00A84954" w:rsidP="00A84954">
      <w:pPr>
        <w:rPr>
          <w:rFonts w:asciiTheme="majorBidi" w:hAnsiTheme="majorBidi" w:cstheme="majorBidi"/>
        </w:rPr>
      </w:pPr>
      <w:r w:rsidRPr="00B4318B">
        <w:rPr>
          <w:rFonts w:asciiTheme="majorBidi" w:hAnsiTheme="majorBidi" w:cstheme="majorBidi"/>
          <w:b/>
          <w:bCs/>
        </w:rPr>
        <w:t xml:space="preserve">Table </w:t>
      </w:r>
      <w:r w:rsidR="0074040C">
        <w:rPr>
          <w:rFonts w:asciiTheme="majorBidi" w:hAnsiTheme="majorBidi" w:cstheme="majorBidi"/>
          <w:b/>
          <w:bCs/>
        </w:rPr>
        <w:t>5</w:t>
      </w:r>
      <w:r w:rsidRPr="00B4318B">
        <w:rPr>
          <w:rFonts w:asciiTheme="majorBidi" w:hAnsiTheme="majorBidi" w:cstheme="majorBidi"/>
          <w:b/>
          <w:bCs/>
        </w:rPr>
        <w:t xml:space="preserve">. Factor Analysis of Perceived Benefits of e-NAM </w:t>
      </w:r>
    </w:p>
    <w:tbl>
      <w:tblPr>
        <w:tblStyle w:val="TableGrid"/>
        <w:tblW w:w="0" w:type="auto"/>
        <w:tblLook w:val="04A0" w:firstRow="1" w:lastRow="0" w:firstColumn="1" w:lastColumn="0" w:noHBand="0" w:noVBand="1"/>
      </w:tblPr>
      <w:tblGrid>
        <w:gridCol w:w="3641"/>
        <w:gridCol w:w="1478"/>
        <w:gridCol w:w="2074"/>
        <w:gridCol w:w="1823"/>
      </w:tblGrid>
      <w:tr w:rsidR="002B1292" w:rsidRPr="00697E42" w14:paraId="335616CE" w14:textId="77777777" w:rsidTr="002B1292">
        <w:tc>
          <w:tcPr>
            <w:tcW w:w="0" w:type="auto"/>
            <w:vAlign w:val="center"/>
            <w:hideMark/>
          </w:tcPr>
          <w:p w14:paraId="6EB18709" w14:textId="46ACC2F3" w:rsidR="002B1292" w:rsidRPr="00E97C30" w:rsidRDefault="002B1292" w:rsidP="00697E42">
            <w:pPr>
              <w:spacing w:line="278" w:lineRule="auto"/>
              <w:rPr>
                <w:rFonts w:asciiTheme="majorBidi" w:hAnsiTheme="majorBidi" w:cstheme="majorBidi"/>
                <w:b/>
                <w:bCs/>
              </w:rPr>
            </w:pPr>
            <w:r w:rsidRPr="00E97C30">
              <w:rPr>
                <w:rFonts w:asciiTheme="majorBidi" w:hAnsiTheme="majorBidi" w:cstheme="majorBidi"/>
                <w:b/>
                <w:bCs/>
              </w:rPr>
              <w:t>Factor Loadings</w:t>
            </w:r>
          </w:p>
        </w:tc>
        <w:tc>
          <w:tcPr>
            <w:tcW w:w="0" w:type="auto"/>
            <w:vAlign w:val="center"/>
            <w:hideMark/>
          </w:tcPr>
          <w:p w14:paraId="2B964800" w14:textId="77777777" w:rsidR="002B1292" w:rsidRPr="00E97C30" w:rsidRDefault="002B1292" w:rsidP="00697E42">
            <w:pPr>
              <w:spacing w:line="278" w:lineRule="auto"/>
              <w:rPr>
                <w:rFonts w:asciiTheme="majorBidi" w:hAnsiTheme="majorBidi" w:cstheme="majorBidi"/>
                <w:b/>
                <w:bCs/>
              </w:rPr>
            </w:pPr>
            <w:r w:rsidRPr="00E97C30">
              <w:rPr>
                <w:rFonts w:asciiTheme="majorBidi" w:hAnsiTheme="majorBidi" w:cstheme="majorBidi"/>
                <w:b/>
                <w:bCs/>
              </w:rPr>
              <w:t>Loading Range</w:t>
            </w:r>
          </w:p>
        </w:tc>
        <w:tc>
          <w:tcPr>
            <w:tcW w:w="0" w:type="auto"/>
            <w:vAlign w:val="center"/>
            <w:hideMark/>
          </w:tcPr>
          <w:p w14:paraId="3F54F8D9" w14:textId="77777777" w:rsidR="002B1292" w:rsidRPr="00E97C30" w:rsidRDefault="002B1292" w:rsidP="00697E42">
            <w:pPr>
              <w:spacing w:line="278" w:lineRule="auto"/>
              <w:rPr>
                <w:rFonts w:asciiTheme="majorBidi" w:hAnsiTheme="majorBidi" w:cstheme="majorBidi"/>
                <w:b/>
                <w:bCs/>
              </w:rPr>
            </w:pPr>
            <w:r w:rsidRPr="00E97C30">
              <w:rPr>
                <w:rFonts w:asciiTheme="majorBidi" w:hAnsiTheme="majorBidi" w:cstheme="majorBidi"/>
                <w:b/>
                <w:bCs/>
              </w:rPr>
              <w:t>Variance Explained (%)</w:t>
            </w:r>
          </w:p>
        </w:tc>
        <w:tc>
          <w:tcPr>
            <w:tcW w:w="0" w:type="auto"/>
            <w:vAlign w:val="center"/>
            <w:hideMark/>
          </w:tcPr>
          <w:p w14:paraId="39DB764C" w14:textId="77777777" w:rsidR="002B1292" w:rsidRPr="00E97C30" w:rsidRDefault="002B1292" w:rsidP="00697E42">
            <w:pPr>
              <w:spacing w:line="278" w:lineRule="auto"/>
              <w:rPr>
                <w:rFonts w:asciiTheme="majorBidi" w:hAnsiTheme="majorBidi" w:cstheme="majorBidi"/>
                <w:b/>
                <w:bCs/>
              </w:rPr>
            </w:pPr>
            <w:r w:rsidRPr="00E97C30">
              <w:rPr>
                <w:rFonts w:asciiTheme="majorBidi" w:hAnsiTheme="majorBidi" w:cstheme="majorBidi"/>
                <w:b/>
                <w:bCs/>
              </w:rPr>
              <w:t>Factor Name</w:t>
            </w:r>
          </w:p>
        </w:tc>
      </w:tr>
      <w:tr w:rsidR="002B1292" w:rsidRPr="00697E42" w14:paraId="3D419CE6" w14:textId="77777777" w:rsidTr="002B1292">
        <w:tc>
          <w:tcPr>
            <w:tcW w:w="0" w:type="auto"/>
            <w:vAlign w:val="center"/>
            <w:hideMark/>
          </w:tcPr>
          <w:p w14:paraId="3B735BF2"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Price satisfaction, Profitability, Record maintenance</w:t>
            </w:r>
          </w:p>
        </w:tc>
        <w:tc>
          <w:tcPr>
            <w:tcW w:w="0" w:type="auto"/>
            <w:vAlign w:val="center"/>
            <w:hideMark/>
          </w:tcPr>
          <w:p w14:paraId="539B3046"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0.76–0.82</w:t>
            </w:r>
          </w:p>
        </w:tc>
        <w:tc>
          <w:tcPr>
            <w:tcW w:w="0" w:type="auto"/>
            <w:vAlign w:val="center"/>
            <w:hideMark/>
          </w:tcPr>
          <w:p w14:paraId="0397D3B6"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36.2</w:t>
            </w:r>
          </w:p>
        </w:tc>
        <w:tc>
          <w:tcPr>
            <w:tcW w:w="0" w:type="auto"/>
            <w:vAlign w:val="center"/>
            <w:hideMark/>
          </w:tcPr>
          <w:p w14:paraId="72A19E44"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Economic Benefits</w:t>
            </w:r>
          </w:p>
        </w:tc>
      </w:tr>
      <w:tr w:rsidR="002B1292" w:rsidRPr="00697E42" w14:paraId="658ADDED" w14:textId="77777777" w:rsidTr="002B1292">
        <w:tc>
          <w:tcPr>
            <w:tcW w:w="0" w:type="auto"/>
            <w:vAlign w:val="center"/>
            <w:hideMark/>
          </w:tcPr>
          <w:p w14:paraId="6FD94827"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Cleanliness, Drinking water/canteen</w:t>
            </w:r>
          </w:p>
        </w:tc>
        <w:tc>
          <w:tcPr>
            <w:tcW w:w="0" w:type="auto"/>
            <w:vAlign w:val="center"/>
            <w:hideMark/>
          </w:tcPr>
          <w:p w14:paraId="7DB1E83D"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0.78–0.81</w:t>
            </w:r>
          </w:p>
        </w:tc>
        <w:tc>
          <w:tcPr>
            <w:tcW w:w="0" w:type="auto"/>
            <w:vAlign w:val="center"/>
            <w:hideMark/>
          </w:tcPr>
          <w:p w14:paraId="2D2777E7"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24.5</w:t>
            </w:r>
          </w:p>
        </w:tc>
        <w:tc>
          <w:tcPr>
            <w:tcW w:w="0" w:type="auto"/>
            <w:vAlign w:val="center"/>
            <w:hideMark/>
          </w:tcPr>
          <w:p w14:paraId="5E2FA99D"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Market Services</w:t>
            </w:r>
          </w:p>
        </w:tc>
      </w:tr>
      <w:tr w:rsidR="002B1292" w:rsidRPr="00697E42" w14:paraId="798B4CB3" w14:textId="77777777" w:rsidTr="002B1292">
        <w:tc>
          <w:tcPr>
            <w:tcW w:w="0" w:type="auto"/>
            <w:vAlign w:val="center"/>
            <w:hideMark/>
          </w:tcPr>
          <w:p w14:paraId="4C4B10A7"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Storage facility, Trolleys</w:t>
            </w:r>
          </w:p>
        </w:tc>
        <w:tc>
          <w:tcPr>
            <w:tcW w:w="0" w:type="auto"/>
            <w:vAlign w:val="center"/>
            <w:hideMark/>
          </w:tcPr>
          <w:p w14:paraId="76CAAA0F"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0.79–0.83</w:t>
            </w:r>
          </w:p>
        </w:tc>
        <w:tc>
          <w:tcPr>
            <w:tcW w:w="0" w:type="auto"/>
            <w:vAlign w:val="center"/>
            <w:hideMark/>
          </w:tcPr>
          <w:p w14:paraId="57EB0805"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18.7</w:t>
            </w:r>
          </w:p>
        </w:tc>
        <w:tc>
          <w:tcPr>
            <w:tcW w:w="0" w:type="auto"/>
            <w:vAlign w:val="center"/>
            <w:hideMark/>
          </w:tcPr>
          <w:p w14:paraId="6E9F8A58" w14:textId="77777777" w:rsidR="002B1292" w:rsidRPr="002B1292" w:rsidRDefault="002B1292" w:rsidP="00697E42">
            <w:pPr>
              <w:spacing w:line="278" w:lineRule="auto"/>
              <w:rPr>
                <w:rFonts w:asciiTheme="majorBidi" w:hAnsiTheme="majorBidi" w:cstheme="majorBidi"/>
              </w:rPr>
            </w:pPr>
            <w:r w:rsidRPr="002B1292">
              <w:rPr>
                <w:rFonts w:asciiTheme="majorBidi" w:hAnsiTheme="majorBidi" w:cstheme="majorBidi"/>
              </w:rPr>
              <w:t>Infrastructure</w:t>
            </w:r>
          </w:p>
        </w:tc>
      </w:tr>
    </w:tbl>
    <w:p w14:paraId="07B83CFE" w14:textId="77777777" w:rsidR="005814CC" w:rsidRDefault="005814CC" w:rsidP="005814CC">
      <w:pPr>
        <w:spacing w:after="0"/>
        <w:jc w:val="center"/>
        <w:rPr>
          <w:rFonts w:asciiTheme="majorBidi" w:hAnsiTheme="majorBidi" w:cstheme="majorBidi"/>
          <w:b/>
          <w:bCs/>
        </w:rPr>
      </w:pPr>
    </w:p>
    <w:p w14:paraId="2C82A834" w14:textId="34292C85" w:rsidR="00A84954" w:rsidRPr="003D0CFE" w:rsidRDefault="00A84954" w:rsidP="003D0CFE">
      <w:pPr>
        <w:pStyle w:val="ListParagraph"/>
        <w:numPr>
          <w:ilvl w:val="0"/>
          <w:numId w:val="2"/>
        </w:numPr>
        <w:spacing w:after="0"/>
        <w:ind w:left="284" w:hanging="284"/>
        <w:rPr>
          <w:rFonts w:asciiTheme="majorBidi" w:hAnsiTheme="majorBidi" w:cstheme="majorBidi"/>
          <w:b/>
          <w:bCs/>
        </w:rPr>
      </w:pPr>
      <w:r w:rsidRPr="003D0CFE">
        <w:rPr>
          <w:rFonts w:asciiTheme="majorBidi" w:hAnsiTheme="majorBidi" w:cstheme="majorBidi"/>
          <w:b/>
          <w:bCs/>
        </w:rPr>
        <w:t>DISCUSSION</w:t>
      </w:r>
    </w:p>
    <w:p w14:paraId="3F7F378F" w14:textId="40078AC7" w:rsidR="00A84954" w:rsidRDefault="00A84954" w:rsidP="00A84954">
      <w:pPr>
        <w:spacing w:line="240" w:lineRule="auto"/>
        <w:jc w:val="both"/>
        <w:rPr>
          <w:rFonts w:asciiTheme="majorBidi" w:hAnsiTheme="majorBidi" w:cstheme="majorBidi"/>
        </w:rPr>
      </w:pPr>
      <w:r w:rsidRPr="001A144A">
        <w:rPr>
          <w:rFonts w:asciiTheme="majorBidi" w:hAnsiTheme="majorBidi" w:cstheme="majorBidi"/>
        </w:rPr>
        <w:t>This </w:t>
      </w:r>
      <w:r>
        <w:rPr>
          <w:rFonts w:asciiTheme="majorBidi" w:hAnsiTheme="majorBidi" w:cstheme="majorBidi"/>
        </w:rPr>
        <w:t>study</w:t>
      </w:r>
      <w:r w:rsidRPr="001A144A">
        <w:rPr>
          <w:rFonts w:asciiTheme="majorBidi" w:hAnsiTheme="majorBidi" w:cstheme="majorBidi"/>
        </w:rPr>
        <w:t xml:space="preserve"> highlights that</w:t>
      </w:r>
      <w:r>
        <w:rPr>
          <w:rFonts w:asciiTheme="majorBidi" w:hAnsiTheme="majorBidi" w:cstheme="majorBidi"/>
        </w:rPr>
        <w:t xml:space="preserve"> farmers in the Meerut district who interact with</w:t>
      </w:r>
      <w:r w:rsidRPr="001A144A">
        <w:rPr>
          <w:rFonts w:asciiTheme="majorBidi" w:hAnsiTheme="majorBidi" w:cstheme="majorBidi"/>
        </w:rPr>
        <w:t xml:space="preserve"> </w:t>
      </w:r>
      <w:r>
        <w:rPr>
          <w:rFonts w:asciiTheme="majorBidi" w:hAnsiTheme="majorBidi" w:cstheme="majorBidi"/>
        </w:rPr>
        <w:t xml:space="preserve">the market </w:t>
      </w:r>
      <w:r w:rsidRPr="001A144A">
        <w:rPr>
          <w:rFonts w:asciiTheme="majorBidi" w:hAnsiTheme="majorBidi" w:cstheme="majorBidi"/>
        </w:rPr>
        <w:t>h</w:t>
      </w:r>
      <w:r>
        <w:rPr>
          <w:rFonts w:asciiTheme="majorBidi" w:hAnsiTheme="majorBidi" w:cstheme="majorBidi"/>
        </w:rPr>
        <w:t>ave experienced</w:t>
      </w:r>
      <w:r w:rsidRPr="001A144A">
        <w:rPr>
          <w:rFonts w:asciiTheme="majorBidi" w:hAnsiTheme="majorBidi" w:cstheme="majorBidi"/>
        </w:rPr>
        <w:t xml:space="preserve"> improve</w:t>
      </w:r>
      <w:r>
        <w:rPr>
          <w:rFonts w:asciiTheme="majorBidi" w:hAnsiTheme="majorBidi" w:cstheme="majorBidi"/>
        </w:rPr>
        <w:t>d</w:t>
      </w:r>
      <w:r w:rsidRPr="001A144A">
        <w:rPr>
          <w:rFonts w:asciiTheme="majorBidi" w:hAnsiTheme="majorBidi" w:cstheme="majorBidi"/>
        </w:rPr>
        <w:t xml:space="preserve"> change</w:t>
      </w:r>
      <w:r>
        <w:rPr>
          <w:rFonts w:asciiTheme="majorBidi" w:hAnsiTheme="majorBidi" w:cstheme="majorBidi"/>
        </w:rPr>
        <w:t>s. Earlier,</w:t>
      </w:r>
      <w:r w:rsidRPr="001A144A">
        <w:rPr>
          <w:rFonts w:asciiTheme="majorBidi" w:hAnsiTheme="majorBidi" w:cstheme="majorBidi"/>
        </w:rPr>
        <w:t xml:space="preserve"> </w:t>
      </w:r>
      <w:r>
        <w:rPr>
          <w:rFonts w:asciiTheme="majorBidi" w:hAnsiTheme="majorBidi" w:cstheme="majorBidi"/>
        </w:rPr>
        <w:t xml:space="preserve">farmers </w:t>
      </w:r>
      <w:r w:rsidRPr="001A144A">
        <w:rPr>
          <w:rFonts w:asciiTheme="majorBidi" w:hAnsiTheme="majorBidi" w:cstheme="majorBidi"/>
        </w:rPr>
        <w:t>ha</w:t>
      </w:r>
      <w:r>
        <w:rPr>
          <w:rFonts w:asciiTheme="majorBidi" w:hAnsiTheme="majorBidi" w:cstheme="majorBidi"/>
        </w:rPr>
        <w:t>d</w:t>
      </w:r>
      <w:r w:rsidRPr="001A144A">
        <w:rPr>
          <w:rFonts w:asciiTheme="majorBidi" w:hAnsiTheme="majorBidi" w:cstheme="majorBidi"/>
        </w:rPr>
        <w:t xml:space="preserve"> to deal with irregular payments, uncertain pricing</w:t>
      </w:r>
      <w:r>
        <w:rPr>
          <w:rFonts w:asciiTheme="majorBidi" w:hAnsiTheme="majorBidi" w:cstheme="majorBidi"/>
        </w:rPr>
        <w:t xml:space="preserve"> and</w:t>
      </w:r>
      <w:r w:rsidRPr="001A144A">
        <w:rPr>
          <w:rFonts w:asciiTheme="majorBidi" w:hAnsiTheme="majorBidi" w:cstheme="majorBidi"/>
        </w:rPr>
        <w:t xml:space="preserve"> middlemen. </w:t>
      </w:r>
      <w:r>
        <w:rPr>
          <w:rFonts w:asciiTheme="majorBidi" w:hAnsiTheme="majorBidi" w:cstheme="majorBidi"/>
        </w:rPr>
        <w:t xml:space="preserve">Presently, as a result of e-NAM, farmers express trust in trading since </w:t>
      </w:r>
      <w:r>
        <w:rPr>
          <w:rFonts w:asciiTheme="majorBidi" w:hAnsiTheme="majorBidi" w:cstheme="majorBidi"/>
        </w:rPr>
        <w:lastRenderedPageBreak/>
        <w:t xml:space="preserve">this assured price transparency, open bidding and timely payments. In determination of benefits, socio-economic factors play a key role. The majority of respondents who were adaptable to new practices were middle-aged. Education is found as a key component because the respondents with a high level of education found better at understanding bids, auction processes and bargaining. It is also found that results were affected by landholding size, as it is evident that large farmers earning more profits as a result of higher transaction volumes. Some </w:t>
      </w:r>
      <w:r w:rsidRPr="001A144A">
        <w:rPr>
          <w:rFonts w:asciiTheme="majorBidi" w:hAnsiTheme="majorBidi" w:cstheme="majorBidi"/>
        </w:rPr>
        <w:t>previous studies by Kaur and Kaur (2020) and Singh and Sharma (2019)</w:t>
      </w:r>
      <w:r>
        <w:rPr>
          <w:rFonts w:asciiTheme="majorBidi" w:hAnsiTheme="majorBidi" w:cstheme="majorBidi"/>
        </w:rPr>
        <w:t xml:space="preserve"> supported these results</w:t>
      </w:r>
      <w:r w:rsidRPr="001A144A">
        <w:rPr>
          <w:rFonts w:asciiTheme="majorBidi" w:hAnsiTheme="majorBidi" w:cstheme="majorBidi"/>
        </w:rPr>
        <w:t xml:space="preserve"> which found that socioeconomic characteristics had a direc</w:t>
      </w:r>
      <w:r>
        <w:rPr>
          <w:rFonts w:asciiTheme="majorBidi" w:hAnsiTheme="majorBidi" w:cstheme="majorBidi"/>
        </w:rPr>
        <w:t xml:space="preserve">t influence </w:t>
      </w:r>
      <w:r w:rsidRPr="001A144A">
        <w:rPr>
          <w:rFonts w:asciiTheme="majorBidi" w:hAnsiTheme="majorBidi" w:cstheme="majorBidi"/>
        </w:rPr>
        <w:t>on the adoption of digital platforms and their effects</w:t>
      </w:r>
      <w:r>
        <w:rPr>
          <w:rFonts w:asciiTheme="majorBidi" w:hAnsiTheme="majorBidi" w:cstheme="majorBidi"/>
        </w:rPr>
        <w:t xml:space="preserve"> as well.</w:t>
      </w:r>
      <w:r w:rsidR="005814CC">
        <w:rPr>
          <w:rFonts w:asciiTheme="majorBidi" w:hAnsiTheme="majorBidi" w:cstheme="majorBidi"/>
        </w:rPr>
        <w:t xml:space="preserve"> </w:t>
      </w:r>
      <w:r>
        <w:rPr>
          <w:rFonts w:asciiTheme="majorBidi" w:hAnsiTheme="majorBidi" w:cstheme="majorBidi"/>
        </w:rPr>
        <w:t xml:space="preserve">Based on this finding, it is also revealed that benefits to the farmers are not fairly distributed because marginal, less educated and old farmers are involved less due to their digital skill and awareness. </w:t>
      </w:r>
      <w:r w:rsidRPr="00754292">
        <w:rPr>
          <w:rFonts w:asciiTheme="majorBidi" w:hAnsiTheme="majorBidi" w:cstheme="majorBidi"/>
        </w:rPr>
        <w:t>Verma and Singh (2017) also found similar issues, noting that without adequate support, poor farmers risk exclusion from digital platforms.</w:t>
      </w:r>
      <w:r>
        <w:rPr>
          <w:rFonts w:asciiTheme="majorBidi" w:hAnsiTheme="majorBidi" w:cstheme="majorBidi"/>
        </w:rPr>
        <w:t xml:space="preserve"> A major challenge is identified as lack of infrastructure. Since only 40% of respondents had access to storage and for drinking water and canteen facilities only 25% had access. Farmers feel obliged to sell their produce immediately at reduced price, which also limits their ability to use e-NAM to increase their negotiation leverage. F</w:t>
      </w:r>
      <w:r w:rsidRPr="0094354F">
        <w:rPr>
          <w:rFonts w:asciiTheme="majorBidi" w:hAnsiTheme="majorBidi" w:cstheme="majorBidi"/>
        </w:rPr>
        <w:t>indings of Sharma et al. (2021)</w:t>
      </w:r>
      <w:r>
        <w:rPr>
          <w:rFonts w:asciiTheme="majorBidi" w:hAnsiTheme="majorBidi" w:cstheme="majorBidi"/>
        </w:rPr>
        <w:t xml:space="preserve"> also supported these drawbacks;</w:t>
      </w:r>
      <w:r w:rsidRPr="006A138B">
        <w:rPr>
          <w:rFonts w:asciiTheme="majorBidi" w:hAnsiTheme="majorBidi" w:cstheme="majorBidi"/>
        </w:rPr>
        <w:t xml:space="preserve"> </w:t>
      </w:r>
      <w:r w:rsidRPr="0094354F">
        <w:rPr>
          <w:rFonts w:asciiTheme="majorBidi" w:hAnsiTheme="majorBidi" w:cstheme="majorBidi"/>
        </w:rPr>
        <w:t>that investments in mandi infrastructure are required in addition to digital platforms in order to reach full potential.</w:t>
      </w:r>
    </w:p>
    <w:p w14:paraId="25860EA8" w14:textId="18113E25" w:rsidR="00AC1D3E" w:rsidRPr="00B4318B" w:rsidRDefault="00A84954" w:rsidP="00A84954">
      <w:pPr>
        <w:spacing w:line="240" w:lineRule="auto"/>
        <w:jc w:val="both"/>
        <w:rPr>
          <w:rFonts w:asciiTheme="majorBidi" w:hAnsiTheme="majorBidi" w:cstheme="majorBidi"/>
        </w:rPr>
      </w:pPr>
      <w:r w:rsidRPr="00EA277E">
        <w:rPr>
          <w:rFonts w:asciiTheme="majorBidi" w:hAnsiTheme="majorBidi" w:cstheme="majorBidi"/>
        </w:rPr>
        <w:t xml:space="preserve">The relationship between age and benefits indicates a slight negative trend, indicating that older farmers often struggle to adapt to digital platforms, unlike younger and middle-aged farmers who are more familiar with technology and can earn better returns. In order to assist older and less educated farmers, extension organisations must take the initiative in offering training, particularly in digital literacy. </w:t>
      </w:r>
      <w:r>
        <w:rPr>
          <w:rFonts w:asciiTheme="majorBidi" w:hAnsiTheme="majorBidi" w:cstheme="majorBidi"/>
        </w:rPr>
        <w:t>From these findings t</w:t>
      </w:r>
      <w:r w:rsidRPr="00EA277E">
        <w:rPr>
          <w:rFonts w:asciiTheme="majorBidi" w:hAnsiTheme="majorBidi" w:cstheme="majorBidi"/>
        </w:rPr>
        <w:t>hree main policy concerns raised: initiatives</w:t>
      </w:r>
      <w:r>
        <w:rPr>
          <w:rFonts w:asciiTheme="majorBidi" w:hAnsiTheme="majorBidi" w:cstheme="majorBidi"/>
        </w:rPr>
        <w:t xml:space="preserve"> of </w:t>
      </w:r>
      <w:r w:rsidRPr="00EA277E">
        <w:rPr>
          <w:rFonts w:asciiTheme="majorBidi" w:hAnsiTheme="majorBidi" w:cstheme="majorBidi"/>
        </w:rPr>
        <w:t>strengthening digital literacy; ensur</w:t>
      </w:r>
      <w:r>
        <w:rPr>
          <w:rFonts w:asciiTheme="majorBidi" w:hAnsiTheme="majorBidi" w:cstheme="majorBidi"/>
        </w:rPr>
        <w:t>ing</w:t>
      </w:r>
      <w:r w:rsidRPr="00EA277E">
        <w:rPr>
          <w:rFonts w:asciiTheme="majorBidi" w:hAnsiTheme="majorBidi" w:cstheme="majorBidi"/>
        </w:rPr>
        <w:t xml:space="preserve"> inclusivity</w:t>
      </w:r>
      <w:r>
        <w:rPr>
          <w:rFonts w:asciiTheme="majorBidi" w:hAnsiTheme="majorBidi" w:cstheme="majorBidi"/>
        </w:rPr>
        <w:t xml:space="preserve"> by </w:t>
      </w:r>
      <w:r w:rsidRPr="00013EAB">
        <w:rPr>
          <w:rFonts w:asciiTheme="majorBidi" w:hAnsiTheme="majorBidi" w:cstheme="majorBidi"/>
        </w:rPr>
        <w:t>enhancing awareness</w:t>
      </w:r>
      <w:r w:rsidRPr="00EA277E">
        <w:rPr>
          <w:rFonts w:asciiTheme="majorBidi" w:hAnsiTheme="majorBidi" w:cstheme="majorBidi"/>
        </w:rPr>
        <w:t>, especially for small and marginal farmers</w:t>
      </w:r>
      <w:r>
        <w:rPr>
          <w:rFonts w:asciiTheme="majorBidi" w:hAnsiTheme="majorBidi" w:cstheme="majorBidi"/>
        </w:rPr>
        <w:t>. Second,</w:t>
      </w:r>
      <w:r w:rsidRPr="00EA277E">
        <w:rPr>
          <w:rFonts w:asciiTheme="majorBidi" w:hAnsiTheme="majorBidi" w:cstheme="majorBidi"/>
        </w:rPr>
        <w:t xml:space="preserve"> upgrading mandi infrastructure for storage, weighing</w:t>
      </w:r>
      <w:r>
        <w:rPr>
          <w:rFonts w:asciiTheme="majorBidi" w:hAnsiTheme="majorBidi" w:cstheme="majorBidi"/>
        </w:rPr>
        <w:t xml:space="preserve"> and</w:t>
      </w:r>
      <w:r w:rsidRPr="00EA277E">
        <w:rPr>
          <w:rFonts w:asciiTheme="majorBidi" w:hAnsiTheme="majorBidi" w:cstheme="majorBidi"/>
        </w:rPr>
        <w:t xml:space="preserve"> cleaning</w:t>
      </w:r>
      <w:r>
        <w:rPr>
          <w:rFonts w:asciiTheme="majorBidi" w:hAnsiTheme="majorBidi" w:cstheme="majorBidi"/>
        </w:rPr>
        <w:t xml:space="preserve"> and t</w:t>
      </w:r>
      <w:r w:rsidRPr="0094354F">
        <w:rPr>
          <w:rFonts w:asciiTheme="majorBidi" w:hAnsiTheme="majorBidi" w:cstheme="majorBidi"/>
        </w:rPr>
        <w:t>hird</w:t>
      </w:r>
      <w:r>
        <w:rPr>
          <w:rFonts w:asciiTheme="majorBidi" w:hAnsiTheme="majorBidi" w:cstheme="majorBidi"/>
        </w:rPr>
        <w:t xml:space="preserve"> was</w:t>
      </w:r>
      <w:r w:rsidRPr="0094354F">
        <w:rPr>
          <w:rFonts w:asciiTheme="majorBidi" w:hAnsiTheme="majorBidi" w:cstheme="majorBidi"/>
        </w:rPr>
        <w:t xml:space="preserve"> prevent</w:t>
      </w:r>
      <w:r>
        <w:rPr>
          <w:rFonts w:asciiTheme="majorBidi" w:hAnsiTheme="majorBidi" w:cstheme="majorBidi"/>
        </w:rPr>
        <w:t>ing</w:t>
      </w:r>
      <w:r w:rsidRPr="0094354F">
        <w:rPr>
          <w:rFonts w:asciiTheme="majorBidi" w:hAnsiTheme="majorBidi" w:cstheme="majorBidi"/>
        </w:rPr>
        <w:t xml:space="preserve"> socio-economic disparities</w:t>
      </w:r>
      <w:r>
        <w:rPr>
          <w:rFonts w:asciiTheme="majorBidi" w:hAnsiTheme="majorBidi" w:cstheme="majorBidi"/>
        </w:rPr>
        <w:t>.</w:t>
      </w:r>
      <w:r w:rsidR="005814CC">
        <w:rPr>
          <w:rFonts w:asciiTheme="majorBidi" w:hAnsiTheme="majorBidi" w:cstheme="majorBidi"/>
        </w:rPr>
        <w:t xml:space="preserve"> </w:t>
      </w:r>
      <w:r w:rsidRPr="00CC0AD7">
        <w:rPr>
          <w:rFonts w:asciiTheme="majorBidi" w:hAnsiTheme="majorBidi" w:cstheme="majorBidi"/>
        </w:rPr>
        <w:t>As revealed by the Exploratory Factor Analysis, farmers’ benefits clustered around three dimensions – economic gains, market services</w:t>
      </w:r>
      <w:r>
        <w:rPr>
          <w:rFonts w:asciiTheme="majorBidi" w:hAnsiTheme="majorBidi" w:cstheme="majorBidi"/>
        </w:rPr>
        <w:t xml:space="preserve"> and</w:t>
      </w:r>
      <w:r w:rsidRPr="00CC0AD7">
        <w:rPr>
          <w:rFonts w:asciiTheme="majorBidi" w:hAnsiTheme="majorBidi" w:cstheme="majorBidi"/>
        </w:rPr>
        <w:t xml:space="preserve"> infrastructure – which together explain how e-NAM influences farmers’ experiences.</w:t>
      </w:r>
      <w:r>
        <w:rPr>
          <w:rFonts w:asciiTheme="majorBidi" w:hAnsiTheme="majorBidi" w:cstheme="majorBidi"/>
        </w:rPr>
        <w:t xml:space="preserve"> In all these factors, the most important factor is economic such as </w:t>
      </w:r>
      <w:r w:rsidRPr="001F276E">
        <w:rPr>
          <w:rFonts w:asciiTheme="majorBidi" w:hAnsiTheme="majorBidi" w:cstheme="majorBidi"/>
        </w:rPr>
        <w:t>record-keeping, more income</w:t>
      </w:r>
      <w:r>
        <w:rPr>
          <w:rFonts w:asciiTheme="majorBidi" w:hAnsiTheme="majorBidi" w:cstheme="majorBidi"/>
        </w:rPr>
        <w:t xml:space="preserve"> and</w:t>
      </w:r>
      <w:r w:rsidRPr="001F276E">
        <w:rPr>
          <w:rFonts w:asciiTheme="majorBidi" w:hAnsiTheme="majorBidi" w:cstheme="majorBidi"/>
        </w:rPr>
        <w:t xml:space="preserve"> better prices</w:t>
      </w:r>
      <w:r>
        <w:rPr>
          <w:rFonts w:asciiTheme="majorBidi" w:hAnsiTheme="majorBidi" w:cstheme="majorBidi"/>
        </w:rPr>
        <w:t xml:space="preserve">. </w:t>
      </w:r>
      <w:r w:rsidRPr="001F276E">
        <w:rPr>
          <w:rFonts w:asciiTheme="majorBidi" w:hAnsiTheme="majorBidi" w:cstheme="majorBidi"/>
        </w:rPr>
        <w:t xml:space="preserve">However, </w:t>
      </w:r>
      <w:r>
        <w:rPr>
          <w:rFonts w:asciiTheme="majorBidi" w:hAnsiTheme="majorBidi" w:cstheme="majorBidi"/>
        </w:rPr>
        <w:t xml:space="preserve">some problems like </w:t>
      </w:r>
      <w:r w:rsidRPr="001F276E">
        <w:rPr>
          <w:rFonts w:asciiTheme="majorBidi" w:hAnsiTheme="majorBidi" w:cstheme="majorBidi"/>
        </w:rPr>
        <w:t>inadequate mandi amenities</w:t>
      </w:r>
      <w:r>
        <w:rPr>
          <w:rFonts w:asciiTheme="majorBidi" w:hAnsiTheme="majorBidi" w:cstheme="majorBidi"/>
        </w:rPr>
        <w:t xml:space="preserve">, </w:t>
      </w:r>
      <w:r w:rsidRPr="001F276E">
        <w:rPr>
          <w:rFonts w:asciiTheme="majorBidi" w:hAnsiTheme="majorBidi" w:cstheme="majorBidi"/>
        </w:rPr>
        <w:t>water and cleaning services</w:t>
      </w:r>
      <w:r>
        <w:rPr>
          <w:rFonts w:asciiTheme="majorBidi" w:hAnsiTheme="majorBidi" w:cstheme="majorBidi"/>
        </w:rPr>
        <w:t>,</w:t>
      </w:r>
      <w:r w:rsidRPr="001F276E">
        <w:rPr>
          <w:rFonts w:asciiTheme="majorBidi" w:hAnsiTheme="majorBidi" w:cstheme="majorBidi"/>
        </w:rPr>
        <w:t xml:space="preserve"> </w:t>
      </w:r>
      <w:r>
        <w:rPr>
          <w:rFonts w:asciiTheme="majorBidi" w:hAnsiTheme="majorBidi" w:cstheme="majorBidi"/>
        </w:rPr>
        <w:t>poor</w:t>
      </w:r>
      <w:r w:rsidRPr="001F276E">
        <w:rPr>
          <w:rFonts w:asciiTheme="majorBidi" w:hAnsiTheme="majorBidi" w:cstheme="majorBidi"/>
        </w:rPr>
        <w:t xml:space="preserve"> infrastructure for storage and transportation</w:t>
      </w:r>
      <w:r>
        <w:rPr>
          <w:rFonts w:asciiTheme="majorBidi" w:hAnsiTheme="majorBidi" w:cstheme="majorBidi"/>
        </w:rPr>
        <w:t xml:space="preserve"> </w:t>
      </w:r>
      <w:r w:rsidRPr="001F276E">
        <w:rPr>
          <w:rFonts w:asciiTheme="majorBidi" w:hAnsiTheme="majorBidi" w:cstheme="majorBidi"/>
        </w:rPr>
        <w:t xml:space="preserve">cause dissatisfaction. </w:t>
      </w:r>
      <w:r>
        <w:rPr>
          <w:rFonts w:asciiTheme="majorBidi" w:hAnsiTheme="majorBidi" w:cstheme="majorBidi"/>
        </w:rPr>
        <w:t>Even farmers’ satisfaction, pricing and transparency enhanced by e-NAM, but for sustainable viability it needs better infrastructure, proactive extension services to increase efficiency and high amount of adoption of technology by farmers.</w:t>
      </w:r>
    </w:p>
    <w:p w14:paraId="2D01AFC9" w14:textId="77777777" w:rsidR="00A84954" w:rsidRPr="00B4318B" w:rsidRDefault="00A84954" w:rsidP="003D0CFE">
      <w:pPr>
        <w:pStyle w:val="ListParagraph"/>
        <w:numPr>
          <w:ilvl w:val="0"/>
          <w:numId w:val="2"/>
        </w:numPr>
        <w:spacing w:after="0"/>
        <w:ind w:left="284" w:hanging="284"/>
        <w:rPr>
          <w:rFonts w:asciiTheme="majorBidi" w:hAnsiTheme="majorBidi" w:cstheme="majorBidi"/>
          <w:b/>
          <w:bCs/>
        </w:rPr>
      </w:pPr>
      <w:r w:rsidRPr="00B4318B">
        <w:rPr>
          <w:rFonts w:asciiTheme="majorBidi" w:hAnsiTheme="majorBidi" w:cstheme="majorBidi"/>
          <w:b/>
          <w:bCs/>
        </w:rPr>
        <w:t>CONCLUSION</w:t>
      </w:r>
    </w:p>
    <w:p w14:paraId="34C18A23" w14:textId="77777777" w:rsidR="00A84954" w:rsidRDefault="00A84954" w:rsidP="00A84954">
      <w:pPr>
        <w:spacing w:line="240" w:lineRule="auto"/>
        <w:jc w:val="both"/>
        <w:rPr>
          <w:rFonts w:asciiTheme="majorBidi" w:hAnsiTheme="majorBidi" w:cstheme="majorBidi"/>
        </w:rPr>
      </w:pPr>
      <w:r w:rsidRPr="0094354F">
        <w:rPr>
          <w:rFonts w:asciiTheme="majorBidi" w:hAnsiTheme="majorBidi" w:cstheme="majorBidi"/>
        </w:rPr>
        <w:t xml:space="preserve">The </w:t>
      </w:r>
      <w:r>
        <w:rPr>
          <w:rFonts w:asciiTheme="majorBidi" w:hAnsiTheme="majorBidi" w:cstheme="majorBidi"/>
        </w:rPr>
        <w:t>study reveals</w:t>
      </w:r>
      <w:r w:rsidRPr="0094354F">
        <w:rPr>
          <w:rFonts w:asciiTheme="majorBidi" w:hAnsiTheme="majorBidi" w:cstheme="majorBidi"/>
        </w:rPr>
        <w:t xml:space="preserve"> that e-NAM has contributed to greater satisfaction with prices, higher profits, improved transparency, better record management</w:t>
      </w:r>
      <w:r>
        <w:rPr>
          <w:rFonts w:asciiTheme="majorBidi" w:hAnsiTheme="majorBidi" w:cstheme="majorBidi"/>
        </w:rPr>
        <w:t xml:space="preserve"> and</w:t>
      </w:r>
      <w:r w:rsidRPr="0094354F">
        <w:rPr>
          <w:rFonts w:asciiTheme="majorBidi" w:hAnsiTheme="majorBidi" w:cstheme="majorBidi"/>
        </w:rPr>
        <w:t xml:space="preserve"> strengthening the livelihood of farmers in Meerut district</w:t>
      </w:r>
      <w:r>
        <w:rPr>
          <w:rFonts w:asciiTheme="majorBidi" w:hAnsiTheme="majorBidi" w:cstheme="majorBidi"/>
        </w:rPr>
        <w:t>. Higher profits are achieved by m</w:t>
      </w:r>
      <w:r w:rsidRPr="00C45FEA">
        <w:rPr>
          <w:rFonts w:asciiTheme="majorBidi" w:hAnsiTheme="majorBidi" w:cstheme="majorBidi"/>
        </w:rPr>
        <w:t>iddle-aged farmers, moderately educated</w:t>
      </w:r>
      <w:r>
        <w:rPr>
          <w:rFonts w:asciiTheme="majorBidi" w:hAnsiTheme="majorBidi" w:cstheme="majorBidi"/>
        </w:rPr>
        <w:t xml:space="preserve"> and individuals who </w:t>
      </w:r>
      <w:r w:rsidRPr="00C45FEA">
        <w:rPr>
          <w:rFonts w:asciiTheme="majorBidi" w:hAnsiTheme="majorBidi" w:cstheme="majorBidi"/>
        </w:rPr>
        <w:t>had better resources were more involved with e-NAM</w:t>
      </w:r>
      <w:r>
        <w:rPr>
          <w:rFonts w:asciiTheme="majorBidi" w:hAnsiTheme="majorBidi" w:cstheme="majorBidi"/>
        </w:rPr>
        <w:t>. Education and landholding size were two major</w:t>
      </w:r>
      <w:r w:rsidRPr="00C45FEA">
        <w:rPr>
          <w:rFonts w:asciiTheme="majorBidi" w:hAnsiTheme="majorBidi" w:cstheme="majorBidi"/>
        </w:rPr>
        <w:t xml:space="preserve"> socioeconomic factors</w:t>
      </w:r>
      <w:r>
        <w:rPr>
          <w:rFonts w:asciiTheme="majorBidi" w:hAnsiTheme="majorBidi" w:cstheme="majorBidi"/>
        </w:rPr>
        <w:t>. H</w:t>
      </w:r>
      <w:r w:rsidRPr="00C45FEA">
        <w:rPr>
          <w:rFonts w:asciiTheme="majorBidi" w:hAnsiTheme="majorBidi" w:cstheme="majorBidi"/>
        </w:rPr>
        <w:t>owever,</w:t>
      </w:r>
      <w:r>
        <w:rPr>
          <w:rFonts w:asciiTheme="majorBidi" w:hAnsiTheme="majorBidi" w:cstheme="majorBidi"/>
        </w:rPr>
        <w:t xml:space="preserve"> favourable impact is observed by income as well.</w:t>
      </w:r>
      <w:r w:rsidRPr="00C45FEA">
        <w:rPr>
          <w:rFonts w:asciiTheme="majorBidi" w:hAnsiTheme="majorBidi" w:cstheme="majorBidi"/>
        </w:rPr>
        <w:t xml:space="preserve"> But insufficient facilities, such as inadequate storage, canteens</w:t>
      </w:r>
      <w:r>
        <w:rPr>
          <w:rFonts w:asciiTheme="majorBidi" w:hAnsiTheme="majorBidi" w:cstheme="majorBidi"/>
        </w:rPr>
        <w:t xml:space="preserve"> and</w:t>
      </w:r>
      <w:r w:rsidRPr="00C45FEA">
        <w:rPr>
          <w:rFonts w:asciiTheme="majorBidi" w:hAnsiTheme="majorBidi" w:cstheme="majorBidi"/>
        </w:rPr>
        <w:t xml:space="preserve"> drinking water, </w:t>
      </w:r>
      <w:r>
        <w:rPr>
          <w:rFonts w:asciiTheme="majorBidi" w:hAnsiTheme="majorBidi" w:cstheme="majorBidi"/>
        </w:rPr>
        <w:t>continue to</w:t>
      </w:r>
      <w:r w:rsidRPr="00C45FEA">
        <w:rPr>
          <w:rFonts w:asciiTheme="majorBidi" w:hAnsiTheme="majorBidi" w:cstheme="majorBidi"/>
        </w:rPr>
        <w:t xml:space="preserve"> obstruct efficient operations.</w:t>
      </w:r>
      <w:r>
        <w:rPr>
          <w:rFonts w:asciiTheme="majorBidi" w:hAnsiTheme="majorBidi" w:cstheme="majorBidi"/>
        </w:rPr>
        <w:t xml:space="preserve"> To realise the full potential of e-NAM,</w:t>
      </w:r>
      <w:r w:rsidRPr="00C45FEA">
        <w:rPr>
          <w:rFonts w:asciiTheme="majorBidi" w:hAnsiTheme="majorBidi" w:cstheme="majorBidi"/>
        </w:rPr>
        <w:t xml:space="preserve"> </w:t>
      </w:r>
      <w:r>
        <w:rPr>
          <w:rFonts w:asciiTheme="majorBidi" w:hAnsiTheme="majorBidi" w:cstheme="majorBidi"/>
        </w:rPr>
        <w:t>p</w:t>
      </w:r>
      <w:r w:rsidRPr="00C45FEA">
        <w:rPr>
          <w:rFonts w:asciiTheme="majorBidi" w:hAnsiTheme="majorBidi" w:cstheme="majorBidi"/>
        </w:rPr>
        <w:t>olicies</w:t>
      </w:r>
      <w:r>
        <w:rPr>
          <w:rFonts w:asciiTheme="majorBidi" w:hAnsiTheme="majorBidi" w:cstheme="majorBidi"/>
        </w:rPr>
        <w:t xml:space="preserve"> should be drawn to </w:t>
      </w:r>
      <w:r w:rsidRPr="00C45FEA">
        <w:rPr>
          <w:rFonts w:asciiTheme="majorBidi" w:hAnsiTheme="majorBidi" w:cstheme="majorBidi"/>
        </w:rPr>
        <w:t>support digital literacy, enhance service delivery</w:t>
      </w:r>
      <w:r>
        <w:rPr>
          <w:rFonts w:asciiTheme="majorBidi" w:hAnsiTheme="majorBidi" w:cstheme="majorBidi"/>
        </w:rPr>
        <w:t xml:space="preserve"> and</w:t>
      </w:r>
      <w:r w:rsidRPr="00C45FEA">
        <w:rPr>
          <w:rFonts w:asciiTheme="majorBidi" w:hAnsiTheme="majorBidi" w:cstheme="majorBidi"/>
        </w:rPr>
        <w:t xml:space="preserve"> strengthen infrastructure</w:t>
      </w:r>
      <w:r>
        <w:rPr>
          <w:rFonts w:asciiTheme="majorBidi" w:hAnsiTheme="majorBidi" w:cstheme="majorBidi"/>
        </w:rPr>
        <w:t xml:space="preserve">. </w:t>
      </w:r>
      <w:r w:rsidRPr="00C45FEA">
        <w:rPr>
          <w:rFonts w:asciiTheme="majorBidi" w:hAnsiTheme="majorBidi" w:cstheme="majorBidi"/>
        </w:rPr>
        <w:t>Extension organisations</w:t>
      </w:r>
      <w:r>
        <w:rPr>
          <w:rFonts w:asciiTheme="majorBidi" w:hAnsiTheme="majorBidi" w:cstheme="majorBidi"/>
        </w:rPr>
        <w:t xml:space="preserve"> should also </w:t>
      </w:r>
      <w:r w:rsidRPr="00C45FEA">
        <w:rPr>
          <w:rFonts w:asciiTheme="majorBidi" w:hAnsiTheme="majorBidi" w:cstheme="majorBidi"/>
        </w:rPr>
        <w:t>concentrate on enhancing the capabilities of marginal, smallholder</w:t>
      </w:r>
      <w:r>
        <w:rPr>
          <w:rFonts w:asciiTheme="majorBidi" w:hAnsiTheme="majorBidi" w:cstheme="majorBidi"/>
        </w:rPr>
        <w:t xml:space="preserve"> and</w:t>
      </w:r>
      <w:r w:rsidRPr="00C45FEA">
        <w:rPr>
          <w:rFonts w:asciiTheme="majorBidi" w:hAnsiTheme="majorBidi" w:cstheme="majorBidi"/>
        </w:rPr>
        <w:t xml:space="preserve"> less educated farmers.</w:t>
      </w:r>
      <w:r>
        <w:rPr>
          <w:rFonts w:asciiTheme="majorBidi" w:hAnsiTheme="majorBidi" w:cstheme="majorBidi"/>
        </w:rPr>
        <w:t xml:space="preserve"> </w:t>
      </w:r>
      <w:r w:rsidRPr="00C45FEA">
        <w:rPr>
          <w:rFonts w:asciiTheme="majorBidi" w:hAnsiTheme="majorBidi" w:cstheme="majorBidi"/>
        </w:rPr>
        <w:t>Factor analysis</w:t>
      </w:r>
      <w:r>
        <w:rPr>
          <w:rFonts w:asciiTheme="majorBidi" w:hAnsiTheme="majorBidi" w:cstheme="majorBidi"/>
        </w:rPr>
        <w:t xml:space="preserve"> indicates that results of study influenced by </w:t>
      </w:r>
      <w:r w:rsidRPr="00C45FEA">
        <w:rPr>
          <w:rFonts w:asciiTheme="majorBidi" w:hAnsiTheme="majorBidi" w:cstheme="majorBidi"/>
        </w:rPr>
        <w:t>infrastructure and services</w:t>
      </w:r>
      <w:r>
        <w:rPr>
          <w:rFonts w:asciiTheme="majorBidi" w:hAnsiTheme="majorBidi" w:cstheme="majorBidi"/>
        </w:rPr>
        <w:t xml:space="preserve"> </w:t>
      </w:r>
      <w:r w:rsidRPr="00C45FEA">
        <w:rPr>
          <w:rFonts w:asciiTheme="majorBidi" w:hAnsiTheme="majorBidi" w:cstheme="majorBidi"/>
        </w:rPr>
        <w:t>even though economic benefits dominate.</w:t>
      </w:r>
    </w:p>
    <w:p w14:paraId="2D013F66" w14:textId="77777777" w:rsidR="00FB4B6F" w:rsidRPr="00B4318B" w:rsidRDefault="00FB4B6F" w:rsidP="00A84954">
      <w:pPr>
        <w:spacing w:line="240" w:lineRule="auto"/>
        <w:jc w:val="both"/>
        <w:rPr>
          <w:rFonts w:asciiTheme="majorBidi" w:hAnsiTheme="majorBidi" w:cstheme="majorBidi"/>
        </w:rPr>
      </w:pPr>
    </w:p>
    <w:p w14:paraId="62DD451F" w14:textId="61E8E76D" w:rsidR="00A84954" w:rsidRPr="00265FD6" w:rsidRDefault="00A84954" w:rsidP="003D0CFE">
      <w:pPr>
        <w:pStyle w:val="ListParagraph"/>
        <w:numPr>
          <w:ilvl w:val="0"/>
          <w:numId w:val="2"/>
        </w:numPr>
        <w:spacing w:after="0"/>
        <w:ind w:left="284" w:hanging="284"/>
        <w:rPr>
          <w:rFonts w:asciiTheme="majorBidi" w:hAnsiTheme="majorBidi" w:cstheme="majorBidi"/>
          <w:b/>
          <w:bCs/>
        </w:rPr>
      </w:pPr>
      <w:r w:rsidRPr="00B4318B">
        <w:rPr>
          <w:rFonts w:asciiTheme="majorBidi" w:hAnsiTheme="majorBidi" w:cstheme="majorBidi"/>
          <w:b/>
          <w:bCs/>
        </w:rPr>
        <w:lastRenderedPageBreak/>
        <w:t>REFERENCES</w:t>
      </w:r>
    </w:p>
    <w:p w14:paraId="186F3363" w14:textId="440BE291"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Balkrishna, A., Arya, V., Joshi, R., Kumar, A., Sharma, G., &amp; Dhyani, A. (2022). Doubling Farmers</w:t>
      </w:r>
      <w:r w:rsidR="00440B62">
        <w:rPr>
          <w:rFonts w:ascii="Times New Roman" w:hAnsi="Times New Roman" w:cs="Times New Roman"/>
        </w:rPr>
        <w:t xml:space="preserve"> </w:t>
      </w:r>
      <w:r w:rsidRPr="000B1D11">
        <w:rPr>
          <w:rFonts w:ascii="Times New Roman" w:hAnsi="Times New Roman" w:cs="Times New Roman"/>
        </w:rPr>
        <w:t>Income in India: Progress, Gaps and Futuristic Approaches. </w:t>
      </w:r>
      <w:r w:rsidRPr="000B1D11">
        <w:rPr>
          <w:rFonts w:ascii="Times New Roman" w:hAnsi="Times New Roman" w:cs="Times New Roman"/>
          <w:i/>
          <w:iCs/>
        </w:rPr>
        <w:t>Indian Journal of Ecology</w:t>
      </w:r>
      <w:r w:rsidRPr="000B1D11">
        <w:rPr>
          <w:rFonts w:ascii="Times New Roman" w:hAnsi="Times New Roman" w:cs="Times New Roman"/>
        </w:rPr>
        <w:t>, 49(3), 1044-1050.</w:t>
      </w:r>
    </w:p>
    <w:p w14:paraId="7D131E26" w14:textId="77777777" w:rsidR="00E8466D" w:rsidRPr="000B1D11" w:rsidRDefault="00E8466D" w:rsidP="00825D2B">
      <w:pPr>
        <w:ind w:left="567" w:hanging="567"/>
        <w:jc w:val="both"/>
        <w:rPr>
          <w:rFonts w:ascii="Times New Roman" w:hAnsi="Times New Roman" w:cs="Times New Roman"/>
        </w:rPr>
      </w:pPr>
      <w:proofErr w:type="spellStart"/>
      <w:r w:rsidRPr="000B1D11">
        <w:rPr>
          <w:rFonts w:ascii="Times New Roman" w:hAnsi="Times New Roman" w:cs="Times New Roman"/>
        </w:rPr>
        <w:t>Birthal</w:t>
      </w:r>
      <w:proofErr w:type="spellEnd"/>
      <w:r w:rsidRPr="000B1D11">
        <w:rPr>
          <w:rFonts w:ascii="Times New Roman" w:hAnsi="Times New Roman" w:cs="Times New Roman"/>
        </w:rPr>
        <w:t>, P. S., Jha, A. K., &amp; Singh, H. (2017). Linking farmers to markets for high-value agricultural commodities. </w:t>
      </w:r>
      <w:r w:rsidRPr="000B1D11">
        <w:rPr>
          <w:rFonts w:ascii="Times New Roman" w:hAnsi="Times New Roman" w:cs="Times New Roman"/>
          <w:i/>
          <w:iCs/>
        </w:rPr>
        <w:t>Agricultural Economics Research Review</w:t>
      </w:r>
      <w:r w:rsidRPr="000B1D11">
        <w:rPr>
          <w:rFonts w:ascii="Times New Roman" w:hAnsi="Times New Roman" w:cs="Times New Roman"/>
        </w:rPr>
        <w:t>, 20, 425-439.</w:t>
      </w:r>
    </w:p>
    <w:p w14:paraId="6178990E"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Chand, R. (2017). Presidential Address: Doubling farmers’ income: Strategy and prospects. </w:t>
      </w:r>
      <w:r w:rsidRPr="000B1D11">
        <w:rPr>
          <w:rFonts w:ascii="Times New Roman" w:hAnsi="Times New Roman" w:cs="Times New Roman"/>
          <w:i/>
          <w:iCs/>
        </w:rPr>
        <w:t>Indian Journal of Agricultural Economics</w:t>
      </w:r>
      <w:r w:rsidRPr="000B1D11">
        <w:rPr>
          <w:rFonts w:ascii="Times New Roman" w:hAnsi="Times New Roman" w:cs="Times New Roman"/>
        </w:rPr>
        <w:t>, </w:t>
      </w:r>
      <w:r w:rsidRPr="000B1D11">
        <w:rPr>
          <w:rFonts w:ascii="Times New Roman" w:hAnsi="Times New Roman" w:cs="Times New Roman"/>
          <w:i/>
          <w:iCs/>
        </w:rPr>
        <w:t>71</w:t>
      </w:r>
      <w:r w:rsidRPr="000B1D11">
        <w:rPr>
          <w:rFonts w:ascii="Times New Roman" w:hAnsi="Times New Roman" w:cs="Times New Roman"/>
        </w:rPr>
        <w:t>(1), 1-23.</w:t>
      </w:r>
    </w:p>
    <w:p w14:paraId="6A9494A9"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Chatterjee, S., &amp; Kapur, D. (2016). Understanding price variations across agricultural markets in India. </w:t>
      </w:r>
      <w:r w:rsidRPr="000B1D11">
        <w:rPr>
          <w:rFonts w:ascii="Times New Roman" w:hAnsi="Times New Roman" w:cs="Times New Roman"/>
          <w:i/>
          <w:iCs/>
        </w:rPr>
        <w:t xml:space="preserve">Journal of Agricultural Economics, </w:t>
      </w:r>
      <w:r w:rsidRPr="000B1D11">
        <w:rPr>
          <w:rFonts w:ascii="Times New Roman" w:hAnsi="Times New Roman" w:cs="Times New Roman"/>
        </w:rPr>
        <w:t>67(3), 497–514.</w:t>
      </w:r>
    </w:p>
    <w:p w14:paraId="61180AC8"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FAO. (2020). </w:t>
      </w:r>
      <w:r w:rsidRPr="000B1D11">
        <w:rPr>
          <w:rFonts w:ascii="Times New Roman" w:hAnsi="Times New Roman" w:cs="Times New Roman"/>
          <w:i/>
          <w:iCs/>
        </w:rPr>
        <w:t>Digital agriculture: Market opportunities and challenges</w:t>
      </w:r>
      <w:r w:rsidRPr="000B1D11">
        <w:rPr>
          <w:rFonts w:ascii="Times New Roman" w:hAnsi="Times New Roman" w:cs="Times New Roman"/>
        </w:rPr>
        <w:t>. Food and Agriculture Organization of the United Nations.</w:t>
      </w:r>
    </w:p>
    <w:p w14:paraId="7262905E" w14:textId="563D6F0F"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Kaur, H. </w:t>
      </w:r>
      <w:r>
        <w:rPr>
          <w:rFonts w:ascii="Times New Roman" w:hAnsi="Times New Roman" w:cs="Times New Roman"/>
        </w:rPr>
        <w:t>&amp;</w:t>
      </w:r>
      <w:r w:rsidRPr="000B1D11">
        <w:rPr>
          <w:rFonts w:ascii="Times New Roman" w:hAnsi="Times New Roman" w:cs="Times New Roman"/>
        </w:rPr>
        <w:t xml:space="preserve"> P. Kaur. </w:t>
      </w:r>
      <w:r>
        <w:rPr>
          <w:rFonts w:ascii="Times New Roman" w:hAnsi="Times New Roman" w:cs="Times New Roman"/>
        </w:rPr>
        <w:t>(</w:t>
      </w:r>
      <w:r w:rsidRPr="000B1D11">
        <w:rPr>
          <w:rFonts w:ascii="Times New Roman" w:hAnsi="Times New Roman" w:cs="Times New Roman"/>
        </w:rPr>
        <w:t>2020</w:t>
      </w:r>
      <w:r>
        <w:rPr>
          <w:rFonts w:ascii="Times New Roman" w:hAnsi="Times New Roman" w:cs="Times New Roman"/>
        </w:rPr>
        <w:t>)</w:t>
      </w:r>
      <w:r w:rsidRPr="000B1D11">
        <w:rPr>
          <w:rFonts w:ascii="Times New Roman" w:hAnsi="Times New Roman" w:cs="Times New Roman"/>
        </w:rPr>
        <w:t>. Impact of e-NAM on Agricultural Marketing in Punjab.</w:t>
      </w:r>
      <w:r w:rsidR="002C734F">
        <w:rPr>
          <w:rFonts w:ascii="Times New Roman" w:hAnsi="Times New Roman" w:cs="Times New Roman"/>
        </w:rPr>
        <w:t xml:space="preserve"> </w:t>
      </w:r>
      <w:r w:rsidRPr="000B1D11">
        <w:rPr>
          <w:rFonts w:ascii="Times New Roman" w:hAnsi="Times New Roman" w:cs="Times New Roman"/>
          <w:i/>
          <w:iCs/>
        </w:rPr>
        <w:t>Indian Journal of Extension Education</w:t>
      </w:r>
      <w:r w:rsidRPr="000B1D11">
        <w:rPr>
          <w:rFonts w:ascii="Times New Roman" w:hAnsi="Times New Roman" w:cs="Times New Roman"/>
        </w:rPr>
        <w:t xml:space="preserve"> 56(3): 45</w:t>
      </w:r>
      <w:r w:rsidR="00EB5BF2">
        <w:rPr>
          <w:rFonts w:ascii="Times New Roman" w:hAnsi="Times New Roman" w:cs="Times New Roman"/>
        </w:rPr>
        <w:t>-</w:t>
      </w:r>
      <w:r w:rsidRPr="000B1D11">
        <w:rPr>
          <w:rFonts w:ascii="Times New Roman" w:hAnsi="Times New Roman" w:cs="Times New Roman"/>
        </w:rPr>
        <w:t>50. https://epubs.icar.org.in/index.php/IJEE.</w:t>
      </w:r>
    </w:p>
    <w:p w14:paraId="4A494DB3" w14:textId="05859A90"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Meena, M. S. </w:t>
      </w:r>
      <w:r>
        <w:rPr>
          <w:rFonts w:ascii="Times New Roman" w:hAnsi="Times New Roman" w:cs="Times New Roman"/>
        </w:rPr>
        <w:t>&amp;</w:t>
      </w:r>
      <w:r w:rsidRPr="000B1D11">
        <w:rPr>
          <w:rFonts w:ascii="Times New Roman" w:hAnsi="Times New Roman" w:cs="Times New Roman"/>
        </w:rPr>
        <w:t xml:space="preserve"> R. Singh. </w:t>
      </w:r>
      <w:r>
        <w:rPr>
          <w:rFonts w:ascii="Times New Roman" w:hAnsi="Times New Roman" w:cs="Times New Roman"/>
        </w:rPr>
        <w:t>(</w:t>
      </w:r>
      <w:r w:rsidRPr="000B1D11">
        <w:rPr>
          <w:rFonts w:ascii="Times New Roman" w:hAnsi="Times New Roman" w:cs="Times New Roman"/>
        </w:rPr>
        <w:t>2018</w:t>
      </w:r>
      <w:r>
        <w:rPr>
          <w:rFonts w:ascii="Times New Roman" w:hAnsi="Times New Roman" w:cs="Times New Roman"/>
        </w:rPr>
        <w:t>)</w:t>
      </w:r>
      <w:r w:rsidRPr="000B1D11">
        <w:rPr>
          <w:rFonts w:ascii="Times New Roman" w:hAnsi="Times New Roman" w:cs="Times New Roman"/>
        </w:rPr>
        <w:t xml:space="preserve">. </w:t>
      </w:r>
      <w:r w:rsidR="002C734F">
        <w:rPr>
          <w:rFonts w:ascii="Times New Roman" w:hAnsi="Times New Roman" w:cs="Times New Roman"/>
        </w:rPr>
        <w:t xml:space="preserve"> </w:t>
      </w:r>
      <w:r w:rsidRPr="000B1D11">
        <w:rPr>
          <w:rFonts w:ascii="Times New Roman" w:hAnsi="Times New Roman" w:cs="Times New Roman"/>
        </w:rPr>
        <w:t xml:space="preserve">Agricultural Marketing Reforms and e-NAM: Opportunities and Challenges.” </w:t>
      </w:r>
      <w:r w:rsidRPr="000B1D11">
        <w:rPr>
          <w:rFonts w:ascii="Times New Roman" w:hAnsi="Times New Roman" w:cs="Times New Roman"/>
          <w:i/>
          <w:iCs/>
        </w:rPr>
        <w:t>Economic Affairs</w:t>
      </w:r>
      <w:r w:rsidRPr="000B1D11">
        <w:rPr>
          <w:rFonts w:ascii="Times New Roman" w:hAnsi="Times New Roman" w:cs="Times New Roman"/>
        </w:rPr>
        <w:t xml:space="preserve"> 63(2): 287</w:t>
      </w:r>
      <w:r w:rsidR="00EB5BF2">
        <w:rPr>
          <w:rFonts w:ascii="Times New Roman" w:hAnsi="Times New Roman" w:cs="Times New Roman"/>
        </w:rPr>
        <w:t>-</w:t>
      </w:r>
      <w:r w:rsidRPr="000B1D11">
        <w:rPr>
          <w:rFonts w:ascii="Times New Roman" w:hAnsi="Times New Roman" w:cs="Times New Roman"/>
        </w:rPr>
        <w:t>294.</w:t>
      </w:r>
    </w:p>
    <w:p w14:paraId="7936A710"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Meena, M. S., Singh, K. M., &amp; Ansari, M. A. (2022). Adoption of e-NAM: Awareness, constraints and prospects. </w:t>
      </w:r>
      <w:r w:rsidRPr="000B1D11">
        <w:rPr>
          <w:rFonts w:ascii="Times New Roman" w:hAnsi="Times New Roman" w:cs="Times New Roman"/>
          <w:i/>
          <w:iCs/>
        </w:rPr>
        <w:t xml:space="preserve">Indian Journal of Agricultural Marketing, </w:t>
      </w:r>
      <w:r w:rsidRPr="000B1D11">
        <w:rPr>
          <w:rFonts w:ascii="Times New Roman" w:hAnsi="Times New Roman" w:cs="Times New Roman"/>
        </w:rPr>
        <w:t>36(2), 45–57.</w:t>
      </w:r>
    </w:p>
    <w:p w14:paraId="40B40540"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Ministry of Agriculture &amp; Farmers Welfare. (2025). </w:t>
      </w:r>
      <w:r w:rsidRPr="000B1D11">
        <w:rPr>
          <w:rFonts w:ascii="Times New Roman" w:hAnsi="Times New Roman" w:cs="Times New Roman"/>
          <w:i/>
          <w:iCs/>
        </w:rPr>
        <w:t>Agricultural markets linked to e-NAM</w:t>
      </w:r>
      <w:r w:rsidRPr="000B1D11">
        <w:rPr>
          <w:rFonts w:ascii="Times New Roman" w:hAnsi="Times New Roman" w:cs="Times New Roman"/>
        </w:rPr>
        <w:t xml:space="preserve"> Press Information Bureau. </w:t>
      </w:r>
      <w:hyperlink r:id="rId8" w:tgtFrame="_new" w:history="1">
        <w:r w:rsidRPr="000B1D11">
          <w:rPr>
            <w:rStyle w:val="Hyperlink"/>
            <w:rFonts w:ascii="Times New Roman" w:hAnsi="Times New Roman" w:cs="Times New Roman"/>
          </w:rPr>
          <w:t>https://www.pib.gov.in/PressReleasePage.aspx?PRID=2149699</w:t>
        </w:r>
      </w:hyperlink>
    </w:p>
    <w:p w14:paraId="553A4C94"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NABARD. (2021). </w:t>
      </w:r>
      <w:r w:rsidRPr="000B1D11">
        <w:rPr>
          <w:rFonts w:ascii="Times New Roman" w:hAnsi="Times New Roman" w:cs="Times New Roman"/>
          <w:i/>
          <w:iCs/>
        </w:rPr>
        <w:t>Status of rural infrastructure and agricultural marketing in India</w:t>
      </w:r>
      <w:r w:rsidRPr="000B1D11">
        <w:rPr>
          <w:rFonts w:ascii="Times New Roman" w:hAnsi="Times New Roman" w:cs="Times New Roman"/>
        </w:rPr>
        <w:t>. National Bank for Agriculture and Rural Development.</w:t>
      </w:r>
    </w:p>
    <w:p w14:paraId="3898ABEC" w14:textId="3B84DA4D" w:rsidR="00E8466D" w:rsidRPr="000B1D11" w:rsidRDefault="00E8466D" w:rsidP="00825D2B">
      <w:pPr>
        <w:ind w:left="567" w:hanging="567"/>
        <w:jc w:val="both"/>
        <w:rPr>
          <w:rFonts w:ascii="Times New Roman" w:hAnsi="Times New Roman" w:cs="Times New Roman"/>
        </w:rPr>
      </w:pPr>
      <w:proofErr w:type="spellStart"/>
      <w:r w:rsidRPr="000B1D11">
        <w:rPr>
          <w:rFonts w:ascii="Times New Roman" w:hAnsi="Times New Roman" w:cs="Times New Roman"/>
        </w:rPr>
        <w:t>Nimbrayan</w:t>
      </w:r>
      <w:proofErr w:type="spellEnd"/>
      <w:r w:rsidRPr="000B1D11">
        <w:rPr>
          <w:rFonts w:ascii="Times New Roman" w:hAnsi="Times New Roman" w:cs="Times New Roman"/>
        </w:rPr>
        <w:t xml:space="preserve">, P. K., Bhatia, J. K., &amp; Bishnoi, D. K. (2024). Performance of electronic National Agricultural Markets (e-NAM) in Haryana. </w:t>
      </w:r>
      <w:r w:rsidRPr="000B1D11">
        <w:rPr>
          <w:rFonts w:ascii="Times New Roman" w:hAnsi="Times New Roman" w:cs="Times New Roman"/>
          <w:i/>
          <w:iCs/>
        </w:rPr>
        <w:t xml:space="preserve">Agricultural Research Journal, </w:t>
      </w:r>
      <w:r w:rsidRPr="000B1D11">
        <w:rPr>
          <w:rFonts w:ascii="Times New Roman" w:hAnsi="Times New Roman" w:cs="Times New Roman"/>
        </w:rPr>
        <w:t>61(3), 439</w:t>
      </w:r>
      <w:r w:rsidR="00EB5BF2">
        <w:rPr>
          <w:rFonts w:ascii="Times New Roman" w:hAnsi="Times New Roman" w:cs="Times New Roman"/>
        </w:rPr>
        <w:t>-</w:t>
      </w:r>
      <w:r w:rsidRPr="000B1D11">
        <w:rPr>
          <w:rFonts w:ascii="Times New Roman" w:hAnsi="Times New Roman" w:cs="Times New Roman"/>
        </w:rPr>
        <w:t xml:space="preserve">446. </w:t>
      </w:r>
      <w:hyperlink r:id="rId9" w:tgtFrame="_new" w:history="1">
        <w:r w:rsidRPr="000B1D11">
          <w:rPr>
            <w:rStyle w:val="Hyperlink"/>
            <w:rFonts w:ascii="Times New Roman" w:hAnsi="Times New Roman" w:cs="Times New Roman"/>
          </w:rPr>
          <w:t>https://doi.org/10.5958/2395-146X.2024.00056.8</w:t>
        </w:r>
      </w:hyperlink>
    </w:p>
    <w:p w14:paraId="540854A0" w14:textId="73B9C606"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Ravi Kumar, N., Reddy, A., Reddy, J. M., &amp; </w:t>
      </w:r>
      <w:proofErr w:type="spellStart"/>
      <w:r w:rsidRPr="000B1D11">
        <w:rPr>
          <w:rFonts w:ascii="Times New Roman" w:hAnsi="Times New Roman" w:cs="Times New Roman"/>
        </w:rPr>
        <w:t>Shafiwu</w:t>
      </w:r>
      <w:proofErr w:type="spellEnd"/>
      <w:r w:rsidRPr="000B1D11">
        <w:rPr>
          <w:rFonts w:ascii="Times New Roman" w:hAnsi="Times New Roman" w:cs="Times New Roman"/>
        </w:rPr>
        <w:t xml:space="preserve">, A. B. (2024). Electronic-National Agriculture Market (e-NAM) and price realization: A Difference-in-Difference analysis from Andhra Pradesh, India. </w:t>
      </w:r>
      <w:r w:rsidRPr="000B1D11">
        <w:rPr>
          <w:rFonts w:ascii="Times New Roman" w:hAnsi="Times New Roman" w:cs="Times New Roman"/>
          <w:i/>
          <w:iCs/>
        </w:rPr>
        <w:t xml:space="preserve">Agricultural Economics Research Review, </w:t>
      </w:r>
      <w:r w:rsidRPr="000B1D11">
        <w:rPr>
          <w:rFonts w:ascii="Times New Roman" w:hAnsi="Times New Roman" w:cs="Times New Roman"/>
        </w:rPr>
        <w:t>37, 39</w:t>
      </w:r>
      <w:r w:rsidR="00EB5BF2">
        <w:rPr>
          <w:rFonts w:ascii="Times New Roman" w:hAnsi="Times New Roman" w:cs="Times New Roman"/>
        </w:rPr>
        <w:t>-</w:t>
      </w:r>
      <w:r w:rsidRPr="000B1D11">
        <w:rPr>
          <w:rFonts w:ascii="Times New Roman" w:hAnsi="Times New Roman" w:cs="Times New Roman"/>
        </w:rPr>
        <w:t xml:space="preserve">52. </w:t>
      </w:r>
      <w:hyperlink r:id="rId10" w:tgtFrame="_new" w:history="1">
        <w:r w:rsidRPr="000B1D11">
          <w:rPr>
            <w:rStyle w:val="Hyperlink"/>
            <w:rFonts w:ascii="Times New Roman" w:hAnsi="Times New Roman" w:cs="Times New Roman"/>
          </w:rPr>
          <w:t>https://doi.org/10.5958/0974-0279.2024.00026.3</w:t>
        </w:r>
      </w:hyperlink>
    </w:p>
    <w:p w14:paraId="5EA35A6F" w14:textId="66451933" w:rsidR="00E8466D" w:rsidRPr="000B1D11" w:rsidRDefault="00E8466D" w:rsidP="00825D2B">
      <w:pPr>
        <w:ind w:left="567" w:hanging="567"/>
        <w:jc w:val="both"/>
        <w:rPr>
          <w:rFonts w:ascii="Times New Roman" w:hAnsi="Times New Roman" w:cs="Times New Roman"/>
        </w:rPr>
      </w:pPr>
      <w:proofErr w:type="spellStart"/>
      <w:r w:rsidRPr="000B1D11">
        <w:rPr>
          <w:rFonts w:ascii="Times New Roman" w:hAnsi="Times New Roman" w:cs="Times New Roman"/>
        </w:rPr>
        <w:t>Samantaray</w:t>
      </w:r>
      <w:proofErr w:type="spellEnd"/>
      <w:r w:rsidRPr="000B1D11">
        <w:rPr>
          <w:rFonts w:ascii="Times New Roman" w:hAnsi="Times New Roman" w:cs="Times New Roman"/>
        </w:rPr>
        <w:t xml:space="preserve">, S. K., &amp; Farhan, M. (2023). An ethnographic investigation of the farmer profile and awareness about opportunities and challenges associated with electronic National Agriculture Market: A study of four district e-NAM mandis of Odisha. </w:t>
      </w:r>
      <w:r w:rsidRPr="000B1D11">
        <w:rPr>
          <w:rFonts w:ascii="Times New Roman" w:hAnsi="Times New Roman" w:cs="Times New Roman"/>
          <w:i/>
          <w:iCs/>
        </w:rPr>
        <w:t xml:space="preserve">European Chemical Bulletin, </w:t>
      </w:r>
      <w:r w:rsidRPr="000B1D11">
        <w:rPr>
          <w:rFonts w:ascii="Times New Roman" w:hAnsi="Times New Roman" w:cs="Times New Roman"/>
        </w:rPr>
        <w:t>12(4), 17118</w:t>
      </w:r>
      <w:r w:rsidR="00EB5BF2">
        <w:rPr>
          <w:rFonts w:ascii="Times New Roman" w:hAnsi="Times New Roman" w:cs="Times New Roman"/>
        </w:rPr>
        <w:t>-</w:t>
      </w:r>
      <w:r w:rsidRPr="000B1D11">
        <w:rPr>
          <w:rFonts w:ascii="Times New Roman" w:hAnsi="Times New Roman" w:cs="Times New Roman"/>
        </w:rPr>
        <w:t xml:space="preserve">17142. </w:t>
      </w:r>
      <w:hyperlink r:id="rId11" w:tgtFrame="_new" w:history="1">
        <w:r w:rsidRPr="000B1D11">
          <w:rPr>
            <w:rStyle w:val="Hyperlink"/>
            <w:rFonts w:ascii="Times New Roman" w:hAnsi="Times New Roman" w:cs="Times New Roman"/>
          </w:rPr>
          <w:t>https://doi.org/10.48047/ecb/2023.12.si4.1529</w:t>
        </w:r>
      </w:hyperlink>
    </w:p>
    <w:p w14:paraId="3BD14C23" w14:textId="77777777"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Sekhar, C. S. C., &amp; Bhatt, Y. (2018). </w:t>
      </w:r>
      <w:r w:rsidRPr="000B1D11">
        <w:rPr>
          <w:rFonts w:ascii="Times New Roman" w:hAnsi="Times New Roman" w:cs="Times New Roman"/>
          <w:i/>
          <w:iCs/>
        </w:rPr>
        <w:t>Electronic National Agricultural Market (e-NAM): A review of performance and prospects in Haryana</w:t>
      </w:r>
      <w:r w:rsidRPr="000B1D11">
        <w:rPr>
          <w:rFonts w:ascii="Times New Roman" w:hAnsi="Times New Roman" w:cs="Times New Roman"/>
        </w:rPr>
        <w:t>. Agricultural Economics Research Centre, University of Delhi.</w:t>
      </w:r>
    </w:p>
    <w:p w14:paraId="67629F32" w14:textId="0AB5113A"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lastRenderedPageBreak/>
        <w:t xml:space="preserve">Sharma, R., &amp; Meena, K. (2021). Infrastructure gaps and challenges in e-NAM implementation. </w:t>
      </w:r>
      <w:r w:rsidRPr="000B1D11">
        <w:rPr>
          <w:rFonts w:ascii="Times New Roman" w:hAnsi="Times New Roman" w:cs="Times New Roman"/>
          <w:i/>
          <w:iCs/>
        </w:rPr>
        <w:t xml:space="preserve">Indian Journal of Marketing Research, </w:t>
      </w:r>
      <w:r w:rsidRPr="000B1D11">
        <w:rPr>
          <w:rFonts w:ascii="Times New Roman" w:hAnsi="Times New Roman" w:cs="Times New Roman"/>
        </w:rPr>
        <w:t>15(3), 72</w:t>
      </w:r>
      <w:r w:rsidR="00EB5BF2">
        <w:rPr>
          <w:rFonts w:ascii="Times New Roman" w:hAnsi="Times New Roman" w:cs="Times New Roman"/>
        </w:rPr>
        <w:t>-</w:t>
      </w:r>
      <w:r w:rsidRPr="000B1D11">
        <w:rPr>
          <w:rFonts w:ascii="Times New Roman" w:hAnsi="Times New Roman" w:cs="Times New Roman"/>
        </w:rPr>
        <w:t>80.</w:t>
      </w:r>
    </w:p>
    <w:p w14:paraId="4D82421D" w14:textId="2DA9661F"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Singh, A. </w:t>
      </w:r>
      <w:r>
        <w:rPr>
          <w:rFonts w:ascii="Times New Roman" w:hAnsi="Times New Roman" w:cs="Times New Roman"/>
        </w:rPr>
        <w:t xml:space="preserve">&amp; </w:t>
      </w:r>
      <w:r w:rsidRPr="000B1D11">
        <w:rPr>
          <w:rFonts w:ascii="Times New Roman" w:hAnsi="Times New Roman" w:cs="Times New Roman"/>
        </w:rPr>
        <w:t xml:space="preserve">P. Sharma. </w:t>
      </w:r>
      <w:r>
        <w:rPr>
          <w:rFonts w:ascii="Times New Roman" w:hAnsi="Times New Roman" w:cs="Times New Roman"/>
        </w:rPr>
        <w:t>(</w:t>
      </w:r>
      <w:r w:rsidRPr="000B1D11">
        <w:rPr>
          <w:rFonts w:ascii="Times New Roman" w:hAnsi="Times New Roman" w:cs="Times New Roman"/>
        </w:rPr>
        <w:t>2019</w:t>
      </w:r>
      <w:r>
        <w:rPr>
          <w:rFonts w:ascii="Times New Roman" w:hAnsi="Times New Roman" w:cs="Times New Roman"/>
        </w:rPr>
        <w:t>)</w:t>
      </w:r>
      <w:r w:rsidRPr="000B1D11">
        <w:rPr>
          <w:rFonts w:ascii="Times New Roman" w:hAnsi="Times New Roman" w:cs="Times New Roman"/>
        </w:rPr>
        <w:t>. Role of Socio-Economic Factors in Adoption of Agricultural Marketing Innovations.</w:t>
      </w:r>
      <w:r w:rsidR="002C734F">
        <w:rPr>
          <w:rFonts w:ascii="Times New Roman" w:hAnsi="Times New Roman" w:cs="Times New Roman"/>
        </w:rPr>
        <w:t xml:space="preserve"> </w:t>
      </w:r>
      <w:r w:rsidRPr="000B1D11">
        <w:rPr>
          <w:rFonts w:ascii="Times New Roman" w:hAnsi="Times New Roman" w:cs="Times New Roman"/>
          <w:i/>
          <w:iCs/>
        </w:rPr>
        <w:t>Journal of Community Mobilization and Sustainable Development</w:t>
      </w:r>
      <w:r w:rsidRPr="000B1D11">
        <w:rPr>
          <w:rFonts w:ascii="Times New Roman" w:hAnsi="Times New Roman" w:cs="Times New Roman"/>
        </w:rPr>
        <w:t xml:space="preserve"> 14(1): 72</w:t>
      </w:r>
      <w:r w:rsidR="00EB5BF2">
        <w:rPr>
          <w:rFonts w:ascii="Times New Roman" w:hAnsi="Times New Roman" w:cs="Times New Roman"/>
        </w:rPr>
        <w:t>-</w:t>
      </w:r>
      <w:r w:rsidRPr="000B1D11">
        <w:rPr>
          <w:rFonts w:ascii="Times New Roman" w:hAnsi="Times New Roman" w:cs="Times New Roman"/>
        </w:rPr>
        <w:t>78.</w:t>
      </w:r>
    </w:p>
    <w:p w14:paraId="192F4388" w14:textId="1452B1EA"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Singh, N. K. (2021). Electronic National Agriculture Market (e-NAM): A paradigm shift in agricultural marketing. </w:t>
      </w:r>
      <w:r w:rsidR="002C734F" w:rsidRPr="002C734F">
        <w:rPr>
          <w:rFonts w:ascii="Times New Roman" w:hAnsi="Times New Roman" w:cs="Times New Roman"/>
          <w:i/>
          <w:iCs/>
        </w:rPr>
        <w:t>Gujarat Agriculture University</w:t>
      </w:r>
      <w:r w:rsidRPr="000B1D11">
        <w:rPr>
          <w:rFonts w:ascii="Times New Roman" w:hAnsi="Times New Roman" w:cs="Times New Roman"/>
          <w:i/>
          <w:iCs/>
        </w:rPr>
        <w:t xml:space="preserve"> Research Journal, </w:t>
      </w:r>
      <w:r w:rsidRPr="000B1D11">
        <w:rPr>
          <w:rFonts w:ascii="Times New Roman" w:hAnsi="Times New Roman" w:cs="Times New Roman"/>
        </w:rPr>
        <w:t>45(3), 108</w:t>
      </w:r>
      <w:r w:rsidR="00EB5BF2">
        <w:rPr>
          <w:rFonts w:ascii="Times New Roman" w:hAnsi="Times New Roman" w:cs="Times New Roman"/>
        </w:rPr>
        <w:t>-</w:t>
      </w:r>
      <w:r w:rsidRPr="000B1D11">
        <w:rPr>
          <w:rFonts w:ascii="Times New Roman" w:hAnsi="Times New Roman" w:cs="Times New Roman"/>
        </w:rPr>
        <w:t>112.</w:t>
      </w:r>
    </w:p>
    <w:p w14:paraId="453E6896" w14:textId="25FFF321" w:rsidR="00E8466D" w:rsidRPr="000B1D11" w:rsidRDefault="00E8466D" w:rsidP="00825D2B">
      <w:pPr>
        <w:ind w:left="567" w:hanging="567"/>
        <w:jc w:val="both"/>
        <w:rPr>
          <w:rFonts w:ascii="Times New Roman" w:hAnsi="Times New Roman" w:cs="Times New Roman"/>
        </w:rPr>
      </w:pPr>
      <w:r w:rsidRPr="000B1D11">
        <w:rPr>
          <w:rFonts w:ascii="Times New Roman" w:hAnsi="Times New Roman" w:cs="Times New Roman"/>
        </w:rPr>
        <w:t xml:space="preserve">Swain, P. K., Jamir, C., </w:t>
      </w:r>
      <w:proofErr w:type="spellStart"/>
      <w:r w:rsidRPr="000B1D11">
        <w:rPr>
          <w:rFonts w:ascii="Times New Roman" w:hAnsi="Times New Roman" w:cs="Times New Roman"/>
        </w:rPr>
        <w:t>Dinerstien</w:t>
      </w:r>
      <w:proofErr w:type="spellEnd"/>
      <w:r w:rsidRPr="000B1D11">
        <w:rPr>
          <w:rFonts w:ascii="Times New Roman" w:hAnsi="Times New Roman" w:cs="Times New Roman"/>
        </w:rPr>
        <w:t xml:space="preserve">, M., &amp; Narula, S. (2022). Impact of development of National Agriculture Market (e-NAM) on farmers. </w:t>
      </w:r>
      <w:r w:rsidRPr="000B1D11">
        <w:rPr>
          <w:rFonts w:ascii="Times New Roman" w:hAnsi="Times New Roman" w:cs="Times New Roman"/>
          <w:i/>
          <w:iCs/>
        </w:rPr>
        <w:t xml:space="preserve">Indian Journal of Agricultural Sciences, </w:t>
      </w:r>
      <w:r w:rsidRPr="000B1D11">
        <w:rPr>
          <w:rFonts w:ascii="Times New Roman" w:hAnsi="Times New Roman" w:cs="Times New Roman"/>
        </w:rPr>
        <w:t>92(12), 1484</w:t>
      </w:r>
      <w:r w:rsidR="00EB5BF2">
        <w:rPr>
          <w:rFonts w:ascii="Times New Roman" w:hAnsi="Times New Roman" w:cs="Times New Roman"/>
        </w:rPr>
        <w:t>-</w:t>
      </w:r>
      <w:r w:rsidRPr="000B1D11">
        <w:rPr>
          <w:rFonts w:ascii="Times New Roman" w:hAnsi="Times New Roman" w:cs="Times New Roman"/>
        </w:rPr>
        <w:t xml:space="preserve">1489. </w:t>
      </w:r>
      <w:hyperlink r:id="rId12" w:tgtFrame="_new" w:history="1">
        <w:r w:rsidRPr="000B1D11">
          <w:rPr>
            <w:rStyle w:val="Hyperlink"/>
            <w:rFonts w:ascii="Times New Roman" w:hAnsi="Times New Roman" w:cs="Times New Roman"/>
          </w:rPr>
          <w:t>https://doi.org/10.56093/ijas.v92i12.127701</w:t>
        </w:r>
      </w:hyperlink>
    </w:p>
    <w:p w14:paraId="209825E3" w14:textId="77777777" w:rsidR="009E0FF6" w:rsidRPr="009E0FF6" w:rsidRDefault="009E0FF6" w:rsidP="00216991">
      <w:pPr>
        <w:jc w:val="both"/>
        <w:rPr>
          <w:rFonts w:asciiTheme="majorBidi" w:eastAsiaTheme="minorEastAsia" w:hAnsiTheme="majorBidi" w:cstheme="majorBidi"/>
        </w:rPr>
      </w:pPr>
    </w:p>
    <w:sectPr w:rsidR="009E0FF6" w:rsidRPr="009E0FF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0EB1E" w14:textId="77777777" w:rsidR="009F532B" w:rsidRDefault="009F532B" w:rsidP="00EF351F">
      <w:pPr>
        <w:spacing w:after="0" w:line="240" w:lineRule="auto"/>
      </w:pPr>
      <w:r>
        <w:separator/>
      </w:r>
    </w:p>
  </w:endnote>
  <w:endnote w:type="continuationSeparator" w:id="0">
    <w:p w14:paraId="1B0FA78E" w14:textId="77777777" w:rsidR="009F532B" w:rsidRDefault="009F532B" w:rsidP="00EF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B4BE" w14:textId="77777777" w:rsidR="003D1AB8" w:rsidRDefault="003D1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23BD" w14:textId="77777777" w:rsidR="003D1AB8" w:rsidRDefault="003D1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3136" w14:textId="77777777" w:rsidR="003D1AB8" w:rsidRDefault="003D1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8FA7F" w14:textId="77777777" w:rsidR="009F532B" w:rsidRDefault="009F532B" w:rsidP="00EF351F">
      <w:pPr>
        <w:spacing w:after="0" w:line="240" w:lineRule="auto"/>
      </w:pPr>
      <w:r>
        <w:separator/>
      </w:r>
    </w:p>
  </w:footnote>
  <w:footnote w:type="continuationSeparator" w:id="0">
    <w:p w14:paraId="1C4B7F42" w14:textId="77777777" w:rsidR="009F532B" w:rsidRDefault="009F532B" w:rsidP="00EF3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B8F8" w14:textId="761B2722" w:rsidR="003D1AB8" w:rsidRDefault="003D1AB8">
    <w:pPr>
      <w:pStyle w:val="Header"/>
    </w:pPr>
    <w:r>
      <w:rPr>
        <w:noProof/>
      </w:rPr>
      <w:pict w14:anchorId="35EA3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33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CE02" w14:textId="659AC82B" w:rsidR="003D1AB8" w:rsidRDefault="003D1AB8">
    <w:pPr>
      <w:pStyle w:val="Header"/>
    </w:pPr>
    <w:r>
      <w:rPr>
        <w:noProof/>
      </w:rPr>
      <w:pict w14:anchorId="1DCD3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33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35EF" w14:textId="3E61067D" w:rsidR="003D1AB8" w:rsidRDefault="003D1AB8">
    <w:pPr>
      <w:pStyle w:val="Header"/>
    </w:pPr>
    <w:r>
      <w:rPr>
        <w:noProof/>
      </w:rPr>
      <w:pict w14:anchorId="0CE4B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33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93F03"/>
    <w:multiLevelType w:val="multilevel"/>
    <w:tmpl w:val="504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B53C2C"/>
    <w:multiLevelType w:val="multilevel"/>
    <w:tmpl w:val="AEEC27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78791836"/>
    <w:multiLevelType w:val="multilevel"/>
    <w:tmpl w:val="4A447D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9D"/>
    <w:rsid w:val="00037679"/>
    <w:rsid w:val="000C2082"/>
    <w:rsid w:val="000C7896"/>
    <w:rsid w:val="000F2698"/>
    <w:rsid w:val="00165CB7"/>
    <w:rsid w:val="00186E9D"/>
    <w:rsid w:val="00196CEE"/>
    <w:rsid w:val="001E461A"/>
    <w:rsid w:val="001F3487"/>
    <w:rsid w:val="00216991"/>
    <w:rsid w:val="00265FD6"/>
    <w:rsid w:val="00271547"/>
    <w:rsid w:val="0027554D"/>
    <w:rsid w:val="002968A8"/>
    <w:rsid w:val="002B1292"/>
    <w:rsid w:val="002C17FD"/>
    <w:rsid w:val="002C734F"/>
    <w:rsid w:val="00304F40"/>
    <w:rsid w:val="00315F2E"/>
    <w:rsid w:val="003164A0"/>
    <w:rsid w:val="00365DA6"/>
    <w:rsid w:val="00394548"/>
    <w:rsid w:val="003C069F"/>
    <w:rsid w:val="003C6C17"/>
    <w:rsid w:val="003D0CFE"/>
    <w:rsid w:val="003D1AB8"/>
    <w:rsid w:val="003F46B6"/>
    <w:rsid w:val="00440B62"/>
    <w:rsid w:val="004411B7"/>
    <w:rsid w:val="00454574"/>
    <w:rsid w:val="00454D1E"/>
    <w:rsid w:val="00465668"/>
    <w:rsid w:val="004A6E77"/>
    <w:rsid w:val="004B0AD2"/>
    <w:rsid w:val="0050796D"/>
    <w:rsid w:val="00544856"/>
    <w:rsid w:val="0055232F"/>
    <w:rsid w:val="005814CC"/>
    <w:rsid w:val="005C1944"/>
    <w:rsid w:val="005F0893"/>
    <w:rsid w:val="006054BD"/>
    <w:rsid w:val="00606D33"/>
    <w:rsid w:val="006122DA"/>
    <w:rsid w:val="00624CDC"/>
    <w:rsid w:val="00632A14"/>
    <w:rsid w:val="00641AD7"/>
    <w:rsid w:val="006429FD"/>
    <w:rsid w:val="0068218D"/>
    <w:rsid w:val="00682F7B"/>
    <w:rsid w:val="0068598E"/>
    <w:rsid w:val="00697E42"/>
    <w:rsid w:val="006B567E"/>
    <w:rsid w:val="006D5B64"/>
    <w:rsid w:val="00712039"/>
    <w:rsid w:val="00735772"/>
    <w:rsid w:val="0074040C"/>
    <w:rsid w:val="00773128"/>
    <w:rsid w:val="007818BB"/>
    <w:rsid w:val="007A001E"/>
    <w:rsid w:val="007B5C03"/>
    <w:rsid w:val="00805697"/>
    <w:rsid w:val="00807680"/>
    <w:rsid w:val="008167D1"/>
    <w:rsid w:val="00825D2B"/>
    <w:rsid w:val="008432AA"/>
    <w:rsid w:val="0087387B"/>
    <w:rsid w:val="0087542C"/>
    <w:rsid w:val="008C7ADA"/>
    <w:rsid w:val="008F167F"/>
    <w:rsid w:val="009717CE"/>
    <w:rsid w:val="009B0E2A"/>
    <w:rsid w:val="009E0FF6"/>
    <w:rsid w:val="009F532B"/>
    <w:rsid w:val="00A21FAF"/>
    <w:rsid w:val="00A3512B"/>
    <w:rsid w:val="00A42A76"/>
    <w:rsid w:val="00A50A76"/>
    <w:rsid w:val="00A645A7"/>
    <w:rsid w:val="00A77F05"/>
    <w:rsid w:val="00A84954"/>
    <w:rsid w:val="00A92CB5"/>
    <w:rsid w:val="00A92D3F"/>
    <w:rsid w:val="00A93CE3"/>
    <w:rsid w:val="00AB0D1A"/>
    <w:rsid w:val="00AB58CB"/>
    <w:rsid w:val="00AC1D3E"/>
    <w:rsid w:val="00AC7288"/>
    <w:rsid w:val="00B13D9F"/>
    <w:rsid w:val="00B7568C"/>
    <w:rsid w:val="00B80A64"/>
    <w:rsid w:val="00B979F5"/>
    <w:rsid w:val="00BA1E5C"/>
    <w:rsid w:val="00BD3CC6"/>
    <w:rsid w:val="00BE2B3C"/>
    <w:rsid w:val="00BE5F0F"/>
    <w:rsid w:val="00C027AB"/>
    <w:rsid w:val="00C1361C"/>
    <w:rsid w:val="00C1782A"/>
    <w:rsid w:val="00C22E51"/>
    <w:rsid w:val="00C264DF"/>
    <w:rsid w:val="00C2775B"/>
    <w:rsid w:val="00C321EF"/>
    <w:rsid w:val="00C34C62"/>
    <w:rsid w:val="00C46BD1"/>
    <w:rsid w:val="00CF359D"/>
    <w:rsid w:val="00D00877"/>
    <w:rsid w:val="00D01FDB"/>
    <w:rsid w:val="00D54735"/>
    <w:rsid w:val="00D73D6D"/>
    <w:rsid w:val="00D838FE"/>
    <w:rsid w:val="00D97A28"/>
    <w:rsid w:val="00DF3A64"/>
    <w:rsid w:val="00E03737"/>
    <w:rsid w:val="00E171B0"/>
    <w:rsid w:val="00E36C69"/>
    <w:rsid w:val="00E8466D"/>
    <w:rsid w:val="00E85A3C"/>
    <w:rsid w:val="00E97C30"/>
    <w:rsid w:val="00EA45B6"/>
    <w:rsid w:val="00EB5BF2"/>
    <w:rsid w:val="00EC6A9B"/>
    <w:rsid w:val="00EF351F"/>
    <w:rsid w:val="00F12341"/>
    <w:rsid w:val="00F20D67"/>
    <w:rsid w:val="00F31997"/>
    <w:rsid w:val="00F4191F"/>
    <w:rsid w:val="00F42178"/>
    <w:rsid w:val="00F510C4"/>
    <w:rsid w:val="00F541D2"/>
    <w:rsid w:val="00F566A5"/>
    <w:rsid w:val="00F828EA"/>
    <w:rsid w:val="00F94C5E"/>
    <w:rsid w:val="00FB4B6F"/>
    <w:rsid w:val="00FD077B"/>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7396CD"/>
  <w15:chartTrackingRefBased/>
  <w15:docId w15:val="{CCA99D36-6D73-42BB-8D54-9F8E30EB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AD2"/>
    <w:rPr>
      <w:color w:val="0563C1" w:themeColor="hyperlink"/>
      <w:u w:val="single"/>
    </w:rPr>
  </w:style>
  <w:style w:type="character" w:styleId="PlaceholderText">
    <w:name w:val="Placeholder Text"/>
    <w:basedOn w:val="DefaultParagraphFont"/>
    <w:uiPriority w:val="99"/>
    <w:semiHidden/>
    <w:rsid w:val="00A92CB5"/>
    <w:rPr>
      <w:color w:val="666666"/>
    </w:rPr>
  </w:style>
  <w:style w:type="paragraph" w:styleId="NormalWeb">
    <w:name w:val="Normal (Web)"/>
    <w:basedOn w:val="Normal"/>
    <w:uiPriority w:val="99"/>
    <w:semiHidden/>
    <w:unhideWhenUsed/>
    <w:rsid w:val="00A92CB5"/>
    <w:rPr>
      <w:rFonts w:ascii="Times New Roman" w:hAnsi="Times New Roman" w:cs="Times New Roman"/>
    </w:rPr>
  </w:style>
  <w:style w:type="table" w:styleId="TableGrid">
    <w:name w:val="Table Grid"/>
    <w:basedOn w:val="TableNormal"/>
    <w:uiPriority w:val="39"/>
    <w:rsid w:val="00A8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1AD7"/>
    <w:rPr>
      <w:b/>
      <w:bCs/>
    </w:rPr>
  </w:style>
  <w:style w:type="character" w:styleId="Emphasis">
    <w:name w:val="Emphasis"/>
    <w:basedOn w:val="DefaultParagraphFont"/>
    <w:uiPriority w:val="20"/>
    <w:qFormat/>
    <w:rsid w:val="00641AD7"/>
    <w:rPr>
      <w:i/>
      <w:iCs/>
    </w:rPr>
  </w:style>
  <w:style w:type="table" w:styleId="GridTable4-Accent2">
    <w:name w:val="Grid Table 4 Accent 2"/>
    <w:basedOn w:val="TableNormal"/>
    <w:uiPriority w:val="49"/>
    <w:rsid w:val="003945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EF3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51F"/>
  </w:style>
  <w:style w:type="paragraph" w:styleId="Footer">
    <w:name w:val="footer"/>
    <w:basedOn w:val="Normal"/>
    <w:link w:val="FooterChar"/>
    <w:uiPriority w:val="99"/>
    <w:unhideWhenUsed/>
    <w:rsid w:val="00EF3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51F"/>
  </w:style>
  <w:style w:type="paragraph" w:styleId="ListParagraph">
    <w:name w:val="List Paragraph"/>
    <w:basedOn w:val="Normal"/>
    <w:uiPriority w:val="34"/>
    <w:qFormat/>
    <w:rsid w:val="003D0CFE"/>
    <w:pPr>
      <w:ind w:left="720"/>
      <w:contextualSpacing/>
    </w:pPr>
  </w:style>
  <w:style w:type="character" w:styleId="UnresolvedMention">
    <w:name w:val="Unresolved Mention"/>
    <w:basedOn w:val="DefaultParagraphFont"/>
    <w:uiPriority w:val="99"/>
    <w:semiHidden/>
    <w:unhideWhenUsed/>
    <w:rsid w:val="00D01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2345">
      <w:bodyDiv w:val="1"/>
      <w:marLeft w:val="0"/>
      <w:marRight w:val="0"/>
      <w:marTop w:val="0"/>
      <w:marBottom w:val="0"/>
      <w:divBdr>
        <w:top w:val="none" w:sz="0" w:space="0" w:color="auto"/>
        <w:left w:val="none" w:sz="0" w:space="0" w:color="auto"/>
        <w:bottom w:val="none" w:sz="0" w:space="0" w:color="auto"/>
        <w:right w:val="none" w:sz="0" w:space="0" w:color="auto"/>
      </w:divBdr>
    </w:div>
    <w:div w:id="47608343">
      <w:bodyDiv w:val="1"/>
      <w:marLeft w:val="0"/>
      <w:marRight w:val="0"/>
      <w:marTop w:val="0"/>
      <w:marBottom w:val="0"/>
      <w:divBdr>
        <w:top w:val="none" w:sz="0" w:space="0" w:color="auto"/>
        <w:left w:val="none" w:sz="0" w:space="0" w:color="auto"/>
        <w:bottom w:val="none" w:sz="0" w:space="0" w:color="auto"/>
        <w:right w:val="none" w:sz="0" w:space="0" w:color="auto"/>
      </w:divBdr>
    </w:div>
    <w:div w:id="149372000">
      <w:bodyDiv w:val="1"/>
      <w:marLeft w:val="0"/>
      <w:marRight w:val="0"/>
      <w:marTop w:val="0"/>
      <w:marBottom w:val="0"/>
      <w:divBdr>
        <w:top w:val="none" w:sz="0" w:space="0" w:color="auto"/>
        <w:left w:val="none" w:sz="0" w:space="0" w:color="auto"/>
        <w:bottom w:val="none" w:sz="0" w:space="0" w:color="auto"/>
        <w:right w:val="none" w:sz="0" w:space="0" w:color="auto"/>
      </w:divBdr>
    </w:div>
    <w:div w:id="166558317">
      <w:bodyDiv w:val="1"/>
      <w:marLeft w:val="0"/>
      <w:marRight w:val="0"/>
      <w:marTop w:val="0"/>
      <w:marBottom w:val="0"/>
      <w:divBdr>
        <w:top w:val="none" w:sz="0" w:space="0" w:color="auto"/>
        <w:left w:val="none" w:sz="0" w:space="0" w:color="auto"/>
        <w:bottom w:val="none" w:sz="0" w:space="0" w:color="auto"/>
        <w:right w:val="none" w:sz="0" w:space="0" w:color="auto"/>
      </w:divBdr>
    </w:div>
    <w:div w:id="268512038">
      <w:bodyDiv w:val="1"/>
      <w:marLeft w:val="0"/>
      <w:marRight w:val="0"/>
      <w:marTop w:val="0"/>
      <w:marBottom w:val="0"/>
      <w:divBdr>
        <w:top w:val="none" w:sz="0" w:space="0" w:color="auto"/>
        <w:left w:val="none" w:sz="0" w:space="0" w:color="auto"/>
        <w:bottom w:val="none" w:sz="0" w:space="0" w:color="auto"/>
        <w:right w:val="none" w:sz="0" w:space="0" w:color="auto"/>
      </w:divBdr>
    </w:div>
    <w:div w:id="275720453">
      <w:bodyDiv w:val="1"/>
      <w:marLeft w:val="0"/>
      <w:marRight w:val="0"/>
      <w:marTop w:val="0"/>
      <w:marBottom w:val="0"/>
      <w:divBdr>
        <w:top w:val="none" w:sz="0" w:space="0" w:color="auto"/>
        <w:left w:val="none" w:sz="0" w:space="0" w:color="auto"/>
        <w:bottom w:val="none" w:sz="0" w:space="0" w:color="auto"/>
        <w:right w:val="none" w:sz="0" w:space="0" w:color="auto"/>
      </w:divBdr>
    </w:div>
    <w:div w:id="313726572">
      <w:bodyDiv w:val="1"/>
      <w:marLeft w:val="0"/>
      <w:marRight w:val="0"/>
      <w:marTop w:val="0"/>
      <w:marBottom w:val="0"/>
      <w:divBdr>
        <w:top w:val="none" w:sz="0" w:space="0" w:color="auto"/>
        <w:left w:val="none" w:sz="0" w:space="0" w:color="auto"/>
        <w:bottom w:val="none" w:sz="0" w:space="0" w:color="auto"/>
        <w:right w:val="none" w:sz="0" w:space="0" w:color="auto"/>
      </w:divBdr>
    </w:div>
    <w:div w:id="383678801">
      <w:bodyDiv w:val="1"/>
      <w:marLeft w:val="0"/>
      <w:marRight w:val="0"/>
      <w:marTop w:val="0"/>
      <w:marBottom w:val="0"/>
      <w:divBdr>
        <w:top w:val="none" w:sz="0" w:space="0" w:color="auto"/>
        <w:left w:val="none" w:sz="0" w:space="0" w:color="auto"/>
        <w:bottom w:val="none" w:sz="0" w:space="0" w:color="auto"/>
        <w:right w:val="none" w:sz="0" w:space="0" w:color="auto"/>
      </w:divBdr>
    </w:div>
    <w:div w:id="446433522">
      <w:bodyDiv w:val="1"/>
      <w:marLeft w:val="0"/>
      <w:marRight w:val="0"/>
      <w:marTop w:val="0"/>
      <w:marBottom w:val="0"/>
      <w:divBdr>
        <w:top w:val="none" w:sz="0" w:space="0" w:color="auto"/>
        <w:left w:val="none" w:sz="0" w:space="0" w:color="auto"/>
        <w:bottom w:val="none" w:sz="0" w:space="0" w:color="auto"/>
        <w:right w:val="none" w:sz="0" w:space="0" w:color="auto"/>
      </w:divBdr>
    </w:div>
    <w:div w:id="450323194">
      <w:bodyDiv w:val="1"/>
      <w:marLeft w:val="0"/>
      <w:marRight w:val="0"/>
      <w:marTop w:val="0"/>
      <w:marBottom w:val="0"/>
      <w:divBdr>
        <w:top w:val="none" w:sz="0" w:space="0" w:color="auto"/>
        <w:left w:val="none" w:sz="0" w:space="0" w:color="auto"/>
        <w:bottom w:val="none" w:sz="0" w:space="0" w:color="auto"/>
        <w:right w:val="none" w:sz="0" w:space="0" w:color="auto"/>
      </w:divBdr>
    </w:div>
    <w:div w:id="471144018">
      <w:bodyDiv w:val="1"/>
      <w:marLeft w:val="0"/>
      <w:marRight w:val="0"/>
      <w:marTop w:val="0"/>
      <w:marBottom w:val="0"/>
      <w:divBdr>
        <w:top w:val="none" w:sz="0" w:space="0" w:color="auto"/>
        <w:left w:val="none" w:sz="0" w:space="0" w:color="auto"/>
        <w:bottom w:val="none" w:sz="0" w:space="0" w:color="auto"/>
        <w:right w:val="none" w:sz="0" w:space="0" w:color="auto"/>
      </w:divBdr>
    </w:div>
    <w:div w:id="511992865">
      <w:bodyDiv w:val="1"/>
      <w:marLeft w:val="0"/>
      <w:marRight w:val="0"/>
      <w:marTop w:val="0"/>
      <w:marBottom w:val="0"/>
      <w:divBdr>
        <w:top w:val="none" w:sz="0" w:space="0" w:color="auto"/>
        <w:left w:val="none" w:sz="0" w:space="0" w:color="auto"/>
        <w:bottom w:val="none" w:sz="0" w:space="0" w:color="auto"/>
        <w:right w:val="none" w:sz="0" w:space="0" w:color="auto"/>
      </w:divBdr>
    </w:div>
    <w:div w:id="513884962">
      <w:bodyDiv w:val="1"/>
      <w:marLeft w:val="0"/>
      <w:marRight w:val="0"/>
      <w:marTop w:val="0"/>
      <w:marBottom w:val="0"/>
      <w:divBdr>
        <w:top w:val="none" w:sz="0" w:space="0" w:color="auto"/>
        <w:left w:val="none" w:sz="0" w:space="0" w:color="auto"/>
        <w:bottom w:val="none" w:sz="0" w:space="0" w:color="auto"/>
        <w:right w:val="none" w:sz="0" w:space="0" w:color="auto"/>
      </w:divBdr>
    </w:div>
    <w:div w:id="534805313">
      <w:bodyDiv w:val="1"/>
      <w:marLeft w:val="0"/>
      <w:marRight w:val="0"/>
      <w:marTop w:val="0"/>
      <w:marBottom w:val="0"/>
      <w:divBdr>
        <w:top w:val="none" w:sz="0" w:space="0" w:color="auto"/>
        <w:left w:val="none" w:sz="0" w:space="0" w:color="auto"/>
        <w:bottom w:val="none" w:sz="0" w:space="0" w:color="auto"/>
        <w:right w:val="none" w:sz="0" w:space="0" w:color="auto"/>
      </w:divBdr>
    </w:div>
    <w:div w:id="619190140">
      <w:bodyDiv w:val="1"/>
      <w:marLeft w:val="0"/>
      <w:marRight w:val="0"/>
      <w:marTop w:val="0"/>
      <w:marBottom w:val="0"/>
      <w:divBdr>
        <w:top w:val="none" w:sz="0" w:space="0" w:color="auto"/>
        <w:left w:val="none" w:sz="0" w:space="0" w:color="auto"/>
        <w:bottom w:val="none" w:sz="0" w:space="0" w:color="auto"/>
        <w:right w:val="none" w:sz="0" w:space="0" w:color="auto"/>
      </w:divBdr>
    </w:div>
    <w:div w:id="630550111">
      <w:bodyDiv w:val="1"/>
      <w:marLeft w:val="0"/>
      <w:marRight w:val="0"/>
      <w:marTop w:val="0"/>
      <w:marBottom w:val="0"/>
      <w:divBdr>
        <w:top w:val="none" w:sz="0" w:space="0" w:color="auto"/>
        <w:left w:val="none" w:sz="0" w:space="0" w:color="auto"/>
        <w:bottom w:val="none" w:sz="0" w:space="0" w:color="auto"/>
        <w:right w:val="none" w:sz="0" w:space="0" w:color="auto"/>
      </w:divBdr>
    </w:div>
    <w:div w:id="635260420">
      <w:bodyDiv w:val="1"/>
      <w:marLeft w:val="0"/>
      <w:marRight w:val="0"/>
      <w:marTop w:val="0"/>
      <w:marBottom w:val="0"/>
      <w:divBdr>
        <w:top w:val="none" w:sz="0" w:space="0" w:color="auto"/>
        <w:left w:val="none" w:sz="0" w:space="0" w:color="auto"/>
        <w:bottom w:val="none" w:sz="0" w:space="0" w:color="auto"/>
        <w:right w:val="none" w:sz="0" w:space="0" w:color="auto"/>
      </w:divBdr>
    </w:div>
    <w:div w:id="664867178">
      <w:bodyDiv w:val="1"/>
      <w:marLeft w:val="0"/>
      <w:marRight w:val="0"/>
      <w:marTop w:val="0"/>
      <w:marBottom w:val="0"/>
      <w:divBdr>
        <w:top w:val="none" w:sz="0" w:space="0" w:color="auto"/>
        <w:left w:val="none" w:sz="0" w:space="0" w:color="auto"/>
        <w:bottom w:val="none" w:sz="0" w:space="0" w:color="auto"/>
        <w:right w:val="none" w:sz="0" w:space="0" w:color="auto"/>
      </w:divBdr>
    </w:div>
    <w:div w:id="668757508">
      <w:bodyDiv w:val="1"/>
      <w:marLeft w:val="0"/>
      <w:marRight w:val="0"/>
      <w:marTop w:val="0"/>
      <w:marBottom w:val="0"/>
      <w:divBdr>
        <w:top w:val="none" w:sz="0" w:space="0" w:color="auto"/>
        <w:left w:val="none" w:sz="0" w:space="0" w:color="auto"/>
        <w:bottom w:val="none" w:sz="0" w:space="0" w:color="auto"/>
        <w:right w:val="none" w:sz="0" w:space="0" w:color="auto"/>
      </w:divBdr>
    </w:div>
    <w:div w:id="671953423">
      <w:bodyDiv w:val="1"/>
      <w:marLeft w:val="0"/>
      <w:marRight w:val="0"/>
      <w:marTop w:val="0"/>
      <w:marBottom w:val="0"/>
      <w:divBdr>
        <w:top w:val="none" w:sz="0" w:space="0" w:color="auto"/>
        <w:left w:val="none" w:sz="0" w:space="0" w:color="auto"/>
        <w:bottom w:val="none" w:sz="0" w:space="0" w:color="auto"/>
        <w:right w:val="none" w:sz="0" w:space="0" w:color="auto"/>
      </w:divBdr>
    </w:div>
    <w:div w:id="683287867">
      <w:bodyDiv w:val="1"/>
      <w:marLeft w:val="0"/>
      <w:marRight w:val="0"/>
      <w:marTop w:val="0"/>
      <w:marBottom w:val="0"/>
      <w:divBdr>
        <w:top w:val="none" w:sz="0" w:space="0" w:color="auto"/>
        <w:left w:val="none" w:sz="0" w:space="0" w:color="auto"/>
        <w:bottom w:val="none" w:sz="0" w:space="0" w:color="auto"/>
        <w:right w:val="none" w:sz="0" w:space="0" w:color="auto"/>
      </w:divBdr>
    </w:div>
    <w:div w:id="706610333">
      <w:bodyDiv w:val="1"/>
      <w:marLeft w:val="0"/>
      <w:marRight w:val="0"/>
      <w:marTop w:val="0"/>
      <w:marBottom w:val="0"/>
      <w:divBdr>
        <w:top w:val="none" w:sz="0" w:space="0" w:color="auto"/>
        <w:left w:val="none" w:sz="0" w:space="0" w:color="auto"/>
        <w:bottom w:val="none" w:sz="0" w:space="0" w:color="auto"/>
        <w:right w:val="none" w:sz="0" w:space="0" w:color="auto"/>
      </w:divBdr>
    </w:div>
    <w:div w:id="831262102">
      <w:bodyDiv w:val="1"/>
      <w:marLeft w:val="0"/>
      <w:marRight w:val="0"/>
      <w:marTop w:val="0"/>
      <w:marBottom w:val="0"/>
      <w:divBdr>
        <w:top w:val="none" w:sz="0" w:space="0" w:color="auto"/>
        <w:left w:val="none" w:sz="0" w:space="0" w:color="auto"/>
        <w:bottom w:val="none" w:sz="0" w:space="0" w:color="auto"/>
        <w:right w:val="none" w:sz="0" w:space="0" w:color="auto"/>
      </w:divBdr>
    </w:div>
    <w:div w:id="847915057">
      <w:bodyDiv w:val="1"/>
      <w:marLeft w:val="0"/>
      <w:marRight w:val="0"/>
      <w:marTop w:val="0"/>
      <w:marBottom w:val="0"/>
      <w:divBdr>
        <w:top w:val="none" w:sz="0" w:space="0" w:color="auto"/>
        <w:left w:val="none" w:sz="0" w:space="0" w:color="auto"/>
        <w:bottom w:val="none" w:sz="0" w:space="0" w:color="auto"/>
        <w:right w:val="none" w:sz="0" w:space="0" w:color="auto"/>
      </w:divBdr>
    </w:div>
    <w:div w:id="856650033">
      <w:bodyDiv w:val="1"/>
      <w:marLeft w:val="0"/>
      <w:marRight w:val="0"/>
      <w:marTop w:val="0"/>
      <w:marBottom w:val="0"/>
      <w:divBdr>
        <w:top w:val="none" w:sz="0" w:space="0" w:color="auto"/>
        <w:left w:val="none" w:sz="0" w:space="0" w:color="auto"/>
        <w:bottom w:val="none" w:sz="0" w:space="0" w:color="auto"/>
        <w:right w:val="none" w:sz="0" w:space="0" w:color="auto"/>
      </w:divBdr>
    </w:div>
    <w:div w:id="858664998">
      <w:bodyDiv w:val="1"/>
      <w:marLeft w:val="0"/>
      <w:marRight w:val="0"/>
      <w:marTop w:val="0"/>
      <w:marBottom w:val="0"/>
      <w:divBdr>
        <w:top w:val="none" w:sz="0" w:space="0" w:color="auto"/>
        <w:left w:val="none" w:sz="0" w:space="0" w:color="auto"/>
        <w:bottom w:val="none" w:sz="0" w:space="0" w:color="auto"/>
        <w:right w:val="none" w:sz="0" w:space="0" w:color="auto"/>
      </w:divBdr>
    </w:div>
    <w:div w:id="867522084">
      <w:bodyDiv w:val="1"/>
      <w:marLeft w:val="0"/>
      <w:marRight w:val="0"/>
      <w:marTop w:val="0"/>
      <w:marBottom w:val="0"/>
      <w:divBdr>
        <w:top w:val="none" w:sz="0" w:space="0" w:color="auto"/>
        <w:left w:val="none" w:sz="0" w:space="0" w:color="auto"/>
        <w:bottom w:val="none" w:sz="0" w:space="0" w:color="auto"/>
        <w:right w:val="none" w:sz="0" w:space="0" w:color="auto"/>
      </w:divBdr>
    </w:div>
    <w:div w:id="972442016">
      <w:bodyDiv w:val="1"/>
      <w:marLeft w:val="0"/>
      <w:marRight w:val="0"/>
      <w:marTop w:val="0"/>
      <w:marBottom w:val="0"/>
      <w:divBdr>
        <w:top w:val="none" w:sz="0" w:space="0" w:color="auto"/>
        <w:left w:val="none" w:sz="0" w:space="0" w:color="auto"/>
        <w:bottom w:val="none" w:sz="0" w:space="0" w:color="auto"/>
        <w:right w:val="none" w:sz="0" w:space="0" w:color="auto"/>
      </w:divBdr>
    </w:div>
    <w:div w:id="986128872">
      <w:bodyDiv w:val="1"/>
      <w:marLeft w:val="0"/>
      <w:marRight w:val="0"/>
      <w:marTop w:val="0"/>
      <w:marBottom w:val="0"/>
      <w:divBdr>
        <w:top w:val="none" w:sz="0" w:space="0" w:color="auto"/>
        <w:left w:val="none" w:sz="0" w:space="0" w:color="auto"/>
        <w:bottom w:val="none" w:sz="0" w:space="0" w:color="auto"/>
        <w:right w:val="none" w:sz="0" w:space="0" w:color="auto"/>
      </w:divBdr>
    </w:div>
    <w:div w:id="1020199932">
      <w:bodyDiv w:val="1"/>
      <w:marLeft w:val="0"/>
      <w:marRight w:val="0"/>
      <w:marTop w:val="0"/>
      <w:marBottom w:val="0"/>
      <w:divBdr>
        <w:top w:val="none" w:sz="0" w:space="0" w:color="auto"/>
        <w:left w:val="none" w:sz="0" w:space="0" w:color="auto"/>
        <w:bottom w:val="none" w:sz="0" w:space="0" w:color="auto"/>
        <w:right w:val="none" w:sz="0" w:space="0" w:color="auto"/>
      </w:divBdr>
    </w:div>
    <w:div w:id="1026178568">
      <w:bodyDiv w:val="1"/>
      <w:marLeft w:val="0"/>
      <w:marRight w:val="0"/>
      <w:marTop w:val="0"/>
      <w:marBottom w:val="0"/>
      <w:divBdr>
        <w:top w:val="none" w:sz="0" w:space="0" w:color="auto"/>
        <w:left w:val="none" w:sz="0" w:space="0" w:color="auto"/>
        <w:bottom w:val="none" w:sz="0" w:space="0" w:color="auto"/>
        <w:right w:val="none" w:sz="0" w:space="0" w:color="auto"/>
      </w:divBdr>
    </w:div>
    <w:div w:id="1067846238">
      <w:bodyDiv w:val="1"/>
      <w:marLeft w:val="0"/>
      <w:marRight w:val="0"/>
      <w:marTop w:val="0"/>
      <w:marBottom w:val="0"/>
      <w:divBdr>
        <w:top w:val="none" w:sz="0" w:space="0" w:color="auto"/>
        <w:left w:val="none" w:sz="0" w:space="0" w:color="auto"/>
        <w:bottom w:val="none" w:sz="0" w:space="0" w:color="auto"/>
        <w:right w:val="none" w:sz="0" w:space="0" w:color="auto"/>
      </w:divBdr>
    </w:div>
    <w:div w:id="1098982737">
      <w:bodyDiv w:val="1"/>
      <w:marLeft w:val="0"/>
      <w:marRight w:val="0"/>
      <w:marTop w:val="0"/>
      <w:marBottom w:val="0"/>
      <w:divBdr>
        <w:top w:val="none" w:sz="0" w:space="0" w:color="auto"/>
        <w:left w:val="none" w:sz="0" w:space="0" w:color="auto"/>
        <w:bottom w:val="none" w:sz="0" w:space="0" w:color="auto"/>
        <w:right w:val="none" w:sz="0" w:space="0" w:color="auto"/>
      </w:divBdr>
    </w:div>
    <w:div w:id="1118986677">
      <w:bodyDiv w:val="1"/>
      <w:marLeft w:val="0"/>
      <w:marRight w:val="0"/>
      <w:marTop w:val="0"/>
      <w:marBottom w:val="0"/>
      <w:divBdr>
        <w:top w:val="none" w:sz="0" w:space="0" w:color="auto"/>
        <w:left w:val="none" w:sz="0" w:space="0" w:color="auto"/>
        <w:bottom w:val="none" w:sz="0" w:space="0" w:color="auto"/>
        <w:right w:val="none" w:sz="0" w:space="0" w:color="auto"/>
      </w:divBdr>
    </w:div>
    <w:div w:id="1119421337">
      <w:bodyDiv w:val="1"/>
      <w:marLeft w:val="0"/>
      <w:marRight w:val="0"/>
      <w:marTop w:val="0"/>
      <w:marBottom w:val="0"/>
      <w:divBdr>
        <w:top w:val="none" w:sz="0" w:space="0" w:color="auto"/>
        <w:left w:val="none" w:sz="0" w:space="0" w:color="auto"/>
        <w:bottom w:val="none" w:sz="0" w:space="0" w:color="auto"/>
        <w:right w:val="none" w:sz="0" w:space="0" w:color="auto"/>
      </w:divBdr>
    </w:div>
    <w:div w:id="1168594053">
      <w:bodyDiv w:val="1"/>
      <w:marLeft w:val="0"/>
      <w:marRight w:val="0"/>
      <w:marTop w:val="0"/>
      <w:marBottom w:val="0"/>
      <w:divBdr>
        <w:top w:val="none" w:sz="0" w:space="0" w:color="auto"/>
        <w:left w:val="none" w:sz="0" w:space="0" w:color="auto"/>
        <w:bottom w:val="none" w:sz="0" w:space="0" w:color="auto"/>
        <w:right w:val="none" w:sz="0" w:space="0" w:color="auto"/>
      </w:divBdr>
    </w:div>
    <w:div w:id="1185435918">
      <w:bodyDiv w:val="1"/>
      <w:marLeft w:val="0"/>
      <w:marRight w:val="0"/>
      <w:marTop w:val="0"/>
      <w:marBottom w:val="0"/>
      <w:divBdr>
        <w:top w:val="none" w:sz="0" w:space="0" w:color="auto"/>
        <w:left w:val="none" w:sz="0" w:space="0" w:color="auto"/>
        <w:bottom w:val="none" w:sz="0" w:space="0" w:color="auto"/>
        <w:right w:val="none" w:sz="0" w:space="0" w:color="auto"/>
      </w:divBdr>
    </w:div>
    <w:div w:id="1212427820">
      <w:bodyDiv w:val="1"/>
      <w:marLeft w:val="0"/>
      <w:marRight w:val="0"/>
      <w:marTop w:val="0"/>
      <w:marBottom w:val="0"/>
      <w:divBdr>
        <w:top w:val="none" w:sz="0" w:space="0" w:color="auto"/>
        <w:left w:val="none" w:sz="0" w:space="0" w:color="auto"/>
        <w:bottom w:val="none" w:sz="0" w:space="0" w:color="auto"/>
        <w:right w:val="none" w:sz="0" w:space="0" w:color="auto"/>
      </w:divBdr>
    </w:div>
    <w:div w:id="1227763489">
      <w:bodyDiv w:val="1"/>
      <w:marLeft w:val="0"/>
      <w:marRight w:val="0"/>
      <w:marTop w:val="0"/>
      <w:marBottom w:val="0"/>
      <w:divBdr>
        <w:top w:val="none" w:sz="0" w:space="0" w:color="auto"/>
        <w:left w:val="none" w:sz="0" w:space="0" w:color="auto"/>
        <w:bottom w:val="none" w:sz="0" w:space="0" w:color="auto"/>
        <w:right w:val="none" w:sz="0" w:space="0" w:color="auto"/>
      </w:divBdr>
    </w:div>
    <w:div w:id="1243951839">
      <w:bodyDiv w:val="1"/>
      <w:marLeft w:val="0"/>
      <w:marRight w:val="0"/>
      <w:marTop w:val="0"/>
      <w:marBottom w:val="0"/>
      <w:divBdr>
        <w:top w:val="none" w:sz="0" w:space="0" w:color="auto"/>
        <w:left w:val="none" w:sz="0" w:space="0" w:color="auto"/>
        <w:bottom w:val="none" w:sz="0" w:space="0" w:color="auto"/>
        <w:right w:val="none" w:sz="0" w:space="0" w:color="auto"/>
      </w:divBdr>
    </w:div>
    <w:div w:id="1256010291">
      <w:bodyDiv w:val="1"/>
      <w:marLeft w:val="0"/>
      <w:marRight w:val="0"/>
      <w:marTop w:val="0"/>
      <w:marBottom w:val="0"/>
      <w:divBdr>
        <w:top w:val="none" w:sz="0" w:space="0" w:color="auto"/>
        <w:left w:val="none" w:sz="0" w:space="0" w:color="auto"/>
        <w:bottom w:val="none" w:sz="0" w:space="0" w:color="auto"/>
        <w:right w:val="none" w:sz="0" w:space="0" w:color="auto"/>
      </w:divBdr>
    </w:div>
    <w:div w:id="1276138392">
      <w:bodyDiv w:val="1"/>
      <w:marLeft w:val="0"/>
      <w:marRight w:val="0"/>
      <w:marTop w:val="0"/>
      <w:marBottom w:val="0"/>
      <w:divBdr>
        <w:top w:val="none" w:sz="0" w:space="0" w:color="auto"/>
        <w:left w:val="none" w:sz="0" w:space="0" w:color="auto"/>
        <w:bottom w:val="none" w:sz="0" w:space="0" w:color="auto"/>
        <w:right w:val="none" w:sz="0" w:space="0" w:color="auto"/>
      </w:divBdr>
    </w:div>
    <w:div w:id="1314026156">
      <w:bodyDiv w:val="1"/>
      <w:marLeft w:val="0"/>
      <w:marRight w:val="0"/>
      <w:marTop w:val="0"/>
      <w:marBottom w:val="0"/>
      <w:divBdr>
        <w:top w:val="none" w:sz="0" w:space="0" w:color="auto"/>
        <w:left w:val="none" w:sz="0" w:space="0" w:color="auto"/>
        <w:bottom w:val="none" w:sz="0" w:space="0" w:color="auto"/>
        <w:right w:val="none" w:sz="0" w:space="0" w:color="auto"/>
      </w:divBdr>
    </w:div>
    <w:div w:id="1344238436">
      <w:bodyDiv w:val="1"/>
      <w:marLeft w:val="0"/>
      <w:marRight w:val="0"/>
      <w:marTop w:val="0"/>
      <w:marBottom w:val="0"/>
      <w:divBdr>
        <w:top w:val="none" w:sz="0" w:space="0" w:color="auto"/>
        <w:left w:val="none" w:sz="0" w:space="0" w:color="auto"/>
        <w:bottom w:val="none" w:sz="0" w:space="0" w:color="auto"/>
        <w:right w:val="none" w:sz="0" w:space="0" w:color="auto"/>
      </w:divBdr>
    </w:div>
    <w:div w:id="1355882920">
      <w:bodyDiv w:val="1"/>
      <w:marLeft w:val="0"/>
      <w:marRight w:val="0"/>
      <w:marTop w:val="0"/>
      <w:marBottom w:val="0"/>
      <w:divBdr>
        <w:top w:val="none" w:sz="0" w:space="0" w:color="auto"/>
        <w:left w:val="none" w:sz="0" w:space="0" w:color="auto"/>
        <w:bottom w:val="none" w:sz="0" w:space="0" w:color="auto"/>
        <w:right w:val="none" w:sz="0" w:space="0" w:color="auto"/>
      </w:divBdr>
    </w:div>
    <w:div w:id="1356540100">
      <w:bodyDiv w:val="1"/>
      <w:marLeft w:val="0"/>
      <w:marRight w:val="0"/>
      <w:marTop w:val="0"/>
      <w:marBottom w:val="0"/>
      <w:divBdr>
        <w:top w:val="none" w:sz="0" w:space="0" w:color="auto"/>
        <w:left w:val="none" w:sz="0" w:space="0" w:color="auto"/>
        <w:bottom w:val="none" w:sz="0" w:space="0" w:color="auto"/>
        <w:right w:val="none" w:sz="0" w:space="0" w:color="auto"/>
      </w:divBdr>
    </w:div>
    <w:div w:id="1373798215">
      <w:bodyDiv w:val="1"/>
      <w:marLeft w:val="0"/>
      <w:marRight w:val="0"/>
      <w:marTop w:val="0"/>
      <w:marBottom w:val="0"/>
      <w:divBdr>
        <w:top w:val="none" w:sz="0" w:space="0" w:color="auto"/>
        <w:left w:val="none" w:sz="0" w:space="0" w:color="auto"/>
        <w:bottom w:val="none" w:sz="0" w:space="0" w:color="auto"/>
        <w:right w:val="none" w:sz="0" w:space="0" w:color="auto"/>
      </w:divBdr>
    </w:div>
    <w:div w:id="1387558854">
      <w:bodyDiv w:val="1"/>
      <w:marLeft w:val="0"/>
      <w:marRight w:val="0"/>
      <w:marTop w:val="0"/>
      <w:marBottom w:val="0"/>
      <w:divBdr>
        <w:top w:val="none" w:sz="0" w:space="0" w:color="auto"/>
        <w:left w:val="none" w:sz="0" w:space="0" w:color="auto"/>
        <w:bottom w:val="none" w:sz="0" w:space="0" w:color="auto"/>
        <w:right w:val="none" w:sz="0" w:space="0" w:color="auto"/>
      </w:divBdr>
    </w:div>
    <w:div w:id="1393696315">
      <w:bodyDiv w:val="1"/>
      <w:marLeft w:val="0"/>
      <w:marRight w:val="0"/>
      <w:marTop w:val="0"/>
      <w:marBottom w:val="0"/>
      <w:divBdr>
        <w:top w:val="none" w:sz="0" w:space="0" w:color="auto"/>
        <w:left w:val="none" w:sz="0" w:space="0" w:color="auto"/>
        <w:bottom w:val="none" w:sz="0" w:space="0" w:color="auto"/>
        <w:right w:val="none" w:sz="0" w:space="0" w:color="auto"/>
      </w:divBdr>
    </w:div>
    <w:div w:id="1409959256">
      <w:bodyDiv w:val="1"/>
      <w:marLeft w:val="0"/>
      <w:marRight w:val="0"/>
      <w:marTop w:val="0"/>
      <w:marBottom w:val="0"/>
      <w:divBdr>
        <w:top w:val="none" w:sz="0" w:space="0" w:color="auto"/>
        <w:left w:val="none" w:sz="0" w:space="0" w:color="auto"/>
        <w:bottom w:val="none" w:sz="0" w:space="0" w:color="auto"/>
        <w:right w:val="none" w:sz="0" w:space="0" w:color="auto"/>
      </w:divBdr>
    </w:div>
    <w:div w:id="1464420774">
      <w:bodyDiv w:val="1"/>
      <w:marLeft w:val="0"/>
      <w:marRight w:val="0"/>
      <w:marTop w:val="0"/>
      <w:marBottom w:val="0"/>
      <w:divBdr>
        <w:top w:val="none" w:sz="0" w:space="0" w:color="auto"/>
        <w:left w:val="none" w:sz="0" w:space="0" w:color="auto"/>
        <w:bottom w:val="none" w:sz="0" w:space="0" w:color="auto"/>
        <w:right w:val="none" w:sz="0" w:space="0" w:color="auto"/>
      </w:divBdr>
    </w:div>
    <w:div w:id="1482698621">
      <w:bodyDiv w:val="1"/>
      <w:marLeft w:val="0"/>
      <w:marRight w:val="0"/>
      <w:marTop w:val="0"/>
      <w:marBottom w:val="0"/>
      <w:divBdr>
        <w:top w:val="none" w:sz="0" w:space="0" w:color="auto"/>
        <w:left w:val="none" w:sz="0" w:space="0" w:color="auto"/>
        <w:bottom w:val="none" w:sz="0" w:space="0" w:color="auto"/>
        <w:right w:val="none" w:sz="0" w:space="0" w:color="auto"/>
      </w:divBdr>
    </w:div>
    <w:div w:id="1507671784">
      <w:bodyDiv w:val="1"/>
      <w:marLeft w:val="0"/>
      <w:marRight w:val="0"/>
      <w:marTop w:val="0"/>
      <w:marBottom w:val="0"/>
      <w:divBdr>
        <w:top w:val="none" w:sz="0" w:space="0" w:color="auto"/>
        <w:left w:val="none" w:sz="0" w:space="0" w:color="auto"/>
        <w:bottom w:val="none" w:sz="0" w:space="0" w:color="auto"/>
        <w:right w:val="none" w:sz="0" w:space="0" w:color="auto"/>
      </w:divBdr>
    </w:div>
    <w:div w:id="1518501644">
      <w:bodyDiv w:val="1"/>
      <w:marLeft w:val="0"/>
      <w:marRight w:val="0"/>
      <w:marTop w:val="0"/>
      <w:marBottom w:val="0"/>
      <w:divBdr>
        <w:top w:val="none" w:sz="0" w:space="0" w:color="auto"/>
        <w:left w:val="none" w:sz="0" w:space="0" w:color="auto"/>
        <w:bottom w:val="none" w:sz="0" w:space="0" w:color="auto"/>
        <w:right w:val="none" w:sz="0" w:space="0" w:color="auto"/>
      </w:divBdr>
    </w:div>
    <w:div w:id="1579359735">
      <w:bodyDiv w:val="1"/>
      <w:marLeft w:val="0"/>
      <w:marRight w:val="0"/>
      <w:marTop w:val="0"/>
      <w:marBottom w:val="0"/>
      <w:divBdr>
        <w:top w:val="none" w:sz="0" w:space="0" w:color="auto"/>
        <w:left w:val="none" w:sz="0" w:space="0" w:color="auto"/>
        <w:bottom w:val="none" w:sz="0" w:space="0" w:color="auto"/>
        <w:right w:val="none" w:sz="0" w:space="0" w:color="auto"/>
      </w:divBdr>
    </w:div>
    <w:div w:id="1587377778">
      <w:bodyDiv w:val="1"/>
      <w:marLeft w:val="0"/>
      <w:marRight w:val="0"/>
      <w:marTop w:val="0"/>
      <w:marBottom w:val="0"/>
      <w:divBdr>
        <w:top w:val="none" w:sz="0" w:space="0" w:color="auto"/>
        <w:left w:val="none" w:sz="0" w:space="0" w:color="auto"/>
        <w:bottom w:val="none" w:sz="0" w:space="0" w:color="auto"/>
        <w:right w:val="none" w:sz="0" w:space="0" w:color="auto"/>
      </w:divBdr>
    </w:div>
    <w:div w:id="1618022331">
      <w:bodyDiv w:val="1"/>
      <w:marLeft w:val="0"/>
      <w:marRight w:val="0"/>
      <w:marTop w:val="0"/>
      <w:marBottom w:val="0"/>
      <w:divBdr>
        <w:top w:val="none" w:sz="0" w:space="0" w:color="auto"/>
        <w:left w:val="none" w:sz="0" w:space="0" w:color="auto"/>
        <w:bottom w:val="none" w:sz="0" w:space="0" w:color="auto"/>
        <w:right w:val="none" w:sz="0" w:space="0" w:color="auto"/>
      </w:divBdr>
    </w:div>
    <w:div w:id="1622955285">
      <w:bodyDiv w:val="1"/>
      <w:marLeft w:val="0"/>
      <w:marRight w:val="0"/>
      <w:marTop w:val="0"/>
      <w:marBottom w:val="0"/>
      <w:divBdr>
        <w:top w:val="none" w:sz="0" w:space="0" w:color="auto"/>
        <w:left w:val="none" w:sz="0" w:space="0" w:color="auto"/>
        <w:bottom w:val="none" w:sz="0" w:space="0" w:color="auto"/>
        <w:right w:val="none" w:sz="0" w:space="0" w:color="auto"/>
      </w:divBdr>
    </w:div>
    <w:div w:id="1671366995">
      <w:bodyDiv w:val="1"/>
      <w:marLeft w:val="0"/>
      <w:marRight w:val="0"/>
      <w:marTop w:val="0"/>
      <w:marBottom w:val="0"/>
      <w:divBdr>
        <w:top w:val="none" w:sz="0" w:space="0" w:color="auto"/>
        <w:left w:val="none" w:sz="0" w:space="0" w:color="auto"/>
        <w:bottom w:val="none" w:sz="0" w:space="0" w:color="auto"/>
        <w:right w:val="none" w:sz="0" w:space="0" w:color="auto"/>
      </w:divBdr>
    </w:div>
    <w:div w:id="1683436872">
      <w:bodyDiv w:val="1"/>
      <w:marLeft w:val="0"/>
      <w:marRight w:val="0"/>
      <w:marTop w:val="0"/>
      <w:marBottom w:val="0"/>
      <w:divBdr>
        <w:top w:val="none" w:sz="0" w:space="0" w:color="auto"/>
        <w:left w:val="none" w:sz="0" w:space="0" w:color="auto"/>
        <w:bottom w:val="none" w:sz="0" w:space="0" w:color="auto"/>
        <w:right w:val="none" w:sz="0" w:space="0" w:color="auto"/>
      </w:divBdr>
    </w:div>
    <w:div w:id="1742799675">
      <w:bodyDiv w:val="1"/>
      <w:marLeft w:val="0"/>
      <w:marRight w:val="0"/>
      <w:marTop w:val="0"/>
      <w:marBottom w:val="0"/>
      <w:divBdr>
        <w:top w:val="none" w:sz="0" w:space="0" w:color="auto"/>
        <w:left w:val="none" w:sz="0" w:space="0" w:color="auto"/>
        <w:bottom w:val="none" w:sz="0" w:space="0" w:color="auto"/>
        <w:right w:val="none" w:sz="0" w:space="0" w:color="auto"/>
      </w:divBdr>
    </w:div>
    <w:div w:id="1750030640">
      <w:bodyDiv w:val="1"/>
      <w:marLeft w:val="0"/>
      <w:marRight w:val="0"/>
      <w:marTop w:val="0"/>
      <w:marBottom w:val="0"/>
      <w:divBdr>
        <w:top w:val="none" w:sz="0" w:space="0" w:color="auto"/>
        <w:left w:val="none" w:sz="0" w:space="0" w:color="auto"/>
        <w:bottom w:val="none" w:sz="0" w:space="0" w:color="auto"/>
        <w:right w:val="none" w:sz="0" w:space="0" w:color="auto"/>
      </w:divBdr>
    </w:div>
    <w:div w:id="1785348478">
      <w:bodyDiv w:val="1"/>
      <w:marLeft w:val="0"/>
      <w:marRight w:val="0"/>
      <w:marTop w:val="0"/>
      <w:marBottom w:val="0"/>
      <w:divBdr>
        <w:top w:val="none" w:sz="0" w:space="0" w:color="auto"/>
        <w:left w:val="none" w:sz="0" w:space="0" w:color="auto"/>
        <w:bottom w:val="none" w:sz="0" w:space="0" w:color="auto"/>
        <w:right w:val="none" w:sz="0" w:space="0" w:color="auto"/>
      </w:divBdr>
    </w:div>
    <w:div w:id="1797987415">
      <w:bodyDiv w:val="1"/>
      <w:marLeft w:val="0"/>
      <w:marRight w:val="0"/>
      <w:marTop w:val="0"/>
      <w:marBottom w:val="0"/>
      <w:divBdr>
        <w:top w:val="none" w:sz="0" w:space="0" w:color="auto"/>
        <w:left w:val="none" w:sz="0" w:space="0" w:color="auto"/>
        <w:bottom w:val="none" w:sz="0" w:space="0" w:color="auto"/>
        <w:right w:val="none" w:sz="0" w:space="0" w:color="auto"/>
      </w:divBdr>
    </w:div>
    <w:div w:id="1803813825">
      <w:bodyDiv w:val="1"/>
      <w:marLeft w:val="0"/>
      <w:marRight w:val="0"/>
      <w:marTop w:val="0"/>
      <w:marBottom w:val="0"/>
      <w:divBdr>
        <w:top w:val="none" w:sz="0" w:space="0" w:color="auto"/>
        <w:left w:val="none" w:sz="0" w:space="0" w:color="auto"/>
        <w:bottom w:val="none" w:sz="0" w:space="0" w:color="auto"/>
        <w:right w:val="none" w:sz="0" w:space="0" w:color="auto"/>
      </w:divBdr>
    </w:div>
    <w:div w:id="1827432106">
      <w:bodyDiv w:val="1"/>
      <w:marLeft w:val="0"/>
      <w:marRight w:val="0"/>
      <w:marTop w:val="0"/>
      <w:marBottom w:val="0"/>
      <w:divBdr>
        <w:top w:val="none" w:sz="0" w:space="0" w:color="auto"/>
        <w:left w:val="none" w:sz="0" w:space="0" w:color="auto"/>
        <w:bottom w:val="none" w:sz="0" w:space="0" w:color="auto"/>
        <w:right w:val="none" w:sz="0" w:space="0" w:color="auto"/>
      </w:divBdr>
    </w:div>
    <w:div w:id="1970739582">
      <w:bodyDiv w:val="1"/>
      <w:marLeft w:val="0"/>
      <w:marRight w:val="0"/>
      <w:marTop w:val="0"/>
      <w:marBottom w:val="0"/>
      <w:divBdr>
        <w:top w:val="none" w:sz="0" w:space="0" w:color="auto"/>
        <w:left w:val="none" w:sz="0" w:space="0" w:color="auto"/>
        <w:bottom w:val="none" w:sz="0" w:space="0" w:color="auto"/>
        <w:right w:val="none" w:sz="0" w:space="0" w:color="auto"/>
      </w:divBdr>
    </w:div>
    <w:div w:id="2041934902">
      <w:bodyDiv w:val="1"/>
      <w:marLeft w:val="0"/>
      <w:marRight w:val="0"/>
      <w:marTop w:val="0"/>
      <w:marBottom w:val="0"/>
      <w:divBdr>
        <w:top w:val="none" w:sz="0" w:space="0" w:color="auto"/>
        <w:left w:val="none" w:sz="0" w:space="0" w:color="auto"/>
        <w:bottom w:val="none" w:sz="0" w:space="0" w:color="auto"/>
        <w:right w:val="none" w:sz="0" w:space="0" w:color="auto"/>
      </w:divBdr>
    </w:div>
    <w:div w:id="2067996540">
      <w:bodyDiv w:val="1"/>
      <w:marLeft w:val="0"/>
      <w:marRight w:val="0"/>
      <w:marTop w:val="0"/>
      <w:marBottom w:val="0"/>
      <w:divBdr>
        <w:top w:val="none" w:sz="0" w:space="0" w:color="auto"/>
        <w:left w:val="none" w:sz="0" w:space="0" w:color="auto"/>
        <w:bottom w:val="none" w:sz="0" w:space="0" w:color="auto"/>
        <w:right w:val="none" w:sz="0" w:space="0" w:color="auto"/>
      </w:divBdr>
    </w:div>
    <w:div w:id="211636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b.gov.in/PressReleasePage.aspx?PRID=2149699&amp;utm_source=chatgp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6093/ijas.v92i12.12770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8047/ecb/2023.12.si4.152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5958/0974-0279.2024.00026.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958/2395-146X.2024.00056.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87448-8182-49B4-ACCC-537E56A6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12</Pages>
  <Words>4699</Words>
  <Characters>26789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TRIPATHI PRAMOD</dc:creator>
  <cp:keywords/>
  <dc:description/>
  <cp:lastModifiedBy>SDI 1084</cp:lastModifiedBy>
  <cp:revision>26</cp:revision>
  <dcterms:created xsi:type="dcterms:W3CDTF">2025-12-16T17:54:00Z</dcterms:created>
  <dcterms:modified xsi:type="dcterms:W3CDTF">2026-01-20T09:52:00Z</dcterms:modified>
</cp:coreProperties>
</file>