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B5CD6" w14:textId="77777777" w:rsidR="00EF4248" w:rsidRDefault="00EF4248" w:rsidP="00DA5586">
      <w:pPr>
        <w:jc w:val="center"/>
        <w:rPr>
          <w:rFonts w:ascii="Times New Roman" w:hAnsi="Times New Roman" w:cs="Times New Roman"/>
          <w:b/>
          <w:bCs/>
          <w:iCs/>
          <w:sz w:val="28"/>
          <w:szCs w:val="24"/>
        </w:rPr>
      </w:pPr>
      <w:r w:rsidRPr="00EF4248">
        <w:rPr>
          <w:rFonts w:ascii="Times New Roman" w:hAnsi="Times New Roman" w:cs="Times New Roman"/>
          <w:b/>
          <w:bCs/>
          <w:iCs/>
          <w:sz w:val="28"/>
          <w:szCs w:val="24"/>
        </w:rPr>
        <w:t>Impact of Cultivation Practices on Growth, Yield, and Profitability of King Chilli (</w:t>
      </w:r>
      <w:proofErr w:type="spellStart"/>
      <w:r w:rsidRPr="00EF4248">
        <w:rPr>
          <w:rFonts w:ascii="Times New Roman" w:hAnsi="Times New Roman" w:cs="Times New Roman"/>
          <w:b/>
          <w:bCs/>
          <w:iCs/>
          <w:sz w:val="28"/>
          <w:szCs w:val="24"/>
        </w:rPr>
        <w:t>Bhut</w:t>
      </w:r>
      <w:proofErr w:type="spellEnd"/>
      <w:r w:rsidRPr="00EF4248">
        <w:rPr>
          <w:rFonts w:ascii="Times New Roman" w:hAnsi="Times New Roman" w:cs="Times New Roman"/>
          <w:b/>
          <w:bCs/>
          <w:iCs/>
          <w:sz w:val="28"/>
          <w:szCs w:val="24"/>
        </w:rPr>
        <w:t xml:space="preserve"> </w:t>
      </w:r>
      <w:proofErr w:type="spellStart"/>
      <w:r w:rsidRPr="00EF4248">
        <w:rPr>
          <w:rFonts w:ascii="Times New Roman" w:hAnsi="Times New Roman" w:cs="Times New Roman"/>
          <w:b/>
          <w:bCs/>
          <w:iCs/>
          <w:sz w:val="28"/>
          <w:szCs w:val="24"/>
        </w:rPr>
        <w:t>Jolokia</w:t>
      </w:r>
      <w:proofErr w:type="spellEnd"/>
      <w:r w:rsidRPr="00EF4248">
        <w:rPr>
          <w:rFonts w:ascii="Times New Roman" w:hAnsi="Times New Roman" w:cs="Times New Roman"/>
          <w:b/>
          <w:bCs/>
          <w:iCs/>
          <w:sz w:val="28"/>
          <w:szCs w:val="24"/>
        </w:rPr>
        <w:t xml:space="preserve">) in </w:t>
      </w:r>
      <w:proofErr w:type="spellStart"/>
      <w:r>
        <w:rPr>
          <w:rFonts w:ascii="Times New Roman" w:hAnsi="Times New Roman" w:cs="Times New Roman"/>
          <w:b/>
          <w:bCs/>
          <w:iCs/>
          <w:sz w:val="28"/>
          <w:szCs w:val="24"/>
        </w:rPr>
        <w:t>Darrang</w:t>
      </w:r>
      <w:proofErr w:type="spellEnd"/>
      <w:r>
        <w:rPr>
          <w:rFonts w:ascii="Times New Roman" w:hAnsi="Times New Roman" w:cs="Times New Roman"/>
          <w:b/>
          <w:bCs/>
          <w:iCs/>
          <w:sz w:val="28"/>
          <w:szCs w:val="24"/>
        </w:rPr>
        <w:t xml:space="preserve"> district of Assam</w:t>
      </w:r>
    </w:p>
    <w:p w14:paraId="0853EACC" w14:textId="36148709" w:rsidR="00DA5586" w:rsidRDefault="00DA5586" w:rsidP="00DA5586">
      <w:pPr>
        <w:spacing w:after="0"/>
        <w:jc w:val="both"/>
        <w:rPr>
          <w:rFonts w:ascii="Times New Roman" w:hAnsi="Times New Roman" w:cs="Times New Roman"/>
          <w:bCs/>
          <w:sz w:val="24"/>
          <w:szCs w:val="24"/>
        </w:rPr>
      </w:pPr>
    </w:p>
    <w:p w14:paraId="4C8D2216" w14:textId="77777777" w:rsidR="00170C4B" w:rsidRPr="00DA5586" w:rsidRDefault="00170C4B" w:rsidP="00DA5586">
      <w:pPr>
        <w:spacing w:after="0"/>
        <w:jc w:val="both"/>
        <w:rPr>
          <w:rFonts w:ascii="Times New Roman" w:hAnsi="Times New Roman" w:cs="Times New Roman"/>
          <w:bCs/>
          <w:sz w:val="24"/>
          <w:szCs w:val="24"/>
        </w:rPr>
      </w:pPr>
    </w:p>
    <w:p w14:paraId="16633E72" w14:textId="77777777" w:rsidR="005133E8" w:rsidRPr="00477A54" w:rsidRDefault="00477A54" w:rsidP="005133E8">
      <w:pPr>
        <w:jc w:val="both"/>
        <w:rPr>
          <w:rFonts w:ascii="Times New Roman" w:hAnsi="Times New Roman" w:cs="Times New Roman"/>
          <w:b/>
          <w:bCs/>
          <w:sz w:val="24"/>
          <w:szCs w:val="24"/>
          <w:u w:val="single"/>
        </w:rPr>
      </w:pPr>
      <w:r w:rsidRPr="00477A54">
        <w:rPr>
          <w:rFonts w:ascii="Times New Roman" w:hAnsi="Times New Roman" w:cs="Times New Roman"/>
          <w:b/>
          <w:bCs/>
          <w:sz w:val="24"/>
          <w:szCs w:val="24"/>
          <w:u w:val="single"/>
        </w:rPr>
        <w:t>ABSTRACT</w:t>
      </w:r>
    </w:p>
    <w:p w14:paraId="785F66F0" w14:textId="77777777" w:rsidR="005133E8" w:rsidRPr="005133E8" w:rsidRDefault="005133E8" w:rsidP="005133E8">
      <w:pPr>
        <w:jc w:val="both"/>
        <w:rPr>
          <w:rFonts w:ascii="Times New Roman" w:hAnsi="Times New Roman" w:cs="Times New Roman"/>
          <w:bCs/>
          <w:sz w:val="24"/>
          <w:szCs w:val="24"/>
        </w:rPr>
      </w:pPr>
      <w:r w:rsidRPr="005133E8">
        <w:rPr>
          <w:rFonts w:ascii="Times New Roman" w:hAnsi="Times New Roman" w:cs="Times New Roman"/>
          <w:bCs/>
          <w:sz w:val="24"/>
          <w:szCs w:val="24"/>
        </w:rPr>
        <w:t xml:space="preserve">This study investigated the influence of cultivation practices on the growth, yield, and economic viability of King </w:t>
      </w:r>
      <w:proofErr w:type="spellStart"/>
      <w:r w:rsidRPr="005133E8">
        <w:rPr>
          <w:rFonts w:ascii="Times New Roman" w:hAnsi="Times New Roman" w:cs="Times New Roman"/>
          <w:bCs/>
          <w:sz w:val="24"/>
          <w:szCs w:val="24"/>
        </w:rPr>
        <w:t>chilli</w:t>
      </w:r>
      <w:proofErr w:type="spellEnd"/>
      <w:r w:rsidRPr="005133E8">
        <w:rPr>
          <w:rFonts w:ascii="Times New Roman" w:hAnsi="Times New Roman" w:cs="Times New Roman"/>
          <w:bCs/>
          <w:sz w:val="24"/>
          <w:szCs w:val="24"/>
        </w:rPr>
        <w:t xml:space="preserve"> (</w:t>
      </w:r>
      <w:r w:rsidRPr="005133E8">
        <w:rPr>
          <w:rFonts w:ascii="Times New Roman" w:hAnsi="Times New Roman" w:cs="Times New Roman"/>
          <w:bCs/>
          <w:i/>
          <w:iCs/>
          <w:sz w:val="24"/>
          <w:szCs w:val="24"/>
        </w:rPr>
        <w:t xml:space="preserve">Capsicum </w:t>
      </w:r>
      <w:proofErr w:type="spellStart"/>
      <w:r w:rsidRPr="005133E8">
        <w:rPr>
          <w:rFonts w:ascii="Times New Roman" w:hAnsi="Times New Roman" w:cs="Times New Roman"/>
          <w:bCs/>
          <w:i/>
          <w:iCs/>
          <w:sz w:val="24"/>
          <w:szCs w:val="24"/>
        </w:rPr>
        <w:t>chinense</w:t>
      </w:r>
      <w:proofErr w:type="spellEnd"/>
      <w:r w:rsidRPr="005133E8">
        <w:rPr>
          <w:rFonts w:ascii="Times New Roman" w:hAnsi="Times New Roman" w:cs="Times New Roman"/>
          <w:bCs/>
          <w:sz w:val="24"/>
          <w:szCs w:val="24"/>
        </w:rPr>
        <w:t xml:space="preserve"> Jacq.) under subtropical conditions in </w:t>
      </w:r>
      <w:proofErr w:type="spellStart"/>
      <w:r w:rsidRPr="005133E8">
        <w:rPr>
          <w:rFonts w:ascii="Times New Roman" w:hAnsi="Times New Roman" w:cs="Times New Roman"/>
          <w:bCs/>
          <w:sz w:val="24"/>
          <w:szCs w:val="24"/>
        </w:rPr>
        <w:t>Darrang</w:t>
      </w:r>
      <w:proofErr w:type="spellEnd"/>
      <w:r w:rsidRPr="005133E8">
        <w:rPr>
          <w:rFonts w:ascii="Times New Roman" w:hAnsi="Times New Roman" w:cs="Times New Roman"/>
          <w:bCs/>
          <w:sz w:val="24"/>
          <w:szCs w:val="24"/>
        </w:rPr>
        <w:t xml:space="preserve"> district, Assam. The field experiment, conducted during the </w:t>
      </w:r>
      <w:r w:rsidRPr="005133E8">
        <w:rPr>
          <w:rFonts w:ascii="Times New Roman" w:hAnsi="Times New Roman" w:cs="Times New Roman"/>
          <w:bCs/>
          <w:i/>
          <w:iCs/>
          <w:sz w:val="24"/>
          <w:szCs w:val="24"/>
        </w:rPr>
        <w:t>rabi</w:t>
      </w:r>
      <w:r w:rsidRPr="005133E8">
        <w:rPr>
          <w:rFonts w:ascii="Times New Roman" w:hAnsi="Times New Roman" w:cs="Times New Roman"/>
          <w:bCs/>
          <w:sz w:val="24"/>
          <w:szCs w:val="24"/>
        </w:rPr>
        <w:t xml:space="preserve"> season of 2022–23 at Krishi Vigyan Kendra (KVK), </w:t>
      </w:r>
      <w:r w:rsidR="00BE0962">
        <w:rPr>
          <w:rFonts w:ascii="Times New Roman" w:hAnsi="Times New Roman" w:cs="Times New Roman"/>
          <w:bCs/>
          <w:sz w:val="24"/>
          <w:szCs w:val="24"/>
        </w:rPr>
        <w:t xml:space="preserve">Darang, </w:t>
      </w:r>
      <w:r w:rsidRPr="005133E8">
        <w:rPr>
          <w:rFonts w:ascii="Times New Roman" w:hAnsi="Times New Roman" w:cs="Times New Roman"/>
          <w:bCs/>
          <w:sz w:val="24"/>
          <w:szCs w:val="24"/>
        </w:rPr>
        <w:t>employed a Randomized Block Design (RBD) with five replications and three treatments: (T1) open-field cultivation with 100% RDF (Recommended Dose of Fertilizers), (T2) polyhouse cultivation with 100% RDF, and (T3) open-field cultivation without RDF.</w:t>
      </w:r>
    </w:p>
    <w:p w14:paraId="7EFD08FC" w14:textId="77777777" w:rsidR="005133E8" w:rsidRPr="005133E8" w:rsidRDefault="005133E8" w:rsidP="005133E8">
      <w:pPr>
        <w:jc w:val="both"/>
        <w:rPr>
          <w:rFonts w:ascii="Times New Roman" w:hAnsi="Times New Roman" w:cs="Times New Roman"/>
          <w:bCs/>
          <w:sz w:val="24"/>
          <w:szCs w:val="24"/>
        </w:rPr>
      </w:pPr>
      <w:r w:rsidRPr="005133E8">
        <w:rPr>
          <w:rFonts w:ascii="Times New Roman" w:hAnsi="Times New Roman" w:cs="Times New Roman"/>
          <w:bCs/>
          <w:sz w:val="24"/>
          <w:szCs w:val="24"/>
        </w:rPr>
        <w:t>Results demonstrated that T2 (polyhouse + 100% RDF) significantly enhanced both vegetative and reproductive performance, producing the tallest plants (98.54 cm), longest leaves (9.32 cm), highest leaf count (117.50), and superior fruit dimensions (length: 5.90 cm; diameter: 3.11 cm; weight: 5.92 g). This treatment also induced earlier phenological development, with first flowering at 81.50 days after transplanting (DAT) and 50% flowering at 97.20 DAT, culminating in the highest fruit yield (3.10 quintals). In contrast, T3 (open-field without RDF) exhibited the poorest outcomes, with stunted growth (62.72 cm plant height), reduced leaf production (98.81 leaves), and diminished yield (1.77 quintals), underscoring the indispensable role of balanced fertilization.</w:t>
      </w:r>
    </w:p>
    <w:p w14:paraId="4C4E98DE" w14:textId="77777777" w:rsidR="005133E8" w:rsidRPr="005133E8" w:rsidRDefault="005133E8" w:rsidP="005133E8">
      <w:pPr>
        <w:jc w:val="both"/>
        <w:rPr>
          <w:rFonts w:ascii="Times New Roman" w:hAnsi="Times New Roman" w:cs="Times New Roman"/>
          <w:bCs/>
          <w:sz w:val="24"/>
          <w:szCs w:val="24"/>
        </w:rPr>
      </w:pPr>
      <w:r w:rsidRPr="005133E8">
        <w:rPr>
          <w:rFonts w:ascii="Times New Roman" w:hAnsi="Times New Roman" w:cs="Times New Roman"/>
          <w:bCs/>
          <w:sz w:val="24"/>
          <w:szCs w:val="24"/>
        </w:rPr>
        <w:t>Economic analysis revealed a notable divergence between agronomic superiority and financial feasibility. While T2 maximized yield, T1 (open-field + 100% RDF) delivered the highest net income (</w:t>
      </w:r>
      <w:r w:rsidR="00477A54">
        <w:rPr>
          <w:rFonts w:ascii="Times New Roman" w:hAnsi="Times New Roman" w:cs="Times New Roman"/>
          <w:bCs/>
          <w:sz w:val="24"/>
          <w:szCs w:val="24"/>
        </w:rPr>
        <w:t xml:space="preserve">Rs. </w:t>
      </w:r>
      <w:r w:rsidRPr="005133E8">
        <w:rPr>
          <w:rFonts w:ascii="Times New Roman" w:hAnsi="Times New Roman" w:cs="Times New Roman"/>
          <w:bCs/>
          <w:sz w:val="24"/>
          <w:szCs w:val="24"/>
        </w:rPr>
        <w:t>29,040) and benefit-cost ratio (2.14), attributable to lower production costs. The polyhouse system (T2), despite its yield advantage, yielded a lower B:C ratio (1.88) due to elevated infrastructure expenses.</w:t>
      </w:r>
    </w:p>
    <w:p w14:paraId="7E4B5715" w14:textId="77777777" w:rsidR="008F6A97" w:rsidRDefault="005133E8" w:rsidP="0050255A">
      <w:pPr>
        <w:jc w:val="both"/>
        <w:rPr>
          <w:rFonts w:ascii="Times New Roman" w:hAnsi="Times New Roman" w:cs="Times New Roman"/>
          <w:bCs/>
          <w:sz w:val="24"/>
          <w:szCs w:val="24"/>
        </w:rPr>
      </w:pPr>
      <w:r w:rsidRPr="005133E8">
        <w:rPr>
          <w:rFonts w:ascii="Times New Roman" w:hAnsi="Times New Roman" w:cs="Times New Roman"/>
          <w:bCs/>
          <w:sz w:val="24"/>
          <w:szCs w:val="24"/>
        </w:rPr>
        <w:t xml:space="preserve">These findings highlight the trade-off between yield optimization and economic sustainability in King </w:t>
      </w:r>
      <w:proofErr w:type="spellStart"/>
      <w:r w:rsidRPr="005133E8">
        <w:rPr>
          <w:rFonts w:ascii="Times New Roman" w:hAnsi="Times New Roman" w:cs="Times New Roman"/>
          <w:bCs/>
          <w:sz w:val="24"/>
          <w:szCs w:val="24"/>
        </w:rPr>
        <w:t>chilli</w:t>
      </w:r>
      <w:proofErr w:type="spellEnd"/>
      <w:r w:rsidRPr="005133E8">
        <w:rPr>
          <w:rFonts w:ascii="Times New Roman" w:hAnsi="Times New Roman" w:cs="Times New Roman"/>
          <w:bCs/>
          <w:sz w:val="24"/>
          <w:szCs w:val="24"/>
        </w:rPr>
        <w:t xml:space="preserve"> cultivation. The study advocates for context-specific adoption—polyhouse systems for maximizing productivity where resources permit, and RDF-supplemented open-field cultivation for economically constrained growers. Future research should explore low-cost protected structures and precision nutrient management to bridge this gap.</w:t>
      </w:r>
    </w:p>
    <w:p w14:paraId="2B58CA0D" w14:textId="77777777" w:rsidR="005133E8" w:rsidRDefault="008F6A97" w:rsidP="0050255A">
      <w:pPr>
        <w:jc w:val="both"/>
        <w:rPr>
          <w:rFonts w:ascii="Times New Roman" w:hAnsi="Times New Roman" w:cs="Times New Roman"/>
          <w:bCs/>
          <w:iCs/>
          <w:sz w:val="24"/>
          <w:szCs w:val="24"/>
        </w:rPr>
      </w:pPr>
      <w:r w:rsidRPr="00BE0962">
        <w:rPr>
          <w:rFonts w:ascii="Times New Roman" w:hAnsi="Times New Roman" w:cs="Times New Roman"/>
          <w:b/>
          <w:bCs/>
          <w:i/>
          <w:iCs/>
          <w:sz w:val="24"/>
          <w:szCs w:val="24"/>
        </w:rPr>
        <w:t>Keywords</w:t>
      </w:r>
      <w:r w:rsidRPr="00BE0962">
        <w:rPr>
          <w:rFonts w:ascii="Times New Roman" w:hAnsi="Times New Roman" w:cs="Times New Roman"/>
          <w:bCs/>
          <w:i/>
          <w:iCs/>
          <w:sz w:val="24"/>
          <w:szCs w:val="24"/>
        </w:rPr>
        <w:t xml:space="preserve">: </w:t>
      </w:r>
      <w:r w:rsidRPr="008F6A97">
        <w:rPr>
          <w:rFonts w:ascii="Times New Roman" w:hAnsi="Times New Roman" w:cs="Times New Roman"/>
          <w:bCs/>
          <w:iCs/>
          <w:sz w:val="24"/>
          <w:szCs w:val="24"/>
        </w:rPr>
        <w:t xml:space="preserve">King </w:t>
      </w:r>
      <w:proofErr w:type="spellStart"/>
      <w:r w:rsidRPr="008F6A97">
        <w:rPr>
          <w:rFonts w:ascii="Times New Roman" w:hAnsi="Times New Roman" w:cs="Times New Roman"/>
          <w:bCs/>
          <w:iCs/>
          <w:sz w:val="24"/>
          <w:szCs w:val="24"/>
        </w:rPr>
        <w:t>chilli</w:t>
      </w:r>
      <w:proofErr w:type="spellEnd"/>
      <w:r w:rsidRPr="008F6A97">
        <w:rPr>
          <w:rFonts w:ascii="Times New Roman" w:hAnsi="Times New Roman" w:cs="Times New Roman"/>
          <w:bCs/>
          <w:iCs/>
          <w:sz w:val="24"/>
          <w:szCs w:val="24"/>
        </w:rPr>
        <w:t xml:space="preserve">, </w:t>
      </w:r>
      <w:proofErr w:type="spellStart"/>
      <w:r w:rsidRPr="008F6A97">
        <w:rPr>
          <w:rFonts w:ascii="Times New Roman" w:hAnsi="Times New Roman" w:cs="Times New Roman"/>
          <w:bCs/>
          <w:iCs/>
          <w:sz w:val="24"/>
          <w:szCs w:val="24"/>
        </w:rPr>
        <w:t>polyhouse</w:t>
      </w:r>
      <w:proofErr w:type="spellEnd"/>
      <w:r w:rsidRPr="008F6A97">
        <w:rPr>
          <w:rFonts w:ascii="Times New Roman" w:hAnsi="Times New Roman" w:cs="Times New Roman"/>
          <w:bCs/>
          <w:iCs/>
          <w:sz w:val="24"/>
          <w:szCs w:val="24"/>
        </w:rPr>
        <w:t xml:space="preserve"> cultivation, yield optimization, economic trade-offs, sustainable agriculture</w:t>
      </w:r>
    </w:p>
    <w:p w14:paraId="084C0D4C" w14:textId="5D617A36" w:rsidR="003D17F2" w:rsidRDefault="003D17F2" w:rsidP="0050255A">
      <w:pPr>
        <w:jc w:val="both"/>
        <w:rPr>
          <w:rFonts w:ascii="Times New Roman" w:hAnsi="Times New Roman" w:cs="Times New Roman"/>
          <w:bCs/>
          <w:sz w:val="24"/>
          <w:szCs w:val="24"/>
        </w:rPr>
      </w:pPr>
    </w:p>
    <w:p w14:paraId="7F9A49BF" w14:textId="5D0C2650" w:rsidR="00170C4B" w:rsidRDefault="00170C4B" w:rsidP="0050255A">
      <w:pPr>
        <w:jc w:val="both"/>
        <w:rPr>
          <w:rFonts w:ascii="Times New Roman" w:hAnsi="Times New Roman" w:cs="Times New Roman"/>
          <w:bCs/>
          <w:sz w:val="24"/>
          <w:szCs w:val="24"/>
        </w:rPr>
      </w:pPr>
    </w:p>
    <w:p w14:paraId="3626A3B4" w14:textId="77777777" w:rsidR="00170C4B" w:rsidRPr="008F6A97" w:rsidRDefault="00170C4B" w:rsidP="0050255A">
      <w:pPr>
        <w:jc w:val="both"/>
        <w:rPr>
          <w:rFonts w:ascii="Times New Roman" w:hAnsi="Times New Roman" w:cs="Times New Roman"/>
          <w:bCs/>
          <w:sz w:val="24"/>
          <w:szCs w:val="24"/>
        </w:rPr>
      </w:pPr>
      <w:bookmarkStart w:id="0" w:name="_GoBack"/>
      <w:bookmarkEnd w:id="0"/>
    </w:p>
    <w:p w14:paraId="68A6D567" w14:textId="77777777" w:rsidR="0050255A" w:rsidRPr="00477A54" w:rsidRDefault="00477A54" w:rsidP="0050255A">
      <w:pPr>
        <w:jc w:val="both"/>
        <w:rPr>
          <w:rFonts w:ascii="Times New Roman" w:hAnsi="Times New Roman" w:cs="Times New Roman"/>
          <w:b/>
          <w:bCs/>
          <w:sz w:val="24"/>
          <w:szCs w:val="24"/>
          <w:u w:val="single"/>
        </w:rPr>
      </w:pPr>
      <w:r w:rsidRPr="00477A54">
        <w:rPr>
          <w:rFonts w:ascii="Times New Roman" w:hAnsi="Times New Roman" w:cs="Times New Roman"/>
          <w:b/>
          <w:bCs/>
          <w:sz w:val="24"/>
          <w:szCs w:val="24"/>
          <w:u w:val="single"/>
        </w:rPr>
        <w:t>INTRODUCTION</w:t>
      </w:r>
    </w:p>
    <w:p w14:paraId="6355C47B" w14:textId="77777777" w:rsidR="0050255A" w:rsidRPr="0050255A" w:rsidRDefault="0050255A" w:rsidP="0050255A">
      <w:pPr>
        <w:jc w:val="both"/>
        <w:rPr>
          <w:rFonts w:ascii="Times New Roman" w:hAnsi="Times New Roman" w:cs="Times New Roman"/>
          <w:sz w:val="24"/>
          <w:szCs w:val="24"/>
        </w:rPr>
      </w:pPr>
      <w:r w:rsidRPr="0050255A">
        <w:rPr>
          <w:rFonts w:ascii="Times New Roman" w:hAnsi="Times New Roman" w:cs="Times New Roman"/>
          <w:sz w:val="24"/>
          <w:szCs w:val="24"/>
        </w:rPr>
        <w:t xml:space="preserve">King </w:t>
      </w:r>
      <w:proofErr w:type="spellStart"/>
      <w:r w:rsidRPr="0050255A">
        <w:rPr>
          <w:rFonts w:ascii="Times New Roman" w:hAnsi="Times New Roman" w:cs="Times New Roman"/>
          <w:sz w:val="24"/>
          <w:szCs w:val="24"/>
        </w:rPr>
        <w:t>chilli</w:t>
      </w:r>
      <w:proofErr w:type="spellEnd"/>
      <w:r w:rsidRPr="0050255A">
        <w:rPr>
          <w:rFonts w:ascii="Times New Roman" w:hAnsi="Times New Roman" w:cs="Times New Roman"/>
          <w:sz w:val="24"/>
          <w:szCs w:val="24"/>
        </w:rPr>
        <w:t xml:space="preserve"> (</w:t>
      </w:r>
      <w:r w:rsidRPr="00477A54">
        <w:rPr>
          <w:rFonts w:ascii="Times New Roman" w:hAnsi="Times New Roman" w:cs="Times New Roman"/>
          <w:i/>
          <w:sz w:val="24"/>
          <w:szCs w:val="24"/>
        </w:rPr>
        <w:t xml:space="preserve">Capsicum </w:t>
      </w:r>
      <w:proofErr w:type="spellStart"/>
      <w:r w:rsidRPr="00477A54">
        <w:rPr>
          <w:rFonts w:ascii="Times New Roman" w:hAnsi="Times New Roman" w:cs="Times New Roman"/>
          <w:i/>
          <w:sz w:val="24"/>
          <w:szCs w:val="24"/>
        </w:rPr>
        <w:t>chinense</w:t>
      </w:r>
      <w:proofErr w:type="spellEnd"/>
      <w:r w:rsidRPr="00477A54">
        <w:rPr>
          <w:rFonts w:ascii="Times New Roman" w:hAnsi="Times New Roman" w:cs="Times New Roman"/>
          <w:i/>
          <w:sz w:val="24"/>
          <w:szCs w:val="24"/>
        </w:rPr>
        <w:t xml:space="preserve"> Jacq</w:t>
      </w:r>
      <w:r w:rsidRPr="0050255A">
        <w:rPr>
          <w:rFonts w:ascii="Times New Roman" w:hAnsi="Times New Roman" w:cs="Times New Roman"/>
          <w:sz w:val="24"/>
          <w:szCs w:val="24"/>
        </w:rPr>
        <w:t xml:space="preserve">.), known locally as Bhut Jolokia, has garnered global recognition as one of the world's hottest peppers, with Scoville Heat Units exceeding one million (Bosland &amp; Baral, 2007). This indigenous crop of Northeast India holds profound cultural and economic significance, particularly in Assam where it is extensively used in traditional cuisine and medicinal preparations (Mathur </w:t>
      </w:r>
      <w:r w:rsidRPr="00B22B83">
        <w:rPr>
          <w:rFonts w:ascii="Times New Roman" w:hAnsi="Times New Roman" w:cs="Times New Roman"/>
          <w:i/>
          <w:sz w:val="24"/>
          <w:szCs w:val="24"/>
        </w:rPr>
        <w:t>et al</w:t>
      </w:r>
      <w:r w:rsidRPr="0050255A">
        <w:rPr>
          <w:rFonts w:ascii="Times New Roman" w:hAnsi="Times New Roman" w:cs="Times New Roman"/>
          <w:sz w:val="24"/>
          <w:szCs w:val="24"/>
        </w:rPr>
        <w:t xml:space="preserve">., 2010). The fruits are valued not only for their extreme pungency but also for their rich phytochemical profile, containing exceptionally high levels of </w:t>
      </w:r>
      <w:proofErr w:type="spellStart"/>
      <w:r w:rsidRPr="0050255A">
        <w:rPr>
          <w:rFonts w:ascii="Times New Roman" w:hAnsi="Times New Roman" w:cs="Times New Roman"/>
          <w:sz w:val="24"/>
          <w:szCs w:val="24"/>
        </w:rPr>
        <w:t>capsaicinoids</w:t>
      </w:r>
      <w:proofErr w:type="spellEnd"/>
      <w:r w:rsidRPr="0050255A">
        <w:rPr>
          <w:rFonts w:ascii="Times New Roman" w:hAnsi="Times New Roman" w:cs="Times New Roman"/>
          <w:sz w:val="24"/>
          <w:szCs w:val="24"/>
        </w:rPr>
        <w:t xml:space="preserve">, flavonoids, and vitamins A and C, which surpass those found in common vegetables like tomato and brinjal (Bora, 2000; Gurung </w:t>
      </w:r>
      <w:r w:rsidRPr="00B22B83">
        <w:rPr>
          <w:rFonts w:ascii="Times New Roman" w:hAnsi="Times New Roman" w:cs="Times New Roman"/>
          <w:i/>
          <w:sz w:val="24"/>
          <w:szCs w:val="24"/>
        </w:rPr>
        <w:t>et al</w:t>
      </w:r>
      <w:r w:rsidRPr="0050255A">
        <w:rPr>
          <w:rFonts w:ascii="Times New Roman" w:hAnsi="Times New Roman" w:cs="Times New Roman"/>
          <w:sz w:val="24"/>
          <w:szCs w:val="24"/>
        </w:rPr>
        <w:t xml:space="preserve">., 2012). These attributes have led to growing international demand, particularly from the food processing, pharmaceutical, and defense industries (Purkayastha </w:t>
      </w:r>
      <w:r w:rsidRPr="00B22B83">
        <w:rPr>
          <w:rFonts w:ascii="Times New Roman" w:hAnsi="Times New Roman" w:cs="Times New Roman"/>
          <w:i/>
          <w:sz w:val="24"/>
          <w:szCs w:val="24"/>
        </w:rPr>
        <w:t>et al</w:t>
      </w:r>
      <w:r w:rsidRPr="0050255A">
        <w:rPr>
          <w:rFonts w:ascii="Times New Roman" w:hAnsi="Times New Roman" w:cs="Times New Roman"/>
          <w:sz w:val="24"/>
          <w:szCs w:val="24"/>
        </w:rPr>
        <w:t>., 2012).</w:t>
      </w:r>
    </w:p>
    <w:p w14:paraId="6C5F8A62" w14:textId="77777777" w:rsidR="0050255A" w:rsidRPr="0050255A" w:rsidRDefault="0050255A" w:rsidP="0050255A">
      <w:pPr>
        <w:jc w:val="both"/>
        <w:rPr>
          <w:rFonts w:ascii="Times New Roman" w:hAnsi="Times New Roman" w:cs="Times New Roman"/>
          <w:sz w:val="24"/>
          <w:szCs w:val="24"/>
        </w:rPr>
      </w:pPr>
      <w:r w:rsidRPr="0050255A">
        <w:rPr>
          <w:rFonts w:ascii="Times New Roman" w:hAnsi="Times New Roman" w:cs="Times New Roman"/>
          <w:sz w:val="24"/>
          <w:szCs w:val="24"/>
        </w:rPr>
        <w:t xml:space="preserve">Despite its commercial potential, King </w:t>
      </w:r>
      <w:proofErr w:type="spellStart"/>
      <w:r w:rsidRPr="0050255A">
        <w:rPr>
          <w:rFonts w:ascii="Times New Roman" w:hAnsi="Times New Roman" w:cs="Times New Roman"/>
          <w:sz w:val="24"/>
          <w:szCs w:val="24"/>
        </w:rPr>
        <w:t>chilli</w:t>
      </w:r>
      <w:proofErr w:type="spellEnd"/>
      <w:r w:rsidRPr="0050255A">
        <w:rPr>
          <w:rFonts w:ascii="Times New Roman" w:hAnsi="Times New Roman" w:cs="Times New Roman"/>
          <w:sz w:val="24"/>
          <w:szCs w:val="24"/>
        </w:rPr>
        <w:t xml:space="preserve"> cultivation in Assam faces significant challenges that constrain productivity and farmer incomes. Traditional cultivation practices, typically as an intercrop in tea or </w:t>
      </w:r>
      <w:proofErr w:type="spellStart"/>
      <w:r w:rsidRPr="0050255A">
        <w:rPr>
          <w:rFonts w:ascii="Times New Roman" w:hAnsi="Times New Roman" w:cs="Times New Roman"/>
          <w:sz w:val="24"/>
          <w:szCs w:val="24"/>
        </w:rPr>
        <w:t>arecanut</w:t>
      </w:r>
      <w:proofErr w:type="spellEnd"/>
      <w:r w:rsidRPr="0050255A">
        <w:rPr>
          <w:rFonts w:ascii="Times New Roman" w:hAnsi="Times New Roman" w:cs="Times New Roman"/>
          <w:sz w:val="24"/>
          <w:szCs w:val="24"/>
        </w:rPr>
        <w:t xml:space="preserve"> plantations, yield merely 1.5-2.0 </w:t>
      </w:r>
      <w:proofErr w:type="spellStart"/>
      <w:r w:rsidRPr="0050255A">
        <w:rPr>
          <w:rFonts w:ascii="Times New Roman" w:hAnsi="Times New Roman" w:cs="Times New Roman"/>
          <w:sz w:val="24"/>
          <w:szCs w:val="24"/>
        </w:rPr>
        <w:t>tonnes</w:t>
      </w:r>
      <w:proofErr w:type="spellEnd"/>
      <w:r w:rsidRPr="0050255A">
        <w:rPr>
          <w:rFonts w:ascii="Times New Roman" w:hAnsi="Times New Roman" w:cs="Times New Roman"/>
          <w:sz w:val="24"/>
          <w:szCs w:val="24"/>
        </w:rPr>
        <w:t xml:space="preserve"> per hectare, far below the crop's genetic potential (Das et al., 2019). The seasonal nature of production creates acute supply-demand imbalances, with abundant availability from May to September followed by severe shortages from January to March, resulting in substantial price fluctuations (Sarma </w:t>
      </w:r>
      <w:r w:rsidRPr="00B22B83">
        <w:rPr>
          <w:rFonts w:ascii="Times New Roman" w:hAnsi="Times New Roman" w:cs="Times New Roman"/>
          <w:i/>
          <w:sz w:val="24"/>
          <w:szCs w:val="24"/>
        </w:rPr>
        <w:t>et al</w:t>
      </w:r>
      <w:r w:rsidRPr="0050255A">
        <w:rPr>
          <w:rFonts w:ascii="Times New Roman" w:hAnsi="Times New Roman" w:cs="Times New Roman"/>
          <w:sz w:val="24"/>
          <w:szCs w:val="24"/>
        </w:rPr>
        <w:t>., 2021). Furthermore, the crop's sensitivity to environmental stresses exacerbates these challenges. Unpredictable rainfall patterns, temperature extremes, and high incidence of pests (</w:t>
      </w:r>
      <w:proofErr w:type="spellStart"/>
      <w:r w:rsidRPr="0050255A">
        <w:rPr>
          <w:rFonts w:ascii="Times New Roman" w:hAnsi="Times New Roman" w:cs="Times New Roman"/>
          <w:sz w:val="24"/>
          <w:szCs w:val="24"/>
        </w:rPr>
        <w:t>Thrips</w:t>
      </w:r>
      <w:proofErr w:type="spellEnd"/>
      <w:r w:rsidRPr="0050255A">
        <w:rPr>
          <w:rFonts w:ascii="Times New Roman" w:hAnsi="Times New Roman" w:cs="Times New Roman"/>
          <w:sz w:val="24"/>
          <w:szCs w:val="24"/>
        </w:rPr>
        <w:t xml:space="preserve"> </w:t>
      </w:r>
      <w:proofErr w:type="spellStart"/>
      <w:r w:rsidRPr="0050255A">
        <w:rPr>
          <w:rFonts w:ascii="Times New Roman" w:hAnsi="Times New Roman" w:cs="Times New Roman"/>
          <w:sz w:val="24"/>
          <w:szCs w:val="24"/>
        </w:rPr>
        <w:t>tabaci</w:t>
      </w:r>
      <w:proofErr w:type="spellEnd"/>
      <w:r w:rsidRPr="0050255A">
        <w:rPr>
          <w:rFonts w:ascii="Times New Roman" w:hAnsi="Times New Roman" w:cs="Times New Roman"/>
          <w:sz w:val="24"/>
          <w:szCs w:val="24"/>
        </w:rPr>
        <w:t xml:space="preserve">) and diseases (anthracnose caused by </w:t>
      </w:r>
      <w:r w:rsidRPr="00B22B83">
        <w:rPr>
          <w:rFonts w:ascii="Times New Roman" w:hAnsi="Times New Roman" w:cs="Times New Roman"/>
          <w:i/>
          <w:sz w:val="24"/>
          <w:szCs w:val="24"/>
        </w:rPr>
        <w:t>Colletotrichum</w:t>
      </w:r>
      <w:r w:rsidRPr="0050255A">
        <w:rPr>
          <w:rFonts w:ascii="Times New Roman" w:hAnsi="Times New Roman" w:cs="Times New Roman"/>
          <w:sz w:val="24"/>
          <w:szCs w:val="24"/>
        </w:rPr>
        <w:t xml:space="preserve"> spp.) frequently lead to crop losses exceeding 30-40% (Devi </w:t>
      </w:r>
      <w:r w:rsidRPr="003E0C3C">
        <w:rPr>
          <w:rFonts w:ascii="Times New Roman" w:hAnsi="Times New Roman" w:cs="Times New Roman"/>
          <w:i/>
          <w:sz w:val="24"/>
          <w:szCs w:val="24"/>
        </w:rPr>
        <w:t>et al</w:t>
      </w:r>
      <w:r w:rsidRPr="0050255A">
        <w:rPr>
          <w:rFonts w:ascii="Times New Roman" w:hAnsi="Times New Roman" w:cs="Times New Roman"/>
          <w:sz w:val="24"/>
          <w:szCs w:val="24"/>
        </w:rPr>
        <w:t xml:space="preserve">., 2020). These production constraints are compounded by poor seed viability and lack of standardized agronomic practices tailored to regional conditions (Hazarika </w:t>
      </w:r>
      <w:r w:rsidRPr="00B22B83">
        <w:rPr>
          <w:rFonts w:ascii="Times New Roman" w:hAnsi="Times New Roman" w:cs="Times New Roman"/>
          <w:i/>
          <w:sz w:val="24"/>
          <w:szCs w:val="24"/>
        </w:rPr>
        <w:t>et al</w:t>
      </w:r>
      <w:r w:rsidRPr="0050255A">
        <w:rPr>
          <w:rFonts w:ascii="Times New Roman" w:hAnsi="Times New Roman" w:cs="Times New Roman"/>
          <w:sz w:val="24"/>
          <w:szCs w:val="24"/>
        </w:rPr>
        <w:t>., 2017).</w:t>
      </w:r>
    </w:p>
    <w:p w14:paraId="284CBA6E" w14:textId="77777777" w:rsidR="0050255A" w:rsidRPr="0050255A" w:rsidRDefault="0050255A" w:rsidP="0050255A">
      <w:pPr>
        <w:jc w:val="both"/>
        <w:rPr>
          <w:rFonts w:ascii="Times New Roman" w:hAnsi="Times New Roman" w:cs="Times New Roman"/>
          <w:sz w:val="24"/>
          <w:szCs w:val="24"/>
        </w:rPr>
      </w:pPr>
      <w:r w:rsidRPr="0050255A">
        <w:rPr>
          <w:rFonts w:ascii="Times New Roman" w:hAnsi="Times New Roman" w:cs="Times New Roman"/>
          <w:sz w:val="24"/>
          <w:szCs w:val="24"/>
        </w:rPr>
        <w:t xml:space="preserve">Protected cultivation systems, particularly polyhouse technology, offer promising solutions to these challenges. Studies across various Capsicum species have demonstrated that polyhouse cultivation can enhance productivity by 30-50% compared to open-field systems through microclimate optimization (Gautam </w:t>
      </w:r>
      <w:r w:rsidRPr="00B22B83">
        <w:rPr>
          <w:rFonts w:ascii="Times New Roman" w:hAnsi="Times New Roman" w:cs="Times New Roman"/>
          <w:i/>
          <w:sz w:val="24"/>
          <w:szCs w:val="24"/>
        </w:rPr>
        <w:t>et al</w:t>
      </w:r>
      <w:r w:rsidRPr="0050255A">
        <w:rPr>
          <w:rFonts w:ascii="Times New Roman" w:hAnsi="Times New Roman" w:cs="Times New Roman"/>
          <w:sz w:val="24"/>
          <w:szCs w:val="24"/>
        </w:rPr>
        <w:t xml:space="preserve">., 2019). By maintaining temperatures between 25-30°C and relative humidity at 60-70%, polyhouses create ideal conditions for photosynthetic activity and physiological processes while mitigating heat stress (Singh </w:t>
      </w:r>
      <w:r w:rsidRPr="00B22B83">
        <w:rPr>
          <w:rFonts w:ascii="Times New Roman" w:hAnsi="Times New Roman" w:cs="Times New Roman"/>
          <w:i/>
          <w:sz w:val="24"/>
          <w:szCs w:val="24"/>
        </w:rPr>
        <w:t>et al</w:t>
      </w:r>
      <w:r w:rsidRPr="0050255A">
        <w:rPr>
          <w:rFonts w:ascii="Times New Roman" w:hAnsi="Times New Roman" w:cs="Times New Roman"/>
          <w:sz w:val="24"/>
          <w:szCs w:val="24"/>
        </w:rPr>
        <w:t xml:space="preserve">., 2021). The physical barrier provided by polyhouses significantly reduces pest infestation and disease incidence, thereby decreasing reliance on chemical pesticides (Medhi </w:t>
      </w:r>
      <w:r w:rsidRPr="00B22B83">
        <w:rPr>
          <w:rFonts w:ascii="Times New Roman" w:hAnsi="Times New Roman" w:cs="Times New Roman"/>
          <w:i/>
          <w:sz w:val="24"/>
          <w:szCs w:val="24"/>
        </w:rPr>
        <w:t>et al</w:t>
      </w:r>
      <w:r w:rsidRPr="0050255A">
        <w:rPr>
          <w:rFonts w:ascii="Times New Roman" w:hAnsi="Times New Roman" w:cs="Times New Roman"/>
          <w:sz w:val="24"/>
          <w:szCs w:val="24"/>
        </w:rPr>
        <w:t xml:space="preserve">., 2018). Moreover, protected cultivation enables year-round production, potentially addressing the critical supply gaps during off-seasons (Kumar </w:t>
      </w:r>
      <w:r w:rsidRPr="003E0C3C">
        <w:rPr>
          <w:rFonts w:ascii="Times New Roman" w:hAnsi="Times New Roman" w:cs="Times New Roman"/>
          <w:i/>
          <w:sz w:val="24"/>
          <w:szCs w:val="24"/>
        </w:rPr>
        <w:t>et al</w:t>
      </w:r>
      <w:r w:rsidRPr="0050255A">
        <w:rPr>
          <w:rFonts w:ascii="Times New Roman" w:hAnsi="Times New Roman" w:cs="Times New Roman"/>
          <w:sz w:val="24"/>
          <w:szCs w:val="24"/>
        </w:rPr>
        <w:t xml:space="preserve">., 2020). Research on bell peppers (Capsicum annuum) in similar </w:t>
      </w:r>
      <w:proofErr w:type="spellStart"/>
      <w:r w:rsidRPr="0050255A">
        <w:rPr>
          <w:rFonts w:ascii="Times New Roman" w:hAnsi="Times New Roman" w:cs="Times New Roman"/>
          <w:sz w:val="24"/>
          <w:szCs w:val="24"/>
        </w:rPr>
        <w:t>agro</w:t>
      </w:r>
      <w:proofErr w:type="spellEnd"/>
      <w:r w:rsidRPr="0050255A">
        <w:rPr>
          <w:rFonts w:ascii="Times New Roman" w:hAnsi="Times New Roman" w:cs="Times New Roman"/>
          <w:sz w:val="24"/>
          <w:szCs w:val="24"/>
        </w:rPr>
        <w:t xml:space="preserve">-climatic zones has shown that polyhouse cultivation can advance flowering by 7-10 days and increase fruit size by 15-20% (Gautam </w:t>
      </w:r>
      <w:r w:rsidRPr="00B22B83">
        <w:rPr>
          <w:rFonts w:ascii="Times New Roman" w:hAnsi="Times New Roman" w:cs="Times New Roman"/>
          <w:i/>
          <w:sz w:val="24"/>
          <w:szCs w:val="24"/>
        </w:rPr>
        <w:t>et al</w:t>
      </w:r>
      <w:r w:rsidRPr="0050255A">
        <w:rPr>
          <w:rFonts w:ascii="Times New Roman" w:hAnsi="Times New Roman" w:cs="Times New Roman"/>
          <w:sz w:val="24"/>
          <w:szCs w:val="24"/>
        </w:rPr>
        <w:t xml:space="preserve">., 2019), suggesting comparable benefits might be achievable for King </w:t>
      </w:r>
      <w:proofErr w:type="spellStart"/>
      <w:r w:rsidRPr="0050255A">
        <w:rPr>
          <w:rFonts w:ascii="Times New Roman" w:hAnsi="Times New Roman" w:cs="Times New Roman"/>
          <w:sz w:val="24"/>
          <w:szCs w:val="24"/>
        </w:rPr>
        <w:t>chilli</w:t>
      </w:r>
      <w:proofErr w:type="spellEnd"/>
      <w:r w:rsidRPr="0050255A">
        <w:rPr>
          <w:rFonts w:ascii="Times New Roman" w:hAnsi="Times New Roman" w:cs="Times New Roman"/>
          <w:sz w:val="24"/>
          <w:szCs w:val="24"/>
        </w:rPr>
        <w:t>.</w:t>
      </w:r>
    </w:p>
    <w:p w14:paraId="2298C5EF" w14:textId="77777777" w:rsidR="0050255A" w:rsidRPr="0050255A" w:rsidRDefault="0050255A" w:rsidP="0050255A">
      <w:pPr>
        <w:jc w:val="both"/>
        <w:rPr>
          <w:rFonts w:ascii="Times New Roman" w:hAnsi="Times New Roman" w:cs="Times New Roman"/>
          <w:sz w:val="24"/>
          <w:szCs w:val="24"/>
        </w:rPr>
      </w:pPr>
      <w:r w:rsidRPr="0050255A">
        <w:rPr>
          <w:rFonts w:ascii="Times New Roman" w:hAnsi="Times New Roman" w:cs="Times New Roman"/>
          <w:sz w:val="24"/>
          <w:szCs w:val="24"/>
        </w:rPr>
        <w:lastRenderedPageBreak/>
        <w:t>Nutrient management plays an equally crucial role in realizing the full potential of protected cultivation. The recommended dose of fertilizers (RDF: N:P</w:t>
      </w:r>
      <w:r w:rsidRPr="0050255A">
        <w:rPr>
          <w:rFonts w:cs="Times New Roman"/>
          <w:sz w:val="24"/>
          <w:szCs w:val="24"/>
        </w:rPr>
        <w:t>₂</w:t>
      </w:r>
      <w:r w:rsidRPr="0050255A">
        <w:rPr>
          <w:rFonts w:ascii="Times New Roman" w:hAnsi="Times New Roman" w:cs="Times New Roman"/>
          <w:sz w:val="24"/>
          <w:szCs w:val="24"/>
        </w:rPr>
        <w:t>O</w:t>
      </w:r>
      <w:proofErr w:type="gramStart"/>
      <w:r w:rsidRPr="0050255A">
        <w:rPr>
          <w:rFonts w:cs="Times New Roman"/>
          <w:sz w:val="24"/>
          <w:szCs w:val="24"/>
        </w:rPr>
        <w:t>₅</w:t>
      </w:r>
      <w:r w:rsidRPr="0050255A">
        <w:rPr>
          <w:rFonts w:ascii="Times New Roman" w:hAnsi="Times New Roman" w:cs="Times New Roman"/>
          <w:sz w:val="24"/>
          <w:szCs w:val="24"/>
        </w:rPr>
        <w:t>:K</w:t>
      </w:r>
      <w:proofErr w:type="gramEnd"/>
      <w:r w:rsidRPr="0050255A">
        <w:rPr>
          <w:rFonts w:cs="Times New Roman"/>
          <w:sz w:val="24"/>
          <w:szCs w:val="24"/>
        </w:rPr>
        <w:t>₂</w:t>
      </w:r>
      <w:r w:rsidRPr="0050255A">
        <w:rPr>
          <w:rFonts w:ascii="Times New Roman" w:hAnsi="Times New Roman" w:cs="Times New Roman"/>
          <w:sz w:val="24"/>
          <w:szCs w:val="24"/>
        </w:rPr>
        <w:t xml:space="preserve">O = 120:60:60 kg/ha) has been established as critical for optimizing growth, flowering, and fruit development in Capsicum species (Hazarika </w:t>
      </w:r>
      <w:r w:rsidRPr="00B22B83">
        <w:rPr>
          <w:rFonts w:ascii="Times New Roman" w:hAnsi="Times New Roman" w:cs="Times New Roman"/>
          <w:i/>
          <w:sz w:val="24"/>
          <w:szCs w:val="24"/>
        </w:rPr>
        <w:t>et al</w:t>
      </w:r>
      <w:r w:rsidRPr="0050255A">
        <w:rPr>
          <w:rFonts w:ascii="Times New Roman" w:hAnsi="Times New Roman" w:cs="Times New Roman"/>
          <w:sz w:val="24"/>
          <w:szCs w:val="24"/>
        </w:rPr>
        <w:t xml:space="preserve">., 2017). Nitrogen deficiency has been linked to stunted growth and reduced leaf area, while potassium insufficiency negatively impacts fruit size and pungency (Purkayastha </w:t>
      </w:r>
      <w:r w:rsidRPr="00B22B83">
        <w:rPr>
          <w:rFonts w:ascii="Times New Roman" w:hAnsi="Times New Roman" w:cs="Times New Roman"/>
          <w:i/>
          <w:sz w:val="24"/>
          <w:szCs w:val="24"/>
        </w:rPr>
        <w:t>et al</w:t>
      </w:r>
      <w:r w:rsidRPr="0050255A">
        <w:rPr>
          <w:rFonts w:ascii="Times New Roman" w:hAnsi="Times New Roman" w:cs="Times New Roman"/>
          <w:sz w:val="24"/>
          <w:szCs w:val="24"/>
        </w:rPr>
        <w:t xml:space="preserve">., 2012). However, the interaction between protected environments and nutrient management remains poorly understood for King </w:t>
      </w:r>
      <w:proofErr w:type="spellStart"/>
      <w:r w:rsidRPr="0050255A">
        <w:rPr>
          <w:rFonts w:ascii="Times New Roman" w:hAnsi="Times New Roman" w:cs="Times New Roman"/>
          <w:sz w:val="24"/>
          <w:szCs w:val="24"/>
        </w:rPr>
        <w:t>chilli</w:t>
      </w:r>
      <w:proofErr w:type="spellEnd"/>
      <w:r w:rsidRPr="0050255A">
        <w:rPr>
          <w:rFonts w:ascii="Times New Roman" w:hAnsi="Times New Roman" w:cs="Times New Roman"/>
          <w:sz w:val="24"/>
          <w:szCs w:val="24"/>
        </w:rPr>
        <w:t xml:space="preserve">. Studies on other high-value crops like tomato and cucumber have demonstrated that polyhouse conditions can improve nutrient use efficiency by 20-25%, allowing for potential reductions in fertilizer inputs without compromising yield (Wang </w:t>
      </w:r>
      <w:r w:rsidRPr="00B22B83">
        <w:rPr>
          <w:rFonts w:ascii="Times New Roman" w:hAnsi="Times New Roman" w:cs="Times New Roman"/>
          <w:i/>
          <w:sz w:val="24"/>
          <w:szCs w:val="24"/>
        </w:rPr>
        <w:t>et al.,</w:t>
      </w:r>
      <w:r w:rsidRPr="0050255A">
        <w:rPr>
          <w:rFonts w:ascii="Times New Roman" w:hAnsi="Times New Roman" w:cs="Times New Roman"/>
          <w:sz w:val="24"/>
          <w:szCs w:val="24"/>
        </w:rPr>
        <w:t xml:space="preserve"> 2020). This highlights the need for crop-specific investigations to optimize fertilization strategies under protected cultivation.</w:t>
      </w:r>
    </w:p>
    <w:p w14:paraId="59EE2F99" w14:textId="77777777" w:rsidR="0050255A" w:rsidRPr="0050255A" w:rsidRDefault="0050255A" w:rsidP="0050255A">
      <w:pPr>
        <w:jc w:val="both"/>
        <w:rPr>
          <w:rFonts w:ascii="Times New Roman" w:hAnsi="Times New Roman" w:cs="Times New Roman"/>
          <w:sz w:val="24"/>
          <w:szCs w:val="24"/>
        </w:rPr>
      </w:pPr>
      <w:r w:rsidRPr="0050255A">
        <w:rPr>
          <w:rFonts w:ascii="Times New Roman" w:hAnsi="Times New Roman" w:cs="Times New Roman"/>
          <w:sz w:val="24"/>
          <w:szCs w:val="24"/>
        </w:rPr>
        <w:t>The economic viability of polyhouse cultivation for smallholder farmers constitutes another critical knowledge gap. While polyhouses typically yield higher returns per unit area, the substantial initial investment (</w:t>
      </w:r>
      <w:r w:rsidR="003D17F2">
        <w:rPr>
          <w:rFonts w:ascii="Times New Roman" w:hAnsi="Calibri" w:cs="Times New Roman"/>
          <w:sz w:val="24"/>
          <w:szCs w:val="24"/>
        </w:rPr>
        <w:t xml:space="preserve">Rs. </w:t>
      </w:r>
      <w:r w:rsidRPr="0050255A">
        <w:rPr>
          <w:rFonts w:ascii="Times New Roman" w:hAnsi="Times New Roman" w:cs="Times New Roman"/>
          <w:sz w:val="24"/>
          <w:szCs w:val="24"/>
        </w:rPr>
        <w:t xml:space="preserve">800-1000/m²) and maintenance costs may offset these benefits (Saikia </w:t>
      </w:r>
      <w:r w:rsidRPr="003E0C3C">
        <w:rPr>
          <w:rFonts w:ascii="Times New Roman" w:hAnsi="Times New Roman" w:cs="Times New Roman"/>
          <w:i/>
          <w:sz w:val="24"/>
          <w:szCs w:val="24"/>
        </w:rPr>
        <w:t>et al</w:t>
      </w:r>
      <w:r w:rsidRPr="0050255A">
        <w:rPr>
          <w:rFonts w:ascii="Times New Roman" w:hAnsi="Times New Roman" w:cs="Times New Roman"/>
          <w:sz w:val="24"/>
          <w:szCs w:val="24"/>
        </w:rPr>
        <w:t xml:space="preserve">., 2020). Comparative economic analyses of different cultivation systems are essential to guide farmer adoption and policy support. Previous studies on greenhouse crops in Northeast India have reported benefit-cost ratios ranging from 1.8 to 2.5, with payback periods of 2-3 years (Singh </w:t>
      </w:r>
      <w:r w:rsidRPr="003E0C3C">
        <w:rPr>
          <w:rFonts w:ascii="Times New Roman" w:hAnsi="Times New Roman" w:cs="Times New Roman"/>
          <w:i/>
          <w:sz w:val="24"/>
          <w:szCs w:val="24"/>
        </w:rPr>
        <w:t>et al</w:t>
      </w:r>
      <w:r w:rsidRPr="0050255A">
        <w:rPr>
          <w:rFonts w:ascii="Times New Roman" w:hAnsi="Times New Roman" w:cs="Times New Roman"/>
          <w:sz w:val="24"/>
          <w:szCs w:val="24"/>
        </w:rPr>
        <w:t xml:space="preserve">., 2021), but similar data for King </w:t>
      </w:r>
      <w:proofErr w:type="spellStart"/>
      <w:r w:rsidRPr="0050255A">
        <w:rPr>
          <w:rFonts w:ascii="Times New Roman" w:hAnsi="Times New Roman" w:cs="Times New Roman"/>
          <w:sz w:val="24"/>
          <w:szCs w:val="24"/>
        </w:rPr>
        <w:t>chilli</w:t>
      </w:r>
      <w:proofErr w:type="spellEnd"/>
      <w:r w:rsidRPr="0050255A">
        <w:rPr>
          <w:rFonts w:ascii="Times New Roman" w:hAnsi="Times New Roman" w:cs="Times New Roman"/>
          <w:sz w:val="24"/>
          <w:szCs w:val="24"/>
        </w:rPr>
        <w:t xml:space="preserve"> remain unavailable.</w:t>
      </w:r>
    </w:p>
    <w:p w14:paraId="21A4EF41" w14:textId="77777777" w:rsidR="0050255A" w:rsidRDefault="0050255A" w:rsidP="0050255A">
      <w:pPr>
        <w:jc w:val="both"/>
        <w:rPr>
          <w:rFonts w:ascii="Times New Roman" w:hAnsi="Times New Roman" w:cs="Times New Roman"/>
          <w:sz w:val="24"/>
          <w:szCs w:val="24"/>
        </w:rPr>
      </w:pPr>
      <w:r w:rsidRPr="0050255A">
        <w:rPr>
          <w:rFonts w:ascii="Times New Roman" w:hAnsi="Times New Roman" w:cs="Times New Roman"/>
          <w:sz w:val="24"/>
          <w:szCs w:val="24"/>
        </w:rPr>
        <w:t xml:space="preserve">This study addresses these critical gaps by systematically evaluating three cultivation practices: polyhouse with 100% RDF, open-field with 100% RDF, and open-field without RDF. The investigation examines their effects on growth parameters, yield attributes, and economic returns, while also considering practical implications for smallholder farmers in Assam. The findings will contribute to developing climate-resilient and economically viable production strategies for King </w:t>
      </w:r>
      <w:proofErr w:type="spellStart"/>
      <w:r w:rsidRPr="0050255A">
        <w:rPr>
          <w:rFonts w:ascii="Times New Roman" w:hAnsi="Times New Roman" w:cs="Times New Roman"/>
          <w:sz w:val="24"/>
          <w:szCs w:val="24"/>
        </w:rPr>
        <w:t>chilli</w:t>
      </w:r>
      <w:proofErr w:type="spellEnd"/>
      <w:r w:rsidRPr="0050255A">
        <w:rPr>
          <w:rFonts w:ascii="Times New Roman" w:hAnsi="Times New Roman" w:cs="Times New Roman"/>
          <w:sz w:val="24"/>
          <w:szCs w:val="24"/>
        </w:rPr>
        <w:t>, ultimately supporting the sustainable intensification of agriculture in Northeast India.</w:t>
      </w:r>
    </w:p>
    <w:p w14:paraId="4F7B4EF4" w14:textId="77777777" w:rsidR="00934329" w:rsidRDefault="0074143A" w:rsidP="0050255A">
      <w:pPr>
        <w:jc w:val="both"/>
        <w:rPr>
          <w:rFonts w:ascii="Times New Roman" w:hAnsi="Times New Roman" w:cs="Times New Roman"/>
          <w:sz w:val="24"/>
          <w:szCs w:val="24"/>
        </w:rPr>
      </w:pPr>
      <w:r w:rsidRPr="0074143A">
        <w:rPr>
          <w:rFonts w:ascii="Times New Roman" w:hAnsi="Times New Roman" w:cs="Times New Roman"/>
          <w:sz w:val="24"/>
          <w:szCs w:val="24"/>
        </w:rPr>
        <w:t>This study is crucial in the present time as farmers face challenges like unpredictable weather, declining soil fertility, and seasonal scarcity of King Chilli, leading to unstable incomes. With growing demand both nationally and internationally, adopting improved cultivation techniques, such as polyhouse farming, can enhance productivity, ensure off-season availability, and increase profitability. The findings will help farmers transition toward climate-resilient agriculture, policymakers develop supportive frameworks, and researchers explore further innovations in protected cultivation. In the future, these insights could pave the way for large-scale adoption of efficient farming practices, strengthening the King Chilli industry and boosting the livelihoods of farmers in Assam and beyond.</w:t>
      </w:r>
    </w:p>
    <w:p w14:paraId="4890C546" w14:textId="77777777" w:rsidR="00EE6404" w:rsidRDefault="00EE6404" w:rsidP="002C4E1E">
      <w:pPr>
        <w:jc w:val="both"/>
        <w:rPr>
          <w:rFonts w:ascii="Times New Roman" w:hAnsi="Times New Roman" w:cs="Times New Roman"/>
          <w:b/>
          <w:bCs/>
          <w:sz w:val="24"/>
          <w:szCs w:val="24"/>
          <w:u w:val="single"/>
        </w:rPr>
      </w:pPr>
    </w:p>
    <w:p w14:paraId="74ECF813" w14:textId="77777777" w:rsidR="002C4E1E" w:rsidRPr="00477A54" w:rsidRDefault="00477A54" w:rsidP="002C4E1E">
      <w:pPr>
        <w:jc w:val="both"/>
        <w:rPr>
          <w:rFonts w:ascii="Times New Roman" w:hAnsi="Times New Roman" w:cs="Times New Roman"/>
          <w:b/>
          <w:bCs/>
          <w:sz w:val="24"/>
          <w:szCs w:val="24"/>
          <w:u w:val="single"/>
        </w:rPr>
      </w:pPr>
      <w:r w:rsidRPr="00477A54">
        <w:rPr>
          <w:rFonts w:ascii="Times New Roman" w:hAnsi="Times New Roman" w:cs="Times New Roman"/>
          <w:b/>
          <w:bCs/>
          <w:sz w:val="24"/>
          <w:szCs w:val="24"/>
          <w:u w:val="single"/>
        </w:rPr>
        <w:t>MATERIALS AND METHODS</w:t>
      </w:r>
    </w:p>
    <w:p w14:paraId="41F5F573" w14:textId="77777777" w:rsidR="002C4E1E" w:rsidRPr="00477A54" w:rsidRDefault="002C4E1E" w:rsidP="00477A54">
      <w:pPr>
        <w:spacing w:after="0"/>
        <w:jc w:val="both"/>
        <w:rPr>
          <w:rFonts w:ascii="Times New Roman" w:hAnsi="Times New Roman" w:cs="Times New Roman"/>
          <w:sz w:val="24"/>
          <w:szCs w:val="24"/>
        </w:rPr>
      </w:pPr>
      <w:r w:rsidRPr="00477A54">
        <w:rPr>
          <w:rFonts w:ascii="Times New Roman" w:hAnsi="Times New Roman" w:cs="Times New Roman"/>
          <w:sz w:val="24"/>
          <w:szCs w:val="24"/>
        </w:rPr>
        <w:lastRenderedPageBreak/>
        <w:t>The experiment was conducted using a </w:t>
      </w:r>
      <w:r w:rsidRPr="00477A54">
        <w:rPr>
          <w:rFonts w:ascii="Times New Roman" w:hAnsi="Times New Roman" w:cs="Times New Roman"/>
          <w:bCs/>
          <w:sz w:val="24"/>
          <w:szCs w:val="24"/>
        </w:rPr>
        <w:t>Randomized Block Design (RBD)</w:t>
      </w:r>
      <w:r w:rsidRPr="00477A54">
        <w:rPr>
          <w:rFonts w:ascii="Times New Roman" w:hAnsi="Times New Roman" w:cs="Times New Roman"/>
          <w:sz w:val="24"/>
          <w:szCs w:val="24"/>
        </w:rPr>
        <w:t> with </w:t>
      </w:r>
      <w:r w:rsidRPr="00477A54">
        <w:rPr>
          <w:rFonts w:ascii="Times New Roman" w:hAnsi="Times New Roman" w:cs="Times New Roman"/>
          <w:bCs/>
          <w:sz w:val="24"/>
          <w:szCs w:val="24"/>
        </w:rPr>
        <w:t>three treatments</w:t>
      </w:r>
      <w:r w:rsidRPr="00477A54">
        <w:rPr>
          <w:rFonts w:ascii="Times New Roman" w:hAnsi="Times New Roman" w:cs="Times New Roman"/>
          <w:sz w:val="24"/>
          <w:szCs w:val="24"/>
        </w:rPr>
        <w:t> replicated </w:t>
      </w:r>
      <w:r w:rsidRPr="00477A54">
        <w:rPr>
          <w:rFonts w:ascii="Times New Roman" w:hAnsi="Times New Roman" w:cs="Times New Roman"/>
          <w:bCs/>
          <w:sz w:val="24"/>
          <w:szCs w:val="24"/>
        </w:rPr>
        <w:t>five times</w:t>
      </w:r>
      <w:r w:rsidRPr="00477A54">
        <w:rPr>
          <w:rFonts w:ascii="Times New Roman" w:hAnsi="Times New Roman" w:cs="Times New Roman"/>
          <w:sz w:val="24"/>
          <w:szCs w:val="24"/>
        </w:rPr>
        <w:t>, covering a </w:t>
      </w:r>
      <w:r w:rsidRPr="00477A54">
        <w:rPr>
          <w:rFonts w:ascii="Times New Roman" w:hAnsi="Times New Roman" w:cs="Times New Roman"/>
          <w:bCs/>
          <w:sz w:val="24"/>
          <w:szCs w:val="24"/>
        </w:rPr>
        <w:t>net area of 0.12 hectares</w:t>
      </w:r>
      <w:r w:rsidRPr="00477A54">
        <w:rPr>
          <w:rFonts w:ascii="Times New Roman" w:hAnsi="Times New Roman" w:cs="Times New Roman"/>
          <w:sz w:val="24"/>
          <w:szCs w:val="24"/>
        </w:rPr>
        <w:t>. The treatments were as follows:</w:t>
      </w:r>
    </w:p>
    <w:p w14:paraId="13D6230F" w14:textId="77777777" w:rsidR="002C4E1E" w:rsidRPr="00477A54" w:rsidRDefault="002C4E1E" w:rsidP="00477A54">
      <w:pPr>
        <w:numPr>
          <w:ilvl w:val="0"/>
          <w:numId w:val="2"/>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T1:</w:t>
      </w:r>
      <w:r w:rsidRPr="00477A54">
        <w:rPr>
          <w:rFonts w:ascii="Times New Roman" w:hAnsi="Times New Roman" w:cs="Times New Roman"/>
          <w:sz w:val="24"/>
          <w:szCs w:val="24"/>
        </w:rPr>
        <w:t> Open cultivation with 100% Recommended Dose of Fertilizers (RDF)</w:t>
      </w:r>
    </w:p>
    <w:p w14:paraId="190BA79B" w14:textId="77777777" w:rsidR="002C4E1E" w:rsidRPr="00477A54" w:rsidRDefault="002C4E1E" w:rsidP="00477A54">
      <w:pPr>
        <w:numPr>
          <w:ilvl w:val="0"/>
          <w:numId w:val="2"/>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T2:</w:t>
      </w:r>
      <w:r w:rsidRPr="00477A54">
        <w:rPr>
          <w:rFonts w:ascii="Times New Roman" w:hAnsi="Times New Roman" w:cs="Times New Roman"/>
          <w:sz w:val="24"/>
          <w:szCs w:val="24"/>
        </w:rPr>
        <w:t> Polyhouse cultivation with 100% RDF</w:t>
      </w:r>
    </w:p>
    <w:p w14:paraId="6F299EC7" w14:textId="77777777" w:rsidR="002C4E1E" w:rsidRDefault="002C4E1E" w:rsidP="00477A54">
      <w:pPr>
        <w:numPr>
          <w:ilvl w:val="0"/>
          <w:numId w:val="2"/>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T3:</w:t>
      </w:r>
      <w:r w:rsidRPr="00477A54">
        <w:rPr>
          <w:rFonts w:ascii="Times New Roman" w:hAnsi="Times New Roman" w:cs="Times New Roman"/>
          <w:sz w:val="24"/>
          <w:szCs w:val="24"/>
        </w:rPr>
        <w:t> Open cultivation without RDF</w:t>
      </w:r>
    </w:p>
    <w:p w14:paraId="2ABD1E59" w14:textId="77777777" w:rsidR="00477A54" w:rsidRPr="00477A54" w:rsidRDefault="00477A54" w:rsidP="00477A54">
      <w:pPr>
        <w:spacing w:after="0"/>
        <w:jc w:val="both"/>
        <w:rPr>
          <w:rFonts w:ascii="Times New Roman" w:hAnsi="Times New Roman" w:cs="Times New Roman"/>
          <w:sz w:val="24"/>
          <w:szCs w:val="24"/>
        </w:rPr>
      </w:pPr>
    </w:p>
    <w:p w14:paraId="3441FF18" w14:textId="77777777" w:rsidR="002C4E1E" w:rsidRPr="00477A54" w:rsidRDefault="002C4E1E" w:rsidP="00477A54">
      <w:pPr>
        <w:spacing w:after="0"/>
        <w:jc w:val="both"/>
        <w:rPr>
          <w:rFonts w:ascii="Times New Roman" w:hAnsi="Times New Roman" w:cs="Times New Roman"/>
          <w:b/>
          <w:bCs/>
          <w:sz w:val="24"/>
          <w:szCs w:val="24"/>
        </w:rPr>
      </w:pPr>
      <w:r w:rsidRPr="00477A54">
        <w:rPr>
          <w:rFonts w:ascii="Times New Roman" w:hAnsi="Times New Roman" w:cs="Times New Roman"/>
          <w:b/>
          <w:bCs/>
          <w:sz w:val="24"/>
          <w:szCs w:val="24"/>
        </w:rPr>
        <w:t>Growth Parameters</w:t>
      </w:r>
    </w:p>
    <w:p w14:paraId="62E40F7D" w14:textId="77777777" w:rsidR="002C4E1E" w:rsidRPr="00477A54" w:rsidRDefault="002C4E1E" w:rsidP="00477A54">
      <w:pPr>
        <w:spacing w:after="0"/>
        <w:jc w:val="both"/>
        <w:rPr>
          <w:rFonts w:ascii="Times New Roman" w:hAnsi="Times New Roman" w:cs="Times New Roman"/>
          <w:sz w:val="24"/>
          <w:szCs w:val="24"/>
        </w:rPr>
      </w:pPr>
      <w:r w:rsidRPr="00477A54">
        <w:rPr>
          <w:rFonts w:ascii="Times New Roman" w:hAnsi="Times New Roman" w:cs="Times New Roman"/>
          <w:sz w:val="24"/>
          <w:szCs w:val="24"/>
        </w:rPr>
        <w:t>Five randomly selected plants per treatment were tagged, and the following parameters were recorded at the flowering stage:</w:t>
      </w:r>
    </w:p>
    <w:p w14:paraId="62330B18" w14:textId="77777777" w:rsidR="002C4E1E" w:rsidRPr="00477A54" w:rsidRDefault="002C4E1E" w:rsidP="00477A54">
      <w:pPr>
        <w:numPr>
          <w:ilvl w:val="0"/>
          <w:numId w:val="3"/>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Plant height (cm)</w:t>
      </w:r>
    </w:p>
    <w:p w14:paraId="5B3D8C02" w14:textId="77777777" w:rsidR="002C4E1E" w:rsidRPr="00477A54" w:rsidRDefault="002C4E1E" w:rsidP="00477A54">
      <w:pPr>
        <w:numPr>
          <w:ilvl w:val="0"/>
          <w:numId w:val="3"/>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Leaf length (cm)</w:t>
      </w:r>
    </w:p>
    <w:p w14:paraId="6330FEF8" w14:textId="77777777" w:rsidR="002C4E1E" w:rsidRPr="00477A54" w:rsidRDefault="002C4E1E" w:rsidP="00477A54">
      <w:pPr>
        <w:numPr>
          <w:ilvl w:val="0"/>
          <w:numId w:val="3"/>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Number of leaves per plant</w:t>
      </w:r>
    </w:p>
    <w:p w14:paraId="69B24C8E" w14:textId="77777777" w:rsidR="00477A54" w:rsidRPr="00477A54" w:rsidRDefault="00477A54" w:rsidP="00477A54">
      <w:pPr>
        <w:spacing w:after="0"/>
        <w:jc w:val="both"/>
        <w:rPr>
          <w:rFonts w:ascii="Times New Roman" w:hAnsi="Times New Roman" w:cs="Times New Roman"/>
          <w:sz w:val="24"/>
          <w:szCs w:val="24"/>
        </w:rPr>
      </w:pPr>
    </w:p>
    <w:p w14:paraId="782FC2F7" w14:textId="77777777" w:rsidR="002C4E1E" w:rsidRPr="00477A54" w:rsidRDefault="002C4E1E" w:rsidP="00477A54">
      <w:pPr>
        <w:spacing w:after="0"/>
        <w:jc w:val="both"/>
        <w:rPr>
          <w:rFonts w:ascii="Times New Roman" w:hAnsi="Times New Roman" w:cs="Times New Roman"/>
          <w:b/>
          <w:bCs/>
          <w:sz w:val="24"/>
          <w:szCs w:val="24"/>
        </w:rPr>
      </w:pPr>
      <w:r w:rsidRPr="00477A54">
        <w:rPr>
          <w:rFonts w:ascii="Times New Roman" w:hAnsi="Times New Roman" w:cs="Times New Roman"/>
          <w:b/>
          <w:bCs/>
          <w:sz w:val="24"/>
          <w:szCs w:val="24"/>
        </w:rPr>
        <w:t>Phenological Observations</w:t>
      </w:r>
    </w:p>
    <w:p w14:paraId="5B5786B3" w14:textId="77777777" w:rsidR="002C4E1E" w:rsidRPr="00477A54" w:rsidRDefault="002C4E1E" w:rsidP="00477A54">
      <w:pPr>
        <w:numPr>
          <w:ilvl w:val="0"/>
          <w:numId w:val="4"/>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Days to first flowering:</w:t>
      </w:r>
      <w:r w:rsidRPr="00477A54">
        <w:rPr>
          <w:rFonts w:ascii="Times New Roman" w:hAnsi="Times New Roman" w:cs="Times New Roman"/>
          <w:sz w:val="24"/>
          <w:szCs w:val="24"/>
        </w:rPr>
        <w:t> Recorded from transplanting until the first flower emergence in each treatment.</w:t>
      </w:r>
    </w:p>
    <w:p w14:paraId="47D75C5D" w14:textId="77777777" w:rsidR="002C4E1E" w:rsidRPr="00477A54" w:rsidRDefault="002C4E1E" w:rsidP="00477A54">
      <w:pPr>
        <w:numPr>
          <w:ilvl w:val="0"/>
          <w:numId w:val="4"/>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Days to 50% flowering:</w:t>
      </w:r>
      <w:r w:rsidRPr="00477A54">
        <w:rPr>
          <w:rFonts w:ascii="Times New Roman" w:hAnsi="Times New Roman" w:cs="Times New Roman"/>
          <w:sz w:val="24"/>
          <w:szCs w:val="24"/>
        </w:rPr>
        <w:t> Determined when 50% of plants in each treatment had fully opened flowers.</w:t>
      </w:r>
    </w:p>
    <w:p w14:paraId="2BFF45BC" w14:textId="77777777" w:rsidR="00477A54" w:rsidRDefault="00477A54" w:rsidP="00477A54">
      <w:pPr>
        <w:spacing w:after="0"/>
        <w:jc w:val="both"/>
        <w:rPr>
          <w:rFonts w:ascii="Times New Roman" w:hAnsi="Times New Roman" w:cs="Times New Roman"/>
          <w:bCs/>
          <w:sz w:val="24"/>
          <w:szCs w:val="24"/>
        </w:rPr>
      </w:pPr>
    </w:p>
    <w:p w14:paraId="7B2310FD" w14:textId="77777777" w:rsidR="002C4E1E" w:rsidRPr="00477A54" w:rsidRDefault="002C4E1E" w:rsidP="00477A54">
      <w:pPr>
        <w:spacing w:after="0"/>
        <w:jc w:val="both"/>
        <w:rPr>
          <w:rFonts w:ascii="Times New Roman" w:hAnsi="Times New Roman" w:cs="Times New Roman"/>
          <w:b/>
          <w:bCs/>
          <w:sz w:val="24"/>
          <w:szCs w:val="24"/>
        </w:rPr>
      </w:pPr>
      <w:r w:rsidRPr="00477A54">
        <w:rPr>
          <w:rFonts w:ascii="Times New Roman" w:hAnsi="Times New Roman" w:cs="Times New Roman"/>
          <w:b/>
          <w:bCs/>
          <w:sz w:val="24"/>
          <w:szCs w:val="24"/>
        </w:rPr>
        <w:t>Yield Parameters</w:t>
      </w:r>
    </w:p>
    <w:p w14:paraId="0B4FB5FF" w14:textId="77777777" w:rsidR="002C4E1E" w:rsidRPr="00477A54" w:rsidRDefault="002C4E1E" w:rsidP="00477A54">
      <w:pPr>
        <w:spacing w:after="0"/>
        <w:jc w:val="both"/>
        <w:rPr>
          <w:rFonts w:ascii="Times New Roman" w:hAnsi="Times New Roman" w:cs="Times New Roman"/>
          <w:sz w:val="24"/>
          <w:szCs w:val="24"/>
        </w:rPr>
      </w:pPr>
      <w:r w:rsidRPr="00477A54">
        <w:rPr>
          <w:rFonts w:ascii="Times New Roman" w:hAnsi="Times New Roman" w:cs="Times New Roman"/>
          <w:sz w:val="24"/>
          <w:szCs w:val="24"/>
        </w:rPr>
        <w:t>Twenty randomly selected plants per treatment were used to assess the following yield attributes:</w:t>
      </w:r>
    </w:p>
    <w:p w14:paraId="0C05A353" w14:textId="77777777" w:rsidR="002C4E1E" w:rsidRPr="00477A54" w:rsidRDefault="002C4E1E" w:rsidP="00477A54">
      <w:pPr>
        <w:numPr>
          <w:ilvl w:val="0"/>
          <w:numId w:val="5"/>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Fruit length (cm)</w:t>
      </w:r>
    </w:p>
    <w:p w14:paraId="4F5756A8" w14:textId="77777777" w:rsidR="002C4E1E" w:rsidRPr="00477A54" w:rsidRDefault="002C4E1E" w:rsidP="00477A54">
      <w:pPr>
        <w:numPr>
          <w:ilvl w:val="0"/>
          <w:numId w:val="5"/>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Fruit diameter (cm)</w:t>
      </w:r>
    </w:p>
    <w:p w14:paraId="64A44B03" w14:textId="77777777" w:rsidR="002C4E1E" w:rsidRPr="00477A54" w:rsidRDefault="002C4E1E" w:rsidP="00477A54">
      <w:pPr>
        <w:numPr>
          <w:ilvl w:val="0"/>
          <w:numId w:val="5"/>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Average fruit weight (g)</w:t>
      </w:r>
    </w:p>
    <w:p w14:paraId="0DDEA615" w14:textId="77777777" w:rsidR="002C4E1E" w:rsidRPr="00477A54" w:rsidRDefault="002C4E1E" w:rsidP="00477A54">
      <w:pPr>
        <w:numPr>
          <w:ilvl w:val="0"/>
          <w:numId w:val="5"/>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Number of fruits per plant</w:t>
      </w:r>
    </w:p>
    <w:p w14:paraId="31962E00" w14:textId="77777777" w:rsidR="002C4E1E" w:rsidRPr="00477A54" w:rsidRDefault="002C4E1E" w:rsidP="00477A54">
      <w:pPr>
        <w:spacing w:after="0"/>
        <w:jc w:val="both"/>
        <w:rPr>
          <w:rFonts w:ascii="Times New Roman" w:hAnsi="Times New Roman" w:cs="Times New Roman"/>
          <w:sz w:val="24"/>
          <w:szCs w:val="24"/>
        </w:rPr>
      </w:pPr>
      <w:r w:rsidRPr="00477A54">
        <w:rPr>
          <w:rFonts w:ascii="Times New Roman" w:hAnsi="Times New Roman" w:cs="Times New Roman"/>
          <w:sz w:val="24"/>
          <w:szCs w:val="24"/>
        </w:rPr>
        <w:t>Measurements were taken at each harvest, and mean values were calculated.</w:t>
      </w:r>
    </w:p>
    <w:p w14:paraId="696F7C95" w14:textId="77777777" w:rsidR="00477A54" w:rsidRDefault="00477A54" w:rsidP="00477A54">
      <w:pPr>
        <w:spacing w:after="0"/>
        <w:jc w:val="both"/>
        <w:rPr>
          <w:rFonts w:ascii="Times New Roman" w:hAnsi="Times New Roman" w:cs="Times New Roman"/>
          <w:bCs/>
          <w:sz w:val="24"/>
          <w:szCs w:val="24"/>
        </w:rPr>
      </w:pPr>
    </w:p>
    <w:p w14:paraId="750B3E03" w14:textId="77777777" w:rsidR="002C4E1E" w:rsidRPr="00477A54" w:rsidRDefault="002C4E1E" w:rsidP="00477A54">
      <w:pPr>
        <w:spacing w:after="0"/>
        <w:jc w:val="both"/>
        <w:rPr>
          <w:rFonts w:ascii="Times New Roman" w:hAnsi="Times New Roman" w:cs="Times New Roman"/>
          <w:b/>
          <w:bCs/>
          <w:sz w:val="24"/>
          <w:szCs w:val="24"/>
        </w:rPr>
      </w:pPr>
      <w:r w:rsidRPr="00477A54">
        <w:rPr>
          <w:rFonts w:ascii="Times New Roman" w:hAnsi="Times New Roman" w:cs="Times New Roman"/>
          <w:b/>
          <w:bCs/>
          <w:sz w:val="24"/>
          <w:szCs w:val="24"/>
        </w:rPr>
        <w:t>Yield Estimation</w:t>
      </w:r>
    </w:p>
    <w:p w14:paraId="4B56E9C8" w14:textId="77777777" w:rsidR="002C4E1E" w:rsidRPr="00477A54" w:rsidRDefault="002C4E1E" w:rsidP="00477A54">
      <w:pPr>
        <w:numPr>
          <w:ilvl w:val="0"/>
          <w:numId w:val="6"/>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Fruit yield per plant (g):</w:t>
      </w:r>
      <w:r w:rsidRPr="00477A54">
        <w:rPr>
          <w:rFonts w:ascii="Times New Roman" w:hAnsi="Times New Roman" w:cs="Times New Roman"/>
          <w:sz w:val="24"/>
          <w:szCs w:val="24"/>
        </w:rPr>
        <w:t> All fruits from sample plants were harvested and weighed separately, and the mean yield per plant was computed.</w:t>
      </w:r>
    </w:p>
    <w:p w14:paraId="60537EB0" w14:textId="77777777" w:rsidR="002C4E1E" w:rsidRPr="00477A54" w:rsidRDefault="002C4E1E" w:rsidP="00477A54">
      <w:pPr>
        <w:numPr>
          <w:ilvl w:val="0"/>
          <w:numId w:val="6"/>
        </w:numPr>
        <w:spacing w:after="0"/>
        <w:jc w:val="both"/>
        <w:rPr>
          <w:rFonts w:ascii="Times New Roman" w:hAnsi="Times New Roman" w:cs="Times New Roman"/>
          <w:sz w:val="24"/>
          <w:szCs w:val="24"/>
        </w:rPr>
      </w:pPr>
      <w:r w:rsidRPr="00477A54">
        <w:rPr>
          <w:rFonts w:ascii="Times New Roman" w:hAnsi="Times New Roman" w:cs="Times New Roman"/>
          <w:bCs/>
          <w:sz w:val="24"/>
          <w:szCs w:val="24"/>
        </w:rPr>
        <w:t>Fruit yield per plot (qt/unit area):</w:t>
      </w:r>
      <w:r w:rsidRPr="00477A54">
        <w:rPr>
          <w:rFonts w:ascii="Times New Roman" w:hAnsi="Times New Roman" w:cs="Times New Roman"/>
          <w:sz w:val="24"/>
          <w:szCs w:val="24"/>
        </w:rPr>
        <w:t> Calculated based on fruit yield per plant and plant population per plot.</w:t>
      </w:r>
    </w:p>
    <w:p w14:paraId="7E300864" w14:textId="77777777" w:rsidR="002C4E1E" w:rsidRDefault="002C4E1E" w:rsidP="00477A54">
      <w:pPr>
        <w:spacing w:after="0"/>
        <w:jc w:val="both"/>
        <w:rPr>
          <w:rFonts w:ascii="Times New Roman" w:hAnsi="Times New Roman" w:cs="Times New Roman"/>
          <w:b/>
          <w:bCs/>
          <w:sz w:val="24"/>
          <w:szCs w:val="24"/>
        </w:rPr>
      </w:pPr>
    </w:p>
    <w:p w14:paraId="13BED818" w14:textId="77777777" w:rsidR="002C4E1E" w:rsidRDefault="00477A54" w:rsidP="002C4E1E">
      <w:pPr>
        <w:jc w:val="both"/>
        <w:rPr>
          <w:rFonts w:ascii="Times New Roman" w:hAnsi="Times New Roman" w:cs="Times New Roman"/>
          <w:b/>
          <w:bCs/>
          <w:sz w:val="24"/>
          <w:szCs w:val="24"/>
          <w:u w:val="single"/>
        </w:rPr>
      </w:pPr>
      <w:r w:rsidRPr="00477A54">
        <w:rPr>
          <w:rFonts w:ascii="Times New Roman" w:hAnsi="Times New Roman" w:cs="Times New Roman"/>
          <w:b/>
          <w:bCs/>
          <w:sz w:val="24"/>
          <w:szCs w:val="24"/>
          <w:u w:val="single"/>
        </w:rPr>
        <w:t>RESULTS AND DISCUSSION</w:t>
      </w:r>
    </w:p>
    <w:p w14:paraId="1B74DCA0" w14:textId="77777777" w:rsidR="00406B6E" w:rsidRDefault="00406B6E" w:rsidP="009979A0">
      <w:pPr>
        <w:jc w:val="both"/>
        <w:rPr>
          <w:rFonts w:ascii="Times New Roman" w:hAnsi="Times New Roman" w:cs="Times New Roman"/>
          <w:bCs/>
          <w:sz w:val="24"/>
          <w:szCs w:val="24"/>
        </w:rPr>
      </w:pPr>
      <w:r w:rsidRPr="00406B6E">
        <w:rPr>
          <w:rFonts w:ascii="Times New Roman" w:hAnsi="Times New Roman" w:cs="Times New Roman"/>
          <w:bCs/>
          <w:sz w:val="24"/>
          <w:szCs w:val="24"/>
        </w:rPr>
        <w:t xml:space="preserve">The present investigation, conducted at Krishi Vigyan Kendra (KVK), </w:t>
      </w:r>
      <w:proofErr w:type="spellStart"/>
      <w:r w:rsidRPr="00406B6E">
        <w:rPr>
          <w:rFonts w:ascii="Times New Roman" w:hAnsi="Times New Roman" w:cs="Times New Roman"/>
          <w:bCs/>
          <w:sz w:val="24"/>
          <w:szCs w:val="24"/>
        </w:rPr>
        <w:t>Darrang</w:t>
      </w:r>
      <w:proofErr w:type="spellEnd"/>
      <w:r w:rsidRPr="00406B6E">
        <w:rPr>
          <w:rFonts w:ascii="Times New Roman" w:hAnsi="Times New Roman" w:cs="Times New Roman"/>
          <w:bCs/>
          <w:sz w:val="24"/>
          <w:szCs w:val="24"/>
        </w:rPr>
        <w:t xml:space="preserve">, Assam during the Rabi season (2022-23), systematically evaluated three cultivation systems for King </w:t>
      </w:r>
      <w:proofErr w:type="spellStart"/>
      <w:r w:rsidRPr="00406B6E">
        <w:rPr>
          <w:rFonts w:ascii="Times New Roman" w:hAnsi="Times New Roman" w:cs="Times New Roman"/>
          <w:bCs/>
          <w:sz w:val="24"/>
          <w:szCs w:val="24"/>
        </w:rPr>
        <w:t>chilli</w:t>
      </w:r>
      <w:proofErr w:type="spellEnd"/>
      <w:r w:rsidRPr="00406B6E">
        <w:rPr>
          <w:rFonts w:ascii="Times New Roman" w:hAnsi="Times New Roman" w:cs="Times New Roman"/>
          <w:bCs/>
          <w:sz w:val="24"/>
          <w:szCs w:val="24"/>
        </w:rPr>
        <w:t xml:space="preserve"> (</w:t>
      </w:r>
      <w:r w:rsidRPr="00406B6E">
        <w:rPr>
          <w:rFonts w:ascii="Times New Roman" w:hAnsi="Times New Roman" w:cs="Times New Roman"/>
          <w:bCs/>
          <w:i/>
          <w:iCs/>
          <w:sz w:val="24"/>
          <w:szCs w:val="24"/>
        </w:rPr>
        <w:t xml:space="preserve">Capsicum </w:t>
      </w:r>
      <w:proofErr w:type="spellStart"/>
      <w:r w:rsidRPr="00406B6E">
        <w:rPr>
          <w:rFonts w:ascii="Times New Roman" w:hAnsi="Times New Roman" w:cs="Times New Roman"/>
          <w:bCs/>
          <w:i/>
          <w:iCs/>
          <w:sz w:val="24"/>
          <w:szCs w:val="24"/>
        </w:rPr>
        <w:t>chinense</w:t>
      </w:r>
      <w:proofErr w:type="spellEnd"/>
      <w:r w:rsidRPr="00406B6E">
        <w:rPr>
          <w:rFonts w:ascii="Times New Roman" w:hAnsi="Times New Roman" w:cs="Times New Roman"/>
          <w:bCs/>
          <w:sz w:val="24"/>
          <w:szCs w:val="24"/>
        </w:rPr>
        <w:t xml:space="preserve"> Jacq.) through a Randomized Block Design. The study revealed profound differences in plant performance under polyhouse with 100% RDF (T2), open-field with 100% RDF (T1), and open-field without RDF (T3) systems, offering critical insights for subtropical </w:t>
      </w:r>
      <w:proofErr w:type="spellStart"/>
      <w:r w:rsidRPr="00406B6E">
        <w:rPr>
          <w:rFonts w:ascii="Times New Roman" w:hAnsi="Times New Roman" w:cs="Times New Roman"/>
          <w:bCs/>
          <w:sz w:val="24"/>
          <w:szCs w:val="24"/>
        </w:rPr>
        <w:lastRenderedPageBreak/>
        <w:t>chilli</w:t>
      </w:r>
      <w:proofErr w:type="spellEnd"/>
      <w:r w:rsidRPr="00406B6E">
        <w:rPr>
          <w:rFonts w:ascii="Times New Roman" w:hAnsi="Times New Roman" w:cs="Times New Roman"/>
          <w:bCs/>
          <w:sz w:val="24"/>
          <w:szCs w:val="24"/>
        </w:rPr>
        <w:t xml:space="preserve"> cultivation.</w:t>
      </w:r>
      <w:r w:rsidR="003D17F2">
        <w:rPr>
          <w:rFonts w:ascii="Times New Roman" w:hAnsi="Times New Roman" w:cs="Times New Roman"/>
          <w:bCs/>
          <w:sz w:val="24"/>
          <w:szCs w:val="24"/>
        </w:rPr>
        <w:t xml:space="preserve"> </w:t>
      </w:r>
      <w:r w:rsidR="003D17F2" w:rsidRPr="003D17F2">
        <w:rPr>
          <w:rFonts w:ascii="Times New Roman" w:hAnsi="Times New Roman" w:cs="Times New Roman"/>
          <w:bCs/>
          <w:sz w:val="24"/>
          <w:szCs w:val="24"/>
        </w:rPr>
        <w:t>The findings revealed significant variations in growth, phenology, yield, and economic returns across the treatments, which are discussed in detail below with supporting literature</w:t>
      </w:r>
      <w:r w:rsidR="003D17F2">
        <w:rPr>
          <w:rFonts w:ascii="Times New Roman" w:hAnsi="Times New Roman" w:cs="Times New Roman"/>
          <w:bCs/>
          <w:sz w:val="24"/>
          <w:szCs w:val="24"/>
        </w:rPr>
        <w:t>.</w:t>
      </w:r>
    </w:p>
    <w:p w14:paraId="6D4099AC" w14:textId="77777777" w:rsidR="00406B6E" w:rsidRPr="008916C6" w:rsidRDefault="00406B6E" w:rsidP="00406B6E">
      <w:pPr>
        <w:rPr>
          <w:rFonts w:ascii="Times New Roman" w:hAnsi="Times New Roman" w:cs="Times New Roman"/>
          <w:bCs/>
          <w:sz w:val="24"/>
          <w:szCs w:val="24"/>
        </w:rPr>
      </w:pPr>
      <w:r w:rsidRPr="008916C6">
        <w:rPr>
          <w:rFonts w:ascii="Times New Roman" w:hAnsi="Times New Roman" w:cs="Times New Roman"/>
          <w:b/>
          <w:bCs/>
          <w:sz w:val="24"/>
          <w:szCs w:val="24"/>
        </w:rPr>
        <w:t>Growth and Developmental Responses:</w:t>
      </w:r>
    </w:p>
    <w:p w14:paraId="62545A7C" w14:textId="77777777" w:rsidR="00406B6E" w:rsidRDefault="00406B6E" w:rsidP="00F353AC">
      <w:pPr>
        <w:jc w:val="both"/>
        <w:rPr>
          <w:rFonts w:ascii="Times New Roman" w:hAnsi="Times New Roman" w:cs="Times New Roman"/>
          <w:bCs/>
          <w:sz w:val="24"/>
          <w:szCs w:val="24"/>
        </w:rPr>
      </w:pPr>
      <w:r w:rsidRPr="00406B6E">
        <w:rPr>
          <w:rFonts w:ascii="Times New Roman" w:hAnsi="Times New Roman" w:cs="Times New Roman"/>
          <w:bCs/>
          <w:sz w:val="24"/>
          <w:szCs w:val="24"/>
        </w:rPr>
        <w:t xml:space="preserve">Polyhouse cultivation (T2) demonstrated remarkable superiority in vegetative growth parameters, producing plants with 57% greater height (98.54 cm) and 24% longer leaves (9.32 cm) compared to unfertilized open-field systems (T3). These findings align with the work of Singh </w:t>
      </w:r>
      <w:r w:rsidRPr="003E0C3C">
        <w:rPr>
          <w:rFonts w:ascii="Times New Roman" w:hAnsi="Times New Roman" w:cs="Times New Roman"/>
          <w:bCs/>
          <w:i/>
          <w:sz w:val="24"/>
          <w:szCs w:val="24"/>
        </w:rPr>
        <w:t>et al</w:t>
      </w:r>
      <w:r w:rsidRPr="00406B6E">
        <w:rPr>
          <w:rFonts w:ascii="Times New Roman" w:hAnsi="Times New Roman" w:cs="Times New Roman"/>
          <w:bCs/>
          <w:sz w:val="24"/>
          <w:szCs w:val="24"/>
        </w:rPr>
        <w:t xml:space="preserve">. (2018) from Punjab Agricultural University, who established that modified microclimates in protected structures reduce diurnal temperature fluctuations by 4-6°C, thereby enhancing photosynthetic efficiency. </w:t>
      </w:r>
      <w:r w:rsidR="00376EFD" w:rsidRPr="00376EFD">
        <w:rPr>
          <w:rFonts w:ascii="Times New Roman" w:hAnsi="Times New Roman" w:cs="Times New Roman"/>
          <w:bCs/>
          <w:sz w:val="24"/>
          <w:szCs w:val="24"/>
        </w:rPr>
        <w:t xml:space="preserve">Similar findings were reported by </w:t>
      </w:r>
      <w:proofErr w:type="spellStart"/>
      <w:r w:rsidR="00376EFD" w:rsidRPr="00376EFD">
        <w:rPr>
          <w:rFonts w:ascii="Times New Roman" w:hAnsi="Times New Roman" w:cs="Times New Roman"/>
          <w:bCs/>
          <w:sz w:val="24"/>
          <w:szCs w:val="24"/>
        </w:rPr>
        <w:t>Khutate</w:t>
      </w:r>
      <w:proofErr w:type="spellEnd"/>
      <w:r w:rsidR="00376EFD" w:rsidRPr="00376EFD">
        <w:rPr>
          <w:rFonts w:ascii="Times New Roman" w:hAnsi="Times New Roman" w:cs="Times New Roman"/>
          <w:bCs/>
          <w:sz w:val="24"/>
          <w:szCs w:val="24"/>
        </w:rPr>
        <w:t xml:space="preserve"> </w:t>
      </w:r>
      <w:r w:rsidR="00376EFD" w:rsidRPr="003E0C3C">
        <w:rPr>
          <w:rFonts w:ascii="Times New Roman" w:hAnsi="Times New Roman" w:cs="Times New Roman"/>
          <w:bCs/>
          <w:i/>
          <w:sz w:val="24"/>
          <w:szCs w:val="24"/>
        </w:rPr>
        <w:t>et al</w:t>
      </w:r>
      <w:r w:rsidR="00376EFD" w:rsidRPr="00376EFD">
        <w:rPr>
          <w:rFonts w:ascii="Times New Roman" w:hAnsi="Times New Roman" w:cs="Times New Roman"/>
          <w:bCs/>
          <w:sz w:val="24"/>
          <w:szCs w:val="24"/>
        </w:rPr>
        <w:t xml:space="preserve">. (2005), who observed that protected cultivation significantly enhances plant height and leaf expansion in </w:t>
      </w:r>
      <w:proofErr w:type="spellStart"/>
      <w:r w:rsidR="00376EFD" w:rsidRPr="00376EFD">
        <w:rPr>
          <w:rFonts w:ascii="Times New Roman" w:hAnsi="Times New Roman" w:cs="Times New Roman"/>
          <w:bCs/>
          <w:sz w:val="24"/>
          <w:szCs w:val="24"/>
        </w:rPr>
        <w:t>chillies</w:t>
      </w:r>
      <w:proofErr w:type="spellEnd"/>
      <w:r w:rsidR="00376EFD" w:rsidRPr="00376EFD">
        <w:rPr>
          <w:rFonts w:ascii="Times New Roman" w:hAnsi="Times New Roman" w:cs="Times New Roman"/>
          <w:bCs/>
          <w:sz w:val="24"/>
          <w:szCs w:val="24"/>
        </w:rPr>
        <w:t xml:space="preserve"> due to better resource utilization</w:t>
      </w:r>
      <w:r w:rsidR="00376EFD">
        <w:rPr>
          <w:rFonts w:ascii="Times New Roman" w:hAnsi="Times New Roman" w:cs="Times New Roman"/>
          <w:bCs/>
          <w:sz w:val="24"/>
          <w:szCs w:val="24"/>
        </w:rPr>
        <w:t xml:space="preserve">. </w:t>
      </w:r>
      <w:r w:rsidRPr="00406B6E">
        <w:rPr>
          <w:rFonts w:ascii="Times New Roman" w:hAnsi="Times New Roman" w:cs="Times New Roman"/>
          <w:bCs/>
          <w:sz w:val="24"/>
          <w:szCs w:val="24"/>
        </w:rPr>
        <w:t xml:space="preserve">The present results further corroborate earlier findings by </w:t>
      </w:r>
      <w:proofErr w:type="spellStart"/>
      <w:r w:rsidRPr="00406B6E">
        <w:rPr>
          <w:rFonts w:ascii="Times New Roman" w:hAnsi="Times New Roman" w:cs="Times New Roman"/>
          <w:bCs/>
          <w:sz w:val="24"/>
          <w:szCs w:val="24"/>
        </w:rPr>
        <w:t>Medhe</w:t>
      </w:r>
      <w:proofErr w:type="spellEnd"/>
      <w:r w:rsidRPr="00406B6E">
        <w:rPr>
          <w:rFonts w:ascii="Times New Roman" w:hAnsi="Times New Roman" w:cs="Times New Roman"/>
          <w:bCs/>
          <w:sz w:val="24"/>
          <w:szCs w:val="24"/>
        </w:rPr>
        <w:t xml:space="preserve"> </w:t>
      </w:r>
      <w:r w:rsidRPr="003E0C3C">
        <w:rPr>
          <w:rFonts w:ascii="Times New Roman" w:hAnsi="Times New Roman" w:cs="Times New Roman"/>
          <w:bCs/>
          <w:i/>
          <w:sz w:val="24"/>
          <w:szCs w:val="24"/>
        </w:rPr>
        <w:t>et al</w:t>
      </w:r>
      <w:r w:rsidRPr="00406B6E">
        <w:rPr>
          <w:rFonts w:ascii="Times New Roman" w:hAnsi="Times New Roman" w:cs="Times New Roman"/>
          <w:bCs/>
          <w:sz w:val="24"/>
          <w:szCs w:val="24"/>
        </w:rPr>
        <w:t xml:space="preserve">. (2010) at Dr. </w:t>
      </w:r>
      <w:proofErr w:type="spellStart"/>
      <w:r w:rsidRPr="00406B6E">
        <w:rPr>
          <w:rFonts w:ascii="Times New Roman" w:hAnsi="Times New Roman" w:cs="Times New Roman"/>
          <w:bCs/>
          <w:sz w:val="24"/>
          <w:szCs w:val="24"/>
        </w:rPr>
        <w:t>Panjabrao</w:t>
      </w:r>
      <w:proofErr w:type="spellEnd"/>
      <w:r w:rsidRPr="00406B6E">
        <w:rPr>
          <w:rFonts w:ascii="Times New Roman" w:hAnsi="Times New Roman" w:cs="Times New Roman"/>
          <w:bCs/>
          <w:sz w:val="24"/>
          <w:szCs w:val="24"/>
        </w:rPr>
        <w:t xml:space="preserve"> Deshmukh Krishi Vidyapeeth, showing that optimal vapor pressure deficit (0.8-1.2 kPa) in polyhouses promotes stomatal conductance and biomass accumulation. Particularly noteworthy was the 19% increase in leaf number (117.50) under T2, a phenomenon thoroughly documented by Patel </w:t>
      </w:r>
      <w:r w:rsidRPr="003E0C3C">
        <w:rPr>
          <w:rFonts w:ascii="Times New Roman" w:hAnsi="Times New Roman" w:cs="Times New Roman"/>
          <w:bCs/>
          <w:i/>
          <w:sz w:val="24"/>
          <w:szCs w:val="24"/>
        </w:rPr>
        <w:t>et al</w:t>
      </w:r>
      <w:r w:rsidRPr="00406B6E">
        <w:rPr>
          <w:rFonts w:ascii="Times New Roman" w:hAnsi="Times New Roman" w:cs="Times New Roman"/>
          <w:bCs/>
          <w:sz w:val="24"/>
          <w:szCs w:val="24"/>
        </w:rPr>
        <w:t xml:space="preserve">. (2021) in their studies on protected cultivation of </w:t>
      </w:r>
      <w:proofErr w:type="spellStart"/>
      <w:r w:rsidRPr="00406B6E">
        <w:rPr>
          <w:rFonts w:ascii="Times New Roman" w:hAnsi="Times New Roman" w:cs="Times New Roman"/>
          <w:bCs/>
          <w:sz w:val="24"/>
          <w:szCs w:val="24"/>
        </w:rPr>
        <w:t>chillies</w:t>
      </w:r>
      <w:proofErr w:type="spellEnd"/>
      <w:r w:rsidRPr="00406B6E">
        <w:rPr>
          <w:rFonts w:ascii="Times New Roman" w:hAnsi="Times New Roman" w:cs="Times New Roman"/>
          <w:bCs/>
          <w:sz w:val="24"/>
          <w:szCs w:val="24"/>
        </w:rPr>
        <w:t xml:space="preserve"> in Gujarat. The accelerated phenological development observed in T2 plants, flowering 7 days earlier than open-field systems, finds strong support in the </w:t>
      </w:r>
      <w:proofErr w:type="spellStart"/>
      <w:r w:rsidRPr="00406B6E">
        <w:rPr>
          <w:rFonts w:ascii="Times New Roman" w:hAnsi="Times New Roman" w:cs="Times New Roman"/>
          <w:bCs/>
          <w:sz w:val="24"/>
          <w:szCs w:val="24"/>
        </w:rPr>
        <w:t>ecophysiological</w:t>
      </w:r>
      <w:proofErr w:type="spellEnd"/>
      <w:r w:rsidRPr="00406B6E">
        <w:rPr>
          <w:rFonts w:ascii="Times New Roman" w:hAnsi="Times New Roman" w:cs="Times New Roman"/>
          <w:bCs/>
          <w:sz w:val="24"/>
          <w:szCs w:val="24"/>
        </w:rPr>
        <w:t xml:space="preserve"> studies conducted at Tamil Nadu Agricultural University (Alex &amp; </w:t>
      </w:r>
      <w:proofErr w:type="spellStart"/>
      <w:r w:rsidRPr="00406B6E">
        <w:rPr>
          <w:rFonts w:ascii="Times New Roman" w:hAnsi="Times New Roman" w:cs="Times New Roman"/>
          <w:bCs/>
          <w:sz w:val="24"/>
          <w:szCs w:val="24"/>
        </w:rPr>
        <w:t>Eliakira</w:t>
      </w:r>
      <w:proofErr w:type="spellEnd"/>
      <w:r w:rsidRPr="00406B6E">
        <w:rPr>
          <w:rFonts w:ascii="Times New Roman" w:hAnsi="Times New Roman" w:cs="Times New Roman"/>
          <w:bCs/>
          <w:sz w:val="24"/>
          <w:szCs w:val="24"/>
        </w:rPr>
        <w:t>, 2014). Their work demonstrated that maintaining root zone temperatures at 25±2°C, as achieved in our polyhouse treatment, promotes earlier floral initiation through enhanced cytokinin synthesis.</w:t>
      </w:r>
    </w:p>
    <w:p w14:paraId="592042C1" w14:textId="77777777" w:rsidR="00734518" w:rsidRPr="008916C6" w:rsidRDefault="00406B6E" w:rsidP="00734518">
      <w:pPr>
        <w:rPr>
          <w:rFonts w:ascii="Times New Roman" w:hAnsi="Times New Roman" w:cs="Times New Roman"/>
          <w:b/>
          <w:bCs/>
          <w:sz w:val="24"/>
          <w:szCs w:val="24"/>
        </w:rPr>
      </w:pPr>
      <w:r w:rsidRPr="008916C6">
        <w:rPr>
          <w:rFonts w:ascii="Times New Roman" w:hAnsi="Times New Roman" w:cs="Times New Roman"/>
          <w:b/>
          <w:bCs/>
          <w:sz w:val="24"/>
          <w:szCs w:val="24"/>
        </w:rPr>
        <w:t>Yield Performance and Physiological Mechanisms</w:t>
      </w:r>
    </w:p>
    <w:p w14:paraId="45ADBBAE" w14:textId="77777777" w:rsidR="00406B6E" w:rsidRDefault="00376EFD" w:rsidP="00734518">
      <w:pPr>
        <w:jc w:val="both"/>
        <w:rPr>
          <w:rFonts w:ascii="Times New Roman" w:hAnsi="Times New Roman" w:cs="Times New Roman"/>
          <w:bCs/>
          <w:sz w:val="24"/>
          <w:szCs w:val="24"/>
        </w:rPr>
      </w:pPr>
      <w:r w:rsidRPr="00376EFD">
        <w:rPr>
          <w:rFonts w:ascii="Times New Roman" w:hAnsi="Times New Roman" w:cs="Times New Roman"/>
          <w:bCs/>
          <w:sz w:val="24"/>
          <w:szCs w:val="24"/>
        </w:rPr>
        <w:t xml:space="preserve">The yield attributes under polyhouse cultivation were also superior, with longer fruits (5.90 cm), thicker diameter (3.11 cm), higher average fruit weight (5.92 g), and more fruits per plant (47.52), culminating in a yield of 3.10 qt/unit area. These results corroborate </w:t>
      </w:r>
      <w:proofErr w:type="spellStart"/>
      <w:r w:rsidRPr="00376EFD">
        <w:rPr>
          <w:rFonts w:ascii="Times New Roman" w:hAnsi="Times New Roman" w:cs="Times New Roman"/>
          <w:bCs/>
          <w:sz w:val="24"/>
          <w:szCs w:val="24"/>
        </w:rPr>
        <w:t>Omogoye</w:t>
      </w:r>
      <w:proofErr w:type="spellEnd"/>
      <w:r w:rsidRPr="00376EFD">
        <w:rPr>
          <w:rFonts w:ascii="Times New Roman" w:hAnsi="Times New Roman" w:cs="Times New Roman"/>
          <w:bCs/>
          <w:sz w:val="24"/>
          <w:szCs w:val="24"/>
        </w:rPr>
        <w:t xml:space="preserve"> (2015), who emphasized that consistent nutrient availability and microclimate control in protected structures enhance fruit setting and yield in Capsicum species.</w:t>
      </w:r>
      <w:r>
        <w:rPr>
          <w:rFonts w:ascii="Times New Roman" w:hAnsi="Times New Roman" w:cs="Times New Roman"/>
          <w:bCs/>
          <w:sz w:val="24"/>
          <w:szCs w:val="24"/>
        </w:rPr>
        <w:t xml:space="preserve"> </w:t>
      </w:r>
      <w:r w:rsidR="00406B6E" w:rsidRPr="00406B6E">
        <w:rPr>
          <w:rFonts w:ascii="Times New Roman" w:hAnsi="Times New Roman" w:cs="Times New Roman"/>
          <w:bCs/>
          <w:sz w:val="24"/>
          <w:szCs w:val="24"/>
        </w:rPr>
        <w:t xml:space="preserve">The </w:t>
      </w:r>
      <w:r>
        <w:rPr>
          <w:rFonts w:ascii="Times New Roman" w:hAnsi="Times New Roman" w:cs="Times New Roman"/>
          <w:bCs/>
          <w:sz w:val="24"/>
          <w:szCs w:val="24"/>
        </w:rPr>
        <w:t>75% yield advantage of T2 (3.</w:t>
      </w:r>
      <w:r w:rsidR="00406B6E" w:rsidRPr="00406B6E">
        <w:rPr>
          <w:rFonts w:ascii="Times New Roman" w:hAnsi="Times New Roman" w:cs="Times New Roman"/>
          <w:bCs/>
          <w:sz w:val="24"/>
          <w:szCs w:val="24"/>
        </w:rPr>
        <w:t>0</w:t>
      </w:r>
      <w:r>
        <w:rPr>
          <w:rFonts w:ascii="Times New Roman" w:hAnsi="Times New Roman" w:cs="Times New Roman"/>
          <w:bCs/>
          <w:sz w:val="24"/>
          <w:szCs w:val="24"/>
        </w:rPr>
        <w:t>2</w:t>
      </w:r>
      <w:r w:rsidR="00406B6E" w:rsidRPr="00406B6E">
        <w:rPr>
          <w:rFonts w:ascii="Times New Roman" w:hAnsi="Times New Roman" w:cs="Times New Roman"/>
          <w:bCs/>
          <w:sz w:val="24"/>
          <w:szCs w:val="24"/>
        </w:rPr>
        <w:t xml:space="preserve"> qt) over T3 (1.77 qt) can be attributed to three fundamental mechanisms: improved fruit set, enhanced fruit development, and prolonged harvesting period. Our data showing 27% greater fruit weight (5.92 g) in T2 aligns precisely with the findings of Naik </w:t>
      </w:r>
      <w:r w:rsidR="00406B6E" w:rsidRPr="003F6493">
        <w:rPr>
          <w:rFonts w:ascii="Times New Roman" w:hAnsi="Times New Roman" w:cs="Times New Roman"/>
          <w:bCs/>
          <w:i/>
          <w:sz w:val="24"/>
          <w:szCs w:val="24"/>
        </w:rPr>
        <w:t>et al</w:t>
      </w:r>
      <w:r w:rsidR="00406B6E" w:rsidRPr="00406B6E">
        <w:rPr>
          <w:rFonts w:ascii="Times New Roman" w:hAnsi="Times New Roman" w:cs="Times New Roman"/>
          <w:bCs/>
          <w:sz w:val="24"/>
          <w:szCs w:val="24"/>
        </w:rPr>
        <w:t xml:space="preserve">. (2020) at University of Horticultural Sciences, Bagalkot, who reported similar improvements in fruit size under protected conditions. The physiological basis for this enhancement, as revealed through our study and supported by recent work at Indian Institute of Horticultural Research (Prasad </w:t>
      </w:r>
      <w:r w:rsidR="00406B6E" w:rsidRPr="003E0C3C">
        <w:rPr>
          <w:rFonts w:ascii="Times New Roman" w:hAnsi="Times New Roman" w:cs="Times New Roman"/>
          <w:bCs/>
          <w:i/>
          <w:sz w:val="24"/>
          <w:szCs w:val="24"/>
        </w:rPr>
        <w:t>et al</w:t>
      </w:r>
      <w:r w:rsidR="00406B6E" w:rsidRPr="00406B6E">
        <w:rPr>
          <w:rFonts w:ascii="Times New Roman" w:hAnsi="Times New Roman" w:cs="Times New Roman"/>
          <w:bCs/>
          <w:sz w:val="24"/>
          <w:szCs w:val="24"/>
        </w:rPr>
        <w:t xml:space="preserve">., 2023), involves superior carbohydrate partitioning to developing fruits due to sustained photosynthetic activity under optimized light conditions (PAR 800-1000 </w:t>
      </w:r>
      <w:proofErr w:type="spellStart"/>
      <w:r w:rsidR="00406B6E" w:rsidRPr="00406B6E">
        <w:rPr>
          <w:rFonts w:ascii="Times New Roman" w:hAnsi="Times New Roman" w:cs="Times New Roman"/>
          <w:bCs/>
          <w:sz w:val="24"/>
          <w:szCs w:val="24"/>
        </w:rPr>
        <w:t>μmol</w:t>
      </w:r>
      <w:proofErr w:type="spellEnd"/>
      <w:r w:rsidR="00406B6E" w:rsidRPr="00406B6E">
        <w:rPr>
          <w:rFonts w:ascii="Times New Roman" w:hAnsi="Times New Roman" w:cs="Times New Roman"/>
          <w:bCs/>
          <w:sz w:val="24"/>
          <w:szCs w:val="24"/>
        </w:rPr>
        <w:t xml:space="preserve">/m²/s). The fruits from T2 plants exhibited not only superior size but also enhanced quality parameters, including 18% higher capsaicin content as verified through HPLC analysis, building on the findings of </w:t>
      </w:r>
      <w:r w:rsidR="00406B6E" w:rsidRPr="00406B6E">
        <w:rPr>
          <w:rFonts w:ascii="Times New Roman" w:hAnsi="Times New Roman" w:cs="Times New Roman"/>
          <w:bCs/>
          <w:sz w:val="24"/>
          <w:szCs w:val="24"/>
        </w:rPr>
        <w:lastRenderedPageBreak/>
        <w:t xml:space="preserve">AICRP-Spices (Singh </w:t>
      </w:r>
      <w:r w:rsidR="00406B6E" w:rsidRPr="003F6493">
        <w:rPr>
          <w:rFonts w:ascii="Times New Roman" w:hAnsi="Times New Roman" w:cs="Times New Roman"/>
          <w:bCs/>
          <w:i/>
          <w:sz w:val="24"/>
          <w:szCs w:val="24"/>
        </w:rPr>
        <w:t>et a</w:t>
      </w:r>
      <w:r w:rsidR="00406B6E" w:rsidRPr="00406B6E">
        <w:rPr>
          <w:rFonts w:ascii="Times New Roman" w:hAnsi="Times New Roman" w:cs="Times New Roman"/>
          <w:bCs/>
          <w:sz w:val="24"/>
          <w:szCs w:val="24"/>
        </w:rPr>
        <w:t>l., 2022) regarding light quality influences on secondary metabolite production.</w:t>
      </w:r>
      <w:r>
        <w:rPr>
          <w:rFonts w:ascii="Times New Roman" w:hAnsi="Times New Roman" w:cs="Times New Roman"/>
          <w:bCs/>
          <w:sz w:val="24"/>
          <w:szCs w:val="24"/>
        </w:rPr>
        <w:t xml:space="preserve"> </w:t>
      </w:r>
      <w:r w:rsidRPr="00376EFD">
        <w:rPr>
          <w:rFonts w:ascii="Times New Roman" w:hAnsi="Times New Roman" w:cs="Times New Roman"/>
          <w:bCs/>
          <w:sz w:val="24"/>
          <w:szCs w:val="24"/>
        </w:rPr>
        <w:t>Decline in Performance under Open-Field Cultivation without RDF Conversely, open-field cultivation without RDF (T3) resulted in the poorest growth and yield, with stunted plant height (62.72 cm), shorter leaves (7.51 cm), fewer leaves (98.81), and reduced fruit yield (1.77 qt/unit area). This decline can be primarily attributed to nutrient deficiency, as RDF plays a critical role in cell division, chlorophyll synthesis, and carbohydrate metabolism (</w:t>
      </w:r>
      <w:proofErr w:type="spellStart"/>
      <w:r w:rsidRPr="00376EFD">
        <w:rPr>
          <w:rFonts w:ascii="Times New Roman" w:hAnsi="Times New Roman" w:cs="Times New Roman"/>
          <w:bCs/>
          <w:sz w:val="24"/>
          <w:szCs w:val="24"/>
        </w:rPr>
        <w:t>Fageria</w:t>
      </w:r>
      <w:proofErr w:type="spellEnd"/>
      <w:r w:rsidRPr="00376EFD">
        <w:rPr>
          <w:rFonts w:ascii="Times New Roman" w:hAnsi="Times New Roman" w:cs="Times New Roman"/>
          <w:bCs/>
          <w:sz w:val="24"/>
          <w:szCs w:val="24"/>
        </w:rPr>
        <w:t xml:space="preserve">, 2009). Studies by Srinivasan (2012) on </w:t>
      </w:r>
      <w:proofErr w:type="spellStart"/>
      <w:r w:rsidRPr="00376EFD">
        <w:rPr>
          <w:rFonts w:ascii="Times New Roman" w:hAnsi="Times New Roman" w:cs="Times New Roman"/>
          <w:bCs/>
          <w:sz w:val="24"/>
          <w:szCs w:val="24"/>
        </w:rPr>
        <w:t>chilli</w:t>
      </w:r>
      <w:proofErr w:type="spellEnd"/>
      <w:r w:rsidRPr="00376EFD">
        <w:rPr>
          <w:rFonts w:ascii="Times New Roman" w:hAnsi="Times New Roman" w:cs="Times New Roman"/>
          <w:bCs/>
          <w:sz w:val="24"/>
          <w:szCs w:val="24"/>
        </w:rPr>
        <w:t xml:space="preserve"> cultivation under low-nutrient conditions reported similar reductions in vegetative growth and yield, reinforcing the necessity of balanced fertilization. Furthermore, open-field conditions expose plants to environmental stressors such as temperature extremes, erratic rainfall, and pest infestations, which further compromise productivity (Kumar &amp; Poehling, 2006).</w:t>
      </w:r>
    </w:p>
    <w:p w14:paraId="3505ECAF" w14:textId="77777777" w:rsidR="00406B6E" w:rsidRPr="008916C6" w:rsidRDefault="00406B6E" w:rsidP="00406B6E">
      <w:pPr>
        <w:rPr>
          <w:rFonts w:ascii="Times New Roman" w:hAnsi="Times New Roman" w:cs="Times New Roman"/>
          <w:bCs/>
          <w:sz w:val="24"/>
          <w:szCs w:val="24"/>
        </w:rPr>
      </w:pPr>
      <w:r w:rsidRPr="008916C6">
        <w:rPr>
          <w:rFonts w:ascii="Times New Roman" w:hAnsi="Times New Roman" w:cs="Times New Roman"/>
          <w:b/>
          <w:bCs/>
          <w:sz w:val="24"/>
          <w:szCs w:val="24"/>
        </w:rPr>
        <w:t>Economic Realities and Practical Implications:</w:t>
      </w:r>
    </w:p>
    <w:p w14:paraId="3F55D3AF" w14:textId="77777777" w:rsidR="00406B6E" w:rsidRPr="00406B6E" w:rsidRDefault="00406B6E" w:rsidP="00734518">
      <w:pPr>
        <w:jc w:val="both"/>
        <w:rPr>
          <w:rFonts w:ascii="Times New Roman" w:hAnsi="Times New Roman" w:cs="Times New Roman"/>
          <w:bCs/>
          <w:sz w:val="24"/>
          <w:szCs w:val="24"/>
        </w:rPr>
      </w:pPr>
      <w:r w:rsidRPr="00406B6E">
        <w:rPr>
          <w:rFonts w:ascii="Times New Roman" w:hAnsi="Times New Roman" w:cs="Times New Roman"/>
          <w:bCs/>
          <w:sz w:val="24"/>
          <w:szCs w:val="24"/>
        </w:rPr>
        <w:t>While the agronomic benefits of polyhouse cultivation are unequivocal, the economic analysis presents a more nuanced picture.</w:t>
      </w:r>
      <w:r w:rsidR="003F6493">
        <w:rPr>
          <w:rFonts w:ascii="Times New Roman" w:hAnsi="Times New Roman" w:cs="Times New Roman"/>
          <w:bCs/>
          <w:sz w:val="24"/>
          <w:szCs w:val="24"/>
        </w:rPr>
        <w:t xml:space="preserve"> </w:t>
      </w:r>
      <w:r w:rsidR="003F6493" w:rsidRPr="003F6493">
        <w:rPr>
          <w:rFonts w:ascii="Times New Roman" w:hAnsi="Times New Roman" w:cs="Times New Roman"/>
          <w:bCs/>
          <w:sz w:val="24"/>
          <w:szCs w:val="24"/>
        </w:rPr>
        <w:t>Trade-offs Between Yield and Profitability Despite the agronomic superiority of polyhouse cultivation, open-field cultivation with 100% RDF (T1) generated the highest net income (</w:t>
      </w:r>
      <w:r w:rsidR="003F6493">
        <w:rPr>
          <w:rFonts w:ascii="Times New Roman" w:hAnsi="Times New Roman" w:cs="Times New Roman"/>
          <w:bCs/>
          <w:sz w:val="24"/>
          <w:szCs w:val="24"/>
        </w:rPr>
        <w:t>Rs.</w:t>
      </w:r>
      <w:r w:rsidR="003F6493" w:rsidRPr="003F6493">
        <w:rPr>
          <w:rFonts w:ascii="Times New Roman" w:hAnsi="Times New Roman" w:cs="Times New Roman"/>
          <w:bCs/>
          <w:sz w:val="24"/>
          <w:szCs w:val="24"/>
        </w:rPr>
        <w:t xml:space="preserve"> 29,040) and benefit-cost ratio (2.14). This economic advantage stems from the lower initial investment required for open-field systems compared to polyhouses, which involve substantial infrastructure and maintenance costs (Jensen &amp; Malter, 1995). Similar observations were made by Kumar </w:t>
      </w:r>
      <w:r w:rsidR="003F6493" w:rsidRPr="003F6493">
        <w:rPr>
          <w:rFonts w:ascii="Times New Roman" w:hAnsi="Times New Roman" w:cs="Times New Roman"/>
          <w:bCs/>
          <w:i/>
          <w:sz w:val="24"/>
          <w:szCs w:val="24"/>
        </w:rPr>
        <w:t>et al</w:t>
      </w:r>
      <w:r w:rsidR="003F6493" w:rsidRPr="003F6493">
        <w:rPr>
          <w:rFonts w:ascii="Times New Roman" w:hAnsi="Times New Roman" w:cs="Times New Roman"/>
          <w:bCs/>
          <w:sz w:val="24"/>
          <w:szCs w:val="24"/>
        </w:rPr>
        <w:t>. (2020), who noted that while protected cultivation boosts yield, its high capital and operational expenses often diminish net returns, particularly for small-scale farmers</w:t>
      </w:r>
      <w:r w:rsidR="003F6493">
        <w:rPr>
          <w:rFonts w:ascii="Times New Roman" w:hAnsi="Times New Roman" w:cs="Times New Roman"/>
          <w:bCs/>
          <w:sz w:val="24"/>
          <w:szCs w:val="24"/>
        </w:rPr>
        <w:t>.</w:t>
      </w:r>
      <w:r w:rsidRPr="00406B6E">
        <w:rPr>
          <w:rFonts w:ascii="Times New Roman" w:hAnsi="Times New Roman" w:cs="Times New Roman"/>
          <w:bCs/>
          <w:sz w:val="24"/>
          <w:szCs w:val="24"/>
        </w:rPr>
        <w:t xml:space="preserve"> The superior benefit-cost ratio (2.14) of open-field cultivation with RDF (T1) reflects ground realities well-documented by economists at National Institute of Agricultural Economics and Policy Research (Kumar </w:t>
      </w:r>
      <w:r w:rsidRPr="003F6493">
        <w:rPr>
          <w:rFonts w:ascii="Times New Roman" w:hAnsi="Times New Roman" w:cs="Times New Roman"/>
          <w:bCs/>
          <w:i/>
          <w:sz w:val="24"/>
          <w:szCs w:val="24"/>
        </w:rPr>
        <w:t>et al</w:t>
      </w:r>
      <w:r w:rsidRPr="00406B6E">
        <w:rPr>
          <w:rFonts w:ascii="Times New Roman" w:hAnsi="Times New Roman" w:cs="Times New Roman"/>
          <w:bCs/>
          <w:sz w:val="24"/>
          <w:szCs w:val="24"/>
        </w:rPr>
        <w:t xml:space="preserve">., 2020). Their pan-India study on protected cultivation adoption patterns revealed that infrastructure costs exceeding </w:t>
      </w:r>
      <w:r w:rsidR="003F6493">
        <w:rPr>
          <w:rFonts w:ascii="Times New Roman" w:hAnsi="Times New Roman" w:cs="Times New Roman"/>
          <w:bCs/>
          <w:sz w:val="24"/>
          <w:szCs w:val="24"/>
        </w:rPr>
        <w:t xml:space="preserve">Rs. </w:t>
      </w:r>
      <w:r w:rsidRPr="00406B6E">
        <w:rPr>
          <w:rFonts w:ascii="Times New Roman" w:hAnsi="Times New Roman" w:cs="Times New Roman"/>
          <w:bCs/>
          <w:sz w:val="24"/>
          <w:szCs w:val="24"/>
        </w:rPr>
        <w:t xml:space="preserve">25/m² become prohibitive for smallholders without institutional support. Our findings gain additional credence from recent socioeconomic analyses by Joshi </w:t>
      </w:r>
      <w:r w:rsidRPr="003F6493">
        <w:rPr>
          <w:rFonts w:ascii="Times New Roman" w:hAnsi="Times New Roman" w:cs="Times New Roman"/>
          <w:bCs/>
          <w:i/>
          <w:sz w:val="24"/>
          <w:szCs w:val="24"/>
        </w:rPr>
        <w:t>et al</w:t>
      </w:r>
      <w:r w:rsidRPr="00406B6E">
        <w:rPr>
          <w:rFonts w:ascii="Times New Roman" w:hAnsi="Times New Roman" w:cs="Times New Roman"/>
          <w:bCs/>
          <w:sz w:val="24"/>
          <w:szCs w:val="24"/>
        </w:rPr>
        <w:t xml:space="preserve">. (2023) at Assam Agricultural University, showing that polyhouse profitability becomes viable only when produce commands at least 20% price premium in local markets. This economic paradox, where biological optimization doesn't translate to financial viability, has been observed in other high-value crops across developing economies (Van </w:t>
      </w:r>
      <w:proofErr w:type="spellStart"/>
      <w:r w:rsidRPr="00406B6E">
        <w:rPr>
          <w:rFonts w:ascii="Times New Roman" w:hAnsi="Times New Roman" w:cs="Times New Roman"/>
          <w:bCs/>
          <w:sz w:val="24"/>
          <w:szCs w:val="24"/>
        </w:rPr>
        <w:t>Ittersum</w:t>
      </w:r>
      <w:proofErr w:type="spellEnd"/>
      <w:r w:rsidRPr="00406B6E">
        <w:rPr>
          <w:rFonts w:ascii="Times New Roman" w:hAnsi="Times New Roman" w:cs="Times New Roman"/>
          <w:bCs/>
          <w:sz w:val="24"/>
          <w:szCs w:val="24"/>
        </w:rPr>
        <w:t xml:space="preserve"> </w:t>
      </w:r>
      <w:r w:rsidRPr="003F6493">
        <w:rPr>
          <w:rFonts w:ascii="Times New Roman" w:hAnsi="Times New Roman" w:cs="Times New Roman"/>
          <w:bCs/>
          <w:i/>
          <w:sz w:val="24"/>
          <w:szCs w:val="24"/>
        </w:rPr>
        <w:t>et a</w:t>
      </w:r>
      <w:r w:rsidRPr="00406B6E">
        <w:rPr>
          <w:rFonts w:ascii="Times New Roman" w:hAnsi="Times New Roman" w:cs="Times New Roman"/>
          <w:bCs/>
          <w:sz w:val="24"/>
          <w:szCs w:val="24"/>
        </w:rPr>
        <w:t xml:space="preserve">l., 2013; Fischer </w:t>
      </w:r>
      <w:r w:rsidRPr="003F6493">
        <w:rPr>
          <w:rFonts w:ascii="Times New Roman" w:hAnsi="Times New Roman" w:cs="Times New Roman"/>
          <w:bCs/>
          <w:i/>
          <w:sz w:val="24"/>
          <w:szCs w:val="24"/>
        </w:rPr>
        <w:t>et al</w:t>
      </w:r>
      <w:r w:rsidRPr="00406B6E">
        <w:rPr>
          <w:rFonts w:ascii="Times New Roman" w:hAnsi="Times New Roman" w:cs="Times New Roman"/>
          <w:bCs/>
          <w:sz w:val="24"/>
          <w:szCs w:val="24"/>
        </w:rPr>
        <w:t>., 2021).</w:t>
      </w:r>
    </w:p>
    <w:p w14:paraId="5AA6BFCF" w14:textId="77777777" w:rsidR="00713BA7" w:rsidRPr="008916C6" w:rsidRDefault="00406B6E" w:rsidP="00713BA7">
      <w:pPr>
        <w:rPr>
          <w:rFonts w:ascii="Times New Roman" w:hAnsi="Times New Roman" w:cs="Times New Roman"/>
          <w:bCs/>
          <w:sz w:val="24"/>
          <w:szCs w:val="24"/>
        </w:rPr>
      </w:pPr>
      <w:r w:rsidRPr="008916C6">
        <w:rPr>
          <w:rFonts w:ascii="Times New Roman" w:hAnsi="Times New Roman" w:cs="Times New Roman"/>
          <w:b/>
          <w:bCs/>
          <w:sz w:val="24"/>
          <w:szCs w:val="24"/>
        </w:rPr>
        <w:t>Sustainability Considerations and Future Directions:</w:t>
      </w:r>
      <w:r w:rsidRPr="008916C6">
        <w:rPr>
          <w:rFonts w:ascii="Times New Roman" w:hAnsi="Times New Roman" w:cs="Times New Roman"/>
          <w:bCs/>
          <w:sz w:val="24"/>
          <w:szCs w:val="24"/>
        </w:rPr>
        <w:br/>
      </w:r>
    </w:p>
    <w:p w14:paraId="4A193CDE" w14:textId="77777777" w:rsidR="00406B6E" w:rsidRPr="00406B6E" w:rsidRDefault="00406B6E" w:rsidP="00713BA7">
      <w:pPr>
        <w:jc w:val="both"/>
        <w:rPr>
          <w:rFonts w:ascii="Times New Roman" w:hAnsi="Times New Roman" w:cs="Times New Roman"/>
          <w:bCs/>
          <w:sz w:val="24"/>
          <w:szCs w:val="24"/>
        </w:rPr>
      </w:pPr>
      <w:r w:rsidRPr="00406B6E">
        <w:rPr>
          <w:rFonts w:ascii="Times New Roman" w:hAnsi="Times New Roman" w:cs="Times New Roman"/>
          <w:bCs/>
          <w:sz w:val="24"/>
          <w:szCs w:val="24"/>
        </w:rPr>
        <w:t xml:space="preserve">The study suggests two promising pathways for reconciling yield potential with economic viability. First, the development of low-cost protected structures, building on innovations demonstrated by Singh and Singh (2022) at ICAR-CIPHET, who achieved 80% of polyhouse yields using walk-in tunnels costing just 40% as much. Second, precision nutrient management approaches, as successfully implemented by researchers at Kerala Agricultural University (Nair </w:t>
      </w:r>
      <w:r w:rsidRPr="003F6493">
        <w:rPr>
          <w:rFonts w:ascii="Times New Roman" w:hAnsi="Times New Roman" w:cs="Times New Roman"/>
          <w:bCs/>
          <w:i/>
          <w:sz w:val="24"/>
          <w:szCs w:val="24"/>
        </w:rPr>
        <w:t>et al</w:t>
      </w:r>
      <w:r w:rsidRPr="00406B6E">
        <w:rPr>
          <w:rFonts w:ascii="Times New Roman" w:hAnsi="Times New Roman" w:cs="Times New Roman"/>
          <w:bCs/>
          <w:sz w:val="24"/>
          <w:szCs w:val="24"/>
        </w:rPr>
        <w:t xml:space="preserve">., 2023), where sensor-based fertigation reduced fertilizer use by 30% while maintaining </w:t>
      </w:r>
      <w:r w:rsidRPr="00406B6E">
        <w:rPr>
          <w:rFonts w:ascii="Times New Roman" w:hAnsi="Times New Roman" w:cs="Times New Roman"/>
          <w:bCs/>
          <w:sz w:val="24"/>
          <w:szCs w:val="24"/>
        </w:rPr>
        <w:lastRenderedPageBreak/>
        <w:t xml:space="preserve">95% of conventional yields. These approaches, combined with the climate-resilient varieties currently under development at ICAR-IIVR (Dwivedi </w:t>
      </w:r>
      <w:r w:rsidRPr="003F6493">
        <w:rPr>
          <w:rFonts w:ascii="Times New Roman" w:hAnsi="Times New Roman" w:cs="Times New Roman"/>
          <w:bCs/>
          <w:i/>
          <w:sz w:val="24"/>
          <w:szCs w:val="24"/>
        </w:rPr>
        <w:t>et al</w:t>
      </w:r>
      <w:r w:rsidRPr="00406B6E">
        <w:rPr>
          <w:rFonts w:ascii="Times New Roman" w:hAnsi="Times New Roman" w:cs="Times New Roman"/>
          <w:bCs/>
          <w:sz w:val="24"/>
          <w:szCs w:val="24"/>
        </w:rPr>
        <w:t xml:space="preserve">., 2024), offer practical solutions for Assam's </w:t>
      </w:r>
      <w:proofErr w:type="spellStart"/>
      <w:r w:rsidRPr="00406B6E">
        <w:rPr>
          <w:rFonts w:ascii="Times New Roman" w:hAnsi="Times New Roman" w:cs="Times New Roman"/>
          <w:bCs/>
          <w:sz w:val="24"/>
          <w:szCs w:val="24"/>
        </w:rPr>
        <w:t>chilli</w:t>
      </w:r>
      <w:proofErr w:type="spellEnd"/>
      <w:r w:rsidRPr="00406B6E">
        <w:rPr>
          <w:rFonts w:ascii="Times New Roman" w:hAnsi="Times New Roman" w:cs="Times New Roman"/>
          <w:bCs/>
          <w:sz w:val="24"/>
          <w:szCs w:val="24"/>
        </w:rPr>
        <w:t xml:space="preserve"> growers. Recent advances in phase-change materials for temperature regulation (IIT Guwahati prototypes) and blockchain-enabled direct marketing (Spices Board India initiatives) present exciting opportunities to overcome the current economic barriers to protected cultivation adoption.</w:t>
      </w:r>
    </w:p>
    <w:p w14:paraId="4540F43A" w14:textId="77777777" w:rsidR="00406B6E" w:rsidRDefault="00406B6E" w:rsidP="00713BA7">
      <w:pPr>
        <w:jc w:val="both"/>
        <w:rPr>
          <w:rFonts w:ascii="Times New Roman" w:hAnsi="Times New Roman" w:cs="Times New Roman"/>
          <w:bCs/>
          <w:sz w:val="24"/>
          <w:szCs w:val="24"/>
        </w:rPr>
      </w:pPr>
      <w:r w:rsidRPr="00406B6E">
        <w:rPr>
          <w:rFonts w:ascii="Times New Roman" w:hAnsi="Times New Roman" w:cs="Times New Roman"/>
          <w:bCs/>
          <w:sz w:val="24"/>
          <w:szCs w:val="24"/>
        </w:rPr>
        <w:t xml:space="preserve">This comprehensive study establishes that while polyhouse cultivation represents the agronomic ideal for King </w:t>
      </w:r>
      <w:proofErr w:type="spellStart"/>
      <w:r w:rsidRPr="00406B6E">
        <w:rPr>
          <w:rFonts w:ascii="Times New Roman" w:hAnsi="Times New Roman" w:cs="Times New Roman"/>
          <w:bCs/>
          <w:sz w:val="24"/>
          <w:szCs w:val="24"/>
        </w:rPr>
        <w:t>chilli</w:t>
      </w:r>
      <w:proofErr w:type="spellEnd"/>
      <w:r w:rsidRPr="00406B6E">
        <w:rPr>
          <w:rFonts w:ascii="Times New Roman" w:hAnsi="Times New Roman" w:cs="Times New Roman"/>
          <w:bCs/>
          <w:sz w:val="24"/>
          <w:szCs w:val="24"/>
        </w:rPr>
        <w:t xml:space="preserve"> production, its widespread adoption awaits technological and institutional innovations that address economic constraints. The findings provide both a caution against indiscriminate promotion of capital-intensive protected cultivation and a roadmap for developing context-appropriate solutions that balance productivity with profitability in smallholder farming systems. Future research should focus on adapting these insights to develop location-specific packages that account for regional variations in climate, market access, and farmer resource availability, while continuing to push the boundaries of sustainable intensification in spice crop production.</w:t>
      </w:r>
    </w:p>
    <w:p w14:paraId="67E63E44" w14:textId="77777777" w:rsidR="00734518" w:rsidRPr="00406B6E" w:rsidRDefault="00734518" w:rsidP="00406B6E">
      <w:pPr>
        <w:rPr>
          <w:rFonts w:ascii="Times New Roman" w:hAnsi="Times New Roman" w:cs="Times New Roman"/>
          <w:bCs/>
          <w:sz w:val="24"/>
          <w:szCs w:val="24"/>
        </w:rPr>
      </w:pPr>
    </w:p>
    <w:tbl>
      <w:tblPr>
        <w:tblStyle w:val="TableGrid"/>
        <w:tblW w:w="9067" w:type="dxa"/>
        <w:jc w:val="center"/>
        <w:tblLook w:val="04A0" w:firstRow="1" w:lastRow="0" w:firstColumn="1" w:lastColumn="0" w:noHBand="0" w:noVBand="1"/>
      </w:tblPr>
      <w:tblGrid>
        <w:gridCol w:w="1838"/>
        <w:gridCol w:w="1418"/>
        <w:gridCol w:w="1417"/>
        <w:gridCol w:w="1559"/>
        <w:gridCol w:w="1418"/>
        <w:gridCol w:w="1417"/>
      </w:tblGrid>
      <w:tr w:rsidR="00EE6404" w:rsidRPr="003F6493" w14:paraId="6C7967B7" w14:textId="77777777" w:rsidTr="003F6493">
        <w:trPr>
          <w:jc w:val="center"/>
        </w:trPr>
        <w:tc>
          <w:tcPr>
            <w:tcW w:w="1838" w:type="dxa"/>
            <w:vMerge w:val="restart"/>
            <w:tcBorders>
              <w:left w:val="single" w:sz="4" w:space="0" w:color="000000" w:themeColor="text1"/>
              <w:right w:val="single" w:sz="4" w:space="0" w:color="000000" w:themeColor="text1"/>
            </w:tcBorders>
          </w:tcPr>
          <w:p w14:paraId="06EFB7CF" w14:textId="77777777" w:rsidR="00EE6404" w:rsidRPr="003F6493" w:rsidRDefault="00EE6404" w:rsidP="00972B77">
            <w:pPr>
              <w:jc w:val="center"/>
              <w:rPr>
                <w:rFonts w:ascii="Times New Roman" w:hAnsi="Times New Roman" w:cs="Times New Roman"/>
                <w:b/>
                <w:sz w:val="22"/>
                <w:szCs w:val="22"/>
              </w:rPr>
            </w:pPr>
            <w:r w:rsidRPr="003F6493">
              <w:rPr>
                <w:rFonts w:ascii="Times New Roman" w:hAnsi="Times New Roman" w:cs="Times New Roman"/>
                <w:b/>
                <w:sz w:val="22"/>
                <w:szCs w:val="22"/>
              </w:rPr>
              <w:t>Cultivation practice</w:t>
            </w:r>
          </w:p>
        </w:tc>
        <w:tc>
          <w:tcPr>
            <w:tcW w:w="722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B3267"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b/>
                <w:sz w:val="22"/>
                <w:szCs w:val="22"/>
              </w:rPr>
              <w:t>Growth Parameters</w:t>
            </w:r>
          </w:p>
        </w:tc>
      </w:tr>
      <w:tr w:rsidR="00EE6404" w:rsidRPr="003F6493" w14:paraId="0B080446" w14:textId="77777777" w:rsidTr="003F6493">
        <w:trPr>
          <w:jc w:val="center"/>
        </w:trPr>
        <w:tc>
          <w:tcPr>
            <w:tcW w:w="1838" w:type="dxa"/>
            <w:vMerge/>
            <w:tcBorders>
              <w:left w:val="single" w:sz="4" w:space="0" w:color="000000" w:themeColor="text1"/>
              <w:bottom w:val="single" w:sz="4" w:space="0" w:color="000000" w:themeColor="text1"/>
              <w:right w:val="single" w:sz="4" w:space="0" w:color="000000" w:themeColor="text1"/>
            </w:tcBorders>
          </w:tcPr>
          <w:p w14:paraId="088CD091" w14:textId="77777777" w:rsidR="00EE6404" w:rsidRPr="003F6493" w:rsidRDefault="00EE6404" w:rsidP="00972B77">
            <w:pPr>
              <w:jc w:val="center"/>
              <w:rPr>
                <w:rFonts w:ascii="Times New Roman" w:hAnsi="Times New Roman" w:cs="Times New Roman"/>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A1289"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Plant height (cm)</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5CCA9" w14:textId="77777777" w:rsidR="00EE6404" w:rsidRPr="003F6493" w:rsidRDefault="00EE6404" w:rsidP="00972B77">
            <w:pPr>
              <w:rPr>
                <w:rFonts w:ascii="Times New Roman" w:hAnsi="Times New Roman" w:cs="Times New Roman"/>
                <w:sz w:val="22"/>
                <w:szCs w:val="22"/>
              </w:rPr>
            </w:pPr>
            <w:r w:rsidRPr="003F6493">
              <w:rPr>
                <w:rFonts w:ascii="Times New Roman" w:hAnsi="Times New Roman" w:cs="Times New Roman"/>
                <w:sz w:val="22"/>
                <w:szCs w:val="22"/>
              </w:rPr>
              <w:t>Leaf length (cm)</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966C1"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Leaf/plant</w:t>
            </w:r>
          </w:p>
          <w:p w14:paraId="05C7E198"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bCs/>
                <w:sz w:val="22"/>
                <w:szCs w:val="22"/>
              </w:rPr>
              <w:t>(Nos.)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631C6" w14:textId="77777777" w:rsidR="00EE6404" w:rsidRPr="003F6493" w:rsidRDefault="00EE6404" w:rsidP="00972B77">
            <w:pPr>
              <w:rPr>
                <w:rFonts w:ascii="Times New Roman" w:hAnsi="Times New Roman" w:cs="Times New Roman"/>
                <w:sz w:val="22"/>
                <w:szCs w:val="22"/>
              </w:rPr>
            </w:pPr>
            <w:r w:rsidRPr="003F6493">
              <w:rPr>
                <w:rFonts w:ascii="Times New Roman" w:hAnsi="Times New Roman" w:cs="Times New Roman"/>
                <w:sz w:val="22"/>
                <w:szCs w:val="22"/>
              </w:rPr>
              <w:t>Days to 1</w:t>
            </w:r>
            <w:proofErr w:type="gramStart"/>
            <w:r w:rsidRPr="003F6493">
              <w:rPr>
                <w:rFonts w:ascii="Times New Roman" w:hAnsi="Times New Roman" w:cs="Times New Roman"/>
                <w:sz w:val="22"/>
                <w:szCs w:val="22"/>
                <w:vertAlign w:val="superscript"/>
              </w:rPr>
              <w:t>st</w:t>
            </w:r>
            <w:r w:rsidRPr="003F6493">
              <w:rPr>
                <w:rFonts w:ascii="Times New Roman" w:hAnsi="Times New Roman" w:cs="Times New Roman"/>
                <w:sz w:val="22"/>
                <w:szCs w:val="22"/>
              </w:rPr>
              <w:t xml:space="preserve">  Flowering</w:t>
            </w:r>
            <w:proofErr w:type="gram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0638E"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50% flowering (Days)</w:t>
            </w:r>
          </w:p>
        </w:tc>
      </w:tr>
      <w:tr w:rsidR="00EE6404" w:rsidRPr="003F6493" w14:paraId="10776D3D" w14:textId="77777777" w:rsidTr="003F6493">
        <w:trPr>
          <w:jc w:val="center"/>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8A20F" w14:textId="77777777" w:rsidR="00EE6404" w:rsidRPr="003F6493" w:rsidRDefault="00EE6404" w:rsidP="00972B77">
            <w:pPr>
              <w:jc w:val="both"/>
              <w:rPr>
                <w:rFonts w:ascii="Times New Roman" w:hAnsi="Times New Roman" w:cs="Times New Roman"/>
                <w:bCs/>
                <w:sz w:val="22"/>
                <w:szCs w:val="22"/>
              </w:rPr>
            </w:pPr>
            <w:r w:rsidRPr="003F6493">
              <w:rPr>
                <w:rFonts w:ascii="Times New Roman" w:hAnsi="Times New Roman" w:cs="Times New Roman"/>
                <w:bCs/>
                <w:sz w:val="22"/>
                <w:szCs w:val="22"/>
              </w:rPr>
              <w:t xml:space="preserve">T1. Open condition with 100% RDF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8DEEDD"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77.50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119730"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8.52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E1CC80"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114.40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6F2FF4"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83.50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8F7B3B"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101.60</w:t>
            </w:r>
          </w:p>
        </w:tc>
      </w:tr>
      <w:tr w:rsidR="00EE6404" w:rsidRPr="003F6493" w14:paraId="1D0888D9" w14:textId="77777777" w:rsidTr="003F6493">
        <w:trPr>
          <w:jc w:val="center"/>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678BA" w14:textId="77777777" w:rsidR="00EE6404" w:rsidRPr="003F6493" w:rsidRDefault="00EE6404" w:rsidP="00972B77">
            <w:pPr>
              <w:jc w:val="both"/>
              <w:rPr>
                <w:rFonts w:ascii="Times New Roman" w:hAnsi="Times New Roman" w:cs="Times New Roman"/>
                <w:bCs/>
                <w:sz w:val="22"/>
                <w:szCs w:val="22"/>
              </w:rPr>
            </w:pPr>
            <w:r w:rsidRPr="003F6493">
              <w:rPr>
                <w:rFonts w:ascii="Times New Roman" w:hAnsi="Times New Roman" w:cs="Times New Roman"/>
                <w:bCs/>
                <w:sz w:val="22"/>
                <w:szCs w:val="22"/>
              </w:rPr>
              <w:t xml:space="preserve">T2. </w:t>
            </w:r>
            <w:proofErr w:type="spellStart"/>
            <w:r w:rsidRPr="003F6493">
              <w:rPr>
                <w:rFonts w:ascii="Times New Roman" w:hAnsi="Times New Roman" w:cs="Times New Roman"/>
                <w:bCs/>
                <w:sz w:val="22"/>
                <w:szCs w:val="22"/>
              </w:rPr>
              <w:t>Polyhouse</w:t>
            </w:r>
            <w:proofErr w:type="spellEnd"/>
            <w:r w:rsidRPr="003F6493">
              <w:rPr>
                <w:rFonts w:ascii="Times New Roman" w:hAnsi="Times New Roman" w:cs="Times New Roman"/>
                <w:bCs/>
                <w:sz w:val="22"/>
                <w:szCs w:val="22"/>
              </w:rPr>
              <w:t xml:space="preserve"> </w:t>
            </w:r>
            <w:proofErr w:type="spellStart"/>
            <w:r w:rsidRPr="003F6493">
              <w:rPr>
                <w:rFonts w:ascii="Times New Roman" w:hAnsi="Times New Roman" w:cs="Times New Roman"/>
                <w:bCs/>
                <w:sz w:val="22"/>
                <w:szCs w:val="22"/>
              </w:rPr>
              <w:t>conditionwith</w:t>
            </w:r>
            <w:proofErr w:type="spellEnd"/>
            <w:r w:rsidRPr="003F6493">
              <w:rPr>
                <w:rFonts w:ascii="Times New Roman" w:hAnsi="Times New Roman" w:cs="Times New Roman"/>
                <w:bCs/>
                <w:sz w:val="22"/>
                <w:szCs w:val="22"/>
              </w:rPr>
              <w:t xml:space="preserve"> 100% RDF</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7260EC"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98.54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FD000C"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9.32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F79CAF"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117.50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42B49F"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81.50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1829CE"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97.20</w:t>
            </w:r>
          </w:p>
        </w:tc>
      </w:tr>
      <w:tr w:rsidR="00EE6404" w:rsidRPr="003F6493" w14:paraId="73688E57" w14:textId="77777777" w:rsidTr="003F6493">
        <w:trPr>
          <w:jc w:val="center"/>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6AB78" w14:textId="77777777" w:rsidR="00EE6404" w:rsidRPr="003F6493" w:rsidRDefault="00EE6404" w:rsidP="00972B77">
            <w:pPr>
              <w:jc w:val="both"/>
              <w:rPr>
                <w:rFonts w:ascii="Times New Roman" w:hAnsi="Times New Roman" w:cs="Times New Roman"/>
                <w:bCs/>
                <w:sz w:val="22"/>
                <w:szCs w:val="22"/>
              </w:rPr>
            </w:pPr>
            <w:r w:rsidRPr="003F6493">
              <w:rPr>
                <w:rFonts w:ascii="Times New Roman" w:hAnsi="Times New Roman" w:cs="Times New Roman"/>
                <w:bCs/>
                <w:sz w:val="22"/>
                <w:szCs w:val="22"/>
              </w:rPr>
              <w:t>T</w:t>
            </w:r>
            <w:proofErr w:type="gramStart"/>
            <w:r w:rsidRPr="003F6493">
              <w:rPr>
                <w:rFonts w:ascii="Times New Roman" w:hAnsi="Times New Roman" w:cs="Times New Roman"/>
                <w:bCs/>
                <w:sz w:val="22"/>
                <w:szCs w:val="22"/>
              </w:rPr>
              <w:t>3.Open</w:t>
            </w:r>
            <w:proofErr w:type="gramEnd"/>
            <w:r w:rsidRPr="003F6493">
              <w:rPr>
                <w:rFonts w:ascii="Times New Roman" w:hAnsi="Times New Roman" w:cs="Times New Roman"/>
                <w:bCs/>
                <w:sz w:val="22"/>
                <w:szCs w:val="22"/>
              </w:rPr>
              <w:t xml:space="preserve"> condition without RDF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9D151A"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62.72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3F5FB0"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7.51</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46A339"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98.81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F0BC10"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88.50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6BA368"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107.90</w:t>
            </w:r>
          </w:p>
        </w:tc>
      </w:tr>
      <w:tr w:rsidR="00EE6404" w:rsidRPr="003F6493" w14:paraId="62AFDDF0" w14:textId="77777777" w:rsidTr="003F6493">
        <w:trPr>
          <w:jc w:val="center"/>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99D57" w14:textId="77777777" w:rsidR="00EE6404" w:rsidRPr="003F6493" w:rsidRDefault="00EE6404" w:rsidP="00972B77">
            <w:pPr>
              <w:jc w:val="both"/>
              <w:rPr>
                <w:rFonts w:ascii="Times New Roman" w:hAnsi="Times New Roman" w:cs="Times New Roman"/>
                <w:b/>
                <w:bCs/>
                <w:sz w:val="22"/>
                <w:szCs w:val="22"/>
              </w:rPr>
            </w:pPr>
            <w:r w:rsidRPr="003F6493">
              <w:rPr>
                <w:rFonts w:ascii="Times New Roman" w:hAnsi="Times New Roman" w:cs="Times New Roman"/>
                <w:b/>
                <w:bCs/>
                <w:sz w:val="22"/>
                <w:szCs w:val="22"/>
              </w:rPr>
              <w:t>CD (0.05)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5BE4B"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5.63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1F2BF"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0.56</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A8FBB"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5.08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8ED00"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4.50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8DA6B"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3.94</w:t>
            </w:r>
          </w:p>
        </w:tc>
      </w:tr>
    </w:tbl>
    <w:p w14:paraId="0FE21A54" w14:textId="77777777" w:rsidR="00EE6404" w:rsidRDefault="00EE6404" w:rsidP="003F6493">
      <w:pPr>
        <w:jc w:val="center"/>
        <w:rPr>
          <w:rFonts w:ascii="Times New Roman" w:hAnsi="Times New Roman" w:cs="Times New Roman"/>
          <w:sz w:val="24"/>
          <w:szCs w:val="24"/>
        </w:rPr>
      </w:pPr>
      <w:r w:rsidRPr="008916C6">
        <w:rPr>
          <w:rFonts w:ascii="Times New Roman" w:hAnsi="Times New Roman" w:cs="Times New Roman"/>
          <w:b/>
          <w:sz w:val="24"/>
          <w:szCs w:val="24"/>
        </w:rPr>
        <w:t>Table 1</w:t>
      </w:r>
      <w:r w:rsidRPr="003F6493">
        <w:rPr>
          <w:rFonts w:ascii="Times New Roman" w:hAnsi="Times New Roman" w:cs="Times New Roman"/>
          <w:sz w:val="24"/>
          <w:szCs w:val="24"/>
        </w:rPr>
        <w:t xml:space="preserve">. Effect of different Cultivation Practice on Growth </w:t>
      </w:r>
      <w:proofErr w:type="gramStart"/>
      <w:r w:rsidRPr="003F6493">
        <w:rPr>
          <w:rFonts w:ascii="Times New Roman" w:hAnsi="Times New Roman" w:cs="Times New Roman"/>
          <w:sz w:val="24"/>
          <w:szCs w:val="24"/>
        </w:rPr>
        <w:t>parameters  in</w:t>
      </w:r>
      <w:proofErr w:type="gramEnd"/>
      <w:r w:rsidRPr="003F6493">
        <w:rPr>
          <w:rFonts w:ascii="Times New Roman" w:hAnsi="Times New Roman" w:cs="Times New Roman"/>
          <w:sz w:val="24"/>
          <w:szCs w:val="24"/>
        </w:rPr>
        <w:t xml:space="preserve"> King </w:t>
      </w:r>
      <w:proofErr w:type="spellStart"/>
      <w:r w:rsidRPr="003F6493">
        <w:rPr>
          <w:rFonts w:ascii="Times New Roman" w:hAnsi="Times New Roman" w:cs="Times New Roman"/>
          <w:sz w:val="24"/>
          <w:szCs w:val="24"/>
        </w:rPr>
        <w:t>chilli</w:t>
      </w:r>
      <w:proofErr w:type="spellEnd"/>
    </w:p>
    <w:p w14:paraId="7018CFB2" w14:textId="77777777" w:rsidR="003F6493" w:rsidRPr="003F6493" w:rsidRDefault="003F6493" w:rsidP="003F6493">
      <w:pPr>
        <w:jc w:val="cente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052"/>
        <w:gridCol w:w="1285"/>
        <w:gridCol w:w="1109"/>
        <w:gridCol w:w="1179"/>
        <w:gridCol w:w="1323"/>
        <w:gridCol w:w="1025"/>
        <w:gridCol w:w="1043"/>
      </w:tblGrid>
      <w:tr w:rsidR="00EE6404" w:rsidRPr="003F6493" w14:paraId="174A9CC4" w14:textId="77777777" w:rsidTr="003F6493">
        <w:trPr>
          <w:jc w:val="center"/>
        </w:trPr>
        <w:tc>
          <w:tcPr>
            <w:tcW w:w="2052" w:type="dxa"/>
            <w:vMerge w:val="restart"/>
            <w:tcBorders>
              <w:top w:val="single" w:sz="4" w:space="0" w:color="000000" w:themeColor="text1"/>
              <w:left w:val="single" w:sz="4" w:space="0" w:color="000000" w:themeColor="text1"/>
              <w:right w:val="single" w:sz="4" w:space="0" w:color="000000" w:themeColor="text1"/>
            </w:tcBorders>
          </w:tcPr>
          <w:p w14:paraId="02E4CEF0" w14:textId="77777777" w:rsidR="00EE6404" w:rsidRPr="003F6493" w:rsidRDefault="00EE6404" w:rsidP="00972B77">
            <w:pPr>
              <w:jc w:val="center"/>
              <w:rPr>
                <w:rFonts w:ascii="Times New Roman" w:hAnsi="Times New Roman" w:cs="Times New Roman"/>
                <w:b/>
                <w:sz w:val="22"/>
                <w:szCs w:val="22"/>
              </w:rPr>
            </w:pPr>
            <w:r w:rsidRPr="003F6493">
              <w:rPr>
                <w:rFonts w:ascii="Times New Roman" w:hAnsi="Times New Roman" w:cs="Times New Roman"/>
                <w:b/>
                <w:sz w:val="22"/>
                <w:szCs w:val="22"/>
              </w:rPr>
              <w:t>Cultivation practice</w:t>
            </w:r>
          </w:p>
        </w:tc>
        <w:tc>
          <w:tcPr>
            <w:tcW w:w="696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376A0" w14:textId="77777777" w:rsidR="00EE6404" w:rsidRPr="003F6493" w:rsidRDefault="00EE6404" w:rsidP="00972B77">
            <w:pPr>
              <w:jc w:val="center"/>
              <w:rPr>
                <w:rFonts w:ascii="Times New Roman" w:hAnsi="Times New Roman" w:cs="Times New Roman"/>
                <w:b/>
                <w:sz w:val="22"/>
                <w:szCs w:val="22"/>
              </w:rPr>
            </w:pPr>
            <w:r w:rsidRPr="003F6493">
              <w:rPr>
                <w:rFonts w:ascii="Times New Roman" w:hAnsi="Times New Roman" w:cs="Times New Roman"/>
                <w:b/>
                <w:sz w:val="22"/>
                <w:szCs w:val="22"/>
              </w:rPr>
              <w:t>Yield attributing characters</w:t>
            </w:r>
          </w:p>
        </w:tc>
      </w:tr>
      <w:tr w:rsidR="00EE6404" w:rsidRPr="003F6493" w14:paraId="72C8BA78" w14:textId="77777777" w:rsidTr="003F6493">
        <w:trPr>
          <w:jc w:val="center"/>
        </w:trPr>
        <w:tc>
          <w:tcPr>
            <w:tcW w:w="2052" w:type="dxa"/>
            <w:vMerge/>
            <w:tcBorders>
              <w:left w:val="single" w:sz="4" w:space="0" w:color="000000" w:themeColor="text1"/>
              <w:bottom w:val="single" w:sz="4" w:space="0" w:color="000000" w:themeColor="text1"/>
              <w:right w:val="single" w:sz="4" w:space="0" w:color="000000" w:themeColor="text1"/>
            </w:tcBorders>
          </w:tcPr>
          <w:p w14:paraId="246CBE02" w14:textId="77777777" w:rsidR="00EE6404" w:rsidRPr="003F6493" w:rsidRDefault="00EE6404" w:rsidP="00972B77">
            <w:pPr>
              <w:jc w:val="both"/>
              <w:rPr>
                <w:rFonts w:ascii="Times New Roman" w:hAnsi="Times New Roman" w:cs="Times New Roman"/>
                <w:b/>
                <w:sz w:val="22"/>
                <w:szCs w:val="22"/>
              </w:rPr>
            </w:pP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C20C0B" w14:textId="77777777" w:rsidR="00EE6404" w:rsidRPr="003F6493" w:rsidRDefault="00EE6404" w:rsidP="00972B77">
            <w:pPr>
              <w:jc w:val="both"/>
              <w:rPr>
                <w:rFonts w:ascii="Times New Roman" w:hAnsi="Times New Roman" w:cs="Times New Roman"/>
                <w:sz w:val="22"/>
                <w:szCs w:val="22"/>
              </w:rPr>
            </w:pPr>
            <w:r w:rsidRPr="003F6493">
              <w:rPr>
                <w:rFonts w:ascii="Times New Roman" w:hAnsi="Times New Roman" w:cs="Times New Roman"/>
                <w:sz w:val="22"/>
                <w:szCs w:val="22"/>
              </w:rPr>
              <w:t>Fruit Length (cm)</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5007B" w14:textId="77777777" w:rsidR="00EE6404" w:rsidRPr="003F6493" w:rsidRDefault="00EE6404" w:rsidP="00972B77">
            <w:pPr>
              <w:jc w:val="both"/>
              <w:rPr>
                <w:rFonts w:ascii="Times New Roman" w:hAnsi="Times New Roman" w:cs="Times New Roman"/>
                <w:sz w:val="22"/>
                <w:szCs w:val="22"/>
              </w:rPr>
            </w:pPr>
            <w:r w:rsidRPr="003F6493">
              <w:rPr>
                <w:rFonts w:ascii="Times New Roman" w:hAnsi="Times New Roman" w:cs="Times New Roman"/>
                <w:sz w:val="22"/>
                <w:szCs w:val="22"/>
              </w:rPr>
              <w:t>Fruit Diameter</w:t>
            </w:r>
          </w:p>
          <w:p w14:paraId="3500132D" w14:textId="77777777" w:rsidR="00EE6404" w:rsidRPr="003F6493" w:rsidRDefault="00EE6404" w:rsidP="00972B77">
            <w:pPr>
              <w:jc w:val="both"/>
              <w:rPr>
                <w:rFonts w:ascii="Times New Roman" w:hAnsi="Times New Roman" w:cs="Times New Roman"/>
                <w:sz w:val="22"/>
                <w:szCs w:val="22"/>
              </w:rPr>
            </w:pPr>
            <w:r w:rsidRPr="003F6493">
              <w:rPr>
                <w:rFonts w:ascii="Times New Roman" w:hAnsi="Times New Roman" w:cs="Times New Roman"/>
                <w:sz w:val="22"/>
                <w:szCs w:val="22"/>
              </w:rPr>
              <w:t>(cm)</w:t>
            </w:r>
          </w:p>
        </w:tc>
        <w:tc>
          <w:tcPr>
            <w:tcW w:w="11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EC6A6E" w14:textId="77777777" w:rsidR="00EE6404" w:rsidRPr="003F6493" w:rsidRDefault="00EE6404" w:rsidP="00972B77">
            <w:pPr>
              <w:jc w:val="both"/>
              <w:rPr>
                <w:rFonts w:ascii="Times New Roman" w:hAnsi="Times New Roman" w:cs="Times New Roman"/>
                <w:sz w:val="22"/>
                <w:szCs w:val="22"/>
              </w:rPr>
            </w:pPr>
            <w:r w:rsidRPr="003F6493">
              <w:rPr>
                <w:rFonts w:ascii="Times New Roman" w:hAnsi="Times New Roman" w:cs="Times New Roman"/>
                <w:sz w:val="22"/>
                <w:szCs w:val="22"/>
              </w:rPr>
              <w:t>Fruit weight</w:t>
            </w:r>
          </w:p>
          <w:p w14:paraId="2EBBF56F" w14:textId="77777777" w:rsidR="00EE6404" w:rsidRPr="003F6493" w:rsidRDefault="00EE6404" w:rsidP="00972B77">
            <w:pPr>
              <w:jc w:val="both"/>
              <w:rPr>
                <w:rFonts w:ascii="Times New Roman" w:hAnsi="Times New Roman" w:cs="Times New Roman"/>
                <w:sz w:val="22"/>
                <w:szCs w:val="22"/>
              </w:rPr>
            </w:pPr>
            <w:r w:rsidRPr="003F6493">
              <w:rPr>
                <w:rFonts w:ascii="Times New Roman" w:hAnsi="Times New Roman" w:cs="Times New Roman"/>
                <w:sz w:val="22"/>
                <w:szCs w:val="22"/>
              </w:rPr>
              <w:t>(gm)</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C38208" w14:textId="77777777" w:rsidR="00EE6404" w:rsidRPr="003F6493" w:rsidRDefault="00EE6404" w:rsidP="00972B77">
            <w:pPr>
              <w:jc w:val="both"/>
              <w:rPr>
                <w:rFonts w:ascii="Times New Roman" w:hAnsi="Times New Roman" w:cs="Times New Roman"/>
                <w:sz w:val="22"/>
                <w:szCs w:val="22"/>
              </w:rPr>
            </w:pPr>
            <w:r w:rsidRPr="003F6493">
              <w:rPr>
                <w:rFonts w:ascii="Times New Roman" w:hAnsi="Times New Roman" w:cs="Times New Roman"/>
                <w:sz w:val="22"/>
                <w:szCs w:val="22"/>
              </w:rPr>
              <w:t>Fruits/plant (Nos.)</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605D87" w14:textId="77777777" w:rsidR="00EE6404" w:rsidRPr="003F6493" w:rsidRDefault="00EE6404" w:rsidP="00972B77">
            <w:pPr>
              <w:jc w:val="both"/>
              <w:rPr>
                <w:rFonts w:ascii="Times New Roman" w:hAnsi="Times New Roman" w:cs="Times New Roman"/>
                <w:sz w:val="22"/>
                <w:szCs w:val="22"/>
              </w:rPr>
            </w:pPr>
            <w:r w:rsidRPr="003F6493">
              <w:rPr>
                <w:rFonts w:ascii="Times New Roman" w:hAnsi="Times New Roman" w:cs="Times New Roman"/>
                <w:sz w:val="22"/>
                <w:szCs w:val="22"/>
              </w:rPr>
              <w:t>Fruit yield /plant (gm)</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F0B7D2" w14:textId="77777777" w:rsidR="00EE6404" w:rsidRPr="003F6493" w:rsidRDefault="00EE6404" w:rsidP="00972B77">
            <w:pPr>
              <w:jc w:val="both"/>
              <w:rPr>
                <w:rFonts w:ascii="Times New Roman" w:hAnsi="Times New Roman" w:cs="Times New Roman"/>
                <w:sz w:val="22"/>
                <w:szCs w:val="22"/>
              </w:rPr>
            </w:pPr>
            <w:r w:rsidRPr="003F6493">
              <w:rPr>
                <w:rFonts w:ascii="Times New Roman" w:hAnsi="Times New Roman" w:cs="Times New Roman"/>
                <w:sz w:val="22"/>
                <w:szCs w:val="22"/>
              </w:rPr>
              <w:t>Fruit yield /practice (qt)</w:t>
            </w:r>
          </w:p>
        </w:tc>
      </w:tr>
      <w:tr w:rsidR="00EE6404" w:rsidRPr="003F6493" w14:paraId="239CBA8C" w14:textId="77777777" w:rsidTr="003F6493">
        <w:trPr>
          <w:jc w:val="center"/>
        </w:trPr>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67CDD" w14:textId="77777777" w:rsidR="00EE6404" w:rsidRPr="003F6493" w:rsidRDefault="00EE6404" w:rsidP="00972B77">
            <w:pPr>
              <w:jc w:val="both"/>
              <w:rPr>
                <w:rFonts w:ascii="Times New Roman" w:hAnsi="Times New Roman" w:cs="Times New Roman"/>
                <w:bCs/>
                <w:sz w:val="22"/>
                <w:szCs w:val="22"/>
              </w:rPr>
            </w:pPr>
            <w:r w:rsidRPr="003F6493">
              <w:rPr>
                <w:rFonts w:ascii="Times New Roman" w:hAnsi="Times New Roman" w:cs="Times New Roman"/>
                <w:bCs/>
                <w:sz w:val="22"/>
                <w:szCs w:val="22"/>
              </w:rPr>
              <w:t xml:space="preserve">T1. Open condition with 100% RDF </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10FA16"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5.35</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56E2A0"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2.90</w:t>
            </w:r>
          </w:p>
        </w:tc>
        <w:tc>
          <w:tcPr>
            <w:tcW w:w="11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40FCA6"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5.58</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29550D"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45.43</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B0D161"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252.48</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5D413D"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2.73</w:t>
            </w:r>
          </w:p>
        </w:tc>
      </w:tr>
      <w:tr w:rsidR="00EE6404" w:rsidRPr="003F6493" w14:paraId="585C9233" w14:textId="77777777" w:rsidTr="003F6493">
        <w:trPr>
          <w:jc w:val="center"/>
        </w:trPr>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D4A3A" w14:textId="77777777" w:rsidR="00EE6404" w:rsidRPr="003F6493" w:rsidRDefault="00EE6404" w:rsidP="00972B77">
            <w:pPr>
              <w:jc w:val="both"/>
              <w:rPr>
                <w:rFonts w:ascii="Times New Roman" w:hAnsi="Times New Roman" w:cs="Times New Roman"/>
                <w:bCs/>
                <w:sz w:val="22"/>
                <w:szCs w:val="22"/>
                <w:lang w:val="en-IN"/>
              </w:rPr>
            </w:pPr>
            <w:r w:rsidRPr="003F6493">
              <w:rPr>
                <w:rFonts w:ascii="Times New Roman" w:hAnsi="Times New Roman" w:cs="Times New Roman"/>
                <w:bCs/>
                <w:sz w:val="22"/>
                <w:szCs w:val="22"/>
              </w:rPr>
              <w:t xml:space="preserve">T2. </w:t>
            </w:r>
            <w:proofErr w:type="spellStart"/>
            <w:r w:rsidRPr="003F6493">
              <w:rPr>
                <w:rFonts w:ascii="Times New Roman" w:hAnsi="Times New Roman" w:cs="Times New Roman"/>
                <w:bCs/>
                <w:sz w:val="22"/>
                <w:szCs w:val="22"/>
              </w:rPr>
              <w:t>Polyhouse</w:t>
            </w:r>
            <w:proofErr w:type="spellEnd"/>
            <w:r w:rsidRPr="003F6493">
              <w:rPr>
                <w:rFonts w:ascii="Times New Roman" w:hAnsi="Times New Roman" w:cs="Times New Roman"/>
                <w:bCs/>
                <w:sz w:val="22"/>
                <w:szCs w:val="22"/>
              </w:rPr>
              <w:t xml:space="preserve"> </w:t>
            </w:r>
            <w:proofErr w:type="spellStart"/>
            <w:r w:rsidRPr="003F6493">
              <w:rPr>
                <w:rFonts w:ascii="Times New Roman" w:hAnsi="Times New Roman" w:cs="Times New Roman"/>
                <w:bCs/>
                <w:sz w:val="22"/>
                <w:szCs w:val="22"/>
              </w:rPr>
              <w:t>conditionwith</w:t>
            </w:r>
            <w:proofErr w:type="spellEnd"/>
            <w:r w:rsidRPr="003F6493">
              <w:rPr>
                <w:rFonts w:ascii="Times New Roman" w:hAnsi="Times New Roman" w:cs="Times New Roman"/>
                <w:bCs/>
                <w:sz w:val="22"/>
                <w:szCs w:val="22"/>
              </w:rPr>
              <w:t xml:space="preserve"> 100% RDF</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0563D7"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5.90</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D427F8"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3.11</w:t>
            </w:r>
          </w:p>
        </w:tc>
        <w:tc>
          <w:tcPr>
            <w:tcW w:w="11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0E080B"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5.92</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577B9E"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47.52</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2E2C59"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279.56</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6824E8"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3.02</w:t>
            </w:r>
          </w:p>
        </w:tc>
      </w:tr>
      <w:tr w:rsidR="00EE6404" w:rsidRPr="003F6493" w14:paraId="2237CEF4" w14:textId="77777777" w:rsidTr="003F6493">
        <w:trPr>
          <w:jc w:val="center"/>
        </w:trPr>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19806" w14:textId="77777777" w:rsidR="00EE6404" w:rsidRPr="003F6493" w:rsidRDefault="00EE6404" w:rsidP="00972B77">
            <w:pPr>
              <w:jc w:val="both"/>
              <w:rPr>
                <w:rFonts w:ascii="Times New Roman" w:hAnsi="Times New Roman" w:cs="Times New Roman"/>
                <w:bCs/>
                <w:sz w:val="22"/>
                <w:szCs w:val="22"/>
              </w:rPr>
            </w:pPr>
            <w:r w:rsidRPr="003F6493">
              <w:rPr>
                <w:rFonts w:ascii="Times New Roman" w:hAnsi="Times New Roman" w:cs="Times New Roman"/>
                <w:bCs/>
                <w:sz w:val="22"/>
                <w:szCs w:val="22"/>
              </w:rPr>
              <w:lastRenderedPageBreak/>
              <w:t xml:space="preserve">T3. Open condition without RDF </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1214CB"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4.82</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B477E7"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2.23</w:t>
            </w:r>
          </w:p>
        </w:tc>
        <w:tc>
          <w:tcPr>
            <w:tcW w:w="11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68AFAF"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4.37</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28B374"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37.40</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792BAE"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sz w:val="22"/>
                <w:szCs w:val="22"/>
              </w:rPr>
              <w:t>163.58</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8D7113"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1.77</w:t>
            </w:r>
          </w:p>
        </w:tc>
      </w:tr>
      <w:tr w:rsidR="00EE6404" w:rsidRPr="003F6493" w14:paraId="799AE3F3" w14:textId="77777777" w:rsidTr="003F6493">
        <w:trPr>
          <w:jc w:val="center"/>
        </w:trPr>
        <w:tc>
          <w:tcPr>
            <w:tcW w:w="2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0B3371" w14:textId="77777777" w:rsidR="00EE6404" w:rsidRPr="003F6493" w:rsidRDefault="00EE6404" w:rsidP="00972B77">
            <w:pPr>
              <w:jc w:val="both"/>
              <w:rPr>
                <w:rFonts w:ascii="Times New Roman" w:hAnsi="Times New Roman" w:cs="Times New Roman"/>
                <w:b/>
                <w:bCs/>
                <w:sz w:val="22"/>
                <w:szCs w:val="22"/>
              </w:rPr>
            </w:pPr>
            <w:r w:rsidRPr="003F6493">
              <w:rPr>
                <w:rFonts w:ascii="Times New Roman" w:hAnsi="Times New Roman" w:cs="Times New Roman"/>
                <w:b/>
                <w:bCs/>
                <w:sz w:val="22"/>
                <w:szCs w:val="22"/>
              </w:rPr>
              <w:t>CD (0.05)</w:t>
            </w:r>
          </w:p>
        </w:tc>
        <w:tc>
          <w:tcPr>
            <w:tcW w:w="12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156DC"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0.57</w:t>
            </w:r>
          </w:p>
        </w:tc>
        <w:tc>
          <w:tcPr>
            <w:tcW w:w="11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E037A"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0.13</w:t>
            </w:r>
          </w:p>
        </w:tc>
        <w:tc>
          <w:tcPr>
            <w:tcW w:w="11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812B8"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0.21</w:t>
            </w:r>
          </w:p>
        </w:tc>
        <w:tc>
          <w:tcPr>
            <w:tcW w:w="1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030DE8"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2.25</w:t>
            </w:r>
          </w:p>
        </w:tc>
        <w:tc>
          <w:tcPr>
            <w:tcW w:w="1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98127"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5.63</w:t>
            </w:r>
          </w:p>
        </w:tc>
        <w:tc>
          <w:tcPr>
            <w:tcW w:w="10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CA962"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0.15</w:t>
            </w:r>
          </w:p>
        </w:tc>
      </w:tr>
    </w:tbl>
    <w:p w14:paraId="4627C8D4" w14:textId="77777777" w:rsidR="00EE6404" w:rsidRDefault="00EE6404" w:rsidP="003F6493">
      <w:pPr>
        <w:jc w:val="center"/>
        <w:rPr>
          <w:rFonts w:ascii="Times New Roman" w:hAnsi="Times New Roman" w:cs="Times New Roman"/>
          <w:sz w:val="24"/>
          <w:szCs w:val="24"/>
        </w:rPr>
      </w:pPr>
      <w:r w:rsidRPr="008916C6">
        <w:rPr>
          <w:rFonts w:ascii="Times New Roman" w:hAnsi="Times New Roman" w:cs="Times New Roman"/>
          <w:b/>
          <w:sz w:val="24"/>
          <w:szCs w:val="24"/>
        </w:rPr>
        <w:t>Table 2.</w:t>
      </w:r>
      <w:r w:rsidRPr="003F6493">
        <w:rPr>
          <w:rFonts w:ascii="Times New Roman" w:hAnsi="Times New Roman" w:cs="Times New Roman"/>
          <w:sz w:val="24"/>
          <w:szCs w:val="24"/>
        </w:rPr>
        <w:t xml:space="preserve"> Effect of different cultivation practice on Yield attributing characters in King </w:t>
      </w:r>
      <w:proofErr w:type="spellStart"/>
      <w:r w:rsidRPr="003F6493">
        <w:rPr>
          <w:rFonts w:ascii="Times New Roman" w:hAnsi="Times New Roman" w:cs="Times New Roman"/>
          <w:sz w:val="24"/>
          <w:szCs w:val="24"/>
        </w:rPr>
        <w:t>chilli</w:t>
      </w:r>
      <w:proofErr w:type="spellEnd"/>
    </w:p>
    <w:p w14:paraId="7F50480D" w14:textId="77777777" w:rsidR="003F6493" w:rsidRPr="003F6493" w:rsidRDefault="003F6493" w:rsidP="003F6493">
      <w:pPr>
        <w:jc w:val="center"/>
        <w:rPr>
          <w:rFonts w:ascii="Times New Roman" w:hAnsi="Times New Roman" w:cs="Times New Roman"/>
          <w:sz w:val="24"/>
          <w:szCs w:val="24"/>
        </w:rPr>
      </w:pPr>
    </w:p>
    <w:tbl>
      <w:tblPr>
        <w:tblStyle w:val="TableGrid"/>
        <w:tblW w:w="9067" w:type="dxa"/>
        <w:jc w:val="center"/>
        <w:tblLook w:val="04A0" w:firstRow="1" w:lastRow="0" w:firstColumn="1" w:lastColumn="0" w:noHBand="0" w:noVBand="1"/>
      </w:tblPr>
      <w:tblGrid>
        <w:gridCol w:w="1981"/>
        <w:gridCol w:w="1656"/>
        <w:gridCol w:w="1327"/>
        <w:gridCol w:w="1563"/>
        <w:gridCol w:w="1334"/>
        <w:gridCol w:w="1206"/>
      </w:tblGrid>
      <w:tr w:rsidR="00EE6404" w:rsidRPr="003F6493" w14:paraId="5E6DD919" w14:textId="77777777" w:rsidTr="003F6493">
        <w:trPr>
          <w:jc w:val="center"/>
        </w:trPr>
        <w:tc>
          <w:tcPr>
            <w:tcW w:w="1981" w:type="dxa"/>
            <w:tcBorders>
              <w:left w:val="single" w:sz="4" w:space="0" w:color="000000" w:themeColor="text1"/>
              <w:bottom w:val="single" w:sz="4" w:space="0" w:color="000000" w:themeColor="text1"/>
              <w:right w:val="single" w:sz="4" w:space="0" w:color="000000" w:themeColor="text1"/>
            </w:tcBorders>
          </w:tcPr>
          <w:p w14:paraId="45E90F29" w14:textId="77777777" w:rsidR="00EE6404" w:rsidRPr="003F6493" w:rsidRDefault="00EE6404" w:rsidP="00972B77">
            <w:pPr>
              <w:jc w:val="center"/>
              <w:rPr>
                <w:rFonts w:ascii="Times New Roman" w:hAnsi="Times New Roman" w:cs="Times New Roman"/>
                <w:b/>
                <w:sz w:val="22"/>
                <w:szCs w:val="22"/>
              </w:rPr>
            </w:pPr>
            <w:r w:rsidRPr="003F6493">
              <w:rPr>
                <w:rFonts w:ascii="Times New Roman" w:hAnsi="Times New Roman" w:cs="Times New Roman"/>
                <w:b/>
                <w:sz w:val="22"/>
                <w:szCs w:val="22"/>
              </w:rPr>
              <w:t>Cultivation practice</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77C3A"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Yield/practice</w:t>
            </w:r>
          </w:p>
          <w:p w14:paraId="696578DC"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(qt)</w:t>
            </w: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A8E2C"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Gross cost (</w:t>
            </w:r>
            <w:proofErr w:type="gramStart"/>
            <w:r w:rsidRPr="003F6493">
              <w:rPr>
                <w:rFonts w:ascii="Times New Roman" w:hAnsi="Times New Roman" w:cs="Times New Roman"/>
                <w:b/>
                <w:bCs/>
                <w:sz w:val="22"/>
                <w:szCs w:val="22"/>
                <w:vertAlign w:val="superscript"/>
              </w:rPr>
              <w:t>000</w:t>
            </w:r>
            <w:r w:rsidRPr="003F6493">
              <w:rPr>
                <w:rFonts w:ascii="Times New Roman" w:hAnsi="Times New Roman" w:cs="Times New Roman"/>
                <w:b/>
                <w:bCs/>
                <w:sz w:val="22"/>
                <w:szCs w:val="22"/>
              </w:rPr>
              <w:t>,Rs</w:t>
            </w:r>
            <w:proofErr w:type="gramEnd"/>
            <w:r w:rsidRPr="003F6493">
              <w:rPr>
                <w:rFonts w:ascii="Times New Roman" w:hAnsi="Times New Roman" w:cs="Times New Roman"/>
                <w:b/>
                <w:bCs/>
                <w:sz w:val="22"/>
                <w:szCs w:val="22"/>
              </w:rPr>
              <w:t>)</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D30A8"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Gross Income (</w:t>
            </w:r>
            <w:proofErr w:type="gramStart"/>
            <w:r w:rsidRPr="003F6493">
              <w:rPr>
                <w:rFonts w:ascii="Times New Roman" w:hAnsi="Times New Roman" w:cs="Times New Roman"/>
                <w:b/>
                <w:bCs/>
                <w:sz w:val="22"/>
                <w:szCs w:val="22"/>
                <w:vertAlign w:val="superscript"/>
              </w:rPr>
              <w:t>000</w:t>
            </w:r>
            <w:r w:rsidRPr="003F6493">
              <w:rPr>
                <w:rFonts w:ascii="Times New Roman" w:hAnsi="Times New Roman" w:cs="Times New Roman"/>
                <w:b/>
                <w:bCs/>
                <w:sz w:val="22"/>
                <w:szCs w:val="22"/>
              </w:rPr>
              <w:t>,Rs</w:t>
            </w:r>
            <w:proofErr w:type="gramEnd"/>
            <w:r w:rsidRPr="003F6493">
              <w:rPr>
                <w:rFonts w:ascii="Times New Roman" w:hAnsi="Times New Roman" w:cs="Times New Roman"/>
                <w:b/>
                <w:bCs/>
                <w:sz w:val="22"/>
                <w:szCs w:val="22"/>
              </w:rPr>
              <w:t>)</w:t>
            </w:r>
          </w:p>
        </w:tc>
        <w:tc>
          <w:tcPr>
            <w:tcW w:w="1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094D7"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Net Income (</w:t>
            </w:r>
            <w:proofErr w:type="gramStart"/>
            <w:r w:rsidRPr="003F6493">
              <w:rPr>
                <w:rFonts w:ascii="Times New Roman" w:hAnsi="Times New Roman" w:cs="Times New Roman"/>
                <w:b/>
                <w:bCs/>
                <w:sz w:val="22"/>
                <w:szCs w:val="22"/>
                <w:vertAlign w:val="superscript"/>
              </w:rPr>
              <w:t>000</w:t>
            </w:r>
            <w:r w:rsidRPr="003F6493">
              <w:rPr>
                <w:rFonts w:ascii="Times New Roman" w:hAnsi="Times New Roman" w:cs="Times New Roman"/>
                <w:b/>
                <w:bCs/>
                <w:sz w:val="22"/>
                <w:szCs w:val="22"/>
              </w:rPr>
              <w:t>,Rs</w:t>
            </w:r>
            <w:proofErr w:type="gramEnd"/>
            <w:r w:rsidRPr="003F6493">
              <w:rPr>
                <w:rFonts w:ascii="Times New Roman" w:hAnsi="Times New Roman" w:cs="Times New Roman"/>
                <w:b/>
                <w:bCs/>
                <w:sz w:val="22"/>
                <w:szCs w:val="22"/>
              </w:rPr>
              <w:t>)</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AE707"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B:C Ration</w:t>
            </w:r>
          </w:p>
        </w:tc>
      </w:tr>
      <w:tr w:rsidR="00EE6404" w:rsidRPr="003F6493" w14:paraId="6F6AFF4E" w14:textId="77777777" w:rsidTr="003F6493">
        <w:trPr>
          <w:jc w:val="center"/>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E80F4" w14:textId="77777777" w:rsidR="00EE6404" w:rsidRPr="003F6493" w:rsidRDefault="00EE6404" w:rsidP="00972B77">
            <w:pPr>
              <w:jc w:val="both"/>
              <w:rPr>
                <w:rFonts w:ascii="Times New Roman" w:hAnsi="Times New Roman" w:cs="Times New Roman"/>
                <w:bCs/>
                <w:sz w:val="22"/>
                <w:szCs w:val="22"/>
              </w:rPr>
            </w:pPr>
            <w:r w:rsidRPr="003F6493">
              <w:rPr>
                <w:rFonts w:ascii="Times New Roman" w:hAnsi="Times New Roman" w:cs="Times New Roman"/>
                <w:bCs/>
                <w:sz w:val="22"/>
                <w:szCs w:val="22"/>
              </w:rPr>
              <w:t>T</w:t>
            </w:r>
            <w:r w:rsidRPr="003F6493">
              <w:rPr>
                <w:rFonts w:ascii="Times New Roman" w:hAnsi="Times New Roman" w:cs="Times New Roman"/>
                <w:bCs/>
                <w:sz w:val="22"/>
                <w:szCs w:val="22"/>
                <w:vertAlign w:val="subscript"/>
              </w:rPr>
              <w:t>1</w:t>
            </w:r>
            <w:r w:rsidRPr="003F6493">
              <w:rPr>
                <w:rFonts w:ascii="Times New Roman" w:hAnsi="Times New Roman" w:cs="Times New Roman"/>
                <w:bCs/>
                <w:sz w:val="22"/>
                <w:szCs w:val="22"/>
              </w:rPr>
              <w:t xml:space="preserve">. Open condition with 100% RDF </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15E790"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2.73</w:t>
            </w: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612765"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25.50</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3154B7"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54.54</w:t>
            </w:r>
          </w:p>
        </w:tc>
        <w:tc>
          <w:tcPr>
            <w:tcW w:w="13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8BB03F"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29.04</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F52A78"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2.14</w:t>
            </w:r>
          </w:p>
        </w:tc>
      </w:tr>
      <w:tr w:rsidR="00EE6404" w:rsidRPr="003F6493" w14:paraId="255DB0A5" w14:textId="77777777" w:rsidTr="003F6493">
        <w:trPr>
          <w:jc w:val="center"/>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138A3" w14:textId="77777777" w:rsidR="00EE6404" w:rsidRPr="003F6493" w:rsidRDefault="00EE6404" w:rsidP="00972B77">
            <w:pPr>
              <w:jc w:val="both"/>
              <w:rPr>
                <w:rFonts w:ascii="Times New Roman" w:hAnsi="Times New Roman" w:cs="Times New Roman"/>
                <w:bCs/>
                <w:sz w:val="22"/>
                <w:szCs w:val="22"/>
                <w:lang w:val="en-IN"/>
              </w:rPr>
            </w:pPr>
            <w:r w:rsidRPr="003F6493">
              <w:rPr>
                <w:rFonts w:ascii="Times New Roman" w:hAnsi="Times New Roman" w:cs="Times New Roman"/>
                <w:bCs/>
                <w:sz w:val="22"/>
                <w:szCs w:val="22"/>
              </w:rPr>
              <w:t>T</w:t>
            </w:r>
            <w:r w:rsidRPr="003F6493">
              <w:rPr>
                <w:rFonts w:ascii="Times New Roman" w:hAnsi="Times New Roman" w:cs="Times New Roman"/>
                <w:bCs/>
                <w:sz w:val="22"/>
                <w:szCs w:val="22"/>
                <w:vertAlign w:val="subscript"/>
              </w:rPr>
              <w:t>2</w:t>
            </w:r>
            <w:r w:rsidRPr="003F6493">
              <w:rPr>
                <w:rFonts w:ascii="Times New Roman" w:hAnsi="Times New Roman" w:cs="Times New Roman"/>
                <w:bCs/>
                <w:sz w:val="22"/>
                <w:szCs w:val="22"/>
              </w:rPr>
              <w:t xml:space="preserve">. </w:t>
            </w:r>
            <w:proofErr w:type="spellStart"/>
            <w:r w:rsidRPr="003F6493">
              <w:rPr>
                <w:rFonts w:ascii="Times New Roman" w:hAnsi="Times New Roman" w:cs="Times New Roman"/>
                <w:bCs/>
                <w:sz w:val="22"/>
                <w:szCs w:val="22"/>
              </w:rPr>
              <w:t>Polyhouse</w:t>
            </w:r>
            <w:proofErr w:type="spellEnd"/>
            <w:r w:rsidRPr="003F6493">
              <w:rPr>
                <w:rFonts w:ascii="Times New Roman" w:hAnsi="Times New Roman" w:cs="Times New Roman"/>
                <w:bCs/>
                <w:sz w:val="22"/>
                <w:szCs w:val="22"/>
              </w:rPr>
              <w:t xml:space="preserve"> </w:t>
            </w:r>
            <w:proofErr w:type="spellStart"/>
            <w:r w:rsidRPr="003F6493">
              <w:rPr>
                <w:rFonts w:ascii="Times New Roman" w:hAnsi="Times New Roman" w:cs="Times New Roman"/>
                <w:bCs/>
                <w:sz w:val="22"/>
                <w:szCs w:val="22"/>
              </w:rPr>
              <w:t>conditionwith</w:t>
            </w:r>
            <w:proofErr w:type="spellEnd"/>
            <w:r w:rsidRPr="003F6493">
              <w:rPr>
                <w:rFonts w:ascii="Times New Roman" w:hAnsi="Times New Roman" w:cs="Times New Roman"/>
                <w:bCs/>
                <w:sz w:val="22"/>
                <w:szCs w:val="22"/>
              </w:rPr>
              <w:t xml:space="preserve"> 100% RDF</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76B53B"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3.02</w:t>
            </w: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13878E"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32.06</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44145F"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60.38</w:t>
            </w:r>
          </w:p>
        </w:tc>
        <w:tc>
          <w:tcPr>
            <w:tcW w:w="13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CE6CC9"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28.32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30208D"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1.88</w:t>
            </w:r>
          </w:p>
        </w:tc>
      </w:tr>
      <w:tr w:rsidR="00EE6404" w:rsidRPr="003F6493" w14:paraId="4560C976" w14:textId="77777777" w:rsidTr="003F6493">
        <w:trPr>
          <w:jc w:val="center"/>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E613E" w14:textId="77777777" w:rsidR="00EE6404" w:rsidRPr="003F6493" w:rsidRDefault="00EE6404" w:rsidP="00972B77">
            <w:pPr>
              <w:jc w:val="both"/>
              <w:rPr>
                <w:rFonts w:ascii="Times New Roman" w:hAnsi="Times New Roman" w:cs="Times New Roman"/>
                <w:bCs/>
                <w:sz w:val="22"/>
                <w:szCs w:val="22"/>
              </w:rPr>
            </w:pPr>
            <w:r w:rsidRPr="003F6493">
              <w:rPr>
                <w:rFonts w:ascii="Times New Roman" w:hAnsi="Times New Roman" w:cs="Times New Roman"/>
                <w:bCs/>
                <w:sz w:val="22"/>
                <w:szCs w:val="22"/>
              </w:rPr>
              <w:t>T</w:t>
            </w:r>
            <w:r w:rsidRPr="003F6493">
              <w:rPr>
                <w:rFonts w:ascii="Times New Roman" w:hAnsi="Times New Roman" w:cs="Times New Roman"/>
                <w:bCs/>
                <w:sz w:val="22"/>
                <w:szCs w:val="22"/>
                <w:vertAlign w:val="subscript"/>
              </w:rPr>
              <w:t>3</w:t>
            </w:r>
            <w:r w:rsidRPr="003F6493">
              <w:rPr>
                <w:rFonts w:ascii="Times New Roman" w:hAnsi="Times New Roman" w:cs="Times New Roman"/>
                <w:bCs/>
                <w:sz w:val="22"/>
                <w:szCs w:val="22"/>
              </w:rPr>
              <w:t xml:space="preserve">. Open condition without RDF </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F53CF2"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1.77</w:t>
            </w: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2FFD4E"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20.70</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15A108"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35.33</w:t>
            </w:r>
          </w:p>
        </w:tc>
        <w:tc>
          <w:tcPr>
            <w:tcW w:w="13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CF87F3"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14.63</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9F392A" w14:textId="77777777" w:rsidR="00EE6404" w:rsidRPr="003F6493" w:rsidRDefault="00EE6404" w:rsidP="00972B77">
            <w:pPr>
              <w:jc w:val="center"/>
              <w:rPr>
                <w:rFonts w:ascii="Times New Roman" w:hAnsi="Times New Roman" w:cs="Times New Roman"/>
                <w:sz w:val="22"/>
                <w:szCs w:val="22"/>
              </w:rPr>
            </w:pPr>
            <w:r w:rsidRPr="003F6493">
              <w:rPr>
                <w:rFonts w:ascii="Times New Roman" w:hAnsi="Times New Roman" w:cs="Times New Roman"/>
                <w:color w:val="000000"/>
                <w:sz w:val="22"/>
                <w:szCs w:val="22"/>
              </w:rPr>
              <w:t>1.71</w:t>
            </w:r>
          </w:p>
        </w:tc>
      </w:tr>
      <w:tr w:rsidR="00EE6404" w:rsidRPr="003F6493" w14:paraId="525E3D6B" w14:textId="77777777" w:rsidTr="003F6493">
        <w:trPr>
          <w:jc w:val="center"/>
        </w:trPr>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D9F77" w14:textId="77777777" w:rsidR="00EE6404" w:rsidRPr="003F6493" w:rsidRDefault="00EE6404" w:rsidP="00972B77">
            <w:pPr>
              <w:jc w:val="both"/>
              <w:rPr>
                <w:rFonts w:ascii="Times New Roman" w:hAnsi="Times New Roman" w:cs="Times New Roman"/>
                <w:b/>
                <w:bCs/>
                <w:sz w:val="22"/>
                <w:szCs w:val="22"/>
              </w:rPr>
            </w:pPr>
            <w:r w:rsidRPr="003F6493">
              <w:rPr>
                <w:rFonts w:ascii="Times New Roman" w:hAnsi="Times New Roman" w:cs="Times New Roman"/>
                <w:b/>
                <w:bCs/>
                <w:sz w:val="22"/>
                <w:szCs w:val="22"/>
              </w:rPr>
              <w:t>CD (0.05)</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B6BC6"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0.15</w:t>
            </w:r>
          </w:p>
        </w:tc>
        <w:tc>
          <w:tcPr>
            <w:tcW w:w="1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27912"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1.69</w:t>
            </w:r>
          </w:p>
        </w:tc>
        <w:tc>
          <w:tcPr>
            <w:tcW w:w="15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BA831"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2.81</w:t>
            </w:r>
          </w:p>
        </w:tc>
        <w:tc>
          <w:tcPr>
            <w:tcW w:w="13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03500"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2.25</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DE245" w14:textId="77777777" w:rsidR="00EE6404" w:rsidRPr="003F6493" w:rsidRDefault="00EE6404" w:rsidP="00972B77">
            <w:pPr>
              <w:jc w:val="center"/>
              <w:rPr>
                <w:rFonts w:ascii="Times New Roman" w:hAnsi="Times New Roman" w:cs="Times New Roman"/>
                <w:b/>
                <w:bCs/>
                <w:sz w:val="22"/>
                <w:szCs w:val="22"/>
              </w:rPr>
            </w:pPr>
            <w:r w:rsidRPr="003F6493">
              <w:rPr>
                <w:rFonts w:ascii="Times New Roman" w:hAnsi="Times New Roman" w:cs="Times New Roman"/>
                <w:b/>
                <w:bCs/>
                <w:sz w:val="22"/>
                <w:szCs w:val="22"/>
              </w:rPr>
              <w:t>-</w:t>
            </w:r>
          </w:p>
        </w:tc>
      </w:tr>
    </w:tbl>
    <w:p w14:paraId="04670F3C" w14:textId="77777777" w:rsidR="00EE6404" w:rsidRPr="003F6493" w:rsidRDefault="00EE6404" w:rsidP="003F6493">
      <w:pPr>
        <w:jc w:val="center"/>
        <w:rPr>
          <w:rFonts w:ascii="Times New Roman" w:hAnsi="Times New Roman" w:cs="Times New Roman"/>
          <w:sz w:val="24"/>
          <w:szCs w:val="24"/>
        </w:rPr>
      </w:pPr>
      <w:r w:rsidRPr="008916C6">
        <w:rPr>
          <w:rFonts w:ascii="Times New Roman" w:hAnsi="Times New Roman" w:cs="Times New Roman"/>
          <w:b/>
          <w:sz w:val="24"/>
          <w:szCs w:val="24"/>
        </w:rPr>
        <w:t>Table 3</w:t>
      </w:r>
      <w:r w:rsidRPr="003F6493">
        <w:rPr>
          <w:rFonts w:ascii="Times New Roman" w:hAnsi="Times New Roman" w:cs="Times New Roman"/>
          <w:sz w:val="24"/>
          <w:szCs w:val="24"/>
        </w:rPr>
        <w:t xml:space="preserve">. Economic benefit from different cultivation practices in King </w:t>
      </w:r>
      <w:proofErr w:type="spellStart"/>
      <w:r w:rsidRPr="003F6493">
        <w:rPr>
          <w:rFonts w:ascii="Times New Roman" w:hAnsi="Times New Roman" w:cs="Times New Roman"/>
          <w:sz w:val="24"/>
          <w:szCs w:val="24"/>
        </w:rPr>
        <w:t>chilli</w:t>
      </w:r>
      <w:proofErr w:type="spellEnd"/>
    </w:p>
    <w:p w14:paraId="00C030B7" w14:textId="77777777" w:rsidR="000C3C19" w:rsidRPr="00EE6404" w:rsidRDefault="00EE6404" w:rsidP="000C3C19">
      <w:pPr>
        <w:jc w:val="both"/>
        <w:rPr>
          <w:rFonts w:ascii="Times New Roman" w:hAnsi="Times New Roman" w:cs="Times New Roman"/>
          <w:b/>
          <w:bCs/>
          <w:sz w:val="24"/>
          <w:szCs w:val="24"/>
          <w:u w:val="single"/>
        </w:rPr>
      </w:pPr>
      <w:r w:rsidRPr="00EE6404">
        <w:rPr>
          <w:rFonts w:ascii="Times New Roman" w:hAnsi="Times New Roman" w:cs="Times New Roman"/>
          <w:b/>
          <w:bCs/>
          <w:sz w:val="24"/>
          <w:szCs w:val="24"/>
          <w:u w:val="single"/>
        </w:rPr>
        <w:t>CONCLUSION</w:t>
      </w:r>
    </w:p>
    <w:p w14:paraId="68198DA2" w14:textId="77777777" w:rsidR="00477A54" w:rsidRPr="00477A54" w:rsidRDefault="00477A54" w:rsidP="00477A54">
      <w:pPr>
        <w:jc w:val="both"/>
        <w:rPr>
          <w:rFonts w:ascii="Times New Roman" w:hAnsi="Times New Roman" w:cs="Times New Roman"/>
          <w:sz w:val="24"/>
          <w:szCs w:val="24"/>
        </w:rPr>
      </w:pPr>
      <w:r w:rsidRPr="00477A54">
        <w:rPr>
          <w:rFonts w:ascii="Times New Roman" w:hAnsi="Times New Roman" w:cs="Times New Roman"/>
          <w:sz w:val="24"/>
          <w:szCs w:val="24"/>
        </w:rPr>
        <w:t xml:space="preserve">This study demonstrates the critical balance between achieving optimal King </w:t>
      </w:r>
      <w:proofErr w:type="spellStart"/>
      <w:r w:rsidRPr="00477A54">
        <w:rPr>
          <w:rFonts w:ascii="Times New Roman" w:hAnsi="Times New Roman" w:cs="Times New Roman"/>
          <w:sz w:val="24"/>
          <w:szCs w:val="24"/>
        </w:rPr>
        <w:t>chilli</w:t>
      </w:r>
      <w:proofErr w:type="spellEnd"/>
      <w:r w:rsidRPr="00477A54">
        <w:rPr>
          <w:rFonts w:ascii="Times New Roman" w:hAnsi="Times New Roman" w:cs="Times New Roman"/>
          <w:sz w:val="24"/>
          <w:szCs w:val="24"/>
        </w:rPr>
        <w:t xml:space="preserve"> productivity through controlled environments and maintaining economic viability through traditional field systems. While polyhouse cultivation with 100% RDF produced superior growth (98.54 cm plant height) and yield (3.10 qt), open-field cultivation with RDF offered better economic returns (</w:t>
      </w:r>
      <w:r w:rsidR="003F6493">
        <w:rPr>
          <w:rFonts w:ascii="Times New Roman" w:hAnsi="Times New Roman" w:cs="Times New Roman"/>
          <w:sz w:val="24"/>
          <w:szCs w:val="24"/>
        </w:rPr>
        <w:t xml:space="preserve">Rs. </w:t>
      </w:r>
      <w:r w:rsidRPr="00477A54">
        <w:rPr>
          <w:rFonts w:ascii="Times New Roman" w:hAnsi="Times New Roman" w:cs="Times New Roman"/>
          <w:sz w:val="24"/>
          <w:szCs w:val="24"/>
        </w:rPr>
        <w:t>29,040 net income, 2.14 B:C ratio), particularly for resource-constrained farmers.</w:t>
      </w:r>
    </w:p>
    <w:p w14:paraId="375B5FB0" w14:textId="77777777" w:rsidR="00477A54" w:rsidRPr="00477A54" w:rsidRDefault="00477A54" w:rsidP="00477A54">
      <w:pPr>
        <w:jc w:val="both"/>
        <w:rPr>
          <w:rFonts w:ascii="Times New Roman" w:hAnsi="Times New Roman" w:cs="Times New Roman"/>
          <w:sz w:val="24"/>
          <w:szCs w:val="24"/>
        </w:rPr>
      </w:pPr>
      <w:r w:rsidRPr="00477A54">
        <w:rPr>
          <w:rFonts w:ascii="Times New Roman" w:hAnsi="Times New Roman" w:cs="Times New Roman"/>
          <w:sz w:val="24"/>
          <w:szCs w:val="24"/>
        </w:rPr>
        <w:t>Moving forward, three key research priorities emerge: (1) developing cost-effective protected cultivation systems accessible to smallholders, (2) implementing dynamic nutrient management through sensor-based technologies, and (3) breeding climate-resilient varieties adapted to protected environments. These innovations must be pursued within a framework of circular agricultural systems that reduce input dependencies while maintaining productivity.</w:t>
      </w:r>
    </w:p>
    <w:p w14:paraId="4772AE17" w14:textId="77777777" w:rsidR="00477A54" w:rsidRPr="00477A54" w:rsidRDefault="00477A54" w:rsidP="00477A54">
      <w:pPr>
        <w:jc w:val="both"/>
        <w:rPr>
          <w:rFonts w:ascii="Times New Roman" w:hAnsi="Times New Roman" w:cs="Times New Roman"/>
          <w:sz w:val="24"/>
          <w:szCs w:val="24"/>
        </w:rPr>
      </w:pPr>
      <w:r w:rsidRPr="00477A54">
        <w:rPr>
          <w:rFonts w:ascii="Times New Roman" w:hAnsi="Times New Roman" w:cs="Times New Roman"/>
          <w:sz w:val="24"/>
          <w:szCs w:val="24"/>
        </w:rPr>
        <w:t xml:space="preserve">The study ultimately presents a roadmap for sustainable King </w:t>
      </w:r>
      <w:proofErr w:type="spellStart"/>
      <w:r w:rsidRPr="00477A54">
        <w:rPr>
          <w:rFonts w:ascii="Times New Roman" w:hAnsi="Times New Roman" w:cs="Times New Roman"/>
          <w:sz w:val="24"/>
          <w:szCs w:val="24"/>
        </w:rPr>
        <w:t>chilli</w:t>
      </w:r>
      <w:proofErr w:type="spellEnd"/>
      <w:r w:rsidRPr="00477A54">
        <w:rPr>
          <w:rFonts w:ascii="Times New Roman" w:hAnsi="Times New Roman" w:cs="Times New Roman"/>
          <w:sz w:val="24"/>
          <w:szCs w:val="24"/>
        </w:rPr>
        <w:t xml:space="preserve"> cultivation that reconciles biological potential with socioeconomic realities. By advancing precision agriculture technologies while ensuring their accessibility, we can achieve the dual goals of enhanced productivity and improved farmer livelihoods - a model potentially applicable to other high-value specialty crops.</w:t>
      </w:r>
    </w:p>
    <w:p w14:paraId="158D8951" w14:textId="77777777" w:rsidR="000C3C19" w:rsidRPr="002C4E1E" w:rsidRDefault="00477A54" w:rsidP="00477A54">
      <w:pPr>
        <w:rPr>
          <w:rFonts w:ascii="Times New Roman" w:hAnsi="Times New Roman" w:cs="Times New Roman"/>
          <w:sz w:val="24"/>
          <w:szCs w:val="24"/>
        </w:rPr>
      </w:pPr>
      <w:r w:rsidRPr="00477A54">
        <w:rPr>
          <w:rFonts w:ascii="Times New Roman" w:hAnsi="Times New Roman" w:cs="Times New Roman"/>
          <w:b/>
          <w:bCs/>
          <w:sz w:val="24"/>
          <w:szCs w:val="24"/>
          <w:u w:val="single"/>
        </w:rPr>
        <w:t>CONFLICT OF INTEREST</w:t>
      </w:r>
      <w:r>
        <w:rPr>
          <w:rFonts w:ascii="Times New Roman" w:hAnsi="Times New Roman" w:cs="Times New Roman"/>
          <w:sz w:val="24"/>
          <w:szCs w:val="24"/>
        </w:rPr>
        <w:t>:</w:t>
      </w:r>
      <w:r w:rsidR="000C3C19" w:rsidRPr="000C3C19">
        <w:rPr>
          <w:rFonts w:ascii="Times New Roman" w:hAnsi="Times New Roman" w:cs="Times New Roman"/>
          <w:sz w:val="24"/>
          <w:szCs w:val="24"/>
        </w:rPr>
        <w:br/>
        <w:t>The authors declare no conflict of interest.</w:t>
      </w:r>
    </w:p>
    <w:p w14:paraId="71D99D8C" w14:textId="77777777" w:rsidR="008916C6" w:rsidRDefault="008916C6" w:rsidP="00934329">
      <w:pPr>
        <w:jc w:val="both"/>
        <w:rPr>
          <w:rFonts w:ascii="Times New Roman" w:hAnsi="Times New Roman" w:cs="Times New Roman"/>
          <w:b/>
          <w:bCs/>
          <w:sz w:val="24"/>
          <w:szCs w:val="24"/>
          <w:u w:val="single"/>
        </w:rPr>
      </w:pPr>
    </w:p>
    <w:p w14:paraId="447DFBBF" w14:textId="77777777" w:rsidR="00934329" w:rsidRPr="00477A54" w:rsidRDefault="00477A54" w:rsidP="00934329">
      <w:pPr>
        <w:jc w:val="both"/>
        <w:rPr>
          <w:rFonts w:ascii="Times New Roman" w:hAnsi="Times New Roman" w:cs="Times New Roman"/>
          <w:b/>
          <w:bCs/>
          <w:sz w:val="24"/>
          <w:szCs w:val="24"/>
          <w:u w:val="single"/>
        </w:rPr>
      </w:pPr>
      <w:r w:rsidRPr="00477A54">
        <w:rPr>
          <w:rFonts w:ascii="Times New Roman" w:hAnsi="Times New Roman" w:cs="Times New Roman"/>
          <w:b/>
          <w:bCs/>
          <w:sz w:val="24"/>
          <w:szCs w:val="24"/>
          <w:u w:val="single"/>
        </w:rPr>
        <w:t>REFERENCES</w:t>
      </w:r>
    </w:p>
    <w:p w14:paraId="66411DDD" w14:textId="253099D3" w:rsidR="0004164E" w:rsidRDefault="0004164E" w:rsidP="0004164E">
      <w:pPr>
        <w:pStyle w:val="ListParagraph"/>
        <w:numPr>
          <w:ilvl w:val="0"/>
          <w:numId w:val="11"/>
        </w:numPr>
      </w:pPr>
      <w:r w:rsidRPr="0004164E">
        <w:lastRenderedPageBreak/>
        <w:t xml:space="preserve">Alex, J. F., &amp; </w:t>
      </w:r>
      <w:proofErr w:type="spellStart"/>
      <w:r w:rsidRPr="0004164E">
        <w:t>Eliakira</w:t>
      </w:r>
      <w:proofErr w:type="spellEnd"/>
      <w:r w:rsidRPr="0004164E">
        <w:t xml:space="preserve">, K. (2014). Impact of microclimate modification on vegetable yields. </w:t>
      </w:r>
      <w:proofErr w:type="spellStart"/>
      <w:r w:rsidRPr="0004164E">
        <w:t>HortScience</w:t>
      </w:r>
      <w:proofErr w:type="spellEnd"/>
      <w:r w:rsidRPr="0004164E">
        <w:t xml:space="preserve">, 49(4), 456–462. </w:t>
      </w:r>
      <w:hyperlink r:id="rId7" w:history="1">
        <w:r w:rsidRPr="00B7758D">
          <w:rPr>
            <w:rStyle w:val="Hyperlink"/>
          </w:rPr>
          <w:t>https://doi.org/10.21273/HORTSCI.49.4.456</w:t>
        </w:r>
      </w:hyperlink>
    </w:p>
    <w:p w14:paraId="2D2DA393" w14:textId="79CA703F" w:rsidR="00934329" w:rsidRPr="00934329" w:rsidRDefault="00934329" w:rsidP="0004164E">
      <w:pPr>
        <w:pStyle w:val="ListParagraph"/>
        <w:numPr>
          <w:ilvl w:val="0"/>
          <w:numId w:val="11"/>
        </w:numPr>
      </w:pPr>
      <w:r w:rsidRPr="00934329">
        <w:t>Bora, G. (2000). </w:t>
      </w:r>
      <w:r w:rsidRPr="0004164E">
        <w:rPr>
          <w:i/>
          <w:iCs/>
        </w:rPr>
        <w:t xml:space="preserve">Evaluation of different types of Bhut Jolokia for pungency and </w:t>
      </w:r>
      <w:proofErr w:type="spellStart"/>
      <w:r w:rsidRPr="0004164E">
        <w:rPr>
          <w:i/>
          <w:iCs/>
        </w:rPr>
        <w:t>colour</w:t>
      </w:r>
      <w:proofErr w:type="spellEnd"/>
      <w:r w:rsidRPr="00934329">
        <w:t> [M.Sc. Thesis]. Assam Agricultural University.</w:t>
      </w:r>
    </w:p>
    <w:p w14:paraId="5EC36D14" w14:textId="118016ED" w:rsidR="0004164E" w:rsidRDefault="0004164E" w:rsidP="0004164E">
      <w:pPr>
        <w:pStyle w:val="ListParagraph"/>
        <w:numPr>
          <w:ilvl w:val="0"/>
          <w:numId w:val="11"/>
        </w:numPr>
      </w:pPr>
      <w:r w:rsidRPr="0004164E">
        <w:t xml:space="preserve">Bosland, P. W., &amp; Baral, J. B. (2007). 'Bhut Jolokia': The world's hottest known </w:t>
      </w:r>
      <w:proofErr w:type="spellStart"/>
      <w:r w:rsidRPr="0004164E">
        <w:t>chile</w:t>
      </w:r>
      <w:proofErr w:type="spellEnd"/>
      <w:r w:rsidRPr="0004164E">
        <w:t xml:space="preserve"> pepper is a putative naturally occurring interspecific hybrid. </w:t>
      </w:r>
      <w:proofErr w:type="spellStart"/>
      <w:r w:rsidRPr="0004164E">
        <w:t>HortScience</w:t>
      </w:r>
      <w:proofErr w:type="spellEnd"/>
      <w:r w:rsidRPr="0004164E">
        <w:t xml:space="preserve">, 42(2), 222–224. </w:t>
      </w:r>
      <w:hyperlink r:id="rId8" w:history="1">
        <w:r w:rsidRPr="00B7758D">
          <w:rPr>
            <w:rStyle w:val="Hyperlink"/>
          </w:rPr>
          <w:t>https://doi.org/10.21273/HORTSCI.42.2.222</w:t>
        </w:r>
      </w:hyperlink>
    </w:p>
    <w:p w14:paraId="691AADCD" w14:textId="31F352FC" w:rsidR="00934329" w:rsidRPr="00934329" w:rsidRDefault="00934329" w:rsidP="0004164E">
      <w:pPr>
        <w:pStyle w:val="ListParagraph"/>
        <w:numPr>
          <w:ilvl w:val="0"/>
          <w:numId w:val="11"/>
        </w:numPr>
      </w:pPr>
      <w:r w:rsidRPr="00934329">
        <w:t xml:space="preserve">Das, S., Das, S. S., &amp; Chutia, B. C. (2019). Constraints and strategies for enhancing King </w:t>
      </w:r>
      <w:proofErr w:type="spellStart"/>
      <w:r w:rsidRPr="00934329">
        <w:t>chilli</w:t>
      </w:r>
      <w:proofErr w:type="spellEnd"/>
      <w:r w:rsidRPr="00934329">
        <w:t xml:space="preserve"> production in Northeast India: A review. </w:t>
      </w:r>
      <w:r w:rsidRPr="0004164E">
        <w:rPr>
          <w:i/>
          <w:iCs/>
        </w:rPr>
        <w:t>Journal of Spices and Aromatic Crops, 28</w:t>
      </w:r>
      <w:r w:rsidRPr="00934329">
        <w:t>(2), 65–78.</w:t>
      </w:r>
    </w:p>
    <w:p w14:paraId="3F8A7534" w14:textId="77777777" w:rsidR="00934329" w:rsidRDefault="00934329" w:rsidP="0004164E">
      <w:pPr>
        <w:pStyle w:val="ListParagraph"/>
        <w:numPr>
          <w:ilvl w:val="0"/>
          <w:numId w:val="11"/>
        </w:numPr>
      </w:pPr>
      <w:r w:rsidRPr="00934329">
        <w:t xml:space="preserve">Devi, R., Saikia, P., &amp; Bora, L. C. (2020). Pest dynamics in King </w:t>
      </w:r>
      <w:proofErr w:type="spellStart"/>
      <w:r w:rsidRPr="00934329">
        <w:t>chilli</w:t>
      </w:r>
      <w:proofErr w:type="spellEnd"/>
      <w:r w:rsidRPr="00934329">
        <w:t xml:space="preserve"> under climate variability: Implications for integrated management. </w:t>
      </w:r>
      <w:r w:rsidRPr="0004164E">
        <w:rPr>
          <w:i/>
          <w:iCs/>
        </w:rPr>
        <w:t>Crop Protection, 135</w:t>
      </w:r>
      <w:r w:rsidRPr="00934329">
        <w:t>, 105112. </w:t>
      </w:r>
      <w:hyperlink r:id="rId9" w:tgtFrame="_blank" w:history="1">
        <w:r w:rsidRPr="0004164E">
          <w:rPr>
            <w:rStyle w:val="Hyperlink"/>
            <w:rFonts w:ascii="Times New Roman" w:hAnsi="Times New Roman" w:cs="Times New Roman"/>
            <w:sz w:val="24"/>
            <w:szCs w:val="24"/>
          </w:rPr>
          <w:t>https://doi.org/10.1016/j.cropro.2020.105112</w:t>
        </w:r>
      </w:hyperlink>
    </w:p>
    <w:p w14:paraId="3DBF1CAA" w14:textId="77777777" w:rsidR="003F6493" w:rsidRDefault="003F6493" w:rsidP="0004164E">
      <w:pPr>
        <w:pStyle w:val="ListParagraph"/>
        <w:numPr>
          <w:ilvl w:val="0"/>
          <w:numId w:val="11"/>
        </w:numPr>
      </w:pPr>
      <w:r w:rsidRPr="003F6493">
        <w:t>Dwivedi, S. L., et al. (2024). </w:t>
      </w:r>
      <w:r w:rsidRPr="0004164E">
        <w:rPr>
          <w:i/>
          <w:iCs/>
        </w:rPr>
        <w:t xml:space="preserve">Breeding climate-resilient </w:t>
      </w:r>
      <w:proofErr w:type="spellStart"/>
      <w:r w:rsidRPr="0004164E">
        <w:rPr>
          <w:i/>
          <w:iCs/>
        </w:rPr>
        <w:t>chilli</w:t>
      </w:r>
      <w:proofErr w:type="spellEnd"/>
      <w:r w:rsidRPr="0004164E">
        <w:rPr>
          <w:i/>
          <w:iCs/>
        </w:rPr>
        <w:t xml:space="preserve"> varieties for protected cultivation.</w:t>
      </w:r>
      <w:r w:rsidRPr="003F6493">
        <w:t> Theoretical and Applied Genetics, 137(1), 1-18.</w:t>
      </w:r>
    </w:p>
    <w:p w14:paraId="2D0D4F65" w14:textId="5A7844B6" w:rsidR="0004164E" w:rsidRDefault="0004164E" w:rsidP="0004164E">
      <w:pPr>
        <w:pStyle w:val="ListParagraph"/>
        <w:numPr>
          <w:ilvl w:val="0"/>
          <w:numId w:val="11"/>
        </w:numPr>
      </w:pPr>
      <w:proofErr w:type="spellStart"/>
      <w:r w:rsidRPr="0004164E">
        <w:t>Fageria</w:t>
      </w:r>
      <w:proofErr w:type="spellEnd"/>
      <w:r w:rsidRPr="0004164E">
        <w:t xml:space="preserve">, N. K. (2009). The use of nutrients in crop plants. CRC Press. </w:t>
      </w:r>
      <w:hyperlink r:id="rId10" w:history="1">
        <w:r w:rsidRPr="00B7758D">
          <w:rPr>
            <w:rStyle w:val="Hyperlink"/>
          </w:rPr>
          <w:t>https://doi.org/10.1201/9781420075113</w:t>
        </w:r>
      </w:hyperlink>
    </w:p>
    <w:p w14:paraId="1E012EEE" w14:textId="657DFAD9" w:rsidR="003F6493" w:rsidRPr="00934329" w:rsidRDefault="003F6493" w:rsidP="0004164E">
      <w:pPr>
        <w:pStyle w:val="ListParagraph"/>
        <w:numPr>
          <w:ilvl w:val="0"/>
          <w:numId w:val="11"/>
        </w:numPr>
      </w:pPr>
      <w:r w:rsidRPr="003F6493">
        <w:t>Fischer, R. A., et al. (2021). </w:t>
      </w:r>
      <w:r w:rsidRPr="0004164E">
        <w:rPr>
          <w:i/>
          <w:iCs/>
        </w:rPr>
        <w:t>The yield gap and economic viability in tropical agriculture.</w:t>
      </w:r>
      <w:r w:rsidRPr="003F6493">
        <w:t> Agricultural Systems, 186, 102981</w:t>
      </w:r>
      <w:r>
        <w:t>.</w:t>
      </w:r>
    </w:p>
    <w:p w14:paraId="2E7227B8" w14:textId="77777777" w:rsidR="00934329" w:rsidRPr="00934329" w:rsidRDefault="00934329" w:rsidP="0004164E">
      <w:pPr>
        <w:pStyle w:val="ListParagraph"/>
        <w:numPr>
          <w:ilvl w:val="0"/>
          <w:numId w:val="11"/>
        </w:numPr>
      </w:pPr>
      <w:r w:rsidRPr="00934329">
        <w:t>Gautam, P., Kashyap, S. K., &amp; Singh, R. (2019). Protected cultivation of Capsicum: A meta-analysis of yield and resource-use efficiency. </w:t>
      </w:r>
      <w:r w:rsidRPr="0004164E">
        <w:rPr>
          <w:i/>
          <w:iCs/>
        </w:rPr>
        <w:t xml:space="preserve">Scientia </w:t>
      </w:r>
      <w:proofErr w:type="spellStart"/>
      <w:r w:rsidRPr="0004164E">
        <w:rPr>
          <w:i/>
          <w:iCs/>
        </w:rPr>
        <w:t>Horticulturae</w:t>
      </w:r>
      <w:proofErr w:type="spellEnd"/>
      <w:r w:rsidRPr="0004164E">
        <w:rPr>
          <w:i/>
          <w:iCs/>
        </w:rPr>
        <w:t>, 256</w:t>
      </w:r>
      <w:r w:rsidRPr="00934329">
        <w:t>, 108527. </w:t>
      </w:r>
      <w:hyperlink r:id="rId11" w:tgtFrame="_blank" w:history="1">
        <w:r w:rsidRPr="0004164E">
          <w:rPr>
            <w:rStyle w:val="Hyperlink"/>
            <w:rFonts w:ascii="Times New Roman" w:hAnsi="Times New Roman" w:cs="Times New Roman"/>
            <w:sz w:val="24"/>
            <w:szCs w:val="24"/>
          </w:rPr>
          <w:t>https://doi.org/10.1016/j.scienta.2019.108527</w:t>
        </w:r>
      </w:hyperlink>
    </w:p>
    <w:p w14:paraId="6C6A8DB7" w14:textId="77777777" w:rsidR="00934329" w:rsidRPr="00934329" w:rsidRDefault="00934329" w:rsidP="0004164E">
      <w:pPr>
        <w:pStyle w:val="ListParagraph"/>
        <w:numPr>
          <w:ilvl w:val="0"/>
          <w:numId w:val="11"/>
        </w:numPr>
      </w:pPr>
      <w:r w:rsidRPr="00934329">
        <w:t xml:space="preserve">Gurung, T., </w:t>
      </w:r>
      <w:proofErr w:type="spellStart"/>
      <w:r w:rsidRPr="00934329">
        <w:t>Techawongstien</w:t>
      </w:r>
      <w:proofErr w:type="spellEnd"/>
      <w:r w:rsidRPr="00934329">
        <w:t xml:space="preserve">, S., &amp; Bosland, P. W. (2012). </w:t>
      </w:r>
      <w:proofErr w:type="spellStart"/>
      <w:r w:rsidRPr="00934329">
        <w:t>Capsaicinoid</w:t>
      </w:r>
      <w:proofErr w:type="spellEnd"/>
      <w:r w:rsidRPr="00934329">
        <w:t xml:space="preserve"> and antioxidant activity of </w:t>
      </w:r>
      <w:proofErr w:type="spellStart"/>
      <w:r w:rsidRPr="00934329">
        <w:t>Bhut</w:t>
      </w:r>
      <w:proofErr w:type="spellEnd"/>
      <w:r w:rsidRPr="00934329">
        <w:t xml:space="preserve"> </w:t>
      </w:r>
      <w:proofErr w:type="spellStart"/>
      <w:r w:rsidRPr="00934329">
        <w:t>Jolokia</w:t>
      </w:r>
      <w:proofErr w:type="spellEnd"/>
      <w:r w:rsidRPr="00934329">
        <w:t xml:space="preserve"> (Capsicum </w:t>
      </w:r>
      <w:proofErr w:type="spellStart"/>
      <w:r w:rsidRPr="00934329">
        <w:t>chinense</w:t>
      </w:r>
      <w:proofErr w:type="spellEnd"/>
      <w:r w:rsidRPr="00934329">
        <w:t xml:space="preserve"> Jacq.). </w:t>
      </w:r>
      <w:r w:rsidRPr="0004164E">
        <w:rPr>
          <w:i/>
          <w:iCs/>
        </w:rPr>
        <w:t>Journal of Biosciences, 37</w:t>
      </w:r>
      <w:r w:rsidRPr="00934329">
        <w:t>(2), 247–253. </w:t>
      </w:r>
      <w:hyperlink r:id="rId12" w:tgtFrame="_blank" w:history="1">
        <w:r w:rsidRPr="0004164E">
          <w:rPr>
            <w:rStyle w:val="Hyperlink"/>
            <w:rFonts w:ascii="Times New Roman" w:hAnsi="Times New Roman" w:cs="Times New Roman"/>
            <w:sz w:val="24"/>
            <w:szCs w:val="24"/>
          </w:rPr>
          <w:t>https://doi.org/10.1007/s12038-012-9191-9</w:t>
        </w:r>
      </w:hyperlink>
    </w:p>
    <w:p w14:paraId="4ECB9772" w14:textId="77777777" w:rsidR="00934329" w:rsidRDefault="00934329" w:rsidP="0004164E">
      <w:pPr>
        <w:pStyle w:val="ListParagraph"/>
        <w:numPr>
          <w:ilvl w:val="0"/>
          <w:numId w:val="11"/>
        </w:numPr>
      </w:pPr>
      <w:r w:rsidRPr="00934329">
        <w:t xml:space="preserve">Hazarika, T. K., </w:t>
      </w:r>
      <w:proofErr w:type="spellStart"/>
      <w:r w:rsidRPr="00934329">
        <w:t>Lalthanpuii</w:t>
      </w:r>
      <w:proofErr w:type="spellEnd"/>
      <w:r w:rsidRPr="00934329">
        <w:t xml:space="preserve">, &amp; Mandal, D. (2017). Nutrient management in </w:t>
      </w:r>
      <w:proofErr w:type="spellStart"/>
      <w:r w:rsidRPr="00934329">
        <w:t>Bhut</w:t>
      </w:r>
      <w:proofErr w:type="spellEnd"/>
      <w:r w:rsidRPr="00934329">
        <w:t xml:space="preserve"> </w:t>
      </w:r>
      <w:proofErr w:type="spellStart"/>
      <w:r w:rsidRPr="00934329">
        <w:t>Jolokia</w:t>
      </w:r>
      <w:proofErr w:type="spellEnd"/>
      <w:r w:rsidRPr="00934329">
        <w:t xml:space="preserve"> (Capsicum </w:t>
      </w:r>
      <w:proofErr w:type="spellStart"/>
      <w:r w:rsidRPr="00934329">
        <w:t>chinense</w:t>
      </w:r>
      <w:proofErr w:type="spellEnd"/>
      <w:r w:rsidRPr="00934329">
        <w:t xml:space="preserve"> Jacq.): Growth, yield and </w:t>
      </w:r>
      <w:proofErr w:type="spellStart"/>
      <w:r w:rsidRPr="00934329">
        <w:t>capsaicinoid</w:t>
      </w:r>
      <w:proofErr w:type="spellEnd"/>
      <w:r w:rsidRPr="00934329">
        <w:t xml:space="preserve"> content. </w:t>
      </w:r>
      <w:r w:rsidRPr="0004164E">
        <w:rPr>
          <w:i/>
          <w:iCs/>
        </w:rPr>
        <w:t>Journal of Plant Nutrition, 40</w:t>
      </w:r>
      <w:r w:rsidRPr="00934329">
        <w:t>(8), 1153–1165. </w:t>
      </w:r>
      <w:hyperlink r:id="rId13" w:tgtFrame="_blank" w:history="1">
        <w:r w:rsidRPr="0004164E">
          <w:rPr>
            <w:rStyle w:val="Hyperlink"/>
            <w:rFonts w:ascii="Times New Roman" w:hAnsi="Times New Roman" w:cs="Times New Roman"/>
            <w:sz w:val="24"/>
            <w:szCs w:val="24"/>
          </w:rPr>
          <w:t>https://doi.org/10.1080/01904167.2016.1267201</w:t>
        </w:r>
      </w:hyperlink>
    </w:p>
    <w:p w14:paraId="5A23EBE9" w14:textId="30F5B1B3" w:rsidR="0004164E" w:rsidRDefault="0004164E" w:rsidP="0004164E">
      <w:pPr>
        <w:pStyle w:val="ListParagraph"/>
        <w:numPr>
          <w:ilvl w:val="0"/>
          <w:numId w:val="11"/>
        </w:numPr>
      </w:pPr>
      <w:r w:rsidRPr="0004164E">
        <w:t xml:space="preserve">Jensen, M. H., &amp; Malter, A. J. (1995). Protected agriculture: A global review. World Bank Technical Paper No. 253. World Bank. </w:t>
      </w:r>
      <w:hyperlink r:id="rId14" w:history="1">
        <w:r w:rsidRPr="00B7758D">
          <w:rPr>
            <w:rStyle w:val="Hyperlink"/>
          </w:rPr>
          <w:t>http://documents.worldbank.org/curated/en/170171468765017779</w:t>
        </w:r>
      </w:hyperlink>
    </w:p>
    <w:p w14:paraId="3D5D1EEC" w14:textId="047D68A3" w:rsidR="003F6493" w:rsidRDefault="003F6493" w:rsidP="0004164E">
      <w:pPr>
        <w:pStyle w:val="ListParagraph"/>
        <w:numPr>
          <w:ilvl w:val="0"/>
          <w:numId w:val="11"/>
        </w:numPr>
      </w:pPr>
      <w:r w:rsidRPr="003F6493">
        <w:t>Joshi, P. K., et al. (2023). </w:t>
      </w:r>
      <w:r w:rsidRPr="0004164E">
        <w:rPr>
          <w:i/>
          <w:iCs/>
        </w:rPr>
        <w:t>Economics of polyhouse adoption in Northeast India.</w:t>
      </w:r>
      <w:r w:rsidRPr="003F6493">
        <w:t> Agricultural Economics Research Review, 36(1), 89-102.</w:t>
      </w:r>
    </w:p>
    <w:p w14:paraId="38781362" w14:textId="77777777" w:rsidR="005A68D9" w:rsidRDefault="005A68D9" w:rsidP="0004164E">
      <w:pPr>
        <w:pStyle w:val="ListParagraph"/>
        <w:numPr>
          <w:ilvl w:val="0"/>
          <w:numId w:val="11"/>
        </w:numPr>
      </w:pPr>
      <w:proofErr w:type="spellStart"/>
      <w:r w:rsidRPr="005A68D9">
        <w:t>Khutate</w:t>
      </w:r>
      <w:proofErr w:type="spellEnd"/>
      <w:r w:rsidRPr="005A68D9">
        <w:t>, S. P., Wankhade, S. G., &amp; Kulkarni, G. N. (2005). </w:t>
      </w:r>
      <w:r w:rsidRPr="0004164E">
        <w:rPr>
          <w:i/>
          <w:iCs/>
        </w:rPr>
        <w:t xml:space="preserve">Effect of microclimate modification on </w:t>
      </w:r>
      <w:proofErr w:type="spellStart"/>
      <w:r w:rsidRPr="0004164E">
        <w:rPr>
          <w:i/>
          <w:iCs/>
        </w:rPr>
        <w:t>chilli</w:t>
      </w:r>
      <w:proofErr w:type="spellEnd"/>
      <w:r w:rsidRPr="0004164E">
        <w:rPr>
          <w:i/>
          <w:iCs/>
        </w:rPr>
        <w:t xml:space="preserve"> (Capsicum annuum L.) growth under protected conditions</w:t>
      </w:r>
      <w:r w:rsidRPr="005A68D9">
        <w:t>. Indian Journal of Agricultural Sciences, 75(8), 512-515.</w:t>
      </w:r>
    </w:p>
    <w:p w14:paraId="718C73A9" w14:textId="77777777" w:rsidR="005A68D9" w:rsidRPr="005A68D9" w:rsidRDefault="005A68D9" w:rsidP="0004164E">
      <w:pPr>
        <w:pStyle w:val="ListParagraph"/>
        <w:numPr>
          <w:ilvl w:val="0"/>
          <w:numId w:val="11"/>
        </w:numPr>
      </w:pPr>
      <w:r w:rsidRPr="005A68D9">
        <w:t>Kumar, P., &amp; Poehling, H. M. (2006). </w:t>
      </w:r>
      <w:r w:rsidRPr="0004164E">
        <w:rPr>
          <w:i/>
          <w:iCs/>
        </w:rPr>
        <w:t>Effects of abiotic stressors on plant-insect interactions in Capsicum cultivation</w:t>
      </w:r>
      <w:r w:rsidRPr="005A68D9">
        <w:t>. Journal of Applied Entomology, 130(5), 321-329</w:t>
      </w:r>
    </w:p>
    <w:p w14:paraId="7858220E" w14:textId="6DB53D36" w:rsidR="0004164E" w:rsidRDefault="0004164E" w:rsidP="0004164E">
      <w:pPr>
        <w:pStyle w:val="ListParagraph"/>
        <w:numPr>
          <w:ilvl w:val="0"/>
          <w:numId w:val="11"/>
        </w:numPr>
      </w:pPr>
      <w:r w:rsidRPr="0004164E">
        <w:t xml:space="preserve">Kumar, R., Singh, A. K., &amp; Patel, N. (2020). Economic analysis of protected versus open-field </w:t>
      </w:r>
      <w:proofErr w:type="spellStart"/>
      <w:r w:rsidRPr="0004164E">
        <w:t>chilli</w:t>
      </w:r>
      <w:proofErr w:type="spellEnd"/>
      <w:r w:rsidRPr="0004164E">
        <w:t xml:space="preserve"> cultivation in subtropical regions. Agricultural Economics Research Review, 33(1), 89–101. </w:t>
      </w:r>
      <w:hyperlink r:id="rId15" w:history="1">
        <w:r w:rsidRPr="00B7758D">
          <w:rPr>
            <w:rStyle w:val="Hyperlink"/>
          </w:rPr>
          <w:t>https://www.aera-india.org/journal/index.php/aer/issue/view/43</w:t>
        </w:r>
      </w:hyperlink>
    </w:p>
    <w:p w14:paraId="4B3F0BF8" w14:textId="6FED2959" w:rsidR="00934329" w:rsidRDefault="00934329" w:rsidP="0004164E">
      <w:pPr>
        <w:pStyle w:val="ListParagraph"/>
        <w:numPr>
          <w:ilvl w:val="0"/>
          <w:numId w:val="11"/>
        </w:numPr>
      </w:pPr>
      <w:r w:rsidRPr="00934329">
        <w:lastRenderedPageBreak/>
        <w:t>Mathur, P., Dutta, M., &amp; Velmurugan, A. (2010). Ethnobotanical and commercial uses of Bhut Jolokia: A case study from Northeast India. </w:t>
      </w:r>
      <w:r w:rsidRPr="0004164E">
        <w:rPr>
          <w:i/>
          <w:iCs/>
        </w:rPr>
        <w:t>Economic Botany, 64</w:t>
      </w:r>
      <w:r w:rsidRPr="00934329">
        <w:t>(4), 335–342.</w:t>
      </w:r>
    </w:p>
    <w:p w14:paraId="4CBB0E65" w14:textId="77777777" w:rsidR="005A68D9" w:rsidRPr="00934329" w:rsidRDefault="005A68D9" w:rsidP="0004164E">
      <w:pPr>
        <w:pStyle w:val="ListParagraph"/>
        <w:numPr>
          <w:ilvl w:val="0"/>
          <w:numId w:val="11"/>
        </w:numPr>
      </w:pPr>
      <w:proofErr w:type="spellStart"/>
      <w:r w:rsidRPr="005A68D9">
        <w:t>Medhe</w:t>
      </w:r>
      <w:proofErr w:type="spellEnd"/>
      <w:r w:rsidRPr="005A68D9">
        <w:t xml:space="preserve">, S. R., </w:t>
      </w:r>
      <w:proofErr w:type="spellStart"/>
      <w:r w:rsidRPr="005A68D9">
        <w:t>Bhalekar</w:t>
      </w:r>
      <w:proofErr w:type="spellEnd"/>
      <w:r w:rsidRPr="005A68D9">
        <w:t>, M. N., &amp; Pawar, P. P. (2010). </w:t>
      </w:r>
      <w:r w:rsidRPr="0004164E">
        <w:rPr>
          <w:i/>
          <w:iCs/>
        </w:rPr>
        <w:t xml:space="preserve">Growth and yield response of </w:t>
      </w:r>
      <w:proofErr w:type="spellStart"/>
      <w:r w:rsidRPr="0004164E">
        <w:rPr>
          <w:i/>
          <w:iCs/>
        </w:rPr>
        <w:t>chilli</w:t>
      </w:r>
      <w:proofErr w:type="spellEnd"/>
      <w:r w:rsidRPr="0004164E">
        <w:rPr>
          <w:i/>
          <w:iCs/>
        </w:rPr>
        <w:t xml:space="preserve"> (Capsicum annuum L.) to greenhouse and open-field conditions</w:t>
      </w:r>
      <w:r w:rsidRPr="005A68D9">
        <w:t>. Journal of Crop Improvement, 24(2), 178-190</w:t>
      </w:r>
      <w:r>
        <w:t>.</w:t>
      </w:r>
    </w:p>
    <w:p w14:paraId="3F2428B6" w14:textId="77777777" w:rsidR="00934329" w:rsidRDefault="00934329" w:rsidP="0004164E">
      <w:pPr>
        <w:pStyle w:val="ListParagraph"/>
        <w:numPr>
          <w:ilvl w:val="0"/>
          <w:numId w:val="11"/>
        </w:numPr>
      </w:pPr>
      <w:r w:rsidRPr="00934329">
        <w:t xml:space="preserve">Medhi, B. J., Das, A., &amp; Talukdar, P. (2018). Efficacy of polyhouse in reducing pest incidence in King </w:t>
      </w:r>
      <w:proofErr w:type="spellStart"/>
      <w:r w:rsidRPr="00934329">
        <w:t>chilli</w:t>
      </w:r>
      <w:proofErr w:type="spellEnd"/>
      <w:r w:rsidRPr="00934329">
        <w:t xml:space="preserve"> (Capsicum </w:t>
      </w:r>
      <w:proofErr w:type="spellStart"/>
      <w:r w:rsidRPr="00934329">
        <w:t>chinense</w:t>
      </w:r>
      <w:proofErr w:type="spellEnd"/>
      <w:r w:rsidRPr="00934329">
        <w:t xml:space="preserve"> Jacq.). </w:t>
      </w:r>
      <w:r w:rsidRPr="0004164E">
        <w:rPr>
          <w:i/>
          <w:iCs/>
        </w:rPr>
        <w:t>Indian Journal of Agricultural Sciences, 88</w:t>
      </w:r>
      <w:r w:rsidRPr="00934329">
        <w:t>(8), 1247–1252.</w:t>
      </w:r>
    </w:p>
    <w:p w14:paraId="693A96CC" w14:textId="77777777" w:rsidR="003F6493" w:rsidRPr="003F6493" w:rsidRDefault="003F6493" w:rsidP="0004164E">
      <w:pPr>
        <w:pStyle w:val="ListParagraph"/>
        <w:numPr>
          <w:ilvl w:val="0"/>
          <w:numId w:val="11"/>
        </w:numPr>
      </w:pPr>
      <w:r w:rsidRPr="003F6493">
        <w:t>Nair, R. R., et al. (2023). </w:t>
      </w:r>
      <w:r w:rsidRPr="0004164E">
        <w:rPr>
          <w:i/>
          <w:iCs/>
        </w:rPr>
        <w:t>Sensor-based nutrient management in solanaceous crops.</w:t>
      </w:r>
      <w:r w:rsidRPr="003F6493">
        <w:t> Computers and Electronics in Agriculture, 204, 107521.</w:t>
      </w:r>
    </w:p>
    <w:p w14:paraId="07B7F14C" w14:textId="77777777" w:rsidR="005A68D9" w:rsidRPr="00934329" w:rsidRDefault="005A68D9" w:rsidP="0004164E">
      <w:pPr>
        <w:pStyle w:val="ListParagraph"/>
        <w:numPr>
          <w:ilvl w:val="0"/>
          <w:numId w:val="11"/>
        </w:numPr>
      </w:pPr>
      <w:proofErr w:type="spellStart"/>
      <w:r w:rsidRPr="005A68D9">
        <w:t>Omogoye</w:t>
      </w:r>
      <w:proofErr w:type="spellEnd"/>
      <w:r w:rsidRPr="005A68D9">
        <w:t>, A. M. (2015). </w:t>
      </w:r>
      <w:r w:rsidRPr="0004164E">
        <w:rPr>
          <w:i/>
          <w:iCs/>
        </w:rPr>
        <w:t xml:space="preserve">Nutrient management strategies for enhanced </w:t>
      </w:r>
      <w:proofErr w:type="spellStart"/>
      <w:r w:rsidRPr="0004164E">
        <w:rPr>
          <w:i/>
          <w:iCs/>
        </w:rPr>
        <w:t>chilli</w:t>
      </w:r>
      <w:proofErr w:type="spellEnd"/>
      <w:r w:rsidRPr="0004164E">
        <w:rPr>
          <w:i/>
          <w:iCs/>
        </w:rPr>
        <w:t xml:space="preserve"> productivity in tropical climates</w:t>
      </w:r>
      <w:r w:rsidRPr="005A68D9">
        <w:t>. African Journal of Agricultural Research, 10(12), 1456-1464. </w:t>
      </w:r>
    </w:p>
    <w:p w14:paraId="36B09447" w14:textId="77777777" w:rsidR="00934329" w:rsidRPr="00934329" w:rsidRDefault="00934329" w:rsidP="0004164E">
      <w:pPr>
        <w:pStyle w:val="ListParagraph"/>
        <w:numPr>
          <w:ilvl w:val="0"/>
          <w:numId w:val="11"/>
        </w:numPr>
      </w:pPr>
      <w:r w:rsidRPr="00934329">
        <w:t xml:space="preserve">Purkayastha, J., Alam, S. I., &amp; Gogoi, H. K. (2012). Nutrient deficiency effects on capsaicin synthesis in Capsicum </w:t>
      </w:r>
      <w:proofErr w:type="spellStart"/>
      <w:r w:rsidRPr="00934329">
        <w:t>chinense</w:t>
      </w:r>
      <w:proofErr w:type="spellEnd"/>
      <w:r w:rsidRPr="00934329">
        <w:t xml:space="preserve"> Jacq. cv. 'Bhut Jolokia'. </w:t>
      </w:r>
      <w:r w:rsidRPr="0004164E">
        <w:rPr>
          <w:i/>
          <w:iCs/>
        </w:rPr>
        <w:t xml:space="preserve">Scientia </w:t>
      </w:r>
      <w:proofErr w:type="spellStart"/>
      <w:r w:rsidRPr="0004164E">
        <w:rPr>
          <w:i/>
          <w:iCs/>
        </w:rPr>
        <w:t>Horticulturae</w:t>
      </w:r>
      <w:proofErr w:type="spellEnd"/>
      <w:r w:rsidRPr="0004164E">
        <w:rPr>
          <w:i/>
          <w:iCs/>
        </w:rPr>
        <w:t>, 135</w:t>
      </w:r>
      <w:r w:rsidRPr="00934329">
        <w:t>, 19–22. </w:t>
      </w:r>
      <w:hyperlink r:id="rId16" w:tgtFrame="_blank" w:history="1">
        <w:r w:rsidRPr="0004164E">
          <w:rPr>
            <w:rStyle w:val="Hyperlink"/>
            <w:rFonts w:ascii="Times New Roman" w:hAnsi="Times New Roman" w:cs="Times New Roman"/>
            <w:sz w:val="24"/>
            <w:szCs w:val="24"/>
          </w:rPr>
          <w:t>https://doi.org/10.1016/j.scienta.2011.11.033</w:t>
        </w:r>
      </w:hyperlink>
    </w:p>
    <w:p w14:paraId="2F352CF4" w14:textId="77777777" w:rsidR="00934329" w:rsidRPr="00934329" w:rsidRDefault="00934329" w:rsidP="0004164E">
      <w:pPr>
        <w:pStyle w:val="ListParagraph"/>
        <w:numPr>
          <w:ilvl w:val="0"/>
          <w:numId w:val="11"/>
        </w:numPr>
      </w:pPr>
      <w:r w:rsidRPr="00934329">
        <w:t>Saikia, P., Bhattacharyya, P. R., &amp; Baruah, A. M. (2020). Economics of protected cultivation in Northeast India: Policy implications. </w:t>
      </w:r>
      <w:r w:rsidRPr="0004164E">
        <w:rPr>
          <w:i/>
          <w:iCs/>
        </w:rPr>
        <w:t>Agricultural Economics Research Review, 33</w:t>
      </w:r>
      <w:r w:rsidRPr="00934329">
        <w:t>(1), 102–115.</w:t>
      </w:r>
    </w:p>
    <w:p w14:paraId="260A5938" w14:textId="77777777" w:rsidR="00934329" w:rsidRDefault="00934329" w:rsidP="0004164E">
      <w:pPr>
        <w:pStyle w:val="ListParagraph"/>
        <w:numPr>
          <w:ilvl w:val="0"/>
          <w:numId w:val="11"/>
        </w:numPr>
      </w:pPr>
      <w:r w:rsidRPr="00934329">
        <w:t xml:space="preserve">Sarma, M. K., Das, S., &amp; Hazarika, L. K. (2021). Supply chain analysis of King </w:t>
      </w:r>
      <w:proofErr w:type="spellStart"/>
      <w:r w:rsidRPr="00934329">
        <w:t>chilli</w:t>
      </w:r>
      <w:proofErr w:type="spellEnd"/>
      <w:r w:rsidRPr="00934329">
        <w:t xml:space="preserve"> in Assam: Identifying seasonal price gaps. </w:t>
      </w:r>
      <w:r w:rsidRPr="0004164E">
        <w:rPr>
          <w:i/>
          <w:iCs/>
        </w:rPr>
        <w:t>Indian Journal of Agricultural Economics, 76</w:t>
      </w:r>
      <w:r w:rsidRPr="00934329">
        <w:t>(1), 45–58.</w:t>
      </w:r>
    </w:p>
    <w:p w14:paraId="760D853E" w14:textId="77777777" w:rsidR="005A68D9" w:rsidRPr="00934329" w:rsidRDefault="005A68D9" w:rsidP="0004164E">
      <w:pPr>
        <w:pStyle w:val="ListParagraph"/>
        <w:numPr>
          <w:ilvl w:val="0"/>
          <w:numId w:val="11"/>
        </w:numPr>
      </w:pPr>
      <w:r w:rsidRPr="005A68D9">
        <w:t>Singh, D., Sharma, R. R., &amp; Kumar, P. (2018). </w:t>
      </w:r>
      <w:r w:rsidRPr="0004164E">
        <w:rPr>
          <w:i/>
          <w:iCs/>
        </w:rPr>
        <w:t>Microclimate modification and its impact on vegetable crops under protected cultivation: A review</w:t>
      </w:r>
      <w:r w:rsidRPr="005A68D9">
        <w:t>. Journal of Environmental Biology, 39(5), 679-688</w:t>
      </w:r>
    </w:p>
    <w:p w14:paraId="7FBD9BCC" w14:textId="77777777" w:rsidR="00934329" w:rsidRDefault="00934329" w:rsidP="0004164E">
      <w:pPr>
        <w:pStyle w:val="ListParagraph"/>
        <w:numPr>
          <w:ilvl w:val="0"/>
          <w:numId w:val="11"/>
        </w:numPr>
      </w:pPr>
      <w:r w:rsidRPr="00934329">
        <w:t>Singh, P., Singh, G., &amp; Kaur, H. (2021). Polyhouse technology for sustainable agriculture: A comprehensive review. </w:t>
      </w:r>
      <w:r w:rsidRPr="0004164E">
        <w:rPr>
          <w:i/>
          <w:iCs/>
        </w:rPr>
        <w:t>Journal of Protected Cultivation, 8</w:t>
      </w:r>
      <w:r w:rsidRPr="00934329">
        <w:t>(2), 45–58.</w:t>
      </w:r>
    </w:p>
    <w:p w14:paraId="280EE01D" w14:textId="77777777" w:rsidR="005A68D9" w:rsidRDefault="005A68D9" w:rsidP="0004164E">
      <w:pPr>
        <w:pStyle w:val="ListParagraph"/>
        <w:numPr>
          <w:ilvl w:val="0"/>
          <w:numId w:val="11"/>
        </w:numPr>
      </w:pPr>
      <w:r w:rsidRPr="005A68D9">
        <w:t>Srinivasan, K. (2012). </w:t>
      </w:r>
      <w:r w:rsidRPr="0004164E">
        <w:rPr>
          <w:i/>
          <w:iCs/>
        </w:rPr>
        <w:t xml:space="preserve">Nutrient deficiency disorders in </w:t>
      </w:r>
      <w:proofErr w:type="spellStart"/>
      <w:r w:rsidRPr="0004164E">
        <w:rPr>
          <w:i/>
          <w:iCs/>
        </w:rPr>
        <w:t>chilli</w:t>
      </w:r>
      <w:proofErr w:type="spellEnd"/>
      <w:r w:rsidRPr="0004164E">
        <w:rPr>
          <w:i/>
          <w:iCs/>
        </w:rPr>
        <w:t xml:space="preserve"> and their management</w:t>
      </w:r>
      <w:r w:rsidRPr="005A68D9">
        <w:t>. In </w:t>
      </w:r>
      <w:r w:rsidRPr="0004164E">
        <w:rPr>
          <w:i/>
          <w:iCs/>
        </w:rPr>
        <w:t xml:space="preserve">Advances in </w:t>
      </w:r>
      <w:proofErr w:type="spellStart"/>
      <w:r w:rsidRPr="0004164E">
        <w:rPr>
          <w:i/>
          <w:iCs/>
        </w:rPr>
        <w:t>chilli</w:t>
      </w:r>
      <w:proofErr w:type="spellEnd"/>
      <w:r w:rsidRPr="0004164E">
        <w:rPr>
          <w:i/>
          <w:iCs/>
        </w:rPr>
        <w:t xml:space="preserve"> research</w:t>
      </w:r>
      <w:r w:rsidRPr="005A68D9">
        <w:t> (pp. 89-104).</w:t>
      </w:r>
    </w:p>
    <w:p w14:paraId="63299244" w14:textId="75A24C68" w:rsidR="0004164E" w:rsidRDefault="0004164E" w:rsidP="0004164E">
      <w:pPr>
        <w:pStyle w:val="ListParagraph"/>
        <w:numPr>
          <w:ilvl w:val="0"/>
          <w:numId w:val="11"/>
        </w:numPr>
      </w:pPr>
      <w:r w:rsidRPr="0004164E">
        <w:t xml:space="preserve">van </w:t>
      </w:r>
      <w:proofErr w:type="spellStart"/>
      <w:r w:rsidRPr="0004164E">
        <w:t>Ittersum</w:t>
      </w:r>
      <w:proofErr w:type="spellEnd"/>
      <w:r w:rsidRPr="0004164E">
        <w:t xml:space="preserve">, M. K., Cassman, K. G., Grassini, P., Wolf, J., </w:t>
      </w:r>
      <w:proofErr w:type="spellStart"/>
      <w:r w:rsidRPr="0004164E">
        <w:t>Tittonell</w:t>
      </w:r>
      <w:proofErr w:type="spellEnd"/>
      <w:r w:rsidRPr="0004164E">
        <w:t xml:space="preserve">, P. A., &amp; Hochman, Z. (2013). Yield gap analysis with local to global relevance—A review. Field Crops Research, 143, 4-17. </w:t>
      </w:r>
      <w:hyperlink r:id="rId17" w:history="1">
        <w:r w:rsidRPr="00B7758D">
          <w:rPr>
            <w:rStyle w:val="Hyperlink"/>
          </w:rPr>
          <w:t>https://doi.org/10.1016/j.fcr.2012.09.009</w:t>
        </w:r>
      </w:hyperlink>
    </w:p>
    <w:p w14:paraId="6CEF88CE" w14:textId="0C242EF1" w:rsidR="00934329" w:rsidRDefault="00934329" w:rsidP="0004164E">
      <w:pPr>
        <w:pStyle w:val="ListParagraph"/>
        <w:numPr>
          <w:ilvl w:val="0"/>
          <w:numId w:val="11"/>
        </w:numPr>
      </w:pPr>
      <w:r w:rsidRPr="00934329">
        <w:t>Wang, Y., Zhang, X., &amp; Liu, H. (2020). Nutrient use efficiency in protected cultivation systems: A global meta-analysis. </w:t>
      </w:r>
      <w:r w:rsidRPr="0004164E">
        <w:rPr>
          <w:i/>
          <w:iCs/>
        </w:rPr>
        <w:t>Agronomy for Sustainable Development, 40</w:t>
      </w:r>
      <w:r w:rsidRPr="00934329">
        <w:t>(3), 1–15. </w:t>
      </w:r>
      <w:hyperlink r:id="rId18" w:tgtFrame="_blank" w:history="1">
        <w:r w:rsidRPr="0004164E">
          <w:rPr>
            <w:rStyle w:val="Hyperlink"/>
            <w:rFonts w:ascii="Times New Roman" w:hAnsi="Times New Roman" w:cs="Times New Roman"/>
            <w:sz w:val="24"/>
            <w:szCs w:val="24"/>
          </w:rPr>
          <w:t>https://doi.org/10.1007/s13593-020-00626-3</w:t>
        </w:r>
      </w:hyperlink>
    </w:p>
    <w:sectPr w:rsidR="00934329" w:rsidSect="00CB3C88">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599C0F" w14:textId="77777777" w:rsidR="00E8587E" w:rsidRDefault="00E8587E" w:rsidP="00704385">
      <w:pPr>
        <w:spacing w:after="0" w:line="240" w:lineRule="auto"/>
      </w:pPr>
      <w:r>
        <w:separator/>
      </w:r>
    </w:p>
  </w:endnote>
  <w:endnote w:type="continuationSeparator" w:id="0">
    <w:p w14:paraId="2F82023D" w14:textId="77777777" w:rsidR="00E8587E" w:rsidRDefault="00E8587E" w:rsidP="00704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7B1F4" w14:textId="77777777" w:rsidR="00704385" w:rsidRDefault="00704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6C4AA" w14:textId="77777777" w:rsidR="00704385" w:rsidRDefault="007043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56013" w14:textId="77777777" w:rsidR="00704385" w:rsidRDefault="00704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2F954" w14:textId="77777777" w:rsidR="00E8587E" w:rsidRDefault="00E8587E" w:rsidP="00704385">
      <w:pPr>
        <w:spacing w:after="0" w:line="240" w:lineRule="auto"/>
      </w:pPr>
      <w:r>
        <w:separator/>
      </w:r>
    </w:p>
  </w:footnote>
  <w:footnote w:type="continuationSeparator" w:id="0">
    <w:p w14:paraId="66639A3C" w14:textId="77777777" w:rsidR="00E8587E" w:rsidRDefault="00E8587E" w:rsidP="00704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9CBDC" w14:textId="56471B9E" w:rsidR="00704385" w:rsidRDefault="00170C4B">
    <w:pPr>
      <w:pStyle w:val="Header"/>
    </w:pPr>
    <w:r>
      <w:rPr>
        <w:noProof/>
      </w:rPr>
      <w:pict w14:anchorId="26C10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71276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9D3CA" w14:textId="238D7C1B" w:rsidR="00704385" w:rsidRDefault="00170C4B">
    <w:pPr>
      <w:pStyle w:val="Header"/>
    </w:pPr>
    <w:r>
      <w:rPr>
        <w:noProof/>
      </w:rPr>
      <w:pict w14:anchorId="2C4D10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71276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D5A67" w14:textId="5EFC04EF" w:rsidR="00704385" w:rsidRDefault="00170C4B">
    <w:pPr>
      <w:pStyle w:val="Header"/>
    </w:pPr>
    <w:r>
      <w:rPr>
        <w:noProof/>
      </w:rPr>
      <w:pict w14:anchorId="79842E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771276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511D"/>
    <w:multiLevelType w:val="multilevel"/>
    <w:tmpl w:val="2456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E4F3F"/>
    <w:multiLevelType w:val="multilevel"/>
    <w:tmpl w:val="E4D8C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F6C6D"/>
    <w:multiLevelType w:val="multilevel"/>
    <w:tmpl w:val="B82E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07CC1"/>
    <w:multiLevelType w:val="multilevel"/>
    <w:tmpl w:val="7D884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7F74A9"/>
    <w:multiLevelType w:val="multilevel"/>
    <w:tmpl w:val="92C29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B26D7B"/>
    <w:multiLevelType w:val="multilevel"/>
    <w:tmpl w:val="9898A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F965F4"/>
    <w:multiLevelType w:val="multilevel"/>
    <w:tmpl w:val="3AA8C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DC3627"/>
    <w:multiLevelType w:val="hybridMultilevel"/>
    <w:tmpl w:val="4AAE5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8A57AA"/>
    <w:multiLevelType w:val="multilevel"/>
    <w:tmpl w:val="B992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0E3B98"/>
    <w:multiLevelType w:val="multilevel"/>
    <w:tmpl w:val="0E100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CF76CD"/>
    <w:multiLevelType w:val="multilevel"/>
    <w:tmpl w:val="E03C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2"/>
  </w:num>
  <w:num w:numId="4">
    <w:abstractNumId w:val="9"/>
  </w:num>
  <w:num w:numId="5">
    <w:abstractNumId w:val="0"/>
  </w:num>
  <w:num w:numId="6">
    <w:abstractNumId w:val="8"/>
  </w:num>
  <w:num w:numId="7">
    <w:abstractNumId w:val="4"/>
  </w:num>
  <w:num w:numId="8">
    <w:abstractNumId w:val="5"/>
  </w:num>
  <w:num w:numId="9">
    <w:abstractNumId w:val="3"/>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0255A"/>
    <w:rsid w:val="0004164E"/>
    <w:rsid w:val="000820C0"/>
    <w:rsid w:val="000A53B9"/>
    <w:rsid w:val="000C3C19"/>
    <w:rsid w:val="000F1A28"/>
    <w:rsid w:val="00170C4B"/>
    <w:rsid w:val="002A3FED"/>
    <w:rsid w:val="002C4E1E"/>
    <w:rsid w:val="00376EFD"/>
    <w:rsid w:val="003915B4"/>
    <w:rsid w:val="003D17F2"/>
    <w:rsid w:val="003E0C3C"/>
    <w:rsid w:val="003E3584"/>
    <w:rsid w:val="003F6493"/>
    <w:rsid w:val="00406B6E"/>
    <w:rsid w:val="00477A54"/>
    <w:rsid w:val="0048042D"/>
    <w:rsid w:val="0050255A"/>
    <w:rsid w:val="005133E8"/>
    <w:rsid w:val="005A68D9"/>
    <w:rsid w:val="006333B2"/>
    <w:rsid w:val="00704385"/>
    <w:rsid w:val="00713BA7"/>
    <w:rsid w:val="00734518"/>
    <w:rsid w:val="0074143A"/>
    <w:rsid w:val="008916C6"/>
    <w:rsid w:val="008B76A8"/>
    <w:rsid w:val="008F6A97"/>
    <w:rsid w:val="00934329"/>
    <w:rsid w:val="009979A0"/>
    <w:rsid w:val="009B4F2E"/>
    <w:rsid w:val="00A250C6"/>
    <w:rsid w:val="00A95460"/>
    <w:rsid w:val="00AB2D41"/>
    <w:rsid w:val="00B22B83"/>
    <w:rsid w:val="00BB1CC3"/>
    <w:rsid w:val="00BE0962"/>
    <w:rsid w:val="00C56004"/>
    <w:rsid w:val="00C749D2"/>
    <w:rsid w:val="00CB3C88"/>
    <w:rsid w:val="00CB7E2C"/>
    <w:rsid w:val="00D257F2"/>
    <w:rsid w:val="00D57F1E"/>
    <w:rsid w:val="00DA5586"/>
    <w:rsid w:val="00E72A03"/>
    <w:rsid w:val="00E8587E"/>
    <w:rsid w:val="00EE6404"/>
    <w:rsid w:val="00EF4248"/>
    <w:rsid w:val="00F353AC"/>
    <w:rsid w:val="00F51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BB28F6"/>
  <w15:docId w15:val="{4C155795-74E3-460A-9C24-CAA0A9661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3C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4329"/>
    <w:rPr>
      <w:color w:val="0000FF" w:themeColor="hyperlink"/>
      <w:u w:val="single"/>
    </w:rPr>
  </w:style>
  <w:style w:type="table" w:styleId="TableGrid">
    <w:name w:val="Table Grid"/>
    <w:basedOn w:val="TableNormal"/>
    <w:uiPriority w:val="59"/>
    <w:qFormat/>
    <w:rsid w:val="00EE6404"/>
    <w:pPr>
      <w:spacing w:after="0" w:line="240" w:lineRule="auto"/>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7043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4385"/>
  </w:style>
  <w:style w:type="paragraph" w:styleId="Footer">
    <w:name w:val="footer"/>
    <w:basedOn w:val="Normal"/>
    <w:link w:val="FooterChar"/>
    <w:uiPriority w:val="99"/>
    <w:semiHidden/>
    <w:unhideWhenUsed/>
    <w:rsid w:val="007043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4385"/>
  </w:style>
  <w:style w:type="character" w:styleId="UnresolvedMention">
    <w:name w:val="Unresolved Mention"/>
    <w:basedOn w:val="DefaultParagraphFont"/>
    <w:uiPriority w:val="99"/>
    <w:semiHidden/>
    <w:unhideWhenUsed/>
    <w:rsid w:val="00CB7E2C"/>
    <w:rPr>
      <w:color w:val="605E5C"/>
      <w:shd w:val="clear" w:color="auto" w:fill="E1DFDD"/>
    </w:rPr>
  </w:style>
  <w:style w:type="paragraph" w:styleId="ListParagraph">
    <w:name w:val="List Paragraph"/>
    <w:basedOn w:val="Normal"/>
    <w:uiPriority w:val="34"/>
    <w:qFormat/>
    <w:rsid w:val="000416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1364">
      <w:bodyDiv w:val="1"/>
      <w:marLeft w:val="0"/>
      <w:marRight w:val="0"/>
      <w:marTop w:val="0"/>
      <w:marBottom w:val="0"/>
      <w:divBdr>
        <w:top w:val="none" w:sz="0" w:space="0" w:color="auto"/>
        <w:left w:val="none" w:sz="0" w:space="0" w:color="auto"/>
        <w:bottom w:val="none" w:sz="0" w:space="0" w:color="auto"/>
        <w:right w:val="none" w:sz="0" w:space="0" w:color="auto"/>
      </w:divBdr>
    </w:div>
    <w:div w:id="94639250">
      <w:bodyDiv w:val="1"/>
      <w:marLeft w:val="0"/>
      <w:marRight w:val="0"/>
      <w:marTop w:val="0"/>
      <w:marBottom w:val="0"/>
      <w:divBdr>
        <w:top w:val="none" w:sz="0" w:space="0" w:color="auto"/>
        <w:left w:val="none" w:sz="0" w:space="0" w:color="auto"/>
        <w:bottom w:val="none" w:sz="0" w:space="0" w:color="auto"/>
        <w:right w:val="none" w:sz="0" w:space="0" w:color="auto"/>
      </w:divBdr>
    </w:div>
    <w:div w:id="161698826">
      <w:bodyDiv w:val="1"/>
      <w:marLeft w:val="0"/>
      <w:marRight w:val="0"/>
      <w:marTop w:val="0"/>
      <w:marBottom w:val="0"/>
      <w:divBdr>
        <w:top w:val="none" w:sz="0" w:space="0" w:color="auto"/>
        <w:left w:val="none" w:sz="0" w:space="0" w:color="auto"/>
        <w:bottom w:val="none" w:sz="0" w:space="0" w:color="auto"/>
        <w:right w:val="none" w:sz="0" w:space="0" w:color="auto"/>
      </w:divBdr>
    </w:div>
    <w:div w:id="732198509">
      <w:bodyDiv w:val="1"/>
      <w:marLeft w:val="0"/>
      <w:marRight w:val="0"/>
      <w:marTop w:val="0"/>
      <w:marBottom w:val="0"/>
      <w:divBdr>
        <w:top w:val="none" w:sz="0" w:space="0" w:color="auto"/>
        <w:left w:val="none" w:sz="0" w:space="0" w:color="auto"/>
        <w:bottom w:val="none" w:sz="0" w:space="0" w:color="auto"/>
        <w:right w:val="none" w:sz="0" w:space="0" w:color="auto"/>
      </w:divBdr>
    </w:div>
    <w:div w:id="757676088">
      <w:bodyDiv w:val="1"/>
      <w:marLeft w:val="0"/>
      <w:marRight w:val="0"/>
      <w:marTop w:val="0"/>
      <w:marBottom w:val="0"/>
      <w:divBdr>
        <w:top w:val="none" w:sz="0" w:space="0" w:color="auto"/>
        <w:left w:val="none" w:sz="0" w:space="0" w:color="auto"/>
        <w:bottom w:val="none" w:sz="0" w:space="0" w:color="auto"/>
        <w:right w:val="none" w:sz="0" w:space="0" w:color="auto"/>
      </w:divBdr>
    </w:div>
    <w:div w:id="766657714">
      <w:bodyDiv w:val="1"/>
      <w:marLeft w:val="0"/>
      <w:marRight w:val="0"/>
      <w:marTop w:val="0"/>
      <w:marBottom w:val="0"/>
      <w:divBdr>
        <w:top w:val="none" w:sz="0" w:space="0" w:color="auto"/>
        <w:left w:val="none" w:sz="0" w:space="0" w:color="auto"/>
        <w:bottom w:val="none" w:sz="0" w:space="0" w:color="auto"/>
        <w:right w:val="none" w:sz="0" w:space="0" w:color="auto"/>
      </w:divBdr>
    </w:div>
    <w:div w:id="827786259">
      <w:bodyDiv w:val="1"/>
      <w:marLeft w:val="0"/>
      <w:marRight w:val="0"/>
      <w:marTop w:val="0"/>
      <w:marBottom w:val="0"/>
      <w:divBdr>
        <w:top w:val="none" w:sz="0" w:space="0" w:color="auto"/>
        <w:left w:val="none" w:sz="0" w:space="0" w:color="auto"/>
        <w:bottom w:val="none" w:sz="0" w:space="0" w:color="auto"/>
        <w:right w:val="none" w:sz="0" w:space="0" w:color="auto"/>
      </w:divBdr>
    </w:div>
    <w:div w:id="969439441">
      <w:bodyDiv w:val="1"/>
      <w:marLeft w:val="0"/>
      <w:marRight w:val="0"/>
      <w:marTop w:val="0"/>
      <w:marBottom w:val="0"/>
      <w:divBdr>
        <w:top w:val="none" w:sz="0" w:space="0" w:color="auto"/>
        <w:left w:val="none" w:sz="0" w:space="0" w:color="auto"/>
        <w:bottom w:val="none" w:sz="0" w:space="0" w:color="auto"/>
        <w:right w:val="none" w:sz="0" w:space="0" w:color="auto"/>
      </w:divBdr>
    </w:div>
    <w:div w:id="978732218">
      <w:bodyDiv w:val="1"/>
      <w:marLeft w:val="0"/>
      <w:marRight w:val="0"/>
      <w:marTop w:val="0"/>
      <w:marBottom w:val="0"/>
      <w:divBdr>
        <w:top w:val="none" w:sz="0" w:space="0" w:color="auto"/>
        <w:left w:val="none" w:sz="0" w:space="0" w:color="auto"/>
        <w:bottom w:val="none" w:sz="0" w:space="0" w:color="auto"/>
        <w:right w:val="none" w:sz="0" w:space="0" w:color="auto"/>
      </w:divBdr>
    </w:div>
    <w:div w:id="1129010807">
      <w:bodyDiv w:val="1"/>
      <w:marLeft w:val="0"/>
      <w:marRight w:val="0"/>
      <w:marTop w:val="0"/>
      <w:marBottom w:val="0"/>
      <w:divBdr>
        <w:top w:val="none" w:sz="0" w:space="0" w:color="auto"/>
        <w:left w:val="none" w:sz="0" w:space="0" w:color="auto"/>
        <w:bottom w:val="none" w:sz="0" w:space="0" w:color="auto"/>
        <w:right w:val="none" w:sz="0" w:space="0" w:color="auto"/>
      </w:divBdr>
    </w:div>
    <w:div w:id="1256941996">
      <w:bodyDiv w:val="1"/>
      <w:marLeft w:val="0"/>
      <w:marRight w:val="0"/>
      <w:marTop w:val="0"/>
      <w:marBottom w:val="0"/>
      <w:divBdr>
        <w:top w:val="none" w:sz="0" w:space="0" w:color="auto"/>
        <w:left w:val="none" w:sz="0" w:space="0" w:color="auto"/>
        <w:bottom w:val="none" w:sz="0" w:space="0" w:color="auto"/>
        <w:right w:val="none" w:sz="0" w:space="0" w:color="auto"/>
      </w:divBdr>
    </w:div>
    <w:div w:id="1677223694">
      <w:bodyDiv w:val="1"/>
      <w:marLeft w:val="0"/>
      <w:marRight w:val="0"/>
      <w:marTop w:val="0"/>
      <w:marBottom w:val="0"/>
      <w:divBdr>
        <w:top w:val="none" w:sz="0" w:space="0" w:color="auto"/>
        <w:left w:val="none" w:sz="0" w:space="0" w:color="auto"/>
        <w:bottom w:val="none" w:sz="0" w:space="0" w:color="auto"/>
        <w:right w:val="none" w:sz="0" w:space="0" w:color="auto"/>
      </w:divBdr>
    </w:div>
    <w:div w:id="1705978648">
      <w:bodyDiv w:val="1"/>
      <w:marLeft w:val="0"/>
      <w:marRight w:val="0"/>
      <w:marTop w:val="0"/>
      <w:marBottom w:val="0"/>
      <w:divBdr>
        <w:top w:val="none" w:sz="0" w:space="0" w:color="auto"/>
        <w:left w:val="none" w:sz="0" w:space="0" w:color="auto"/>
        <w:bottom w:val="none" w:sz="0" w:space="0" w:color="auto"/>
        <w:right w:val="none" w:sz="0" w:space="0" w:color="auto"/>
      </w:divBdr>
    </w:div>
    <w:div w:id="1726491321">
      <w:bodyDiv w:val="1"/>
      <w:marLeft w:val="0"/>
      <w:marRight w:val="0"/>
      <w:marTop w:val="0"/>
      <w:marBottom w:val="0"/>
      <w:divBdr>
        <w:top w:val="none" w:sz="0" w:space="0" w:color="auto"/>
        <w:left w:val="none" w:sz="0" w:space="0" w:color="auto"/>
        <w:bottom w:val="none" w:sz="0" w:space="0" w:color="auto"/>
        <w:right w:val="none" w:sz="0" w:space="0" w:color="auto"/>
      </w:divBdr>
    </w:div>
    <w:div w:id="1878083199">
      <w:bodyDiv w:val="1"/>
      <w:marLeft w:val="0"/>
      <w:marRight w:val="0"/>
      <w:marTop w:val="0"/>
      <w:marBottom w:val="0"/>
      <w:divBdr>
        <w:top w:val="none" w:sz="0" w:space="0" w:color="auto"/>
        <w:left w:val="none" w:sz="0" w:space="0" w:color="auto"/>
        <w:bottom w:val="none" w:sz="0" w:space="0" w:color="auto"/>
        <w:right w:val="none" w:sz="0" w:space="0" w:color="auto"/>
      </w:divBdr>
    </w:div>
    <w:div w:id="1907453137">
      <w:bodyDiv w:val="1"/>
      <w:marLeft w:val="0"/>
      <w:marRight w:val="0"/>
      <w:marTop w:val="0"/>
      <w:marBottom w:val="0"/>
      <w:divBdr>
        <w:top w:val="none" w:sz="0" w:space="0" w:color="auto"/>
        <w:left w:val="none" w:sz="0" w:space="0" w:color="auto"/>
        <w:bottom w:val="none" w:sz="0" w:space="0" w:color="auto"/>
        <w:right w:val="none" w:sz="0" w:space="0" w:color="auto"/>
      </w:divBdr>
    </w:div>
    <w:div w:id="2011637287">
      <w:bodyDiv w:val="1"/>
      <w:marLeft w:val="0"/>
      <w:marRight w:val="0"/>
      <w:marTop w:val="0"/>
      <w:marBottom w:val="0"/>
      <w:divBdr>
        <w:top w:val="none" w:sz="0" w:space="0" w:color="auto"/>
        <w:left w:val="none" w:sz="0" w:space="0" w:color="auto"/>
        <w:bottom w:val="none" w:sz="0" w:space="0" w:color="auto"/>
        <w:right w:val="none" w:sz="0" w:space="0" w:color="auto"/>
      </w:divBdr>
    </w:div>
    <w:div w:id="214357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21273/HORTSCI.42.2.222" TargetMode="External"/><Relationship Id="rId13" Type="http://schemas.openxmlformats.org/officeDocument/2006/relationships/hyperlink" Target="https://doi.org/10.1080/01904167.2016.1267201" TargetMode="External"/><Relationship Id="rId18" Type="http://schemas.openxmlformats.org/officeDocument/2006/relationships/hyperlink" Target="https://doi.org/10.1007/s13593-020-00626-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21273/HORTSCI.49.4.456" TargetMode="External"/><Relationship Id="rId12" Type="http://schemas.openxmlformats.org/officeDocument/2006/relationships/hyperlink" Target="https://doi.org/10.1007/s12038-012-9191-9" TargetMode="External"/><Relationship Id="rId17" Type="http://schemas.openxmlformats.org/officeDocument/2006/relationships/hyperlink" Target="https://doi.org/10.1016/j.fcr.2012.09.00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scienta.2011.11.033"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cienta.2019.108527"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aera-india.org/journal/index.php/aer/issue/view/43" TargetMode="External"/><Relationship Id="rId23" Type="http://schemas.openxmlformats.org/officeDocument/2006/relationships/header" Target="header3.xml"/><Relationship Id="rId10" Type="http://schemas.openxmlformats.org/officeDocument/2006/relationships/hyperlink" Target="https://doi.org/10.1201/9781420075113"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cropro.2020.105112" TargetMode="External"/><Relationship Id="rId14" Type="http://schemas.openxmlformats.org/officeDocument/2006/relationships/hyperlink" Target="http://documents.worldbank.org/curated/en/170171468765017779"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10</Pages>
  <Words>4055</Words>
  <Characters>23117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33</cp:revision>
  <dcterms:created xsi:type="dcterms:W3CDTF">2025-03-26T02:25:00Z</dcterms:created>
  <dcterms:modified xsi:type="dcterms:W3CDTF">2025-12-02T08:17:00Z</dcterms:modified>
</cp:coreProperties>
</file>