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C43D" w14:textId="468CF7A4" w:rsidR="00732058" w:rsidRDefault="00732058" w:rsidP="00732058">
      <w:pPr>
        <w:pStyle w:val="Author"/>
        <w:tabs>
          <w:tab w:val="left" w:pos="142"/>
        </w:tabs>
        <w:spacing w:line="240" w:lineRule="auto"/>
        <w:jc w:val="left"/>
        <w:rPr>
          <w:rFonts w:ascii="Arial" w:eastAsiaTheme="minorHAnsi" w:hAnsi="Arial" w:cs="Arial"/>
          <w:sz w:val="32"/>
          <w:szCs w:val="32"/>
          <w:u w:val="single"/>
          <w:lang w:val="en-IN"/>
        </w:rPr>
      </w:pPr>
      <w:r w:rsidRPr="00732058">
        <w:rPr>
          <w:rFonts w:ascii="Arial" w:eastAsiaTheme="minorHAnsi" w:hAnsi="Arial" w:cs="Arial"/>
          <w:sz w:val="32"/>
          <w:szCs w:val="32"/>
          <w:u w:val="single"/>
          <w:lang w:val="en-IN"/>
        </w:rPr>
        <w:t>Original Research Article</w:t>
      </w:r>
    </w:p>
    <w:p w14:paraId="6834452D" w14:textId="77777777" w:rsidR="00732058" w:rsidRPr="00732058" w:rsidRDefault="00732058" w:rsidP="00732058">
      <w:pPr>
        <w:pStyle w:val="Author"/>
        <w:tabs>
          <w:tab w:val="left" w:pos="142"/>
        </w:tabs>
        <w:spacing w:line="240" w:lineRule="auto"/>
        <w:jc w:val="left"/>
        <w:rPr>
          <w:rFonts w:ascii="Arial" w:eastAsiaTheme="minorHAnsi" w:hAnsi="Arial" w:cs="Arial"/>
          <w:sz w:val="32"/>
          <w:szCs w:val="32"/>
          <w:u w:val="single"/>
          <w:lang w:val="en-IN"/>
        </w:rPr>
      </w:pPr>
    </w:p>
    <w:p w14:paraId="5040DED7" w14:textId="184B54A4" w:rsidR="008D4D4F" w:rsidRPr="00884E3C" w:rsidRDefault="008D4D4F" w:rsidP="00080238">
      <w:pPr>
        <w:pStyle w:val="Author"/>
        <w:tabs>
          <w:tab w:val="left" w:pos="142"/>
        </w:tabs>
        <w:spacing w:line="240" w:lineRule="auto"/>
        <w:rPr>
          <w:rFonts w:ascii="Arial" w:eastAsiaTheme="minorHAnsi" w:hAnsi="Arial" w:cs="Arial"/>
          <w:sz w:val="36"/>
          <w:szCs w:val="36"/>
          <w:lang w:val="en-IN"/>
        </w:rPr>
      </w:pPr>
      <w:r w:rsidRPr="00884E3C">
        <w:rPr>
          <w:rFonts w:ascii="Arial" w:eastAsiaTheme="minorHAnsi" w:hAnsi="Arial" w:cs="Arial"/>
          <w:sz w:val="36"/>
          <w:szCs w:val="36"/>
          <w:lang w:val="en-IN"/>
        </w:rPr>
        <w:t xml:space="preserve">Rheological </w:t>
      </w:r>
      <w:proofErr w:type="spellStart"/>
      <w:r w:rsidRPr="00884E3C">
        <w:rPr>
          <w:rFonts w:ascii="Arial" w:eastAsiaTheme="minorHAnsi" w:hAnsi="Arial" w:cs="Arial"/>
          <w:sz w:val="36"/>
          <w:szCs w:val="36"/>
          <w:lang w:val="en-IN"/>
        </w:rPr>
        <w:t>Behavior</w:t>
      </w:r>
      <w:proofErr w:type="spellEnd"/>
      <w:r w:rsidRPr="00884E3C">
        <w:rPr>
          <w:rFonts w:ascii="Arial" w:eastAsiaTheme="minorHAnsi" w:hAnsi="Arial" w:cs="Arial"/>
          <w:sz w:val="36"/>
          <w:szCs w:val="36"/>
          <w:lang w:val="en-IN"/>
        </w:rPr>
        <w:t xml:space="preserve"> of Pharmaceutical Grade Cellulose Ethers and It</w:t>
      </w:r>
      <w:r w:rsidR="001F46AA">
        <w:rPr>
          <w:rFonts w:ascii="Arial" w:eastAsiaTheme="minorHAnsi" w:hAnsi="Arial" w:cs="Arial"/>
          <w:sz w:val="36"/>
          <w:szCs w:val="36"/>
          <w:lang w:val="en-IN"/>
        </w:rPr>
        <w:t xml:space="preserve">s Impact on Excipient Selection </w:t>
      </w:r>
      <w:r w:rsidRPr="00884E3C">
        <w:rPr>
          <w:rFonts w:ascii="Arial" w:eastAsiaTheme="minorHAnsi" w:hAnsi="Arial" w:cs="Arial"/>
          <w:sz w:val="36"/>
          <w:szCs w:val="36"/>
          <w:lang w:val="en-IN"/>
        </w:rPr>
        <w:t>in Drug Formulations</w:t>
      </w:r>
    </w:p>
    <w:p w14:paraId="63B1AEBA" w14:textId="77777777" w:rsidR="008D4D4F" w:rsidRPr="00884E3C" w:rsidRDefault="008D4D4F" w:rsidP="00080238">
      <w:pPr>
        <w:pStyle w:val="Author"/>
        <w:tabs>
          <w:tab w:val="left" w:pos="142"/>
        </w:tabs>
        <w:spacing w:line="240" w:lineRule="auto"/>
        <w:ind w:hanging="284"/>
        <w:jc w:val="both"/>
        <w:rPr>
          <w:rFonts w:ascii="Arial" w:eastAsiaTheme="minorHAnsi" w:hAnsi="Arial" w:cs="Arial"/>
          <w:sz w:val="36"/>
          <w:szCs w:val="36"/>
          <w:lang w:val="en-IN"/>
        </w:rPr>
      </w:pPr>
    </w:p>
    <w:p w14:paraId="517D1E61" w14:textId="77777777" w:rsidR="00732058" w:rsidRPr="00800C5F" w:rsidRDefault="00732058" w:rsidP="005B0638">
      <w:pPr>
        <w:pStyle w:val="NoSpacing"/>
        <w:jc w:val="right"/>
        <w:rPr>
          <w:rFonts w:ascii="Arial" w:hAnsi="Arial" w:cs="Arial"/>
          <w:i/>
          <w:iCs/>
          <w:color w:val="auto"/>
          <w:sz w:val="24"/>
          <w:szCs w:val="24"/>
        </w:rPr>
      </w:pPr>
    </w:p>
    <w:p w14:paraId="5B52D28D" w14:textId="77777777" w:rsidR="008D4D4F" w:rsidRPr="00B65404" w:rsidRDefault="008D4D4F" w:rsidP="00080238">
      <w:pPr>
        <w:spacing w:after="0" w:line="240" w:lineRule="auto"/>
        <w:jc w:val="both"/>
        <w:rPr>
          <w:rFonts w:ascii="Arial" w:hAnsi="Arial" w:cs="Arial"/>
          <w:b/>
          <w:sz w:val="20"/>
          <w:szCs w:val="20"/>
        </w:rPr>
      </w:pPr>
      <w:r w:rsidRPr="00B65404">
        <w:rPr>
          <w:rFonts w:ascii="Arial" w:hAnsi="Arial" w:cs="Arial"/>
          <w:noProof/>
          <w:sz w:val="20"/>
          <w:szCs w:val="20"/>
          <w:lang w:eastAsia="en-IN"/>
        </w:rPr>
        <mc:AlternateContent>
          <mc:Choice Requires="wps">
            <w:drawing>
              <wp:inline distT="0" distB="0" distL="0" distR="0" wp14:anchorId="42539BDF" wp14:editId="1C8F9F78">
                <wp:extent cx="5759532" cy="45719"/>
                <wp:effectExtent l="0" t="0" r="31750" b="3111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532"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080060" id="_x0000_t32" coordsize="21600,21600" o:spt="32" o:oned="t" path="m,l21600,21600e" filled="f">
                <v:path arrowok="t" fillok="f" o:connecttype="none"/>
                <o:lock v:ext="edit" shapetype="t"/>
              </v:shapetype>
              <v:shape id="Straight Arrow Connector 3" o:spid="_x0000_s1026" type="#_x0000_t32" style="width:45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" strokeweight="1.5pt">
                <w10:anchorlock/>
              </v:shape>
            </w:pict>
          </mc:Fallback>
        </mc:AlternateContent>
      </w:r>
    </w:p>
    <w:p w14:paraId="13644BF5" w14:textId="77777777" w:rsidR="008D4D4F" w:rsidRPr="00884E3C" w:rsidRDefault="008D4D4F" w:rsidP="00080238">
      <w:pPr>
        <w:spacing w:line="240" w:lineRule="auto"/>
        <w:jc w:val="both"/>
        <w:rPr>
          <w:rFonts w:ascii="Arial" w:hAnsi="Arial" w:cs="Arial"/>
          <w:b/>
          <w:sz w:val="20"/>
          <w:szCs w:val="20"/>
        </w:rPr>
      </w:pPr>
      <w:r w:rsidRPr="00651A2B">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8D4D4F" w:rsidRPr="00884E3C" w14:paraId="6E5528C1" w14:textId="77777777" w:rsidTr="00CA200D">
        <w:tc>
          <w:tcPr>
            <w:tcW w:w="9016" w:type="dxa"/>
            <w:shd w:val="clear" w:color="auto" w:fill="F2F2F2"/>
          </w:tcPr>
          <w:p w14:paraId="09C2BC97" w14:textId="77777777" w:rsidR="00D47ECF" w:rsidRDefault="00D47ECF" w:rsidP="000C246E">
            <w:pPr>
              <w:pStyle w:val="Body"/>
              <w:spacing w:after="0"/>
              <w:rPr>
                <w:rStyle w:val="Strong"/>
                <w:rFonts w:ascii="Arial" w:hAnsi="Arial" w:cs="Arial"/>
                <w:b w:val="0"/>
              </w:rPr>
            </w:pPr>
            <w:r w:rsidRPr="00D47ECF">
              <w:rPr>
                <w:rStyle w:val="Strong"/>
                <w:rFonts w:ascii="Arial" w:hAnsi="Arial" w:cs="Arial"/>
              </w:rPr>
              <w:t>Background &amp; Scope:</w:t>
            </w:r>
            <w:r w:rsidRPr="00D47ECF">
              <w:rPr>
                <w:rStyle w:val="Strong"/>
                <w:rFonts w:ascii="Arial" w:hAnsi="Arial" w:cs="Arial"/>
                <w:b w:val="0"/>
              </w:rPr>
              <w:t xml:space="preserve"> Pharmaceutical-grade cellulose ethers, such as hydroxypropyl methylcellulose (HPMC) and hydroxypropyl cellulose (HPC), are widely used as excipients due to their effects on viscosity, mechanical strength, hydration behavior, and drug release performance. In formulation development, excipient selection is commonly based on nominal viscosity grades; however, steady shear viscosity alone does not adequately describe the time-dependent and deformation-sensitive behavior that governs critical quality attributes and in-process performance.</w:t>
            </w:r>
          </w:p>
          <w:p w14:paraId="0EC9A461" w14:textId="77777777" w:rsidR="000C246E" w:rsidRDefault="000C246E" w:rsidP="000C246E">
            <w:pPr>
              <w:pStyle w:val="Body"/>
              <w:spacing w:after="0"/>
              <w:rPr>
                <w:rStyle w:val="Strong"/>
                <w:rFonts w:ascii="Arial" w:hAnsi="Arial" w:cs="Arial"/>
                <w:b w:val="0"/>
              </w:rPr>
            </w:pPr>
          </w:p>
          <w:p w14:paraId="68B3E791" w14:textId="77777777" w:rsidR="00D47ECF" w:rsidRDefault="00D47ECF" w:rsidP="00080238">
            <w:pPr>
              <w:pStyle w:val="Body"/>
              <w:spacing w:after="0"/>
              <w:rPr>
                <w:rStyle w:val="Strong"/>
                <w:rFonts w:ascii="Arial" w:hAnsi="Arial" w:cs="Arial"/>
                <w:b w:val="0"/>
              </w:rPr>
            </w:pPr>
            <w:r w:rsidRPr="00D47ECF">
              <w:rPr>
                <w:rStyle w:val="Strong"/>
                <w:rFonts w:ascii="Arial" w:hAnsi="Arial" w:cs="Arial"/>
              </w:rPr>
              <w:t>Methodology:</w:t>
            </w:r>
            <w:r w:rsidRPr="00D47ECF">
              <w:rPr>
                <w:rStyle w:val="Strong"/>
                <w:rFonts w:ascii="Arial" w:hAnsi="Arial" w:cs="Arial"/>
                <w:b w:val="0"/>
              </w:rPr>
              <w:t xml:space="preserve"> A comprehensive rheological evaluation of multiple HPMC and HPC grades obtained from different manufacturers was performed by preparing different concentrations of polymeric dispersions using steady shear and oscillatory </w:t>
            </w:r>
            <w:proofErr w:type="spellStart"/>
            <w:r w:rsidRPr="00D47ECF">
              <w:rPr>
                <w:rStyle w:val="Strong"/>
                <w:rFonts w:ascii="Arial" w:hAnsi="Arial" w:cs="Arial"/>
                <w:b w:val="0"/>
              </w:rPr>
              <w:t>rheometry</w:t>
            </w:r>
            <w:proofErr w:type="spellEnd"/>
            <w:r w:rsidRPr="00D47ECF">
              <w:rPr>
                <w:rStyle w:val="Strong"/>
                <w:rFonts w:ascii="Arial" w:hAnsi="Arial" w:cs="Arial"/>
                <w:b w:val="0"/>
              </w:rPr>
              <w:t>. Flow curves, amplitude sweeps, and frequency sweep analyses were conducted to characterize viscosity, viscoelastic behavior, and structural response under varying deformation conditions.</w:t>
            </w:r>
          </w:p>
          <w:p w14:paraId="58C786B5" w14:textId="77777777" w:rsidR="000C246E" w:rsidRDefault="000C246E" w:rsidP="00080238">
            <w:pPr>
              <w:pStyle w:val="Body"/>
              <w:spacing w:after="0"/>
              <w:rPr>
                <w:rStyle w:val="Strong"/>
                <w:rFonts w:ascii="Arial" w:hAnsi="Arial" w:cs="Arial"/>
                <w:b w:val="0"/>
              </w:rPr>
            </w:pPr>
          </w:p>
          <w:p w14:paraId="7987B035" w14:textId="77777777" w:rsidR="00D47ECF" w:rsidRDefault="00D47ECF" w:rsidP="00080238">
            <w:pPr>
              <w:pStyle w:val="Body"/>
              <w:spacing w:after="0"/>
              <w:rPr>
                <w:rStyle w:val="Strong"/>
                <w:rFonts w:ascii="Arial" w:hAnsi="Arial" w:cs="Arial"/>
                <w:b w:val="0"/>
              </w:rPr>
            </w:pPr>
            <w:r w:rsidRPr="00D47ECF">
              <w:rPr>
                <w:rStyle w:val="Strong"/>
                <w:rFonts w:ascii="Arial" w:hAnsi="Arial" w:cs="Arial"/>
              </w:rPr>
              <w:t>Results &amp; Discussion:</w:t>
            </w:r>
            <w:r w:rsidRPr="00D47ECF">
              <w:rPr>
                <w:rStyle w:val="Strong"/>
                <w:rFonts w:ascii="Arial" w:hAnsi="Arial" w:cs="Arial"/>
                <w:b w:val="0"/>
              </w:rPr>
              <w:t xml:space="preserve"> All cellulose ether samples exhibited non-Newtonian, shear-thinning behavior. Distinct differences in viscoelastic properties were observed between polymer types and grades. HPMC demonstrated molecular weight- and concentration-dependent transitions toward elastic-dominated, gel-like behavior, while HPC remained predominantly viscous-dominated under comparable experimental conditions. The observed differences in rheological behavior highlight the limitations of relying solely on nominal viscosity grades for excipient selection. Advanced rheological parameters, particularly viscoelastic characteristics, provide deeper insight into polymer structure–property relationships and their impact on formulation performance.</w:t>
            </w:r>
          </w:p>
          <w:p w14:paraId="657FD504" w14:textId="77777777" w:rsidR="000C246E" w:rsidRDefault="000C246E" w:rsidP="00080238">
            <w:pPr>
              <w:pStyle w:val="Body"/>
              <w:spacing w:after="0"/>
              <w:rPr>
                <w:rStyle w:val="Strong"/>
                <w:rFonts w:ascii="Arial" w:hAnsi="Arial" w:cs="Arial"/>
                <w:b w:val="0"/>
              </w:rPr>
            </w:pPr>
          </w:p>
          <w:p w14:paraId="741BECB7" w14:textId="77777777" w:rsidR="008D4D4F" w:rsidRPr="00D47ECF" w:rsidRDefault="00D47ECF" w:rsidP="00080238">
            <w:pPr>
              <w:pStyle w:val="Body"/>
              <w:spacing w:after="0"/>
              <w:rPr>
                <w:rFonts w:ascii="Arial" w:hAnsi="Arial" w:cs="Arial"/>
                <w:bCs/>
              </w:rPr>
            </w:pPr>
            <w:r w:rsidRPr="00D47ECF">
              <w:rPr>
                <w:rStyle w:val="Strong"/>
                <w:rFonts w:ascii="Arial" w:hAnsi="Arial" w:cs="Arial"/>
              </w:rPr>
              <w:t>Conclusion:</w:t>
            </w:r>
            <w:r w:rsidRPr="00D47ECF">
              <w:rPr>
                <w:rStyle w:val="Strong"/>
                <w:rFonts w:ascii="Arial" w:hAnsi="Arial" w:cs="Arial"/>
                <w:b w:val="0"/>
              </w:rPr>
              <w:t xml:space="preserve"> This study underscores the importance of comprehensive rheological profiling beyond steady shear viscosity to support rational excipient selection and the design of robust pharmaceutical formulations involving cellulose ether polymers.</w:t>
            </w:r>
          </w:p>
        </w:tc>
      </w:tr>
    </w:tbl>
    <w:p w14:paraId="5409731E" w14:textId="77777777" w:rsidR="00080238" w:rsidRPr="00884E3C" w:rsidRDefault="00080238" w:rsidP="00080238">
      <w:pPr>
        <w:suppressLineNumbers/>
        <w:spacing w:after="0" w:line="240" w:lineRule="auto"/>
        <w:jc w:val="both"/>
        <w:rPr>
          <w:rFonts w:ascii="Arial" w:hAnsi="Arial" w:cs="Arial"/>
          <w:i/>
          <w:sz w:val="20"/>
          <w:szCs w:val="20"/>
        </w:rPr>
      </w:pPr>
    </w:p>
    <w:p w14:paraId="09921B3F" w14:textId="77777777" w:rsidR="008D4D4F" w:rsidRPr="00884E3C" w:rsidRDefault="008D4D4F" w:rsidP="00080238">
      <w:pPr>
        <w:spacing w:after="0" w:line="240" w:lineRule="auto"/>
        <w:rPr>
          <w:rFonts w:ascii="Arial" w:hAnsi="Arial" w:cs="Arial"/>
          <w:i/>
          <w:sz w:val="20"/>
          <w:szCs w:val="20"/>
        </w:rPr>
      </w:pPr>
      <w:r w:rsidRPr="00884E3C">
        <w:rPr>
          <w:rFonts w:ascii="Arial" w:hAnsi="Arial" w:cs="Arial"/>
          <w:i/>
          <w:sz w:val="20"/>
          <w:szCs w:val="20"/>
        </w:rPr>
        <w:t xml:space="preserve">Key Words: Rheology; Cellulose ethers; Hydroxypropyl methylcellulose; Hydroxypropyl cellulose; Viscosity.  </w:t>
      </w:r>
    </w:p>
    <w:p w14:paraId="452BEF17" w14:textId="77777777" w:rsidR="008D4D4F" w:rsidRPr="00884E3C" w:rsidRDefault="008D4D4F" w:rsidP="00080238">
      <w:pPr>
        <w:spacing w:after="0" w:line="240" w:lineRule="auto"/>
        <w:jc w:val="both"/>
        <w:rPr>
          <w:rFonts w:ascii="Arial" w:hAnsi="Arial" w:cs="Arial"/>
          <w:i/>
          <w:sz w:val="20"/>
          <w:szCs w:val="20"/>
        </w:rPr>
      </w:pPr>
    </w:p>
    <w:p w14:paraId="41802FD4" w14:textId="77777777" w:rsidR="008D4D4F" w:rsidRPr="00884E3C" w:rsidRDefault="008D4D4F" w:rsidP="00080238">
      <w:pPr>
        <w:spacing w:after="0" w:line="240" w:lineRule="auto"/>
        <w:jc w:val="both"/>
        <w:rPr>
          <w:rFonts w:ascii="Arial" w:hAnsi="Arial" w:cs="Arial"/>
          <w:b/>
          <w:sz w:val="20"/>
          <w:szCs w:val="20"/>
        </w:rPr>
      </w:pPr>
      <w:r w:rsidRPr="00884E3C">
        <w:rPr>
          <w:rFonts w:ascii="Arial" w:hAnsi="Arial" w:cs="Arial"/>
          <w:b/>
          <w:sz w:val="20"/>
          <w:szCs w:val="20"/>
        </w:rPr>
        <w:t>ABBREVIATIONS</w:t>
      </w:r>
    </w:p>
    <w:p w14:paraId="6DB7B620" w14:textId="77777777" w:rsidR="008D4D4F" w:rsidRPr="00884E3C" w:rsidRDefault="00141DED"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HPMC</w:t>
      </w:r>
      <w:r w:rsidR="008D4D4F" w:rsidRPr="00884E3C">
        <w:rPr>
          <w:rFonts w:ascii="Arial" w:eastAsia="Times New Roman" w:hAnsi="Arial" w:cs="Arial"/>
          <w:i/>
          <w:color w:val="000000"/>
          <w:sz w:val="20"/>
          <w:szCs w:val="20"/>
          <w:lang w:eastAsia="en-IN"/>
        </w:rPr>
        <w:tab/>
      </w:r>
      <w:r w:rsidR="008D4D4F" w:rsidRPr="00884E3C">
        <w:rPr>
          <w:rFonts w:ascii="Arial" w:eastAsia="Times New Roman" w:hAnsi="Arial" w:cs="Arial"/>
          <w:i/>
          <w:color w:val="000000"/>
          <w:sz w:val="20"/>
          <w:szCs w:val="20"/>
          <w:lang w:eastAsia="en-IN"/>
        </w:rPr>
        <w:tab/>
        <w:t xml:space="preserve">: </w:t>
      </w:r>
      <w:r w:rsidRPr="00884E3C">
        <w:rPr>
          <w:rFonts w:ascii="Arial" w:eastAsia="Times New Roman" w:hAnsi="Arial" w:cs="Arial"/>
          <w:i/>
          <w:color w:val="000000"/>
          <w:sz w:val="20"/>
          <w:szCs w:val="20"/>
          <w:lang w:eastAsia="en-IN"/>
        </w:rPr>
        <w:t>hydroxypropyl methylcellulose</w:t>
      </w:r>
    </w:p>
    <w:p w14:paraId="3BD2C8DC" w14:textId="77777777" w:rsidR="00141DED" w:rsidRPr="00884E3C" w:rsidRDefault="00141DED"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HPC</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hydroxypropyl cellulose</w:t>
      </w:r>
    </w:p>
    <w:p w14:paraId="207074AB" w14:textId="77777777" w:rsidR="00141DED" w:rsidRPr="00884E3C" w:rsidRDefault="00141DED"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LVR</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linear viscoelastic region</w:t>
      </w:r>
    </w:p>
    <w:p w14:paraId="1538884F" w14:textId="77777777" w:rsidR="00141DED" w:rsidRPr="00884E3C" w:rsidRDefault="00141DED"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LOD</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Loss on Drying</w:t>
      </w:r>
    </w:p>
    <w:p w14:paraId="34D1FD6A" w14:textId="77777777" w:rsidR="0026505E" w:rsidRPr="00884E3C" w:rsidRDefault="0026505E"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DSC</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differential scanning calorimetry</w:t>
      </w:r>
    </w:p>
    <w:p w14:paraId="76F3A69E" w14:textId="77777777" w:rsidR="0026505E" w:rsidRPr="00884E3C" w:rsidRDefault="0026505E"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CPP</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Critical Process Parameters</w:t>
      </w:r>
    </w:p>
    <w:p w14:paraId="7C4BF6CD" w14:textId="77777777" w:rsidR="0026505E" w:rsidRPr="00884E3C" w:rsidRDefault="0026505E"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HP content</w:t>
      </w:r>
      <w:r w:rsidRPr="00884E3C">
        <w:rPr>
          <w:rFonts w:ascii="Arial" w:eastAsia="Times New Roman" w:hAnsi="Arial" w:cs="Arial"/>
          <w:i/>
          <w:color w:val="000000"/>
          <w:sz w:val="20"/>
          <w:szCs w:val="20"/>
          <w:lang w:eastAsia="en-IN"/>
        </w:rPr>
        <w:tab/>
        <w:t>: hydroxypropyl content</w:t>
      </w:r>
    </w:p>
    <w:p w14:paraId="09481CF9" w14:textId="77777777" w:rsidR="0026505E" w:rsidRPr="00884E3C" w:rsidRDefault="0026505E"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BD</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Bulk density</w:t>
      </w:r>
    </w:p>
    <w:p w14:paraId="2E8C31BC" w14:textId="77777777" w:rsidR="0026505E" w:rsidRPr="00884E3C" w:rsidRDefault="0026505E"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TD</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Tapped density</w:t>
      </w:r>
    </w:p>
    <w:p w14:paraId="535CB264" w14:textId="77777777" w:rsidR="0026505E" w:rsidRPr="00884E3C" w:rsidRDefault="0026505E"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CI</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Carr’s Index</w:t>
      </w:r>
    </w:p>
    <w:p w14:paraId="26348FE7" w14:textId="77777777" w:rsidR="0026505E" w:rsidRPr="00884E3C" w:rsidRDefault="0026505E"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HR</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Hauser’s Ratio</w:t>
      </w:r>
    </w:p>
    <w:p w14:paraId="49816822" w14:textId="2D274F43" w:rsidR="00791136" w:rsidRDefault="0026505E" w:rsidP="00080238">
      <w:pPr>
        <w:spacing w:after="0" w:line="240" w:lineRule="auto"/>
        <w:jc w:val="both"/>
        <w:rPr>
          <w:rFonts w:ascii="Arial" w:eastAsia="Times New Roman" w:hAnsi="Arial" w:cs="Arial"/>
          <w:i/>
          <w:color w:val="000000"/>
          <w:sz w:val="20"/>
          <w:szCs w:val="20"/>
          <w:lang w:eastAsia="en-IN"/>
        </w:rPr>
      </w:pPr>
      <w:r w:rsidRPr="00884E3C">
        <w:rPr>
          <w:rFonts w:ascii="Arial" w:eastAsia="Times New Roman" w:hAnsi="Arial" w:cs="Arial"/>
          <w:i/>
          <w:color w:val="000000"/>
          <w:sz w:val="20"/>
          <w:szCs w:val="20"/>
          <w:lang w:eastAsia="en-IN"/>
        </w:rPr>
        <w:t>AR</w:t>
      </w:r>
      <w:r w:rsidRPr="00884E3C">
        <w:rPr>
          <w:rFonts w:ascii="Arial" w:eastAsia="Times New Roman" w:hAnsi="Arial" w:cs="Arial"/>
          <w:i/>
          <w:color w:val="000000"/>
          <w:sz w:val="20"/>
          <w:szCs w:val="20"/>
          <w:lang w:eastAsia="en-IN"/>
        </w:rPr>
        <w:tab/>
      </w:r>
      <w:r w:rsidRPr="00884E3C">
        <w:rPr>
          <w:rFonts w:ascii="Arial" w:eastAsia="Times New Roman" w:hAnsi="Arial" w:cs="Arial"/>
          <w:i/>
          <w:color w:val="000000"/>
          <w:sz w:val="20"/>
          <w:szCs w:val="20"/>
          <w:lang w:eastAsia="en-IN"/>
        </w:rPr>
        <w:tab/>
        <w:t>: Angle of repose</w:t>
      </w:r>
    </w:p>
    <w:p w14:paraId="581897A1" w14:textId="427DD09B" w:rsidR="003E68F3" w:rsidRDefault="003E68F3" w:rsidP="00080238">
      <w:pPr>
        <w:spacing w:after="0" w:line="240" w:lineRule="auto"/>
        <w:jc w:val="both"/>
        <w:rPr>
          <w:rFonts w:ascii="Arial" w:eastAsia="Times New Roman" w:hAnsi="Arial" w:cs="Arial"/>
          <w:i/>
          <w:color w:val="000000"/>
          <w:sz w:val="20"/>
          <w:szCs w:val="20"/>
          <w:lang w:eastAsia="en-IN"/>
        </w:rPr>
      </w:pPr>
    </w:p>
    <w:p w14:paraId="6FB8B155" w14:textId="1B7800B8" w:rsidR="003E68F3" w:rsidRDefault="003E68F3" w:rsidP="00080238">
      <w:pPr>
        <w:spacing w:after="0" w:line="240" w:lineRule="auto"/>
        <w:jc w:val="both"/>
        <w:rPr>
          <w:rFonts w:ascii="Arial" w:eastAsia="Times New Roman" w:hAnsi="Arial" w:cs="Arial"/>
          <w:i/>
          <w:color w:val="000000"/>
          <w:sz w:val="20"/>
          <w:szCs w:val="20"/>
          <w:lang w:eastAsia="en-IN"/>
        </w:rPr>
      </w:pPr>
    </w:p>
    <w:p w14:paraId="65C0499D" w14:textId="1CD503C6" w:rsidR="003E68F3" w:rsidRDefault="003E68F3" w:rsidP="00080238">
      <w:pPr>
        <w:spacing w:after="0" w:line="240" w:lineRule="auto"/>
        <w:jc w:val="both"/>
        <w:rPr>
          <w:rFonts w:ascii="Arial" w:eastAsia="Times New Roman" w:hAnsi="Arial" w:cs="Arial"/>
          <w:i/>
          <w:color w:val="000000"/>
          <w:sz w:val="20"/>
          <w:szCs w:val="20"/>
          <w:lang w:eastAsia="en-IN"/>
        </w:rPr>
      </w:pPr>
    </w:p>
    <w:p w14:paraId="32FE8072" w14:textId="77777777" w:rsidR="003E68F3" w:rsidRDefault="003E68F3" w:rsidP="00080238">
      <w:pPr>
        <w:spacing w:after="0" w:line="240" w:lineRule="auto"/>
        <w:jc w:val="both"/>
        <w:rPr>
          <w:rFonts w:ascii="Arial" w:eastAsia="Times New Roman" w:hAnsi="Arial" w:cs="Arial"/>
          <w:i/>
          <w:color w:val="000000"/>
          <w:sz w:val="20"/>
          <w:szCs w:val="20"/>
          <w:lang w:eastAsia="en-IN"/>
        </w:rPr>
      </w:pPr>
    </w:p>
    <w:p w14:paraId="0484CAAE" w14:textId="77777777" w:rsidR="006D3526" w:rsidRPr="00884E3C" w:rsidRDefault="006D3526" w:rsidP="00080238">
      <w:pPr>
        <w:numPr>
          <w:ilvl w:val="0"/>
          <w:numId w:val="18"/>
        </w:numPr>
        <w:tabs>
          <w:tab w:val="left" w:pos="426"/>
        </w:tabs>
        <w:spacing w:after="0" w:line="240" w:lineRule="auto"/>
        <w:ind w:left="0" w:firstLine="142"/>
        <w:rPr>
          <w:rStyle w:val="Strong"/>
          <w:rFonts w:ascii="Arial" w:hAnsi="Arial" w:cs="Arial"/>
          <w:bCs w:val="0"/>
          <w:sz w:val="20"/>
          <w:szCs w:val="20"/>
        </w:rPr>
      </w:pPr>
      <w:r w:rsidRPr="00884E3C">
        <w:rPr>
          <w:rFonts w:ascii="Arial" w:hAnsi="Arial" w:cs="Arial"/>
          <w:b/>
        </w:rPr>
        <w:lastRenderedPageBreak/>
        <w:t>INTRODUCTION</w:t>
      </w:r>
    </w:p>
    <w:p w14:paraId="75601F05" w14:textId="77777777" w:rsidR="00791136" w:rsidRPr="00884E3C" w:rsidRDefault="00791136" w:rsidP="00080238">
      <w:pPr>
        <w:pStyle w:val="ListParagraph"/>
        <w:spacing w:after="0" w:line="240" w:lineRule="auto"/>
        <w:ind w:left="502"/>
        <w:jc w:val="both"/>
        <w:outlineLvl w:val="0"/>
        <w:rPr>
          <w:rStyle w:val="Strong"/>
          <w:rFonts w:ascii="Arial" w:hAnsi="Arial" w:cs="Arial"/>
          <w:bCs w:val="0"/>
          <w:sz w:val="20"/>
          <w:szCs w:val="20"/>
        </w:rPr>
      </w:pPr>
    </w:p>
    <w:p w14:paraId="0392EA4C" w14:textId="77777777" w:rsidR="006C59F1" w:rsidRPr="00884E3C" w:rsidRDefault="006C59F1"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Rheology is the science concerned with the deformation and flow behavior of materials under applied stress or strain and provides critical insight into the structural and dynamic properties of complex systems. Depending on their molecular architecture and intermolecular interactions, materials may exhibit purely viscous behavior, purely elastic behavior, or a combination of both, referred to as viscoelasticity. Viscous materials behave as ideal liquids, undergoing irreversible deformation and dissipating applied energy as heat, with flow governed by Newton’s law of viscosity, whereas elastic materials behave as ideal solids that store mechanical energy and fully recover their original shape upon stress removal in accordance with Hooke’s law</w:t>
      </w:r>
      <w:r w:rsidR="00A50ACF" w:rsidRPr="00884E3C">
        <w:rPr>
          <w:rFonts w:ascii="Arial" w:hAnsi="Arial" w:cs="Arial"/>
          <w:sz w:val="20"/>
          <w:szCs w:val="20"/>
        </w:rPr>
        <w:t xml:space="preserve"> (Within the elastic /linear region of a material, the deformation is directly proportional to the applied force)</w:t>
      </w:r>
      <w:r w:rsidR="00651E30" w:rsidRPr="00884E3C">
        <w:rPr>
          <w:rFonts w:ascii="Arial" w:hAnsi="Arial" w:cs="Arial"/>
          <w:sz w:val="20"/>
          <w:szCs w:val="20"/>
        </w:rPr>
        <w:t>. (</w:t>
      </w:r>
      <w:proofErr w:type="spellStart"/>
      <w:r w:rsidR="00651E30" w:rsidRPr="00CF7777">
        <w:rPr>
          <w:rFonts w:ascii="Arial" w:hAnsi="Arial" w:cs="Arial"/>
          <w:sz w:val="20"/>
          <w:szCs w:val="20"/>
        </w:rPr>
        <w:t>Gurt</w:t>
      </w:r>
      <w:proofErr w:type="spellEnd"/>
      <w:r w:rsidR="00651E30" w:rsidRPr="00CF7777">
        <w:rPr>
          <w:rFonts w:ascii="Arial" w:hAnsi="Arial" w:cs="Arial"/>
          <w:sz w:val="20"/>
          <w:szCs w:val="20"/>
        </w:rPr>
        <w:t xml:space="preserve"> A </w:t>
      </w:r>
      <w:r w:rsidR="00651E30" w:rsidRPr="00884E3C">
        <w:rPr>
          <w:rFonts w:ascii="Arial" w:hAnsi="Arial" w:cs="Arial"/>
          <w:sz w:val="20"/>
          <w:szCs w:val="20"/>
        </w:rPr>
        <w:t xml:space="preserve">et al., 2024; </w:t>
      </w:r>
      <w:r w:rsidR="00651E30" w:rsidRPr="00CF7777">
        <w:rPr>
          <w:rFonts w:ascii="Arial" w:hAnsi="Arial" w:cs="Arial"/>
          <w:sz w:val="20"/>
          <w:szCs w:val="20"/>
        </w:rPr>
        <w:t>Palem CR</w:t>
      </w:r>
      <w:r w:rsidR="00651E30" w:rsidRPr="00884E3C">
        <w:rPr>
          <w:rFonts w:ascii="Arial" w:hAnsi="Arial" w:cs="Arial"/>
          <w:sz w:val="20"/>
          <w:szCs w:val="20"/>
        </w:rPr>
        <w:t xml:space="preserve"> et al., 2025; Ricarte RG e</w:t>
      </w:r>
      <w:r w:rsidR="00E335E7">
        <w:rPr>
          <w:rFonts w:ascii="Arial" w:hAnsi="Arial" w:cs="Arial"/>
          <w:sz w:val="20"/>
          <w:szCs w:val="20"/>
        </w:rPr>
        <w:t>t</w:t>
      </w:r>
      <w:r w:rsidR="00651E30" w:rsidRPr="00884E3C">
        <w:rPr>
          <w:rFonts w:ascii="Arial" w:hAnsi="Arial" w:cs="Arial"/>
          <w:sz w:val="20"/>
          <w:szCs w:val="20"/>
        </w:rPr>
        <w:t xml:space="preserve"> al., 2024).</w:t>
      </w:r>
    </w:p>
    <w:p w14:paraId="3633133E" w14:textId="77777777" w:rsidR="00791136" w:rsidRPr="00884E3C" w:rsidRDefault="00791136" w:rsidP="00080238">
      <w:pPr>
        <w:pStyle w:val="NormalWeb"/>
        <w:spacing w:before="0" w:beforeAutospacing="0" w:after="0" w:afterAutospacing="0"/>
        <w:ind w:left="142"/>
        <w:jc w:val="both"/>
        <w:rPr>
          <w:rFonts w:ascii="Arial" w:hAnsi="Arial" w:cs="Arial"/>
          <w:sz w:val="20"/>
          <w:szCs w:val="20"/>
        </w:rPr>
      </w:pPr>
    </w:p>
    <w:p w14:paraId="6075FCC0" w14:textId="77777777" w:rsidR="006C59F1" w:rsidRPr="00884E3C" w:rsidRDefault="006C59F1"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Most polymeric excipients used in pharmaceutical formulations display viscoelastic behavior, exhibiting both liquid-like and solid-like responses depending on the applied deformation, time scale, and temperature. Oscillatory rheological techniques enable quantitative characterization of such systems through parameters including storage modulus (G′), which reflects elastic energy storage; loss modulus (G″), which represents viscous energy dissipation; and complex viscosity (η*), describing the overall resistance to deformation under dynamic conditions. The damping factor (tan δ = G″/G′) provides insight into the relative dominance of viscous or elastic behavior, while the linear viscoelastic region (LVR) defines the strain range over which the polymer microstructure remains intact and undisturbed</w:t>
      </w:r>
      <w:r w:rsidR="00651E30" w:rsidRPr="00884E3C">
        <w:rPr>
          <w:rFonts w:ascii="Arial" w:hAnsi="Arial" w:cs="Arial"/>
          <w:sz w:val="20"/>
          <w:szCs w:val="20"/>
        </w:rPr>
        <w:t xml:space="preserve"> (Budai L et al., 2023; Ramli H et al., 2022)</w:t>
      </w:r>
      <w:r w:rsidRPr="00884E3C">
        <w:rPr>
          <w:rFonts w:ascii="Arial" w:hAnsi="Arial" w:cs="Arial"/>
          <w:sz w:val="20"/>
          <w:szCs w:val="20"/>
        </w:rPr>
        <w:t>.</w:t>
      </w:r>
      <w:r w:rsidR="003C0E85" w:rsidRPr="00884E3C">
        <w:rPr>
          <w:rFonts w:ascii="Arial" w:hAnsi="Arial" w:cs="Arial"/>
          <w:sz w:val="20"/>
          <w:szCs w:val="20"/>
        </w:rPr>
        <w:t xml:space="preserve"> </w:t>
      </w:r>
      <w:r w:rsidRPr="00884E3C">
        <w:rPr>
          <w:rFonts w:ascii="Arial" w:hAnsi="Arial" w:cs="Arial"/>
          <w:sz w:val="20"/>
          <w:szCs w:val="20"/>
        </w:rPr>
        <w:t>Cellulose ether polymers, particularly hydroxypropyl methylcellulose and hydroxypropyl cellulose, are among the most widely used pharmaceutical excipients due to their versatility as binders, matrix formers in controlled-release systems, film-coating agents, and rheology modifiers in liquid and semi-solid dosage forms</w:t>
      </w:r>
      <w:r w:rsidR="003C0E85" w:rsidRPr="00884E3C">
        <w:rPr>
          <w:rFonts w:ascii="Arial" w:hAnsi="Arial" w:cs="Arial"/>
          <w:sz w:val="20"/>
          <w:szCs w:val="20"/>
        </w:rPr>
        <w:t xml:space="preserve"> </w:t>
      </w:r>
      <w:r w:rsidR="00884E3C" w:rsidRPr="00884E3C">
        <w:rPr>
          <w:rFonts w:ascii="Arial" w:hAnsi="Arial" w:cs="Arial"/>
          <w:sz w:val="20"/>
          <w:szCs w:val="20"/>
        </w:rPr>
        <w:t>(</w:t>
      </w:r>
      <w:r w:rsidR="00884E3C" w:rsidRPr="00CF7777">
        <w:rPr>
          <w:rFonts w:ascii="Arial" w:hAnsi="Arial" w:cs="Arial"/>
          <w:sz w:val="20"/>
          <w:szCs w:val="20"/>
        </w:rPr>
        <w:t>Than</w:t>
      </w:r>
      <w:r w:rsidR="00E335E7">
        <w:rPr>
          <w:rFonts w:ascii="Arial" w:hAnsi="Arial" w:cs="Arial"/>
          <w:sz w:val="20"/>
          <w:szCs w:val="20"/>
        </w:rPr>
        <w:t xml:space="preserve"> YM</w:t>
      </w:r>
      <w:r w:rsidR="00884E3C" w:rsidRPr="00CF7777">
        <w:rPr>
          <w:rFonts w:ascii="Arial" w:hAnsi="Arial" w:cs="Arial"/>
          <w:sz w:val="20"/>
          <w:szCs w:val="20"/>
        </w:rPr>
        <w:t xml:space="preserve"> et al., 2021</w:t>
      </w:r>
      <w:r w:rsidR="00884E3C" w:rsidRPr="00884E3C">
        <w:rPr>
          <w:rFonts w:ascii="Arial" w:hAnsi="Arial" w:cs="Arial"/>
          <w:sz w:val="20"/>
          <w:szCs w:val="20"/>
        </w:rPr>
        <w:t xml:space="preserve">; </w:t>
      </w:r>
      <w:r w:rsidR="00884E3C" w:rsidRPr="00CF7777">
        <w:rPr>
          <w:rFonts w:ascii="Arial" w:hAnsi="Arial" w:cs="Arial"/>
          <w:sz w:val="20"/>
          <w:szCs w:val="20"/>
        </w:rPr>
        <w:t>Furtado</w:t>
      </w:r>
      <w:r w:rsidR="00E335E7">
        <w:rPr>
          <w:rFonts w:ascii="Arial" w:hAnsi="Arial" w:cs="Arial"/>
          <w:sz w:val="20"/>
          <w:szCs w:val="20"/>
        </w:rPr>
        <w:t xml:space="preserve"> LM</w:t>
      </w:r>
      <w:r w:rsidR="00884E3C" w:rsidRPr="00CF7777">
        <w:rPr>
          <w:rFonts w:ascii="Arial" w:hAnsi="Arial" w:cs="Arial"/>
          <w:sz w:val="20"/>
          <w:szCs w:val="20"/>
        </w:rPr>
        <w:t xml:space="preserve"> et al., 2022</w:t>
      </w:r>
      <w:r w:rsidR="00884E3C" w:rsidRPr="00884E3C">
        <w:rPr>
          <w:rFonts w:ascii="Arial" w:hAnsi="Arial" w:cs="Arial"/>
          <w:sz w:val="20"/>
          <w:szCs w:val="20"/>
        </w:rPr>
        <w:t xml:space="preserve">; </w:t>
      </w:r>
      <w:r w:rsidR="00884E3C" w:rsidRPr="00CF7777">
        <w:rPr>
          <w:rFonts w:ascii="Arial" w:hAnsi="Arial" w:cs="Arial"/>
          <w:sz w:val="20"/>
          <w:szCs w:val="20"/>
        </w:rPr>
        <w:t xml:space="preserve">Palem </w:t>
      </w:r>
      <w:r w:rsidR="00E335E7">
        <w:rPr>
          <w:rFonts w:ascii="Arial" w:hAnsi="Arial" w:cs="Arial"/>
          <w:sz w:val="20"/>
          <w:szCs w:val="20"/>
        </w:rPr>
        <w:t xml:space="preserve">CR </w:t>
      </w:r>
      <w:r w:rsidR="00884E3C" w:rsidRPr="00CF7777">
        <w:rPr>
          <w:rFonts w:ascii="Arial" w:hAnsi="Arial" w:cs="Arial"/>
          <w:sz w:val="20"/>
          <w:szCs w:val="20"/>
        </w:rPr>
        <w:t>et al., 2014</w:t>
      </w:r>
      <w:r w:rsidR="00884E3C" w:rsidRPr="00884E3C">
        <w:rPr>
          <w:rFonts w:ascii="Arial" w:hAnsi="Arial" w:cs="Arial"/>
          <w:sz w:val="20"/>
          <w:szCs w:val="20"/>
        </w:rPr>
        <w:t>)</w:t>
      </w:r>
      <w:r w:rsidRPr="00884E3C">
        <w:rPr>
          <w:rFonts w:ascii="Arial" w:hAnsi="Arial" w:cs="Arial"/>
          <w:sz w:val="20"/>
          <w:szCs w:val="20"/>
        </w:rPr>
        <w:t>. The functional performance of these polymers is governed by multiple</w:t>
      </w:r>
      <w:r w:rsidR="003C0E85" w:rsidRPr="00884E3C">
        <w:rPr>
          <w:rFonts w:ascii="Arial" w:hAnsi="Arial" w:cs="Arial"/>
          <w:sz w:val="20"/>
          <w:szCs w:val="20"/>
        </w:rPr>
        <w:t xml:space="preserve"> </w:t>
      </w:r>
      <w:r w:rsidRPr="00884E3C">
        <w:rPr>
          <w:rFonts w:ascii="Arial" w:hAnsi="Arial" w:cs="Arial"/>
          <w:sz w:val="20"/>
          <w:szCs w:val="20"/>
        </w:rPr>
        <w:t>molecular attributes beyond nominal viscosity grade. Molecular weight plays a central role, as higher molecular weight polymers typically exhibit increased solution viscosity and a greater propensity to form stronger, more elastic gel networks. The degree of substitution significantly influences polymer solubility, hydration behavior, gelation characteristics, and overall hydrophilicity, thereby affecting both processing and in-use performance</w:t>
      </w:r>
      <w:r w:rsidR="002C0FB5" w:rsidRPr="00884E3C">
        <w:rPr>
          <w:rFonts w:ascii="Arial" w:hAnsi="Arial" w:cs="Arial"/>
          <w:sz w:val="20"/>
          <w:szCs w:val="20"/>
        </w:rPr>
        <w:t xml:space="preserve"> </w:t>
      </w:r>
      <w:r w:rsidR="00884E3C" w:rsidRPr="00884E3C">
        <w:rPr>
          <w:rFonts w:ascii="Arial" w:hAnsi="Arial" w:cs="Arial"/>
          <w:sz w:val="20"/>
          <w:szCs w:val="20"/>
        </w:rPr>
        <w:t>(</w:t>
      </w:r>
      <w:r w:rsidR="00884E3C" w:rsidRPr="00CF7777">
        <w:rPr>
          <w:rFonts w:ascii="Arial" w:hAnsi="Arial" w:cs="Arial"/>
          <w:sz w:val="20"/>
          <w:szCs w:val="20"/>
        </w:rPr>
        <w:t xml:space="preserve">Palem </w:t>
      </w:r>
      <w:r w:rsidR="00E335E7">
        <w:rPr>
          <w:rFonts w:ascii="Arial" w:hAnsi="Arial" w:cs="Arial"/>
          <w:sz w:val="20"/>
          <w:szCs w:val="20"/>
        </w:rPr>
        <w:t xml:space="preserve">CR </w:t>
      </w:r>
      <w:r w:rsidR="00884E3C" w:rsidRPr="00CF7777">
        <w:rPr>
          <w:rFonts w:ascii="Arial" w:hAnsi="Arial" w:cs="Arial"/>
          <w:sz w:val="20"/>
          <w:szCs w:val="20"/>
        </w:rPr>
        <w:t>et al., 2010</w:t>
      </w:r>
      <w:r w:rsidR="00884E3C" w:rsidRPr="00884E3C">
        <w:rPr>
          <w:rFonts w:ascii="Arial" w:hAnsi="Arial" w:cs="Arial"/>
          <w:sz w:val="20"/>
          <w:szCs w:val="20"/>
        </w:rPr>
        <w:t xml:space="preserve">; </w:t>
      </w:r>
      <w:r w:rsidR="00884E3C" w:rsidRPr="00CF7777">
        <w:rPr>
          <w:rFonts w:ascii="Arial" w:hAnsi="Arial" w:cs="Arial"/>
          <w:sz w:val="20"/>
          <w:szCs w:val="20"/>
        </w:rPr>
        <w:t>Palem</w:t>
      </w:r>
      <w:r w:rsidR="00E335E7">
        <w:rPr>
          <w:rFonts w:ascii="Arial" w:hAnsi="Arial" w:cs="Arial"/>
          <w:sz w:val="20"/>
          <w:szCs w:val="20"/>
        </w:rPr>
        <w:t xml:space="preserve"> CR</w:t>
      </w:r>
      <w:r w:rsidR="00884E3C" w:rsidRPr="00CF7777">
        <w:rPr>
          <w:rFonts w:ascii="Arial" w:hAnsi="Arial" w:cs="Arial"/>
          <w:sz w:val="20"/>
          <w:szCs w:val="20"/>
        </w:rPr>
        <w:t xml:space="preserve"> et al., 2012</w:t>
      </w:r>
      <w:r w:rsidR="00884E3C" w:rsidRPr="00884E3C">
        <w:rPr>
          <w:rFonts w:ascii="Arial" w:hAnsi="Arial" w:cs="Arial"/>
          <w:sz w:val="20"/>
          <w:szCs w:val="20"/>
        </w:rPr>
        <w:t>)</w:t>
      </w:r>
      <w:r w:rsidRPr="00884E3C">
        <w:rPr>
          <w:rFonts w:ascii="Arial" w:hAnsi="Arial" w:cs="Arial"/>
          <w:sz w:val="20"/>
          <w:szCs w:val="20"/>
        </w:rPr>
        <w:t>.</w:t>
      </w:r>
    </w:p>
    <w:p w14:paraId="296E39AD" w14:textId="77777777" w:rsidR="00791136" w:rsidRPr="00884E3C" w:rsidRDefault="00791136" w:rsidP="00080238">
      <w:pPr>
        <w:pStyle w:val="NormalWeb"/>
        <w:spacing w:before="0" w:beforeAutospacing="0" w:after="0" w:afterAutospacing="0"/>
        <w:ind w:left="142"/>
        <w:jc w:val="both"/>
        <w:rPr>
          <w:rFonts w:ascii="Arial" w:hAnsi="Arial" w:cs="Arial"/>
          <w:sz w:val="20"/>
          <w:szCs w:val="20"/>
        </w:rPr>
      </w:pPr>
    </w:p>
    <w:p w14:paraId="04A77938" w14:textId="77777777" w:rsidR="006C59F1" w:rsidRPr="00884E3C" w:rsidRDefault="006C59F1"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In addition, molar substitution is particularly relevant for HPC, as it modulates thermo-responsive behavior and impacts solution viscosity and phase transitions under varying temperature conditions</w:t>
      </w:r>
      <w:r w:rsidR="003C0E85" w:rsidRPr="00884E3C">
        <w:rPr>
          <w:rFonts w:ascii="Arial" w:hAnsi="Arial" w:cs="Arial"/>
          <w:sz w:val="20"/>
          <w:szCs w:val="20"/>
        </w:rPr>
        <w:t xml:space="preserve"> (</w:t>
      </w:r>
      <w:r w:rsidR="00884E3C" w:rsidRPr="00CF7777">
        <w:rPr>
          <w:rFonts w:ascii="Arial" w:hAnsi="Arial" w:cs="Arial"/>
          <w:sz w:val="20"/>
          <w:szCs w:val="20"/>
        </w:rPr>
        <w:t>Palem</w:t>
      </w:r>
      <w:r w:rsidR="00E335E7">
        <w:rPr>
          <w:rFonts w:ascii="Arial" w:hAnsi="Arial" w:cs="Arial"/>
          <w:sz w:val="20"/>
          <w:szCs w:val="20"/>
        </w:rPr>
        <w:t xml:space="preserve"> CR</w:t>
      </w:r>
      <w:r w:rsidR="00884E3C" w:rsidRPr="00CF7777">
        <w:rPr>
          <w:rFonts w:ascii="Arial" w:hAnsi="Arial" w:cs="Arial"/>
          <w:sz w:val="20"/>
          <w:szCs w:val="20"/>
        </w:rPr>
        <w:t xml:space="preserve"> et al., 2024</w:t>
      </w:r>
      <w:r w:rsidR="003C0E85" w:rsidRPr="00884E3C">
        <w:rPr>
          <w:rFonts w:ascii="Arial" w:hAnsi="Arial" w:cs="Arial"/>
          <w:sz w:val="20"/>
          <w:szCs w:val="20"/>
        </w:rPr>
        <w:t>)</w:t>
      </w:r>
      <w:r w:rsidRPr="00884E3C">
        <w:rPr>
          <w:rFonts w:ascii="Arial" w:hAnsi="Arial" w:cs="Arial"/>
          <w:sz w:val="20"/>
          <w:szCs w:val="20"/>
        </w:rPr>
        <w:t>. The distribution of substituent groups along the cellulose backbone further affects gelation temperature, hydration rate, and microstructural development of polymer networks. Polymer concentration is another critical determinant of rheological behavior, as it governs solution structure, intermolecular entanglement density, and mechanical strength, ultimately influencing viscoelastic response and functional performance in pharmaceutical systems. During pharmaceutical manufacturing, cellulose ether-based formulations are exposed to complex shear and deformation histories during processes such as blending, wet granulation, coating, compression, and dissolution. These conditions cannot be adequately characterized using steady shear viscosity measurements alone. Viscoelastic properties critically influence tablet hydration and gel layer formation, coating uniformity, suspension stability, and drug release kinetics, particularly in modified-release dosage forms. Furthermore, variations in polymer grade and manufacturer can result in significant differences in rheological behavior, with direct implications for process robustness, batch-to-batch consistency, and critical quality attributes</w:t>
      </w:r>
      <w:r w:rsidR="00FF69A1" w:rsidRPr="00884E3C">
        <w:rPr>
          <w:rFonts w:ascii="Arial" w:hAnsi="Arial" w:cs="Arial"/>
          <w:sz w:val="20"/>
          <w:szCs w:val="20"/>
        </w:rPr>
        <w:t xml:space="preserve"> (</w:t>
      </w:r>
      <w:r w:rsidR="00884E3C" w:rsidRPr="00CF7777">
        <w:rPr>
          <w:rFonts w:ascii="Arial" w:hAnsi="Arial" w:cs="Arial"/>
          <w:sz w:val="20"/>
          <w:szCs w:val="20"/>
        </w:rPr>
        <w:t>Cremer</w:t>
      </w:r>
      <w:r w:rsidR="00E335E7">
        <w:rPr>
          <w:rFonts w:ascii="Arial" w:hAnsi="Arial" w:cs="Arial"/>
          <w:sz w:val="20"/>
          <w:szCs w:val="20"/>
        </w:rPr>
        <w:t xml:space="preserve"> G</w:t>
      </w:r>
      <w:r w:rsidR="00884E3C" w:rsidRPr="00CF7777">
        <w:rPr>
          <w:rFonts w:ascii="Arial" w:hAnsi="Arial" w:cs="Arial"/>
          <w:sz w:val="20"/>
          <w:szCs w:val="20"/>
        </w:rPr>
        <w:t xml:space="preserve"> et al., 2022; Palem</w:t>
      </w:r>
      <w:r w:rsidR="00E335E7">
        <w:rPr>
          <w:rFonts w:ascii="Arial" w:hAnsi="Arial" w:cs="Arial"/>
          <w:sz w:val="20"/>
          <w:szCs w:val="20"/>
        </w:rPr>
        <w:t xml:space="preserve"> CR</w:t>
      </w:r>
      <w:r w:rsidR="00884E3C" w:rsidRPr="00CF7777">
        <w:rPr>
          <w:rFonts w:ascii="Arial" w:hAnsi="Arial" w:cs="Arial"/>
          <w:sz w:val="20"/>
          <w:szCs w:val="20"/>
        </w:rPr>
        <w:t xml:space="preserve"> et al., 2024, Palem</w:t>
      </w:r>
      <w:r w:rsidR="00E335E7">
        <w:rPr>
          <w:rFonts w:ascii="Arial" w:hAnsi="Arial" w:cs="Arial"/>
          <w:sz w:val="20"/>
          <w:szCs w:val="20"/>
        </w:rPr>
        <w:t xml:space="preserve"> CR</w:t>
      </w:r>
      <w:r w:rsidR="00884E3C" w:rsidRPr="00CF7777">
        <w:rPr>
          <w:rFonts w:ascii="Arial" w:hAnsi="Arial" w:cs="Arial"/>
          <w:sz w:val="20"/>
          <w:szCs w:val="20"/>
        </w:rPr>
        <w:t xml:space="preserve"> et al., 2025</w:t>
      </w:r>
      <w:r w:rsidR="00CF7777">
        <w:rPr>
          <w:rFonts w:ascii="Arial" w:hAnsi="Arial" w:cs="Arial"/>
          <w:sz w:val="20"/>
          <w:szCs w:val="20"/>
        </w:rPr>
        <w:t>)</w:t>
      </w:r>
      <w:r w:rsidRPr="00884E3C">
        <w:rPr>
          <w:rFonts w:ascii="Arial" w:hAnsi="Arial" w:cs="Arial"/>
          <w:sz w:val="20"/>
          <w:szCs w:val="20"/>
        </w:rPr>
        <w:t>.</w:t>
      </w:r>
    </w:p>
    <w:p w14:paraId="27E204E1" w14:textId="77777777" w:rsidR="00791136" w:rsidRPr="00884E3C" w:rsidRDefault="00791136" w:rsidP="00080238">
      <w:pPr>
        <w:pStyle w:val="NormalWeb"/>
        <w:spacing w:before="0" w:beforeAutospacing="0" w:after="0" w:afterAutospacing="0"/>
        <w:ind w:left="142"/>
        <w:jc w:val="both"/>
        <w:rPr>
          <w:rFonts w:ascii="Arial" w:hAnsi="Arial" w:cs="Arial"/>
          <w:sz w:val="20"/>
          <w:szCs w:val="20"/>
        </w:rPr>
      </w:pPr>
    </w:p>
    <w:p w14:paraId="24E1F3AC" w14:textId="77777777" w:rsidR="006C59F1" w:rsidRPr="00884E3C" w:rsidRDefault="006C59F1"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Despite their widespread application, excipient selection for cellulose ethers in routine formulation development often relies primarily on nominal viscosity grades, overlooking time-dependent and deformation-sensitive rheological properties that more accurately reflect processing and performance conditions. Therefore, comprehensive rheological evaluation using both steady shear and oscillatory techniques is essential to establish meaningful structure-property performance relationships. The present study aims to systematically characterize the rheological behavior of pharmaceutical grade HPMC and HPC across multiple grades and manufacturers, and to demonstrate the relevance of advanced rheological profiling in rational excipient selection and robust drug formulation design.</w:t>
      </w:r>
    </w:p>
    <w:p w14:paraId="0B4DCF5A" w14:textId="77777777" w:rsidR="00791136" w:rsidRPr="00884E3C" w:rsidRDefault="00791136" w:rsidP="00080238">
      <w:pPr>
        <w:pStyle w:val="NormalWeb"/>
        <w:spacing w:before="0" w:beforeAutospacing="0" w:after="0" w:afterAutospacing="0"/>
        <w:ind w:left="142"/>
        <w:jc w:val="both"/>
        <w:rPr>
          <w:rFonts w:ascii="Arial" w:hAnsi="Arial" w:cs="Arial"/>
          <w:sz w:val="20"/>
          <w:szCs w:val="20"/>
        </w:rPr>
      </w:pPr>
    </w:p>
    <w:p w14:paraId="43185635" w14:textId="77777777" w:rsidR="00616205" w:rsidRPr="00884E3C" w:rsidRDefault="006C59F1" w:rsidP="00080238">
      <w:pPr>
        <w:pStyle w:val="ListParagraph"/>
        <w:numPr>
          <w:ilvl w:val="0"/>
          <w:numId w:val="18"/>
        </w:numPr>
        <w:spacing w:after="0" w:line="240" w:lineRule="auto"/>
        <w:jc w:val="both"/>
        <w:outlineLvl w:val="0"/>
        <w:rPr>
          <w:rFonts w:ascii="Arial" w:eastAsia="Times New Roman" w:hAnsi="Arial" w:cs="Arial"/>
          <w:b/>
          <w:bCs/>
          <w:lang w:eastAsia="en-IN"/>
        </w:rPr>
      </w:pPr>
      <w:r w:rsidRPr="00884E3C">
        <w:rPr>
          <w:rFonts w:ascii="Arial" w:eastAsia="Times New Roman" w:hAnsi="Arial" w:cs="Arial"/>
          <w:b/>
          <w:bCs/>
          <w:kern w:val="36"/>
          <w:lang w:eastAsia="en-IN"/>
        </w:rPr>
        <w:t>MATERIALS AND METHODS</w:t>
      </w:r>
    </w:p>
    <w:p w14:paraId="17B01708" w14:textId="77777777" w:rsidR="00FE0399" w:rsidRPr="00884E3C" w:rsidRDefault="00FE0399" w:rsidP="00080238">
      <w:pPr>
        <w:pStyle w:val="ListParagraph"/>
        <w:spacing w:after="0" w:line="240" w:lineRule="auto"/>
        <w:ind w:left="502"/>
        <w:jc w:val="both"/>
        <w:outlineLvl w:val="0"/>
        <w:rPr>
          <w:rFonts w:ascii="Arial" w:eastAsia="Times New Roman" w:hAnsi="Arial" w:cs="Arial"/>
          <w:b/>
          <w:bCs/>
          <w:lang w:eastAsia="en-IN"/>
        </w:rPr>
      </w:pPr>
    </w:p>
    <w:p w14:paraId="59705756" w14:textId="77777777" w:rsidR="00DE1D5C" w:rsidRDefault="00D101A6" w:rsidP="00080238">
      <w:pPr>
        <w:pStyle w:val="ListParagraph"/>
        <w:numPr>
          <w:ilvl w:val="1"/>
          <w:numId w:val="19"/>
        </w:numPr>
        <w:spacing w:after="0" w:line="240" w:lineRule="auto"/>
        <w:jc w:val="both"/>
        <w:outlineLvl w:val="0"/>
        <w:rPr>
          <w:rFonts w:ascii="Arial" w:eastAsia="Times New Roman" w:hAnsi="Arial" w:cs="Arial"/>
          <w:b/>
          <w:bCs/>
          <w:lang w:eastAsia="en-IN"/>
        </w:rPr>
      </w:pPr>
      <w:r w:rsidRPr="00651A2B">
        <w:rPr>
          <w:rFonts w:ascii="Arial" w:eastAsia="Times New Roman" w:hAnsi="Arial" w:cs="Arial"/>
          <w:b/>
          <w:bCs/>
          <w:lang w:eastAsia="en-IN"/>
        </w:rPr>
        <w:lastRenderedPageBreak/>
        <w:t>Materials</w:t>
      </w:r>
    </w:p>
    <w:p w14:paraId="45D35862" w14:textId="77777777" w:rsidR="00D47ECF" w:rsidRPr="00D47ECF" w:rsidRDefault="00D47ECF" w:rsidP="00080238">
      <w:pPr>
        <w:spacing w:after="0" w:line="240" w:lineRule="auto"/>
        <w:ind w:left="142"/>
        <w:jc w:val="both"/>
        <w:outlineLvl w:val="0"/>
        <w:rPr>
          <w:rFonts w:ascii="Arial" w:eastAsia="Times New Roman" w:hAnsi="Arial" w:cs="Arial"/>
          <w:b/>
          <w:bCs/>
          <w:lang w:eastAsia="en-IN"/>
        </w:rPr>
      </w:pPr>
    </w:p>
    <w:p w14:paraId="57F26EC8" w14:textId="77777777" w:rsidR="00616205" w:rsidRPr="00884E3C" w:rsidRDefault="00D101A6" w:rsidP="00080238">
      <w:pPr>
        <w:spacing w:after="0" w:line="240" w:lineRule="auto"/>
        <w:ind w:left="142"/>
        <w:jc w:val="both"/>
        <w:outlineLvl w:val="1"/>
        <w:rPr>
          <w:rFonts w:ascii="Arial" w:eastAsia="Times New Roman" w:hAnsi="Arial" w:cs="Arial"/>
          <w:sz w:val="20"/>
          <w:szCs w:val="20"/>
          <w:lang w:eastAsia="en-IN"/>
        </w:rPr>
      </w:pPr>
      <w:r w:rsidRPr="00884E3C">
        <w:rPr>
          <w:rFonts w:ascii="Arial" w:eastAsia="Times New Roman" w:hAnsi="Arial" w:cs="Arial"/>
          <w:sz w:val="20"/>
          <w:szCs w:val="20"/>
          <w:lang w:eastAsia="en-IN"/>
        </w:rPr>
        <w:t>Pharmaceutical</w:t>
      </w:r>
      <w:r w:rsidR="00167FEA" w:rsidRPr="00884E3C">
        <w:rPr>
          <w:rFonts w:ascii="Arial" w:eastAsia="Times New Roman" w:hAnsi="Arial" w:cs="Arial"/>
          <w:sz w:val="20"/>
          <w:szCs w:val="20"/>
          <w:lang w:eastAsia="en-IN"/>
        </w:rPr>
        <w:t xml:space="preserve"> </w:t>
      </w:r>
      <w:r w:rsidRPr="00884E3C">
        <w:rPr>
          <w:rFonts w:ascii="Arial" w:eastAsia="Times New Roman" w:hAnsi="Arial" w:cs="Arial"/>
          <w:sz w:val="20"/>
          <w:szCs w:val="20"/>
          <w:lang w:eastAsia="en-IN"/>
        </w:rPr>
        <w:t xml:space="preserve">grade cellulose ethers </w:t>
      </w:r>
      <w:r w:rsidR="006C59F1" w:rsidRPr="00884E3C">
        <w:rPr>
          <w:rFonts w:ascii="Arial" w:eastAsia="Times New Roman" w:hAnsi="Arial" w:cs="Arial"/>
          <w:sz w:val="20"/>
          <w:szCs w:val="20"/>
          <w:lang w:eastAsia="en-IN"/>
        </w:rPr>
        <w:t xml:space="preserve">of </w:t>
      </w:r>
      <w:r w:rsidR="006C59F1" w:rsidRPr="00884E3C">
        <w:rPr>
          <w:rFonts w:ascii="Arial" w:eastAsia="Times New Roman" w:hAnsi="Arial" w:cs="Arial"/>
          <w:bCs/>
          <w:sz w:val="20"/>
          <w:szCs w:val="20"/>
          <w:lang w:eastAsia="en-IN"/>
        </w:rPr>
        <w:t xml:space="preserve">Hydroxypropyl methylcellulose and Hydroxypropyl cellulose of different grades </w:t>
      </w:r>
      <w:r w:rsidRPr="00884E3C">
        <w:rPr>
          <w:rFonts w:ascii="Arial" w:eastAsia="Times New Roman" w:hAnsi="Arial" w:cs="Arial"/>
          <w:sz w:val="20"/>
          <w:szCs w:val="20"/>
          <w:lang w:eastAsia="en-IN"/>
        </w:rPr>
        <w:t xml:space="preserve">were obtained from </w:t>
      </w:r>
      <w:r w:rsidR="00167FEA" w:rsidRPr="00884E3C">
        <w:rPr>
          <w:rFonts w:ascii="Arial" w:eastAsia="Times New Roman" w:hAnsi="Arial" w:cs="Arial"/>
          <w:sz w:val="20"/>
          <w:szCs w:val="20"/>
          <w:lang w:eastAsia="en-IN"/>
        </w:rPr>
        <w:t>IFF Pharma Solutions and Ashland India Pvt Ltd.</w:t>
      </w:r>
      <w:r w:rsidR="006C59F1" w:rsidRPr="00884E3C">
        <w:rPr>
          <w:rFonts w:ascii="Arial" w:eastAsia="Times New Roman" w:hAnsi="Arial" w:cs="Arial"/>
          <w:sz w:val="20"/>
          <w:szCs w:val="20"/>
          <w:lang w:eastAsia="en-IN"/>
        </w:rPr>
        <w:t xml:space="preserve">, respectively. All other solvents and chemicals used were of AR grade. </w:t>
      </w:r>
    </w:p>
    <w:p w14:paraId="0A90DDEE" w14:textId="77777777" w:rsidR="00791136" w:rsidRPr="00884E3C" w:rsidRDefault="00791136" w:rsidP="00080238">
      <w:pPr>
        <w:spacing w:after="0" w:line="240" w:lineRule="auto"/>
        <w:ind w:left="142"/>
        <w:jc w:val="both"/>
        <w:outlineLvl w:val="1"/>
        <w:rPr>
          <w:rFonts w:ascii="Arial" w:eastAsia="Times New Roman" w:hAnsi="Arial" w:cs="Arial"/>
          <w:b/>
          <w:bCs/>
          <w:sz w:val="20"/>
          <w:szCs w:val="20"/>
          <w:lang w:eastAsia="en-IN"/>
        </w:rPr>
      </w:pPr>
    </w:p>
    <w:p w14:paraId="729E9CD2" w14:textId="77777777" w:rsidR="00DE1D5C" w:rsidRPr="00651A2B" w:rsidRDefault="00DE1D5C" w:rsidP="00080238">
      <w:pPr>
        <w:pStyle w:val="ListParagraph"/>
        <w:numPr>
          <w:ilvl w:val="1"/>
          <w:numId w:val="19"/>
        </w:numPr>
        <w:spacing w:after="0" w:line="240" w:lineRule="auto"/>
        <w:jc w:val="both"/>
        <w:outlineLvl w:val="0"/>
        <w:rPr>
          <w:rFonts w:ascii="Arial" w:eastAsia="Times New Roman" w:hAnsi="Arial" w:cs="Arial"/>
          <w:b/>
          <w:bCs/>
          <w:lang w:eastAsia="en-IN"/>
        </w:rPr>
      </w:pPr>
      <w:r w:rsidRPr="00651A2B">
        <w:rPr>
          <w:rFonts w:ascii="Arial" w:eastAsia="Times New Roman" w:hAnsi="Arial" w:cs="Arial"/>
          <w:b/>
          <w:bCs/>
          <w:lang w:eastAsia="en-IN"/>
        </w:rPr>
        <w:t>Methods</w:t>
      </w:r>
      <w:r w:rsidR="007222D9" w:rsidRPr="00651A2B">
        <w:rPr>
          <w:rFonts w:ascii="Arial" w:eastAsia="Times New Roman" w:hAnsi="Arial" w:cs="Arial"/>
          <w:b/>
          <w:bCs/>
          <w:lang w:eastAsia="en-IN"/>
        </w:rPr>
        <w:t xml:space="preserve">: </w:t>
      </w:r>
      <w:r w:rsidRPr="00651A2B">
        <w:rPr>
          <w:rFonts w:ascii="Arial" w:eastAsia="Times New Roman" w:hAnsi="Arial" w:cs="Arial"/>
          <w:b/>
          <w:bCs/>
          <w:lang w:eastAsia="en-IN"/>
        </w:rPr>
        <w:t xml:space="preserve">Appearance and flow behaviour </w:t>
      </w:r>
    </w:p>
    <w:p w14:paraId="49F30851" w14:textId="77777777" w:rsidR="00791136" w:rsidRPr="00884E3C" w:rsidRDefault="00791136" w:rsidP="00080238">
      <w:pPr>
        <w:pStyle w:val="ListParagraph"/>
        <w:spacing w:after="0" w:line="240" w:lineRule="auto"/>
        <w:ind w:left="502"/>
        <w:jc w:val="both"/>
        <w:outlineLvl w:val="0"/>
        <w:rPr>
          <w:rFonts w:ascii="Arial" w:eastAsia="Times New Roman" w:hAnsi="Arial" w:cs="Arial"/>
          <w:b/>
          <w:bCs/>
          <w:sz w:val="20"/>
          <w:szCs w:val="20"/>
          <w:lang w:eastAsia="en-IN"/>
        </w:rPr>
      </w:pPr>
    </w:p>
    <w:p w14:paraId="0B92F826" w14:textId="77777777" w:rsidR="00FE0399" w:rsidRPr="00884E3C" w:rsidRDefault="00DE1D5C" w:rsidP="00080238">
      <w:pPr>
        <w:pStyle w:val="ListParagraph"/>
        <w:numPr>
          <w:ilvl w:val="2"/>
          <w:numId w:val="19"/>
        </w:numPr>
        <w:spacing w:after="0" w:line="240" w:lineRule="auto"/>
        <w:ind w:left="142" w:firstLine="0"/>
        <w:jc w:val="both"/>
        <w:outlineLvl w:val="0"/>
        <w:rPr>
          <w:rFonts w:ascii="Arial" w:eastAsia="Times New Roman" w:hAnsi="Arial" w:cs="Arial"/>
          <w:b/>
          <w:bCs/>
          <w:sz w:val="20"/>
          <w:szCs w:val="20"/>
          <w:lang w:eastAsia="en-IN"/>
        </w:rPr>
      </w:pPr>
      <w:r w:rsidRPr="00884E3C">
        <w:rPr>
          <w:rFonts w:ascii="Arial" w:hAnsi="Arial" w:cs="Arial"/>
          <w:b/>
          <w:sz w:val="20"/>
          <w:szCs w:val="20"/>
        </w:rPr>
        <w:t xml:space="preserve">Appearance </w:t>
      </w:r>
    </w:p>
    <w:p w14:paraId="204692C9" w14:textId="77777777" w:rsidR="00FE0399" w:rsidRPr="00884E3C" w:rsidRDefault="00FE0399" w:rsidP="00080238">
      <w:pPr>
        <w:pStyle w:val="ListParagraph"/>
        <w:spacing w:after="0" w:line="240" w:lineRule="auto"/>
        <w:ind w:left="142"/>
        <w:jc w:val="both"/>
        <w:outlineLvl w:val="0"/>
        <w:rPr>
          <w:rFonts w:ascii="Arial" w:eastAsia="Times New Roman" w:hAnsi="Arial" w:cs="Arial"/>
          <w:b/>
          <w:bCs/>
          <w:sz w:val="20"/>
          <w:szCs w:val="20"/>
          <w:lang w:eastAsia="en-IN"/>
        </w:rPr>
      </w:pPr>
    </w:p>
    <w:p w14:paraId="4E79FFB6" w14:textId="77777777" w:rsidR="00DE1D5C" w:rsidRPr="00884E3C" w:rsidRDefault="00DE1D5C" w:rsidP="00080238">
      <w:pPr>
        <w:spacing w:after="0" w:line="240" w:lineRule="auto"/>
        <w:ind w:left="142"/>
        <w:jc w:val="both"/>
        <w:outlineLvl w:val="0"/>
        <w:rPr>
          <w:rFonts w:ascii="Arial" w:eastAsia="Times New Roman" w:hAnsi="Arial" w:cs="Arial"/>
          <w:b/>
          <w:bCs/>
          <w:sz w:val="20"/>
          <w:szCs w:val="20"/>
          <w:lang w:eastAsia="en-IN"/>
        </w:rPr>
      </w:pPr>
      <w:r w:rsidRPr="00884E3C">
        <w:rPr>
          <w:rFonts w:ascii="Arial" w:hAnsi="Arial" w:cs="Arial"/>
          <w:sz w:val="20"/>
          <w:szCs w:val="20"/>
        </w:rPr>
        <w:t xml:space="preserve">The physical appearance of hydroxypropyl methylcellulose and hydroxypropyl cellulose was evaluated by visual inspection. Samples were examined for </w:t>
      </w:r>
      <w:r w:rsidR="00B01F2A" w:rsidRPr="00884E3C">
        <w:rPr>
          <w:rFonts w:ascii="Arial" w:hAnsi="Arial" w:cs="Arial"/>
          <w:sz w:val="20"/>
          <w:szCs w:val="20"/>
        </w:rPr>
        <w:t>colour</w:t>
      </w:r>
      <w:r w:rsidRPr="00884E3C">
        <w:rPr>
          <w:rFonts w:ascii="Arial" w:hAnsi="Arial" w:cs="Arial"/>
          <w:sz w:val="20"/>
          <w:szCs w:val="20"/>
        </w:rPr>
        <w:t>, uniformity, presence of visible impurities, agglomeration, and overall physical consistency under normal laboratory lighting conditions. The polymers were assessed in their as-received powder form to identify any signs of discoloration, caking, or heterogeneity that could influence handling, processing, or rheological performance. Observations were recorded qualitatively and compared across grades and manufacturers.</w:t>
      </w:r>
    </w:p>
    <w:p w14:paraId="3953C907" w14:textId="77777777" w:rsidR="00C95273" w:rsidRPr="00884E3C" w:rsidRDefault="00C95273" w:rsidP="00080238">
      <w:pPr>
        <w:pStyle w:val="ListParagraph"/>
        <w:spacing w:after="0" w:line="240" w:lineRule="auto"/>
        <w:ind w:left="142"/>
        <w:jc w:val="both"/>
        <w:outlineLvl w:val="0"/>
        <w:rPr>
          <w:rFonts w:ascii="Arial" w:eastAsia="Times New Roman" w:hAnsi="Arial" w:cs="Arial"/>
          <w:b/>
          <w:bCs/>
          <w:sz w:val="20"/>
          <w:szCs w:val="20"/>
          <w:lang w:eastAsia="en-IN"/>
        </w:rPr>
      </w:pPr>
    </w:p>
    <w:p w14:paraId="5E53D833" w14:textId="77777777" w:rsidR="00FE0399" w:rsidRPr="00884E3C" w:rsidRDefault="00DE1D5C" w:rsidP="00080238">
      <w:pPr>
        <w:pStyle w:val="ListParagraph"/>
        <w:numPr>
          <w:ilvl w:val="2"/>
          <w:numId w:val="19"/>
        </w:numPr>
        <w:spacing w:after="0" w:line="240" w:lineRule="auto"/>
        <w:ind w:left="142" w:firstLine="0"/>
        <w:jc w:val="both"/>
        <w:outlineLvl w:val="0"/>
        <w:rPr>
          <w:rFonts w:ascii="Arial" w:hAnsi="Arial" w:cs="Arial"/>
          <w:sz w:val="20"/>
          <w:szCs w:val="20"/>
        </w:rPr>
      </w:pPr>
      <w:r w:rsidRPr="00884E3C">
        <w:rPr>
          <w:rFonts w:ascii="Arial" w:hAnsi="Arial" w:cs="Arial"/>
          <w:b/>
          <w:sz w:val="20"/>
          <w:szCs w:val="20"/>
        </w:rPr>
        <w:t>Flow Behavior</w:t>
      </w:r>
    </w:p>
    <w:p w14:paraId="519A0161" w14:textId="77777777" w:rsidR="00FE0399" w:rsidRPr="00884E3C" w:rsidRDefault="00FE0399" w:rsidP="00080238">
      <w:pPr>
        <w:spacing w:after="0" w:line="240" w:lineRule="auto"/>
        <w:ind w:left="142"/>
        <w:jc w:val="both"/>
        <w:outlineLvl w:val="0"/>
        <w:rPr>
          <w:rFonts w:ascii="Arial" w:hAnsi="Arial" w:cs="Arial"/>
          <w:sz w:val="20"/>
          <w:szCs w:val="20"/>
        </w:rPr>
      </w:pPr>
    </w:p>
    <w:p w14:paraId="1C33D2D0" w14:textId="77777777" w:rsidR="00DE1D5C" w:rsidRPr="00884E3C" w:rsidRDefault="00DE1D5C" w:rsidP="00080238">
      <w:pPr>
        <w:spacing w:after="0" w:line="240" w:lineRule="auto"/>
        <w:ind w:left="142"/>
        <w:jc w:val="both"/>
        <w:outlineLvl w:val="0"/>
        <w:rPr>
          <w:rFonts w:ascii="Arial" w:hAnsi="Arial" w:cs="Arial"/>
          <w:sz w:val="20"/>
          <w:szCs w:val="20"/>
        </w:rPr>
      </w:pPr>
      <w:r w:rsidRPr="00884E3C">
        <w:rPr>
          <w:rFonts w:ascii="Arial" w:hAnsi="Arial" w:cs="Arial"/>
          <w:sz w:val="20"/>
          <w:szCs w:val="20"/>
        </w:rPr>
        <w:t xml:space="preserve">The </w:t>
      </w:r>
      <w:r w:rsidRPr="00CF7777">
        <w:rPr>
          <w:rFonts w:ascii="Arial" w:eastAsia="Times New Roman" w:hAnsi="Arial" w:cs="Arial"/>
          <w:sz w:val="20"/>
          <w:szCs w:val="20"/>
          <w:lang w:eastAsia="en-IN"/>
        </w:rPr>
        <w:t xml:space="preserve">flow behavior of HPMC and HPC powders was evaluated using standard </w:t>
      </w:r>
      <w:r w:rsidR="008570B8" w:rsidRPr="00CF7777">
        <w:rPr>
          <w:rFonts w:ascii="Arial" w:eastAsia="Times New Roman" w:hAnsi="Arial" w:cs="Arial"/>
          <w:sz w:val="20"/>
          <w:szCs w:val="20"/>
          <w:lang w:eastAsia="en-IN"/>
        </w:rPr>
        <w:t>Pharmacopeial</w:t>
      </w:r>
      <w:r w:rsidRPr="00CF7777">
        <w:rPr>
          <w:rFonts w:ascii="Arial" w:eastAsia="Times New Roman" w:hAnsi="Arial" w:cs="Arial"/>
          <w:sz w:val="20"/>
          <w:szCs w:val="20"/>
          <w:lang w:eastAsia="en-IN"/>
        </w:rPr>
        <w:t xml:space="preserve"> methods. Bulk density and tapped density were determined using a graduated cylinder method</w:t>
      </w:r>
      <w:r w:rsidR="00DF4410" w:rsidRPr="00CF7777">
        <w:rPr>
          <w:rFonts w:ascii="Arial" w:eastAsia="Times New Roman" w:hAnsi="Arial" w:cs="Arial"/>
          <w:sz w:val="20"/>
          <w:szCs w:val="20"/>
          <w:lang w:eastAsia="en-IN"/>
        </w:rPr>
        <w:t xml:space="preserve"> by bulk density apparatus (</w:t>
      </w:r>
      <w:r w:rsidR="008570B8" w:rsidRPr="00CF7777">
        <w:rPr>
          <w:rFonts w:ascii="Arial" w:eastAsia="Times New Roman" w:hAnsi="Arial" w:cs="Arial"/>
          <w:sz w:val="20"/>
          <w:szCs w:val="20"/>
          <w:lang w:eastAsia="en-IN"/>
        </w:rPr>
        <w:t>Electro lab, ETD1020X, India</w:t>
      </w:r>
      <w:r w:rsidR="00DF4410" w:rsidRPr="00CF7777">
        <w:rPr>
          <w:rFonts w:ascii="Arial" w:eastAsia="Times New Roman" w:hAnsi="Arial" w:cs="Arial"/>
          <w:sz w:val="20"/>
          <w:szCs w:val="20"/>
          <w:lang w:eastAsia="en-IN"/>
        </w:rPr>
        <w:t>)</w:t>
      </w:r>
      <w:r w:rsidRPr="00CF7777">
        <w:rPr>
          <w:rFonts w:ascii="Arial" w:eastAsia="Times New Roman" w:hAnsi="Arial" w:cs="Arial"/>
          <w:sz w:val="20"/>
          <w:szCs w:val="20"/>
          <w:lang w:eastAsia="en-IN"/>
        </w:rPr>
        <w:t xml:space="preserve"> and flow indices were calculated in terms of Carr’s Compressibility Index and </w:t>
      </w:r>
      <w:proofErr w:type="spellStart"/>
      <w:r w:rsidRPr="00CF7777">
        <w:rPr>
          <w:rFonts w:ascii="Arial" w:eastAsia="Times New Roman" w:hAnsi="Arial" w:cs="Arial"/>
          <w:sz w:val="20"/>
          <w:szCs w:val="20"/>
          <w:lang w:eastAsia="en-IN"/>
        </w:rPr>
        <w:t>Hausner</w:t>
      </w:r>
      <w:proofErr w:type="spellEnd"/>
      <w:r w:rsidRPr="00CF7777">
        <w:rPr>
          <w:rFonts w:ascii="Arial" w:eastAsia="Times New Roman" w:hAnsi="Arial" w:cs="Arial"/>
          <w:sz w:val="20"/>
          <w:szCs w:val="20"/>
          <w:lang w:eastAsia="en-IN"/>
        </w:rPr>
        <w:t xml:space="preserve"> ratio</w:t>
      </w:r>
      <w:r w:rsidR="00C924D6" w:rsidRPr="00CF7777">
        <w:rPr>
          <w:rFonts w:ascii="Arial" w:eastAsia="Times New Roman" w:hAnsi="Arial" w:cs="Arial"/>
          <w:sz w:val="20"/>
          <w:szCs w:val="20"/>
          <w:lang w:eastAsia="en-IN"/>
        </w:rPr>
        <w:t xml:space="preserve"> (</w:t>
      </w:r>
      <w:proofErr w:type="spellStart"/>
      <w:r w:rsidR="00884E3C" w:rsidRPr="00CF7777">
        <w:rPr>
          <w:rFonts w:ascii="Arial" w:eastAsia="Times New Roman" w:hAnsi="Arial" w:cs="Arial"/>
          <w:sz w:val="20"/>
          <w:szCs w:val="20"/>
          <w:lang w:eastAsia="en-IN"/>
        </w:rPr>
        <w:t>Palem</w:t>
      </w:r>
      <w:proofErr w:type="spellEnd"/>
      <w:r w:rsidR="00E335E7">
        <w:rPr>
          <w:rFonts w:ascii="Arial" w:eastAsia="Times New Roman" w:hAnsi="Arial" w:cs="Arial"/>
          <w:sz w:val="20"/>
          <w:szCs w:val="20"/>
          <w:lang w:eastAsia="en-IN"/>
        </w:rPr>
        <w:t xml:space="preserve"> CR</w:t>
      </w:r>
      <w:r w:rsidR="00884E3C" w:rsidRPr="00CF7777">
        <w:rPr>
          <w:rFonts w:ascii="Arial" w:eastAsia="Times New Roman" w:hAnsi="Arial" w:cs="Arial"/>
          <w:sz w:val="20"/>
          <w:szCs w:val="20"/>
          <w:lang w:eastAsia="en-IN"/>
        </w:rPr>
        <w:t xml:space="preserve"> et al., 2023</w:t>
      </w:r>
      <w:r w:rsidR="00C924D6" w:rsidRPr="00CF7777">
        <w:rPr>
          <w:rFonts w:ascii="Arial" w:eastAsia="Times New Roman" w:hAnsi="Arial" w:cs="Arial"/>
          <w:sz w:val="20"/>
          <w:szCs w:val="20"/>
          <w:lang w:eastAsia="en-IN"/>
        </w:rPr>
        <w:t>)</w:t>
      </w:r>
      <w:r w:rsidRPr="00CF7777">
        <w:rPr>
          <w:rFonts w:ascii="Arial" w:eastAsia="Times New Roman" w:hAnsi="Arial" w:cs="Arial"/>
          <w:sz w:val="20"/>
          <w:szCs w:val="20"/>
          <w:lang w:eastAsia="en-IN"/>
        </w:rPr>
        <w:t>. Angle of repose was measured using the fixed funnel method to assess powder flowability. In addition, qualitative flow behavior was evaluated by observing powder discharge characteristics through</w:t>
      </w:r>
      <w:r w:rsidRPr="00884E3C">
        <w:rPr>
          <w:rFonts w:ascii="Arial" w:hAnsi="Arial" w:cs="Arial"/>
          <w:sz w:val="20"/>
          <w:szCs w:val="20"/>
        </w:rPr>
        <w:t xml:space="preserve"> an orifice under gravity. All measurements were performed in triplicate, and mean values were reported to assess inter-grade variability and suitability for pharmaceutical processing.</w:t>
      </w:r>
    </w:p>
    <w:p w14:paraId="0B2B309C" w14:textId="77777777" w:rsidR="00C95273" w:rsidRPr="00884E3C" w:rsidRDefault="00C95273" w:rsidP="00080238">
      <w:pPr>
        <w:pStyle w:val="ListParagraph"/>
        <w:rPr>
          <w:rFonts w:ascii="Arial" w:hAnsi="Arial" w:cs="Arial"/>
          <w:sz w:val="20"/>
          <w:szCs w:val="20"/>
        </w:rPr>
      </w:pPr>
    </w:p>
    <w:p w14:paraId="12F4893F" w14:textId="77777777" w:rsidR="00FE0399" w:rsidRPr="00884E3C" w:rsidRDefault="00DE1D5C" w:rsidP="00080238">
      <w:pPr>
        <w:pStyle w:val="ListParagraph"/>
        <w:numPr>
          <w:ilvl w:val="2"/>
          <w:numId w:val="19"/>
        </w:numPr>
        <w:spacing w:after="0" w:line="240" w:lineRule="auto"/>
        <w:ind w:left="142" w:firstLine="0"/>
        <w:jc w:val="both"/>
        <w:outlineLvl w:val="0"/>
        <w:rPr>
          <w:rFonts w:ascii="Arial" w:hAnsi="Arial" w:cs="Arial"/>
          <w:sz w:val="20"/>
          <w:szCs w:val="20"/>
        </w:rPr>
      </w:pPr>
      <w:r w:rsidRPr="00884E3C">
        <w:rPr>
          <w:rFonts w:ascii="Arial" w:hAnsi="Arial" w:cs="Arial"/>
          <w:b/>
          <w:sz w:val="20"/>
          <w:szCs w:val="20"/>
        </w:rPr>
        <w:t>Water Content</w:t>
      </w:r>
      <w:r w:rsidR="00071317" w:rsidRPr="00884E3C">
        <w:rPr>
          <w:rFonts w:ascii="Arial" w:hAnsi="Arial" w:cs="Arial"/>
          <w:b/>
          <w:sz w:val="20"/>
          <w:szCs w:val="20"/>
        </w:rPr>
        <w:t xml:space="preserve"> </w:t>
      </w:r>
    </w:p>
    <w:p w14:paraId="4A41EEAF" w14:textId="77777777" w:rsidR="00FE0399" w:rsidRPr="00884E3C" w:rsidRDefault="00FE0399" w:rsidP="00080238">
      <w:pPr>
        <w:pStyle w:val="ListParagraph"/>
        <w:spacing w:after="0" w:line="240" w:lineRule="auto"/>
        <w:ind w:left="142"/>
        <w:jc w:val="both"/>
        <w:outlineLvl w:val="0"/>
        <w:rPr>
          <w:rFonts w:ascii="Arial" w:hAnsi="Arial" w:cs="Arial"/>
          <w:b/>
          <w:sz w:val="20"/>
          <w:szCs w:val="20"/>
        </w:rPr>
      </w:pPr>
    </w:p>
    <w:p w14:paraId="5E6E7D46" w14:textId="77777777" w:rsidR="00C924D6" w:rsidRPr="00884E3C" w:rsidRDefault="00DE1D5C" w:rsidP="00080238">
      <w:pPr>
        <w:pStyle w:val="ListParagraph"/>
        <w:spacing w:after="0" w:line="240" w:lineRule="auto"/>
        <w:ind w:left="142"/>
        <w:jc w:val="both"/>
        <w:outlineLvl w:val="0"/>
        <w:rPr>
          <w:rFonts w:ascii="Arial" w:hAnsi="Arial" w:cs="Arial"/>
          <w:sz w:val="20"/>
          <w:szCs w:val="20"/>
        </w:rPr>
      </w:pPr>
      <w:r w:rsidRPr="00884E3C">
        <w:rPr>
          <w:rFonts w:ascii="Arial" w:hAnsi="Arial" w:cs="Arial"/>
          <w:sz w:val="20"/>
          <w:szCs w:val="20"/>
        </w:rPr>
        <w:t xml:space="preserve">The water content of </w:t>
      </w:r>
      <w:r w:rsidR="00071317" w:rsidRPr="00884E3C">
        <w:rPr>
          <w:rFonts w:ascii="Arial" w:hAnsi="Arial" w:cs="Arial"/>
          <w:sz w:val="20"/>
          <w:szCs w:val="20"/>
        </w:rPr>
        <w:t xml:space="preserve">different grades of </w:t>
      </w:r>
      <w:r w:rsidRPr="00884E3C">
        <w:rPr>
          <w:rFonts w:ascii="Arial" w:hAnsi="Arial" w:cs="Arial"/>
          <w:sz w:val="20"/>
          <w:szCs w:val="20"/>
        </w:rPr>
        <w:t>hydroxypropyl methylcellulose and hydroxypropyl cellulose w</w:t>
      </w:r>
      <w:r w:rsidR="00071317" w:rsidRPr="00884E3C">
        <w:rPr>
          <w:rFonts w:ascii="Arial" w:hAnsi="Arial" w:cs="Arial"/>
          <w:sz w:val="20"/>
          <w:szCs w:val="20"/>
        </w:rPr>
        <w:t>ere</w:t>
      </w:r>
      <w:r w:rsidRPr="00884E3C">
        <w:rPr>
          <w:rFonts w:ascii="Arial" w:hAnsi="Arial" w:cs="Arial"/>
          <w:sz w:val="20"/>
          <w:szCs w:val="20"/>
        </w:rPr>
        <w:t xml:space="preserve"> determined using Karl Fischer titration</w:t>
      </w:r>
      <w:r w:rsidR="00DF4410" w:rsidRPr="00884E3C">
        <w:rPr>
          <w:rFonts w:ascii="Arial" w:hAnsi="Arial" w:cs="Arial"/>
          <w:sz w:val="20"/>
          <w:szCs w:val="20"/>
        </w:rPr>
        <w:t xml:space="preserve"> (</w:t>
      </w:r>
      <w:proofErr w:type="spellStart"/>
      <w:r w:rsidR="008570B8" w:rsidRPr="00884E3C">
        <w:rPr>
          <w:rFonts w:ascii="Arial" w:hAnsi="Arial" w:cs="Arial"/>
          <w:sz w:val="20"/>
          <w:szCs w:val="20"/>
        </w:rPr>
        <w:t>Tiamo</w:t>
      </w:r>
      <w:proofErr w:type="spellEnd"/>
      <w:r w:rsidR="008570B8" w:rsidRPr="00884E3C">
        <w:rPr>
          <w:rFonts w:ascii="Arial" w:hAnsi="Arial" w:cs="Arial"/>
          <w:sz w:val="20"/>
          <w:szCs w:val="20"/>
        </w:rPr>
        <w:t xml:space="preserve"> 2.5 K, </w:t>
      </w:r>
      <w:proofErr w:type="spellStart"/>
      <w:r w:rsidR="008570B8" w:rsidRPr="00884E3C">
        <w:rPr>
          <w:rFonts w:ascii="Arial" w:hAnsi="Arial" w:cs="Arial"/>
          <w:sz w:val="20"/>
          <w:szCs w:val="20"/>
        </w:rPr>
        <w:t>metrohm</w:t>
      </w:r>
      <w:proofErr w:type="spellEnd"/>
      <w:r w:rsidR="008570B8" w:rsidRPr="00884E3C">
        <w:rPr>
          <w:rFonts w:ascii="Arial" w:hAnsi="Arial" w:cs="Arial"/>
          <w:sz w:val="20"/>
          <w:szCs w:val="20"/>
        </w:rPr>
        <w:t>, 901-titrando, India</w:t>
      </w:r>
      <w:r w:rsidR="00DF4410" w:rsidRPr="00884E3C">
        <w:rPr>
          <w:rFonts w:ascii="Arial" w:hAnsi="Arial" w:cs="Arial"/>
          <w:sz w:val="20"/>
          <w:szCs w:val="20"/>
        </w:rPr>
        <w:t>)</w:t>
      </w:r>
      <w:r w:rsidRPr="00884E3C">
        <w:rPr>
          <w:rFonts w:ascii="Arial" w:hAnsi="Arial" w:cs="Arial"/>
          <w:sz w:val="20"/>
          <w:szCs w:val="20"/>
        </w:rPr>
        <w:t xml:space="preserve">. Accurately weighed samples were analyzed using a volumetric Karl Fischer apparatus calibrated prior to analysis. Measurements were performed in triplicate, and </w:t>
      </w:r>
      <w:r w:rsidR="0076619E" w:rsidRPr="00884E3C">
        <w:rPr>
          <w:rFonts w:ascii="Arial" w:hAnsi="Arial" w:cs="Arial"/>
          <w:sz w:val="20"/>
          <w:szCs w:val="20"/>
        </w:rPr>
        <w:t xml:space="preserve">mean </w:t>
      </w:r>
      <w:r w:rsidRPr="00884E3C">
        <w:rPr>
          <w:rFonts w:ascii="Arial" w:hAnsi="Arial" w:cs="Arial"/>
          <w:sz w:val="20"/>
          <w:szCs w:val="20"/>
        </w:rPr>
        <w:t xml:space="preserve">results were </w:t>
      </w:r>
      <w:r w:rsidR="0076619E" w:rsidRPr="00884E3C">
        <w:rPr>
          <w:rFonts w:ascii="Arial" w:hAnsi="Arial" w:cs="Arial"/>
          <w:sz w:val="20"/>
          <w:szCs w:val="20"/>
        </w:rPr>
        <w:t>p</w:t>
      </w:r>
      <w:r w:rsidR="00DF4410" w:rsidRPr="00884E3C">
        <w:rPr>
          <w:rFonts w:ascii="Arial" w:hAnsi="Arial" w:cs="Arial"/>
          <w:sz w:val="20"/>
          <w:szCs w:val="20"/>
        </w:rPr>
        <w:t>resented</w:t>
      </w:r>
      <w:r w:rsidRPr="00884E3C">
        <w:rPr>
          <w:rFonts w:ascii="Arial" w:hAnsi="Arial" w:cs="Arial"/>
          <w:sz w:val="20"/>
          <w:szCs w:val="20"/>
        </w:rPr>
        <w:t xml:space="preserve"> as percentage w/w.</w:t>
      </w:r>
    </w:p>
    <w:p w14:paraId="4FC8CE21" w14:textId="77777777" w:rsidR="00C95273" w:rsidRPr="00884E3C" w:rsidRDefault="00C95273" w:rsidP="00080238">
      <w:pPr>
        <w:spacing w:after="0" w:line="240" w:lineRule="auto"/>
        <w:jc w:val="both"/>
        <w:outlineLvl w:val="0"/>
        <w:rPr>
          <w:rFonts w:ascii="Arial" w:hAnsi="Arial" w:cs="Arial"/>
          <w:sz w:val="20"/>
          <w:szCs w:val="20"/>
        </w:rPr>
      </w:pPr>
    </w:p>
    <w:p w14:paraId="6598B0D0" w14:textId="77777777" w:rsidR="00FE0399" w:rsidRPr="00884E3C" w:rsidRDefault="00DE1D5C" w:rsidP="00080238">
      <w:pPr>
        <w:pStyle w:val="ListParagraph"/>
        <w:numPr>
          <w:ilvl w:val="2"/>
          <w:numId w:val="19"/>
        </w:numPr>
        <w:spacing w:after="0" w:line="240" w:lineRule="auto"/>
        <w:ind w:left="142" w:firstLine="0"/>
        <w:jc w:val="both"/>
        <w:outlineLvl w:val="0"/>
        <w:rPr>
          <w:rFonts w:ascii="Arial" w:hAnsi="Arial" w:cs="Arial"/>
          <w:b/>
          <w:sz w:val="20"/>
          <w:szCs w:val="20"/>
        </w:rPr>
      </w:pPr>
      <w:r w:rsidRPr="00884E3C">
        <w:rPr>
          <w:rFonts w:ascii="Arial" w:hAnsi="Arial" w:cs="Arial"/>
          <w:b/>
          <w:sz w:val="20"/>
          <w:szCs w:val="20"/>
        </w:rPr>
        <w:t>pH of Polymer Solutions</w:t>
      </w:r>
    </w:p>
    <w:p w14:paraId="2DC3F9D3" w14:textId="77777777" w:rsidR="00FE0399" w:rsidRPr="00884E3C" w:rsidRDefault="00FE0399" w:rsidP="00080238">
      <w:pPr>
        <w:pStyle w:val="ListParagraph"/>
        <w:spacing w:after="0" w:line="240" w:lineRule="auto"/>
        <w:ind w:left="142"/>
        <w:jc w:val="both"/>
        <w:outlineLvl w:val="0"/>
        <w:rPr>
          <w:rFonts w:ascii="Arial" w:hAnsi="Arial" w:cs="Arial"/>
          <w:b/>
          <w:sz w:val="20"/>
          <w:szCs w:val="20"/>
        </w:rPr>
      </w:pPr>
    </w:p>
    <w:p w14:paraId="5253DA75" w14:textId="77777777" w:rsidR="00DE1D5C" w:rsidRPr="00884E3C" w:rsidRDefault="00DE1D5C" w:rsidP="00080238">
      <w:pPr>
        <w:pStyle w:val="ListParagraph"/>
        <w:spacing w:after="0" w:line="240" w:lineRule="auto"/>
        <w:ind w:left="142"/>
        <w:jc w:val="both"/>
        <w:outlineLvl w:val="0"/>
        <w:rPr>
          <w:rFonts w:ascii="Arial" w:hAnsi="Arial" w:cs="Arial"/>
          <w:b/>
          <w:sz w:val="20"/>
          <w:szCs w:val="20"/>
        </w:rPr>
      </w:pPr>
      <w:r w:rsidRPr="00884E3C">
        <w:rPr>
          <w:rFonts w:ascii="Arial" w:hAnsi="Arial" w:cs="Arial"/>
          <w:sz w:val="20"/>
          <w:szCs w:val="20"/>
        </w:rPr>
        <w:t>The pH of polymer solutions was measured by dissolving a defined concentration of HPMC or HPC in purified water under controlled conditions. The pH was measured using a calibrated digital pH meter</w:t>
      </w:r>
      <w:r w:rsidR="00DF4410" w:rsidRPr="00884E3C">
        <w:rPr>
          <w:rFonts w:ascii="Arial" w:hAnsi="Arial" w:cs="Arial"/>
          <w:sz w:val="20"/>
          <w:szCs w:val="20"/>
        </w:rPr>
        <w:t xml:space="preserve"> (</w:t>
      </w:r>
      <w:proofErr w:type="spellStart"/>
      <w:r w:rsidR="008570B8" w:rsidRPr="00884E3C">
        <w:rPr>
          <w:rFonts w:ascii="Arial" w:hAnsi="Arial" w:cs="Arial"/>
          <w:sz w:val="20"/>
          <w:szCs w:val="20"/>
        </w:rPr>
        <w:t>Polmon</w:t>
      </w:r>
      <w:proofErr w:type="spellEnd"/>
      <w:r w:rsidR="008570B8" w:rsidRPr="00884E3C">
        <w:rPr>
          <w:rFonts w:ascii="Arial" w:hAnsi="Arial" w:cs="Arial"/>
          <w:sz w:val="20"/>
          <w:szCs w:val="20"/>
        </w:rPr>
        <w:t xml:space="preserve"> Instruments, LP139SA, India</w:t>
      </w:r>
      <w:r w:rsidR="00DF4410" w:rsidRPr="00884E3C">
        <w:rPr>
          <w:rFonts w:ascii="Arial" w:hAnsi="Arial" w:cs="Arial"/>
          <w:sz w:val="20"/>
          <w:szCs w:val="20"/>
        </w:rPr>
        <w:t xml:space="preserve">) </w:t>
      </w:r>
      <w:r w:rsidRPr="00884E3C">
        <w:rPr>
          <w:rFonts w:ascii="Arial" w:hAnsi="Arial" w:cs="Arial"/>
          <w:sz w:val="20"/>
          <w:szCs w:val="20"/>
        </w:rPr>
        <w:t>at room temperature. This parameter was assessed due to its influence on polymer hydration, drug stability, and compatibility in formulation systems.</w:t>
      </w:r>
    </w:p>
    <w:p w14:paraId="75F0AD4B" w14:textId="77777777" w:rsidR="00C95273" w:rsidRPr="00884E3C" w:rsidRDefault="00C95273" w:rsidP="00080238">
      <w:pPr>
        <w:spacing w:after="0" w:line="240" w:lineRule="auto"/>
        <w:jc w:val="both"/>
        <w:outlineLvl w:val="0"/>
        <w:rPr>
          <w:rFonts w:ascii="Arial" w:hAnsi="Arial" w:cs="Arial"/>
          <w:b/>
          <w:sz w:val="20"/>
          <w:szCs w:val="20"/>
        </w:rPr>
      </w:pPr>
    </w:p>
    <w:p w14:paraId="2D34FA94" w14:textId="77777777" w:rsidR="00FE0399" w:rsidRPr="00884E3C" w:rsidRDefault="00DE1D5C" w:rsidP="00080238">
      <w:pPr>
        <w:pStyle w:val="ListParagraph"/>
        <w:numPr>
          <w:ilvl w:val="2"/>
          <w:numId w:val="19"/>
        </w:numPr>
        <w:spacing w:after="0" w:line="240" w:lineRule="auto"/>
        <w:ind w:left="142" w:firstLine="0"/>
        <w:jc w:val="both"/>
        <w:outlineLvl w:val="0"/>
        <w:rPr>
          <w:rFonts w:ascii="Arial" w:hAnsi="Arial" w:cs="Arial"/>
          <w:b/>
          <w:sz w:val="20"/>
          <w:szCs w:val="20"/>
        </w:rPr>
      </w:pPr>
      <w:r w:rsidRPr="00884E3C">
        <w:rPr>
          <w:rFonts w:ascii="Arial" w:hAnsi="Arial" w:cs="Arial"/>
          <w:b/>
          <w:sz w:val="20"/>
          <w:szCs w:val="20"/>
        </w:rPr>
        <w:t>Loss on Drying (LOD)</w:t>
      </w:r>
    </w:p>
    <w:p w14:paraId="647DBBA2" w14:textId="77777777" w:rsidR="00FE0399" w:rsidRPr="00884E3C" w:rsidRDefault="00FE0399" w:rsidP="00080238">
      <w:pPr>
        <w:spacing w:after="0" w:line="240" w:lineRule="auto"/>
        <w:ind w:left="142"/>
        <w:jc w:val="both"/>
        <w:outlineLvl w:val="0"/>
        <w:rPr>
          <w:rFonts w:ascii="Arial" w:hAnsi="Arial" w:cs="Arial"/>
          <w:sz w:val="20"/>
          <w:szCs w:val="20"/>
        </w:rPr>
      </w:pPr>
    </w:p>
    <w:p w14:paraId="469414B6" w14:textId="77777777" w:rsidR="00DE1D5C" w:rsidRPr="00884E3C" w:rsidRDefault="00DE1D5C" w:rsidP="00080238">
      <w:pPr>
        <w:spacing w:after="0" w:line="240" w:lineRule="auto"/>
        <w:ind w:left="142"/>
        <w:jc w:val="both"/>
        <w:outlineLvl w:val="0"/>
        <w:rPr>
          <w:rFonts w:ascii="Arial" w:hAnsi="Arial" w:cs="Arial"/>
          <w:b/>
          <w:sz w:val="20"/>
          <w:szCs w:val="20"/>
        </w:rPr>
      </w:pPr>
      <w:r w:rsidRPr="00884E3C">
        <w:rPr>
          <w:rFonts w:ascii="Arial" w:hAnsi="Arial" w:cs="Arial"/>
          <w:sz w:val="20"/>
          <w:szCs w:val="20"/>
        </w:rPr>
        <w:t>Loss on drying was determined using a halogen moisture analyzer or hot air oven method</w:t>
      </w:r>
      <w:r w:rsidR="00DF4410" w:rsidRPr="00884E3C">
        <w:rPr>
          <w:rFonts w:ascii="Arial" w:hAnsi="Arial" w:cs="Arial"/>
          <w:sz w:val="20"/>
          <w:szCs w:val="20"/>
        </w:rPr>
        <w:t xml:space="preserve"> (</w:t>
      </w:r>
      <w:r w:rsidR="008570B8" w:rsidRPr="00884E3C">
        <w:rPr>
          <w:rFonts w:ascii="Arial" w:hAnsi="Arial" w:cs="Arial"/>
          <w:sz w:val="20"/>
          <w:szCs w:val="20"/>
        </w:rPr>
        <w:t>Sartorius, MA160-1, Germany</w:t>
      </w:r>
      <w:r w:rsidR="00DF4410" w:rsidRPr="00884E3C">
        <w:rPr>
          <w:rFonts w:ascii="Arial" w:hAnsi="Arial" w:cs="Arial"/>
          <w:sz w:val="20"/>
          <w:szCs w:val="20"/>
        </w:rPr>
        <w:t>)</w:t>
      </w:r>
      <w:r w:rsidRPr="00884E3C">
        <w:rPr>
          <w:rFonts w:ascii="Arial" w:hAnsi="Arial" w:cs="Arial"/>
          <w:sz w:val="20"/>
          <w:szCs w:val="20"/>
        </w:rPr>
        <w:t xml:space="preserve"> in accordance with </w:t>
      </w:r>
      <w:r w:rsidR="0026505E" w:rsidRPr="00884E3C">
        <w:rPr>
          <w:rFonts w:ascii="Arial" w:hAnsi="Arial" w:cs="Arial"/>
          <w:sz w:val="20"/>
          <w:szCs w:val="20"/>
        </w:rPr>
        <w:t>Pharmacopeial</w:t>
      </w:r>
      <w:r w:rsidRPr="00884E3C">
        <w:rPr>
          <w:rFonts w:ascii="Arial" w:hAnsi="Arial" w:cs="Arial"/>
          <w:sz w:val="20"/>
          <w:szCs w:val="20"/>
        </w:rPr>
        <w:t xml:space="preserve"> procedures. Samples were dried at a specified temperature until constant weight was achieved, and LOD values were expressed as percentage weight loss. This parameter served as a supplementary measure of moisture and volatile content.</w:t>
      </w:r>
    </w:p>
    <w:p w14:paraId="39EB624F" w14:textId="77777777" w:rsidR="00C95273" w:rsidRPr="00884E3C" w:rsidRDefault="00C95273" w:rsidP="00080238">
      <w:pPr>
        <w:spacing w:after="0" w:line="240" w:lineRule="auto"/>
        <w:jc w:val="both"/>
        <w:outlineLvl w:val="0"/>
        <w:rPr>
          <w:rFonts w:ascii="Arial" w:hAnsi="Arial" w:cs="Arial"/>
          <w:b/>
          <w:sz w:val="20"/>
          <w:szCs w:val="20"/>
        </w:rPr>
      </w:pPr>
    </w:p>
    <w:p w14:paraId="16274286" w14:textId="77777777" w:rsidR="00FE0399" w:rsidRPr="00884E3C" w:rsidRDefault="00DE1D5C" w:rsidP="00080238">
      <w:pPr>
        <w:pStyle w:val="ListParagraph"/>
        <w:numPr>
          <w:ilvl w:val="2"/>
          <w:numId w:val="19"/>
        </w:numPr>
        <w:spacing w:after="0" w:line="240" w:lineRule="auto"/>
        <w:ind w:left="142" w:firstLine="0"/>
        <w:jc w:val="both"/>
        <w:outlineLvl w:val="0"/>
        <w:rPr>
          <w:rFonts w:ascii="Arial" w:hAnsi="Arial" w:cs="Arial"/>
          <w:b/>
          <w:sz w:val="20"/>
          <w:szCs w:val="20"/>
        </w:rPr>
      </w:pPr>
      <w:r w:rsidRPr="00884E3C">
        <w:rPr>
          <w:rFonts w:ascii="Arial" w:hAnsi="Arial" w:cs="Arial"/>
          <w:b/>
          <w:sz w:val="20"/>
          <w:szCs w:val="20"/>
        </w:rPr>
        <w:t>Thermal Behavior</w:t>
      </w:r>
    </w:p>
    <w:p w14:paraId="7B2FCFA4" w14:textId="77777777" w:rsidR="00FE0399" w:rsidRPr="00884E3C" w:rsidRDefault="00FE0399" w:rsidP="00080238">
      <w:pPr>
        <w:pStyle w:val="ListParagraph"/>
        <w:spacing w:after="0" w:line="240" w:lineRule="auto"/>
        <w:ind w:left="142"/>
        <w:jc w:val="both"/>
        <w:outlineLvl w:val="0"/>
        <w:rPr>
          <w:rFonts w:ascii="Arial" w:hAnsi="Arial" w:cs="Arial"/>
          <w:b/>
          <w:sz w:val="20"/>
          <w:szCs w:val="20"/>
        </w:rPr>
      </w:pPr>
    </w:p>
    <w:p w14:paraId="743DB2EC" w14:textId="77777777" w:rsidR="00DE1D5C" w:rsidRPr="00884E3C" w:rsidRDefault="00DE1D5C" w:rsidP="00080238">
      <w:pPr>
        <w:pStyle w:val="ListParagraph"/>
        <w:spacing w:after="0" w:line="240" w:lineRule="auto"/>
        <w:ind w:left="142"/>
        <w:jc w:val="both"/>
        <w:outlineLvl w:val="0"/>
        <w:rPr>
          <w:rFonts w:ascii="Arial" w:hAnsi="Arial" w:cs="Arial"/>
          <w:b/>
          <w:sz w:val="20"/>
          <w:szCs w:val="20"/>
        </w:rPr>
      </w:pPr>
      <w:r w:rsidRPr="00884E3C">
        <w:rPr>
          <w:rFonts w:ascii="Arial" w:hAnsi="Arial" w:cs="Arial"/>
          <w:sz w:val="20"/>
          <w:szCs w:val="20"/>
        </w:rPr>
        <w:t>Thermal properties of HPMC and HPC were characterized using differential scanning calorimetry (DSC). Samples were heated under a nitrogen atmosphere at a controlled rate to evaluate thermal transitions such as glass transition temperature and gelation-related endotherms. Thermal analysis provided insight into polymer stability and thermo</w:t>
      </w:r>
      <w:r w:rsidR="00180B87" w:rsidRPr="00884E3C">
        <w:rPr>
          <w:rFonts w:ascii="Arial" w:hAnsi="Arial" w:cs="Arial"/>
          <w:sz w:val="20"/>
          <w:szCs w:val="20"/>
        </w:rPr>
        <w:t>-</w:t>
      </w:r>
      <w:r w:rsidRPr="00884E3C">
        <w:rPr>
          <w:rFonts w:ascii="Arial" w:hAnsi="Arial" w:cs="Arial"/>
          <w:sz w:val="20"/>
          <w:szCs w:val="20"/>
        </w:rPr>
        <w:t>responsive behavior.</w:t>
      </w:r>
    </w:p>
    <w:p w14:paraId="7E05FABF" w14:textId="77777777" w:rsidR="00C95273" w:rsidRPr="00884E3C" w:rsidRDefault="00C95273" w:rsidP="00080238">
      <w:pPr>
        <w:spacing w:after="0" w:line="240" w:lineRule="auto"/>
        <w:jc w:val="both"/>
        <w:outlineLvl w:val="0"/>
        <w:rPr>
          <w:rFonts w:ascii="Arial" w:hAnsi="Arial" w:cs="Arial"/>
          <w:b/>
          <w:sz w:val="20"/>
          <w:szCs w:val="20"/>
        </w:rPr>
      </w:pPr>
    </w:p>
    <w:p w14:paraId="46716AB2" w14:textId="77777777" w:rsidR="007F07CF" w:rsidRPr="00884E3C" w:rsidRDefault="00CE4C03" w:rsidP="00080238">
      <w:pPr>
        <w:pStyle w:val="ListParagraph"/>
        <w:numPr>
          <w:ilvl w:val="0"/>
          <w:numId w:val="18"/>
        </w:numPr>
        <w:spacing w:after="0" w:line="240" w:lineRule="auto"/>
        <w:jc w:val="both"/>
        <w:outlineLvl w:val="0"/>
        <w:rPr>
          <w:rFonts w:ascii="Arial" w:hAnsi="Arial" w:cs="Arial"/>
          <w:b/>
          <w:sz w:val="20"/>
          <w:szCs w:val="20"/>
        </w:rPr>
      </w:pPr>
      <w:r w:rsidRPr="00651A2B">
        <w:rPr>
          <w:rFonts w:ascii="Arial" w:hAnsi="Arial" w:cs="Arial"/>
          <w:b/>
          <w:sz w:val="20"/>
          <w:szCs w:val="20"/>
        </w:rPr>
        <w:t>RHEOLOGICAL</w:t>
      </w:r>
      <w:r w:rsidRPr="00884E3C">
        <w:rPr>
          <w:rFonts w:ascii="Arial" w:hAnsi="Arial" w:cs="Arial"/>
          <w:b/>
          <w:sz w:val="20"/>
          <w:szCs w:val="20"/>
        </w:rPr>
        <w:t xml:space="preserve"> MEASUREMENTS</w:t>
      </w:r>
    </w:p>
    <w:p w14:paraId="08170B81" w14:textId="77777777" w:rsidR="00C95273" w:rsidRPr="00884E3C" w:rsidRDefault="00C95273" w:rsidP="00080238">
      <w:pPr>
        <w:spacing w:after="0" w:line="240" w:lineRule="auto"/>
        <w:ind w:left="142"/>
        <w:jc w:val="both"/>
        <w:outlineLvl w:val="0"/>
        <w:rPr>
          <w:rFonts w:ascii="Arial" w:hAnsi="Arial" w:cs="Arial"/>
          <w:b/>
          <w:sz w:val="20"/>
          <w:szCs w:val="20"/>
        </w:rPr>
      </w:pPr>
    </w:p>
    <w:p w14:paraId="7721095C" w14:textId="77777777" w:rsidR="009F7C7F" w:rsidRPr="00884E3C" w:rsidRDefault="007F07CF"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lastRenderedPageBreak/>
        <w:t>Rheological characterization of hydroxypropyl methylcellulose and hydroxypropyl cellulose solutions was performed using a controlled-stress rotational rheometer (DHR-1, TA Instruments, USA). All measurements were conducted under controlled temperature conditions, and data acquisition was performed using the manufacturer’s software</w:t>
      </w:r>
      <w:r w:rsidR="00D9102E" w:rsidRPr="00884E3C">
        <w:rPr>
          <w:rFonts w:ascii="Arial" w:hAnsi="Arial" w:cs="Arial"/>
          <w:sz w:val="20"/>
          <w:szCs w:val="20"/>
        </w:rPr>
        <w:t xml:space="preserve"> </w:t>
      </w:r>
      <w:r w:rsidR="00D9102E" w:rsidRPr="00CF7777">
        <w:rPr>
          <w:rFonts w:ascii="Arial" w:hAnsi="Arial" w:cs="Arial"/>
          <w:sz w:val="20"/>
          <w:szCs w:val="20"/>
        </w:rPr>
        <w:t>(</w:t>
      </w:r>
      <w:r w:rsidR="00884E3C" w:rsidRPr="00CF7777">
        <w:rPr>
          <w:rFonts w:ascii="Arial" w:hAnsi="Arial" w:cs="Arial"/>
          <w:sz w:val="20"/>
          <w:szCs w:val="20"/>
        </w:rPr>
        <w:t>Than</w:t>
      </w:r>
      <w:r w:rsidR="00E335E7">
        <w:rPr>
          <w:rFonts w:ascii="Arial" w:hAnsi="Arial" w:cs="Arial"/>
          <w:sz w:val="20"/>
          <w:szCs w:val="20"/>
        </w:rPr>
        <w:t xml:space="preserve"> YM</w:t>
      </w:r>
      <w:r w:rsidR="00884E3C" w:rsidRPr="00CF7777">
        <w:rPr>
          <w:rFonts w:ascii="Arial" w:hAnsi="Arial" w:cs="Arial"/>
          <w:sz w:val="20"/>
          <w:szCs w:val="20"/>
        </w:rPr>
        <w:t xml:space="preserve"> et al., 2021</w:t>
      </w:r>
      <w:r w:rsidR="00D9102E" w:rsidRPr="00CF7777">
        <w:rPr>
          <w:rFonts w:ascii="Arial" w:hAnsi="Arial" w:cs="Arial"/>
          <w:sz w:val="20"/>
          <w:szCs w:val="20"/>
        </w:rPr>
        <w:t>)</w:t>
      </w:r>
      <w:r w:rsidRPr="00CF7777">
        <w:rPr>
          <w:rFonts w:ascii="Arial" w:hAnsi="Arial" w:cs="Arial"/>
          <w:sz w:val="20"/>
          <w:szCs w:val="20"/>
        </w:rPr>
        <w:t>.</w:t>
      </w:r>
      <w:r w:rsidR="00FF6248">
        <w:rPr>
          <w:rFonts w:ascii="Arial" w:hAnsi="Arial" w:cs="Arial"/>
          <w:sz w:val="20"/>
          <w:szCs w:val="20"/>
        </w:rPr>
        <w:t xml:space="preserve"> </w:t>
      </w:r>
    </w:p>
    <w:p w14:paraId="497102C9" w14:textId="77777777" w:rsidR="00C95273" w:rsidRPr="00884E3C" w:rsidRDefault="00C95273" w:rsidP="00080238">
      <w:pPr>
        <w:pStyle w:val="NormalWeb"/>
        <w:spacing w:before="0" w:beforeAutospacing="0" w:after="0" w:afterAutospacing="0"/>
        <w:jc w:val="both"/>
        <w:rPr>
          <w:rFonts w:ascii="Arial" w:hAnsi="Arial" w:cs="Arial"/>
          <w:sz w:val="20"/>
          <w:szCs w:val="20"/>
        </w:rPr>
      </w:pPr>
    </w:p>
    <w:p w14:paraId="0F84B64F" w14:textId="77777777" w:rsidR="00FE0399" w:rsidRPr="00884E3C" w:rsidRDefault="007F07CF" w:rsidP="00080238">
      <w:pPr>
        <w:pStyle w:val="ListParagraph"/>
        <w:numPr>
          <w:ilvl w:val="1"/>
          <w:numId w:val="20"/>
        </w:numPr>
        <w:tabs>
          <w:tab w:val="left" w:pos="567"/>
        </w:tabs>
        <w:spacing w:after="0" w:line="240" w:lineRule="auto"/>
        <w:ind w:left="142" w:firstLine="0"/>
        <w:jc w:val="both"/>
        <w:outlineLvl w:val="0"/>
        <w:rPr>
          <w:rFonts w:ascii="Arial" w:hAnsi="Arial" w:cs="Arial"/>
          <w:sz w:val="20"/>
          <w:szCs w:val="20"/>
        </w:rPr>
      </w:pPr>
      <w:r w:rsidRPr="00884E3C">
        <w:rPr>
          <w:rFonts w:ascii="Arial" w:hAnsi="Arial" w:cs="Arial"/>
          <w:b/>
          <w:sz w:val="20"/>
          <w:szCs w:val="20"/>
        </w:rPr>
        <w:t>Sample Preparation</w:t>
      </w:r>
      <w:r w:rsidR="002315FB" w:rsidRPr="00884E3C">
        <w:rPr>
          <w:rFonts w:ascii="Arial" w:hAnsi="Arial" w:cs="Arial"/>
          <w:b/>
          <w:sz w:val="20"/>
          <w:szCs w:val="20"/>
        </w:rPr>
        <w:t xml:space="preserve"> </w:t>
      </w:r>
    </w:p>
    <w:p w14:paraId="7152ADA4" w14:textId="77777777" w:rsidR="00FE0399" w:rsidRPr="00884E3C" w:rsidRDefault="00FE0399" w:rsidP="00080238">
      <w:pPr>
        <w:pStyle w:val="ListParagraph"/>
        <w:tabs>
          <w:tab w:val="left" w:pos="567"/>
        </w:tabs>
        <w:spacing w:after="0" w:line="240" w:lineRule="auto"/>
        <w:ind w:left="142"/>
        <w:jc w:val="both"/>
        <w:outlineLvl w:val="0"/>
        <w:rPr>
          <w:rFonts w:ascii="Arial" w:hAnsi="Arial" w:cs="Arial"/>
          <w:b/>
          <w:sz w:val="20"/>
          <w:szCs w:val="20"/>
        </w:rPr>
      </w:pPr>
    </w:p>
    <w:p w14:paraId="0BDC6E95" w14:textId="77777777" w:rsidR="009F7C7F" w:rsidRPr="00884E3C" w:rsidRDefault="007F07CF" w:rsidP="00080238">
      <w:pPr>
        <w:pStyle w:val="ListParagraph"/>
        <w:tabs>
          <w:tab w:val="left" w:pos="567"/>
        </w:tabs>
        <w:spacing w:after="0" w:line="240" w:lineRule="auto"/>
        <w:ind w:left="142"/>
        <w:jc w:val="both"/>
        <w:outlineLvl w:val="0"/>
        <w:rPr>
          <w:rFonts w:ascii="Arial" w:hAnsi="Arial" w:cs="Arial"/>
          <w:sz w:val="20"/>
          <w:szCs w:val="20"/>
        </w:rPr>
      </w:pPr>
      <w:r w:rsidRPr="00884E3C">
        <w:rPr>
          <w:rFonts w:ascii="Arial" w:hAnsi="Arial" w:cs="Arial"/>
          <w:sz w:val="20"/>
          <w:szCs w:val="20"/>
        </w:rPr>
        <w:t>Polymer solutions were prepared by gradually dispersing the required quantity of polymer into purified water at room temperature under continuous agitation to prevent agglomeration and lump formation. The dispersions were allowed to hydrate completely for 12–24 h</w:t>
      </w:r>
      <w:r w:rsidR="0026505E" w:rsidRPr="00884E3C">
        <w:rPr>
          <w:rFonts w:ascii="Arial" w:hAnsi="Arial" w:cs="Arial"/>
          <w:sz w:val="20"/>
          <w:szCs w:val="20"/>
        </w:rPr>
        <w:t>r</w:t>
      </w:r>
      <w:r w:rsidRPr="00884E3C">
        <w:rPr>
          <w:rFonts w:ascii="Arial" w:hAnsi="Arial" w:cs="Arial"/>
          <w:sz w:val="20"/>
          <w:szCs w:val="20"/>
        </w:rPr>
        <w:t xml:space="preserve"> at room temperature to ensure uniform polymer solvation and structural equilibration. Prior to analysis, samples were gently degassed either by resting or under mild vacuum to eliminate entrapped air bubbles that could interfere with rheological measurements.</w:t>
      </w:r>
    </w:p>
    <w:p w14:paraId="228B034D" w14:textId="77777777" w:rsidR="00C95273" w:rsidRPr="00884E3C" w:rsidRDefault="00C95273" w:rsidP="00080238">
      <w:pPr>
        <w:pStyle w:val="ListParagraph"/>
        <w:tabs>
          <w:tab w:val="left" w:pos="567"/>
        </w:tabs>
        <w:spacing w:after="0" w:line="240" w:lineRule="auto"/>
        <w:ind w:left="142"/>
        <w:jc w:val="both"/>
        <w:outlineLvl w:val="0"/>
        <w:rPr>
          <w:rFonts w:ascii="Arial" w:hAnsi="Arial" w:cs="Arial"/>
          <w:sz w:val="20"/>
          <w:szCs w:val="20"/>
        </w:rPr>
      </w:pPr>
    </w:p>
    <w:p w14:paraId="4A0A6B27" w14:textId="77777777" w:rsidR="00FE0399" w:rsidRPr="00884E3C" w:rsidRDefault="007F07CF" w:rsidP="00080238">
      <w:pPr>
        <w:pStyle w:val="ListParagraph"/>
        <w:numPr>
          <w:ilvl w:val="1"/>
          <w:numId w:val="20"/>
        </w:numPr>
        <w:tabs>
          <w:tab w:val="left" w:pos="567"/>
        </w:tabs>
        <w:spacing w:after="0" w:line="240" w:lineRule="auto"/>
        <w:ind w:left="142" w:firstLine="0"/>
        <w:jc w:val="both"/>
        <w:outlineLvl w:val="0"/>
        <w:rPr>
          <w:rFonts w:ascii="Arial" w:hAnsi="Arial" w:cs="Arial"/>
          <w:sz w:val="20"/>
          <w:szCs w:val="20"/>
        </w:rPr>
      </w:pPr>
      <w:r w:rsidRPr="00884E3C">
        <w:rPr>
          <w:rFonts w:ascii="Arial" w:hAnsi="Arial" w:cs="Arial"/>
          <w:b/>
          <w:sz w:val="20"/>
          <w:szCs w:val="20"/>
        </w:rPr>
        <w:t>Flow Sweep</w:t>
      </w:r>
      <w:r w:rsidR="002315FB" w:rsidRPr="00884E3C">
        <w:rPr>
          <w:rFonts w:ascii="Arial" w:hAnsi="Arial" w:cs="Arial"/>
          <w:b/>
          <w:sz w:val="20"/>
          <w:szCs w:val="20"/>
        </w:rPr>
        <w:t xml:space="preserve"> </w:t>
      </w:r>
    </w:p>
    <w:p w14:paraId="0CBD8A44" w14:textId="77777777" w:rsidR="00FE0399" w:rsidRPr="00884E3C" w:rsidRDefault="00FE0399" w:rsidP="00080238">
      <w:pPr>
        <w:pStyle w:val="ListParagraph"/>
        <w:tabs>
          <w:tab w:val="left" w:pos="567"/>
        </w:tabs>
        <w:spacing w:after="0" w:line="240" w:lineRule="auto"/>
        <w:ind w:left="142"/>
        <w:jc w:val="both"/>
        <w:outlineLvl w:val="0"/>
        <w:rPr>
          <w:rFonts w:ascii="Arial" w:hAnsi="Arial" w:cs="Arial"/>
          <w:b/>
          <w:sz w:val="20"/>
          <w:szCs w:val="20"/>
        </w:rPr>
      </w:pPr>
    </w:p>
    <w:p w14:paraId="5E6E1709" w14:textId="77777777" w:rsidR="009F7C7F" w:rsidRPr="00884E3C" w:rsidRDefault="007F07CF" w:rsidP="00080238">
      <w:pPr>
        <w:pStyle w:val="ListParagraph"/>
        <w:tabs>
          <w:tab w:val="left" w:pos="567"/>
        </w:tabs>
        <w:spacing w:after="0" w:line="240" w:lineRule="auto"/>
        <w:ind w:left="142"/>
        <w:jc w:val="both"/>
        <w:outlineLvl w:val="0"/>
        <w:rPr>
          <w:rFonts w:ascii="Arial" w:hAnsi="Arial" w:cs="Arial"/>
          <w:sz w:val="20"/>
          <w:szCs w:val="20"/>
        </w:rPr>
      </w:pPr>
      <w:r w:rsidRPr="00884E3C">
        <w:rPr>
          <w:rFonts w:ascii="Arial" w:hAnsi="Arial" w:cs="Arial"/>
          <w:sz w:val="20"/>
          <w:szCs w:val="20"/>
        </w:rPr>
        <w:t>Steady shear measurements were conducted in flow sweep mode to evaluate apparent viscosity as a function of shear rate. Samples were subjected to an increasing shear rate ramp over a predefined range, and the resulting viscosity profiles were recorded to assess flow behavior and shear-thinning characteristics of the polymer solutions.</w:t>
      </w:r>
    </w:p>
    <w:p w14:paraId="4076A749" w14:textId="77777777" w:rsidR="00C95273" w:rsidRPr="00884E3C" w:rsidRDefault="00C95273" w:rsidP="00080238">
      <w:pPr>
        <w:pStyle w:val="ListParagraph"/>
        <w:rPr>
          <w:rFonts w:ascii="Arial" w:hAnsi="Arial" w:cs="Arial"/>
          <w:sz w:val="20"/>
          <w:szCs w:val="20"/>
        </w:rPr>
      </w:pPr>
    </w:p>
    <w:p w14:paraId="22FC6E64" w14:textId="77777777" w:rsidR="00FE0399" w:rsidRPr="00884E3C" w:rsidRDefault="007F07CF" w:rsidP="00080238">
      <w:pPr>
        <w:pStyle w:val="ListParagraph"/>
        <w:numPr>
          <w:ilvl w:val="1"/>
          <w:numId w:val="20"/>
        </w:numPr>
        <w:tabs>
          <w:tab w:val="left" w:pos="567"/>
        </w:tabs>
        <w:spacing w:after="0" w:line="240" w:lineRule="auto"/>
        <w:ind w:left="142" w:firstLine="0"/>
        <w:jc w:val="both"/>
        <w:outlineLvl w:val="0"/>
        <w:rPr>
          <w:rFonts w:ascii="Arial" w:hAnsi="Arial" w:cs="Arial"/>
          <w:sz w:val="20"/>
          <w:szCs w:val="20"/>
        </w:rPr>
      </w:pPr>
      <w:r w:rsidRPr="00884E3C">
        <w:rPr>
          <w:rFonts w:ascii="Arial" w:hAnsi="Arial" w:cs="Arial"/>
          <w:b/>
          <w:sz w:val="20"/>
          <w:szCs w:val="20"/>
        </w:rPr>
        <w:t>Amplitude Sweep</w:t>
      </w:r>
    </w:p>
    <w:p w14:paraId="4923C81F" w14:textId="77777777" w:rsidR="00FE0399" w:rsidRPr="00884E3C" w:rsidRDefault="00FE0399" w:rsidP="00080238">
      <w:pPr>
        <w:pStyle w:val="ListParagraph"/>
        <w:tabs>
          <w:tab w:val="left" w:pos="567"/>
        </w:tabs>
        <w:spacing w:after="0" w:line="240" w:lineRule="auto"/>
        <w:ind w:left="142"/>
        <w:jc w:val="both"/>
        <w:outlineLvl w:val="0"/>
        <w:rPr>
          <w:rFonts w:ascii="Arial" w:hAnsi="Arial" w:cs="Arial"/>
          <w:b/>
          <w:sz w:val="20"/>
          <w:szCs w:val="20"/>
        </w:rPr>
      </w:pPr>
    </w:p>
    <w:p w14:paraId="7CC12646" w14:textId="77777777" w:rsidR="009F7C7F" w:rsidRPr="00884E3C" w:rsidRDefault="007F07CF" w:rsidP="00080238">
      <w:pPr>
        <w:pStyle w:val="ListParagraph"/>
        <w:tabs>
          <w:tab w:val="left" w:pos="567"/>
        </w:tabs>
        <w:spacing w:after="0" w:line="240" w:lineRule="auto"/>
        <w:ind w:left="142"/>
        <w:jc w:val="both"/>
        <w:outlineLvl w:val="0"/>
        <w:rPr>
          <w:rFonts w:ascii="Arial" w:hAnsi="Arial" w:cs="Arial"/>
          <w:sz w:val="20"/>
          <w:szCs w:val="20"/>
        </w:rPr>
      </w:pPr>
      <w:r w:rsidRPr="00884E3C">
        <w:rPr>
          <w:rFonts w:ascii="Arial" w:hAnsi="Arial" w:cs="Arial"/>
          <w:sz w:val="20"/>
          <w:szCs w:val="20"/>
        </w:rPr>
        <w:t>Oscillatory amplitude sweep tests were performed at a fixed angular frequency to determine the linear viscoelastic region (LVR). Storage modulus (G′) and loss modulus (G″) were measured as a function of increasing strain amplitude, and the LVR was identified as the strain range over which both moduli remained independent of applied strain, indicating preservation of the polymer microstructure.</w:t>
      </w:r>
    </w:p>
    <w:p w14:paraId="18E6438B" w14:textId="77777777" w:rsidR="00C95273" w:rsidRPr="00884E3C" w:rsidRDefault="00C95273" w:rsidP="00080238">
      <w:pPr>
        <w:pStyle w:val="ListParagraph"/>
        <w:rPr>
          <w:rFonts w:ascii="Arial" w:hAnsi="Arial" w:cs="Arial"/>
          <w:sz w:val="20"/>
          <w:szCs w:val="20"/>
        </w:rPr>
      </w:pPr>
    </w:p>
    <w:p w14:paraId="54B9E591" w14:textId="77777777" w:rsidR="00FE0399" w:rsidRPr="00884E3C" w:rsidRDefault="007F07CF" w:rsidP="00080238">
      <w:pPr>
        <w:pStyle w:val="ListParagraph"/>
        <w:numPr>
          <w:ilvl w:val="1"/>
          <w:numId w:val="20"/>
        </w:numPr>
        <w:tabs>
          <w:tab w:val="left" w:pos="567"/>
        </w:tabs>
        <w:spacing w:after="0" w:line="240" w:lineRule="auto"/>
        <w:ind w:left="142" w:firstLine="0"/>
        <w:jc w:val="both"/>
        <w:outlineLvl w:val="0"/>
        <w:rPr>
          <w:rFonts w:ascii="Arial" w:hAnsi="Arial" w:cs="Arial"/>
          <w:sz w:val="20"/>
          <w:szCs w:val="20"/>
        </w:rPr>
      </w:pPr>
      <w:r w:rsidRPr="00884E3C">
        <w:rPr>
          <w:rFonts w:ascii="Arial" w:hAnsi="Arial" w:cs="Arial"/>
          <w:b/>
          <w:sz w:val="20"/>
          <w:szCs w:val="20"/>
        </w:rPr>
        <w:t>Frequency Sweep</w:t>
      </w:r>
    </w:p>
    <w:p w14:paraId="7AA8BCBF" w14:textId="77777777" w:rsidR="00FE0399" w:rsidRPr="00884E3C" w:rsidRDefault="00FE0399" w:rsidP="00080238">
      <w:pPr>
        <w:pStyle w:val="ListParagraph"/>
        <w:tabs>
          <w:tab w:val="left" w:pos="567"/>
        </w:tabs>
        <w:spacing w:after="0" w:line="240" w:lineRule="auto"/>
        <w:ind w:left="142"/>
        <w:jc w:val="both"/>
        <w:outlineLvl w:val="0"/>
        <w:rPr>
          <w:rFonts w:ascii="Arial" w:hAnsi="Arial" w:cs="Arial"/>
          <w:sz w:val="20"/>
          <w:szCs w:val="20"/>
        </w:rPr>
      </w:pPr>
    </w:p>
    <w:p w14:paraId="365DD9C2" w14:textId="77777777" w:rsidR="009F7C7F" w:rsidRPr="00CF7777" w:rsidRDefault="007F07CF" w:rsidP="00080238">
      <w:pPr>
        <w:pStyle w:val="ListParagraph"/>
        <w:tabs>
          <w:tab w:val="left" w:pos="567"/>
        </w:tabs>
        <w:spacing w:after="0" w:line="240" w:lineRule="auto"/>
        <w:ind w:left="142"/>
        <w:jc w:val="both"/>
        <w:outlineLvl w:val="0"/>
        <w:rPr>
          <w:rFonts w:ascii="Arial" w:eastAsia="Times New Roman" w:hAnsi="Arial" w:cs="Arial"/>
          <w:sz w:val="20"/>
          <w:szCs w:val="20"/>
          <w:lang w:eastAsia="en-IN"/>
        </w:rPr>
      </w:pPr>
      <w:r w:rsidRPr="00884E3C">
        <w:rPr>
          <w:rFonts w:ascii="Arial" w:hAnsi="Arial" w:cs="Arial"/>
          <w:sz w:val="20"/>
          <w:szCs w:val="20"/>
        </w:rPr>
        <w:t xml:space="preserve">Oscillatory frequency sweep measurements were carried out within the established LVR over an angular </w:t>
      </w:r>
      <w:r w:rsidRPr="00CF7777">
        <w:rPr>
          <w:rFonts w:ascii="Arial" w:eastAsia="Times New Roman" w:hAnsi="Arial" w:cs="Arial"/>
          <w:sz w:val="20"/>
          <w:szCs w:val="20"/>
          <w:lang w:eastAsia="en-IN"/>
        </w:rPr>
        <w:t>frequency range of 0.1–100 rad/s at 20 °C. Storage modulus (G′), loss modulus (G″), complex viscosity (η*), and damping factor (tan δ) were recorded as functions of frequency to characterize the viscoelastic behavior, time-dependent response, and elastic</w:t>
      </w:r>
      <w:r w:rsidR="002315FB" w:rsidRPr="00CF7777">
        <w:rPr>
          <w:rFonts w:ascii="Arial" w:eastAsia="Times New Roman" w:hAnsi="Arial" w:cs="Arial"/>
          <w:sz w:val="20"/>
          <w:szCs w:val="20"/>
          <w:lang w:eastAsia="en-IN"/>
        </w:rPr>
        <w:t xml:space="preserve"> </w:t>
      </w:r>
      <w:r w:rsidRPr="00CF7777">
        <w:rPr>
          <w:rFonts w:ascii="Arial" w:eastAsia="Times New Roman" w:hAnsi="Arial" w:cs="Arial"/>
          <w:sz w:val="20"/>
          <w:szCs w:val="20"/>
          <w:lang w:eastAsia="en-IN"/>
        </w:rPr>
        <w:t>viscous balance of the polymer systems</w:t>
      </w:r>
      <w:r w:rsidR="00D9102E" w:rsidRPr="00CF7777">
        <w:rPr>
          <w:rFonts w:ascii="Arial" w:eastAsia="Times New Roman" w:hAnsi="Arial" w:cs="Arial"/>
          <w:sz w:val="20"/>
          <w:szCs w:val="20"/>
          <w:lang w:eastAsia="en-IN"/>
        </w:rPr>
        <w:t xml:space="preserve"> (</w:t>
      </w:r>
      <w:r w:rsidR="00884E3C" w:rsidRPr="00CF7777">
        <w:rPr>
          <w:rFonts w:ascii="Arial" w:eastAsia="Times New Roman" w:hAnsi="Arial" w:cs="Arial"/>
          <w:sz w:val="20"/>
          <w:szCs w:val="20"/>
          <w:lang w:eastAsia="en-IN"/>
        </w:rPr>
        <w:t>Montes</w:t>
      </w:r>
      <w:r w:rsidR="00E335E7">
        <w:rPr>
          <w:rFonts w:ascii="Arial" w:eastAsia="Times New Roman" w:hAnsi="Arial" w:cs="Arial"/>
          <w:sz w:val="20"/>
          <w:szCs w:val="20"/>
          <w:lang w:eastAsia="en-IN"/>
        </w:rPr>
        <w:t xml:space="preserve"> L</w:t>
      </w:r>
      <w:r w:rsidR="00884E3C" w:rsidRPr="00CF7777">
        <w:rPr>
          <w:rFonts w:ascii="Arial" w:eastAsia="Times New Roman" w:hAnsi="Arial" w:cs="Arial"/>
          <w:sz w:val="20"/>
          <w:szCs w:val="20"/>
          <w:lang w:eastAsia="en-IN"/>
        </w:rPr>
        <w:t xml:space="preserve"> et al., 2021</w:t>
      </w:r>
      <w:r w:rsidR="00D9102E" w:rsidRPr="00CF7777">
        <w:rPr>
          <w:rFonts w:ascii="Arial" w:eastAsia="Times New Roman" w:hAnsi="Arial" w:cs="Arial"/>
          <w:sz w:val="20"/>
          <w:szCs w:val="20"/>
          <w:lang w:eastAsia="en-IN"/>
        </w:rPr>
        <w:t>)</w:t>
      </w:r>
      <w:r w:rsidRPr="00CF7777">
        <w:rPr>
          <w:rFonts w:ascii="Arial" w:eastAsia="Times New Roman" w:hAnsi="Arial" w:cs="Arial"/>
          <w:sz w:val="20"/>
          <w:szCs w:val="20"/>
          <w:lang w:eastAsia="en-IN"/>
        </w:rPr>
        <w:t>.</w:t>
      </w:r>
    </w:p>
    <w:p w14:paraId="4977B062" w14:textId="77777777" w:rsidR="00C95273" w:rsidRPr="00CF7777" w:rsidRDefault="00C95273" w:rsidP="00080238">
      <w:pPr>
        <w:pStyle w:val="ListParagraph"/>
        <w:rPr>
          <w:rFonts w:ascii="Arial" w:eastAsia="Times New Roman" w:hAnsi="Arial" w:cs="Arial"/>
          <w:sz w:val="20"/>
          <w:szCs w:val="20"/>
          <w:lang w:eastAsia="en-IN"/>
        </w:rPr>
      </w:pPr>
    </w:p>
    <w:p w14:paraId="0FB66F54" w14:textId="77777777" w:rsidR="00F208AD" w:rsidRPr="00884E3C" w:rsidRDefault="002F120F" w:rsidP="00080238">
      <w:pPr>
        <w:pStyle w:val="ListParagraph"/>
        <w:numPr>
          <w:ilvl w:val="0"/>
          <w:numId w:val="18"/>
        </w:numPr>
        <w:spacing w:after="0" w:line="240" w:lineRule="auto"/>
        <w:jc w:val="both"/>
        <w:outlineLvl w:val="0"/>
        <w:rPr>
          <w:rStyle w:val="Strong"/>
          <w:rFonts w:ascii="Arial" w:hAnsi="Arial" w:cs="Arial"/>
          <w:b w:val="0"/>
          <w:bCs w:val="0"/>
        </w:rPr>
      </w:pPr>
      <w:r w:rsidRPr="00884E3C">
        <w:rPr>
          <w:rStyle w:val="Strong"/>
          <w:rFonts w:ascii="Arial" w:hAnsi="Arial" w:cs="Arial"/>
          <w:bCs w:val="0"/>
        </w:rPr>
        <w:t>RESULTS AND DISCUSSION</w:t>
      </w:r>
    </w:p>
    <w:p w14:paraId="64D9A72E" w14:textId="77777777" w:rsidR="00C95273" w:rsidRPr="00884E3C" w:rsidRDefault="00C95273" w:rsidP="00080238">
      <w:pPr>
        <w:pStyle w:val="ListParagraph"/>
        <w:spacing w:after="0" w:line="240" w:lineRule="auto"/>
        <w:ind w:left="502"/>
        <w:jc w:val="both"/>
        <w:outlineLvl w:val="0"/>
        <w:rPr>
          <w:rFonts w:ascii="Arial" w:hAnsi="Arial" w:cs="Arial"/>
        </w:rPr>
      </w:pPr>
    </w:p>
    <w:p w14:paraId="0CEF7C5C" w14:textId="77777777" w:rsidR="006B25B4" w:rsidRPr="00884E3C" w:rsidRDefault="006B25B4" w:rsidP="00080238">
      <w:pPr>
        <w:pStyle w:val="ListParagraph"/>
        <w:tabs>
          <w:tab w:val="left" w:pos="567"/>
        </w:tabs>
        <w:spacing w:after="0" w:line="240" w:lineRule="auto"/>
        <w:ind w:left="142"/>
        <w:jc w:val="both"/>
        <w:outlineLvl w:val="0"/>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The comparative </w:t>
      </w:r>
      <w:r w:rsidR="00225266" w:rsidRPr="00884E3C">
        <w:rPr>
          <w:rFonts w:ascii="Arial" w:eastAsia="Times New Roman" w:hAnsi="Arial" w:cs="Arial"/>
          <w:sz w:val="20"/>
          <w:szCs w:val="20"/>
          <w:lang w:eastAsia="en-IN"/>
        </w:rPr>
        <w:t xml:space="preserve">results of </w:t>
      </w:r>
      <w:r w:rsidRPr="00884E3C">
        <w:rPr>
          <w:rFonts w:ascii="Arial" w:eastAsia="Times New Roman" w:hAnsi="Arial" w:cs="Arial"/>
          <w:sz w:val="20"/>
          <w:szCs w:val="20"/>
          <w:lang w:eastAsia="en-IN"/>
        </w:rPr>
        <w:t xml:space="preserve">physicochemical, flow, moisture, </w:t>
      </w:r>
      <w:r w:rsidR="00225266" w:rsidRPr="00884E3C">
        <w:rPr>
          <w:rFonts w:ascii="Arial" w:eastAsia="Times New Roman" w:hAnsi="Arial" w:cs="Arial"/>
          <w:sz w:val="20"/>
          <w:szCs w:val="20"/>
          <w:lang w:eastAsia="en-IN"/>
        </w:rPr>
        <w:t xml:space="preserve">substitution and polymer solution </w:t>
      </w:r>
      <w:r w:rsidRPr="00884E3C">
        <w:rPr>
          <w:rFonts w:ascii="Arial" w:eastAsia="Times New Roman" w:hAnsi="Arial" w:cs="Arial"/>
          <w:sz w:val="20"/>
          <w:szCs w:val="20"/>
          <w:lang w:eastAsia="en-IN"/>
        </w:rPr>
        <w:t>pH</w:t>
      </w:r>
      <w:r w:rsidR="00225266" w:rsidRPr="00884E3C">
        <w:rPr>
          <w:rFonts w:ascii="Arial" w:eastAsia="Times New Roman" w:hAnsi="Arial" w:cs="Arial"/>
          <w:sz w:val="20"/>
          <w:szCs w:val="20"/>
          <w:lang w:eastAsia="en-IN"/>
        </w:rPr>
        <w:t xml:space="preserve"> </w:t>
      </w:r>
      <w:r w:rsidRPr="00884E3C">
        <w:rPr>
          <w:rFonts w:ascii="Arial" w:eastAsia="Times New Roman" w:hAnsi="Arial" w:cs="Arial"/>
          <w:sz w:val="20"/>
          <w:szCs w:val="20"/>
          <w:lang w:eastAsia="en-IN"/>
        </w:rPr>
        <w:t xml:space="preserve">characteristics of hydroxypropyl methylcellulose and hydroxypropyl cellulose grades and different vendors are collectively summarized in </w:t>
      </w:r>
      <w:r w:rsidRPr="00884E3C">
        <w:rPr>
          <w:rFonts w:ascii="Arial" w:eastAsia="Times New Roman" w:hAnsi="Arial" w:cs="Arial"/>
          <w:b/>
          <w:bCs/>
          <w:sz w:val="20"/>
          <w:szCs w:val="20"/>
          <w:lang w:eastAsia="en-IN"/>
        </w:rPr>
        <w:t>Table 1</w:t>
      </w:r>
      <w:r w:rsidRPr="00884E3C">
        <w:rPr>
          <w:rFonts w:ascii="Arial" w:eastAsia="Times New Roman" w:hAnsi="Arial" w:cs="Arial"/>
          <w:sz w:val="20"/>
          <w:szCs w:val="20"/>
          <w:lang w:eastAsia="en-IN"/>
        </w:rPr>
        <w:t>. Visual examination confirmed that all samples were white to off-white, free-flowing powders with uniform appearance and no visible contamination, discoloration, or hard agglomerates, indicating acceptable material quality and appropriate storage conditions. Subtle differences in particle texture were evident between polymers, with HPMC exhibiting a more fibrous and fluffy morphology, whereas HPC appeared comparatively granular and compact. These differences are attributable to variations in substitution pattern and molecular architecture arising from manufacturing processes and are known to influence interparticle interactions. Consistent with these observations, flow property evaluation revealed marked inter-polymer variability. HPC grades demonstrated higher bulk and tapped densities, lower Carr’s Compressibility Index and Hausner ratio values, and smaller angles of repose, collectively indicating better flowability. In contrast, HPMC grades particularly those with higher viscosity grades showed increased compressibility and cohesiveness, which manifested as reduced flow performance and intermittent discharge behavior during qualitative flow assessment</w:t>
      </w:r>
      <w:r w:rsidR="00D620F2" w:rsidRPr="00884E3C">
        <w:rPr>
          <w:rFonts w:ascii="Arial" w:eastAsia="Times New Roman" w:hAnsi="Arial" w:cs="Arial"/>
          <w:sz w:val="20"/>
          <w:szCs w:val="20"/>
          <w:lang w:eastAsia="en-IN"/>
        </w:rPr>
        <w:t xml:space="preserve"> </w:t>
      </w:r>
      <w:r w:rsidR="00D620F2" w:rsidRPr="00CF7777">
        <w:rPr>
          <w:rFonts w:ascii="Arial" w:eastAsia="Times New Roman" w:hAnsi="Arial" w:cs="Arial"/>
          <w:sz w:val="20"/>
          <w:szCs w:val="20"/>
          <w:lang w:eastAsia="en-IN"/>
        </w:rPr>
        <w:t>(</w:t>
      </w:r>
      <w:r w:rsidR="00884E3C" w:rsidRPr="00CF7777">
        <w:rPr>
          <w:rFonts w:ascii="Arial" w:eastAsia="Times New Roman" w:hAnsi="Arial" w:cs="Arial"/>
          <w:sz w:val="20"/>
          <w:szCs w:val="20"/>
          <w:lang w:eastAsia="en-IN"/>
        </w:rPr>
        <w:t xml:space="preserve">Rowe </w:t>
      </w:r>
      <w:r w:rsidR="00E335E7">
        <w:rPr>
          <w:rFonts w:ascii="Arial" w:eastAsia="Times New Roman" w:hAnsi="Arial" w:cs="Arial"/>
          <w:sz w:val="20"/>
          <w:szCs w:val="20"/>
          <w:lang w:eastAsia="en-IN"/>
        </w:rPr>
        <w:t xml:space="preserve">RC </w:t>
      </w:r>
      <w:r w:rsidR="00884E3C" w:rsidRPr="00CF7777">
        <w:rPr>
          <w:rFonts w:ascii="Arial" w:eastAsia="Times New Roman" w:hAnsi="Arial" w:cs="Arial"/>
          <w:sz w:val="20"/>
          <w:szCs w:val="20"/>
          <w:lang w:eastAsia="en-IN"/>
        </w:rPr>
        <w:t>et al., 2020; Reddy</w:t>
      </w:r>
      <w:r w:rsidR="00E335E7">
        <w:rPr>
          <w:rFonts w:ascii="Arial" w:eastAsia="Times New Roman" w:hAnsi="Arial" w:cs="Arial"/>
          <w:sz w:val="20"/>
          <w:szCs w:val="20"/>
          <w:lang w:eastAsia="en-IN"/>
        </w:rPr>
        <w:t xml:space="preserve"> PC</w:t>
      </w:r>
      <w:r w:rsidR="00884E3C" w:rsidRPr="00CF7777">
        <w:rPr>
          <w:rFonts w:ascii="Arial" w:eastAsia="Times New Roman" w:hAnsi="Arial" w:cs="Arial"/>
          <w:sz w:val="20"/>
          <w:szCs w:val="20"/>
          <w:lang w:eastAsia="en-IN"/>
        </w:rPr>
        <w:t xml:space="preserve"> et al., 2015</w:t>
      </w:r>
      <w:r w:rsidR="00D620F2" w:rsidRPr="00CF7777">
        <w:rPr>
          <w:rFonts w:ascii="Arial" w:eastAsia="Times New Roman" w:hAnsi="Arial" w:cs="Arial"/>
          <w:sz w:val="20"/>
          <w:szCs w:val="20"/>
          <w:lang w:eastAsia="en-IN"/>
        </w:rPr>
        <w:t>)</w:t>
      </w:r>
      <w:r w:rsidRPr="00884E3C">
        <w:rPr>
          <w:rFonts w:ascii="Arial" w:eastAsia="Times New Roman" w:hAnsi="Arial" w:cs="Arial"/>
          <w:sz w:val="20"/>
          <w:szCs w:val="20"/>
          <w:lang w:eastAsia="en-IN"/>
        </w:rPr>
        <w:t>.</w:t>
      </w:r>
    </w:p>
    <w:p w14:paraId="5A82976F" w14:textId="77777777" w:rsidR="00C95273" w:rsidRPr="00884E3C" w:rsidRDefault="00C95273" w:rsidP="00080238">
      <w:pPr>
        <w:pStyle w:val="ListParagraph"/>
        <w:tabs>
          <w:tab w:val="left" w:pos="567"/>
        </w:tabs>
        <w:spacing w:after="0" w:line="240" w:lineRule="auto"/>
        <w:ind w:left="142"/>
        <w:jc w:val="both"/>
        <w:outlineLvl w:val="0"/>
        <w:rPr>
          <w:rFonts w:ascii="Arial" w:eastAsia="Times New Roman" w:hAnsi="Arial" w:cs="Arial"/>
          <w:sz w:val="20"/>
          <w:szCs w:val="20"/>
          <w:lang w:eastAsia="en-IN"/>
        </w:rPr>
      </w:pPr>
    </w:p>
    <w:p w14:paraId="5EF85823" w14:textId="77777777" w:rsidR="000971F8" w:rsidRPr="00884E3C" w:rsidRDefault="000971F8" w:rsidP="00080238">
      <w:pPr>
        <w:spacing w:after="0" w:line="240" w:lineRule="auto"/>
        <w:ind w:left="142"/>
        <w:jc w:val="both"/>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Apparent viscosity measurements revealed substantial variability both between and within polymer types. HPMC grades demonstrated a wide viscosity range, spanning from low-viscosity grades such as METHOCEL™ E3 and E5 (3.2–5.4 </w:t>
      </w:r>
      <w:proofErr w:type="spellStart"/>
      <w:r w:rsidRPr="00884E3C">
        <w:rPr>
          <w:rFonts w:ascii="Arial" w:eastAsia="Times New Roman" w:hAnsi="Arial" w:cs="Arial"/>
          <w:sz w:val="20"/>
          <w:szCs w:val="20"/>
          <w:lang w:eastAsia="en-IN"/>
        </w:rPr>
        <w:t>mPa·s</w:t>
      </w:r>
      <w:proofErr w:type="spellEnd"/>
      <w:r w:rsidRPr="00884E3C">
        <w:rPr>
          <w:rFonts w:ascii="Arial" w:eastAsia="Times New Roman" w:hAnsi="Arial" w:cs="Arial"/>
          <w:sz w:val="20"/>
          <w:szCs w:val="20"/>
          <w:lang w:eastAsia="en-IN"/>
        </w:rPr>
        <w:t xml:space="preserve">) to very high-viscosity controlled-release grades such as METHOCEL™ K100M CR and </w:t>
      </w:r>
      <w:proofErr w:type="spellStart"/>
      <w:r w:rsidRPr="00884E3C">
        <w:rPr>
          <w:rFonts w:ascii="Arial" w:eastAsia="Times New Roman" w:hAnsi="Arial" w:cs="Arial"/>
          <w:sz w:val="20"/>
          <w:szCs w:val="20"/>
          <w:lang w:eastAsia="en-IN"/>
        </w:rPr>
        <w:t>Benecel</w:t>
      </w:r>
      <w:proofErr w:type="spellEnd"/>
      <w:r w:rsidRPr="00884E3C">
        <w:rPr>
          <w:rFonts w:ascii="Arial" w:eastAsia="Times New Roman" w:hAnsi="Arial" w:cs="Arial"/>
          <w:sz w:val="20"/>
          <w:szCs w:val="20"/>
          <w:lang w:eastAsia="en-IN"/>
        </w:rPr>
        <w:t xml:space="preserve">™ K100M Pharm XR (&gt;100,000 </w:t>
      </w:r>
      <w:proofErr w:type="spellStart"/>
      <w:r w:rsidRPr="00884E3C">
        <w:rPr>
          <w:rFonts w:ascii="Arial" w:eastAsia="Times New Roman" w:hAnsi="Arial" w:cs="Arial"/>
          <w:sz w:val="20"/>
          <w:szCs w:val="20"/>
          <w:lang w:eastAsia="en-IN"/>
        </w:rPr>
        <w:t>mPa·s</w:t>
      </w:r>
      <w:proofErr w:type="spellEnd"/>
      <w:r w:rsidRPr="00884E3C">
        <w:rPr>
          <w:rFonts w:ascii="Arial" w:eastAsia="Times New Roman" w:hAnsi="Arial" w:cs="Arial"/>
          <w:sz w:val="20"/>
          <w:szCs w:val="20"/>
          <w:lang w:eastAsia="en-IN"/>
        </w:rPr>
        <w:t xml:space="preserve"> at 2% w/w). This broad range reflects differences in molecular weight and substitution pattern, which are critical </w:t>
      </w:r>
      <w:r w:rsidRPr="00884E3C">
        <w:rPr>
          <w:rFonts w:ascii="Arial" w:eastAsia="Times New Roman" w:hAnsi="Arial" w:cs="Arial"/>
          <w:sz w:val="20"/>
          <w:szCs w:val="20"/>
          <w:lang w:eastAsia="en-IN"/>
        </w:rPr>
        <w:lastRenderedPageBreak/>
        <w:t xml:space="preserve">determinants of solution rheology and matrix-forming capability. The </w:t>
      </w:r>
      <w:proofErr w:type="spellStart"/>
      <w:r w:rsidRPr="00884E3C">
        <w:rPr>
          <w:rFonts w:ascii="Arial" w:eastAsia="Times New Roman" w:hAnsi="Arial" w:cs="Arial"/>
          <w:sz w:val="20"/>
          <w:szCs w:val="20"/>
          <w:lang w:eastAsia="en-IN"/>
        </w:rPr>
        <w:t>methoxyl</w:t>
      </w:r>
      <w:proofErr w:type="spellEnd"/>
      <w:r w:rsidRPr="00884E3C">
        <w:rPr>
          <w:rFonts w:ascii="Arial" w:eastAsia="Times New Roman" w:hAnsi="Arial" w:cs="Arial"/>
          <w:sz w:val="20"/>
          <w:szCs w:val="20"/>
          <w:lang w:eastAsia="en-IN"/>
        </w:rPr>
        <w:t xml:space="preserve"> content of HPMC grades ranged from approximately 22.8% to 29.1%, while hydroxypropyl substitution varied between 8.0% and 10.4%. Lower </w:t>
      </w:r>
      <w:proofErr w:type="spellStart"/>
      <w:r w:rsidRPr="00884E3C">
        <w:rPr>
          <w:rFonts w:ascii="Arial" w:eastAsia="Times New Roman" w:hAnsi="Arial" w:cs="Arial"/>
          <w:sz w:val="20"/>
          <w:szCs w:val="20"/>
          <w:lang w:eastAsia="en-IN"/>
        </w:rPr>
        <w:t>methoxyl</w:t>
      </w:r>
      <w:proofErr w:type="spellEnd"/>
      <w:r w:rsidRPr="00884E3C">
        <w:rPr>
          <w:rFonts w:ascii="Arial" w:eastAsia="Times New Roman" w:hAnsi="Arial" w:cs="Arial"/>
          <w:sz w:val="20"/>
          <w:szCs w:val="20"/>
          <w:lang w:eastAsia="en-IN"/>
        </w:rPr>
        <w:t xml:space="preserve"> content and higher hydroxypropyl substitution, as observed in K-type HPMC grades, are associated with increased chain hydration and entanglement, resulting in significantly higher apparent viscosities and stronger gel-forming behavior. Conversely, E-type grades with higher </w:t>
      </w:r>
      <w:proofErr w:type="spellStart"/>
      <w:r w:rsidRPr="00884E3C">
        <w:rPr>
          <w:rFonts w:ascii="Arial" w:eastAsia="Times New Roman" w:hAnsi="Arial" w:cs="Arial"/>
          <w:sz w:val="20"/>
          <w:szCs w:val="20"/>
          <w:lang w:eastAsia="en-IN"/>
        </w:rPr>
        <w:t>methoxyl</w:t>
      </w:r>
      <w:proofErr w:type="spellEnd"/>
      <w:r w:rsidRPr="00884E3C">
        <w:rPr>
          <w:rFonts w:ascii="Arial" w:eastAsia="Times New Roman" w:hAnsi="Arial" w:cs="Arial"/>
          <w:sz w:val="20"/>
          <w:szCs w:val="20"/>
          <w:lang w:eastAsia="en-IN"/>
        </w:rPr>
        <w:t xml:space="preserve"> content and lower hydroxypropyl substitution exhibited lower viscosities and reduced intermolecular association. In contrast, HPC grades showed substantially higher hydroxypropyl content (approximately 72–77%) and no </w:t>
      </w:r>
      <w:proofErr w:type="spellStart"/>
      <w:r w:rsidRPr="00884E3C">
        <w:rPr>
          <w:rFonts w:ascii="Arial" w:eastAsia="Times New Roman" w:hAnsi="Arial" w:cs="Arial"/>
          <w:sz w:val="20"/>
          <w:szCs w:val="20"/>
          <w:lang w:eastAsia="en-IN"/>
        </w:rPr>
        <w:t>methoxyl</w:t>
      </w:r>
      <w:proofErr w:type="spellEnd"/>
      <w:r w:rsidRPr="00884E3C">
        <w:rPr>
          <w:rFonts w:ascii="Arial" w:eastAsia="Times New Roman" w:hAnsi="Arial" w:cs="Arial"/>
          <w:sz w:val="20"/>
          <w:szCs w:val="20"/>
          <w:lang w:eastAsia="en-IN"/>
        </w:rPr>
        <w:t xml:space="preserve"> substitution, consistent with their chemical structure. Apparent viscosity values for HPC varied depending on grade and test concentration, ranging from low-viscosity </w:t>
      </w:r>
      <w:proofErr w:type="spellStart"/>
      <w:r w:rsidRPr="00884E3C">
        <w:rPr>
          <w:rFonts w:ascii="Arial" w:eastAsia="Times New Roman" w:hAnsi="Arial" w:cs="Arial"/>
          <w:sz w:val="20"/>
          <w:szCs w:val="20"/>
          <w:lang w:eastAsia="en-IN"/>
        </w:rPr>
        <w:t>Klucel</w:t>
      </w:r>
      <w:proofErr w:type="spellEnd"/>
      <w:r w:rsidRPr="00884E3C">
        <w:rPr>
          <w:rFonts w:ascii="Arial" w:eastAsia="Times New Roman" w:hAnsi="Arial" w:cs="Arial"/>
          <w:sz w:val="20"/>
          <w:szCs w:val="20"/>
          <w:lang w:eastAsia="en-IN"/>
        </w:rPr>
        <w:t xml:space="preserve">™ LF to highly viscous </w:t>
      </w:r>
      <w:proofErr w:type="spellStart"/>
      <w:r w:rsidRPr="00884E3C">
        <w:rPr>
          <w:rFonts w:ascii="Arial" w:eastAsia="Times New Roman" w:hAnsi="Arial" w:cs="Arial"/>
          <w:sz w:val="20"/>
          <w:szCs w:val="20"/>
          <w:lang w:eastAsia="en-IN"/>
        </w:rPr>
        <w:t>Klucel</w:t>
      </w:r>
      <w:proofErr w:type="spellEnd"/>
      <w:r w:rsidRPr="00884E3C">
        <w:rPr>
          <w:rFonts w:ascii="Arial" w:eastAsia="Times New Roman" w:hAnsi="Arial" w:cs="Arial"/>
          <w:sz w:val="20"/>
          <w:szCs w:val="20"/>
          <w:lang w:eastAsia="en-IN"/>
        </w:rPr>
        <w:t>™ MF pharm. Despite their high degree of substitution, HPC solutions generally exhibited lower viscosities than high-molecular-weight HPMC CR grades at comparable functional use levels, reflecting differences in backbone flexibility and solution conformation.</w:t>
      </w:r>
    </w:p>
    <w:p w14:paraId="785A163F" w14:textId="77777777" w:rsidR="00C95273" w:rsidRPr="00884E3C" w:rsidRDefault="00C95273" w:rsidP="00080238">
      <w:pPr>
        <w:spacing w:after="0" w:line="240" w:lineRule="auto"/>
        <w:ind w:left="142"/>
        <w:jc w:val="both"/>
        <w:rPr>
          <w:rFonts w:ascii="Arial" w:eastAsia="Times New Roman" w:hAnsi="Arial" w:cs="Arial"/>
          <w:sz w:val="20"/>
          <w:szCs w:val="20"/>
          <w:lang w:eastAsia="en-IN"/>
        </w:rPr>
      </w:pPr>
    </w:p>
    <w:p w14:paraId="33145F6E" w14:textId="77777777" w:rsidR="00D3036C" w:rsidRDefault="006B25B4" w:rsidP="00080238">
      <w:pPr>
        <w:spacing w:after="0" w:line="240" w:lineRule="auto"/>
        <w:ind w:left="142"/>
        <w:jc w:val="both"/>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Moisture-related parameters further distinguished the two polymers. While all grades complied with </w:t>
      </w:r>
      <w:r w:rsidR="003F0373" w:rsidRPr="00884E3C">
        <w:rPr>
          <w:rFonts w:ascii="Arial" w:eastAsia="Times New Roman" w:hAnsi="Arial" w:cs="Arial"/>
          <w:sz w:val="20"/>
          <w:szCs w:val="20"/>
          <w:lang w:eastAsia="en-IN"/>
        </w:rPr>
        <w:t>Pharmacopeial</w:t>
      </w:r>
      <w:r w:rsidRPr="00884E3C">
        <w:rPr>
          <w:rFonts w:ascii="Arial" w:eastAsia="Times New Roman" w:hAnsi="Arial" w:cs="Arial"/>
          <w:sz w:val="20"/>
          <w:szCs w:val="20"/>
          <w:lang w:eastAsia="en-IN"/>
        </w:rPr>
        <w:t xml:space="preserve"> limits, HPMC consistently exhibited slightly higher water content and loss on drying values than HPC, reflecting its greater hygroscopic nature and stronger affinity for water through hydrogen bonding. The close correlation between Karl Fischer moisture content and LOD results confirms that water constituted the predominant volatile component in both polymers. The pH of aqueous polymer solutions remained near neutral across all grades, with minimal variation, indicating low risk of chemical incompatibility with active pharmaceutical ingredients and supporting the suitability of both polymers for diverse formulation systems. Thermal analysis provided additional insight into polymer behavior, with HPMC displaying broad endothermic events primarily associated with moisture loss and polymer relaxation, consistent with its amorphous structure and thermal stability under typical processing conditions. In contrast, HPC exhibited more defined thermal transitions related to dehydration and thermo</w:t>
      </w:r>
      <w:r w:rsidR="00981453" w:rsidRPr="00884E3C">
        <w:rPr>
          <w:rFonts w:ascii="Arial" w:eastAsia="Times New Roman" w:hAnsi="Arial" w:cs="Arial"/>
          <w:sz w:val="20"/>
          <w:szCs w:val="20"/>
          <w:lang w:eastAsia="en-IN"/>
        </w:rPr>
        <w:t>-</w:t>
      </w:r>
      <w:r w:rsidRPr="00884E3C">
        <w:rPr>
          <w:rFonts w:ascii="Arial" w:eastAsia="Times New Roman" w:hAnsi="Arial" w:cs="Arial"/>
          <w:sz w:val="20"/>
          <w:szCs w:val="20"/>
          <w:lang w:eastAsia="en-IN"/>
        </w:rPr>
        <w:t>responsive polymer</w:t>
      </w:r>
      <w:r w:rsidR="00981453" w:rsidRPr="00884E3C">
        <w:rPr>
          <w:rFonts w:ascii="Arial" w:eastAsia="Times New Roman" w:hAnsi="Arial" w:cs="Arial"/>
          <w:sz w:val="20"/>
          <w:szCs w:val="20"/>
          <w:lang w:eastAsia="en-IN"/>
        </w:rPr>
        <w:t>-</w:t>
      </w:r>
      <w:r w:rsidRPr="00884E3C">
        <w:rPr>
          <w:rFonts w:ascii="Arial" w:eastAsia="Times New Roman" w:hAnsi="Arial" w:cs="Arial"/>
          <w:sz w:val="20"/>
          <w:szCs w:val="20"/>
          <w:lang w:eastAsia="en-IN"/>
        </w:rPr>
        <w:t>polymer interactions, underscoring its sensitivity to temperature</w:t>
      </w:r>
      <w:r w:rsidR="00B128E8" w:rsidRPr="00884E3C">
        <w:rPr>
          <w:rFonts w:ascii="Arial" w:eastAsia="Times New Roman" w:hAnsi="Arial" w:cs="Arial"/>
          <w:sz w:val="20"/>
          <w:szCs w:val="20"/>
          <w:lang w:eastAsia="en-IN"/>
        </w:rPr>
        <w:t xml:space="preserve"> (</w:t>
      </w:r>
      <w:r w:rsidR="00884E3C" w:rsidRPr="00CF7777">
        <w:rPr>
          <w:rFonts w:ascii="Arial" w:eastAsia="Times New Roman" w:hAnsi="Arial" w:cs="Arial"/>
          <w:sz w:val="20"/>
          <w:szCs w:val="20"/>
          <w:lang w:eastAsia="en-IN"/>
        </w:rPr>
        <w:t>Reddy</w:t>
      </w:r>
      <w:r w:rsidR="00E335E7">
        <w:rPr>
          <w:rFonts w:ascii="Arial" w:eastAsia="Times New Roman" w:hAnsi="Arial" w:cs="Arial"/>
          <w:sz w:val="20"/>
          <w:szCs w:val="20"/>
          <w:lang w:eastAsia="en-IN"/>
        </w:rPr>
        <w:t xml:space="preserve"> PC</w:t>
      </w:r>
      <w:r w:rsidR="00884E3C" w:rsidRPr="00CF7777">
        <w:rPr>
          <w:rFonts w:ascii="Arial" w:eastAsia="Times New Roman" w:hAnsi="Arial" w:cs="Arial"/>
          <w:sz w:val="20"/>
          <w:szCs w:val="20"/>
          <w:lang w:eastAsia="en-IN"/>
        </w:rPr>
        <w:t xml:space="preserve"> et al., 2015;</w:t>
      </w:r>
      <w:r w:rsidR="00B128E8" w:rsidRPr="00884E3C">
        <w:rPr>
          <w:rFonts w:ascii="Arial" w:eastAsia="Times New Roman" w:hAnsi="Arial" w:cs="Arial"/>
          <w:sz w:val="20"/>
          <w:szCs w:val="20"/>
          <w:lang w:eastAsia="en-IN"/>
        </w:rPr>
        <w:t xml:space="preserve"> </w:t>
      </w:r>
      <w:proofErr w:type="spellStart"/>
      <w:r w:rsidR="00884E3C" w:rsidRPr="00CF7777">
        <w:rPr>
          <w:rFonts w:ascii="Arial" w:eastAsia="Times New Roman" w:hAnsi="Arial" w:cs="Arial"/>
          <w:sz w:val="20"/>
          <w:szCs w:val="20"/>
          <w:lang w:eastAsia="en-IN"/>
        </w:rPr>
        <w:t>Thoorens</w:t>
      </w:r>
      <w:proofErr w:type="spellEnd"/>
      <w:r w:rsidR="00E335E7">
        <w:rPr>
          <w:rFonts w:ascii="Arial" w:eastAsia="Times New Roman" w:hAnsi="Arial" w:cs="Arial"/>
          <w:sz w:val="20"/>
          <w:szCs w:val="20"/>
          <w:lang w:eastAsia="en-IN"/>
        </w:rPr>
        <w:t xml:space="preserve"> G</w:t>
      </w:r>
      <w:r w:rsidR="00884E3C" w:rsidRPr="00CF7777">
        <w:rPr>
          <w:rFonts w:ascii="Arial" w:eastAsia="Times New Roman" w:hAnsi="Arial" w:cs="Arial"/>
          <w:sz w:val="20"/>
          <w:szCs w:val="20"/>
          <w:lang w:eastAsia="en-IN"/>
        </w:rPr>
        <w:t xml:space="preserve"> et al., 2013</w:t>
      </w:r>
      <w:r w:rsidR="00B128E8" w:rsidRPr="00884E3C">
        <w:rPr>
          <w:rFonts w:ascii="Arial" w:eastAsia="Times New Roman" w:hAnsi="Arial" w:cs="Arial"/>
          <w:sz w:val="20"/>
          <w:szCs w:val="20"/>
          <w:lang w:eastAsia="en-IN"/>
        </w:rPr>
        <w:t>)</w:t>
      </w:r>
      <w:r w:rsidR="001F46AA">
        <w:rPr>
          <w:rFonts w:ascii="Arial" w:eastAsia="Times New Roman" w:hAnsi="Arial" w:cs="Arial"/>
          <w:sz w:val="20"/>
          <w:szCs w:val="20"/>
          <w:lang w:eastAsia="en-IN"/>
        </w:rPr>
        <w:t xml:space="preserve"> </w:t>
      </w:r>
      <w:r w:rsidR="001F46AA" w:rsidRPr="001F46AA">
        <w:rPr>
          <w:rFonts w:ascii="Arial" w:eastAsia="Times New Roman" w:hAnsi="Arial" w:cs="Arial"/>
          <w:b/>
          <w:sz w:val="20"/>
          <w:szCs w:val="20"/>
          <w:lang w:eastAsia="en-IN"/>
        </w:rPr>
        <w:t>Figure 1</w:t>
      </w:r>
      <w:r w:rsidRPr="00884E3C">
        <w:rPr>
          <w:rFonts w:ascii="Arial" w:eastAsia="Times New Roman" w:hAnsi="Arial" w:cs="Arial"/>
          <w:sz w:val="20"/>
          <w:szCs w:val="20"/>
          <w:lang w:eastAsia="en-IN"/>
        </w:rPr>
        <w:t xml:space="preserve">. Collectively, the results summarized in </w:t>
      </w:r>
      <w:r w:rsidRPr="002B78D0">
        <w:rPr>
          <w:rFonts w:ascii="Arial" w:eastAsia="Times New Roman" w:hAnsi="Arial" w:cs="Arial"/>
          <w:b/>
          <w:sz w:val="20"/>
          <w:szCs w:val="20"/>
          <w:lang w:eastAsia="en-IN"/>
        </w:rPr>
        <w:t>Table 1</w:t>
      </w:r>
      <w:r w:rsidRPr="00884E3C">
        <w:rPr>
          <w:rFonts w:ascii="Arial" w:eastAsia="Times New Roman" w:hAnsi="Arial" w:cs="Arial"/>
          <w:sz w:val="20"/>
          <w:szCs w:val="20"/>
          <w:lang w:eastAsia="en-IN"/>
        </w:rPr>
        <w:t xml:space="preserve"> demonstrate that although both polymers meet pharmaceutical quality requirements, their distinct flow, moisture, and thermal </w:t>
      </w:r>
      <w:r w:rsidR="00981453" w:rsidRPr="00884E3C">
        <w:rPr>
          <w:rFonts w:ascii="Arial" w:eastAsia="Times New Roman" w:hAnsi="Arial" w:cs="Arial"/>
          <w:sz w:val="20"/>
          <w:szCs w:val="20"/>
          <w:lang w:eastAsia="en-IN"/>
        </w:rPr>
        <w:t>behaviours</w:t>
      </w:r>
      <w:r w:rsidRPr="00884E3C">
        <w:rPr>
          <w:rFonts w:ascii="Arial" w:eastAsia="Times New Roman" w:hAnsi="Arial" w:cs="Arial"/>
          <w:sz w:val="20"/>
          <w:szCs w:val="20"/>
          <w:lang w:eastAsia="en-IN"/>
        </w:rPr>
        <w:t xml:space="preserve"> represent critical factors in excipient selection and formulation design, particularly for processes sensitive to powder handling and thermal exposure.</w:t>
      </w:r>
    </w:p>
    <w:p w14:paraId="2F9DD235" w14:textId="77777777" w:rsidR="001F46AA" w:rsidRDefault="001F46AA" w:rsidP="00080238">
      <w:pPr>
        <w:suppressLineNumbers/>
        <w:spacing w:after="0" w:line="240" w:lineRule="auto"/>
        <w:ind w:left="142"/>
        <w:jc w:val="both"/>
        <w:rPr>
          <w:rFonts w:ascii="Arial" w:eastAsia="Times New Roman" w:hAnsi="Arial" w:cs="Arial"/>
          <w:sz w:val="20"/>
          <w:szCs w:val="20"/>
          <w:lang w:eastAsia="en-IN"/>
        </w:rPr>
      </w:pPr>
    </w:p>
    <w:p w14:paraId="54960D86" w14:textId="77777777" w:rsidR="001F46AA" w:rsidRDefault="001F46AA" w:rsidP="00080238">
      <w:pPr>
        <w:suppressLineNumbers/>
        <w:spacing w:after="0" w:line="240" w:lineRule="auto"/>
        <w:ind w:left="142"/>
        <w:jc w:val="both"/>
        <w:rPr>
          <w:rFonts w:ascii="Arial" w:eastAsia="Times New Roman" w:hAnsi="Arial" w:cs="Arial"/>
          <w:sz w:val="20"/>
          <w:szCs w:val="20"/>
          <w:lang w:eastAsia="en-IN"/>
        </w:rPr>
      </w:pPr>
    </w:p>
    <w:p w14:paraId="1B91B874" w14:textId="77777777" w:rsidR="001F46AA" w:rsidRPr="00884E3C" w:rsidRDefault="00B016D5" w:rsidP="00B016D5">
      <w:pPr>
        <w:spacing w:after="0" w:line="240" w:lineRule="auto"/>
        <w:ind w:left="142"/>
        <w:jc w:val="center"/>
        <w:rPr>
          <w:rFonts w:ascii="Arial" w:eastAsia="Times New Roman" w:hAnsi="Arial" w:cs="Arial"/>
          <w:sz w:val="20"/>
          <w:szCs w:val="20"/>
          <w:lang w:eastAsia="en-IN"/>
        </w:rPr>
      </w:pPr>
      <w:r>
        <w:rPr>
          <w:rFonts w:ascii="Arial" w:hAnsi="Arial" w:cs="Arial"/>
          <w:noProof/>
          <w:sz w:val="20"/>
          <w:szCs w:val="20"/>
          <w:lang w:eastAsia="en-IN"/>
        </w:rPr>
        <w:drawing>
          <wp:inline distT="0" distB="0" distL="0" distR="0" wp14:anchorId="24F0F5AC" wp14:editId="4B0D86CC">
            <wp:extent cx="5353050" cy="2598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1- DSC HPMC and HPC.jpg"/>
                    <pic:cNvPicPr/>
                  </pic:nvPicPr>
                  <pic:blipFill>
                    <a:blip r:embed="rId8">
                      <a:extLst>
                        <a:ext uri="{28A0092B-C50C-407E-A947-70E740481C1C}">
                          <a14:useLocalDpi xmlns:a14="http://schemas.microsoft.com/office/drawing/2010/main" val="0"/>
                        </a:ext>
                      </a:extLst>
                    </a:blip>
                    <a:stretch>
                      <a:fillRect/>
                    </a:stretch>
                  </pic:blipFill>
                  <pic:spPr>
                    <a:xfrm>
                      <a:off x="0" y="0"/>
                      <a:ext cx="5353050" cy="2598420"/>
                    </a:xfrm>
                    <a:prstGeom prst="rect">
                      <a:avLst/>
                    </a:prstGeom>
                  </pic:spPr>
                </pic:pic>
              </a:graphicData>
            </a:graphic>
          </wp:inline>
        </w:drawing>
      </w:r>
    </w:p>
    <w:p w14:paraId="405E0DC3" w14:textId="77777777" w:rsidR="001F46AA" w:rsidRDefault="001F46AA" w:rsidP="00080238">
      <w:pPr>
        <w:suppressLineNumbers/>
        <w:spacing w:after="0" w:line="240" w:lineRule="auto"/>
        <w:ind w:left="142"/>
        <w:jc w:val="both"/>
        <w:rPr>
          <w:rFonts w:ascii="Arial" w:hAnsi="Arial" w:cs="Arial"/>
          <w:sz w:val="20"/>
          <w:szCs w:val="20"/>
          <w:lang w:eastAsia="en-IN"/>
        </w:rPr>
      </w:pPr>
    </w:p>
    <w:p w14:paraId="7342C096" w14:textId="77777777" w:rsidR="00FC4AA5" w:rsidRPr="001F46AA" w:rsidRDefault="001F46AA" w:rsidP="00080238">
      <w:pPr>
        <w:spacing w:after="0" w:line="240" w:lineRule="auto"/>
        <w:ind w:left="142"/>
        <w:jc w:val="center"/>
        <w:rPr>
          <w:rFonts w:ascii="Arial" w:hAnsi="Arial" w:cs="Arial"/>
          <w:b/>
          <w:sz w:val="20"/>
          <w:szCs w:val="20"/>
          <w:lang w:eastAsia="en-IN"/>
        </w:rPr>
      </w:pPr>
      <w:r w:rsidRPr="001F46AA">
        <w:rPr>
          <w:rFonts w:ascii="Arial" w:hAnsi="Arial" w:cs="Arial"/>
          <w:b/>
          <w:sz w:val="20"/>
          <w:szCs w:val="20"/>
          <w:lang w:eastAsia="en-IN"/>
        </w:rPr>
        <w:t>Fig</w:t>
      </w:r>
      <w:r w:rsidR="00651A2B">
        <w:rPr>
          <w:rFonts w:ascii="Arial" w:hAnsi="Arial" w:cs="Arial"/>
          <w:b/>
          <w:sz w:val="20"/>
          <w:szCs w:val="20"/>
          <w:lang w:eastAsia="en-IN"/>
        </w:rPr>
        <w:t>.</w:t>
      </w:r>
      <w:r w:rsidRPr="001F46AA">
        <w:rPr>
          <w:rFonts w:ascii="Arial" w:hAnsi="Arial" w:cs="Arial"/>
          <w:b/>
          <w:sz w:val="20"/>
          <w:szCs w:val="20"/>
          <w:lang w:eastAsia="en-IN"/>
        </w:rPr>
        <w:t xml:space="preserve"> 1</w:t>
      </w:r>
      <w:r w:rsidR="00651A2B">
        <w:rPr>
          <w:rFonts w:ascii="Arial" w:hAnsi="Arial" w:cs="Arial"/>
          <w:b/>
          <w:sz w:val="20"/>
          <w:szCs w:val="20"/>
          <w:lang w:eastAsia="en-IN"/>
        </w:rPr>
        <w:t>.</w:t>
      </w:r>
      <w:r w:rsidRPr="001F46AA">
        <w:rPr>
          <w:rFonts w:ascii="Arial" w:hAnsi="Arial" w:cs="Arial"/>
          <w:b/>
          <w:sz w:val="20"/>
          <w:szCs w:val="20"/>
          <w:lang w:eastAsia="en-IN"/>
        </w:rPr>
        <w:t xml:space="preserve"> </w:t>
      </w:r>
      <w:r w:rsidR="00382494">
        <w:rPr>
          <w:rFonts w:ascii="Arial" w:hAnsi="Arial" w:cs="Arial"/>
          <w:b/>
          <w:sz w:val="20"/>
          <w:szCs w:val="20"/>
          <w:lang w:eastAsia="en-IN"/>
        </w:rPr>
        <w:t xml:space="preserve">Illustration of characterization of </w:t>
      </w:r>
      <w:r w:rsidRPr="001F46AA">
        <w:rPr>
          <w:rFonts w:ascii="Arial" w:hAnsi="Arial" w:cs="Arial"/>
          <w:b/>
          <w:sz w:val="20"/>
          <w:szCs w:val="20"/>
          <w:lang w:eastAsia="en-IN"/>
        </w:rPr>
        <w:t xml:space="preserve">Differential Scanning Calorimetry (DSC) for </w:t>
      </w:r>
      <w:r w:rsidR="00382494">
        <w:rPr>
          <w:rFonts w:ascii="Arial" w:hAnsi="Arial" w:cs="Arial"/>
          <w:b/>
          <w:sz w:val="20"/>
          <w:szCs w:val="20"/>
          <w:lang w:eastAsia="en-IN"/>
        </w:rPr>
        <w:t xml:space="preserve">A). </w:t>
      </w:r>
      <w:r w:rsidRPr="001F46AA">
        <w:rPr>
          <w:rFonts w:ascii="Arial" w:hAnsi="Arial" w:cs="Arial"/>
          <w:b/>
          <w:sz w:val="20"/>
          <w:szCs w:val="20"/>
          <w:lang w:eastAsia="en-IN"/>
        </w:rPr>
        <w:t xml:space="preserve">HMPC and </w:t>
      </w:r>
      <w:r w:rsidR="00382494">
        <w:rPr>
          <w:rFonts w:ascii="Arial" w:hAnsi="Arial" w:cs="Arial"/>
          <w:b/>
          <w:sz w:val="20"/>
          <w:szCs w:val="20"/>
          <w:lang w:eastAsia="en-IN"/>
        </w:rPr>
        <w:t xml:space="preserve">B). </w:t>
      </w:r>
      <w:r w:rsidRPr="001F46AA">
        <w:rPr>
          <w:rFonts w:ascii="Arial" w:hAnsi="Arial" w:cs="Arial"/>
          <w:b/>
          <w:sz w:val="20"/>
          <w:szCs w:val="20"/>
          <w:lang w:eastAsia="en-IN"/>
        </w:rPr>
        <w:t>HPC polymers</w:t>
      </w:r>
    </w:p>
    <w:p w14:paraId="62E33705" w14:textId="77777777" w:rsidR="001F46AA" w:rsidRPr="00884E3C" w:rsidRDefault="001F46AA" w:rsidP="00080238">
      <w:pPr>
        <w:suppressLineNumbers/>
        <w:spacing w:after="0" w:line="240" w:lineRule="auto"/>
        <w:ind w:left="142"/>
        <w:jc w:val="both"/>
        <w:rPr>
          <w:rFonts w:ascii="Arial" w:hAnsi="Arial" w:cs="Arial"/>
          <w:sz w:val="20"/>
          <w:szCs w:val="20"/>
          <w:lang w:eastAsia="en-IN"/>
        </w:rPr>
      </w:pPr>
    </w:p>
    <w:p w14:paraId="41C2B6D3" w14:textId="77777777" w:rsidR="00FC4AA5" w:rsidRPr="00884E3C" w:rsidRDefault="00FC4AA5" w:rsidP="00080238">
      <w:pPr>
        <w:spacing w:after="0" w:line="240" w:lineRule="auto"/>
        <w:ind w:left="142"/>
        <w:jc w:val="both"/>
        <w:rPr>
          <w:rFonts w:ascii="Arial" w:eastAsia="Times New Roman" w:hAnsi="Arial" w:cs="Arial"/>
          <w:sz w:val="20"/>
          <w:szCs w:val="20"/>
          <w:lang w:eastAsia="en-IN"/>
        </w:rPr>
        <w:sectPr w:rsidR="00FC4AA5" w:rsidRPr="00884E3C" w:rsidSect="003E68F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9" w:footer="709" w:gutter="0"/>
          <w:cols w:space="708"/>
          <w:docGrid w:linePitch="360"/>
        </w:sectPr>
      </w:pPr>
    </w:p>
    <w:p w14:paraId="65EC87BA" w14:textId="77777777" w:rsidR="00CE4C03" w:rsidRPr="00884E3C" w:rsidRDefault="00614E9E" w:rsidP="00080238">
      <w:pPr>
        <w:suppressLineNumbers/>
        <w:spacing w:after="0" w:line="240" w:lineRule="auto"/>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lastRenderedPageBreak/>
        <w:t>Table 1:</w:t>
      </w:r>
      <w:r w:rsidR="002B1F10" w:rsidRPr="00884E3C">
        <w:rPr>
          <w:rFonts w:ascii="Arial" w:eastAsia="Times New Roman" w:hAnsi="Arial" w:cs="Arial"/>
          <w:b/>
          <w:sz w:val="20"/>
          <w:szCs w:val="20"/>
          <w:lang w:eastAsia="en-IN"/>
        </w:rPr>
        <w:t xml:space="preserve"> Physicochemical evaluation of different grades and vendor HPMC and HPC polymers</w:t>
      </w:r>
    </w:p>
    <w:p w14:paraId="3E1FEAEC" w14:textId="77777777" w:rsidR="00FE0399" w:rsidRPr="00884E3C" w:rsidRDefault="00FE0399" w:rsidP="00080238">
      <w:pPr>
        <w:suppressLineNumbers/>
        <w:spacing w:after="0" w:line="240" w:lineRule="auto"/>
        <w:rPr>
          <w:rFonts w:ascii="Arial" w:eastAsia="Times New Roman" w:hAnsi="Arial" w:cs="Arial"/>
          <w:b/>
          <w:sz w:val="20"/>
          <w:szCs w:val="20"/>
          <w:lang w:eastAsia="en-IN"/>
        </w:rPr>
      </w:pPr>
    </w:p>
    <w:tbl>
      <w:tblPr>
        <w:tblStyle w:val="TableGrid"/>
        <w:tblW w:w="15021" w:type="dxa"/>
        <w:jc w:val="center"/>
        <w:tblLayout w:type="fixed"/>
        <w:tblLook w:val="04A0" w:firstRow="1" w:lastRow="0" w:firstColumn="1" w:lastColumn="0" w:noHBand="0" w:noVBand="1"/>
      </w:tblPr>
      <w:tblGrid>
        <w:gridCol w:w="2263"/>
        <w:gridCol w:w="1560"/>
        <w:gridCol w:w="1701"/>
        <w:gridCol w:w="1134"/>
        <w:gridCol w:w="992"/>
        <w:gridCol w:w="992"/>
        <w:gridCol w:w="992"/>
        <w:gridCol w:w="993"/>
        <w:gridCol w:w="850"/>
        <w:gridCol w:w="567"/>
        <w:gridCol w:w="992"/>
        <w:gridCol w:w="709"/>
        <w:gridCol w:w="1276"/>
      </w:tblGrid>
      <w:tr w:rsidR="001B6475" w:rsidRPr="00884E3C" w14:paraId="658534FC" w14:textId="77777777" w:rsidTr="006E7DA0">
        <w:trPr>
          <w:trHeight w:val="18"/>
          <w:jc w:val="center"/>
        </w:trPr>
        <w:tc>
          <w:tcPr>
            <w:tcW w:w="2263" w:type="dxa"/>
            <w:vMerge w:val="restart"/>
            <w:shd w:val="clear" w:color="auto" w:fill="D9D9D9" w:themeFill="background1" w:themeFillShade="D9"/>
            <w:vAlign w:val="center"/>
          </w:tcPr>
          <w:p w14:paraId="69843F57" w14:textId="77777777" w:rsidR="006F01AF" w:rsidRPr="00884E3C" w:rsidRDefault="006F01AF" w:rsidP="00080238">
            <w:pPr>
              <w:pStyle w:val="ListParagraph"/>
              <w:ind w:left="-107" w:right="-97"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 xml:space="preserve">  </w:t>
            </w:r>
            <w:r w:rsidR="001B6475" w:rsidRPr="00884E3C">
              <w:rPr>
                <w:rFonts w:ascii="Arial" w:eastAsia="Times New Roman" w:hAnsi="Arial" w:cs="Arial"/>
                <w:b/>
                <w:sz w:val="20"/>
                <w:szCs w:val="20"/>
                <w:lang w:eastAsia="en-IN"/>
              </w:rPr>
              <w:t>Name of the Polymer</w:t>
            </w:r>
          </w:p>
          <w:p w14:paraId="117EE41F" w14:textId="77777777" w:rsidR="001B6475" w:rsidRPr="00884E3C" w:rsidRDefault="006F01AF" w:rsidP="00080238">
            <w:pPr>
              <w:pStyle w:val="ListParagraph"/>
              <w:ind w:left="-107" w:right="-97"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 xml:space="preserve">   </w:t>
            </w:r>
            <w:r w:rsidR="001B6475" w:rsidRPr="00884E3C">
              <w:rPr>
                <w:rFonts w:ascii="Arial" w:eastAsia="Times New Roman" w:hAnsi="Arial" w:cs="Arial"/>
                <w:b/>
                <w:sz w:val="20"/>
                <w:szCs w:val="20"/>
                <w:lang w:eastAsia="en-IN"/>
              </w:rPr>
              <w:t>(Vendor Brand Name)</w:t>
            </w:r>
          </w:p>
        </w:tc>
        <w:tc>
          <w:tcPr>
            <w:tcW w:w="1560" w:type="dxa"/>
            <w:vMerge w:val="restart"/>
            <w:shd w:val="clear" w:color="auto" w:fill="D9D9D9" w:themeFill="background1" w:themeFillShade="D9"/>
            <w:vAlign w:val="center"/>
          </w:tcPr>
          <w:p w14:paraId="4C0221DF" w14:textId="77777777" w:rsidR="001B6475" w:rsidRPr="00884E3C" w:rsidRDefault="001B6475" w:rsidP="00080238">
            <w:pPr>
              <w:ind w:left="142" w:right="-106"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Manufacturer / Distributor</w:t>
            </w:r>
          </w:p>
        </w:tc>
        <w:tc>
          <w:tcPr>
            <w:tcW w:w="1701" w:type="dxa"/>
            <w:vMerge w:val="restart"/>
            <w:shd w:val="clear" w:color="auto" w:fill="D9D9D9" w:themeFill="background1" w:themeFillShade="D9"/>
            <w:vAlign w:val="center"/>
          </w:tcPr>
          <w:p w14:paraId="08DA5317" w14:textId="77777777" w:rsidR="001B6475" w:rsidRPr="00884E3C" w:rsidRDefault="001B6475" w:rsidP="00080238">
            <w:pPr>
              <w:ind w:left="142"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Apparent viscosity</w:t>
            </w:r>
          </w:p>
        </w:tc>
        <w:tc>
          <w:tcPr>
            <w:tcW w:w="1134" w:type="dxa"/>
            <w:vMerge w:val="restart"/>
            <w:shd w:val="clear" w:color="auto" w:fill="D9D9D9" w:themeFill="background1" w:themeFillShade="D9"/>
            <w:vAlign w:val="center"/>
          </w:tcPr>
          <w:p w14:paraId="3AB23C1F" w14:textId="77777777" w:rsidR="001B6475" w:rsidRPr="00884E3C" w:rsidRDefault="001B6475" w:rsidP="00080238">
            <w:pPr>
              <w:rPr>
                <w:rFonts w:ascii="Arial" w:eastAsia="Times New Roman" w:hAnsi="Arial" w:cs="Arial"/>
                <w:b/>
                <w:sz w:val="20"/>
                <w:szCs w:val="20"/>
                <w:lang w:eastAsia="en-IN"/>
              </w:rPr>
            </w:pPr>
            <w:proofErr w:type="spellStart"/>
            <w:r w:rsidRPr="00884E3C">
              <w:rPr>
                <w:rFonts w:ascii="Arial" w:eastAsia="Times New Roman" w:hAnsi="Arial" w:cs="Arial"/>
                <w:b/>
                <w:sz w:val="20"/>
                <w:szCs w:val="20"/>
                <w:lang w:eastAsia="en-IN"/>
              </w:rPr>
              <w:t>Methoxyl</w:t>
            </w:r>
            <w:proofErr w:type="spellEnd"/>
            <w:r w:rsidRPr="00884E3C">
              <w:rPr>
                <w:rFonts w:ascii="Arial" w:eastAsia="Times New Roman" w:hAnsi="Arial" w:cs="Arial"/>
                <w:b/>
                <w:sz w:val="20"/>
                <w:szCs w:val="20"/>
                <w:lang w:eastAsia="en-IN"/>
              </w:rPr>
              <w:t xml:space="preserve"> content</w:t>
            </w:r>
          </w:p>
        </w:tc>
        <w:tc>
          <w:tcPr>
            <w:tcW w:w="992" w:type="dxa"/>
            <w:vMerge w:val="restart"/>
            <w:shd w:val="clear" w:color="auto" w:fill="D9D9D9" w:themeFill="background1" w:themeFillShade="D9"/>
            <w:vAlign w:val="center"/>
          </w:tcPr>
          <w:p w14:paraId="62B955E3" w14:textId="77777777" w:rsidR="001B6475" w:rsidRPr="00884E3C" w:rsidRDefault="001B6475" w:rsidP="00080238">
            <w:pPr>
              <w:ind w:left="142" w:right="-244"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HP</w:t>
            </w:r>
          </w:p>
          <w:p w14:paraId="7B20E37E" w14:textId="77777777" w:rsidR="001B6475" w:rsidRPr="00884E3C" w:rsidRDefault="001B6475" w:rsidP="00080238">
            <w:pPr>
              <w:ind w:left="142" w:right="-244"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content</w:t>
            </w:r>
          </w:p>
        </w:tc>
        <w:tc>
          <w:tcPr>
            <w:tcW w:w="4394" w:type="dxa"/>
            <w:gridSpan w:val="5"/>
            <w:shd w:val="clear" w:color="auto" w:fill="D9D9D9" w:themeFill="background1" w:themeFillShade="D9"/>
            <w:vAlign w:val="center"/>
          </w:tcPr>
          <w:p w14:paraId="37C4468B" w14:textId="77777777" w:rsidR="001B6475" w:rsidRPr="00884E3C" w:rsidRDefault="001B6475" w:rsidP="00080238">
            <w:pPr>
              <w:ind w:left="142"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Flow Properties</w:t>
            </w:r>
          </w:p>
        </w:tc>
        <w:tc>
          <w:tcPr>
            <w:tcW w:w="992" w:type="dxa"/>
            <w:vMerge w:val="restart"/>
            <w:shd w:val="clear" w:color="auto" w:fill="D9D9D9" w:themeFill="background1" w:themeFillShade="D9"/>
            <w:vAlign w:val="center"/>
          </w:tcPr>
          <w:p w14:paraId="7FD32061" w14:textId="77777777" w:rsidR="001B6475" w:rsidRPr="00884E3C" w:rsidRDefault="001B6475" w:rsidP="00080238">
            <w:pPr>
              <w:ind w:left="142"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Water</w:t>
            </w:r>
          </w:p>
          <w:p w14:paraId="618E19EE" w14:textId="77777777" w:rsidR="003F0373" w:rsidRPr="00884E3C" w:rsidRDefault="001B6475" w:rsidP="00080238">
            <w:pPr>
              <w:ind w:left="142"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by KF</w:t>
            </w:r>
          </w:p>
          <w:p w14:paraId="2385A07F" w14:textId="77777777" w:rsidR="001B6475" w:rsidRPr="00884E3C" w:rsidRDefault="00A46C49" w:rsidP="00080238">
            <w:pPr>
              <w:ind w:left="142"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 xml:space="preserve"> (%</w:t>
            </w:r>
            <w:r w:rsidR="00CF2FFA" w:rsidRPr="00884E3C">
              <w:rPr>
                <w:rFonts w:ascii="Arial" w:eastAsia="Times New Roman" w:hAnsi="Arial" w:cs="Arial"/>
                <w:b/>
                <w:sz w:val="20"/>
                <w:szCs w:val="20"/>
                <w:lang w:eastAsia="en-IN"/>
              </w:rPr>
              <w:t xml:space="preserve"> w/w</w:t>
            </w:r>
            <w:r w:rsidRPr="00884E3C">
              <w:rPr>
                <w:rFonts w:ascii="Arial" w:eastAsia="Times New Roman" w:hAnsi="Arial" w:cs="Arial"/>
                <w:b/>
                <w:sz w:val="20"/>
                <w:szCs w:val="20"/>
                <w:lang w:eastAsia="en-IN"/>
              </w:rPr>
              <w:t>)</w:t>
            </w:r>
          </w:p>
        </w:tc>
        <w:tc>
          <w:tcPr>
            <w:tcW w:w="709" w:type="dxa"/>
            <w:vMerge w:val="restart"/>
            <w:shd w:val="clear" w:color="auto" w:fill="D9D9D9" w:themeFill="background1" w:themeFillShade="D9"/>
            <w:vAlign w:val="center"/>
          </w:tcPr>
          <w:p w14:paraId="586AE43A" w14:textId="77777777" w:rsidR="003F0373" w:rsidRPr="00884E3C" w:rsidRDefault="003F0373" w:rsidP="00080238">
            <w:pPr>
              <w:ind w:left="142"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LOD</w:t>
            </w:r>
          </w:p>
          <w:p w14:paraId="17C278D6" w14:textId="77777777" w:rsidR="001B6475" w:rsidRPr="00884E3C" w:rsidRDefault="001B6475" w:rsidP="00080238">
            <w:pPr>
              <w:ind w:left="142"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w:t>
            </w:r>
          </w:p>
        </w:tc>
        <w:tc>
          <w:tcPr>
            <w:tcW w:w="1276" w:type="dxa"/>
            <w:vMerge w:val="restart"/>
            <w:shd w:val="clear" w:color="auto" w:fill="D9D9D9" w:themeFill="background1" w:themeFillShade="D9"/>
            <w:vAlign w:val="center"/>
          </w:tcPr>
          <w:p w14:paraId="1AA27592" w14:textId="77777777" w:rsidR="001B6475" w:rsidRPr="00884E3C" w:rsidRDefault="001B6475" w:rsidP="00080238">
            <w:pPr>
              <w:ind w:left="142" w:hanging="266"/>
              <w:jc w:val="center"/>
              <w:rPr>
                <w:rFonts w:ascii="Arial" w:eastAsia="Times New Roman" w:hAnsi="Arial" w:cs="Arial"/>
                <w:b/>
                <w:sz w:val="20"/>
                <w:szCs w:val="20"/>
                <w:lang w:eastAsia="en-IN"/>
              </w:rPr>
            </w:pPr>
            <w:r w:rsidRPr="00884E3C">
              <w:rPr>
                <w:rFonts w:ascii="Arial" w:eastAsia="Times New Roman" w:hAnsi="Arial" w:cs="Arial"/>
                <w:b/>
                <w:sz w:val="20"/>
                <w:szCs w:val="20"/>
                <w:lang w:eastAsia="en-IN"/>
              </w:rPr>
              <w:t>pH of polymer solution</w:t>
            </w:r>
          </w:p>
        </w:tc>
      </w:tr>
      <w:tr w:rsidR="001B6475" w:rsidRPr="00884E3C" w14:paraId="1203C915" w14:textId="77777777" w:rsidTr="006E7DA0">
        <w:trPr>
          <w:trHeight w:val="75"/>
          <w:jc w:val="center"/>
        </w:trPr>
        <w:tc>
          <w:tcPr>
            <w:tcW w:w="2263" w:type="dxa"/>
            <w:vMerge/>
            <w:vAlign w:val="center"/>
          </w:tcPr>
          <w:p w14:paraId="424E844F" w14:textId="77777777" w:rsidR="001B6475" w:rsidRPr="00884E3C" w:rsidRDefault="001B6475" w:rsidP="00080238">
            <w:pPr>
              <w:pStyle w:val="ListParagraph"/>
              <w:ind w:left="142"/>
              <w:jc w:val="both"/>
              <w:rPr>
                <w:rFonts w:ascii="Arial" w:eastAsia="Times New Roman" w:hAnsi="Arial" w:cs="Arial"/>
                <w:b/>
                <w:sz w:val="20"/>
                <w:szCs w:val="20"/>
                <w:lang w:eastAsia="en-IN"/>
              </w:rPr>
            </w:pPr>
          </w:p>
        </w:tc>
        <w:tc>
          <w:tcPr>
            <w:tcW w:w="1560" w:type="dxa"/>
            <w:vMerge/>
            <w:vAlign w:val="center"/>
          </w:tcPr>
          <w:p w14:paraId="59369F97" w14:textId="77777777" w:rsidR="001B6475" w:rsidRPr="00884E3C" w:rsidRDefault="001B6475" w:rsidP="00080238">
            <w:pPr>
              <w:ind w:left="142"/>
              <w:jc w:val="both"/>
              <w:rPr>
                <w:rFonts w:ascii="Arial" w:eastAsia="Times New Roman" w:hAnsi="Arial" w:cs="Arial"/>
                <w:b/>
                <w:sz w:val="20"/>
                <w:szCs w:val="20"/>
                <w:lang w:eastAsia="en-IN"/>
              </w:rPr>
            </w:pPr>
          </w:p>
        </w:tc>
        <w:tc>
          <w:tcPr>
            <w:tcW w:w="1701" w:type="dxa"/>
            <w:vMerge/>
            <w:vAlign w:val="center"/>
          </w:tcPr>
          <w:p w14:paraId="1F955C58" w14:textId="77777777" w:rsidR="001B6475" w:rsidRPr="00884E3C" w:rsidRDefault="001B6475" w:rsidP="00080238">
            <w:pPr>
              <w:ind w:left="142"/>
              <w:jc w:val="both"/>
              <w:rPr>
                <w:rFonts w:ascii="Arial" w:eastAsia="Times New Roman" w:hAnsi="Arial" w:cs="Arial"/>
                <w:b/>
                <w:sz w:val="20"/>
                <w:szCs w:val="20"/>
                <w:lang w:eastAsia="en-IN"/>
              </w:rPr>
            </w:pPr>
          </w:p>
        </w:tc>
        <w:tc>
          <w:tcPr>
            <w:tcW w:w="1134" w:type="dxa"/>
            <w:vMerge/>
          </w:tcPr>
          <w:p w14:paraId="40045271" w14:textId="77777777" w:rsidR="001B6475" w:rsidRPr="00884E3C" w:rsidRDefault="001B6475" w:rsidP="00080238">
            <w:pPr>
              <w:ind w:left="142"/>
              <w:jc w:val="both"/>
              <w:rPr>
                <w:rFonts w:ascii="Arial" w:eastAsia="Times New Roman" w:hAnsi="Arial" w:cs="Arial"/>
                <w:b/>
                <w:sz w:val="20"/>
                <w:szCs w:val="20"/>
                <w:lang w:eastAsia="en-IN"/>
              </w:rPr>
            </w:pPr>
          </w:p>
        </w:tc>
        <w:tc>
          <w:tcPr>
            <w:tcW w:w="992" w:type="dxa"/>
            <w:vMerge/>
            <w:vAlign w:val="center"/>
          </w:tcPr>
          <w:p w14:paraId="00DB94EB" w14:textId="77777777" w:rsidR="001B6475" w:rsidRPr="00884E3C" w:rsidRDefault="001B6475" w:rsidP="00080238">
            <w:pPr>
              <w:ind w:left="142"/>
              <w:jc w:val="both"/>
              <w:rPr>
                <w:rFonts w:ascii="Arial" w:eastAsia="Times New Roman" w:hAnsi="Arial" w:cs="Arial"/>
                <w:b/>
                <w:sz w:val="20"/>
                <w:szCs w:val="20"/>
                <w:lang w:eastAsia="en-IN"/>
              </w:rPr>
            </w:pPr>
          </w:p>
        </w:tc>
        <w:tc>
          <w:tcPr>
            <w:tcW w:w="992" w:type="dxa"/>
            <w:shd w:val="clear" w:color="auto" w:fill="D9D9D9" w:themeFill="background1" w:themeFillShade="D9"/>
            <w:vAlign w:val="center"/>
          </w:tcPr>
          <w:p w14:paraId="02ECA303" w14:textId="77777777" w:rsidR="001B6475" w:rsidRPr="00884E3C" w:rsidRDefault="001B6475" w:rsidP="00080238">
            <w:pPr>
              <w:ind w:left="142"/>
              <w:jc w:val="both"/>
              <w:rPr>
                <w:rFonts w:ascii="Arial" w:eastAsia="Times New Roman" w:hAnsi="Arial" w:cs="Arial"/>
                <w:b/>
                <w:sz w:val="20"/>
                <w:szCs w:val="20"/>
                <w:lang w:eastAsia="en-IN"/>
              </w:rPr>
            </w:pPr>
            <w:r w:rsidRPr="00884E3C">
              <w:rPr>
                <w:rFonts w:ascii="Arial" w:eastAsia="Times New Roman" w:hAnsi="Arial" w:cs="Arial"/>
                <w:b/>
                <w:sz w:val="20"/>
                <w:szCs w:val="20"/>
                <w:lang w:eastAsia="en-IN"/>
              </w:rPr>
              <w:t>BD (g/ml)</w:t>
            </w:r>
          </w:p>
        </w:tc>
        <w:tc>
          <w:tcPr>
            <w:tcW w:w="992" w:type="dxa"/>
            <w:shd w:val="clear" w:color="auto" w:fill="D9D9D9" w:themeFill="background1" w:themeFillShade="D9"/>
            <w:vAlign w:val="center"/>
          </w:tcPr>
          <w:p w14:paraId="4B3660F0" w14:textId="77777777" w:rsidR="001B6475" w:rsidRPr="00884E3C" w:rsidRDefault="001B6475" w:rsidP="00080238">
            <w:pPr>
              <w:ind w:left="142"/>
              <w:jc w:val="both"/>
              <w:rPr>
                <w:rFonts w:ascii="Arial" w:eastAsia="Times New Roman" w:hAnsi="Arial" w:cs="Arial"/>
                <w:b/>
                <w:sz w:val="20"/>
                <w:szCs w:val="20"/>
                <w:lang w:eastAsia="en-IN"/>
              </w:rPr>
            </w:pPr>
            <w:r w:rsidRPr="00884E3C">
              <w:rPr>
                <w:rFonts w:ascii="Arial" w:eastAsia="Times New Roman" w:hAnsi="Arial" w:cs="Arial"/>
                <w:b/>
                <w:sz w:val="20"/>
                <w:szCs w:val="20"/>
                <w:lang w:eastAsia="en-IN"/>
              </w:rPr>
              <w:t>TD (g/ml)</w:t>
            </w:r>
          </w:p>
        </w:tc>
        <w:tc>
          <w:tcPr>
            <w:tcW w:w="993" w:type="dxa"/>
            <w:shd w:val="clear" w:color="auto" w:fill="D9D9D9" w:themeFill="background1" w:themeFillShade="D9"/>
            <w:vAlign w:val="center"/>
          </w:tcPr>
          <w:p w14:paraId="0031BB08" w14:textId="77777777" w:rsidR="001B6475" w:rsidRPr="00884E3C" w:rsidRDefault="001B6475" w:rsidP="00080238">
            <w:pPr>
              <w:ind w:left="142"/>
              <w:jc w:val="both"/>
              <w:rPr>
                <w:rFonts w:ascii="Arial" w:eastAsia="Times New Roman" w:hAnsi="Arial" w:cs="Arial"/>
                <w:b/>
                <w:sz w:val="20"/>
                <w:szCs w:val="20"/>
                <w:lang w:eastAsia="en-IN"/>
              </w:rPr>
            </w:pPr>
            <w:r w:rsidRPr="00884E3C">
              <w:rPr>
                <w:rFonts w:ascii="Arial" w:eastAsia="Times New Roman" w:hAnsi="Arial" w:cs="Arial"/>
                <w:b/>
                <w:sz w:val="20"/>
                <w:szCs w:val="20"/>
                <w:lang w:eastAsia="en-IN"/>
              </w:rPr>
              <w:t>CI (%)</w:t>
            </w:r>
          </w:p>
        </w:tc>
        <w:tc>
          <w:tcPr>
            <w:tcW w:w="850" w:type="dxa"/>
            <w:shd w:val="clear" w:color="auto" w:fill="D9D9D9" w:themeFill="background1" w:themeFillShade="D9"/>
            <w:vAlign w:val="center"/>
          </w:tcPr>
          <w:p w14:paraId="0EE0D2FD" w14:textId="77777777" w:rsidR="001B6475" w:rsidRPr="00884E3C" w:rsidRDefault="001B6475" w:rsidP="00080238">
            <w:pPr>
              <w:ind w:left="142"/>
              <w:jc w:val="both"/>
              <w:rPr>
                <w:rFonts w:ascii="Arial" w:eastAsia="Times New Roman" w:hAnsi="Arial" w:cs="Arial"/>
                <w:b/>
                <w:sz w:val="20"/>
                <w:szCs w:val="20"/>
                <w:lang w:eastAsia="en-IN"/>
              </w:rPr>
            </w:pPr>
            <w:r w:rsidRPr="00884E3C">
              <w:rPr>
                <w:rFonts w:ascii="Arial" w:eastAsia="Times New Roman" w:hAnsi="Arial" w:cs="Arial"/>
                <w:b/>
                <w:sz w:val="20"/>
                <w:szCs w:val="20"/>
                <w:lang w:eastAsia="en-IN"/>
              </w:rPr>
              <w:t>HR</w:t>
            </w:r>
          </w:p>
        </w:tc>
        <w:tc>
          <w:tcPr>
            <w:tcW w:w="567" w:type="dxa"/>
            <w:shd w:val="clear" w:color="auto" w:fill="D9D9D9" w:themeFill="background1" w:themeFillShade="D9"/>
            <w:vAlign w:val="center"/>
          </w:tcPr>
          <w:p w14:paraId="620AE669" w14:textId="77777777" w:rsidR="001B6475" w:rsidRPr="00884E3C" w:rsidRDefault="001B6475" w:rsidP="00080238">
            <w:pPr>
              <w:jc w:val="both"/>
              <w:rPr>
                <w:rFonts w:ascii="Arial" w:eastAsia="Times New Roman" w:hAnsi="Arial" w:cs="Arial"/>
                <w:b/>
                <w:sz w:val="20"/>
                <w:szCs w:val="20"/>
                <w:lang w:eastAsia="en-IN"/>
              </w:rPr>
            </w:pPr>
            <w:r w:rsidRPr="00884E3C">
              <w:rPr>
                <w:rFonts w:ascii="Arial" w:eastAsia="Times New Roman" w:hAnsi="Arial" w:cs="Arial"/>
                <w:b/>
                <w:sz w:val="20"/>
                <w:szCs w:val="20"/>
                <w:lang w:eastAsia="en-IN"/>
              </w:rPr>
              <w:t>AR</w:t>
            </w:r>
          </w:p>
        </w:tc>
        <w:tc>
          <w:tcPr>
            <w:tcW w:w="992" w:type="dxa"/>
            <w:vMerge/>
          </w:tcPr>
          <w:p w14:paraId="573642AF" w14:textId="77777777" w:rsidR="001B6475" w:rsidRPr="00884E3C" w:rsidRDefault="001B6475" w:rsidP="00080238">
            <w:pPr>
              <w:ind w:left="142"/>
              <w:jc w:val="both"/>
              <w:rPr>
                <w:rFonts w:ascii="Arial" w:eastAsia="Times New Roman" w:hAnsi="Arial" w:cs="Arial"/>
                <w:b/>
                <w:sz w:val="20"/>
                <w:szCs w:val="20"/>
                <w:lang w:eastAsia="en-IN"/>
              </w:rPr>
            </w:pPr>
          </w:p>
        </w:tc>
        <w:tc>
          <w:tcPr>
            <w:tcW w:w="709" w:type="dxa"/>
            <w:vMerge/>
            <w:vAlign w:val="center"/>
          </w:tcPr>
          <w:p w14:paraId="57A91F3F" w14:textId="77777777" w:rsidR="001B6475" w:rsidRPr="00884E3C" w:rsidRDefault="001B6475" w:rsidP="00080238">
            <w:pPr>
              <w:ind w:left="142"/>
              <w:jc w:val="both"/>
              <w:rPr>
                <w:rFonts w:ascii="Arial" w:eastAsia="Times New Roman" w:hAnsi="Arial" w:cs="Arial"/>
                <w:b/>
                <w:sz w:val="20"/>
                <w:szCs w:val="20"/>
                <w:lang w:eastAsia="en-IN"/>
              </w:rPr>
            </w:pPr>
          </w:p>
        </w:tc>
        <w:tc>
          <w:tcPr>
            <w:tcW w:w="1276" w:type="dxa"/>
            <w:vMerge/>
            <w:vAlign w:val="center"/>
          </w:tcPr>
          <w:p w14:paraId="0E208E67" w14:textId="77777777" w:rsidR="001B6475" w:rsidRPr="00884E3C" w:rsidRDefault="001B6475" w:rsidP="00080238">
            <w:pPr>
              <w:ind w:left="142"/>
              <w:jc w:val="both"/>
              <w:rPr>
                <w:rFonts w:ascii="Arial" w:eastAsia="Times New Roman" w:hAnsi="Arial" w:cs="Arial"/>
                <w:b/>
                <w:sz w:val="20"/>
                <w:szCs w:val="20"/>
                <w:lang w:eastAsia="en-IN"/>
              </w:rPr>
            </w:pPr>
          </w:p>
        </w:tc>
      </w:tr>
      <w:tr w:rsidR="00A46C49" w:rsidRPr="00884E3C" w14:paraId="50C32F82" w14:textId="77777777" w:rsidTr="003F0373">
        <w:trPr>
          <w:trHeight w:val="18"/>
          <w:jc w:val="center"/>
        </w:trPr>
        <w:tc>
          <w:tcPr>
            <w:tcW w:w="2263" w:type="dxa"/>
            <w:vAlign w:val="center"/>
          </w:tcPr>
          <w:p w14:paraId="3645DEEE" w14:textId="77777777" w:rsidR="00A46C49" w:rsidRPr="00884E3C" w:rsidRDefault="00A46C49" w:rsidP="00080238">
            <w:pPr>
              <w:ind w:firstLine="35"/>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METHOCEL </w:t>
            </w:r>
          </w:p>
          <w:p w14:paraId="3186220F" w14:textId="77777777" w:rsidR="00A46C49" w:rsidRPr="00884E3C" w:rsidRDefault="00A46C49" w:rsidP="00080238">
            <w:pPr>
              <w:ind w:firstLine="35"/>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E3 Premium LV </w:t>
            </w:r>
          </w:p>
        </w:tc>
        <w:tc>
          <w:tcPr>
            <w:tcW w:w="1560" w:type="dxa"/>
            <w:vAlign w:val="center"/>
          </w:tcPr>
          <w:p w14:paraId="01D56BE0" w14:textId="77777777" w:rsidR="00A46C49" w:rsidRPr="00884E3C" w:rsidRDefault="00A46C49" w:rsidP="00080238">
            <w:pPr>
              <w:ind w:left="142" w:hanging="253"/>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IFF Pharma Solutions</w:t>
            </w:r>
          </w:p>
        </w:tc>
        <w:tc>
          <w:tcPr>
            <w:tcW w:w="1701" w:type="dxa"/>
            <w:vAlign w:val="center"/>
          </w:tcPr>
          <w:p w14:paraId="73981C5B"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 xml:space="preserve">3.2 </w:t>
            </w:r>
            <w:proofErr w:type="spellStart"/>
            <w:r w:rsidRPr="00884E3C">
              <w:rPr>
                <w:rFonts w:ascii="Arial" w:hAnsi="Arial" w:cs="Arial"/>
                <w:sz w:val="20"/>
                <w:szCs w:val="20"/>
              </w:rPr>
              <w:t>mPa.s</w:t>
            </w:r>
            <w:proofErr w:type="spellEnd"/>
          </w:p>
          <w:p w14:paraId="2D84C0CE"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58E55F0C"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28.7</w:t>
            </w:r>
          </w:p>
        </w:tc>
        <w:tc>
          <w:tcPr>
            <w:tcW w:w="992" w:type="dxa"/>
            <w:vAlign w:val="center"/>
          </w:tcPr>
          <w:p w14:paraId="727C42BF"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8.1</w:t>
            </w:r>
          </w:p>
        </w:tc>
        <w:tc>
          <w:tcPr>
            <w:tcW w:w="992" w:type="dxa"/>
            <w:vAlign w:val="center"/>
          </w:tcPr>
          <w:p w14:paraId="24198F1A"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0.43</w:t>
            </w:r>
          </w:p>
        </w:tc>
        <w:tc>
          <w:tcPr>
            <w:tcW w:w="992" w:type="dxa"/>
            <w:vAlign w:val="center"/>
          </w:tcPr>
          <w:p w14:paraId="039399B6"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0.79</w:t>
            </w:r>
          </w:p>
        </w:tc>
        <w:tc>
          <w:tcPr>
            <w:tcW w:w="993" w:type="dxa"/>
            <w:vAlign w:val="center"/>
          </w:tcPr>
          <w:p w14:paraId="507C969C"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45.8</w:t>
            </w:r>
          </w:p>
        </w:tc>
        <w:tc>
          <w:tcPr>
            <w:tcW w:w="850" w:type="dxa"/>
            <w:vAlign w:val="center"/>
          </w:tcPr>
          <w:p w14:paraId="56AAC10D"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1.85</w:t>
            </w:r>
          </w:p>
        </w:tc>
        <w:tc>
          <w:tcPr>
            <w:tcW w:w="567" w:type="dxa"/>
            <w:vAlign w:val="center"/>
          </w:tcPr>
          <w:p w14:paraId="6FBCFC84"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68</w:t>
            </w:r>
          </w:p>
        </w:tc>
        <w:tc>
          <w:tcPr>
            <w:tcW w:w="992" w:type="dxa"/>
            <w:vAlign w:val="center"/>
          </w:tcPr>
          <w:p w14:paraId="40304A44"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1.1</w:t>
            </w:r>
          </w:p>
        </w:tc>
        <w:tc>
          <w:tcPr>
            <w:tcW w:w="709" w:type="dxa"/>
            <w:vAlign w:val="center"/>
          </w:tcPr>
          <w:p w14:paraId="179DE55A"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1.5</w:t>
            </w:r>
          </w:p>
        </w:tc>
        <w:tc>
          <w:tcPr>
            <w:tcW w:w="1276" w:type="dxa"/>
            <w:vAlign w:val="center"/>
          </w:tcPr>
          <w:p w14:paraId="1F746E96"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6.9</w:t>
            </w:r>
          </w:p>
        </w:tc>
      </w:tr>
      <w:tr w:rsidR="00A46C49" w:rsidRPr="00884E3C" w14:paraId="5A85184E" w14:textId="77777777" w:rsidTr="003F0373">
        <w:trPr>
          <w:trHeight w:val="18"/>
          <w:jc w:val="center"/>
        </w:trPr>
        <w:tc>
          <w:tcPr>
            <w:tcW w:w="2263" w:type="dxa"/>
            <w:vAlign w:val="center"/>
          </w:tcPr>
          <w:p w14:paraId="6B025ED9" w14:textId="77777777" w:rsidR="00A46C49" w:rsidRPr="00884E3C" w:rsidRDefault="006F01AF" w:rsidP="00080238">
            <w:pPr>
              <w:ind w:firstLine="35"/>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METHOCEL™ E5 </w:t>
            </w:r>
            <w:r w:rsidR="00A46C49" w:rsidRPr="00884E3C">
              <w:rPr>
                <w:rFonts w:ascii="Arial" w:eastAsia="Times New Roman" w:hAnsi="Arial" w:cs="Arial"/>
                <w:sz w:val="20"/>
                <w:szCs w:val="20"/>
                <w:lang w:eastAsia="en-IN"/>
              </w:rPr>
              <w:t>Premium LV</w:t>
            </w:r>
          </w:p>
        </w:tc>
        <w:tc>
          <w:tcPr>
            <w:tcW w:w="1560" w:type="dxa"/>
            <w:vAlign w:val="center"/>
          </w:tcPr>
          <w:p w14:paraId="54FD95C1" w14:textId="77777777" w:rsidR="00A46C49" w:rsidRPr="00884E3C" w:rsidRDefault="00A46C49" w:rsidP="00080238">
            <w:pPr>
              <w:ind w:left="142" w:hanging="253"/>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Dupont</w:t>
            </w:r>
          </w:p>
        </w:tc>
        <w:tc>
          <w:tcPr>
            <w:tcW w:w="1701" w:type="dxa"/>
            <w:vAlign w:val="center"/>
          </w:tcPr>
          <w:p w14:paraId="1F66EEBF"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 xml:space="preserve">5.4 </w:t>
            </w:r>
            <w:proofErr w:type="spellStart"/>
            <w:r w:rsidRPr="00884E3C">
              <w:rPr>
                <w:rFonts w:ascii="Arial" w:hAnsi="Arial" w:cs="Arial"/>
                <w:sz w:val="20"/>
                <w:szCs w:val="20"/>
              </w:rPr>
              <w:t>mPa.s</w:t>
            </w:r>
            <w:proofErr w:type="spellEnd"/>
          </w:p>
          <w:p w14:paraId="4AE1E2DD"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56C90B14"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29.1</w:t>
            </w:r>
          </w:p>
        </w:tc>
        <w:tc>
          <w:tcPr>
            <w:tcW w:w="992" w:type="dxa"/>
            <w:vAlign w:val="center"/>
          </w:tcPr>
          <w:p w14:paraId="79BAF373"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8.0</w:t>
            </w:r>
          </w:p>
        </w:tc>
        <w:tc>
          <w:tcPr>
            <w:tcW w:w="992" w:type="dxa"/>
            <w:vAlign w:val="center"/>
          </w:tcPr>
          <w:p w14:paraId="141A8648"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0.27</w:t>
            </w:r>
          </w:p>
        </w:tc>
        <w:tc>
          <w:tcPr>
            <w:tcW w:w="992" w:type="dxa"/>
            <w:vAlign w:val="center"/>
          </w:tcPr>
          <w:p w14:paraId="589E233D"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0.40</w:t>
            </w:r>
          </w:p>
        </w:tc>
        <w:tc>
          <w:tcPr>
            <w:tcW w:w="993" w:type="dxa"/>
            <w:vAlign w:val="center"/>
          </w:tcPr>
          <w:p w14:paraId="45BAC602"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32.4</w:t>
            </w:r>
          </w:p>
        </w:tc>
        <w:tc>
          <w:tcPr>
            <w:tcW w:w="850" w:type="dxa"/>
            <w:vAlign w:val="center"/>
          </w:tcPr>
          <w:p w14:paraId="294B1551"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1.48</w:t>
            </w:r>
          </w:p>
        </w:tc>
        <w:tc>
          <w:tcPr>
            <w:tcW w:w="567" w:type="dxa"/>
            <w:vAlign w:val="center"/>
          </w:tcPr>
          <w:p w14:paraId="407D8F0E"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58</w:t>
            </w:r>
          </w:p>
        </w:tc>
        <w:tc>
          <w:tcPr>
            <w:tcW w:w="992" w:type="dxa"/>
            <w:vAlign w:val="center"/>
          </w:tcPr>
          <w:p w14:paraId="2BE5E2A1"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1.7</w:t>
            </w:r>
          </w:p>
        </w:tc>
        <w:tc>
          <w:tcPr>
            <w:tcW w:w="709" w:type="dxa"/>
            <w:vAlign w:val="center"/>
          </w:tcPr>
          <w:p w14:paraId="2D340C76"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2.2</w:t>
            </w:r>
          </w:p>
        </w:tc>
        <w:tc>
          <w:tcPr>
            <w:tcW w:w="1276" w:type="dxa"/>
            <w:vAlign w:val="center"/>
          </w:tcPr>
          <w:p w14:paraId="40CED9C4"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7.2</w:t>
            </w:r>
          </w:p>
        </w:tc>
      </w:tr>
      <w:tr w:rsidR="00A46C49" w:rsidRPr="00884E3C" w14:paraId="12FACE43" w14:textId="77777777" w:rsidTr="003F0373">
        <w:trPr>
          <w:trHeight w:val="18"/>
          <w:jc w:val="center"/>
        </w:trPr>
        <w:tc>
          <w:tcPr>
            <w:tcW w:w="2263" w:type="dxa"/>
            <w:vAlign w:val="center"/>
          </w:tcPr>
          <w:p w14:paraId="3F025BF3" w14:textId="77777777" w:rsidR="00A46C49" w:rsidRPr="00884E3C" w:rsidRDefault="00A46C49" w:rsidP="00080238">
            <w:pPr>
              <w:ind w:firstLine="35"/>
              <w:rPr>
                <w:rFonts w:ascii="Arial" w:eastAsia="Times New Roman" w:hAnsi="Arial" w:cs="Arial"/>
                <w:sz w:val="20"/>
                <w:szCs w:val="20"/>
                <w:lang w:eastAsia="en-IN"/>
              </w:rPr>
            </w:pPr>
            <w:r w:rsidRPr="00884E3C">
              <w:rPr>
                <w:rFonts w:ascii="Arial" w:eastAsia="Times New Roman" w:hAnsi="Arial" w:cs="Arial"/>
                <w:sz w:val="20"/>
                <w:szCs w:val="20"/>
                <w:lang w:eastAsia="en-IN"/>
              </w:rPr>
              <w:t>METHOCEL™ E15 Premium LV</w:t>
            </w:r>
          </w:p>
        </w:tc>
        <w:tc>
          <w:tcPr>
            <w:tcW w:w="1560" w:type="dxa"/>
            <w:vAlign w:val="center"/>
          </w:tcPr>
          <w:p w14:paraId="588E5D88" w14:textId="77777777" w:rsidR="00A46C49" w:rsidRPr="00884E3C" w:rsidRDefault="00A46C49" w:rsidP="00080238">
            <w:pPr>
              <w:ind w:left="142" w:hanging="253"/>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Dupont</w:t>
            </w:r>
          </w:p>
        </w:tc>
        <w:tc>
          <w:tcPr>
            <w:tcW w:w="1701" w:type="dxa"/>
            <w:vAlign w:val="center"/>
          </w:tcPr>
          <w:p w14:paraId="68A70598"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 xml:space="preserve">14 </w:t>
            </w:r>
            <w:proofErr w:type="spellStart"/>
            <w:r w:rsidRPr="00884E3C">
              <w:rPr>
                <w:rFonts w:ascii="Arial" w:hAnsi="Arial" w:cs="Arial"/>
                <w:sz w:val="20"/>
                <w:szCs w:val="20"/>
              </w:rPr>
              <w:t>mPa.s</w:t>
            </w:r>
            <w:proofErr w:type="spellEnd"/>
          </w:p>
          <w:p w14:paraId="6A8E743A"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760DD75E"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28.5</w:t>
            </w:r>
          </w:p>
        </w:tc>
        <w:tc>
          <w:tcPr>
            <w:tcW w:w="992" w:type="dxa"/>
            <w:vAlign w:val="center"/>
          </w:tcPr>
          <w:p w14:paraId="0C0C2C7C"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8.8</w:t>
            </w:r>
          </w:p>
        </w:tc>
        <w:tc>
          <w:tcPr>
            <w:tcW w:w="992" w:type="dxa"/>
            <w:vAlign w:val="center"/>
          </w:tcPr>
          <w:p w14:paraId="4A1343EC"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0.28</w:t>
            </w:r>
          </w:p>
        </w:tc>
        <w:tc>
          <w:tcPr>
            <w:tcW w:w="992" w:type="dxa"/>
            <w:vAlign w:val="center"/>
          </w:tcPr>
          <w:p w14:paraId="60219B62"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0.45</w:t>
            </w:r>
          </w:p>
        </w:tc>
        <w:tc>
          <w:tcPr>
            <w:tcW w:w="993" w:type="dxa"/>
            <w:vAlign w:val="center"/>
          </w:tcPr>
          <w:p w14:paraId="0452F8F7"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36.8</w:t>
            </w:r>
          </w:p>
        </w:tc>
        <w:tc>
          <w:tcPr>
            <w:tcW w:w="850" w:type="dxa"/>
            <w:vAlign w:val="center"/>
          </w:tcPr>
          <w:p w14:paraId="7E25C097"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1.58</w:t>
            </w:r>
          </w:p>
        </w:tc>
        <w:tc>
          <w:tcPr>
            <w:tcW w:w="567" w:type="dxa"/>
            <w:vAlign w:val="center"/>
          </w:tcPr>
          <w:p w14:paraId="095A6F26"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62</w:t>
            </w:r>
          </w:p>
        </w:tc>
        <w:tc>
          <w:tcPr>
            <w:tcW w:w="992" w:type="dxa"/>
            <w:vAlign w:val="center"/>
          </w:tcPr>
          <w:p w14:paraId="6D66B5E1"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1.7</w:t>
            </w:r>
          </w:p>
        </w:tc>
        <w:tc>
          <w:tcPr>
            <w:tcW w:w="709" w:type="dxa"/>
            <w:vAlign w:val="center"/>
          </w:tcPr>
          <w:p w14:paraId="185C77F8"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2.2</w:t>
            </w:r>
          </w:p>
        </w:tc>
        <w:tc>
          <w:tcPr>
            <w:tcW w:w="1276" w:type="dxa"/>
            <w:vAlign w:val="center"/>
          </w:tcPr>
          <w:p w14:paraId="2E73290E"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6.7</w:t>
            </w:r>
          </w:p>
        </w:tc>
      </w:tr>
      <w:tr w:rsidR="00A46C49" w:rsidRPr="00884E3C" w14:paraId="1457F2D1" w14:textId="77777777" w:rsidTr="003F0373">
        <w:trPr>
          <w:trHeight w:val="18"/>
          <w:jc w:val="center"/>
        </w:trPr>
        <w:tc>
          <w:tcPr>
            <w:tcW w:w="2263" w:type="dxa"/>
            <w:vAlign w:val="center"/>
          </w:tcPr>
          <w:p w14:paraId="3AC7A174" w14:textId="77777777" w:rsidR="00A46C49" w:rsidRPr="00884E3C" w:rsidRDefault="00A46C49" w:rsidP="00080238">
            <w:pPr>
              <w:ind w:firstLine="35"/>
              <w:rPr>
                <w:rFonts w:ascii="Arial" w:eastAsia="Times New Roman" w:hAnsi="Arial" w:cs="Arial"/>
                <w:sz w:val="20"/>
                <w:szCs w:val="20"/>
                <w:lang w:eastAsia="en-IN"/>
              </w:rPr>
            </w:pPr>
            <w:r w:rsidRPr="00884E3C">
              <w:rPr>
                <w:rFonts w:ascii="Arial" w:eastAsia="Times New Roman" w:hAnsi="Arial" w:cs="Arial"/>
                <w:sz w:val="20"/>
                <w:szCs w:val="20"/>
                <w:lang w:eastAsia="en-IN"/>
              </w:rPr>
              <w:t>METHOCEL™ K15 M Premium CR</w:t>
            </w:r>
          </w:p>
        </w:tc>
        <w:tc>
          <w:tcPr>
            <w:tcW w:w="1560" w:type="dxa"/>
            <w:vAlign w:val="center"/>
          </w:tcPr>
          <w:p w14:paraId="1789B310"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IFF Pharma Solutions</w:t>
            </w:r>
          </w:p>
        </w:tc>
        <w:tc>
          <w:tcPr>
            <w:tcW w:w="1701" w:type="dxa"/>
            <w:vAlign w:val="center"/>
          </w:tcPr>
          <w:p w14:paraId="18A73113"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 xml:space="preserve">17733 </w:t>
            </w:r>
            <w:proofErr w:type="spellStart"/>
            <w:r w:rsidRPr="00884E3C">
              <w:rPr>
                <w:rFonts w:ascii="Arial" w:hAnsi="Arial" w:cs="Arial"/>
                <w:sz w:val="20"/>
                <w:szCs w:val="20"/>
              </w:rPr>
              <w:t>mPa.s</w:t>
            </w:r>
            <w:proofErr w:type="spellEnd"/>
          </w:p>
          <w:p w14:paraId="61126B95"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1AB6307D"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23.0</w:t>
            </w:r>
          </w:p>
        </w:tc>
        <w:tc>
          <w:tcPr>
            <w:tcW w:w="992" w:type="dxa"/>
            <w:vAlign w:val="center"/>
          </w:tcPr>
          <w:p w14:paraId="5A6EDA77"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9.8</w:t>
            </w:r>
          </w:p>
        </w:tc>
        <w:tc>
          <w:tcPr>
            <w:tcW w:w="992" w:type="dxa"/>
            <w:vAlign w:val="center"/>
          </w:tcPr>
          <w:p w14:paraId="69BFE3C4"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0.27</w:t>
            </w:r>
          </w:p>
        </w:tc>
        <w:tc>
          <w:tcPr>
            <w:tcW w:w="992" w:type="dxa"/>
            <w:vAlign w:val="center"/>
          </w:tcPr>
          <w:p w14:paraId="0191BC8F"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0.44</w:t>
            </w:r>
          </w:p>
        </w:tc>
        <w:tc>
          <w:tcPr>
            <w:tcW w:w="993" w:type="dxa"/>
            <w:vAlign w:val="center"/>
          </w:tcPr>
          <w:p w14:paraId="4EFB7212"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37.5</w:t>
            </w:r>
          </w:p>
        </w:tc>
        <w:tc>
          <w:tcPr>
            <w:tcW w:w="850" w:type="dxa"/>
            <w:vAlign w:val="center"/>
          </w:tcPr>
          <w:p w14:paraId="1F53F841"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1.60</w:t>
            </w:r>
          </w:p>
        </w:tc>
        <w:tc>
          <w:tcPr>
            <w:tcW w:w="567" w:type="dxa"/>
            <w:vAlign w:val="center"/>
          </w:tcPr>
          <w:p w14:paraId="7367A123"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65</w:t>
            </w:r>
          </w:p>
        </w:tc>
        <w:tc>
          <w:tcPr>
            <w:tcW w:w="992" w:type="dxa"/>
            <w:vAlign w:val="center"/>
          </w:tcPr>
          <w:p w14:paraId="699DBF83"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1.7</w:t>
            </w:r>
          </w:p>
        </w:tc>
        <w:tc>
          <w:tcPr>
            <w:tcW w:w="709" w:type="dxa"/>
            <w:vAlign w:val="center"/>
          </w:tcPr>
          <w:p w14:paraId="63C8F1E9"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2.2</w:t>
            </w:r>
          </w:p>
        </w:tc>
        <w:tc>
          <w:tcPr>
            <w:tcW w:w="1276" w:type="dxa"/>
            <w:vAlign w:val="center"/>
          </w:tcPr>
          <w:p w14:paraId="2EF55202"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6.9</w:t>
            </w:r>
          </w:p>
        </w:tc>
      </w:tr>
      <w:tr w:rsidR="00A46C49" w:rsidRPr="00884E3C" w14:paraId="7B0B23CE" w14:textId="77777777" w:rsidTr="003F0373">
        <w:trPr>
          <w:trHeight w:val="18"/>
          <w:jc w:val="center"/>
        </w:trPr>
        <w:tc>
          <w:tcPr>
            <w:tcW w:w="2263" w:type="dxa"/>
            <w:vAlign w:val="center"/>
          </w:tcPr>
          <w:p w14:paraId="0D0AF879" w14:textId="77777777" w:rsidR="00A46C49" w:rsidRPr="00884E3C" w:rsidRDefault="00A46C49" w:rsidP="00080238">
            <w:pPr>
              <w:ind w:firstLine="35"/>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METHOCEL™ K100 Premium LVCR </w:t>
            </w:r>
          </w:p>
        </w:tc>
        <w:tc>
          <w:tcPr>
            <w:tcW w:w="1560" w:type="dxa"/>
            <w:vAlign w:val="center"/>
          </w:tcPr>
          <w:p w14:paraId="78EAE470" w14:textId="77777777" w:rsidR="00A46C49" w:rsidRPr="00884E3C" w:rsidRDefault="00A46C49" w:rsidP="00080238">
            <w:pPr>
              <w:ind w:left="142" w:hanging="253"/>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Dupont</w:t>
            </w:r>
          </w:p>
        </w:tc>
        <w:tc>
          <w:tcPr>
            <w:tcW w:w="1701" w:type="dxa"/>
            <w:vAlign w:val="center"/>
          </w:tcPr>
          <w:p w14:paraId="664A9C83"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 xml:space="preserve">91 </w:t>
            </w:r>
            <w:proofErr w:type="spellStart"/>
            <w:r w:rsidRPr="00884E3C">
              <w:rPr>
                <w:rFonts w:ascii="Arial" w:hAnsi="Arial" w:cs="Arial"/>
                <w:sz w:val="20"/>
                <w:szCs w:val="20"/>
              </w:rPr>
              <w:t>mPa.s</w:t>
            </w:r>
            <w:proofErr w:type="spellEnd"/>
          </w:p>
          <w:p w14:paraId="5763494C"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16FFBE2E"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23.1</w:t>
            </w:r>
          </w:p>
        </w:tc>
        <w:tc>
          <w:tcPr>
            <w:tcW w:w="992" w:type="dxa"/>
            <w:vAlign w:val="center"/>
          </w:tcPr>
          <w:p w14:paraId="6C2FAED2"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8.6</w:t>
            </w:r>
          </w:p>
        </w:tc>
        <w:tc>
          <w:tcPr>
            <w:tcW w:w="992" w:type="dxa"/>
            <w:vAlign w:val="center"/>
          </w:tcPr>
          <w:p w14:paraId="7C528C65"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0.31</w:t>
            </w:r>
          </w:p>
        </w:tc>
        <w:tc>
          <w:tcPr>
            <w:tcW w:w="992" w:type="dxa"/>
            <w:vAlign w:val="center"/>
          </w:tcPr>
          <w:p w14:paraId="05E1044B"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0.44</w:t>
            </w:r>
          </w:p>
        </w:tc>
        <w:tc>
          <w:tcPr>
            <w:tcW w:w="993" w:type="dxa"/>
            <w:vAlign w:val="center"/>
          </w:tcPr>
          <w:p w14:paraId="246E5FA1"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28.6</w:t>
            </w:r>
          </w:p>
        </w:tc>
        <w:tc>
          <w:tcPr>
            <w:tcW w:w="850" w:type="dxa"/>
            <w:vAlign w:val="center"/>
          </w:tcPr>
          <w:p w14:paraId="395767AC"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1.40</w:t>
            </w:r>
          </w:p>
        </w:tc>
        <w:tc>
          <w:tcPr>
            <w:tcW w:w="567" w:type="dxa"/>
            <w:vAlign w:val="center"/>
          </w:tcPr>
          <w:p w14:paraId="6931168F"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48</w:t>
            </w:r>
          </w:p>
        </w:tc>
        <w:tc>
          <w:tcPr>
            <w:tcW w:w="992" w:type="dxa"/>
            <w:vAlign w:val="center"/>
          </w:tcPr>
          <w:p w14:paraId="1B3B6D6E"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0.6</w:t>
            </w:r>
          </w:p>
        </w:tc>
        <w:tc>
          <w:tcPr>
            <w:tcW w:w="709" w:type="dxa"/>
            <w:vAlign w:val="center"/>
          </w:tcPr>
          <w:p w14:paraId="51E1C3A4"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0.8</w:t>
            </w:r>
          </w:p>
        </w:tc>
        <w:tc>
          <w:tcPr>
            <w:tcW w:w="1276" w:type="dxa"/>
            <w:vAlign w:val="center"/>
          </w:tcPr>
          <w:p w14:paraId="5D1B4AA2"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7.1</w:t>
            </w:r>
          </w:p>
        </w:tc>
      </w:tr>
      <w:tr w:rsidR="00A46C49" w:rsidRPr="00884E3C" w14:paraId="01862E1D" w14:textId="77777777" w:rsidTr="003F0373">
        <w:trPr>
          <w:trHeight w:val="18"/>
          <w:jc w:val="center"/>
        </w:trPr>
        <w:tc>
          <w:tcPr>
            <w:tcW w:w="2263" w:type="dxa"/>
            <w:vAlign w:val="center"/>
          </w:tcPr>
          <w:p w14:paraId="756998CF" w14:textId="77777777" w:rsidR="00A46C49" w:rsidRPr="00884E3C" w:rsidRDefault="00A46C49" w:rsidP="00080238">
            <w:pPr>
              <w:ind w:right="-241" w:firstLine="35"/>
              <w:rPr>
                <w:rFonts w:ascii="Arial" w:eastAsia="Times New Roman" w:hAnsi="Arial" w:cs="Arial"/>
                <w:sz w:val="20"/>
                <w:szCs w:val="20"/>
                <w:lang w:eastAsia="en-IN"/>
              </w:rPr>
            </w:pPr>
            <w:r w:rsidRPr="00884E3C">
              <w:rPr>
                <w:rFonts w:ascii="Arial" w:eastAsia="Times New Roman" w:hAnsi="Arial" w:cs="Arial"/>
                <w:sz w:val="20"/>
                <w:szCs w:val="20"/>
                <w:lang w:eastAsia="en-IN"/>
              </w:rPr>
              <w:t>METHOCEL™ K100</w:t>
            </w:r>
          </w:p>
          <w:p w14:paraId="6F182A84" w14:textId="77777777" w:rsidR="00A46C49" w:rsidRPr="00884E3C" w:rsidRDefault="00A46C49" w:rsidP="00080238">
            <w:pPr>
              <w:ind w:right="-241" w:firstLine="35"/>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M Premium CR </w:t>
            </w:r>
          </w:p>
        </w:tc>
        <w:tc>
          <w:tcPr>
            <w:tcW w:w="1560" w:type="dxa"/>
            <w:vAlign w:val="center"/>
          </w:tcPr>
          <w:p w14:paraId="0D240AC2"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Dow</w:t>
            </w:r>
          </w:p>
        </w:tc>
        <w:tc>
          <w:tcPr>
            <w:tcW w:w="1701" w:type="dxa"/>
            <w:vAlign w:val="center"/>
          </w:tcPr>
          <w:p w14:paraId="3ABD713E"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 xml:space="preserve">102778 </w:t>
            </w:r>
            <w:proofErr w:type="spellStart"/>
            <w:r w:rsidRPr="00884E3C">
              <w:rPr>
                <w:rFonts w:ascii="Arial" w:hAnsi="Arial" w:cs="Arial"/>
                <w:sz w:val="20"/>
                <w:szCs w:val="20"/>
              </w:rPr>
              <w:t>mPa.s</w:t>
            </w:r>
            <w:proofErr w:type="spellEnd"/>
          </w:p>
          <w:p w14:paraId="10AE3D47"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077199E6"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22.8</w:t>
            </w:r>
          </w:p>
        </w:tc>
        <w:tc>
          <w:tcPr>
            <w:tcW w:w="992" w:type="dxa"/>
            <w:vAlign w:val="center"/>
          </w:tcPr>
          <w:p w14:paraId="2C29BC83"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10.4</w:t>
            </w:r>
          </w:p>
        </w:tc>
        <w:tc>
          <w:tcPr>
            <w:tcW w:w="992" w:type="dxa"/>
            <w:vAlign w:val="center"/>
          </w:tcPr>
          <w:p w14:paraId="5831AAA8"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0.40</w:t>
            </w:r>
          </w:p>
        </w:tc>
        <w:tc>
          <w:tcPr>
            <w:tcW w:w="992" w:type="dxa"/>
            <w:vAlign w:val="center"/>
          </w:tcPr>
          <w:p w14:paraId="046CCA4C"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0.53</w:t>
            </w:r>
          </w:p>
        </w:tc>
        <w:tc>
          <w:tcPr>
            <w:tcW w:w="993" w:type="dxa"/>
            <w:vAlign w:val="center"/>
          </w:tcPr>
          <w:p w14:paraId="5C99823A"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24.0</w:t>
            </w:r>
          </w:p>
        </w:tc>
        <w:tc>
          <w:tcPr>
            <w:tcW w:w="850" w:type="dxa"/>
            <w:vAlign w:val="center"/>
          </w:tcPr>
          <w:p w14:paraId="0825C2E4"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1.32</w:t>
            </w:r>
          </w:p>
        </w:tc>
        <w:tc>
          <w:tcPr>
            <w:tcW w:w="567" w:type="dxa"/>
            <w:vAlign w:val="center"/>
          </w:tcPr>
          <w:p w14:paraId="2BB253CF"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42</w:t>
            </w:r>
          </w:p>
        </w:tc>
        <w:tc>
          <w:tcPr>
            <w:tcW w:w="992" w:type="dxa"/>
            <w:vAlign w:val="center"/>
          </w:tcPr>
          <w:p w14:paraId="734601C4"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1.3</w:t>
            </w:r>
          </w:p>
        </w:tc>
        <w:tc>
          <w:tcPr>
            <w:tcW w:w="709" w:type="dxa"/>
            <w:vAlign w:val="center"/>
          </w:tcPr>
          <w:p w14:paraId="5FBEA6AD"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1.7</w:t>
            </w:r>
          </w:p>
        </w:tc>
        <w:tc>
          <w:tcPr>
            <w:tcW w:w="1276" w:type="dxa"/>
            <w:vAlign w:val="center"/>
          </w:tcPr>
          <w:p w14:paraId="300D1909"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6.7</w:t>
            </w:r>
          </w:p>
        </w:tc>
      </w:tr>
      <w:tr w:rsidR="00A46C49" w:rsidRPr="00884E3C" w14:paraId="40CE3413" w14:textId="77777777" w:rsidTr="003F0373">
        <w:trPr>
          <w:trHeight w:val="18"/>
          <w:jc w:val="center"/>
        </w:trPr>
        <w:tc>
          <w:tcPr>
            <w:tcW w:w="2263" w:type="dxa"/>
            <w:vAlign w:val="center"/>
          </w:tcPr>
          <w:p w14:paraId="13A3B8B9" w14:textId="77777777" w:rsidR="00A46C49" w:rsidRPr="00884E3C" w:rsidRDefault="00A46C49" w:rsidP="00080238">
            <w:pPr>
              <w:ind w:firstLine="35"/>
              <w:rPr>
                <w:rFonts w:ascii="Arial" w:eastAsia="Times New Roman" w:hAnsi="Arial" w:cs="Arial"/>
                <w:sz w:val="20"/>
                <w:szCs w:val="20"/>
                <w:lang w:eastAsia="en-IN"/>
              </w:rPr>
            </w:pPr>
            <w:proofErr w:type="spellStart"/>
            <w:r w:rsidRPr="00884E3C">
              <w:rPr>
                <w:rFonts w:ascii="Arial" w:eastAsia="Times New Roman" w:hAnsi="Arial" w:cs="Arial"/>
                <w:sz w:val="20"/>
                <w:szCs w:val="20"/>
                <w:lang w:eastAsia="en-IN"/>
              </w:rPr>
              <w:t>Benecel</w:t>
            </w:r>
            <w:proofErr w:type="spellEnd"/>
            <w:r w:rsidRPr="00884E3C">
              <w:rPr>
                <w:rFonts w:ascii="Arial" w:eastAsia="Times New Roman" w:hAnsi="Arial" w:cs="Arial"/>
                <w:sz w:val="20"/>
                <w:szCs w:val="20"/>
                <w:lang w:eastAsia="en-IN"/>
              </w:rPr>
              <w:t>™ k4M Pharm XRF</w:t>
            </w:r>
          </w:p>
        </w:tc>
        <w:tc>
          <w:tcPr>
            <w:tcW w:w="1560" w:type="dxa"/>
            <w:vAlign w:val="center"/>
          </w:tcPr>
          <w:p w14:paraId="0AF24ECE" w14:textId="77777777" w:rsidR="00A46C49" w:rsidRPr="00884E3C" w:rsidRDefault="00A46C49" w:rsidP="00080238">
            <w:pPr>
              <w:ind w:left="142" w:hanging="253"/>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Ashland India Pvt Ltd</w:t>
            </w:r>
          </w:p>
        </w:tc>
        <w:tc>
          <w:tcPr>
            <w:tcW w:w="1701" w:type="dxa"/>
            <w:vAlign w:val="center"/>
          </w:tcPr>
          <w:p w14:paraId="0CC5D94B"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 xml:space="preserve">2919 </w:t>
            </w:r>
            <w:proofErr w:type="spellStart"/>
            <w:r w:rsidRPr="00884E3C">
              <w:rPr>
                <w:rFonts w:ascii="Arial" w:hAnsi="Arial" w:cs="Arial"/>
                <w:sz w:val="20"/>
                <w:szCs w:val="20"/>
              </w:rPr>
              <w:t>mPa.s</w:t>
            </w:r>
            <w:proofErr w:type="spellEnd"/>
          </w:p>
          <w:p w14:paraId="1D2DC0AB"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7F45149B"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23.9</w:t>
            </w:r>
          </w:p>
        </w:tc>
        <w:tc>
          <w:tcPr>
            <w:tcW w:w="992" w:type="dxa"/>
            <w:vAlign w:val="center"/>
          </w:tcPr>
          <w:p w14:paraId="18347483"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8.1</w:t>
            </w:r>
          </w:p>
        </w:tc>
        <w:tc>
          <w:tcPr>
            <w:tcW w:w="992" w:type="dxa"/>
            <w:vAlign w:val="center"/>
          </w:tcPr>
          <w:p w14:paraId="2F667A91"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0.27</w:t>
            </w:r>
          </w:p>
        </w:tc>
        <w:tc>
          <w:tcPr>
            <w:tcW w:w="992" w:type="dxa"/>
            <w:vAlign w:val="center"/>
          </w:tcPr>
          <w:p w14:paraId="0978D044"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0.43</w:t>
            </w:r>
          </w:p>
        </w:tc>
        <w:tc>
          <w:tcPr>
            <w:tcW w:w="993" w:type="dxa"/>
            <w:vAlign w:val="center"/>
          </w:tcPr>
          <w:p w14:paraId="7ADA6E08"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37.5</w:t>
            </w:r>
          </w:p>
        </w:tc>
        <w:tc>
          <w:tcPr>
            <w:tcW w:w="850" w:type="dxa"/>
            <w:vAlign w:val="center"/>
          </w:tcPr>
          <w:p w14:paraId="28BC24FD"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1.60</w:t>
            </w:r>
          </w:p>
        </w:tc>
        <w:tc>
          <w:tcPr>
            <w:tcW w:w="567" w:type="dxa"/>
            <w:vAlign w:val="center"/>
          </w:tcPr>
          <w:p w14:paraId="54E3CFF5"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65</w:t>
            </w:r>
          </w:p>
        </w:tc>
        <w:tc>
          <w:tcPr>
            <w:tcW w:w="992" w:type="dxa"/>
            <w:vAlign w:val="center"/>
          </w:tcPr>
          <w:p w14:paraId="42ADBFDF"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3.2</w:t>
            </w:r>
          </w:p>
        </w:tc>
        <w:tc>
          <w:tcPr>
            <w:tcW w:w="709" w:type="dxa"/>
            <w:vAlign w:val="center"/>
          </w:tcPr>
          <w:p w14:paraId="1EA6ADFF"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4.3</w:t>
            </w:r>
          </w:p>
        </w:tc>
        <w:tc>
          <w:tcPr>
            <w:tcW w:w="1276" w:type="dxa"/>
            <w:vAlign w:val="center"/>
          </w:tcPr>
          <w:p w14:paraId="7B6DDD42"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7.4</w:t>
            </w:r>
          </w:p>
        </w:tc>
      </w:tr>
      <w:tr w:rsidR="00A46C49" w:rsidRPr="00884E3C" w14:paraId="1BE69AE1" w14:textId="77777777" w:rsidTr="003F0373">
        <w:trPr>
          <w:trHeight w:val="18"/>
          <w:jc w:val="center"/>
        </w:trPr>
        <w:tc>
          <w:tcPr>
            <w:tcW w:w="2263" w:type="dxa"/>
            <w:vAlign w:val="center"/>
          </w:tcPr>
          <w:p w14:paraId="41B0838F" w14:textId="77777777" w:rsidR="00A46C49" w:rsidRPr="00884E3C" w:rsidRDefault="00A46C49" w:rsidP="00080238">
            <w:pPr>
              <w:ind w:firstLine="35"/>
              <w:rPr>
                <w:rFonts w:ascii="Arial" w:eastAsia="Times New Roman" w:hAnsi="Arial" w:cs="Arial"/>
                <w:sz w:val="20"/>
                <w:szCs w:val="20"/>
                <w:lang w:eastAsia="en-IN"/>
              </w:rPr>
            </w:pPr>
            <w:proofErr w:type="spellStart"/>
            <w:r w:rsidRPr="00884E3C">
              <w:rPr>
                <w:rFonts w:ascii="Arial" w:eastAsia="Times New Roman" w:hAnsi="Arial" w:cs="Arial"/>
                <w:sz w:val="20"/>
                <w:szCs w:val="20"/>
                <w:lang w:eastAsia="en-IN"/>
              </w:rPr>
              <w:t>Benecel</w:t>
            </w:r>
            <w:proofErr w:type="spellEnd"/>
            <w:r w:rsidRPr="00884E3C">
              <w:rPr>
                <w:rFonts w:ascii="Arial" w:eastAsia="Times New Roman" w:hAnsi="Arial" w:cs="Arial"/>
                <w:sz w:val="20"/>
                <w:szCs w:val="20"/>
                <w:lang w:eastAsia="en-IN"/>
              </w:rPr>
              <w:t>™ k15M Pharm XRF</w:t>
            </w:r>
          </w:p>
        </w:tc>
        <w:tc>
          <w:tcPr>
            <w:tcW w:w="1560" w:type="dxa"/>
            <w:vAlign w:val="center"/>
          </w:tcPr>
          <w:p w14:paraId="2BB3E9CE"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Ashland India Pvt Ltd</w:t>
            </w:r>
          </w:p>
        </w:tc>
        <w:tc>
          <w:tcPr>
            <w:tcW w:w="1701" w:type="dxa"/>
            <w:vAlign w:val="center"/>
          </w:tcPr>
          <w:p w14:paraId="301D4A0C"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 xml:space="preserve">19800 </w:t>
            </w:r>
            <w:proofErr w:type="spellStart"/>
            <w:r w:rsidRPr="00884E3C">
              <w:rPr>
                <w:rFonts w:ascii="Arial" w:hAnsi="Arial" w:cs="Arial"/>
                <w:sz w:val="20"/>
                <w:szCs w:val="20"/>
              </w:rPr>
              <w:t>mPa.s</w:t>
            </w:r>
            <w:proofErr w:type="spellEnd"/>
          </w:p>
          <w:p w14:paraId="6EAE6966"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340E735A"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23.4</w:t>
            </w:r>
          </w:p>
        </w:tc>
        <w:tc>
          <w:tcPr>
            <w:tcW w:w="992" w:type="dxa"/>
            <w:vAlign w:val="center"/>
          </w:tcPr>
          <w:p w14:paraId="296C22EE"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10.1</w:t>
            </w:r>
          </w:p>
        </w:tc>
        <w:tc>
          <w:tcPr>
            <w:tcW w:w="992" w:type="dxa"/>
            <w:vAlign w:val="center"/>
          </w:tcPr>
          <w:p w14:paraId="3484D922"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0.29</w:t>
            </w:r>
          </w:p>
        </w:tc>
        <w:tc>
          <w:tcPr>
            <w:tcW w:w="992" w:type="dxa"/>
            <w:vAlign w:val="center"/>
          </w:tcPr>
          <w:p w14:paraId="678AAA91"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0.45</w:t>
            </w:r>
          </w:p>
        </w:tc>
        <w:tc>
          <w:tcPr>
            <w:tcW w:w="993" w:type="dxa"/>
            <w:vAlign w:val="center"/>
          </w:tcPr>
          <w:p w14:paraId="4DBE65E0"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34.3</w:t>
            </w:r>
          </w:p>
        </w:tc>
        <w:tc>
          <w:tcPr>
            <w:tcW w:w="850" w:type="dxa"/>
            <w:vAlign w:val="center"/>
          </w:tcPr>
          <w:p w14:paraId="1C571D1E"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1.52</w:t>
            </w:r>
          </w:p>
        </w:tc>
        <w:tc>
          <w:tcPr>
            <w:tcW w:w="567" w:type="dxa"/>
            <w:vAlign w:val="center"/>
          </w:tcPr>
          <w:p w14:paraId="5504BA19"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58</w:t>
            </w:r>
          </w:p>
        </w:tc>
        <w:tc>
          <w:tcPr>
            <w:tcW w:w="992" w:type="dxa"/>
            <w:vAlign w:val="center"/>
          </w:tcPr>
          <w:p w14:paraId="316445BF"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2.6</w:t>
            </w:r>
          </w:p>
        </w:tc>
        <w:tc>
          <w:tcPr>
            <w:tcW w:w="709" w:type="dxa"/>
            <w:vAlign w:val="center"/>
          </w:tcPr>
          <w:p w14:paraId="6ED4831B"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3.5</w:t>
            </w:r>
          </w:p>
        </w:tc>
        <w:tc>
          <w:tcPr>
            <w:tcW w:w="1276" w:type="dxa"/>
            <w:vAlign w:val="center"/>
          </w:tcPr>
          <w:p w14:paraId="69B69107"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7.6</w:t>
            </w:r>
          </w:p>
        </w:tc>
      </w:tr>
      <w:tr w:rsidR="00A46C49" w:rsidRPr="00884E3C" w14:paraId="728966F4" w14:textId="77777777" w:rsidTr="003F0373">
        <w:trPr>
          <w:trHeight w:val="18"/>
          <w:jc w:val="center"/>
        </w:trPr>
        <w:tc>
          <w:tcPr>
            <w:tcW w:w="2263" w:type="dxa"/>
            <w:vAlign w:val="center"/>
          </w:tcPr>
          <w:p w14:paraId="78D05B56" w14:textId="77777777" w:rsidR="00A46C49" w:rsidRPr="00884E3C" w:rsidRDefault="00A46C49" w:rsidP="00080238">
            <w:pPr>
              <w:ind w:firstLine="35"/>
              <w:rPr>
                <w:rFonts w:ascii="Arial" w:eastAsia="Times New Roman" w:hAnsi="Arial" w:cs="Arial"/>
                <w:sz w:val="20"/>
                <w:szCs w:val="20"/>
                <w:lang w:eastAsia="en-IN"/>
              </w:rPr>
            </w:pPr>
            <w:proofErr w:type="spellStart"/>
            <w:r w:rsidRPr="00884E3C">
              <w:rPr>
                <w:rFonts w:ascii="Arial" w:eastAsia="Times New Roman" w:hAnsi="Arial" w:cs="Arial"/>
                <w:sz w:val="20"/>
                <w:szCs w:val="20"/>
                <w:lang w:eastAsia="en-IN"/>
              </w:rPr>
              <w:t>Benecel</w:t>
            </w:r>
            <w:proofErr w:type="spellEnd"/>
            <w:r w:rsidRPr="00884E3C">
              <w:rPr>
                <w:rFonts w:ascii="Arial" w:eastAsia="Times New Roman" w:hAnsi="Arial" w:cs="Arial"/>
                <w:sz w:val="20"/>
                <w:szCs w:val="20"/>
                <w:lang w:eastAsia="en-IN"/>
              </w:rPr>
              <w:t>™ k100M Pharm XR</w:t>
            </w:r>
          </w:p>
        </w:tc>
        <w:tc>
          <w:tcPr>
            <w:tcW w:w="1560" w:type="dxa"/>
            <w:vAlign w:val="center"/>
          </w:tcPr>
          <w:p w14:paraId="6C4CFBE2"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Ashland India Pvt Ltd</w:t>
            </w:r>
          </w:p>
        </w:tc>
        <w:tc>
          <w:tcPr>
            <w:tcW w:w="1701" w:type="dxa"/>
            <w:vAlign w:val="center"/>
          </w:tcPr>
          <w:p w14:paraId="606800DD"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 xml:space="preserve">116822 </w:t>
            </w:r>
            <w:proofErr w:type="spellStart"/>
            <w:r w:rsidRPr="00884E3C">
              <w:rPr>
                <w:rFonts w:ascii="Arial" w:hAnsi="Arial" w:cs="Arial"/>
                <w:sz w:val="20"/>
                <w:szCs w:val="20"/>
              </w:rPr>
              <w:t>mPa.s</w:t>
            </w:r>
            <w:proofErr w:type="spellEnd"/>
          </w:p>
          <w:p w14:paraId="10F6108E"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4AE5CB23"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23.1</w:t>
            </w:r>
          </w:p>
        </w:tc>
        <w:tc>
          <w:tcPr>
            <w:tcW w:w="992" w:type="dxa"/>
            <w:vAlign w:val="center"/>
          </w:tcPr>
          <w:p w14:paraId="6CAED65A"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9.9</w:t>
            </w:r>
          </w:p>
        </w:tc>
        <w:tc>
          <w:tcPr>
            <w:tcW w:w="992" w:type="dxa"/>
            <w:vAlign w:val="center"/>
          </w:tcPr>
          <w:p w14:paraId="0A623655"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0.25</w:t>
            </w:r>
          </w:p>
        </w:tc>
        <w:tc>
          <w:tcPr>
            <w:tcW w:w="992" w:type="dxa"/>
            <w:vAlign w:val="center"/>
          </w:tcPr>
          <w:p w14:paraId="74CB0343"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0.42</w:t>
            </w:r>
          </w:p>
        </w:tc>
        <w:tc>
          <w:tcPr>
            <w:tcW w:w="993" w:type="dxa"/>
            <w:vAlign w:val="center"/>
          </w:tcPr>
          <w:p w14:paraId="2B491DDF"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41.5</w:t>
            </w:r>
          </w:p>
        </w:tc>
        <w:tc>
          <w:tcPr>
            <w:tcW w:w="850" w:type="dxa"/>
            <w:vAlign w:val="center"/>
          </w:tcPr>
          <w:p w14:paraId="2F0BC9A8"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1.71</w:t>
            </w:r>
          </w:p>
        </w:tc>
        <w:tc>
          <w:tcPr>
            <w:tcW w:w="567" w:type="dxa"/>
            <w:vAlign w:val="center"/>
          </w:tcPr>
          <w:p w14:paraId="7243FD1B"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68</w:t>
            </w:r>
          </w:p>
        </w:tc>
        <w:tc>
          <w:tcPr>
            <w:tcW w:w="992" w:type="dxa"/>
            <w:vAlign w:val="center"/>
          </w:tcPr>
          <w:p w14:paraId="3551F529"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1.1</w:t>
            </w:r>
          </w:p>
        </w:tc>
        <w:tc>
          <w:tcPr>
            <w:tcW w:w="709" w:type="dxa"/>
            <w:vAlign w:val="center"/>
          </w:tcPr>
          <w:p w14:paraId="24370594"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1.4</w:t>
            </w:r>
          </w:p>
        </w:tc>
        <w:tc>
          <w:tcPr>
            <w:tcW w:w="1276" w:type="dxa"/>
            <w:vAlign w:val="center"/>
          </w:tcPr>
          <w:p w14:paraId="6DDDD6E1"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7.3</w:t>
            </w:r>
          </w:p>
        </w:tc>
      </w:tr>
      <w:tr w:rsidR="00A46C49" w:rsidRPr="00884E3C" w14:paraId="138BAB74" w14:textId="77777777" w:rsidTr="003F0373">
        <w:trPr>
          <w:trHeight w:val="18"/>
          <w:jc w:val="center"/>
        </w:trPr>
        <w:tc>
          <w:tcPr>
            <w:tcW w:w="2263" w:type="dxa"/>
            <w:vAlign w:val="center"/>
          </w:tcPr>
          <w:p w14:paraId="1C3F8A2A" w14:textId="77777777" w:rsidR="00A46C49" w:rsidRPr="00884E3C" w:rsidRDefault="00A46C49" w:rsidP="00080238">
            <w:pPr>
              <w:ind w:firstLine="35"/>
              <w:rPr>
                <w:rFonts w:ascii="Arial" w:eastAsia="Times New Roman" w:hAnsi="Arial" w:cs="Arial"/>
                <w:sz w:val="20"/>
                <w:szCs w:val="20"/>
              </w:rPr>
            </w:pPr>
            <w:proofErr w:type="spellStart"/>
            <w:r w:rsidRPr="00884E3C">
              <w:rPr>
                <w:rFonts w:ascii="Arial" w:eastAsia="Times New Roman" w:hAnsi="Arial" w:cs="Arial"/>
                <w:sz w:val="20"/>
                <w:szCs w:val="20"/>
                <w:lang w:eastAsia="en-IN"/>
              </w:rPr>
              <w:t>Klucel</w:t>
            </w:r>
            <w:proofErr w:type="spellEnd"/>
            <w:r w:rsidRPr="00884E3C">
              <w:rPr>
                <w:rFonts w:ascii="Arial" w:eastAsia="Times New Roman" w:hAnsi="Arial" w:cs="Arial"/>
                <w:sz w:val="20"/>
                <w:szCs w:val="20"/>
                <w:lang w:eastAsia="en-IN"/>
              </w:rPr>
              <w:t>™ LF pharm</w:t>
            </w:r>
          </w:p>
        </w:tc>
        <w:tc>
          <w:tcPr>
            <w:tcW w:w="1560" w:type="dxa"/>
            <w:vAlign w:val="center"/>
          </w:tcPr>
          <w:p w14:paraId="4CA439E9"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Ashland India Pvt Ltd</w:t>
            </w:r>
          </w:p>
        </w:tc>
        <w:tc>
          <w:tcPr>
            <w:tcW w:w="1701" w:type="dxa"/>
            <w:vAlign w:val="center"/>
          </w:tcPr>
          <w:p w14:paraId="534E7284"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101 cps</w:t>
            </w:r>
          </w:p>
          <w:p w14:paraId="038C07C0"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(5% in water)</w:t>
            </w:r>
          </w:p>
        </w:tc>
        <w:tc>
          <w:tcPr>
            <w:tcW w:w="1134" w:type="dxa"/>
            <w:vAlign w:val="center"/>
          </w:tcPr>
          <w:p w14:paraId="2E120367"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w:t>
            </w:r>
          </w:p>
        </w:tc>
        <w:tc>
          <w:tcPr>
            <w:tcW w:w="992" w:type="dxa"/>
            <w:vAlign w:val="center"/>
          </w:tcPr>
          <w:p w14:paraId="0419582B"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74.3</w:t>
            </w:r>
          </w:p>
        </w:tc>
        <w:tc>
          <w:tcPr>
            <w:tcW w:w="992" w:type="dxa"/>
            <w:vAlign w:val="center"/>
          </w:tcPr>
          <w:p w14:paraId="5B58239D"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0.41</w:t>
            </w:r>
          </w:p>
        </w:tc>
        <w:tc>
          <w:tcPr>
            <w:tcW w:w="992" w:type="dxa"/>
            <w:vAlign w:val="center"/>
          </w:tcPr>
          <w:p w14:paraId="5F5B2E80"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0.57</w:t>
            </w:r>
          </w:p>
        </w:tc>
        <w:tc>
          <w:tcPr>
            <w:tcW w:w="993" w:type="dxa"/>
            <w:vAlign w:val="center"/>
          </w:tcPr>
          <w:p w14:paraId="4813D6FE"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28.0</w:t>
            </w:r>
          </w:p>
        </w:tc>
        <w:tc>
          <w:tcPr>
            <w:tcW w:w="850" w:type="dxa"/>
            <w:vAlign w:val="center"/>
          </w:tcPr>
          <w:p w14:paraId="3C2B96BB"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1.39</w:t>
            </w:r>
          </w:p>
        </w:tc>
        <w:tc>
          <w:tcPr>
            <w:tcW w:w="567" w:type="dxa"/>
            <w:vAlign w:val="center"/>
          </w:tcPr>
          <w:p w14:paraId="6F425035"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48</w:t>
            </w:r>
          </w:p>
        </w:tc>
        <w:tc>
          <w:tcPr>
            <w:tcW w:w="992" w:type="dxa"/>
            <w:vAlign w:val="center"/>
          </w:tcPr>
          <w:p w14:paraId="5E0BFE02"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1.4</w:t>
            </w:r>
          </w:p>
        </w:tc>
        <w:tc>
          <w:tcPr>
            <w:tcW w:w="709" w:type="dxa"/>
            <w:vAlign w:val="center"/>
          </w:tcPr>
          <w:p w14:paraId="0D1C7D34"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1.9</w:t>
            </w:r>
          </w:p>
        </w:tc>
        <w:tc>
          <w:tcPr>
            <w:tcW w:w="1276" w:type="dxa"/>
            <w:vAlign w:val="center"/>
          </w:tcPr>
          <w:p w14:paraId="18FBEBA4"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6.5</w:t>
            </w:r>
          </w:p>
        </w:tc>
      </w:tr>
      <w:tr w:rsidR="00A46C49" w:rsidRPr="00884E3C" w14:paraId="2F91E1CA" w14:textId="77777777" w:rsidTr="003F0373">
        <w:trPr>
          <w:trHeight w:val="18"/>
          <w:jc w:val="center"/>
        </w:trPr>
        <w:tc>
          <w:tcPr>
            <w:tcW w:w="2263" w:type="dxa"/>
            <w:vAlign w:val="center"/>
          </w:tcPr>
          <w:p w14:paraId="703D2F72" w14:textId="77777777" w:rsidR="00A46C49" w:rsidRPr="00884E3C" w:rsidRDefault="00A46C49" w:rsidP="00080238">
            <w:pPr>
              <w:ind w:firstLine="35"/>
              <w:rPr>
                <w:rFonts w:ascii="Arial" w:eastAsia="Times New Roman" w:hAnsi="Arial" w:cs="Arial"/>
                <w:sz w:val="20"/>
                <w:szCs w:val="20"/>
                <w:lang w:eastAsia="en-IN"/>
              </w:rPr>
            </w:pPr>
            <w:proofErr w:type="spellStart"/>
            <w:r w:rsidRPr="00884E3C">
              <w:rPr>
                <w:rFonts w:ascii="Arial" w:eastAsia="Times New Roman" w:hAnsi="Arial" w:cs="Arial"/>
                <w:sz w:val="20"/>
                <w:szCs w:val="20"/>
                <w:lang w:eastAsia="en-IN"/>
              </w:rPr>
              <w:t>Klucel</w:t>
            </w:r>
            <w:proofErr w:type="spellEnd"/>
            <w:r w:rsidRPr="00884E3C">
              <w:rPr>
                <w:rFonts w:ascii="Arial" w:eastAsia="Times New Roman" w:hAnsi="Arial" w:cs="Arial"/>
                <w:sz w:val="20"/>
                <w:szCs w:val="20"/>
                <w:lang w:eastAsia="en-IN"/>
              </w:rPr>
              <w:t>™ EF pharm</w:t>
            </w:r>
          </w:p>
        </w:tc>
        <w:tc>
          <w:tcPr>
            <w:tcW w:w="1560" w:type="dxa"/>
            <w:vAlign w:val="center"/>
          </w:tcPr>
          <w:p w14:paraId="76520BFE"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Ashland India Pvt Ltd</w:t>
            </w:r>
          </w:p>
        </w:tc>
        <w:tc>
          <w:tcPr>
            <w:tcW w:w="1701" w:type="dxa"/>
            <w:vAlign w:val="center"/>
          </w:tcPr>
          <w:p w14:paraId="44A2F88C"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430 cps</w:t>
            </w:r>
          </w:p>
          <w:p w14:paraId="3B25F4A4"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(10% in water)</w:t>
            </w:r>
          </w:p>
        </w:tc>
        <w:tc>
          <w:tcPr>
            <w:tcW w:w="1134" w:type="dxa"/>
            <w:vAlign w:val="center"/>
          </w:tcPr>
          <w:p w14:paraId="3A2712FE"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w:t>
            </w:r>
          </w:p>
        </w:tc>
        <w:tc>
          <w:tcPr>
            <w:tcW w:w="992" w:type="dxa"/>
            <w:vAlign w:val="center"/>
          </w:tcPr>
          <w:p w14:paraId="081064D5"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72.8</w:t>
            </w:r>
          </w:p>
        </w:tc>
        <w:tc>
          <w:tcPr>
            <w:tcW w:w="992" w:type="dxa"/>
            <w:vAlign w:val="center"/>
          </w:tcPr>
          <w:p w14:paraId="77F8E896"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0.37</w:t>
            </w:r>
          </w:p>
        </w:tc>
        <w:tc>
          <w:tcPr>
            <w:tcW w:w="992" w:type="dxa"/>
            <w:vAlign w:val="center"/>
          </w:tcPr>
          <w:p w14:paraId="22FFBEF3"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0.51</w:t>
            </w:r>
          </w:p>
        </w:tc>
        <w:tc>
          <w:tcPr>
            <w:tcW w:w="993" w:type="dxa"/>
            <w:vAlign w:val="center"/>
          </w:tcPr>
          <w:p w14:paraId="484D3EE0"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25.9</w:t>
            </w:r>
          </w:p>
        </w:tc>
        <w:tc>
          <w:tcPr>
            <w:tcW w:w="850" w:type="dxa"/>
            <w:vAlign w:val="center"/>
          </w:tcPr>
          <w:p w14:paraId="567205F8"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1.35</w:t>
            </w:r>
          </w:p>
        </w:tc>
        <w:tc>
          <w:tcPr>
            <w:tcW w:w="567" w:type="dxa"/>
            <w:vAlign w:val="center"/>
          </w:tcPr>
          <w:p w14:paraId="6F5BD8D4"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45</w:t>
            </w:r>
          </w:p>
        </w:tc>
        <w:tc>
          <w:tcPr>
            <w:tcW w:w="992" w:type="dxa"/>
            <w:vAlign w:val="center"/>
          </w:tcPr>
          <w:p w14:paraId="319A1FC6"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1.1</w:t>
            </w:r>
          </w:p>
        </w:tc>
        <w:tc>
          <w:tcPr>
            <w:tcW w:w="709" w:type="dxa"/>
            <w:vAlign w:val="center"/>
          </w:tcPr>
          <w:p w14:paraId="00C1B1FF"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1.4</w:t>
            </w:r>
          </w:p>
        </w:tc>
        <w:tc>
          <w:tcPr>
            <w:tcW w:w="1276" w:type="dxa"/>
            <w:vAlign w:val="center"/>
          </w:tcPr>
          <w:p w14:paraId="21D6268E"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6.0</w:t>
            </w:r>
          </w:p>
        </w:tc>
      </w:tr>
      <w:tr w:rsidR="00A46C49" w:rsidRPr="00884E3C" w14:paraId="49469531" w14:textId="77777777" w:rsidTr="003F0373">
        <w:trPr>
          <w:trHeight w:val="18"/>
          <w:jc w:val="center"/>
        </w:trPr>
        <w:tc>
          <w:tcPr>
            <w:tcW w:w="2263" w:type="dxa"/>
            <w:vAlign w:val="center"/>
          </w:tcPr>
          <w:p w14:paraId="0A8FDD50" w14:textId="77777777" w:rsidR="00A46C49" w:rsidRPr="00884E3C" w:rsidRDefault="00A46C49" w:rsidP="00080238">
            <w:pPr>
              <w:ind w:firstLine="35"/>
              <w:rPr>
                <w:rFonts w:ascii="Arial" w:eastAsia="Times New Roman" w:hAnsi="Arial" w:cs="Arial"/>
                <w:sz w:val="20"/>
                <w:szCs w:val="20"/>
                <w:lang w:eastAsia="en-IN"/>
              </w:rPr>
            </w:pPr>
            <w:proofErr w:type="spellStart"/>
            <w:r w:rsidRPr="00884E3C">
              <w:rPr>
                <w:rFonts w:ascii="Arial" w:eastAsia="Times New Roman" w:hAnsi="Arial" w:cs="Arial"/>
                <w:sz w:val="20"/>
                <w:szCs w:val="20"/>
                <w:lang w:eastAsia="en-IN"/>
              </w:rPr>
              <w:t>Klucel</w:t>
            </w:r>
            <w:proofErr w:type="spellEnd"/>
            <w:r w:rsidRPr="00884E3C">
              <w:rPr>
                <w:rFonts w:ascii="Arial" w:eastAsia="Times New Roman" w:hAnsi="Arial" w:cs="Arial"/>
                <w:sz w:val="20"/>
                <w:szCs w:val="20"/>
                <w:lang w:eastAsia="en-IN"/>
              </w:rPr>
              <w:t>™ JF pharm</w:t>
            </w:r>
          </w:p>
        </w:tc>
        <w:tc>
          <w:tcPr>
            <w:tcW w:w="1560" w:type="dxa"/>
            <w:vAlign w:val="center"/>
          </w:tcPr>
          <w:p w14:paraId="4C29F681"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Ashland India Pvt Ltd</w:t>
            </w:r>
          </w:p>
        </w:tc>
        <w:tc>
          <w:tcPr>
            <w:tcW w:w="1701" w:type="dxa"/>
            <w:vAlign w:val="center"/>
          </w:tcPr>
          <w:p w14:paraId="00E28A0C"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205 cps</w:t>
            </w:r>
          </w:p>
          <w:p w14:paraId="0DD69B9F"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(5% in water)</w:t>
            </w:r>
          </w:p>
        </w:tc>
        <w:tc>
          <w:tcPr>
            <w:tcW w:w="1134" w:type="dxa"/>
            <w:vAlign w:val="center"/>
          </w:tcPr>
          <w:p w14:paraId="7D1CCB25"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w:t>
            </w:r>
          </w:p>
        </w:tc>
        <w:tc>
          <w:tcPr>
            <w:tcW w:w="992" w:type="dxa"/>
            <w:vAlign w:val="center"/>
          </w:tcPr>
          <w:p w14:paraId="54AA5279"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72.5</w:t>
            </w:r>
          </w:p>
        </w:tc>
        <w:tc>
          <w:tcPr>
            <w:tcW w:w="992" w:type="dxa"/>
            <w:vAlign w:val="center"/>
          </w:tcPr>
          <w:p w14:paraId="252AD023"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0.37</w:t>
            </w:r>
          </w:p>
        </w:tc>
        <w:tc>
          <w:tcPr>
            <w:tcW w:w="992" w:type="dxa"/>
            <w:vAlign w:val="center"/>
          </w:tcPr>
          <w:p w14:paraId="767FA2EE"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0.52</w:t>
            </w:r>
          </w:p>
        </w:tc>
        <w:tc>
          <w:tcPr>
            <w:tcW w:w="993" w:type="dxa"/>
            <w:vAlign w:val="center"/>
          </w:tcPr>
          <w:p w14:paraId="199A8AF6"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28.6</w:t>
            </w:r>
          </w:p>
        </w:tc>
        <w:tc>
          <w:tcPr>
            <w:tcW w:w="850" w:type="dxa"/>
            <w:vAlign w:val="center"/>
          </w:tcPr>
          <w:p w14:paraId="58D1B4A4"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1.40</w:t>
            </w:r>
          </w:p>
        </w:tc>
        <w:tc>
          <w:tcPr>
            <w:tcW w:w="567" w:type="dxa"/>
            <w:vAlign w:val="center"/>
          </w:tcPr>
          <w:p w14:paraId="000BD70A"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48</w:t>
            </w:r>
          </w:p>
        </w:tc>
        <w:tc>
          <w:tcPr>
            <w:tcW w:w="992" w:type="dxa"/>
            <w:vAlign w:val="center"/>
          </w:tcPr>
          <w:p w14:paraId="61455DD7"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1.5</w:t>
            </w:r>
          </w:p>
        </w:tc>
        <w:tc>
          <w:tcPr>
            <w:tcW w:w="709" w:type="dxa"/>
            <w:vAlign w:val="center"/>
          </w:tcPr>
          <w:p w14:paraId="3D2DFEB0"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2.0</w:t>
            </w:r>
          </w:p>
        </w:tc>
        <w:tc>
          <w:tcPr>
            <w:tcW w:w="1276" w:type="dxa"/>
            <w:vAlign w:val="center"/>
          </w:tcPr>
          <w:p w14:paraId="28907789"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5.3</w:t>
            </w:r>
          </w:p>
        </w:tc>
      </w:tr>
      <w:tr w:rsidR="00A46C49" w:rsidRPr="00884E3C" w14:paraId="2F09D298" w14:textId="77777777" w:rsidTr="003F0373">
        <w:trPr>
          <w:trHeight w:val="18"/>
          <w:jc w:val="center"/>
        </w:trPr>
        <w:tc>
          <w:tcPr>
            <w:tcW w:w="2263" w:type="dxa"/>
            <w:vAlign w:val="center"/>
          </w:tcPr>
          <w:p w14:paraId="33D64B26" w14:textId="77777777" w:rsidR="00A46C49" w:rsidRPr="00884E3C" w:rsidRDefault="00A46C49" w:rsidP="00080238">
            <w:pPr>
              <w:ind w:firstLine="35"/>
              <w:rPr>
                <w:rFonts w:ascii="Arial" w:eastAsia="Times New Roman" w:hAnsi="Arial" w:cs="Arial"/>
                <w:sz w:val="20"/>
                <w:szCs w:val="20"/>
                <w:lang w:eastAsia="en-IN"/>
              </w:rPr>
            </w:pPr>
            <w:proofErr w:type="spellStart"/>
            <w:r w:rsidRPr="00884E3C">
              <w:rPr>
                <w:rFonts w:ascii="Arial" w:eastAsia="Times New Roman" w:hAnsi="Arial" w:cs="Arial"/>
                <w:sz w:val="20"/>
                <w:szCs w:val="20"/>
                <w:lang w:eastAsia="en-IN"/>
              </w:rPr>
              <w:t>Klucel</w:t>
            </w:r>
            <w:proofErr w:type="spellEnd"/>
            <w:r w:rsidRPr="00884E3C">
              <w:rPr>
                <w:rFonts w:ascii="Arial" w:eastAsia="Times New Roman" w:hAnsi="Arial" w:cs="Arial"/>
                <w:sz w:val="20"/>
                <w:szCs w:val="20"/>
                <w:lang w:eastAsia="en-IN"/>
              </w:rPr>
              <w:t>™ HF pharm</w:t>
            </w:r>
          </w:p>
        </w:tc>
        <w:tc>
          <w:tcPr>
            <w:tcW w:w="1560" w:type="dxa"/>
            <w:vAlign w:val="center"/>
          </w:tcPr>
          <w:p w14:paraId="3F0DBC2F"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Ashland India Pvt Ltd</w:t>
            </w:r>
          </w:p>
        </w:tc>
        <w:tc>
          <w:tcPr>
            <w:tcW w:w="1701" w:type="dxa"/>
            <w:vAlign w:val="center"/>
          </w:tcPr>
          <w:p w14:paraId="0CF92694"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2074 cps</w:t>
            </w:r>
          </w:p>
          <w:p w14:paraId="4D49A487"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(1% in water)</w:t>
            </w:r>
          </w:p>
        </w:tc>
        <w:tc>
          <w:tcPr>
            <w:tcW w:w="1134" w:type="dxa"/>
            <w:vAlign w:val="center"/>
          </w:tcPr>
          <w:p w14:paraId="1D39A1B1"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w:t>
            </w:r>
          </w:p>
        </w:tc>
        <w:tc>
          <w:tcPr>
            <w:tcW w:w="992" w:type="dxa"/>
            <w:vAlign w:val="center"/>
          </w:tcPr>
          <w:p w14:paraId="46FCC430"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74.5</w:t>
            </w:r>
          </w:p>
        </w:tc>
        <w:tc>
          <w:tcPr>
            <w:tcW w:w="992" w:type="dxa"/>
            <w:vAlign w:val="center"/>
          </w:tcPr>
          <w:p w14:paraId="69FF4AD0"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0.31</w:t>
            </w:r>
          </w:p>
        </w:tc>
        <w:tc>
          <w:tcPr>
            <w:tcW w:w="992" w:type="dxa"/>
            <w:vAlign w:val="center"/>
          </w:tcPr>
          <w:p w14:paraId="01E6048E"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0.42</w:t>
            </w:r>
          </w:p>
        </w:tc>
        <w:tc>
          <w:tcPr>
            <w:tcW w:w="993" w:type="dxa"/>
            <w:vAlign w:val="center"/>
          </w:tcPr>
          <w:p w14:paraId="704959C8"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27.3</w:t>
            </w:r>
          </w:p>
        </w:tc>
        <w:tc>
          <w:tcPr>
            <w:tcW w:w="850" w:type="dxa"/>
            <w:vAlign w:val="center"/>
          </w:tcPr>
          <w:p w14:paraId="49062F37"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1.37</w:t>
            </w:r>
          </w:p>
        </w:tc>
        <w:tc>
          <w:tcPr>
            <w:tcW w:w="567" w:type="dxa"/>
            <w:vAlign w:val="center"/>
          </w:tcPr>
          <w:p w14:paraId="0D4E2E92"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46</w:t>
            </w:r>
          </w:p>
        </w:tc>
        <w:tc>
          <w:tcPr>
            <w:tcW w:w="992" w:type="dxa"/>
            <w:vAlign w:val="center"/>
          </w:tcPr>
          <w:p w14:paraId="0B5D4580"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0.6</w:t>
            </w:r>
          </w:p>
        </w:tc>
        <w:tc>
          <w:tcPr>
            <w:tcW w:w="709" w:type="dxa"/>
            <w:vAlign w:val="center"/>
          </w:tcPr>
          <w:p w14:paraId="143FE44B"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0.8</w:t>
            </w:r>
          </w:p>
        </w:tc>
        <w:tc>
          <w:tcPr>
            <w:tcW w:w="1276" w:type="dxa"/>
            <w:vAlign w:val="center"/>
          </w:tcPr>
          <w:p w14:paraId="7225CBD6"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6.9</w:t>
            </w:r>
          </w:p>
        </w:tc>
      </w:tr>
      <w:tr w:rsidR="00A46C49" w:rsidRPr="00884E3C" w14:paraId="37E029EC" w14:textId="77777777" w:rsidTr="003F0373">
        <w:trPr>
          <w:trHeight w:val="18"/>
          <w:jc w:val="center"/>
        </w:trPr>
        <w:tc>
          <w:tcPr>
            <w:tcW w:w="2263" w:type="dxa"/>
            <w:vAlign w:val="center"/>
          </w:tcPr>
          <w:p w14:paraId="26E0E2D1" w14:textId="77777777" w:rsidR="00A46C49" w:rsidRPr="00884E3C" w:rsidRDefault="00A46C49" w:rsidP="00080238">
            <w:pPr>
              <w:ind w:firstLine="35"/>
              <w:rPr>
                <w:rFonts w:ascii="Arial" w:eastAsia="Times New Roman" w:hAnsi="Arial" w:cs="Arial"/>
                <w:sz w:val="20"/>
                <w:szCs w:val="20"/>
                <w:lang w:eastAsia="en-IN"/>
              </w:rPr>
            </w:pPr>
            <w:proofErr w:type="spellStart"/>
            <w:r w:rsidRPr="00884E3C">
              <w:rPr>
                <w:rFonts w:ascii="Arial" w:eastAsia="Times New Roman" w:hAnsi="Arial" w:cs="Arial"/>
                <w:sz w:val="20"/>
                <w:szCs w:val="20"/>
                <w:lang w:eastAsia="en-IN"/>
              </w:rPr>
              <w:t>Klucel</w:t>
            </w:r>
            <w:proofErr w:type="spellEnd"/>
            <w:r w:rsidRPr="00884E3C">
              <w:rPr>
                <w:rFonts w:ascii="Arial" w:eastAsia="Times New Roman" w:hAnsi="Arial" w:cs="Arial"/>
                <w:sz w:val="20"/>
                <w:szCs w:val="20"/>
                <w:lang w:eastAsia="en-IN"/>
              </w:rPr>
              <w:t>™ GF pharm</w:t>
            </w:r>
          </w:p>
        </w:tc>
        <w:tc>
          <w:tcPr>
            <w:tcW w:w="1560" w:type="dxa"/>
            <w:vAlign w:val="center"/>
          </w:tcPr>
          <w:p w14:paraId="1C6A3E59"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Ashland India Pvt Ltd</w:t>
            </w:r>
          </w:p>
        </w:tc>
        <w:tc>
          <w:tcPr>
            <w:tcW w:w="1701" w:type="dxa"/>
            <w:vAlign w:val="center"/>
          </w:tcPr>
          <w:p w14:paraId="32E6AEAE"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235 cps</w:t>
            </w:r>
          </w:p>
          <w:p w14:paraId="56C81496"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54CAB45A"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w:t>
            </w:r>
          </w:p>
        </w:tc>
        <w:tc>
          <w:tcPr>
            <w:tcW w:w="992" w:type="dxa"/>
            <w:vAlign w:val="center"/>
          </w:tcPr>
          <w:p w14:paraId="7F75D62E"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74.9</w:t>
            </w:r>
          </w:p>
        </w:tc>
        <w:tc>
          <w:tcPr>
            <w:tcW w:w="992" w:type="dxa"/>
            <w:vAlign w:val="center"/>
          </w:tcPr>
          <w:p w14:paraId="66A69BB8"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0.37</w:t>
            </w:r>
          </w:p>
        </w:tc>
        <w:tc>
          <w:tcPr>
            <w:tcW w:w="992" w:type="dxa"/>
            <w:vAlign w:val="center"/>
          </w:tcPr>
          <w:p w14:paraId="20B0C92C"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0.52</w:t>
            </w:r>
          </w:p>
        </w:tc>
        <w:tc>
          <w:tcPr>
            <w:tcW w:w="993" w:type="dxa"/>
            <w:vAlign w:val="center"/>
          </w:tcPr>
          <w:p w14:paraId="392262F8"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28.6</w:t>
            </w:r>
          </w:p>
        </w:tc>
        <w:tc>
          <w:tcPr>
            <w:tcW w:w="850" w:type="dxa"/>
            <w:vAlign w:val="center"/>
          </w:tcPr>
          <w:p w14:paraId="773B9098"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1.40</w:t>
            </w:r>
          </w:p>
        </w:tc>
        <w:tc>
          <w:tcPr>
            <w:tcW w:w="567" w:type="dxa"/>
            <w:vAlign w:val="center"/>
          </w:tcPr>
          <w:p w14:paraId="43270284"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48</w:t>
            </w:r>
          </w:p>
        </w:tc>
        <w:tc>
          <w:tcPr>
            <w:tcW w:w="992" w:type="dxa"/>
            <w:vAlign w:val="center"/>
          </w:tcPr>
          <w:p w14:paraId="4A985FFD"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0.7</w:t>
            </w:r>
          </w:p>
        </w:tc>
        <w:tc>
          <w:tcPr>
            <w:tcW w:w="709" w:type="dxa"/>
            <w:vAlign w:val="center"/>
          </w:tcPr>
          <w:p w14:paraId="52A7452D"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0.9</w:t>
            </w:r>
          </w:p>
        </w:tc>
        <w:tc>
          <w:tcPr>
            <w:tcW w:w="1276" w:type="dxa"/>
            <w:vAlign w:val="center"/>
          </w:tcPr>
          <w:p w14:paraId="7615A822"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6.0</w:t>
            </w:r>
          </w:p>
        </w:tc>
      </w:tr>
      <w:tr w:rsidR="00A46C49" w:rsidRPr="00884E3C" w14:paraId="65AC8F5A" w14:textId="77777777" w:rsidTr="003F0373">
        <w:trPr>
          <w:trHeight w:val="18"/>
          <w:jc w:val="center"/>
        </w:trPr>
        <w:tc>
          <w:tcPr>
            <w:tcW w:w="2263" w:type="dxa"/>
            <w:vAlign w:val="center"/>
          </w:tcPr>
          <w:p w14:paraId="2DB50918" w14:textId="77777777" w:rsidR="00A46C49" w:rsidRPr="00884E3C" w:rsidRDefault="00A46C49" w:rsidP="00080238">
            <w:pPr>
              <w:ind w:firstLine="35"/>
              <w:rPr>
                <w:rFonts w:ascii="Arial" w:eastAsia="Times New Roman" w:hAnsi="Arial" w:cs="Arial"/>
                <w:sz w:val="20"/>
                <w:szCs w:val="20"/>
                <w:lang w:eastAsia="en-IN"/>
              </w:rPr>
            </w:pPr>
            <w:proofErr w:type="spellStart"/>
            <w:r w:rsidRPr="00884E3C">
              <w:rPr>
                <w:rFonts w:ascii="Arial" w:eastAsia="Times New Roman" w:hAnsi="Arial" w:cs="Arial"/>
                <w:sz w:val="20"/>
                <w:szCs w:val="20"/>
                <w:lang w:eastAsia="en-IN"/>
              </w:rPr>
              <w:t>Klucel</w:t>
            </w:r>
            <w:proofErr w:type="spellEnd"/>
            <w:r w:rsidRPr="00884E3C">
              <w:rPr>
                <w:rFonts w:ascii="Arial" w:eastAsia="Times New Roman" w:hAnsi="Arial" w:cs="Arial"/>
                <w:sz w:val="20"/>
                <w:szCs w:val="20"/>
                <w:lang w:eastAsia="en-IN"/>
              </w:rPr>
              <w:t>™ MF pharm</w:t>
            </w:r>
          </w:p>
        </w:tc>
        <w:tc>
          <w:tcPr>
            <w:tcW w:w="1560" w:type="dxa"/>
            <w:vAlign w:val="center"/>
          </w:tcPr>
          <w:p w14:paraId="152AA6B4" w14:textId="77777777" w:rsidR="00A46C49" w:rsidRPr="00884E3C" w:rsidRDefault="00A46C49" w:rsidP="00080238">
            <w:pPr>
              <w:ind w:left="142" w:hanging="253"/>
              <w:jc w:val="center"/>
              <w:rPr>
                <w:rFonts w:ascii="Arial" w:hAnsi="Arial" w:cs="Arial"/>
                <w:sz w:val="20"/>
                <w:szCs w:val="20"/>
              </w:rPr>
            </w:pPr>
            <w:r w:rsidRPr="00884E3C">
              <w:rPr>
                <w:rFonts w:ascii="Arial" w:eastAsia="Times New Roman" w:hAnsi="Arial" w:cs="Arial"/>
                <w:sz w:val="20"/>
                <w:szCs w:val="20"/>
                <w:lang w:eastAsia="en-IN"/>
              </w:rPr>
              <w:t>Ashland India Pvt Ltd</w:t>
            </w:r>
          </w:p>
        </w:tc>
        <w:tc>
          <w:tcPr>
            <w:tcW w:w="1701" w:type="dxa"/>
            <w:vAlign w:val="center"/>
          </w:tcPr>
          <w:p w14:paraId="2049F7B9"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5955 cps</w:t>
            </w:r>
          </w:p>
          <w:p w14:paraId="50B12DC0"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(2% in water)</w:t>
            </w:r>
          </w:p>
        </w:tc>
        <w:tc>
          <w:tcPr>
            <w:tcW w:w="1134" w:type="dxa"/>
            <w:vAlign w:val="center"/>
          </w:tcPr>
          <w:p w14:paraId="38350BC5"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w:t>
            </w:r>
          </w:p>
        </w:tc>
        <w:tc>
          <w:tcPr>
            <w:tcW w:w="992" w:type="dxa"/>
            <w:vAlign w:val="center"/>
          </w:tcPr>
          <w:p w14:paraId="6611696B"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76.6</w:t>
            </w:r>
          </w:p>
        </w:tc>
        <w:tc>
          <w:tcPr>
            <w:tcW w:w="992" w:type="dxa"/>
            <w:vAlign w:val="center"/>
          </w:tcPr>
          <w:p w14:paraId="45061A71" w14:textId="77777777" w:rsidR="00A46C49" w:rsidRPr="00884E3C" w:rsidRDefault="00A46C49" w:rsidP="00080238">
            <w:pPr>
              <w:ind w:left="142"/>
              <w:jc w:val="center"/>
              <w:rPr>
                <w:rFonts w:ascii="Arial" w:hAnsi="Arial" w:cs="Arial"/>
                <w:sz w:val="20"/>
                <w:szCs w:val="20"/>
              </w:rPr>
            </w:pPr>
            <w:r w:rsidRPr="00884E3C">
              <w:rPr>
                <w:rFonts w:ascii="Arial" w:hAnsi="Arial" w:cs="Arial"/>
                <w:sz w:val="20"/>
                <w:szCs w:val="20"/>
              </w:rPr>
              <w:t>0.36</w:t>
            </w:r>
          </w:p>
        </w:tc>
        <w:tc>
          <w:tcPr>
            <w:tcW w:w="992" w:type="dxa"/>
            <w:vAlign w:val="center"/>
          </w:tcPr>
          <w:p w14:paraId="16314276"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0.46</w:t>
            </w:r>
          </w:p>
        </w:tc>
        <w:tc>
          <w:tcPr>
            <w:tcW w:w="993" w:type="dxa"/>
            <w:vAlign w:val="center"/>
          </w:tcPr>
          <w:p w14:paraId="7ACF616F"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21.4</w:t>
            </w:r>
          </w:p>
        </w:tc>
        <w:tc>
          <w:tcPr>
            <w:tcW w:w="850" w:type="dxa"/>
            <w:vAlign w:val="center"/>
          </w:tcPr>
          <w:p w14:paraId="00D9E4DA"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1.27</w:t>
            </w:r>
          </w:p>
        </w:tc>
        <w:tc>
          <w:tcPr>
            <w:tcW w:w="567" w:type="dxa"/>
            <w:vAlign w:val="center"/>
          </w:tcPr>
          <w:p w14:paraId="422D26AF"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40</w:t>
            </w:r>
          </w:p>
        </w:tc>
        <w:tc>
          <w:tcPr>
            <w:tcW w:w="992" w:type="dxa"/>
            <w:vAlign w:val="center"/>
          </w:tcPr>
          <w:p w14:paraId="5931D6D9" w14:textId="77777777" w:rsidR="00A46C49" w:rsidRPr="00884E3C" w:rsidRDefault="00A46C49" w:rsidP="00080238">
            <w:pPr>
              <w:jc w:val="center"/>
              <w:rPr>
                <w:rFonts w:ascii="Arial" w:eastAsia="Times New Roman" w:hAnsi="Arial" w:cs="Arial"/>
                <w:sz w:val="20"/>
                <w:szCs w:val="20"/>
                <w:lang w:eastAsia="en-IN"/>
              </w:rPr>
            </w:pPr>
            <w:r w:rsidRPr="00884E3C">
              <w:rPr>
                <w:rFonts w:ascii="Arial" w:eastAsia="Times New Roman" w:hAnsi="Arial" w:cs="Arial"/>
                <w:bCs/>
                <w:sz w:val="20"/>
                <w:szCs w:val="20"/>
                <w:lang w:eastAsia="en-IN"/>
              </w:rPr>
              <w:t>0.6</w:t>
            </w:r>
          </w:p>
        </w:tc>
        <w:tc>
          <w:tcPr>
            <w:tcW w:w="709" w:type="dxa"/>
            <w:vAlign w:val="center"/>
          </w:tcPr>
          <w:p w14:paraId="680C2EE0"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0.8</w:t>
            </w:r>
          </w:p>
        </w:tc>
        <w:tc>
          <w:tcPr>
            <w:tcW w:w="1276" w:type="dxa"/>
            <w:vAlign w:val="center"/>
          </w:tcPr>
          <w:p w14:paraId="366F44BB" w14:textId="77777777" w:rsidR="00A46C49" w:rsidRPr="00884E3C" w:rsidRDefault="00A46C49" w:rsidP="00080238">
            <w:pPr>
              <w:pStyle w:val="ListParagraph"/>
              <w:ind w:left="142"/>
              <w:jc w:val="center"/>
              <w:rPr>
                <w:rFonts w:ascii="Arial" w:eastAsia="Times New Roman" w:hAnsi="Arial" w:cs="Arial"/>
                <w:sz w:val="20"/>
                <w:szCs w:val="20"/>
                <w:lang w:eastAsia="en-IN"/>
              </w:rPr>
            </w:pPr>
            <w:r w:rsidRPr="00884E3C">
              <w:rPr>
                <w:rFonts w:ascii="Arial" w:eastAsia="Times New Roman" w:hAnsi="Arial" w:cs="Arial"/>
                <w:sz w:val="20"/>
                <w:szCs w:val="20"/>
                <w:lang w:eastAsia="en-IN"/>
              </w:rPr>
              <w:t>6.9</w:t>
            </w:r>
          </w:p>
        </w:tc>
      </w:tr>
    </w:tbl>
    <w:p w14:paraId="28044C3C" w14:textId="77777777" w:rsidR="003F0373" w:rsidRPr="00884E3C" w:rsidRDefault="002B1F10" w:rsidP="00080238">
      <w:pPr>
        <w:suppressLineNumbers/>
        <w:spacing w:after="0" w:line="240" w:lineRule="auto"/>
        <w:jc w:val="both"/>
        <w:rPr>
          <w:rFonts w:ascii="Arial" w:eastAsia="Times New Roman" w:hAnsi="Arial" w:cs="Arial"/>
          <w:sz w:val="20"/>
          <w:szCs w:val="20"/>
          <w:lang w:eastAsia="en-IN"/>
        </w:rPr>
      </w:pPr>
      <w:r w:rsidRPr="00884E3C">
        <w:rPr>
          <w:rFonts w:ascii="Arial" w:eastAsia="Times New Roman" w:hAnsi="Arial" w:cs="Arial"/>
          <w:b/>
          <w:sz w:val="20"/>
          <w:szCs w:val="20"/>
          <w:lang w:eastAsia="en-IN"/>
        </w:rPr>
        <w:t xml:space="preserve">Note: </w:t>
      </w:r>
      <w:r w:rsidR="007222D9" w:rsidRPr="00884E3C">
        <w:rPr>
          <w:rFonts w:ascii="Arial" w:eastAsia="Times New Roman" w:hAnsi="Arial" w:cs="Arial"/>
          <w:sz w:val="20"/>
          <w:szCs w:val="20"/>
          <w:lang w:eastAsia="en-IN"/>
        </w:rPr>
        <w:t>Appearance</w:t>
      </w:r>
      <w:r w:rsidRPr="00884E3C">
        <w:rPr>
          <w:rFonts w:ascii="Arial" w:eastAsia="Times New Roman" w:hAnsi="Arial" w:cs="Arial"/>
          <w:sz w:val="20"/>
          <w:szCs w:val="20"/>
          <w:lang w:eastAsia="en-IN"/>
        </w:rPr>
        <w:t xml:space="preserve"> for all the HPMC &amp; HPC polymers observed as w</w:t>
      </w:r>
      <w:r w:rsidR="007222D9" w:rsidRPr="00884E3C">
        <w:rPr>
          <w:rFonts w:ascii="Arial" w:eastAsia="Times New Roman" w:hAnsi="Arial" w:cs="Arial"/>
          <w:sz w:val="20"/>
          <w:szCs w:val="20"/>
          <w:lang w:eastAsia="en-IN"/>
        </w:rPr>
        <w:t>hite to off-white amorphous free flowing tasteless &amp; odourless powder</w:t>
      </w:r>
      <w:r w:rsidRPr="00884E3C">
        <w:rPr>
          <w:rFonts w:ascii="Arial" w:eastAsia="Times New Roman" w:hAnsi="Arial" w:cs="Arial"/>
          <w:sz w:val="20"/>
          <w:szCs w:val="20"/>
          <w:lang w:eastAsia="en-IN"/>
        </w:rPr>
        <w:t>s</w:t>
      </w:r>
      <w:r w:rsidR="00CF2FFA" w:rsidRPr="00884E3C">
        <w:rPr>
          <w:rFonts w:ascii="Arial" w:eastAsia="Times New Roman" w:hAnsi="Arial" w:cs="Arial"/>
          <w:sz w:val="20"/>
          <w:szCs w:val="20"/>
          <w:lang w:eastAsia="en-IN"/>
        </w:rPr>
        <w:t xml:space="preserve">; </w:t>
      </w:r>
    </w:p>
    <w:p w14:paraId="47ED59C9" w14:textId="77777777" w:rsidR="007222D9" w:rsidRPr="00884E3C" w:rsidRDefault="00CF2FFA" w:rsidP="00080238">
      <w:pPr>
        <w:suppressLineNumbers/>
        <w:spacing w:after="0" w:line="240" w:lineRule="auto"/>
        <w:jc w:val="both"/>
        <w:rPr>
          <w:rFonts w:ascii="Arial" w:eastAsia="Times New Roman" w:hAnsi="Arial" w:cs="Arial"/>
          <w:b/>
          <w:sz w:val="20"/>
          <w:szCs w:val="20"/>
          <w:lang w:eastAsia="en-IN"/>
        </w:rPr>
      </w:pPr>
      <w:r w:rsidRPr="00884E3C">
        <w:rPr>
          <w:rFonts w:ascii="Arial" w:eastAsia="Times New Roman" w:hAnsi="Arial" w:cs="Arial"/>
          <w:sz w:val="20"/>
          <w:szCs w:val="20"/>
          <w:lang w:eastAsia="en-IN"/>
        </w:rPr>
        <w:t xml:space="preserve">HP content – hydroxypropyl content; BD- Bulk density; TD- Tapped density; CI – Carr’s Index; HR- Hauser’s Ratio; AR- Angle of repose; LOD- Loss on drying </w:t>
      </w:r>
    </w:p>
    <w:p w14:paraId="779A5280" w14:textId="77777777" w:rsidR="00F71B21" w:rsidRPr="00884E3C" w:rsidRDefault="00F71B21" w:rsidP="00080238">
      <w:pPr>
        <w:suppressLineNumbers/>
        <w:spacing w:after="0" w:line="240" w:lineRule="auto"/>
        <w:jc w:val="both"/>
        <w:rPr>
          <w:rFonts w:ascii="Arial" w:eastAsia="Times New Roman" w:hAnsi="Arial" w:cs="Arial"/>
          <w:b/>
          <w:sz w:val="20"/>
          <w:szCs w:val="20"/>
          <w:lang w:eastAsia="en-IN"/>
        </w:rPr>
      </w:pPr>
    </w:p>
    <w:p w14:paraId="765BFA93" w14:textId="77777777" w:rsidR="00A46C49" w:rsidRPr="00884E3C" w:rsidRDefault="00A46C49" w:rsidP="00080238">
      <w:pPr>
        <w:suppressLineNumbers/>
        <w:spacing w:after="0" w:line="240" w:lineRule="auto"/>
        <w:ind w:left="142"/>
        <w:jc w:val="both"/>
        <w:rPr>
          <w:rFonts w:ascii="Arial" w:eastAsia="Times New Roman" w:hAnsi="Arial" w:cs="Arial"/>
          <w:b/>
          <w:sz w:val="20"/>
          <w:szCs w:val="20"/>
          <w:lang w:eastAsia="en-IN"/>
        </w:rPr>
      </w:pPr>
    </w:p>
    <w:p w14:paraId="41A8BFD4" w14:textId="77777777" w:rsidR="00F71B21" w:rsidRPr="00884E3C" w:rsidRDefault="00F71B21" w:rsidP="00080238">
      <w:pPr>
        <w:spacing w:after="0" w:line="240" w:lineRule="auto"/>
        <w:jc w:val="both"/>
        <w:rPr>
          <w:rFonts w:ascii="Arial" w:eastAsia="Times New Roman" w:hAnsi="Arial" w:cs="Arial"/>
          <w:b/>
          <w:sz w:val="20"/>
          <w:szCs w:val="20"/>
          <w:lang w:eastAsia="en-IN"/>
        </w:rPr>
        <w:sectPr w:rsidR="00F71B21" w:rsidRPr="00884E3C" w:rsidSect="003E68F3">
          <w:type w:val="continuous"/>
          <w:pgSz w:w="16838" w:h="11906" w:orient="landscape"/>
          <w:pgMar w:top="851" w:right="851" w:bottom="851" w:left="851" w:header="709" w:footer="709" w:gutter="0"/>
          <w:cols w:space="708"/>
          <w:docGrid w:linePitch="360"/>
        </w:sectPr>
      </w:pPr>
    </w:p>
    <w:p w14:paraId="01D40D8C" w14:textId="77777777" w:rsidR="00FB6C95" w:rsidRPr="00884E3C" w:rsidRDefault="007330C2" w:rsidP="00080238">
      <w:pPr>
        <w:pStyle w:val="ListParagraph"/>
        <w:numPr>
          <w:ilvl w:val="1"/>
          <w:numId w:val="22"/>
        </w:numPr>
        <w:spacing w:after="0" w:line="240" w:lineRule="auto"/>
        <w:ind w:hanging="218"/>
        <w:jc w:val="both"/>
        <w:rPr>
          <w:rFonts w:ascii="Arial" w:eastAsia="Times New Roman" w:hAnsi="Arial" w:cs="Arial"/>
          <w:b/>
          <w:lang w:eastAsia="en-IN"/>
        </w:rPr>
      </w:pPr>
      <w:r w:rsidRPr="00884E3C">
        <w:rPr>
          <w:rFonts w:ascii="Arial" w:eastAsia="Times New Roman" w:hAnsi="Arial" w:cs="Arial"/>
          <w:b/>
          <w:lang w:eastAsia="en-IN"/>
        </w:rPr>
        <w:lastRenderedPageBreak/>
        <w:t>Rheology Assessment</w:t>
      </w:r>
    </w:p>
    <w:p w14:paraId="3F186C0E" w14:textId="77777777" w:rsidR="003F0373" w:rsidRPr="00884E3C" w:rsidRDefault="003F0373" w:rsidP="00080238">
      <w:pPr>
        <w:pStyle w:val="ListParagraph"/>
        <w:spacing w:after="0" w:line="240" w:lineRule="auto"/>
        <w:ind w:left="502"/>
        <w:jc w:val="both"/>
        <w:rPr>
          <w:rFonts w:ascii="Arial" w:eastAsia="Times New Roman" w:hAnsi="Arial" w:cs="Arial"/>
          <w:b/>
          <w:lang w:eastAsia="en-IN"/>
        </w:rPr>
      </w:pPr>
    </w:p>
    <w:p w14:paraId="26F637C5" w14:textId="77777777" w:rsidR="00FE0399" w:rsidRPr="00884E3C" w:rsidRDefault="00981453" w:rsidP="00080238">
      <w:pPr>
        <w:pStyle w:val="ListParagraph"/>
        <w:numPr>
          <w:ilvl w:val="2"/>
          <w:numId w:val="22"/>
        </w:numPr>
        <w:tabs>
          <w:tab w:val="left" w:pos="284"/>
          <w:tab w:val="left" w:pos="426"/>
        </w:tabs>
        <w:spacing w:after="0" w:line="240" w:lineRule="auto"/>
        <w:ind w:left="851" w:hanging="567"/>
        <w:jc w:val="both"/>
        <w:outlineLvl w:val="0"/>
        <w:rPr>
          <w:rStyle w:val="Strong"/>
          <w:rFonts w:ascii="Arial" w:hAnsi="Arial" w:cs="Arial"/>
          <w:bCs w:val="0"/>
          <w:i/>
          <w:sz w:val="20"/>
          <w:szCs w:val="20"/>
        </w:rPr>
      </w:pPr>
      <w:r w:rsidRPr="00884E3C">
        <w:rPr>
          <w:rStyle w:val="Strong"/>
          <w:rFonts w:ascii="Arial" w:hAnsi="Arial" w:cs="Arial"/>
          <w:bCs w:val="0"/>
          <w:i/>
          <w:sz w:val="20"/>
          <w:szCs w:val="20"/>
        </w:rPr>
        <w:t>Flow Sweep Behavior</w:t>
      </w:r>
    </w:p>
    <w:p w14:paraId="4EC65383" w14:textId="77777777" w:rsidR="00FE0399" w:rsidRPr="00884E3C" w:rsidRDefault="00FE0399" w:rsidP="00080238">
      <w:pPr>
        <w:tabs>
          <w:tab w:val="left" w:pos="284"/>
          <w:tab w:val="left" w:pos="567"/>
        </w:tabs>
        <w:spacing w:after="0" w:line="240" w:lineRule="auto"/>
        <w:ind w:left="284"/>
        <w:jc w:val="both"/>
        <w:outlineLvl w:val="0"/>
        <w:rPr>
          <w:rFonts w:ascii="Arial" w:eastAsia="Times New Roman" w:hAnsi="Arial" w:cs="Arial"/>
          <w:sz w:val="20"/>
          <w:szCs w:val="20"/>
          <w:lang w:eastAsia="en-IN"/>
        </w:rPr>
      </w:pPr>
    </w:p>
    <w:p w14:paraId="297EA55A" w14:textId="77777777" w:rsidR="00FE0399" w:rsidRPr="00884E3C" w:rsidRDefault="00910FA3" w:rsidP="00080238">
      <w:pPr>
        <w:tabs>
          <w:tab w:val="left" w:pos="284"/>
          <w:tab w:val="left" w:pos="567"/>
        </w:tabs>
        <w:spacing w:after="0" w:line="240" w:lineRule="auto"/>
        <w:ind w:left="284"/>
        <w:jc w:val="both"/>
        <w:outlineLvl w:val="0"/>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Flow sweep analysis demonstrated that all evaluated cellulose ether dispersions exhibited pronounced non-Newtonian, shear-thinning behavior across the investigated shear rate range, as shown in </w:t>
      </w:r>
      <w:r w:rsidRPr="00884E3C">
        <w:rPr>
          <w:rFonts w:ascii="Arial" w:eastAsia="Times New Roman" w:hAnsi="Arial" w:cs="Arial"/>
          <w:b/>
          <w:bCs/>
          <w:sz w:val="20"/>
          <w:szCs w:val="20"/>
          <w:lang w:eastAsia="en-IN"/>
        </w:rPr>
        <w:t xml:space="preserve">Figure </w:t>
      </w:r>
      <w:r w:rsidR="001F46AA">
        <w:rPr>
          <w:rFonts w:ascii="Arial" w:eastAsia="Times New Roman" w:hAnsi="Arial" w:cs="Arial"/>
          <w:b/>
          <w:bCs/>
          <w:sz w:val="20"/>
          <w:szCs w:val="20"/>
          <w:lang w:eastAsia="en-IN"/>
        </w:rPr>
        <w:t>2</w:t>
      </w:r>
      <w:r w:rsidRPr="00884E3C">
        <w:rPr>
          <w:rFonts w:ascii="Arial" w:eastAsia="Times New Roman" w:hAnsi="Arial" w:cs="Arial"/>
          <w:sz w:val="20"/>
          <w:szCs w:val="20"/>
          <w:lang w:eastAsia="en-IN"/>
        </w:rPr>
        <w:t>, which is characteristic of polymeric systems in aqueous solution. At low shear rates, both hydroxypropyl methylcellulose and hydroxypropyl cellulose</w:t>
      </w:r>
      <w:r w:rsidR="00FB6C95" w:rsidRPr="00884E3C">
        <w:rPr>
          <w:rFonts w:ascii="Arial" w:eastAsia="Times New Roman" w:hAnsi="Arial" w:cs="Arial"/>
          <w:sz w:val="20"/>
          <w:szCs w:val="20"/>
          <w:lang w:eastAsia="en-IN"/>
        </w:rPr>
        <w:t xml:space="preserve"> </w:t>
      </w:r>
      <w:r w:rsidRPr="00884E3C">
        <w:rPr>
          <w:rFonts w:ascii="Arial" w:eastAsia="Times New Roman" w:hAnsi="Arial" w:cs="Arial"/>
          <w:sz w:val="20"/>
          <w:szCs w:val="20"/>
          <w:lang w:eastAsia="en-IN"/>
        </w:rPr>
        <w:t>dispersions exhibited relatively high viscosities, arising from extensive polymer chain entanglement and intermolecular interactions. With increasing shear rate, a progressive reduction in viscosity was observed for all samples, reflecting shear-induced alignment and partial disentanglement of polymer chains in the direction of flow. Increasing polymer concentration resulted in a marked increase in viscosity across all grades, with the effect being more pronounced for higher molecular weight HPMC grades.</w:t>
      </w:r>
      <w:r w:rsidR="00FB6C95" w:rsidRPr="00884E3C">
        <w:rPr>
          <w:rFonts w:ascii="Arial" w:eastAsia="Times New Roman" w:hAnsi="Arial" w:cs="Arial"/>
          <w:sz w:val="20"/>
          <w:szCs w:val="20"/>
          <w:lang w:eastAsia="en-IN"/>
        </w:rPr>
        <w:t xml:space="preserve"> </w:t>
      </w:r>
      <w:r w:rsidRPr="00884E3C">
        <w:rPr>
          <w:rFonts w:ascii="Arial" w:eastAsia="Times New Roman" w:hAnsi="Arial" w:cs="Arial"/>
          <w:sz w:val="20"/>
          <w:szCs w:val="20"/>
          <w:lang w:eastAsia="en-IN"/>
        </w:rPr>
        <w:t>Among the HPMC E-series grades (</w:t>
      </w:r>
      <w:proofErr w:type="spellStart"/>
      <w:r w:rsidRPr="00884E3C">
        <w:rPr>
          <w:rFonts w:ascii="Arial" w:eastAsia="Times New Roman" w:hAnsi="Arial" w:cs="Arial"/>
          <w:sz w:val="20"/>
          <w:szCs w:val="20"/>
          <w:lang w:eastAsia="en-IN"/>
        </w:rPr>
        <w:t>Methocel</w:t>
      </w:r>
      <w:proofErr w:type="spellEnd"/>
      <w:r w:rsidRPr="00884E3C">
        <w:rPr>
          <w:rFonts w:ascii="Arial" w:eastAsia="Times New Roman" w:hAnsi="Arial" w:cs="Arial"/>
          <w:sz w:val="20"/>
          <w:szCs w:val="20"/>
          <w:lang w:eastAsia="en-IN"/>
        </w:rPr>
        <w:t xml:space="preserve"> E3, E</w:t>
      </w:r>
      <w:r w:rsidR="004379EF" w:rsidRPr="00884E3C">
        <w:rPr>
          <w:rFonts w:ascii="Arial" w:eastAsia="Times New Roman" w:hAnsi="Arial" w:cs="Arial"/>
          <w:sz w:val="20"/>
          <w:szCs w:val="20"/>
          <w:lang w:eastAsia="en-IN"/>
        </w:rPr>
        <w:t>5</w:t>
      </w:r>
      <w:r w:rsidRPr="00884E3C">
        <w:rPr>
          <w:rFonts w:ascii="Arial" w:eastAsia="Times New Roman" w:hAnsi="Arial" w:cs="Arial"/>
          <w:sz w:val="20"/>
          <w:szCs w:val="20"/>
          <w:lang w:eastAsia="en-IN"/>
        </w:rPr>
        <w:t>,</w:t>
      </w:r>
      <w:r w:rsidR="00752F33" w:rsidRPr="00884E3C">
        <w:rPr>
          <w:rFonts w:ascii="Arial" w:eastAsia="Times New Roman" w:hAnsi="Arial" w:cs="Arial"/>
          <w:sz w:val="20"/>
          <w:szCs w:val="20"/>
          <w:lang w:eastAsia="en-IN"/>
        </w:rPr>
        <w:t xml:space="preserve"> and </w:t>
      </w:r>
      <w:r w:rsidRPr="00884E3C">
        <w:rPr>
          <w:rFonts w:ascii="Arial" w:eastAsia="Times New Roman" w:hAnsi="Arial" w:cs="Arial"/>
          <w:sz w:val="20"/>
          <w:szCs w:val="20"/>
          <w:lang w:eastAsia="en-IN"/>
        </w:rPr>
        <w:t>E15) evaluated at concentrations ranging from 1% to 10% w/w, a clear concentration and grade</w:t>
      </w:r>
      <w:r w:rsidR="00FB6C95" w:rsidRPr="00884E3C">
        <w:rPr>
          <w:rFonts w:ascii="Arial" w:eastAsia="Times New Roman" w:hAnsi="Arial" w:cs="Arial"/>
          <w:sz w:val="20"/>
          <w:szCs w:val="20"/>
          <w:lang w:eastAsia="en-IN"/>
        </w:rPr>
        <w:t xml:space="preserve"> </w:t>
      </w:r>
      <w:r w:rsidRPr="00884E3C">
        <w:rPr>
          <w:rFonts w:ascii="Arial" w:eastAsia="Times New Roman" w:hAnsi="Arial" w:cs="Arial"/>
          <w:sz w:val="20"/>
          <w:szCs w:val="20"/>
          <w:lang w:eastAsia="en-IN"/>
        </w:rPr>
        <w:t xml:space="preserve">dependent rheological response was observed. Lower-viscosity grades such as </w:t>
      </w:r>
      <w:proofErr w:type="spellStart"/>
      <w:r w:rsidRPr="00884E3C">
        <w:rPr>
          <w:rFonts w:ascii="Arial" w:eastAsia="Times New Roman" w:hAnsi="Arial" w:cs="Arial"/>
          <w:sz w:val="20"/>
          <w:szCs w:val="20"/>
          <w:lang w:eastAsia="en-IN"/>
        </w:rPr>
        <w:t>Methocel</w:t>
      </w:r>
      <w:proofErr w:type="spellEnd"/>
      <w:r w:rsidRPr="00884E3C">
        <w:rPr>
          <w:rFonts w:ascii="Arial" w:eastAsia="Times New Roman" w:hAnsi="Arial" w:cs="Arial"/>
          <w:sz w:val="20"/>
          <w:szCs w:val="20"/>
          <w:lang w:eastAsia="en-IN"/>
        </w:rPr>
        <w:t xml:space="preserve"> E3 and E</w:t>
      </w:r>
      <w:r w:rsidR="00752F33" w:rsidRPr="00884E3C">
        <w:rPr>
          <w:rFonts w:ascii="Arial" w:eastAsia="Times New Roman" w:hAnsi="Arial" w:cs="Arial"/>
          <w:sz w:val="20"/>
          <w:szCs w:val="20"/>
          <w:lang w:eastAsia="en-IN"/>
        </w:rPr>
        <w:t>5</w:t>
      </w:r>
      <w:r w:rsidRPr="00884E3C">
        <w:rPr>
          <w:rFonts w:ascii="Arial" w:eastAsia="Times New Roman" w:hAnsi="Arial" w:cs="Arial"/>
          <w:sz w:val="20"/>
          <w:szCs w:val="20"/>
          <w:lang w:eastAsia="en-IN"/>
        </w:rPr>
        <w:t xml:space="preserve"> exhibited comparatively lower zero-shear viscosity and a more gradual shear-thinning profile, even at higher concentrations, whereas </w:t>
      </w:r>
      <w:proofErr w:type="spellStart"/>
      <w:r w:rsidRPr="00884E3C">
        <w:rPr>
          <w:rFonts w:ascii="Arial" w:eastAsia="Times New Roman" w:hAnsi="Arial" w:cs="Arial"/>
          <w:sz w:val="20"/>
          <w:szCs w:val="20"/>
          <w:lang w:eastAsia="en-IN"/>
        </w:rPr>
        <w:t>Methocel</w:t>
      </w:r>
      <w:proofErr w:type="spellEnd"/>
      <w:r w:rsidRPr="00884E3C">
        <w:rPr>
          <w:rFonts w:ascii="Arial" w:eastAsia="Times New Roman" w:hAnsi="Arial" w:cs="Arial"/>
          <w:sz w:val="20"/>
          <w:szCs w:val="20"/>
          <w:lang w:eastAsia="en-IN"/>
        </w:rPr>
        <w:t xml:space="preserve"> E15 demonstrated substantially higher zero-shear viscosity and stronger shear-thinning behavior, particularly at 5% and 10% w/w. This behavior reflects increased chain entanglement density and intermolecular association associated with higher molecular weight grades. Similarly, HPMC K-series grades (</w:t>
      </w:r>
      <w:proofErr w:type="spellStart"/>
      <w:r w:rsidRPr="00884E3C">
        <w:rPr>
          <w:rFonts w:ascii="Arial" w:eastAsia="Times New Roman" w:hAnsi="Arial" w:cs="Arial"/>
          <w:sz w:val="20"/>
          <w:szCs w:val="20"/>
          <w:lang w:eastAsia="en-IN"/>
        </w:rPr>
        <w:t>Methocel</w:t>
      </w:r>
      <w:proofErr w:type="spellEnd"/>
      <w:r w:rsidRPr="00884E3C">
        <w:rPr>
          <w:rFonts w:ascii="Arial" w:eastAsia="Times New Roman" w:hAnsi="Arial" w:cs="Arial"/>
          <w:sz w:val="20"/>
          <w:szCs w:val="20"/>
          <w:lang w:eastAsia="en-IN"/>
        </w:rPr>
        <w:t xml:space="preserve"> K15, K100LV, and K100M), evaluated at 1% and 2% w/w, exhibited progressively higher viscosities and more pronounced shear-thinning behavior with increasing grade viscosity, with </w:t>
      </w:r>
      <w:proofErr w:type="spellStart"/>
      <w:r w:rsidRPr="00884E3C">
        <w:rPr>
          <w:rFonts w:ascii="Arial" w:eastAsia="Times New Roman" w:hAnsi="Arial" w:cs="Arial"/>
          <w:sz w:val="20"/>
          <w:szCs w:val="20"/>
          <w:lang w:eastAsia="en-IN"/>
        </w:rPr>
        <w:t>Methocel</w:t>
      </w:r>
      <w:proofErr w:type="spellEnd"/>
      <w:r w:rsidRPr="00884E3C">
        <w:rPr>
          <w:rFonts w:ascii="Arial" w:eastAsia="Times New Roman" w:hAnsi="Arial" w:cs="Arial"/>
          <w:sz w:val="20"/>
          <w:szCs w:val="20"/>
          <w:lang w:eastAsia="en-IN"/>
        </w:rPr>
        <w:t xml:space="preserve"> K100M showing the highest resistance to flow at low shear rates. A comparable trend was observed in the vendor comparison study of </w:t>
      </w:r>
      <w:proofErr w:type="spellStart"/>
      <w:r w:rsidRPr="00884E3C">
        <w:rPr>
          <w:rFonts w:ascii="Arial" w:eastAsia="Times New Roman" w:hAnsi="Arial" w:cs="Arial"/>
          <w:sz w:val="20"/>
          <w:szCs w:val="20"/>
          <w:lang w:eastAsia="en-IN"/>
        </w:rPr>
        <w:t>Benecel</w:t>
      </w:r>
      <w:proofErr w:type="spellEnd"/>
      <w:r w:rsidRPr="00884E3C">
        <w:rPr>
          <w:rFonts w:ascii="Arial" w:eastAsia="Times New Roman" w:hAnsi="Arial" w:cs="Arial"/>
          <w:sz w:val="20"/>
          <w:szCs w:val="20"/>
          <w:lang w:eastAsia="en-IN"/>
        </w:rPr>
        <w:t xml:space="preserve"> grades (K4M, K15M,</w:t>
      </w:r>
      <w:r w:rsidR="00752F33" w:rsidRPr="00884E3C">
        <w:rPr>
          <w:rFonts w:ascii="Arial" w:eastAsia="Times New Roman" w:hAnsi="Arial" w:cs="Arial"/>
          <w:sz w:val="20"/>
          <w:szCs w:val="20"/>
          <w:lang w:eastAsia="en-IN"/>
        </w:rPr>
        <w:t xml:space="preserve"> and</w:t>
      </w:r>
      <w:r w:rsidRPr="00884E3C">
        <w:rPr>
          <w:rFonts w:ascii="Arial" w:eastAsia="Times New Roman" w:hAnsi="Arial" w:cs="Arial"/>
          <w:sz w:val="20"/>
          <w:szCs w:val="20"/>
          <w:lang w:eastAsia="en-IN"/>
        </w:rPr>
        <w:t xml:space="preserve"> K100M), where higher-viscosity grades consistently displayed elevated zero-shear viscosity and stronger shear-dependent viscosity reduction, confirming that rheological performance was primarily governed by polymer molecular weight rather than supplier-specific differences</w:t>
      </w:r>
      <w:r w:rsidR="0061172D" w:rsidRPr="00884E3C">
        <w:rPr>
          <w:rFonts w:ascii="Arial" w:eastAsia="Times New Roman" w:hAnsi="Arial" w:cs="Arial"/>
          <w:sz w:val="20"/>
          <w:szCs w:val="20"/>
          <w:lang w:eastAsia="en-IN"/>
        </w:rPr>
        <w:t xml:space="preserve"> </w:t>
      </w:r>
      <w:r w:rsidR="0061172D" w:rsidRPr="00CF7777">
        <w:rPr>
          <w:rFonts w:ascii="Arial" w:eastAsia="Times New Roman" w:hAnsi="Arial" w:cs="Arial"/>
          <w:sz w:val="20"/>
          <w:szCs w:val="20"/>
          <w:lang w:eastAsia="en-IN"/>
        </w:rPr>
        <w:t>(</w:t>
      </w:r>
      <w:r w:rsidR="00884E3C" w:rsidRPr="00884E3C">
        <w:rPr>
          <w:rFonts w:ascii="Arial" w:eastAsia="Times New Roman" w:hAnsi="Arial" w:cs="Arial"/>
          <w:sz w:val="20"/>
          <w:szCs w:val="20"/>
          <w:lang w:eastAsia="en-IN"/>
        </w:rPr>
        <w:t>Moreira</w:t>
      </w:r>
      <w:r w:rsidR="00E335E7">
        <w:rPr>
          <w:rFonts w:ascii="Arial" w:eastAsia="Times New Roman" w:hAnsi="Arial" w:cs="Arial"/>
          <w:sz w:val="20"/>
          <w:szCs w:val="20"/>
          <w:lang w:eastAsia="en-IN"/>
        </w:rPr>
        <w:t xml:space="preserve"> R</w:t>
      </w:r>
      <w:r w:rsidR="00884E3C" w:rsidRPr="00884E3C">
        <w:rPr>
          <w:rFonts w:ascii="Arial" w:eastAsia="Times New Roman" w:hAnsi="Arial" w:cs="Arial"/>
          <w:sz w:val="20"/>
          <w:szCs w:val="20"/>
          <w:lang w:eastAsia="en-IN"/>
        </w:rPr>
        <w:t xml:space="preserve"> et al., 2016</w:t>
      </w:r>
      <w:r w:rsidR="0061172D" w:rsidRPr="00CF7777">
        <w:rPr>
          <w:rFonts w:ascii="Arial" w:eastAsia="Times New Roman" w:hAnsi="Arial" w:cs="Arial"/>
          <w:sz w:val="20"/>
          <w:szCs w:val="20"/>
          <w:lang w:eastAsia="en-IN"/>
        </w:rPr>
        <w:t>)</w:t>
      </w:r>
      <w:r w:rsidRPr="00CF7777">
        <w:rPr>
          <w:rFonts w:ascii="Arial" w:eastAsia="Times New Roman" w:hAnsi="Arial" w:cs="Arial"/>
          <w:sz w:val="20"/>
          <w:szCs w:val="20"/>
          <w:lang w:eastAsia="en-IN"/>
        </w:rPr>
        <w:t>.</w:t>
      </w:r>
    </w:p>
    <w:p w14:paraId="7A9A4296" w14:textId="77777777" w:rsidR="00FE0399" w:rsidRPr="00884E3C" w:rsidRDefault="00FE0399" w:rsidP="00080238">
      <w:pPr>
        <w:tabs>
          <w:tab w:val="left" w:pos="284"/>
          <w:tab w:val="left" w:pos="567"/>
        </w:tabs>
        <w:spacing w:after="0" w:line="240" w:lineRule="auto"/>
        <w:ind w:left="284"/>
        <w:jc w:val="both"/>
        <w:outlineLvl w:val="0"/>
        <w:rPr>
          <w:rFonts w:ascii="Arial" w:eastAsia="Times New Roman" w:hAnsi="Arial" w:cs="Arial"/>
          <w:sz w:val="20"/>
          <w:szCs w:val="20"/>
          <w:lang w:eastAsia="en-IN"/>
        </w:rPr>
      </w:pPr>
    </w:p>
    <w:p w14:paraId="0AF96CFB" w14:textId="77777777" w:rsidR="00910FA3" w:rsidRPr="00884E3C" w:rsidRDefault="00910FA3" w:rsidP="00080238">
      <w:pPr>
        <w:tabs>
          <w:tab w:val="left" w:pos="284"/>
          <w:tab w:val="left" w:pos="567"/>
        </w:tabs>
        <w:spacing w:after="0" w:line="240" w:lineRule="auto"/>
        <w:ind w:left="284"/>
        <w:jc w:val="both"/>
        <w:outlineLvl w:val="0"/>
        <w:rPr>
          <w:rFonts w:ascii="Arial" w:eastAsia="Times New Roman" w:hAnsi="Arial" w:cs="Arial"/>
          <w:sz w:val="20"/>
          <w:szCs w:val="20"/>
          <w:lang w:eastAsia="en-IN"/>
        </w:rPr>
      </w:pPr>
      <w:r w:rsidRPr="00884E3C">
        <w:rPr>
          <w:rFonts w:ascii="Arial" w:eastAsia="Times New Roman" w:hAnsi="Arial" w:cs="Arial"/>
          <w:sz w:val="20"/>
          <w:szCs w:val="20"/>
          <w:lang w:eastAsia="en-IN"/>
        </w:rPr>
        <w:t xml:space="preserve">In contrast to HPMC, HPC grades exhibited lower overall viscosity and a more gradual shear-thinning profile across the investigated shear rate range, as illustrated in </w:t>
      </w:r>
      <w:r w:rsidRPr="00884E3C">
        <w:rPr>
          <w:rFonts w:ascii="Arial" w:eastAsia="Times New Roman" w:hAnsi="Arial" w:cs="Arial"/>
          <w:b/>
          <w:bCs/>
          <w:sz w:val="20"/>
          <w:szCs w:val="20"/>
          <w:lang w:eastAsia="en-IN"/>
        </w:rPr>
        <w:t xml:space="preserve">Figure </w:t>
      </w:r>
      <w:r w:rsidR="001F46AA">
        <w:rPr>
          <w:rFonts w:ascii="Arial" w:eastAsia="Times New Roman" w:hAnsi="Arial" w:cs="Arial"/>
          <w:b/>
          <w:bCs/>
          <w:sz w:val="20"/>
          <w:szCs w:val="20"/>
          <w:lang w:eastAsia="en-IN"/>
        </w:rPr>
        <w:t>2</w:t>
      </w:r>
      <w:r w:rsidRPr="00884E3C">
        <w:rPr>
          <w:rFonts w:ascii="Arial" w:eastAsia="Times New Roman" w:hAnsi="Arial" w:cs="Arial"/>
          <w:sz w:val="20"/>
          <w:szCs w:val="20"/>
          <w:lang w:eastAsia="en-IN"/>
        </w:rPr>
        <w:t xml:space="preserve">. This behavior is consistent with the more flexible chain architecture of HPC and its reduced propensity for intermolecular association in aqueous media. From a pharmaceutical processing perspective, the observed shear-thinning behavior of all cellulose ether grades is advantageous, as high viscosity at low shear promotes formulation stability under static conditions, while viscosity reduction at elevated shear rates facilitates processing operations such as mixing, pumping, spraying, and coating. The stronger shear-dependent viscosity reduction observed for high-viscosity HPMC grades highlights their suitability for applications requiring structural integrity at rest and rapid flow under shear, whereas the more moderate rheological response of lower-viscosity HPMC and HPC grades may be preferred where smoother flow and reduced processing resistance are desired. Overall, the flow sweep results presented in </w:t>
      </w:r>
      <w:r w:rsidRPr="002B78D0">
        <w:rPr>
          <w:rFonts w:ascii="Arial" w:eastAsia="Times New Roman" w:hAnsi="Arial" w:cs="Arial"/>
          <w:b/>
          <w:bCs/>
          <w:sz w:val="20"/>
          <w:szCs w:val="20"/>
          <w:lang w:eastAsia="en-IN"/>
        </w:rPr>
        <w:t xml:space="preserve">Figure </w:t>
      </w:r>
      <w:r w:rsidR="001F46AA">
        <w:rPr>
          <w:rFonts w:ascii="Arial" w:eastAsia="Times New Roman" w:hAnsi="Arial" w:cs="Arial"/>
          <w:b/>
          <w:bCs/>
          <w:sz w:val="20"/>
          <w:szCs w:val="20"/>
          <w:lang w:eastAsia="en-IN"/>
        </w:rPr>
        <w:t>2</w:t>
      </w:r>
      <w:r w:rsidRPr="00884E3C">
        <w:rPr>
          <w:rFonts w:ascii="Arial" w:eastAsia="Times New Roman" w:hAnsi="Arial" w:cs="Arial"/>
          <w:sz w:val="20"/>
          <w:szCs w:val="20"/>
          <w:lang w:eastAsia="en-IN"/>
        </w:rPr>
        <w:t xml:space="preserve"> underscore the critical role of polymer grade, concentration, and molecular weight in tailoring rheological behavior for specific pharmaceutical formulation and processing requirements.</w:t>
      </w:r>
    </w:p>
    <w:p w14:paraId="1DD68FA9" w14:textId="77777777" w:rsidR="00A957C8" w:rsidRPr="00884E3C" w:rsidRDefault="006F01AF" w:rsidP="00080238">
      <w:pPr>
        <w:spacing w:after="0" w:line="240" w:lineRule="auto"/>
        <w:ind w:left="142"/>
        <w:jc w:val="both"/>
        <w:rPr>
          <w:rFonts w:ascii="Arial" w:eastAsia="Times New Roman" w:hAnsi="Arial" w:cs="Arial"/>
          <w:b/>
          <w:sz w:val="20"/>
          <w:szCs w:val="20"/>
          <w:lang w:eastAsia="en-IN"/>
        </w:rPr>
      </w:pPr>
      <w:r w:rsidRPr="00884E3C">
        <w:rPr>
          <w:rFonts w:ascii="Arial" w:eastAsia="Times New Roman" w:hAnsi="Arial" w:cs="Arial"/>
          <w:b/>
          <w:noProof/>
          <w:sz w:val="20"/>
          <w:szCs w:val="20"/>
          <w:lang w:eastAsia="en-IN"/>
        </w:rPr>
        <w:lastRenderedPageBreak/>
        <w:drawing>
          <wp:inline distT="0" distB="0" distL="0" distR="0" wp14:anchorId="566C95E9" wp14:editId="1EBFF8D2">
            <wp:extent cx="6479540" cy="65443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2_Flow Sweep.jpg"/>
                    <pic:cNvPicPr/>
                  </pic:nvPicPr>
                  <pic:blipFill>
                    <a:blip r:embed="rId15">
                      <a:extLst>
                        <a:ext uri="{28A0092B-C50C-407E-A947-70E740481C1C}">
                          <a14:useLocalDpi xmlns:a14="http://schemas.microsoft.com/office/drawing/2010/main" val="0"/>
                        </a:ext>
                      </a:extLst>
                    </a:blip>
                    <a:stretch>
                      <a:fillRect/>
                    </a:stretch>
                  </pic:blipFill>
                  <pic:spPr>
                    <a:xfrm>
                      <a:off x="0" y="0"/>
                      <a:ext cx="6479540" cy="6544310"/>
                    </a:xfrm>
                    <a:prstGeom prst="rect">
                      <a:avLst/>
                    </a:prstGeom>
                  </pic:spPr>
                </pic:pic>
              </a:graphicData>
            </a:graphic>
          </wp:inline>
        </w:drawing>
      </w:r>
    </w:p>
    <w:p w14:paraId="4B51FBE5" w14:textId="77777777" w:rsidR="00A957C8" w:rsidRPr="00884E3C" w:rsidRDefault="00651A2B" w:rsidP="00080238">
      <w:pPr>
        <w:spacing w:after="0" w:line="240" w:lineRule="auto"/>
        <w:ind w:left="142"/>
        <w:jc w:val="center"/>
        <w:rPr>
          <w:rFonts w:ascii="Arial" w:hAnsi="Arial" w:cs="Arial"/>
          <w:sz w:val="20"/>
          <w:szCs w:val="20"/>
        </w:rPr>
      </w:pPr>
      <w:r w:rsidRPr="001F46AA">
        <w:rPr>
          <w:rFonts w:ascii="Arial" w:hAnsi="Arial" w:cs="Arial"/>
          <w:b/>
          <w:sz w:val="20"/>
          <w:szCs w:val="20"/>
          <w:lang w:eastAsia="en-IN"/>
        </w:rPr>
        <w:t>Fig</w:t>
      </w:r>
      <w:r>
        <w:rPr>
          <w:rFonts w:ascii="Arial" w:hAnsi="Arial" w:cs="Arial"/>
          <w:b/>
          <w:sz w:val="20"/>
          <w:szCs w:val="20"/>
          <w:lang w:eastAsia="en-IN"/>
        </w:rPr>
        <w:t>. 2.</w:t>
      </w:r>
      <w:r w:rsidRPr="001F46AA">
        <w:rPr>
          <w:rFonts w:ascii="Arial" w:hAnsi="Arial" w:cs="Arial"/>
          <w:b/>
          <w:sz w:val="20"/>
          <w:szCs w:val="20"/>
          <w:lang w:eastAsia="en-IN"/>
        </w:rPr>
        <w:t xml:space="preserve"> </w:t>
      </w:r>
      <w:r w:rsidR="00D925FA" w:rsidRPr="002B78D0">
        <w:rPr>
          <w:rFonts w:ascii="Arial" w:hAnsi="Arial" w:cs="Arial"/>
          <w:b/>
          <w:sz w:val="20"/>
          <w:szCs w:val="20"/>
        </w:rPr>
        <w:t>Flow sweep rheological characterization of different grades of hydroxypropyl methylcellulose and hydroxypropyl cellulose at varying concentrations</w:t>
      </w:r>
      <w:r w:rsidR="00D925FA" w:rsidRPr="00884E3C">
        <w:rPr>
          <w:rFonts w:ascii="Arial" w:hAnsi="Arial" w:cs="Arial"/>
          <w:sz w:val="20"/>
          <w:szCs w:val="20"/>
        </w:rPr>
        <w:t>.</w:t>
      </w:r>
    </w:p>
    <w:p w14:paraId="23394E32" w14:textId="77777777" w:rsidR="00D925FA" w:rsidRPr="00884E3C" w:rsidRDefault="00D925FA" w:rsidP="00080238">
      <w:pPr>
        <w:suppressLineNumbers/>
        <w:spacing w:after="0" w:line="240" w:lineRule="auto"/>
        <w:ind w:left="142"/>
        <w:jc w:val="both"/>
        <w:rPr>
          <w:rFonts w:ascii="Arial" w:eastAsia="Times New Roman" w:hAnsi="Arial" w:cs="Arial"/>
          <w:b/>
          <w:sz w:val="20"/>
          <w:szCs w:val="20"/>
          <w:lang w:eastAsia="en-IN"/>
        </w:rPr>
      </w:pPr>
    </w:p>
    <w:p w14:paraId="68798B02" w14:textId="77777777" w:rsidR="00824B18" w:rsidRPr="00884E3C" w:rsidRDefault="007330C2" w:rsidP="00080238">
      <w:pPr>
        <w:pStyle w:val="Heading3"/>
        <w:numPr>
          <w:ilvl w:val="1"/>
          <w:numId w:val="22"/>
        </w:numPr>
        <w:spacing w:before="0" w:line="240" w:lineRule="auto"/>
        <w:jc w:val="both"/>
        <w:rPr>
          <w:rFonts w:ascii="Arial" w:hAnsi="Arial" w:cs="Arial"/>
          <w:b/>
          <w:color w:val="auto"/>
          <w:sz w:val="22"/>
          <w:szCs w:val="22"/>
        </w:rPr>
      </w:pPr>
      <w:r w:rsidRPr="00884E3C">
        <w:rPr>
          <w:rFonts w:ascii="Arial" w:hAnsi="Arial" w:cs="Arial"/>
          <w:b/>
          <w:color w:val="auto"/>
          <w:sz w:val="22"/>
          <w:szCs w:val="22"/>
        </w:rPr>
        <w:t>Amplitude Sweep Behavior</w:t>
      </w:r>
    </w:p>
    <w:p w14:paraId="19D6CA6F" w14:textId="77777777" w:rsidR="003F0373" w:rsidRPr="00884E3C" w:rsidRDefault="003F0373" w:rsidP="00080238">
      <w:pPr>
        <w:pStyle w:val="NormalWeb"/>
        <w:spacing w:before="0" w:beforeAutospacing="0" w:after="0" w:afterAutospacing="0"/>
        <w:ind w:left="142"/>
        <w:jc w:val="both"/>
        <w:rPr>
          <w:rFonts w:ascii="Arial" w:hAnsi="Arial" w:cs="Arial"/>
          <w:sz w:val="20"/>
          <w:szCs w:val="20"/>
        </w:rPr>
      </w:pPr>
    </w:p>
    <w:p w14:paraId="6020BDB8" w14:textId="77777777" w:rsidR="00824B18" w:rsidRPr="00884E3C" w:rsidRDefault="00824B18"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 xml:space="preserve">Amplitude sweep measurements revealed distinct differences in viscoelastic network strength, deformation tolerance, and structural stability among the evaluated cellulose ether grades, as illustrated in </w:t>
      </w:r>
      <w:r w:rsidR="001F46AA">
        <w:rPr>
          <w:rStyle w:val="Strong"/>
          <w:rFonts w:ascii="Arial" w:hAnsi="Arial" w:cs="Arial"/>
          <w:sz w:val="20"/>
          <w:szCs w:val="20"/>
        </w:rPr>
        <w:t>Figure 3</w:t>
      </w:r>
      <w:r w:rsidRPr="00884E3C">
        <w:rPr>
          <w:rFonts w:ascii="Arial" w:hAnsi="Arial" w:cs="Arial"/>
          <w:sz w:val="20"/>
          <w:szCs w:val="20"/>
        </w:rPr>
        <w:t xml:space="preserve">. Across all samples, a linear viscoelastic region (LVR) was observed at low strain amplitudes, characterized by constant storage modulus (G′) and loss modulus (G″), followed by a progressive deviation from linearity at higher strains due to network disruption. The extent of the LVR and the strain at which modulus crossover occurred were strongly dependent on polymer type, molecular weight, and dispersion concentration. Among the HPMC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E-series grades (E3, E5, and E15) evaluated over a wide concentration range (1–10% w/w), a clear grade and concentration-dependent strengthening of the viscoelastic network was evident. Lower-viscosity grades such as E3 and E5 exhibited relatively narrow LVRs and earlier onset of non-linear behavior, particularly at lower concentrations, indicating weaker intermolecular interactions and reduced resistance to deformation. In contrast, higher-viscosity grades, especially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E15, displayed extended LVRs and higher critical strain values, reflecting the formation of more robust polymer networks capable of sustaining larger deformations without structural breakdown. Increasing polymer concentration further enhanced network strength, leading to higher G′ values and delayed modulus crossover, consistent with increased chain entanglement density.</w:t>
      </w:r>
    </w:p>
    <w:p w14:paraId="631B1AED" w14:textId="77777777" w:rsidR="003F0373" w:rsidRPr="00884E3C" w:rsidRDefault="003F0373" w:rsidP="00080238">
      <w:pPr>
        <w:pStyle w:val="NormalWeb"/>
        <w:spacing w:before="0" w:beforeAutospacing="0" w:after="0" w:afterAutospacing="0"/>
        <w:ind w:left="142"/>
        <w:jc w:val="both"/>
        <w:rPr>
          <w:rFonts w:ascii="Arial" w:hAnsi="Arial" w:cs="Arial"/>
          <w:sz w:val="20"/>
          <w:szCs w:val="20"/>
        </w:rPr>
      </w:pPr>
    </w:p>
    <w:p w14:paraId="21E4E332" w14:textId="77777777" w:rsidR="00824B18" w:rsidRPr="00884E3C" w:rsidRDefault="00824B18"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 xml:space="preserve">A similar trend was observed for the HPMC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K-series grades (K15, K100 LV, and K100M) evaluated at 1–2% w/w. As shown in </w:t>
      </w:r>
      <w:r w:rsidRPr="002B78D0">
        <w:rPr>
          <w:rStyle w:val="Strong"/>
          <w:rFonts w:ascii="Arial" w:hAnsi="Arial" w:cs="Arial"/>
          <w:sz w:val="20"/>
          <w:szCs w:val="20"/>
        </w:rPr>
        <w:t xml:space="preserve">Figure </w:t>
      </w:r>
      <w:r w:rsidR="001F46AA">
        <w:rPr>
          <w:rStyle w:val="Strong"/>
          <w:rFonts w:ascii="Arial" w:hAnsi="Arial" w:cs="Arial"/>
          <w:sz w:val="20"/>
          <w:szCs w:val="20"/>
        </w:rPr>
        <w:t>3</w:t>
      </w:r>
      <w:r w:rsidRPr="00884E3C">
        <w:rPr>
          <w:rFonts w:ascii="Arial" w:hAnsi="Arial" w:cs="Arial"/>
          <w:sz w:val="20"/>
          <w:szCs w:val="20"/>
        </w:rPr>
        <w:t>, K100M exhibited the most extended LVR and highest resistance to deformation, followed by K1</w:t>
      </w:r>
      <w:r w:rsidR="001B287C" w:rsidRPr="00884E3C">
        <w:rPr>
          <w:rFonts w:ascii="Arial" w:hAnsi="Arial" w:cs="Arial"/>
          <w:sz w:val="20"/>
          <w:szCs w:val="20"/>
        </w:rPr>
        <w:t>5M</w:t>
      </w:r>
      <w:r w:rsidRPr="00884E3C">
        <w:rPr>
          <w:rFonts w:ascii="Arial" w:hAnsi="Arial" w:cs="Arial"/>
          <w:sz w:val="20"/>
          <w:szCs w:val="20"/>
        </w:rPr>
        <w:t xml:space="preserve"> and K1</w:t>
      </w:r>
      <w:r w:rsidR="001B287C" w:rsidRPr="00884E3C">
        <w:rPr>
          <w:rFonts w:ascii="Arial" w:hAnsi="Arial" w:cs="Arial"/>
          <w:sz w:val="20"/>
          <w:szCs w:val="20"/>
        </w:rPr>
        <w:t>00 LV</w:t>
      </w:r>
      <w:r w:rsidRPr="00884E3C">
        <w:rPr>
          <w:rFonts w:ascii="Arial" w:hAnsi="Arial" w:cs="Arial"/>
          <w:sz w:val="20"/>
          <w:szCs w:val="20"/>
        </w:rPr>
        <w:t xml:space="preserve">, in accordance with their increasing molecular weight and viscosity. Vendor comparison using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K-series grades (K4M, K15M, and K</w:t>
      </w:r>
      <w:r w:rsidR="001B287C" w:rsidRPr="00884E3C">
        <w:rPr>
          <w:rFonts w:ascii="Arial" w:hAnsi="Arial" w:cs="Arial"/>
          <w:sz w:val="20"/>
          <w:szCs w:val="20"/>
        </w:rPr>
        <w:t>1</w:t>
      </w:r>
      <w:r w:rsidRPr="00884E3C">
        <w:rPr>
          <w:rFonts w:ascii="Arial" w:hAnsi="Arial" w:cs="Arial"/>
          <w:sz w:val="20"/>
          <w:szCs w:val="20"/>
        </w:rPr>
        <w:t>00M) demonstrated comparable viscoelastic behavior, with higher-viscosity grades consistently showing broader LVRs and delayed modulus crossover, confirming that deformation tolerance is primarily governed by polymer molecular characteristics rather than supplier-specific differences.</w:t>
      </w:r>
      <w:r w:rsidR="000D30BF" w:rsidRPr="00884E3C">
        <w:rPr>
          <w:rFonts w:ascii="Arial" w:hAnsi="Arial" w:cs="Arial"/>
          <w:sz w:val="20"/>
          <w:szCs w:val="20"/>
        </w:rPr>
        <w:t xml:space="preserve"> </w:t>
      </w:r>
      <w:r w:rsidRPr="00884E3C">
        <w:rPr>
          <w:rFonts w:ascii="Arial" w:hAnsi="Arial" w:cs="Arial"/>
          <w:sz w:val="20"/>
          <w:szCs w:val="20"/>
        </w:rPr>
        <w:t xml:space="preserve">In contrast to HPMC, </w:t>
      </w:r>
      <w:proofErr w:type="spellStart"/>
      <w:r w:rsidRPr="00884E3C">
        <w:rPr>
          <w:rFonts w:ascii="Arial" w:hAnsi="Arial" w:cs="Arial"/>
          <w:sz w:val="20"/>
          <w:szCs w:val="20"/>
        </w:rPr>
        <w:t>Klucel</w:t>
      </w:r>
      <w:proofErr w:type="spellEnd"/>
      <w:r w:rsidRPr="00884E3C">
        <w:rPr>
          <w:rFonts w:ascii="Arial" w:hAnsi="Arial" w:cs="Arial"/>
          <w:sz w:val="20"/>
          <w:szCs w:val="20"/>
        </w:rPr>
        <w:t xml:space="preserve"> HPC grades (LF, EF, JF, HF, GF, and MF) exhibited comparatively narrower LVRs and earlier modulus crossover points, as shown in </w:t>
      </w:r>
      <w:r w:rsidRPr="002B78D0">
        <w:rPr>
          <w:rStyle w:val="Strong"/>
          <w:rFonts w:ascii="Arial" w:hAnsi="Arial" w:cs="Arial"/>
          <w:sz w:val="20"/>
          <w:szCs w:val="20"/>
        </w:rPr>
        <w:t xml:space="preserve">Figure </w:t>
      </w:r>
      <w:r w:rsidR="001F46AA">
        <w:rPr>
          <w:rStyle w:val="Strong"/>
          <w:rFonts w:ascii="Arial" w:hAnsi="Arial" w:cs="Arial"/>
          <w:sz w:val="20"/>
          <w:szCs w:val="20"/>
        </w:rPr>
        <w:t>3</w:t>
      </w:r>
      <w:r w:rsidRPr="00884E3C">
        <w:rPr>
          <w:rFonts w:ascii="Arial" w:hAnsi="Arial" w:cs="Arial"/>
          <w:sz w:val="20"/>
          <w:szCs w:val="20"/>
        </w:rPr>
        <w:t>, indicating weaker viscoelastic networks and reduced deformation tolerance. This behavior can be attributed to the more flexible chain architecture of HPC and its lower propensity for intermolecular association in aqueous systems. Although higher-viscosity HPC grades (e.g., MF and GF) demonstrated modest improvements in network strength compared to lower-viscosity grades (LF and EF), their overall viscoelastic robustness remained lower than that of corresponding high-viscosity HPMC grades.</w:t>
      </w:r>
    </w:p>
    <w:p w14:paraId="64ECBA9F" w14:textId="77777777" w:rsidR="003F0373" w:rsidRPr="00884E3C" w:rsidRDefault="003F0373" w:rsidP="00080238">
      <w:pPr>
        <w:pStyle w:val="NormalWeb"/>
        <w:spacing w:before="0" w:beforeAutospacing="0" w:after="0" w:afterAutospacing="0"/>
        <w:ind w:left="142"/>
        <w:jc w:val="both"/>
        <w:rPr>
          <w:rFonts w:ascii="Arial" w:hAnsi="Arial" w:cs="Arial"/>
          <w:sz w:val="20"/>
          <w:szCs w:val="20"/>
        </w:rPr>
      </w:pPr>
    </w:p>
    <w:p w14:paraId="68C04E36" w14:textId="77777777" w:rsidR="00824B18" w:rsidRPr="00884E3C" w:rsidRDefault="00824B18"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 xml:space="preserve">From a pharmaceutical processing perspective, </w:t>
      </w:r>
      <w:r w:rsidR="0061172D" w:rsidRPr="00884E3C">
        <w:rPr>
          <w:rFonts w:ascii="Arial" w:hAnsi="Arial" w:cs="Arial"/>
          <w:sz w:val="20"/>
          <w:szCs w:val="20"/>
        </w:rPr>
        <w:t>these amplitudes</w:t>
      </w:r>
      <w:r w:rsidRPr="00884E3C">
        <w:rPr>
          <w:rFonts w:ascii="Arial" w:hAnsi="Arial" w:cs="Arial"/>
          <w:sz w:val="20"/>
          <w:szCs w:val="20"/>
        </w:rPr>
        <w:t xml:space="preserve"> sweep results are highly relevant for operations involving high mechanical stress, such as wet granulation, extrusion, and compaction. Polymers with extended LVRs and higher critical strain values, such as high-viscosity HPMC grades, are better suited to withstand deformation without structural collapse, thereby contributing to improved granule integrity and tablet robustness. Conversely, lower-viscosity HPMC and HPC grades, while offering greater flexibility and ease of deformation, may be more appropriate for applications requiring rapid structural breakdown or lower mechanical resistance</w:t>
      </w:r>
      <w:r w:rsidR="0061172D" w:rsidRPr="00884E3C">
        <w:rPr>
          <w:rFonts w:ascii="Arial" w:hAnsi="Arial" w:cs="Arial"/>
          <w:sz w:val="20"/>
          <w:szCs w:val="20"/>
        </w:rPr>
        <w:t xml:space="preserve"> </w:t>
      </w:r>
      <w:r w:rsidR="0061172D" w:rsidRPr="00CF7777">
        <w:rPr>
          <w:rFonts w:ascii="Arial" w:hAnsi="Arial" w:cs="Arial"/>
          <w:sz w:val="20"/>
          <w:szCs w:val="20"/>
        </w:rPr>
        <w:t>(</w:t>
      </w:r>
      <w:r w:rsidR="00884E3C" w:rsidRPr="00884E3C">
        <w:rPr>
          <w:rFonts w:ascii="Arial" w:hAnsi="Arial" w:cs="Arial"/>
          <w:sz w:val="20"/>
          <w:szCs w:val="20"/>
        </w:rPr>
        <w:t>Moreira</w:t>
      </w:r>
      <w:r w:rsidR="00E335E7">
        <w:rPr>
          <w:rFonts w:ascii="Arial" w:hAnsi="Arial" w:cs="Arial"/>
          <w:sz w:val="20"/>
          <w:szCs w:val="20"/>
        </w:rPr>
        <w:t xml:space="preserve"> R</w:t>
      </w:r>
      <w:r w:rsidR="00884E3C" w:rsidRPr="00884E3C">
        <w:rPr>
          <w:rFonts w:ascii="Arial" w:hAnsi="Arial" w:cs="Arial"/>
          <w:sz w:val="20"/>
          <w:szCs w:val="20"/>
        </w:rPr>
        <w:t xml:space="preserve"> et al., 2016</w:t>
      </w:r>
      <w:r w:rsidR="0061172D" w:rsidRPr="00CF7777">
        <w:rPr>
          <w:rFonts w:ascii="Arial" w:hAnsi="Arial" w:cs="Arial"/>
          <w:sz w:val="20"/>
          <w:szCs w:val="20"/>
        </w:rPr>
        <w:t>)</w:t>
      </w:r>
      <w:r w:rsidRPr="00884E3C">
        <w:rPr>
          <w:rFonts w:ascii="Arial" w:hAnsi="Arial" w:cs="Arial"/>
          <w:sz w:val="20"/>
          <w:szCs w:val="20"/>
        </w:rPr>
        <w:t xml:space="preserve">. Overall, the comparative amplitude sweep data presented in </w:t>
      </w:r>
      <w:r w:rsidRPr="002B78D0">
        <w:rPr>
          <w:rFonts w:ascii="Arial" w:hAnsi="Arial" w:cs="Arial"/>
          <w:b/>
          <w:sz w:val="20"/>
          <w:szCs w:val="20"/>
        </w:rPr>
        <w:t xml:space="preserve">Figure </w:t>
      </w:r>
      <w:r w:rsidR="001F46AA">
        <w:rPr>
          <w:rFonts w:ascii="Arial" w:hAnsi="Arial" w:cs="Arial"/>
          <w:b/>
          <w:sz w:val="20"/>
          <w:szCs w:val="20"/>
        </w:rPr>
        <w:t>3</w:t>
      </w:r>
      <w:r w:rsidRPr="00884E3C">
        <w:rPr>
          <w:rFonts w:ascii="Arial" w:hAnsi="Arial" w:cs="Arial"/>
          <w:sz w:val="20"/>
          <w:szCs w:val="20"/>
        </w:rPr>
        <w:t xml:space="preserve"> underscore the importance of polymer grade and concentration selection in tailoring viscoelastic performance for specific pharmaceutical formulation and processing requirements.</w:t>
      </w:r>
    </w:p>
    <w:p w14:paraId="34854F66" w14:textId="77777777" w:rsidR="00A957C8" w:rsidRPr="00884E3C" w:rsidRDefault="00A957C8" w:rsidP="00080238">
      <w:pPr>
        <w:spacing w:after="0" w:line="240" w:lineRule="auto"/>
        <w:ind w:left="142"/>
        <w:jc w:val="both"/>
        <w:rPr>
          <w:rFonts w:ascii="Arial" w:eastAsia="Times New Roman" w:hAnsi="Arial" w:cs="Arial"/>
          <w:b/>
          <w:sz w:val="20"/>
          <w:szCs w:val="20"/>
          <w:lang w:eastAsia="en-IN"/>
        </w:rPr>
      </w:pPr>
    </w:p>
    <w:p w14:paraId="7943D777" w14:textId="77777777" w:rsidR="00A957C8" w:rsidRPr="00884E3C" w:rsidRDefault="006F01AF" w:rsidP="00080238">
      <w:pPr>
        <w:spacing w:after="0" w:line="240" w:lineRule="auto"/>
        <w:ind w:left="142"/>
        <w:jc w:val="both"/>
        <w:rPr>
          <w:rFonts w:ascii="Arial" w:eastAsia="Times New Roman" w:hAnsi="Arial" w:cs="Arial"/>
          <w:b/>
          <w:sz w:val="20"/>
          <w:szCs w:val="20"/>
          <w:lang w:eastAsia="en-IN"/>
        </w:rPr>
      </w:pPr>
      <w:r w:rsidRPr="00884E3C">
        <w:rPr>
          <w:rFonts w:ascii="Arial" w:eastAsia="Times New Roman" w:hAnsi="Arial" w:cs="Arial"/>
          <w:b/>
          <w:noProof/>
          <w:sz w:val="20"/>
          <w:szCs w:val="20"/>
          <w:lang w:eastAsia="en-IN"/>
        </w:rPr>
        <w:drawing>
          <wp:inline distT="0" distB="0" distL="0" distR="0" wp14:anchorId="45B94D5B" wp14:editId="70D97752">
            <wp:extent cx="5600700" cy="57730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3_Amplitude Sweep.jpg"/>
                    <pic:cNvPicPr/>
                  </pic:nvPicPr>
                  <pic:blipFill>
                    <a:blip r:embed="rId16">
                      <a:extLst>
                        <a:ext uri="{28A0092B-C50C-407E-A947-70E740481C1C}">
                          <a14:useLocalDpi xmlns:a14="http://schemas.microsoft.com/office/drawing/2010/main" val="0"/>
                        </a:ext>
                      </a:extLst>
                    </a:blip>
                    <a:stretch>
                      <a:fillRect/>
                    </a:stretch>
                  </pic:blipFill>
                  <pic:spPr>
                    <a:xfrm>
                      <a:off x="0" y="0"/>
                      <a:ext cx="5605031" cy="5777467"/>
                    </a:xfrm>
                    <a:prstGeom prst="rect">
                      <a:avLst/>
                    </a:prstGeom>
                  </pic:spPr>
                </pic:pic>
              </a:graphicData>
            </a:graphic>
          </wp:inline>
        </w:drawing>
      </w:r>
    </w:p>
    <w:p w14:paraId="3AADE126" w14:textId="77777777" w:rsidR="00A957C8" w:rsidRPr="002B78D0" w:rsidRDefault="00651A2B" w:rsidP="00080238">
      <w:pPr>
        <w:spacing w:after="0" w:line="240" w:lineRule="auto"/>
        <w:ind w:left="142"/>
        <w:jc w:val="center"/>
        <w:rPr>
          <w:rFonts w:ascii="Arial" w:eastAsia="Times New Roman" w:hAnsi="Arial" w:cs="Arial"/>
          <w:b/>
          <w:sz w:val="20"/>
          <w:szCs w:val="20"/>
          <w:lang w:eastAsia="en-IN"/>
        </w:rPr>
      </w:pPr>
      <w:r w:rsidRPr="001F46AA">
        <w:rPr>
          <w:rFonts w:ascii="Arial" w:hAnsi="Arial" w:cs="Arial"/>
          <w:b/>
          <w:sz w:val="20"/>
          <w:szCs w:val="20"/>
          <w:lang w:eastAsia="en-IN"/>
        </w:rPr>
        <w:lastRenderedPageBreak/>
        <w:t>Fig</w:t>
      </w:r>
      <w:r>
        <w:rPr>
          <w:rFonts w:ascii="Arial" w:hAnsi="Arial" w:cs="Arial"/>
          <w:b/>
          <w:sz w:val="20"/>
          <w:szCs w:val="20"/>
          <w:lang w:eastAsia="en-IN"/>
        </w:rPr>
        <w:t>. 3.</w:t>
      </w:r>
      <w:r w:rsidRPr="001F46AA">
        <w:rPr>
          <w:rFonts w:ascii="Arial" w:hAnsi="Arial" w:cs="Arial"/>
          <w:b/>
          <w:sz w:val="20"/>
          <w:szCs w:val="20"/>
          <w:lang w:eastAsia="en-IN"/>
        </w:rPr>
        <w:t xml:space="preserve"> </w:t>
      </w:r>
      <w:r w:rsidR="00A957C8" w:rsidRPr="002B78D0">
        <w:rPr>
          <w:rFonts w:ascii="Arial" w:eastAsia="Times New Roman" w:hAnsi="Arial" w:cs="Arial"/>
          <w:b/>
          <w:sz w:val="20"/>
          <w:szCs w:val="20"/>
          <w:lang w:eastAsia="en-IN"/>
        </w:rPr>
        <w:t xml:space="preserve">Amplitude </w:t>
      </w:r>
      <w:r w:rsidR="001B287C" w:rsidRPr="002B78D0">
        <w:rPr>
          <w:rFonts w:ascii="Arial" w:hAnsi="Arial" w:cs="Arial"/>
          <w:b/>
          <w:sz w:val="20"/>
          <w:szCs w:val="20"/>
        </w:rPr>
        <w:t>sweep rheological characterization of different grades of hydroxypropyl methylcellulose and hydroxypropyl cellulose at varying concentrations.</w:t>
      </w:r>
    </w:p>
    <w:p w14:paraId="3BA33E74" w14:textId="77777777" w:rsidR="00A957C8" w:rsidRPr="00884E3C" w:rsidRDefault="00A957C8" w:rsidP="00080238">
      <w:pPr>
        <w:pStyle w:val="Heading3"/>
        <w:spacing w:before="0" w:line="240" w:lineRule="auto"/>
        <w:ind w:left="142"/>
        <w:jc w:val="both"/>
        <w:rPr>
          <w:rFonts w:ascii="Arial" w:hAnsi="Arial" w:cs="Arial"/>
          <w:b/>
          <w:color w:val="auto"/>
          <w:sz w:val="20"/>
          <w:szCs w:val="20"/>
        </w:rPr>
      </w:pPr>
    </w:p>
    <w:p w14:paraId="009FC535" w14:textId="77777777" w:rsidR="00FB3529" w:rsidRPr="00884E3C" w:rsidRDefault="007330C2" w:rsidP="00080238">
      <w:pPr>
        <w:pStyle w:val="Heading3"/>
        <w:numPr>
          <w:ilvl w:val="1"/>
          <w:numId w:val="22"/>
        </w:numPr>
        <w:spacing w:before="0" w:line="240" w:lineRule="auto"/>
        <w:jc w:val="both"/>
        <w:rPr>
          <w:rFonts w:ascii="Arial" w:hAnsi="Arial" w:cs="Arial"/>
          <w:b/>
          <w:color w:val="auto"/>
          <w:sz w:val="22"/>
          <w:szCs w:val="22"/>
        </w:rPr>
      </w:pPr>
      <w:r w:rsidRPr="00884E3C">
        <w:rPr>
          <w:rFonts w:ascii="Arial" w:hAnsi="Arial" w:cs="Arial"/>
          <w:b/>
          <w:color w:val="auto"/>
          <w:sz w:val="22"/>
          <w:szCs w:val="22"/>
        </w:rPr>
        <w:t>Frequency Sweep Behavior</w:t>
      </w:r>
    </w:p>
    <w:p w14:paraId="0C5D264C" w14:textId="77777777" w:rsidR="003F0373" w:rsidRPr="00884E3C" w:rsidRDefault="003F0373" w:rsidP="00080238">
      <w:pPr>
        <w:pStyle w:val="NormalWeb"/>
        <w:spacing w:before="0" w:beforeAutospacing="0" w:after="0" w:afterAutospacing="0"/>
        <w:ind w:left="142"/>
        <w:jc w:val="both"/>
        <w:rPr>
          <w:rFonts w:ascii="Arial" w:hAnsi="Arial" w:cs="Arial"/>
          <w:sz w:val="20"/>
          <w:szCs w:val="20"/>
        </w:rPr>
      </w:pPr>
    </w:p>
    <w:p w14:paraId="6C92F33F" w14:textId="77777777" w:rsidR="00FB3529" w:rsidRPr="00884E3C" w:rsidRDefault="00FB3529"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 xml:space="preserve">Frequency sweep analysis provided insight into the concentration, molecular weight, and polymer-type-dependent viscoelastic behavior of the evaluated cellulose ether dispersions, with comparative results presented in </w:t>
      </w:r>
      <w:r w:rsidR="001F46AA">
        <w:rPr>
          <w:rStyle w:val="Strong"/>
          <w:rFonts w:ascii="Arial" w:hAnsi="Arial" w:cs="Arial"/>
          <w:sz w:val="20"/>
          <w:szCs w:val="20"/>
        </w:rPr>
        <w:t>Figure 4</w:t>
      </w:r>
      <w:r w:rsidRPr="00884E3C">
        <w:rPr>
          <w:rFonts w:ascii="Arial" w:hAnsi="Arial" w:cs="Arial"/>
          <w:sz w:val="20"/>
          <w:szCs w:val="20"/>
        </w:rPr>
        <w:t xml:space="preserve">. Across all HPMC grades, increasing polymer concentration resulted in a systematic enhancement of elastic behavior, evidenced by an increase in storage modulus (G′) relative to loss modulus (G″). At low concentrations (1–2% w/w),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HPMC grades from both the E-series (E3, E5, and E15) and K-series (K15, K100 LV, and K100M) behaved predominantly as viscous solutions, with G″ exceeding G′ across most of the frequency range. This response reflects limited intermolecular association and high chain mobility at lower polymer loadings. However, as concentration increased to 5-10% w/w for the E-series, a transition toward viscoelastic or elastic-dominant behavior was observed, particularly for higher-viscosity grades such as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E15, where G′ became less frequency dependent and exceeded G″ over a broad frequency range, indicating the development of a more structured polymer network.</w:t>
      </w:r>
    </w:p>
    <w:p w14:paraId="5C8AA1B9" w14:textId="77777777" w:rsidR="00FE0399" w:rsidRPr="00884E3C" w:rsidRDefault="00FE0399" w:rsidP="00080238">
      <w:pPr>
        <w:pStyle w:val="NormalWeb"/>
        <w:spacing w:before="0" w:beforeAutospacing="0" w:after="0" w:afterAutospacing="0"/>
        <w:ind w:left="142"/>
        <w:jc w:val="both"/>
        <w:rPr>
          <w:rFonts w:ascii="Arial" w:hAnsi="Arial" w:cs="Arial"/>
          <w:sz w:val="20"/>
          <w:szCs w:val="20"/>
        </w:rPr>
      </w:pPr>
    </w:p>
    <w:p w14:paraId="4D6B12BE" w14:textId="77777777" w:rsidR="00FB3529" w:rsidRPr="00884E3C" w:rsidRDefault="00FB3529"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 xml:space="preserve">Comparable trends were observed for the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K-series and </w:t>
      </w:r>
      <w:proofErr w:type="spellStart"/>
      <w:r w:rsidRPr="00884E3C">
        <w:rPr>
          <w:rFonts w:ascii="Arial" w:hAnsi="Arial" w:cs="Arial"/>
          <w:sz w:val="20"/>
          <w:szCs w:val="20"/>
        </w:rPr>
        <w:t>Benecel</w:t>
      </w:r>
      <w:proofErr w:type="spellEnd"/>
      <w:r w:rsidRPr="00884E3C">
        <w:rPr>
          <w:rFonts w:ascii="Arial" w:hAnsi="Arial" w:cs="Arial"/>
          <w:sz w:val="20"/>
          <w:szCs w:val="20"/>
        </w:rPr>
        <w:t>™ K-series HPMC grades evaluated at 1</w:t>
      </w:r>
      <w:r w:rsidR="000A4A84" w:rsidRPr="00884E3C">
        <w:rPr>
          <w:rFonts w:ascii="Arial" w:hAnsi="Arial" w:cs="Arial"/>
          <w:sz w:val="20"/>
          <w:szCs w:val="20"/>
        </w:rPr>
        <w:t>-</w:t>
      </w:r>
      <w:r w:rsidRPr="00884E3C">
        <w:rPr>
          <w:rFonts w:ascii="Arial" w:hAnsi="Arial" w:cs="Arial"/>
          <w:sz w:val="20"/>
          <w:szCs w:val="20"/>
        </w:rPr>
        <w:t>2%</w:t>
      </w:r>
      <w:r w:rsidR="000A4A84" w:rsidRPr="00884E3C">
        <w:rPr>
          <w:rFonts w:ascii="Arial" w:hAnsi="Arial" w:cs="Arial"/>
          <w:sz w:val="20"/>
          <w:szCs w:val="20"/>
        </w:rPr>
        <w:t xml:space="preserve"> </w:t>
      </w:r>
      <w:r w:rsidRPr="00884E3C">
        <w:rPr>
          <w:rFonts w:ascii="Arial" w:hAnsi="Arial" w:cs="Arial"/>
          <w:sz w:val="20"/>
          <w:szCs w:val="20"/>
        </w:rPr>
        <w:t xml:space="preserve">w/w. As shown in </w:t>
      </w:r>
      <w:r w:rsidRPr="00884E3C">
        <w:rPr>
          <w:rStyle w:val="Strong"/>
          <w:rFonts w:ascii="Arial" w:hAnsi="Arial" w:cs="Arial"/>
          <w:sz w:val="20"/>
          <w:szCs w:val="20"/>
        </w:rPr>
        <w:t xml:space="preserve">Figure </w:t>
      </w:r>
      <w:r w:rsidR="001F46AA">
        <w:rPr>
          <w:rStyle w:val="Strong"/>
          <w:rFonts w:ascii="Arial" w:hAnsi="Arial" w:cs="Arial"/>
          <w:sz w:val="20"/>
          <w:szCs w:val="20"/>
        </w:rPr>
        <w:t>4</w:t>
      </w:r>
      <w:r w:rsidRPr="00884E3C">
        <w:rPr>
          <w:rFonts w:ascii="Arial" w:hAnsi="Arial" w:cs="Arial"/>
          <w:sz w:val="20"/>
          <w:szCs w:val="20"/>
        </w:rPr>
        <w:t xml:space="preserve">, viscoelastic strength increased systematically with molecular weight, following the order K4M &lt; K15M &lt; K100M for the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grades. Higher molecular weight grades exhibited higher modulus values, reduced frequency dependence, and earlier onset of elastic dominance, confirming the formation of highly cohesive and entangled polymer networks. These grades also demonstrated a tendency toward earlier gelation and stronger elastic behavior with increasing temperature, highlighting their suitability for applications requiring structural integrity and resistance to time-dependent deformation. The close agreement in viscoelastic trends between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and </w:t>
      </w:r>
      <w:proofErr w:type="spellStart"/>
      <w:r w:rsidRPr="00884E3C">
        <w:rPr>
          <w:rFonts w:ascii="Arial" w:hAnsi="Arial" w:cs="Arial"/>
          <w:sz w:val="20"/>
          <w:szCs w:val="20"/>
        </w:rPr>
        <w:t>Benecel</w:t>
      </w:r>
      <w:proofErr w:type="spellEnd"/>
      <w:r w:rsidRPr="00884E3C">
        <w:rPr>
          <w:rFonts w:ascii="Arial" w:hAnsi="Arial" w:cs="Arial"/>
          <w:sz w:val="20"/>
          <w:szCs w:val="20"/>
        </w:rPr>
        <w:t>™ grades further confirms that frequency</w:t>
      </w:r>
      <w:r w:rsidR="000A4A84" w:rsidRPr="00884E3C">
        <w:rPr>
          <w:rFonts w:ascii="Arial" w:hAnsi="Arial" w:cs="Arial"/>
          <w:sz w:val="20"/>
          <w:szCs w:val="20"/>
        </w:rPr>
        <w:t>-</w:t>
      </w:r>
      <w:r w:rsidRPr="00884E3C">
        <w:rPr>
          <w:rFonts w:ascii="Arial" w:hAnsi="Arial" w:cs="Arial"/>
          <w:sz w:val="20"/>
          <w:szCs w:val="20"/>
        </w:rPr>
        <w:t>dependent rheological behavior is primarily governed by intrinsic polymer properties rather than vendor-specific differences.</w:t>
      </w:r>
      <w:r w:rsidR="000A4A84" w:rsidRPr="00884E3C">
        <w:rPr>
          <w:rFonts w:ascii="Arial" w:hAnsi="Arial" w:cs="Arial"/>
          <w:sz w:val="20"/>
          <w:szCs w:val="20"/>
        </w:rPr>
        <w:t xml:space="preserve"> </w:t>
      </w:r>
      <w:r w:rsidRPr="00884E3C">
        <w:rPr>
          <w:rFonts w:ascii="Arial" w:hAnsi="Arial" w:cs="Arial"/>
          <w:sz w:val="20"/>
          <w:szCs w:val="20"/>
        </w:rPr>
        <w:t xml:space="preserve">In contrast, all </w:t>
      </w:r>
      <w:proofErr w:type="spellStart"/>
      <w:r w:rsidRPr="00884E3C">
        <w:rPr>
          <w:rFonts w:ascii="Arial" w:hAnsi="Arial" w:cs="Arial"/>
          <w:sz w:val="20"/>
          <w:szCs w:val="20"/>
        </w:rPr>
        <w:t>Klucel</w:t>
      </w:r>
      <w:proofErr w:type="spellEnd"/>
      <w:r w:rsidRPr="00884E3C">
        <w:rPr>
          <w:rFonts w:ascii="Arial" w:hAnsi="Arial" w:cs="Arial"/>
          <w:sz w:val="20"/>
          <w:szCs w:val="20"/>
        </w:rPr>
        <w:t xml:space="preserve">™ HPC grades (LF, EF, JF, HF, GF, and MF) remained viscous dominated across the tested frequency range, with G″ consistently exceeding G′, even for higher molecular weight grades, as illustrated in </w:t>
      </w:r>
      <w:r w:rsidRPr="002B78D0">
        <w:rPr>
          <w:rStyle w:val="Strong"/>
          <w:rFonts w:ascii="Arial" w:hAnsi="Arial" w:cs="Arial"/>
          <w:sz w:val="20"/>
          <w:szCs w:val="20"/>
        </w:rPr>
        <w:t xml:space="preserve">Figure </w:t>
      </w:r>
      <w:r w:rsidR="001F46AA">
        <w:rPr>
          <w:rStyle w:val="Strong"/>
          <w:rFonts w:ascii="Arial" w:hAnsi="Arial" w:cs="Arial"/>
          <w:sz w:val="20"/>
          <w:szCs w:val="20"/>
        </w:rPr>
        <w:t>4</w:t>
      </w:r>
      <w:r w:rsidRPr="002B78D0">
        <w:rPr>
          <w:rFonts w:ascii="Arial" w:hAnsi="Arial" w:cs="Arial"/>
          <w:sz w:val="20"/>
          <w:szCs w:val="20"/>
        </w:rPr>
        <w:t>.</w:t>
      </w:r>
      <w:r w:rsidRPr="00884E3C">
        <w:rPr>
          <w:rFonts w:ascii="Arial" w:hAnsi="Arial" w:cs="Arial"/>
          <w:sz w:val="20"/>
          <w:szCs w:val="20"/>
        </w:rPr>
        <w:t xml:space="preserve"> Although both moduli increased with increasing concentration and temperature, the absence of G′ dominance indicates limited elastic network formation and reduced intermolecular association compared to HPMC. This behavior is consistent with the more flexible chain architecture of HPC and its lower tendency to form structured networks in aqueous systems. From a formulation perspective, this predominantly viscous and frequency-dependent response supports the use of HPC in applications requiring rapid flow, low structural rigidity, and minimal gel formation, such as coating solutions and binders for immediate-release dosage forms</w:t>
      </w:r>
      <w:r w:rsidR="0061172D" w:rsidRPr="00884E3C">
        <w:rPr>
          <w:rFonts w:ascii="Arial" w:hAnsi="Arial" w:cs="Arial"/>
          <w:sz w:val="20"/>
          <w:szCs w:val="20"/>
        </w:rPr>
        <w:t xml:space="preserve"> </w:t>
      </w:r>
      <w:r w:rsidR="0061172D" w:rsidRPr="00CF7777">
        <w:rPr>
          <w:rFonts w:ascii="Arial" w:hAnsi="Arial" w:cs="Arial"/>
          <w:sz w:val="20"/>
          <w:szCs w:val="20"/>
        </w:rPr>
        <w:t>(</w:t>
      </w:r>
      <w:r w:rsidR="00884E3C" w:rsidRPr="00CF7777">
        <w:rPr>
          <w:rFonts w:ascii="Arial" w:hAnsi="Arial" w:cs="Arial"/>
          <w:sz w:val="20"/>
          <w:szCs w:val="20"/>
        </w:rPr>
        <w:t>Moreira</w:t>
      </w:r>
      <w:r w:rsidR="00E335E7">
        <w:rPr>
          <w:rFonts w:ascii="Arial" w:hAnsi="Arial" w:cs="Arial"/>
          <w:sz w:val="20"/>
          <w:szCs w:val="20"/>
        </w:rPr>
        <w:t xml:space="preserve"> R</w:t>
      </w:r>
      <w:r w:rsidR="00884E3C" w:rsidRPr="00CF7777">
        <w:rPr>
          <w:rFonts w:ascii="Arial" w:hAnsi="Arial" w:cs="Arial"/>
          <w:sz w:val="20"/>
          <w:szCs w:val="20"/>
        </w:rPr>
        <w:t xml:space="preserve"> et al., 2016</w:t>
      </w:r>
      <w:r w:rsidR="0061172D" w:rsidRPr="00CF7777">
        <w:rPr>
          <w:rFonts w:ascii="Arial" w:hAnsi="Arial" w:cs="Arial"/>
          <w:sz w:val="20"/>
          <w:szCs w:val="20"/>
        </w:rPr>
        <w:t>)</w:t>
      </w:r>
      <w:r w:rsidRPr="00884E3C">
        <w:rPr>
          <w:rFonts w:ascii="Arial" w:hAnsi="Arial" w:cs="Arial"/>
          <w:sz w:val="20"/>
          <w:szCs w:val="20"/>
        </w:rPr>
        <w:t xml:space="preserve">. Overall, the frequency sweep results presented in </w:t>
      </w:r>
      <w:r w:rsidRPr="002B78D0">
        <w:rPr>
          <w:rFonts w:ascii="Arial" w:hAnsi="Arial" w:cs="Arial"/>
          <w:b/>
          <w:sz w:val="20"/>
          <w:szCs w:val="20"/>
        </w:rPr>
        <w:t xml:space="preserve">Figure </w:t>
      </w:r>
      <w:r w:rsidR="001F46AA">
        <w:rPr>
          <w:rFonts w:ascii="Arial" w:hAnsi="Arial" w:cs="Arial"/>
          <w:b/>
          <w:sz w:val="20"/>
          <w:szCs w:val="20"/>
        </w:rPr>
        <w:t>4</w:t>
      </w:r>
      <w:r w:rsidRPr="00884E3C">
        <w:rPr>
          <w:rFonts w:ascii="Arial" w:hAnsi="Arial" w:cs="Arial"/>
          <w:sz w:val="20"/>
          <w:szCs w:val="20"/>
        </w:rPr>
        <w:t xml:space="preserve"> underscore the critical role of polymer type, molecular weight, and concentration in dictating time</w:t>
      </w:r>
      <w:r w:rsidR="000A4A84" w:rsidRPr="00884E3C">
        <w:rPr>
          <w:rFonts w:ascii="Arial" w:hAnsi="Arial" w:cs="Arial"/>
          <w:sz w:val="20"/>
          <w:szCs w:val="20"/>
        </w:rPr>
        <w:t>-</w:t>
      </w:r>
      <w:r w:rsidRPr="00884E3C">
        <w:rPr>
          <w:rFonts w:ascii="Arial" w:hAnsi="Arial" w:cs="Arial"/>
          <w:sz w:val="20"/>
          <w:szCs w:val="20"/>
        </w:rPr>
        <w:t>dependent viscoelastic behavior, providing valuable guidance for rational polymer selection in pharmaceutical formulation and processing.</w:t>
      </w:r>
    </w:p>
    <w:p w14:paraId="1FBAE961" w14:textId="77777777" w:rsidR="00A957C8" w:rsidRPr="00884E3C" w:rsidRDefault="00A957C8" w:rsidP="00080238">
      <w:pPr>
        <w:pStyle w:val="NormalWeb"/>
        <w:spacing w:before="0" w:beforeAutospacing="0" w:after="0" w:afterAutospacing="0"/>
        <w:ind w:left="142"/>
        <w:jc w:val="both"/>
        <w:rPr>
          <w:rFonts w:ascii="Arial" w:hAnsi="Arial" w:cs="Arial"/>
          <w:b/>
          <w:noProof/>
          <w:sz w:val="20"/>
          <w:szCs w:val="20"/>
        </w:rPr>
      </w:pPr>
    </w:p>
    <w:p w14:paraId="6097E65C" w14:textId="77777777" w:rsidR="006F01AF" w:rsidRPr="00884E3C" w:rsidRDefault="006F01AF" w:rsidP="00080238">
      <w:pPr>
        <w:pStyle w:val="NormalWeb"/>
        <w:spacing w:before="0" w:beforeAutospacing="0" w:after="0" w:afterAutospacing="0"/>
        <w:ind w:left="142"/>
        <w:jc w:val="both"/>
        <w:rPr>
          <w:rFonts w:ascii="Arial" w:hAnsi="Arial" w:cs="Arial"/>
          <w:b/>
          <w:sz w:val="20"/>
          <w:szCs w:val="20"/>
        </w:rPr>
      </w:pPr>
      <w:r w:rsidRPr="00884E3C">
        <w:rPr>
          <w:rFonts w:ascii="Arial" w:hAnsi="Arial" w:cs="Arial"/>
          <w:b/>
          <w:noProof/>
          <w:sz w:val="20"/>
          <w:szCs w:val="20"/>
        </w:rPr>
        <w:lastRenderedPageBreak/>
        <w:drawing>
          <wp:inline distT="0" distB="0" distL="0" distR="0" wp14:anchorId="61C367C5" wp14:editId="2070C876">
            <wp:extent cx="6479540" cy="7048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4_Frequency Sweep.jpg"/>
                    <pic:cNvPicPr/>
                  </pic:nvPicPr>
                  <pic:blipFill>
                    <a:blip r:embed="rId17">
                      <a:extLst>
                        <a:ext uri="{28A0092B-C50C-407E-A947-70E740481C1C}">
                          <a14:useLocalDpi xmlns:a14="http://schemas.microsoft.com/office/drawing/2010/main" val="0"/>
                        </a:ext>
                      </a:extLst>
                    </a:blip>
                    <a:stretch>
                      <a:fillRect/>
                    </a:stretch>
                  </pic:blipFill>
                  <pic:spPr>
                    <a:xfrm>
                      <a:off x="0" y="0"/>
                      <a:ext cx="6479540" cy="7048500"/>
                    </a:xfrm>
                    <a:prstGeom prst="rect">
                      <a:avLst/>
                    </a:prstGeom>
                  </pic:spPr>
                </pic:pic>
              </a:graphicData>
            </a:graphic>
          </wp:inline>
        </w:drawing>
      </w:r>
    </w:p>
    <w:p w14:paraId="3E6D3322" w14:textId="77777777" w:rsidR="00A957C8" w:rsidRPr="002B78D0" w:rsidRDefault="00651A2B" w:rsidP="00080238">
      <w:pPr>
        <w:pStyle w:val="NormalWeb"/>
        <w:spacing w:before="0" w:beforeAutospacing="0" w:after="0" w:afterAutospacing="0"/>
        <w:ind w:left="142"/>
        <w:jc w:val="center"/>
        <w:rPr>
          <w:rFonts w:ascii="Arial" w:hAnsi="Arial" w:cs="Arial"/>
          <w:b/>
          <w:sz w:val="20"/>
          <w:szCs w:val="20"/>
        </w:rPr>
      </w:pPr>
      <w:r w:rsidRPr="001F46AA">
        <w:rPr>
          <w:rFonts w:ascii="Arial" w:hAnsi="Arial" w:cs="Arial"/>
          <w:b/>
          <w:sz w:val="20"/>
          <w:szCs w:val="20"/>
        </w:rPr>
        <w:t>Fig</w:t>
      </w:r>
      <w:r>
        <w:rPr>
          <w:rFonts w:ascii="Arial" w:hAnsi="Arial" w:cs="Arial"/>
          <w:b/>
          <w:sz w:val="20"/>
          <w:szCs w:val="20"/>
        </w:rPr>
        <w:t>. 4.</w:t>
      </w:r>
      <w:r w:rsidRPr="001F46AA">
        <w:rPr>
          <w:rFonts w:ascii="Arial" w:hAnsi="Arial" w:cs="Arial"/>
          <w:b/>
          <w:sz w:val="20"/>
          <w:szCs w:val="20"/>
        </w:rPr>
        <w:t xml:space="preserve"> </w:t>
      </w:r>
      <w:r w:rsidR="00A957C8" w:rsidRPr="002B78D0">
        <w:rPr>
          <w:rFonts w:ascii="Arial" w:hAnsi="Arial" w:cs="Arial"/>
          <w:b/>
          <w:sz w:val="20"/>
          <w:szCs w:val="20"/>
        </w:rPr>
        <w:t xml:space="preserve">Frequency </w:t>
      </w:r>
      <w:r w:rsidR="00150946" w:rsidRPr="002B78D0">
        <w:rPr>
          <w:rFonts w:ascii="Arial" w:hAnsi="Arial" w:cs="Arial"/>
          <w:b/>
          <w:sz w:val="20"/>
          <w:szCs w:val="20"/>
        </w:rPr>
        <w:t>sweep rheological characterization of different grades of hydroxypropyl methylcellulose and hydroxypropyl cellulose at varying concentrations.</w:t>
      </w:r>
    </w:p>
    <w:p w14:paraId="7E4F85C6" w14:textId="77777777" w:rsidR="00150946" w:rsidRPr="00884E3C" w:rsidRDefault="00150946" w:rsidP="00080238">
      <w:pPr>
        <w:pStyle w:val="Heading3"/>
        <w:spacing w:before="0" w:line="240" w:lineRule="auto"/>
        <w:ind w:left="142"/>
        <w:jc w:val="both"/>
        <w:rPr>
          <w:rFonts w:ascii="Arial" w:hAnsi="Arial" w:cs="Arial"/>
          <w:b/>
          <w:color w:val="auto"/>
          <w:sz w:val="20"/>
          <w:szCs w:val="20"/>
        </w:rPr>
      </w:pPr>
    </w:p>
    <w:p w14:paraId="4BCC08BF" w14:textId="77777777" w:rsidR="000A4A84" w:rsidRPr="00884E3C" w:rsidRDefault="007330C2" w:rsidP="00080238">
      <w:pPr>
        <w:pStyle w:val="Heading3"/>
        <w:numPr>
          <w:ilvl w:val="1"/>
          <w:numId w:val="22"/>
        </w:numPr>
        <w:spacing w:before="0" w:line="240" w:lineRule="auto"/>
        <w:jc w:val="both"/>
        <w:rPr>
          <w:rFonts w:ascii="Arial" w:hAnsi="Arial" w:cs="Arial"/>
          <w:b/>
          <w:color w:val="auto"/>
          <w:sz w:val="22"/>
          <w:szCs w:val="22"/>
        </w:rPr>
      </w:pPr>
      <w:r w:rsidRPr="00884E3C">
        <w:rPr>
          <w:rFonts w:ascii="Arial" w:hAnsi="Arial" w:cs="Arial"/>
          <w:b/>
          <w:color w:val="auto"/>
          <w:sz w:val="22"/>
          <w:szCs w:val="22"/>
        </w:rPr>
        <w:t xml:space="preserve">Manufacturer-Specific Differences in </w:t>
      </w:r>
      <w:proofErr w:type="spellStart"/>
      <w:r w:rsidRPr="00884E3C">
        <w:rPr>
          <w:rFonts w:ascii="Arial" w:hAnsi="Arial" w:cs="Arial"/>
          <w:b/>
          <w:color w:val="auto"/>
          <w:sz w:val="22"/>
          <w:szCs w:val="22"/>
        </w:rPr>
        <w:t>Hpmc</w:t>
      </w:r>
      <w:proofErr w:type="spellEnd"/>
      <w:r w:rsidRPr="00884E3C">
        <w:rPr>
          <w:rFonts w:ascii="Arial" w:hAnsi="Arial" w:cs="Arial"/>
          <w:b/>
          <w:color w:val="auto"/>
          <w:sz w:val="22"/>
          <w:szCs w:val="22"/>
        </w:rPr>
        <w:t xml:space="preserve"> Rheology</w:t>
      </w:r>
    </w:p>
    <w:p w14:paraId="6D785F20" w14:textId="77777777" w:rsidR="00FE0399" w:rsidRPr="00884E3C" w:rsidRDefault="00FE0399" w:rsidP="00080238">
      <w:pPr>
        <w:pStyle w:val="NormalWeb"/>
        <w:spacing w:before="0" w:beforeAutospacing="0" w:after="0" w:afterAutospacing="0"/>
        <w:ind w:left="142"/>
        <w:jc w:val="both"/>
        <w:rPr>
          <w:rFonts w:ascii="Arial" w:hAnsi="Arial" w:cs="Arial"/>
          <w:sz w:val="20"/>
          <w:szCs w:val="20"/>
        </w:rPr>
      </w:pPr>
    </w:p>
    <w:p w14:paraId="3DE6435D" w14:textId="77777777" w:rsidR="000A4A84" w:rsidRPr="00884E3C" w:rsidRDefault="000A4A84"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 xml:space="preserve">Direct comparative analysis of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and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HPMC grades of equivalent nominal viscosity (e.g., K15M, K100M) revealed systematic differences in flow, amplitude, and frequency sweep behavior, despite similar </w:t>
      </w:r>
      <w:r w:rsidR="007330C2" w:rsidRPr="00884E3C">
        <w:rPr>
          <w:rFonts w:ascii="Arial" w:hAnsi="Arial" w:cs="Arial"/>
          <w:sz w:val="20"/>
          <w:szCs w:val="20"/>
        </w:rPr>
        <w:t>Pharmacopeial</w:t>
      </w:r>
      <w:r w:rsidRPr="00884E3C">
        <w:rPr>
          <w:rFonts w:ascii="Arial" w:hAnsi="Arial" w:cs="Arial"/>
          <w:sz w:val="20"/>
          <w:szCs w:val="20"/>
        </w:rPr>
        <w:t xml:space="preserve"> specifications. In flow sweep measurements, both manufacturers’ grades exhibited pronounced non-Newtonian, shear-thinning </w:t>
      </w:r>
      <w:proofErr w:type="spellStart"/>
      <w:r w:rsidRPr="00884E3C">
        <w:rPr>
          <w:rFonts w:ascii="Arial" w:hAnsi="Arial" w:cs="Arial"/>
          <w:sz w:val="20"/>
          <w:szCs w:val="20"/>
        </w:rPr>
        <w:t>behavior</w:t>
      </w:r>
      <w:proofErr w:type="spellEnd"/>
      <w:r w:rsidRPr="00884E3C">
        <w:rPr>
          <w:rFonts w:ascii="Arial" w:hAnsi="Arial" w:cs="Arial"/>
          <w:sz w:val="20"/>
          <w:szCs w:val="20"/>
        </w:rPr>
        <w:t xml:space="preserve">; however,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samples consistently showed higher apparent viscosity at low shear rates, reflected in elevated zero-shear viscosity plateaus and a steeper viscosity decline with increasing shear. This suggests stronger chain entanglement and/or narrower molecular weight distribution, resulting in more structured networks at rest. </w:t>
      </w:r>
      <w:proofErr w:type="spellStart"/>
      <w:r w:rsidRPr="00884E3C">
        <w:rPr>
          <w:rFonts w:ascii="Arial" w:hAnsi="Arial" w:cs="Arial"/>
          <w:sz w:val="20"/>
          <w:szCs w:val="20"/>
        </w:rPr>
        <w:t>Methocel</w:t>
      </w:r>
      <w:proofErr w:type="spellEnd"/>
      <w:r w:rsidRPr="00884E3C">
        <w:rPr>
          <w:rFonts w:ascii="Arial" w:hAnsi="Arial" w:cs="Arial"/>
          <w:sz w:val="20"/>
          <w:szCs w:val="20"/>
        </w:rPr>
        <w:t>™ grades, in contrast, displayed lower zero-shear viscosity and more gradual shear thinning, indicative of looser network formation and enhanced flow under low to moderate shear.</w:t>
      </w:r>
    </w:p>
    <w:p w14:paraId="45B320A0" w14:textId="77777777" w:rsidR="00FE0399" w:rsidRPr="00884E3C" w:rsidRDefault="00FE0399" w:rsidP="00080238">
      <w:pPr>
        <w:pStyle w:val="NormalWeb"/>
        <w:spacing w:before="0" w:beforeAutospacing="0" w:after="0" w:afterAutospacing="0"/>
        <w:ind w:left="142"/>
        <w:jc w:val="both"/>
        <w:rPr>
          <w:rFonts w:ascii="Arial" w:hAnsi="Arial" w:cs="Arial"/>
          <w:sz w:val="20"/>
          <w:szCs w:val="20"/>
        </w:rPr>
      </w:pPr>
    </w:p>
    <w:p w14:paraId="03F76BCD" w14:textId="77777777" w:rsidR="000A4A84" w:rsidRPr="00884E3C" w:rsidRDefault="000A4A84"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lastRenderedPageBreak/>
        <w:t xml:space="preserve">Amplitude sweep analysis further highlighted differences in network robustness.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grades exhibited broader linear viscoelastic regions (LVRs), with G′ and G″ remaining constant over wider strain ranges and G′–G″ crossover occurring at higher strain, indicating delayed structural breakdown and stronger intermolecular associations.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grades showed earlier LVR onset, lower critical strain, and faster modulus decay, reflecting weaker, less cohesive gel microstructures. Frequency sweep measurements corroborated these findings: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HPMC demonstrated elastic-dominated behavior (G′ </w:t>
      </w:r>
      <w:r w:rsidRPr="00884E3C">
        <w:rPr>
          <w:rFonts w:ascii="Cambria Math" w:hAnsi="Cambria Math" w:cs="Cambria Math"/>
          <w:sz w:val="20"/>
          <w:szCs w:val="20"/>
        </w:rPr>
        <w:t>≫</w:t>
      </w:r>
      <w:r w:rsidRPr="00884E3C">
        <w:rPr>
          <w:rFonts w:ascii="Arial" w:hAnsi="Arial" w:cs="Arial"/>
          <w:sz w:val="20"/>
          <w:szCs w:val="20"/>
        </w:rPr>
        <w:t xml:space="preserve"> G″) with weak frequency dependence and tan δ well below unity, indicating stable, gel-like networks.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grades displayed closer G′ and G″ values at low frequencies, stronger frequency dependence, and tan δ approaching unity, consistent with more transient, time-dependent networks. Collectively, these results indicate that, under comparable conditions,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HPMC forms stronger, more permanent viscoelastic networks, whereas </w:t>
      </w:r>
      <w:proofErr w:type="spellStart"/>
      <w:r w:rsidRPr="00884E3C">
        <w:rPr>
          <w:rFonts w:ascii="Arial" w:hAnsi="Arial" w:cs="Arial"/>
          <w:sz w:val="20"/>
          <w:szCs w:val="20"/>
        </w:rPr>
        <w:t>Methocel</w:t>
      </w:r>
      <w:proofErr w:type="spellEnd"/>
      <w:r w:rsidRPr="00884E3C">
        <w:rPr>
          <w:rFonts w:ascii="Arial" w:hAnsi="Arial" w:cs="Arial"/>
          <w:sz w:val="20"/>
          <w:szCs w:val="20"/>
        </w:rPr>
        <w:t>™ HPMC exhibits more flexible, flowable, and time-dependent rheological behavior, which may influence processing and formulation performance</w:t>
      </w:r>
      <w:r w:rsidR="0091348F" w:rsidRPr="00884E3C">
        <w:rPr>
          <w:rFonts w:ascii="Arial" w:hAnsi="Arial" w:cs="Arial"/>
          <w:sz w:val="20"/>
          <w:szCs w:val="20"/>
        </w:rPr>
        <w:t xml:space="preserve"> </w:t>
      </w:r>
      <w:r w:rsidR="0091348F" w:rsidRPr="00CF7777">
        <w:rPr>
          <w:rFonts w:ascii="Arial" w:hAnsi="Arial" w:cs="Arial"/>
          <w:sz w:val="20"/>
          <w:szCs w:val="20"/>
        </w:rPr>
        <w:t>(</w:t>
      </w:r>
      <w:proofErr w:type="spellStart"/>
      <w:r w:rsidR="00884E3C" w:rsidRPr="00CF7777">
        <w:rPr>
          <w:rFonts w:ascii="Arial" w:hAnsi="Arial" w:cs="Arial"/>
          <w:sz w:val="20"/>
          <w:szCs w:val="20"/>
        </w:rPr>
        <w:t>Thoorens</w:t>
      </w:r>
      <w:proofErr w:type="spellEnd"/>
      <w:r w:rsidR="00884E3C" w:rsidRPr="00CF7777">
        <w:rPr>
          <w:rFonts w:ascii="Arial" w:hAnsi="Arial" w:cs="Arial"/>
          <w:sz w:val="20"/>
          <w:szCs w:val="20"/>
        </w:rPr>
        <w:t xml:space="preserve"> et al., 2013</w:t>
      </w:r>
      <w:r w:rsidR="0091348F" w:rsidRPr="00CF7777">
        <w:rPr>
          <w:rFonts w:ascii="Arial" w:hAnsi="Arial" w:cs="Arial"/>
          <w:sz w:val="20"/>
          <w:szCs w:val="20"/>
        </w:rPr>
        <w:t>)</w:t>
      </w:r>
      <w:r w:rsidRPr="00CF7777">
        <w:rPr>
          <w:rFonts w:ascii="Arial" w:hAnsi="Arial" w:cs="Arial"/>
          <w:sz w:val="20"/>
          <w:szCs w:val="20"/>
        </w:rPr>
        <w:t>.</w:t>
      </w:r>
    </w:p>
    <w:p w14:paraId="45EF4A80" w14:textId="77777777" w:rsidR="00FE0399" w:rsidRPr="00884E3C" w:rsidRDefault="00FE0399" w:rsidP="00080238">
      <w:pPr>
        <w:pStyle w:val="NormalWeb"/>
        <w:spacing w:before="0" w:beforeAutospacing="0" w:after="0" w:afterAutospacing="0"/>
        <w:ind w:left="142"/>
        <w:jc w:val="both"/>
        <w:rPr>
          <w:rFonts w:ascii="Arial" w:hAnsi="Arial" w:cs="Arial"/>
          <w:sz w:val="20"/>
          <w:szCs w:val="20"/>
        </w:rPr>
      </w:pPr>
    </w:p>
    <w:p w14:paraId="0809DEBB" w14:textId="77777777" w:rsidR="009F4B3F" w:rsidRPr="00884E3C" w:rsidRDefault="009F4B3F" w:rsidP="00080238">
      <w:pPr>
        <w:pStyle w:val="Heading3"/>
        <w:numPr>
          <w:ilvl w:val="2"/>
          <w:numId w:val="22"/>
        </w:numPr>
        <w:spacing w:before="0" w:line="240" w:lineRule="auto"/>
        <w:ind w:left="709" w:hanging="567"/>
        <w:jc w:val="both"/>
        <w:rPr>
          <w:rFonts w:ascii="Arial" w:hAnsi="Arial" w:cs="Arial"/>
          <w:b/>
          <w:color w:val="auto"/>
          <w:sz w:val="20"/>
          <w:szCs w:val="20"/>
        </w:rPr>
      </w:pPr>
      <w:r w:rsidRPr="00884E3C">
        <w:rPr>
          <w:rFonts w:ascii="Arial" w:hAnsi="Arial" w:cs="Arial"/>
          <w:b/>
          <w:color w:val="auto"/>
          <w:sz w:val="20"/>
          <w:szCs w:val="20"/>
        </w:rPr>
        <w:t>Influence of Rheological Properties on Critical Process Parameters (CPPs)</w:t>
      </w:r>
    </w:p>
    <w:p w14:paraId="7DB25152" w14:textId="77777777" w:rsidR="00FE0399" w:rsidRPr="00884E3C" w:rsidRDefault="00FE0399" w:rsidP="00080238">
      <w:pPr>
        <w:pStyle w:val="NormalWeb"/>
        <w:spacing w:before="0" w:beforeAutospacing="0" w:after="0" w:afterAutospacing="0"/>
        <w:ind w:left="142"/>
        <w:jc w:val="both"/>
        <w:rPr>
          <w:rFonts w:ascii="Arial" w:hAnsi="Arial" w:cs="Arial"/>
          <w:sz w:val="20"/>
          <w:szCs w:val="20"/>
        </w:rPr>
      </w:pPr>
    </w:p>
    <w:p w14:paraId="3CE6A921" w14:textId="77777777" w:rsidR="009F4B3F" w:rsidRPr="00884E3C" w:rsidRDefault="009F4B3F"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 xml:space="preserve">The observed rheological differences between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and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HPMC grades translate directly into critical process parameters across multiple pharmaceutical operations. Flow sweep data indicate that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grades, with lower zero-shear viscosity and gradual shear thinning, facilitate faster wetting, more uniform dispersion, and reduced torque during mixing, supporting high-throughput or low-energy operations. In contrast,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grades, with higher zero-shear viscosity and stronger shear dependence, require higher initial energy input but provide superior structural integrity once hydrated, enhancing stability post-mixing. During wet granulation, amplitude sweep results show that the broader linear viscoelastic regions (LVRs) of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grades correlate with greater granule robustness and reduced fines generation, whereas narrower LVRs in </w:t>
      </w:r>
      <w:proofErr w:type="spellStart"/>
      <w:r w:rsidRPr="00884E3C">
        <w:rPr>
          <w:rFonts w:ascii="Arial" w:hAnsi="Arial" w:cs="Arial"/>
          <w:sz w:val="20"/>
          <w:szCs w:val="20"/>
        </w:rPr>
        <w:t>Methocel</w:t>
      </w:r>
      <w:proofErr w:type="spellEnd"/>
      <w:r w:rsidRPr="00884E3C">
        <w:rPr>
          <w:rFonts w:ascii="Arial" w:hAnsi="Arial" w:cs="Arial"/>
          <w:sz w:val="20"/>
          <w:szCs w:val="20"/>
        </w:rPr>
        <w:t>™ allow controlled deformation and more plastic granulation, affecting granule size distribution and strength.</w:t>
      </w:r>
    </w:p>
    <w:p w14:paraId="77F33804" w14:textId="77777777" w:rsidR="009F4B3F" w:rsidRPr="00884E3C" w:rsidRDefault="009F4B3F"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 xml:space="preserve">Frequency sweep analysis further demonstrates that elastic-dominated systems (G′ &gt; G″), characteristic of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grades, form stronger, more coherent matrices during compression, improving tablet hardness and resistance to capping, whereas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grades offer greater particle rearrangement and compaction flexibility. Similarly, shear-thinning combined with elastic recovery influences film coating and suspension performance: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grades, with faster relaxation and lower elasticity, support smooth atomization and </w:t>
      </w:r>
      <w:proofErr w:type="spellStart"/>
      <w:r w:rsidRPr="00884E3C">
        <w:rPr>
          <w:rFonts w:ascii="Arial" w:hAnsi="Arial" w:cs="Arial"/>
          <w:sz w:val="20"/>
          <w:szCs w:val="20"/>
        </w:rPr>
        <w:t>sprayability</w:t>
      </w:r>
      <w:proofErr w:type="spellEnd"/>
      <w:r w:rsidRPr="00884E3C">
        <w:rPr>
          <w:rFonts w:ascii="Arial" w:hAnsi="Arial" w:cs="Arial"/>
          <w:sz w:val="20"/>
          <w:szCs w:val="20"/>
        </w:rPr>
        <w:t xml:space="preserve">, while </w:t>
      </w:r>
      <w:proofErr w:type="spellStart"/>
      <w:r w:rsidRPr="00884E3C">
        <w:rPr>
          <w:rFonts w:ascii="Arial" w:hAnsi="Arial" w:cs="Arial"/>
          <w:sz w:val="20"/>
          <w:szCs w:val="20"/>
        </w:rPr>
        <w:t>Benecel</w:t>
      </w:r>
      <w:proofErr w:type="spellEnd"/>
      <w:r w:rsidRPr="00884E3C">
        <w:rPr>
          <w:rFonts w:ascii="Arial" w:hAnsi="Arial" w:cs="Arial"/>
          <w:sz w:val="20"/>
          <w:szCs w:val="20"/>
        </w:rPr>
        <w:t>™ grades provide higher elastic recovery, enhancing film strength and suspension stability by reducing sedimentation. Collectively, these findings highlight that polymer-specific rheological properties are critical determinants of CPPs, enabling tailored process control and optimized pharmaceutical performance.</w:t>
      </w:r>
    </w:p>
    <w:p w14:paraId="48B8FA46" w14:textId="77777777" w:rsidR="00FE0399" w:rsidRPr="00884E3C" w:rsidRDefault="00FE0399" w:rsidP="00080238">
      <w:pPr>
        <w:pStyle w:val="NormalWeb"/>
        <w:spacing w:before="0" w:beforeAutospacing="0" w:after="0" w:afterAutospacing="0"/>
        <w:ind w:left="142"/>
        <w:jc w:val="both"/>
        <w:rPr>
          <w:rFonts w:ascii="Arial" w:hAnsi="Arial" w:cs="Arial"/>
          <w:sz w:val="20"/>
          <w:szCs w:val="20"/>
        </w:rPr>
      </w:pPr>
    </w:p>
    <w:p w14:paraId="7B661CFA" w14:textId="77777777" w:rsidR="009F4B3F" w:rsidRPr="00884E3C" w:rsidRDefault="00257249" w:rsidP="00080238">
      <w:pPr>
        <w:pStyle w:val="Heading3"/>
        <w:numPr>
          <w:ilvl w:val="0"/>
          <w:numId w:val="18"/>
        </w:numPr>
        <w:spacing w:before="0" w:line="240" w:lineRule="auto"/>
        <w:jc w:val="both"/>
        <w:rPr>
          <w:rFonts w:ascii="Arial" w:hAnsi="Arial" w:cs="Arial"/>
          <w:b/>
          <w:color w:val="auto"/>
          <w:sz w:val="22"/>
          <w:szCs w:val="22"/>
        </w:rPr>
      </w:pPr>
      <w:r w:rsidRPr="00884E3C">
        <w:rPr>
          <w:rFonts w:ascii="Arial" w:hAnsi="Arial" w:cs="Arial"/>
          <w:b/>
          <w:color w:val="auto"/>
          <w:sz w:val="22"/>
          <w:szCs w:val="22"/>
        </w:rPr>
        <w:t>CONCLUSION</w:t>
      </w:r>
    </w:p>
    <w:p w14:paraId="1772A2F3" w14:textId="77777777" w:rsidR="00FE0399" w:rsidRPr="00884E3C" w:rsidRDefault="00FE0399" w:rsidP="00080238">
      <w:pPr>
        <w:pStyle w:val="NormalWeb"/>
        <w:spacing w:before="0" w:beforeAutospacing="0" w:after="0" w:afterAutospacing="0"/>
        <w:ind w:left="142"/>
        <w:jc w:val="both"/>
        <w:rPr>
          <w:rFonts w:ascii="Arial" w:hAnsi="Arial" w:cs="Arial"/>
          <w:sz w:val="20"/>
          <w:szCs w:val="20"/>
        </w:rPr>
      </w:pPr>
    </w:p>
    <w:p w14:paraId="23E20F22" w14:textId="77777777" w:rsidR="009F4B3F" w:rsidRPr="00884E3C" w:rsidRDefault="009F4B3F" w:rsidP="00080238">
      <w:pPr>
        <w:pStyle w:val="NormalWeb"/>
        <w:spacing w:before="0" w:beforeAutospacing="0" w:after="0" w:afterAutospacing="0"/>
        <w:ind w:left="142"/>
        <w:jc w:val="both"/>
        <w:rPr>
          <w:rFonts w:ascii="Arial" w:hAnsi="Arial" w:cs="Arial"/>
          <w:sz w:val="20"/>
          <w:szCs w:val="20"/>
        </w:rPr>
      </w:pPr>
      <w:r w:rsidRPr="00884E3C">
        <w:rPr>
          <w:rFonts w:ascii="Arial" w:hAnsi="Arial" w:cs="Arial"/>
          <w:sz w:val="20"/>
          <w:szCs w:val="20"/>
        </w:rPr>
        <w:t xml:space="preserve">This study demonstrates that cellulose ether polymers exhibit manufacturer-dependent rheological behavior that cannot be fully predicted by nominal viscosity alone. Combined flow, amplitude, and frequency sweep analyses revealed clear mechanistic differences between HPMC and HPC, as well as distinct rheological fingerprints between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and </w:t>
      </w:r>
      <w:proofErr w:type="spellStart"/>
      <w:r w:rsidRPr="00884E3C">
        <w:rPr>
          <w:rFonts w:ascii="Arial" w:hAnsi="Arial" w:cs="Arial"/>
          <w:sz w:val="20"/>
          <w:szCs w:val="20"/>
        </w:rPr>
        <w:t>Benecel</w:t>
      </w:r>
      <w:proofErr w:type="spellEnd"/>
      <w:r w:rsidRPr="00884E3C">
        <w:rPr>
          <w:rFonts w:ascii="Arial" w:hAnsi="Arial" w:cs="Arial"/>
          <w:sz w:val="20"/>
          <w:szCs w:val="20"/>
        </w:rPr>
        <w:t xml:space="preserve">™ HPMC grades of comparable Pharmacopeial viscosity. High-viscosity HPMC displayed elastic-dominated, gel-like behavior with extended linear viscoelastic regions, weak frequency dependence, and pronounced </w:t>
      </w:r>
      <w:proofErr w:type="spellStart"/>
      <w:r w:rsidRPr="00884E3C">
        <w:rPr>
          <w:rFonts w:ascii="Arial" w:hAnsi="Arial" w:cs="Arial"/>
          <w:sz w:val="20"/>
          <w:szCs w:val="20"/>
        </w:rPr>
        <w:t>thermogelation</w:t>
      </w:r>
      <w:proofErr w:type="spellEnd"/>
      <w:r w:rsidRPr="00884E3C">
        <w:rPr>
          <w:rFonts w:ascii="Arial" w:hAnsi="Arial" w:cs="Arial"/>
          <w:sz w:val="20"/>
          <w:szCs w:val="20"/>
        </w:rPr>
        <w:t xml:space="preserve">, supporting applications in controlled-release matrices requiring structural integrity and deformation resistance. HPC remained viscous-dominated, </w:t>
      </w:r>
      <w:r w:rsidR="007330C2" w:rsidRPr="00884E3C">
        <w:rPr>
          <w:rFonts w:ascii="Arial" w:hAnsi="Arial" w:cs="Arial"/>
          <w:sz w:val="20"/>
          <w:szCs w:val="20"/>
        </w:rPr>
        <w:t>favouring</w:t>
      </w:r>
      <w:r w:rsidRPr="00884E3C">
        <w:rPr>
          <w:rFonts w:ascii="Arial" w:hAnsi="Arial" w:cs="Arial"/>
          <w:sz w:val="20"/>
          <w:szCs w:val="20"/>
        </w:rPr>
        <w:t xml:space="preserve"> rapid flow and minimal network formation for efficient processing. Differences in zero-shear viscosity, LVR extent, and elastic dominance between </w:t>
      </w:r>
      <w:proofErr w:type="spellStart"/>
      <w:r w:rsidRPr="00884E3C">
        <w:rPr>
          <w:rFonts w:ascii="Arial" w:hAnsi="Arial" w:cs="Arial"/>
          <w:sz w:val="20"/>
          <w:szCs w:val="20"/>
        </w:rPr>
        <w:t>Methocel</w:t>
      </w:r>
      <w:proofErr w:type="spellEnd"/>
      <w:r w:rsidRPr="00884E3C">
        <w:rPr>
          <w:rFonts w:ascii="Arial" w:hAnsi="Arial" w:cs="Arial"/>
          <w:sz w:val="20"/>
          <w:szCs w:val="20"/>
        </w:rPr>
        <w:t xml:space="preserve">™ and </w:t>
      </w:r>
      <w:proofErr w:type="spellStart"/>
      <w:r w:rsidRPr="00884E3C">
        <w:rPr>
          <w:rFonts w:ascii="Arial" w:hAnsi="Arial" w:cs="Arial"/>
          <w:sz w:val="20"/>
          <w:szCs w:val="20"/>
        </w:rPr>
        <w:t>Benecel</w:t>
      </w:r>
      <w:proofErr w:type="spellEnd"/>
      <w:r w:rsidRPr="00884E3C">
        <w:rPr>
          <w:rFonts w:ascii="Arial" w:hAnsi="Arial" w:cs="Arial"/>
          <w:sz w:val="20"/>
          <w:szCs w:val="20"/>
        </w:rPr>
        <w:t>™ translated directly into critical process parameters across mixing, granulation, compression, and coating operations. These findings highlight oscillatory rheology as a functional tool linking excipient microstructure to process performance, providing a science-based framework for excipient selection, alternate source evaluation, and Quality by Design–driven pharmaceutical development.</w:t>
      </w:r>
    </w:p>
    <w:p w14:paraId="326B5070" w14:textId="77777777" w:rsidR="00FE0399" w:rsidRPr="00884E3C" w:rsidRDefault="00FE0399" w:rsidP="00080238">
      <w:pPr>
        <w:pStyle w:val="NormalWeb"/>
        <w:spacing w:before="0" w:beforeAutospacing="0" w:after="0" w:afterAutospacing="0"/>
        <w:ind w:left="142"/>
        <w:jc w:val="both"/>
        <w:rPr>
          <w:rFonts w:ascii="Arial" w:hAnsi="Arial" w:cs="Arial"/>
          <w:sz w:val="20"/>
          <w:szCs w:val="20"/>
        </w:rPr>
      </w:pPr>
    </w:p>
    <w:p w14:paraId="017B1A3F" w14:textId="77777777" w:rsidR="00FE0399" w:rsidRPr="00884E3C" w:rsidRDefault="00FE0399" w:rsidP="00080238">
      <w:pPr>
        <w:spacing w:after="0" w:line="240" w:lineRule="auto"/>
        <w:ind w:left="142"/>
        <w:jc w:val="both"/>
        <w:rPr>
          <w:rFonts w:ascii="Arial" w:hAnsi="Arial" w:cs="Arial"/>
          <w:b/>
          <w:bCs/>
          <w:sz w:val="20"/>
          <w:szCs w:val="20"/>
        </w:rPr>
      </w:pPr>
    </w:p>
    <w:p w14:paraId="6AAA95E9" w14:textId="77777777" w:rsidR="00257249" w:rsidRPr="00884E3C" w:rsidRDefault="00257249" w:rsidP="00080238">
      <w:pPr>
        <w:spacing w:after="0" w:line="240" w:lineRule="auto"/>
        <w:ind w:left="142"/>
        <w:jc w:val="both"/>
        <w:rPr>
          <w:rFonts w:ascii="Arial" w:hAnsi="Arial" w:cs="Arial"/>
          <w:b/>
          <w:bCs/>
          <w:sz w:val="20"/>
          <w:szCs w:val="20"/>
        </w:rPr>
      </w:pPr>
      <w:r w:rsidRPr="00884E3C">
        <w:rPr>
          <w:rFonts w:ascii="Arial" w:hAnsi="Arial" w:cs="Arial"/>
          <w:b/>
          <w:bCs/>
          <w:sz w:val="20"/>
          <w:szCs w:val="20"/>
        </w:rPr>
        <w:t>ETHICS APPROVAL:</w:t>
      </w:r>
    </w:p>
    <w:p w14:paraId="2D46003C" w14:textId="77777777" w:rsidR="00FE0399" w:rsidRPr="00884E3C" w:rsidRDefault="00FE0399" w:rsidP="00080238">
      <w:pPr>
        <w:spacing w:after="0" w:line="240" w:lineRule="auto"/>
        <w:ind w:left="142"/>
        <w:jc w:val="both"/>
        <w:rPr>
          <w:rFonts w:ascii="Arial" w:hAnsi="Arial" w:cs="Arial"/>
          <w:b/>
          <w:bCs/>
          <w:sz w:val="20"/>
          <w:szCs w:val="20"/>
        </w:rPr>
      </w:pPr>
    </w:p>
    <w:p w14:paraId="7183D503" w14:textId="77777777" w:rsidR="00F46C92" w:rsidRDefault="00257249" w:rsidP="00080238">
      <w:pPr>
        <w:spacing w:after="0" w:line="240" w:lineRule="auto"/>
        <w:ind w:left="142"/>
        <w:jc w:val="both"/>
        <w:rPr>
          <w:rFonts w:ascii="Arial" w:hAnsi="Arial" w:cs="Arial"/>
          <w:sz w:val="20"/>
          <w:szCs w:val="20"/>
        </w:rPr>
      </w:pPr>
      <w:r w:rsidRPr="00884E3C">
        <w:rPr>
          <w:rFonts w:ascii="Arial" w:hAnsi="Arial" w:cs="Arial"/>
          <w:sz w:val="20"/>
          <w:szCs w:val="20"/>
        </w:rPr>
        <w:t>None to declare</w:t>
      </w:r>
    </w:p>
    <w:p w14:paraId="391CF41E" w14:textId="77777777" w:rsidR="0097113A" w:rsidRDefault="0097113A" w:rsidP="00080238">
      <w:pPr>
        <w:spacing w:after="0" w:line="240" w:lineRule="auto"/>
        <w:ind w:left="142"/>
        <w:jc w:val="both"/>
        <w:rPr>
          <w:rFonts w:ascii="Arial" w:hAnsi="Arial" w:cs="Arial"/>
          <w:sz w:val="20"/>
          <w:szCs w:val="20"/>
        </w:rPr>
      </w:pPr>
    </w:p>
    <w:p w14:paraId="65DDDB35" w14:textId="77777777" w:rsidR="0097113A" w:rsidRPr="0097113A" w:rsidRDefault="0097113A" w:rsidP="0097113A">
      <w:pPr>
        <w:spacing w:after="0" w:line="240" w:lineRule="auto"/>
        <w:ind w:left="142"/>
        <w:jc w:val="both"/>
        <w:rPr>
          <w:rFonts w:ascii="Arial" w:hAnsi="Arial" w:cs="Arial"/>
          <w:sz w:val="20"/>
          <w:szCs w:val="20"/>
        </w:rPr>
      </w:pPr>
      <w:r w:rsidRPr="0097113A">
        <w:rPr>
          <w:rFonts w:ascii="Arial" w:hAnsi="Arial" w:cs="Arial"/>
          <w:sz w:val="20"/>
          <w:szCs w:val="20"/>
        </w:rPr>
        <w:t>COMPETING INTERESTS DISCLAIMER:</w:t>
      </w:r>
    </w:p>
    <w:p w14:paraId="2B97F888" w14:textId="0B2F7D63" w:rsidR="0097113A" w:rsidRDefault="0097113A" w:rsidP="0097113A">
      <w:pPr>
        <w:spacing w:after="0" w:line="240" w:lineRule="auto"/>
        <w:ind w:left="142"/>
        <w:jc w:val="both"/>
        <w:rPr>
          <w:rFonts w:ascii="Arial" w:hAnsi="Arial" w:cs="Arial"/>
          <w:sz w:val="20"/>
          <w:szCs w:val="20"/>
        </w:rPr>
      </w:pPr>
      <w:r w:rsidRPr="0097113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CB77497" w14:textId="77777777" w:rsidR="0097113A" w:rsidRDefault="0097113A" w:rsidP="0097113A">
      <w:pPr>
        <w:spacing w:after="0" w:line="240" w:lineRule="auto"/>
        <w:ind w:left="142"/>
        <w:jc w:val="both"/>
        <w:rPr>
          <w:rFonts w:ascii="Arial" w:hAnsi="Arial" w:cs="Arial"/>
          <w:sz w:val="20"/>
          <w:szCs w:val="20"/>
        </w:rPr>
      </w:pPr>
    </w:p>
    <w:p w14:paraId="70F0B8E7" w14:textId="77777777" w:rsidR="0097113A" w:rsidRPr="00884E3C" w:rsidRDefault="0097113A" w:rsidP="0097113A">
      <w:pPr>
        <w:spacing w:after="0" w:line="240" w:lineRule="auto"/>
        <w:ind w:left="142"/>
        <w:jc w:val="both"/>
        <w:rPr>
          <w:rFonts w:ascii="Arial" w:hAnsi="Arial" w:cs="Arial"/>
          <w:sz w:val="20"/>
          <w:szCs w:val="20"/>
        </w:rPr>
      </w:pPr>
    </w:p>
    <w:p w14:paraId="698FBE69" w14:textId="77777777" w:rsidR="00F46C92" w:rsidRPr="00884E3C" w:rsidRDefault="00F46C92" w:rsidP="00080238">
      <w:pPr>
        <w:spacing w:after="0" w:line="240" w:lineRule="auto"/>
        <w:jc w:val="both"/>
        <w:rPr>
          <w:rFonts w:ascii="Arial" w:hAnsi="Arial" w:cs="Arial"/>
          <w:b/>
          <w:sz w:val="20"/>
          <w:szCs w:val="20"/>
          <w:lang w:val="en-US"/>
        </w:rPr>
      </w:pPr>
    </w:p>
    <w:p w14:paraId="4A88B8C1" w14:textId="77777777" w:rsidR="00F46C92" w:rsidRPr="00884E3C" w:rsidRDefault="00F46C92" w:rsidP="00080238">
      <w:pPr>
        <w:spacing w:after="0" w:line="240" w:lineRule="auto"/>
        <w:rPr>
          <w:rFonts w:ascii="Arial" w:hAnsi="Arial" w:cs="Arial"/>
          <w:b/>
          <w:sz w:val="24"/>
          <w:szCs w:val="24"/>
        </w:rPr>
      </w:pPr>
      <w:r w:rsidRPr="00884E3C">
        <w:rPr>
          <w:rFonts w:ascii="Arial" w:hAnsi="Arial" w:cs="Arial"/>
          <w:b/>
          <w:sz w:val="24"/>
          <w:szCs w:val="24"/>
        </w:rPr>
        <w:t>REFERENCES</w:t>
      </w:r>
    </w:p>
    <w:p w14:paraId="7A24B28E" w14:textId="77777777" w:rsidR="006F01AF" w:rsidRPr="00884E3C" w:rsidRDefault="006F01AF" w:rsidP="00080238">
      <w:pPr>
        <w:spacing w:after="0" w:line="240" w:lineRule="auto"/>
        <w:rPr>
          <w:rFonts w:ascii="Arial" w:hAnsi="Arial" w:cs="Arial"/>
          <w:b/>
          <w:sz w:val="24"/>
          <w:szCs w:val="24"/>
        </w:rPr>
      </w:pPr>
    </w:p>
    <w:p w14:paraId="6CE2E7BF" w14:textId="77777777" w:rsidR="006F01AF" w:rsidRPr="004254D3" w:rsidRDefault="006F01AF" w:rsidP="00B016D5">
      <w:pPr>
        <w:pStyle w:val="ListParagraph"/>
        <w:numPr>
          <w:ilvl w:val="0"/>
          <w:numId w:val="23"/>
        </w:numPr>
        <w:tabs>
          <w:tab w:val="clear" w:pos="720"/>
          <w:tab w:val="num" w:pos="1276"/>
        </w:tabs>
        <w:spacing w:after="0" w:line="240" w:lineRule="auto"/>
        <w:ind w:left="567" w:hanging="425"/>
        <w:jc w:val="both"/>
        <w:rPr>
          <w:rFonts w:ascii="Arial" w:hAnsi="Arial" w:cs="Arial"/>
          <w:sz w:val="20"/>
          <w:szCs w:val="20"/>
        </w:rPr>
      </w:pPr>
      <w:proofErr w:type="spellStart"/>
      <w:r w:rsidRPr="004254D3">
        <w:rPr>
          <w:rFonts w:ascii="Arial" w:hAnsi="Arial" w:cs="Arial"/>
          <w:sz w:val="20"/>
          <w:szCs w:val="20"/>
        </w:rPr>
        <w:t>Gurt</w:t>
      </w:r>
      <w:proofErr w:type="spellEnd"/>
      <w:r w:rsidRPr="004254D3">
        <w:rPr>
          <w:rFonts w:ascii="Arial" w:hAnsi="Arial" w:cs="Arial"/>
          <w:sz w:val="20"/>
          <w:szCs w:val="20"/>
        </w:rPr>
        <w:t xml:space="preserve">, A., &amp; Khonsari, M. (2024). A review of the rheological consistency of materials. </w:t>
      </w:r>
      <w:r w:rsidRPr="004254D3">
        <w:rPr>
          <w:rStyle w:val="Emphasis"/>
          <w:rFonts w:ascii="Arial" w:hAnsi="Arial" w:cs="Arial"/>
          <w:sz w:val="20"/>
          <w:szCs w:val="20"/>
        </w:rPr>
        <w:t>Lubricants, 12</w:t>
      </w:r>
      <w:r w:rsidRPr="004254D3">
        <w:rPr>
          <w:rFonts w:ascii="Arial" w:hAnsi="Arial" w:cs="Arial"/>
          <w:sz w:val="20"/>
          <w:szCs w:val="20"/>
        </w:rPr>
        <w:t xml:space="preserve">, 236. </w:t>
      </w:r>
      <w:proofErr w:type="spellStart"/>
      <w:r w:rsidRPr="004254D3">
        <w:rPr>
          <w:rFonts w:ascii="Arial" w:hAnsi="Arial" w:cs="Arial"/>
          <w:sz w:val="20"/>
          <w:szCs w:val="20"/>
        </w:rPr>
        <w:t>doi:</w:t>
      </w:r>
      <w:hyperlink r:id="rId18"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://doi.org/10.3390/lubricants12070236</w:t>
        </w:r>
      </w:hyperlink>
    </w:p>
    <w:p w14:paraId="57E17575"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lastRenderedPageBreak/>
        <w:t xml:space="preserve">Palem, C. R., </w:t>
      </w:r>
      <w:proofErr w:type="spellStart"/>
      <w:r w:rsidRPr="004254D3">
        <w:rPr>
          <w:rFonts w:ascii="Arial" w:hAnsi="Arial" w:cs="Arial"/>
          <w:sz w:val="20"/>
          <w:szCs w:val="20"/>
        </w:rPr>
        <w:t>Rendla</w:t>
      </w:r>
      <w:proofErr w:type="spellEnd"/>
      <w:r w:rsidRPr="004254D3">
        <w:rPr>
          <w:rFonts w:ascii="Arial" w:hAnsi="Arial" w:cs="Arial"/>
          <w:sz w:val="20"/>
          <w:szCs w:val="20"/>
        </w:rPr>
        <w:t xml:space="preserve">, R., </w:t>
      </w:r>
      <w:proofErr w:type="spellStart"/>
      <w:r w:rsidRPr="004254D3">
        <w:rPr>
          <w:rFonts w:ascii="Arial" w:hAnsi="Arial" w:cs="Arial"/>
          <w:sz w:val="20"/>
          <w:szCs w:val="20"/>
        </w:rPr>
        <w:t>Nagamalli</w:t>
      </w:r>
      <w:proofErr w:type="spellEnd"/>
      <w:r w:rsidRPr="004254D3">
        <w:rPr>
          <w:rFonts w:ascii="Arial" w:hAnsi="Arial" w:cs="Arial"/>
          <w:sz w:val="20"/>
          <w:szCs w:val="20"/>
        </w:rPr>
        <w:t xml:space="preserve">, N. K., Lekkala, V. K., &amp; Gumudevelli, S. (2025). A comprehensive review of current trends and regulatory frameworks in generic drug development. </w:t>
      </w:r>
      <w:r w:rsidRPr="004254D3">
        <w:rPr>
          <w:rStyle w:val="Emphasis"/>
          <w:rFonts w:ascii="Arial" w:hAnsi="Arial" w:cs="Arial"/>
          <w:sz w:val="20"/>
          <w:szCs w:val="20"/>
        </w:rPr>
        <w:t>Journal of Pharmaceutical Sciences, 1</w:t>
      </w:r>
      <w:r w:rsidRPr="004254D3">
        <w:rPr>
          <w:rFonts w:ascii="Arial" w:hAnsi="Arial" w:cs="Arial"/>
          <w:sz w:val="20"/>
          <w:szCs w:val="20"/>
        </w:rPr>
        <w:t xml:space="preserve">(10), 16–27. </w:t>
      </w:r>
      <w:proofErr w:type="spellStart"/>
      <w:r w:rsidRPr="004254D3">
        <w:rPr>
          <w:rFonts w:ascii="Arial" w:hAnsi="Arial" w:cs="Arial"/>
          <w:sz w:val="20"/>
          <w:szCs w:val="20"/>
        </w:rPr>
        <w:t>doi:</w:t>
      </w:r>
      <w:hyperlink r:id="rId19"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://doi.org/10.5281/zenodo.17246219</w:t>
        </w:r>
      </w:hyperlink>
    </w:p>
    <w:p w14:paraId="7F63F912"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Ricarte, R. G., &amp; Shanbhag, S. (2024). A tutorial review of linear rheology for polymer chemists: Basics and best practices for covalent adaptable networks. </w:t>
      </w:r>
      <w:r w:rsidRPr="004254D3">
        <w:rPr>
          <w:rStyle w:val="Emphasis"/>
          <w:rFonts w:ascii="Arial" w:hAnsi="Arial" w:cs="Arial"/>
          <w:sz w:val="20"/>
          <w:szCs w:val="20"/>
        </w:rPr>
        <w:t>Polymer Chemistry, 15</w:t>
      </w:r>
      <w:r w:rsidRPr="004254D3">
        <w:rPr>
          <w:rFonts w:ascii="Arial" w:hAnsi="Arial" w:cs="Arial"/>
          <w:sz w:val="20"/>
          <w:szCs w:val="20"/>
        </w:rPr>
        <w:t xml:space="preserve">, 815–846. </w:t>
      </w:r>
      <w:proofErr w:type="spellStart"/>
      <w:r w:rsidRPr="004254D3">
        <w:rPr>
          <w:rFonts w:ascii="Arial" w:hAnsi="Arial" w:cs="Arial"/>
          <w:sz w:val="20"/>
          <w:szCs w:val="20"/>
        </w:rPr>
        <w:t>doi</w:t>
      </w:r>
      <w:proofErr w:type="spellEnd"/>
      <w:r w:rsidRPr="004254D3">
        <w:rPr>
          <w:rFonts w:ascii="Arial" w:hAnsi="Arial" w:cs="Arial"/>
          <w:sz w:val="20"/>
          <w:szCs w:val="20"/>
        </w:rPr>
        <w:t xml:space="preserve">: </w:t>
      </w:r>
      <w:hyperlink r:id="rId20" w:tgtFrame="_new" w:history="1">
        <w:r w:rsidRPr="004254D3">
          <w:rPr>
            <w:rStyle w:val="Hyperlink"/>
            <w:rFonts w:ascii="Arial" w:hAnsi="Arial" w:cs="Arial"/>
            <w:sz w:val="20"/>
            <w:szCs w:val="20"/>
          </w:rPr>
          <w:t>https://doi.org/10.1039/D3PY01367G</w:t>
        </w:r>
      </w:hyperlink>
    </w:p>
    <w:p w14:paraId="39571323"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Budai, L., Budai, M., Pápay, Z. E. F., Vilimi, Z., &amp; Antal, I. (2023). Rheological considerations of pharmaceutical formulations: Focus on viscoelasticity. </w:t>
      </w:r>
      <w:r w:rsidRPr="004254D3">
        <w:rPr>
          <w:rStyle w:val="Emphasis"/>
          <w:rFonts w:ascii="Arial" w:hAnsi="Arial" w:cs="Arial"/>
          <w:sz w:val="20"/>
          <w:szCs w:val="20"/>
        </w:rPr>
        <w:t>Gels, 9</w:t>
      </w:r>
      <w:r w:rsidRPr="004254D3">
        <w:rPr>
          <w:rFonts w:ascii="Arial" w:hAnsi="Arial" w:cs="Arial"/>
          <w:sz w:val="20"/>
          <w:szCs w:val="20"/>
        </w:rPr>
        <w:t>, 469.doi:</w:t>
      </w:r>
      <w:hyperlink r:id="rId21" w:tgtFrame="_new" w:history="1">
        <w:r w:rsidRPr="004254D3">
          <w:rPr>
            <w:rStyle w:val="Hyperlink"/>
            <w:rFonts w:ascii="Arial" w:hAnsi="Arial" w:cs="Arial"/>
            <w:sz w:val="20"/>
            <w:szCs w:val="20"/>
          </w:rPr>
          <w:t>https://doi.org/10.3390/gels9060469</w:t>
        </w:r>
      </w:hyperlink>
    </w:p>
    <w:p w14:paraId="5C85F942"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Ramli, H., Zainal, N. F. A., Hess, M., &amp; Chan, C. H. (2022). Basic principle and good practices of rheology for polymers for teachers and beginners. </w:t>
      </w:r>
      <w:r w:rsidRPr="004254D3">
        <w:rPr>
          <w:rStyle w:val="Emphasis"/>
          <w:rFonts w:ascii="Arial" w:hAnsi="Arial" w:cs="Arial"/>
          <w:sz w:val="20"/>
          <w:szCs w:val="20"/>
        </w:rPr>
        <w:t>Chemistry Teacher International, 4</w:t>
      </w:r>
      <w:r w:rsidRPr="004254D3">
        <w:rPr>
          <w:rFonts w:ascii="Arial" w:hAnsi="Arial" w:cs="Arial"/>
          <w:sz w:val="20"/>
          <w:szCs w:val="20"/>
        </w:rPr>
        <w:t xml:space="preserve">(4), 307–326. </w:t>
      </w:r>
      <w:proofErr w:type="spellStart"/>
      <w:r w:rsidRPr="004254D3">
        <w:rPr>
          <w:rFonts w:ascii="Arial" w:hAnsi="Arial" w:cs="Arial"/>
          <w:sz w:val="20"/>
          <w:szCs w:val="20"/>
        </w:rPr>
        <w:t>doi</w:t>
      </w:r>
      <w:proofErr w:type="spellEnd"/>
      <w:r w:rsidRPr="004254D3">
        <w:rPr>
          <w:rFonts w:ascii="Arial" w:hAnsi="Arial" w:cs="Arial"/>
          <w:sz w:val="20"/>
          <w:szCs w:val="20"/>
        </w:rPr>
        <w:t xml:space="preserve">: </w:t>
      </w:r>
      <w:hyperlink r:id="rId22" w:tgtFrame="_new" w:history="1">
        <w:r w:rsidRPr="004254D3">
          <w:rPr>
            <w:rStyle w:val="Hyperlink"/>
            <w:rFonts w:ascii="Arial" w:hAnsi="Arial" w:cs="Arial"/>
            <w:sz w:val="20"/>
            <w:szCs w:val="20"/>
          </w:rPr>
          <w:t>https://doi.org/10.1515/cti-2022-0010</w:t>
        </w:r>
      </w:hyperlink>
    </w:p>
    <w:p w14:paraId="1AB84720"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proofErr w:type="spellStart"/>
      <w:r w:rsidRPr="004254D3">
        <w:rPr>
          <w:rFonts w:ascii="Arial" w:hAnsi="Arial" w:cs="Arial"/>
          <w:sz w:val="20"/>
          <w:szCs w:val="20"/>
        </w:rPr>
        <w:t>Than</w:t>
      </w:r>
      <w:proofErr w:type="spellEnd"/>
      <w:r w:rsidRPr="004254D3">
        <w:rPr>
          <w:rFonts w:ascii="Arial" w:hAnsi="Arial" w:cs="Arial"/>
          <w:sz w:val="20"/>
          <w:szCs w:val="20"/>
        </w:rPr>
        <w:t xml:space="preserve">, Y. M., </w:t>
      </w:r>
      <w:proofErr w:type="spellStart"/>
      <w:r w:rsidRPr="004254D3">
        <w:rPr>
          <w:rFonts w:ascii="Arial" w:hAnsi="Arial" w:cs="Arial"/>
          <w:sz w:val="20"/>
          <w:szCs w:val="20"/>
        </w:rPr>
        <w:t>Suriyarak</w:t>
      </w:r>
      <w:proofErr w:type="spellEnd"/>
      <w:r w:rsidRPr="004254D3">
        <w:rPr>
          <w:rFonts w:ascii="Arial" w:hAnsi="Arial" w:cs="Arial"/>
          <w:sz w:val="20"/>
          <w:szCs w:val="20"/>
        </w:rPr>
        <w:t xml:space="preserve">, S., &amp; </w:t>
      </w:r>
      <w:proofErr w:type="spellStart"/>
      <w:r w:rsidRPr="004254D3">
        <w:rPr>
          <w:rFonts w:ascii="Arial" w:hAnsi="Arial" w:cs="Arial"/>
          <w:sz w:val="20"/>
          <w:szCs w:val="20"/>
        </w:rPr>
        <w:t>Titapiwatanakun</w:t>
      </w:r>
      <w:proofErr w:type="spellEnd"/>
      <w:r w:rsidRPr="004254D3">
        <w:rPr>
          <w:rFonts w:ascii="Arial" w:hAnsi="Arial" w:cs="Arial"/>
          <w:sz w:val="20"/>
          <w:szCs w:val="20"/>
        </w:rPr>
        <w:t xml:space="preserve">, V. (2022). Rheological investigation of hydroxypropyl cellulose–based filaments for material extrusion 3D printing. </w:t>
      </w:r>
      <w:r w:rsidRPr="004254D3">
        <w:rPr>
          <w:rStyle w:val="Emphasis"/>
          <w:rFonts w:ascii="Arial" w:hAnsi="Arial" w:cs="Arial"/>
          <w:sz w:val="20"/>
          <w:szCs w:val="20"/>
        </w:rPr>
        <w:t>Polymers, 14</w:t>
      </w:r>
      <w:r w:rsidRPr="004254D3">
        <w:rPr>
          <w:rFonts w:ascii="Arial" w:hAnsi="Arial" w:cs="Arial"/>
          <w:sz w:val="20"/>
          <w:szCs w:val="20"/>
        </w:rPr>
        <w:t xml:space="preserve">, 1108. </w:t>
      </w:r>
      <w:proofErr w:type="spellStart"/>
      <w:r w:rsidRPr="004254D3">
        <w:rPr>
          <w:rFonts w:ascii="Arial" w:hAnsi="Arial" w:cs="Arial"/>
          <w:sz w:val="20"/>
          <w:szCs w:val="20"/>
        </w:rPr>
        <w:t>doi</w:t>
      </w:r>
      <w:proofErr w:type="spellEnd"/>
      <w:r w:rsidRPr="004254D3">
        <w:rPr>
          <w:rFonts w:ascii="Arial" w:hAnsi="Arial" w:cs="Arial"/>
          <w:sz w:val="20"/>
          <w:szCs w:val="20"/>
        </w:rPr>
        <w:t xml:space="preserve">: </w:t>
      </w:r>
      <w:hyperlink r:id="rId23" w:tgtFrame="_new" w:history="1">
        <w:r w:rsidRPr="004254D3">
          <w:rPr>
            <w:rStyle w:val="Hyperlink"/>
            <w:rFonts w:ascii="Arial" w:hAnsi="Arial" w:cs="Arial"/>
            <w:sz w:val="20"/>
            <w:szCs w:val="20"/>
          </w:rPr>
          <w:t>https://doi.org/10.3390/polym14061108</w:t>
        </w:r>
      </w:hyperlink>
    </w:p>
    <w:p w14:paraId="2A8D4A8D"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Furtado, L. M., Yee, M., Fernandes, R., Valera, T. S., Itri, R., &amp; Petri, D. F. S. (2023). Rheological and mechanical properties of hydroxypropyl methylcellulose-based hydrogels and </w:t>
      </w:r>
      <w:proofErr w:type="spellStart"/>
      <w:r w:rsidRPr="004254D3">
        <w:rPr>
          <w:rFonts w:ascii="Arial" w:hAnsi="Arial" w:cs="Arial"/>
          <w:sz w:val="20"/>
          <w:szCs w:val="20"/>
        </w:rPr>
        <w:t>cryogels</w:t>
      </w:r>
      <w:proofErr w:type="spellEnd"/>
      <w:r w:rsidRPr="004254D3">
        <w:rPr>
          <w:rFonts w:ascii="Arial" w:hAnsi="Arial" w:cs="Arial"/>
          <w:sz w:val="20"/>
          <w:szCs w:val="20"/>
        </w:rPr>
        <w:t xml:space="preserve"> controlled by AOT and SDS micelles. </w:t>
      </w:r>
      <w:r w:rsidRPr="004254D3">
        <w:rPr>
          <w:rStyle w:val="Emphasis"/>
          <w:rFonts w:ascii="Arial" w:hAnsi="Arial" w:cs="Arial"/>
          <w:sz w:val="20"/>
          <w:szCs w:val="20"/>
        </w:rPr>
        <w:t>Journal of Colloid and Interface Science, 648</w:t>
      </w:r>
      <w:r w:rsidRPr="004254D3">
        <w:rPr>
          <w:rFonts w:ascii="Arial" w:hAnsi="Arial" w:cs="Arial"/>
          <w:sz w:val="20"/>
          <w:szCs w:val="20"/>
        </w:rPr>
        <w:t xml:space="preserve">, 604–615. </w:t>
      </w:r>
      <w:proofErr w:type="spellStart"/>
      <w:r w:rsidRPr="004254D3">
        <w:rPr>
          <w:rFonts w:ascii="Arial" w:hAnsi="Arial" w:cs="Arial"/>
          <w:sz w:val="20"/>
          <w:szCs w:val="20"/>
        </w:rPr>
        <w:t>doi:</w:t>
      </w:r>
      <w:hyperlink r:id="rId24"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://doi.org/10.1016/j.jcis.2023.06.014</w:t>
        </w:r>
      </w:hyperlink>
    </w:p>
    <w:p w14:paraId="0971D858"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Palem, C. R., </w:t>
      </w:r>
      <w:proofErr w:type="spellStart"/>
      <w:r w:rsidRPr="004254D3">
        <w:rPr>
          <w:rFonts w:ascii="Arial" w:hAnsi="Arial" w:cs="Arial"/>
          <w:sz w:val="20"/>
          <w:szCs w:val="20"/>
        </w:rPr>
        <w:t>Dudhipala</w:t>
      </w:r>
      <w:proofErr w:type="spellEnd"/>
      <w:r w:rsidRPr="004254D3">
        <w:rPr>
          <w:rFonts w:ascii="Arial" w:hAnsi="Arial" w:cs="Arial"/>
          <w:sz w:val="20"/>
          <w:szCs w:val="20"/>
        </w:rPr>
        <w:t xml:space="preserve">, N., Battu, S. K., Goda, S., Repka, M. A., &amp; Yamsani, M. R. (2015). Combined dosage form of pioglitazone and felodipine as mucoadhesive pellets via hot-melt extrusion for improved buccal delivery using a quality by design approach. </w:t>
      </w:r>
      <w:r w:rsidRPr="004254D3">
        <w:rPr>
          <w:rStyle w:val="Emphasis"/>
          <w:rFonts w:ascii="Arial" w:hAnsi="Arial" w:cs="Arial"/>
          <w:sz w:val="20"/>
          <w:szCs w:val="20"/>
        </w:rPr>
        <w:t>Journal of Drug Delivery Science and Technology, 30</w:t>
      </w:r>
      <w:r w:rsidRPr="004254D3">
        <w:rPr>
          <w:rFonts w:ascii="Arial" w:hAnsi="Arial" w:cs="Arial"/>
          <w:sz w:val="20"/>
          <w:szCs w:val="20"/>
        </w:rPr>
        <w:t xml:space="preserve">, 209–219. </w:t>
      </w:r>
      <w:proofErr w:type="spellStart"/>
      <w:r w:rsidRPr="004254D3">
        <w:rPr>
          <w:rFonts w:ascii="Arial" w:hAnsi="Arial" w:cs="Arial"/>
          <w:sz w:val="20"/>
          <w:szCs w:val="20"/>
        </w:rPr>
        <w:t>doi:</w:t>
      </w:r>
      <w:hyperlink r:id="rId25"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://doi.org/10.1016/j.jddst.2015.10.017</w:t>
        </w:r>
      </w:hyperlink>
    </w:p>
    <w:p w14:paraId="6F8568A1"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Palem, C. R., </w:t>
      </w:r>
      <w:proofErr w:type="spellStart"/>
      <w:r w:rsidRPr="004254D3">
        <w:rPr>
          <w:rFonts w:ascii="Arial" w:hAnsi="Arial" w:cs="Arial"/>
          <w:sz w:val="20"/>
          <w:szCs w:val="20"/>
        </w:rPr>
        <w:t>Gannu</w:t>
      </w:r>
      <w:proofErr w:type="spellEnd"/>
      <w:r w:rsidRPr="004254D3">
        <w:rPr>
          <w:rFonts w:ascii="Arial" w:hAnsi="Arial" w:cs="Arial"/>
          <w:sz w:val="20"/>
          <w:szCs w:val="20"/>
        </w:rPr>
        <w:t xml:space="preserve">, R., </w:t>
      </w:r>
      <w:proofErr w:type="spellStart"/>
      <w:r w:rsidRPr="004254D3">
        <w:rPr>
          <w:rFonts w:ascii="Arial" w:hAnsi="Arial" w:cs="Arial"/>
          <w:sz w:val="20"/>
          <w:szCs w:val="20"/>
        </w:rPr>
        <w:t>Dudhipala</w:t>
      </w:r>
      <w:proofErr w:type="spellEnd"/>
      <w:r w:rsidRPr="004254D3">
        <w:rPr>
          <w:rFonts w:ascii="Arial" w:hAnsi="Arial" w:cs="Arial"/>
          <w:sz w:val="20"/>
          <w:szCs w:val="20"/>
        </w:rPr>
        <w:t xml:space="preserve">, N., Yamsani, V. V., &amp; Yamsani, M. R. (2011). Transmucosal delivery of domperidone from </w:t>
      </w:r>
      <w:proofErr w:type="spellStart"/>
      <w:r w:rsidRPr="004254D3">
        <w:rPr>
          <w:rFonts w:ascii="Arial" w:hAnsi="Arial" w:cs="Arial"/>
          <w:sz w:val="20"/>
          <w:szCs w:val="20"/>
        </w:rPr>
        <w:t>bilayered</w:t>
      </w:r>
      <w:proofErr w:type="spellEnd"/>
      <w:r w:rsidRPr="004254D3">
        <w:rPr>
          <w:rFonts w:ascii="Arial" w:hAnsi="Arial" w:cs="Arial"/>
          <w:sz w:val="20"/>
          <w:szCs w:val="20"/>
        </w:rPr>
        <w:t xml:space="preserve"> buccal patches: In vitro, ex vivo and in vivo characterization. </w:t>
      </w:r>
      <w:r w:rsidRPr="004254D3">
        <w:rPr>
          <w:rStyle w:val="Emphasis"/>
          <w:rFonts w:ascii="Arial" w:hAnsi="Arial" w:cs="Arial"/>
          <w:sz w:val="20"/>
          <w:szCs w:val="20"/>
        </w:rPr>
        <w:t>Archives of Pharmacal Research, 34</w:t>
      </w:r>
      <w:r w:rsidRPr="004254D3">
        <w:rPr>
          <w:rFonts w:ascii="Arial" w:hAnsi="Arial" w:cs="Arial"/>
          <w:sz w:val="20"/>
          <w:szCs w:val="20"/>
        </w:rPr>
        <w:t xml:space="preserve">(10), 1701–1710. </w:t>
      </w:r>
      <w:proofErr w:type="spellStart"/>
      <w:r w:rsidRPr="004254D3">
        <w:rPr>
          <w:rFonts w:ascii="Arial" w:hAnsi="Arial" w:cs="Arial"/>
          <w:sz w:val="20"/>
          <w:szCs w:val="20"/>
        </w:rPr>
        <w:t>doi:</w:t>
      </w:r>
      <w:hyperlink r:id="rId26"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://doi.org/10.1007/s12272-011-1014-2</w:t>
        </w:r>
      </w:hyperlink>
    </w:p>
    <w:p w14:paraId="6C0BDF52"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Palem, C. R., Battu, S. K., Maddineni, S., </w:t>
      </w:r>
      <w:proofErr w:type="spellStart"/>
      <w:r w:rsidRPr="004254D3">
        <w:rPr>
          <w:rFonts w:ascii="Arial" w:hAnsi="Arial" w:cs="Arial"/>
          <w:sz w:val="20"/>
          <w:szCs w:val="20"/>
        </w:rPr>
        <w:t>Gannu</w:t>
      </w:r>
      <w:proofErr w:type="spellEnd"/>
      <w:r w:rsidRPr="004254D3">
        <w:rPr>
          <w:rFonts w:ascii="Arial" w:hAnsi="Arial" w:cs="Arial"/>
          <w:sz w:val="20"/>
          <w:szCs w:val="20"/>
        </w:rPr>
        <w:t xml:space="preserve">, R., Repka, M. A., &amp; Yamsani, M. R. (2013). Oral transmucosal delivery of domperidone from immediate release films produced via hot-melt extrusion technology. </w:t>
      </w:r>
      <w:r w:rsidRPr="004254D3">
        <w:rPr>
          <w:rStyle w:val="Emphasis"/>
          <w:rFonts w:ascii="Arial" w:hAnsi="Arial" w:cs="Arial"/>
          <w:sz w:val="20"/>
          <w:szCs w:val="20"/>
        </w:rPr>
        <w:t>Pharmaceutical Development and Technology, 18</w:t>
      </w:r>
      <w:r w:rsidRPr="004254D3">
        <w:rPr>
          <w:rFonts w:ascii="Arial" w:hAnsi="Arial" w:cs="Arial"/>
          <w:sz w:val="20"/>
          <w:szCs w:val="20"/>
        </w:rPr>
        <w:t xml:space="preserve">(1), 186–195. </w:t>
      </w:r>
      <w:proofErr w:type="spellStart"/>
      <w:r w:rsidRPr="004254D3">
        <w:rPr>
          <w:rFonts w:ascii="Arial" w:hAnsi="Arial" w:cs="Arial"/>
          <w:sz w:val="20"/>
          <w:szCs w:val="20"/>
        </w:rPr>
        <w:t>doi:</w:t>
      </w:r>
      <w:hyperlink r:id="rId27"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://doi.org/10.3109/10837450.2012.693505</w:t>
        </w:r>
      </w:hyperlink>
    </w:p>
    <w:p w14:paraId="1E83504A"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Palem, C. R., Noolu, P., Chilukoti, V., Balguri, P. R., </w:t>
      </w:r>
      <w:proofErr w:type="spellStart"/>
      <w:r w:rsidRPr="004254D3">
        <w:rPr>
          <w:rFonts w:ascii="Arial" w:hAnsi="Arial" w:cs="Arial"/>
          <w:sz w:val="20"/>
          <w:szCs w:val="20"/>
        </w:rPr>
        <w:t>Nagamalli</w:t>
      </w:r>
      <w:proofErr w:type="spellEnd"/>
      <w:r w:rsidRPr="004254D3">
        <w:rPr>
          <w:rFonts w:ascii="Arial" w:hAnsi="Arial" w:cs="Arial"/>
          <w:sz w:val="20"/>
          <w:szCs w:val="20"/>
        </w:rPr>
        <w:t xml:space="preserve">, N. K., &amp; Gumudevelli, S. (2025). Design and evaluation of controlled-release floating metformin HCl tablets: Influence of binder and granulation process on buoyancy. </w:t>
      </w:r>
      <w:r w:rsidRPr="004254D3">
        <w:rPr>
          <w:rStyle w:val="Emphasis"/>
          <w:rFonts w:ascii="Arial" w:hAnsi="Arial" w:cs="Arial"/>
          <w:sz w:val="20"/>
          <w:szCs w:val="20"/>
        </w:rPr>
        <w:t>Journal of Pharmaceutical Research International, 37</w:t>
      </w:r>
      <w:r w:rsidRPr="004254D3">
        <w:rPr>
          <w:rFonts w:ascii="Arial" w:hAnsi="Arial" w:cs="Arial"/>
          <w:sz w:val="20"/>
          <w:szCs w:val="20"/>
        </w:rPr>
        <w:t xml:space="preserve">(12), 234–244. </w:t>
      </w:r>
      <w:hyperlink r:id="rId28" w:tgtFrame="_new" w:history="1">
        <w:r w:rsidRPr="004254D3">
          <w:rPr>
            <w:rStyle w:val="Hyperlink"/>
            <w:rFonts w:ascii="Arial" w:hAnsi="Arial" w:cs="Arial"/>
            <w:sz w:val="20"/>
            <w:szCs w:val="20"/>
          </w:rPr>
          <w:t>https://doi.org/10.9734/jpri/2025/v37i127795</w:t>
        </w:r>
      </w:hyperlink>
    </w:p>
    <w:p w14:paraId="2EABF855"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Cremer, G., Danthine, S., Van Hoed, V., </w:t>
      </w:r>
      <w:proofErr w:type="spellStart"/>
      <w:r w:rsidRPr="004254D3">
        <w:rPr>
          <w:rFonts w:ascii="Arial" w:hAnsi="Arial" w:cs="Arial"/>
          <w:sz w:val="20"/>
          <w:szCs w:val="20"/>
        </w:rPr>
        <w:t>Dombree</w:t>
      </w:r>
      <w:proofErr w:type="spellEnd"/>
      <w:r w:rsidRPr="004254D3">
        <w:rPr>
          <w:rFonts w:ascii="Arial" w:hAnsi="Arial" w:cs="Arial"/>
          <w:sz w:val="20"/>
          <w:szCs w:val="20"/>
        </w:rPr>
        <w:t xml:space="preserve">, A., </w:t>
      </w:r>
      <w:proofErr w:type="spellStart"/>
      <w:r w:rsidRPr="004254D3">
        <w:rPr>
          <w:rFonts w:ascii="Arial" w:hAnsi="Arial" w:cs="Arial"/>
          <w:sz w:val="20"/>
          <w:szCs w:val="20"/>
        </w:rPr>
        <w:t>Laveaux</w:t>
      </w:r>
      <w:proofErr w:type="spellEnd"/>
      <w:r w:rsidRPr="004254D3">
        <w:rPr>
          <w:rFonts w:ascii="Arial" w:hAnsi="Arial" w:cs="Arial"/>
          <w:sz w:val="20"/>
          <w:szCs w:val="20"/>
        </w:rPr>
        <w:t xml:space="preserve">, A. S., </w:t>
      </w:r>
      <w:proofErr w:type="spellStart"/>
      <w:r w:rsidRPr="004254D3">
        <w:rPr>
          <w:rFonts w:ascii="Arial" w:hAnsi="Arial" w:cs="Arial"/>
          <w:sz w:val="20"/>
          <w:szCs w:val="20"/>
        </w:rPr>
        <w:t>Damblon</w:t>
      </w:r>
      <w:proofErr w:type="spellEnd"/>
      <w:r w:rsidRPr="004254D3">
        <w:rPr>
          <w:rFonts w:ascii="Arial" w:hAnsi="Arial" w:cs="Arial"/>
          <w:sz w:val="20"/>
          <w:szCs w:val="20"/>
        </w:rPr>
        <w:t xml:space="preserve">, C., Karoui, R., &amp; Blecker, C. (2023). Variability in the substitution pattern of hydroxypropyl cellulose affects its physicochemical properties. </w:t>
      </w:r>
      <w:proofErr w:type="spellStart"/>
      <w:r w:rsidRPr="004254D3">
        <w:rPr>
          <w:rStyle w:val="Emphasis"/>
          <w:rFonts w:ascii="Arial" w:hAnsi="Arial" w:cs="Arial"/>
          <w:sz w:val="20"/>
          <w:szCs w:val="20"/>
        </w:rPr>
        <w:t>Heliyon</w:t>
      </w:r>
      <w:proofErr w:type="spellEnd"/>
      <w:r w:rsidRPr="004254D3">
        <w:rPr>
          <w:rStyle w:val="Emphasis"/>
          <w:rFonts w:ascii="Arial" w:hAnsi="Arial" w:cs="Arial"/>
          <w:sz w:val="20"/>
          <w:szCs w:val="20"/>
        </w:rPr>
        <w:t>, 9</w:t>
      </w:r>
      <w:r w:rsidRPr="004254D3">
        <w:rPr>
          <w:rFonts w:ascii="Arial" w:hAnsi="Arial" w:cs="Arial"/>
          <w:sz w:val="20"/>
          <w:szCs w:val="20"/>
        </w:rPr>
        <w:t xml:space="preserve">(2), e13604. </w:t>
      </w:r>
      <w:proofErr w:type="spellStart"/>
      <w:r w:rsidRPr="004254D3">
        <w:rPr>
          <w:rFonts w:ascii="Arial" w:hAnsi="Arial" w:cs="Arial"/>
          <w:sz w:val="20"/>
          <w:szCs w:val="20"/>
        </w:rPr>
        <w:t>doi:</w:t>
      </w:r>
      <w:hyperlink r:id="rId29"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://doi.org/10.1016/j.heliyon.2023.e13604</w:t>
        </w:r>
      </w:hyperlink>
    </w:p>
    <w:p w14:paraId="1662995E"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Palem, C. R., Gumudevelli, S., </w:t>
      </w:r>
      <w:proofErr w:type="spellStart"/>
      <w:r w:rsidRPr="004254D3">
        <w:rPr>
          <w:rFonts w:ascii="Arial" w:hAnsi="Arial" w:cs="Arial"/>
          <w:sz w:val="20"/>
          <w:szCs w:val="20"/>
        </w:rPr>
        <w:t>Rendla</w:t>
      </w:r>
      <w:proofErr w:type="spellEnd"/>
      <w:r w:rsidRPr="004254D3">
        <w:rPr>
          <w:rFonts w:ascii="Arial" w:hAnsi="Arial" w:cs="Arial"/>
          <w:sz w:val="20"/>
          <w:szCs w:val="20"/>
        </w:rPr>
        <w:t xml:space="preserve">, R., Srinija, G., &amp; Gumudevelli, S. (2025). Comprehensive review on the role of dietary acid load in health and its effect on different types of diabetes. </w:t>
      </w:r>
      <w:r w:rsidRPr="004254D3">
        <w:rPr>
          <w:rStyle w:val="Emphasis"/>
          <w:rFonts w:ascii="Arial" w:hAnsi="Arial" w:cs="Arial"/>
          <w:sz w:val="20"/>
          <w:szCs w:val="20"/>
        </w:rPr>
        <w:t>International Journal of Diabetes Research, 7</w:t>
      </w:r>
      <w:r w:rsidRPr="004254D3">
        <w:rPr>
          <w:rFonts w:ascii="Arial" w:hAnsi="Arial" w:cs="Arial"/>
          <w:sz w:val="20"/>
          <w:szCs w:val="20"/>
        </w:rPr>
        <w:t xml:space="preserve">(1), 45–53. </w:t>
      </w:r>
      <w:proofErr w:type="spellStart"/>
      <w:r w:rsidRPr="004254D3">
        <w:rPr>
          <w:rFonts w:ascii="Arial" w:hAnsi="Arial" w:cs="Arial"/>
          <w:sz w:val="20"/>
          <w:szCs w:val="20"/>
        </w:rPr>
        <w:t>doi:</w:t>
      </w:r>
      <w:hyperlink r:id="rId30"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://doi.org/10.33545/26648822.2025.v7.i1a.26</w:t>
        </w:r>
      </w:hyperlink>
    </w:p>
    <w:p w14:paraId="5FA25F5F"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Palem, C. R., </w:t>
      </w:r>
      <w:proofErr w:type="spellStart"/>
      <w:r w:rsidRPr="004254D3">
        <w:rPr>
          <w:rFonts w:ascii="Arial" w:hAnsi="Arial" w:cs="Arial"/>
          <w:sz w:val="20"/>
          <w:szCs w:val="20"/>
        </w:rPr>
        <w:t>Rendla</w:t>
      </w:r>
      <w:proofErr w:type="spellEnd"/>
      <w:r w:rsidRPr="004254D3">
        <w:rPr>
          <w:rFonts w:ascii="Arial" w:hAnsi="Arial" w:cs="Arial"/>
          <w:sz w:val="20"/>
          <w:szCs w:val="20"/>
        </w:rPr>
        <w:t xml:space="preserve">, R., Lekkala, V. K., Andhi, N., </w:t>
      </w:r>
      <w:proofErr w:type="spellStart"/>
      <w:r w:rsidRPr="004254D3">
        <w:rPr>
          <w:rFonts w:ascii="Arial" w:hAnsi="Arial" w:cs="Arial"/>
          <w:sz w:val="20"/>
          <w:szCs w:val="20"/>
        </w:rPr>
        <w:t>Nagamalli</w:t>
      </w:r>
      <w:proofErr w:type="spellEnd"/>
      <w:r w:rsidRPr="004254D3">
        <w:rPr>
          <w:rFonts w:ascii="Arial" w:hAnsi="Arial" w:cs="Arial"/>
          <w:sz w:val="20"/>
          <w:szCs w:val="20"/>
        </w:rPr>
        <w:t xml:space="preserve">, N. K., Battula, D., &amp; Gumudevelli, S. (2026). Oral transmucosal delivery systems: Exploring innovative dosage forms, current industrial applications and regulatory view. </w:t>
      </w:r>
      <w:r w:rsidRPr="004254D3">
        <w:rPr>
          <w:rStyle w:val="Emphasis"/>
          <w:rFonts w:ascii="Arial" w:hAnsi="Arial" w:cs="Arial"/>
          <w:sz w:val="20"/>
          <w:szCs w:val="20"/>
        </w:rPr>
        <w:t>International Journal of Pharmaceutical Investigation, 16</w:t>
      </w:r>
      <w:r w:rsidRPr="004254D3">
        <w:rPr>
          <w:rFonts w:ascii="Arial" w:hAnsi="Arial" w:cs="Arial"/>
          <w:sz w:val="20"/>
          <w:szCs w:val="20"/>
        </w:rPr>
        <w:t xml:space="preserve">(1), 1–14. </w:t>
      </w:r>
      <w:proofErr w:type="spellStart"/>
      <w:r w:rsidRPr="004254D3">
        <w:rPr>
          <w:rFonts w:ascii="Arial" w:hAnsi="Arial" w:cs="Arial"/>
          <w:sz w:val="20"/>
          <w:szCs w:val="20"/>
        </w:rPr>
        <w:t>doi</w:t>
      </w:r>
      <w:proofErr w:type="spellEnd"/>
      <w:r w:rsidRPr="004254D3">
        <w:rPr>
          <w:rFonts w:ascii="Arial" w:hAnsi="Arial" w:cs="Arial"/>
          <w:sz w:val="20"/>
          <w:szCs w:val="20"/>
        </w:rPr>
        <w:t xml:space="preserve">: </w:t>
      </w:r>
      <w:hyperlink r:id="rId31" w:history="1">
        <w:r w:rsidRPr="004254D3">
          <w:rPr>
            <w:rStyle w:val="Hyperlink"/>
            <w:rFonts w:ascii="Arial" w:hAnsi="Arial" w:cs="Arial"/>
            <w:sz w:val="20"/>
            <w:szCs w:val="20"/>
          </w:rPr>
          <w:t>http://dx.doi.org/10.5530/ijpi.20260433</w:t>
        </w:r>
      </w:hyperlink>
      <w:r w:rsidRPr="004254D3">
        <w:rPr>
          <w:rFonts w:ascii="Arial" w:hAnsi="Arial" w:cs="Arial"/>
          <w:sz w:val="20"/>
          <w:szCs w:val="20"/>
        </w:rPr>
        <w:t xml:space="preserve"> </w:t>
      </w:r>
    </w:p>
    <w:p w14:paraId="7331B080"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Palem, C. R., </w:t>
      </w:r>
      <w:proofErr w:type="spellStart"/>
      <w:r w:rsidRPr="004254D3">
        <w:rPr>
          <w:rFonts w:ascii="Arial" w:hAnsi="Arial" w:cs="Arial"/>
          <w:sz w:val="20"/>
          <w:szCs w:val="20"/>
        </w:rPr>
        <w:t>Nagamalli</w:t>
      </w:r>
      <w:proofErr w:type="spellEnd"/>
      <w:r w:rsidRPr="004254D3">
        <w:rPr>
          <w:rFonts w:ascii="Arial" w:hAnsi="Arial" w:cs="Arial"/>
          <w:sz w:val="20"/>
          <w:szCs w:val="20"/>
        </w:rPr>
        <w:t xml:space="preserve">, N. K., Santhosh, P., Lekkala, V. K., &amp; Gumudevelli, S. (2024). Scale-up factors in the development and commercial execution of oral solid dosage forms: A current industry perspective. </w:t>
      </w:r>
      <w:r w:rsidRPr="004254D3">
        <w:rPr>
          <w:rStyle w:val="Emphasis"/>
          <w:rFonts w:ascii="Arial" w:hAnsi="Arial" w:cs="Arial"/>
          <w:sz w:val="20"/>
          <w:szCs w:val="20"/>
        </w:rPr>
        <w:t>Journal of Pharmacology and Pharmaceutical Research, 7</w:t>
      </w:r>
      <w:r w:rsidRPr="004254D3">
        <w:rPr>
          <w:rFonts w:ascii="Arial" w:hAnsi="Arial" w:cs="Arial"/>
          <w:sz w:val="20"/>
          <w:szCs w:val="20"/>
        </w:rPr>
        <w:t>(1), 1–14.</w:t>
      </w:r>
    </w:p>
    <w:p w14:paraId="544D1B68"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Montes, L., Rosell, C. M., &amp; Moreira, R. (2022). Rheological properties of corn starch gels with the addition of hydroxypropyl methylcellulose of different viscosities. </w:t>
      </w:r>
      <w:r w:rsidRPr="004254D3">
        <w:rPr>
          <w:rStyle w:val="Emphasis"/>
          <w:rFonts w:ascii="Arial" w:hAnsi="Arial" w:cs="Arial"/>
          <w:sz w:val="20"/>
          <w:szCs w:val="20"/>
        </w:rPr>
        <w:t>Frontiers in Nutrition, 9</w:t>
      </w:r>
      <w:r w:rsidRPr="004254D3">
        <w:rPr>
          <w:rFonts w:ascii="Arial" w:hAnsi="Arial" w:cs="Arial"/>
          <w:sz w:val="20"/>
          <w:szCs w:val="20"/>
        </w:rPr>
        <w:t xml:space="preserve">, 866789. </w:t>
      </w:r>
      <w:proofErr w:type="spellStart"/>
      <w:r w:rsidRPr="004254D3">
        <w:rPr>
          <w:rFonts w:ascii="Arial" w:hAnsi="Arial" w:cs="Arial"/>
          <w:sz w:val="20"/>
          <w:szCs w:val="20"/>
        </w:rPr>
        <w:t>doi:</w:t>
      </w:r>
      <w:hyperlink r:id="rId32"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://doi.org/10.3389/fnut.2022.866789</w:t>
        </w:r>
      </w:hyperlink>
    </w:p>
    <w:p w14:paraId="2D2136D4"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 xml:space="preserve">Rowe, R. C., Sheskey, P. J., Quinn, M. E., &amp; Cook, W. G. (2021). </w:t>
      </w:r>
      <w:r w:rsidRPr="004254D3">
        <w:rPr>
          <w:rStyle w:val="Emphasis"/>
          <w:rFonts w:ascii="Arial" w:hAnsi="Arial" w:cs="Arial"/>
          <w:sz w:val="20"/>
          <w:szCs w:val="20"/>
        </w:rPr>
        <w:t>Handbook of pharmaceutical excipients</w:t>
      </w:r>
      <w:r w:rsidRPr="004254D3">
        <w:rPr>
          <w:rFonts w:ascii="Arial" w:hAnsi="Arial" w:cs="Arial"/>
          <w:sz w:val="20"/>
          <w:szCs w:val="20"/>
        </w:rPr>
        <w:t xml:space="preserve"> (9th ed.). Pharmaceutical Press.</w:t>
      </w:r>
    </w:p>
    <w:p w14:paraId="6E4138E2" w14:textId="77777777" w:rsidR="006F01AF" w:rsidRPr="004254D3" w:rsidRDefault="00B016D5" w:rsidP="00B016D5">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Palem</w:t>
      </w:r>
      <w:r w:rsidR="006F01AF" w:rsidRPr="004254D3">
        <w:rPr>
          <w:rFonts w:ascii="Arial" w:hAnsi="Arial" w:cs="Arial"/>
          <w:sz w:val="20"/>
          <w:szCs w:val="20"/>
        </w:rPr>
        <w:t xml:space="preserve">, </w:t>
      </w:r>
      <w:r w:rsidRPr="004254D3">
        <w:rPr>
          <w:rFonts w:ascii="Arial" w:hAnsi="Arial" w:cs="Arial"/>
          <w:sz w:val="20"/>
          <w:szCs w:val="20"/>
        </w:rPr>
        <w:t>C</w:t>
      </w:r>
      <w:r w:rsidR="006F01AF" w:rsidRPr="004254D3">
        <w:rPr>
          <w:rFonts w:ascii="Arial" w:hAnsi="Arial" w:cs="Arial"/>
          <w:sz w:val="20"/>
          <w:szCs w:val="20"/>
        </w:rPr>
        <w:t xml:space="preserve">. </w:t>
      </w:r>
      <w:r w:rsidRPr="004254D3">
        <w:rPr>
          <w:rFonts w:ascii="Arial" w:hAnsi="Arial" w:cs="Arial"/>
          <w:sz w:val="20"/>
          <w:szCs w:val="20"/>
        </w:rPr>
        <w:t>R</w:t>
      </w:r>
      <w:r w:rsidR="006F01AF" w:rsidRPr="004254D3">
        <w:rPr>
          <w:rFonts w:ascii="Arial" w:hAnsi="Arial" w:cs="Arial"/>
          <w:sz w:val="20"/>
          <w:szCs w:val="20"/>
        </w:rPr>
        <w:t xml:space="preserve">., </w:t>
      </w:r>
      <w:proofErr w:type="spellStart"/>
      <w:r w:rsidR="006F01AF" w:rsidRPr="004254D3">
        <w:rPr>
          <w:rFonts w:ascii="Arial" w:hAnsi="Arial" w:cs="Arial"/>
          <w:sz w:val="20"/>
          <w:szCs w:val="20"/>
        </w:rPr>
        <w:t>Dudhipala</w:t>
      </w:r>
      <w:proofErr w:type="spellEnd"/>
      <w:r w:rsidR="006F01AF" w:rsidRPr="004254D3">
        <w:rPr>
          <w:rFonts w:ascii="Arial" w:hAnsi="Arial" w:cs="Arial"/>
          <w:sz w:val="20"/>
          <w:szCs w:val="20"/>
        </w:rPr>
        <w:t xml:space="preserve">, N. R., Goda, S., &amp; </w:t>
      </w:r>
      <w:proofErr w:type="spellStart"/>
      <w:r w:rsidR="006F01AF" w:rsidRPr="004254D3">
        <w:rPr>
          <w:rFonts w:ascii="Arial" w:hAnsi="Arial" w:cs="Arial"/>
          <w:sz w:val="20"/>
          <w:szCs w:val="20"/>
        </w:rPr>
        <w:t>Pokharkar</w:t>
      </w:r>
      <w:proofErr w:type="spellEnd"/>
      <w:r w:rsidR="006F01AF" w:rsidRPr="004254D3">
        <w:rPr>
          <w:rFonts w:ascii="Arial" w:hAnsi="Arial" w:cs="Arial"/>
          <w:sz w:val="20"/>
          <w:szCs w:val="20"/>
        </w:rPr>
        <w:t xml:space="preserve">, V. B. (2016). Development and optimization of atorvastatin calcium–cyclodextrin inclusion complex oral disintegrating tablets using central composite design. </w:t>
      </w:r>
      <w:r w:rsidR="006F01AF" w:rsidRPr="004254D3">
        <w:rPr>
          <w:rStyle w:val="Emphasis"/>
          <w:rFonts w:ascii="Arial" w:hAnsi="Arial" w:cs="Arial"/>
          <w:sz w:val="20"/>
          <w:szCs w:val="20"/>
        </w:rPr>
        <w:t>International Journal of Pharmaceutical Sciences and Nanotechnology, 9</w:t>
      </w:r>
      <w:r w:rsidR="006F01AF" w:rsidRPr="004254D3">
        <w:rPr>
          <w:rFonts w:ascii="Arial" w:hAnsi="Arial" w:cs="Arial"/>
          <w:sz w:val="20"/>
          <w:szCs w:val="20"/>
        </w:rPr>
        <w:t xml:space="preserve">(2), 3170–3178. </w:t>
      </w:r>
      <w:proofErr w:type="spellStart"/>
      <w:r w:rsidR="006F01AF" w:rsidRPr="004254D3">
        <w:rPr>
          <w:rFonts w:ascii="Arial" w:hAnsi="Arial" w:cs="Arial"/>
          <w:sz w:val="20"/>
          <w:szCs w:val="20"/>
        </w:rPr>
        <w:t>doi:</w:t>
      </w:r>
      <w:hyperlink r:id="rId33" w:tgtFrame="_new" w:history="1">
        <w:r w:rsidR="006F01AF" w:rsidRPr="004254D3">
          <w:rPr>
            <w:rStyle w:val="Hyperlink"/>
            <w:rFonts w:ascii="Arial" w:hAnsi="Arial" w:cs="Arial"/>
            <w:sz w:val="20"/>
            <w:szCs w:val="20"/>
          </w:rPr>
          <w:t>https</w:t>
        </w:r>
        <w:proofErr w:type="spellEnd"/>
        <w:r w:rsidR="006F01AF" w:rsidRPr="004254D3">
          <w:rPr>
            <w:rStyle w:val="Hyperlink"/>
            <w:rFonts w:ascii="Arial" w:hAnsi="Arial" w:cs="Arial"/>
            <w:sz w:val="20"/>
            <w:szCs w:val="20"/>
          </w:rPr>
          <w:t>://doi.org/10.37285/ijpsn.2016.9.2.3</w:t>
        </w:r>
      </w:hyperlink>
    </w:p>
    <w:p w14:paraId="57301615"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sz w:val="20"/>
          <w:szCs w:val="20"/>
        </w:rPr>
      </w:pPr>
      <w:proofErr w:type="spellStart"/>
      <w:r w:rsidRPr="004254D3">
        <w:rPr>
          <w:rFonts w:ascii="Arial" w:hAnsi="Arial" w:cs="Arial"/>
          <w:sz w:val="20"/>
          <w:szCs w:val="20"/>
        </w:rPr>
        <w:t>Thoorens</w:t>
      </w:r>
      <w:proofErr w:type="spellEnd"/>
      <w:r w:rsidRPr="004254D3">
        <w:rPr>
          <w:rFonts w:ascii="Arial" w:hAnsi="Arial" w:cs="Arial"/>
          <w:sz w:val="20"/>
          <w:szCs w:val="20"/>
        </w:rPr>
        <w:t xml:space="preserve">, G., Krier, F., Leclercq, B., Carlin, B., &amp; Evrard, B. (2014). Microcrystalline cellulose, a direct compression binder in a quality by design environment: A review. </w:t>
      </w:r>
      <w:r w:rsidRPr="004254D3">
        <w:rPr>
          <w:rStyle w:val="Emphasis"/>
          <w:rFonts w:ascii="Arial" w:hAnsi="Arial" w:cs="Arial"/>
          <w:sz w:val="20"/>
          <w:szCs w:val="20"/>
        </w:rPr>
        <w:t>International Journal of Pharmaceutics, 473</w:t>
      </w:r>
      <w:r w:rsidRPr="004254D3">
        <w:rPr>
          <w:rFonts w:ascii="Arial" w:hAnsi="Arial" w:cs="Arial"/>
          <w:sz w:val="20"/>
          <w:szCs w:val="20"/>
        </w:rPr>
        <w:t xml:space="preserve">(1–2), 64–72. </w:t>
      </w:r>
      <w:proofErr w:type="spellStart"/>
      <w:r w:rsidRPr="004254D3">
        <w:rPr>
          <w:rFonts w:ascii="Arial" w:hAnsi="Arial" w:cs="Arial"/>
          <w:sz w:val="20"/>
          <w:szCs w:val="20"/>
        </w:rPr>
        <w:t>doi:</w:t>
      </w:r>
      <w:hyperlink r:id="rId34"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://doi.org/10.1016/j.ijpharm.2014.06.055</w:t>
        </w:r>
      </w:hyperlink>
    </w:p>
    <w:p w14:paraId="6ACC17B1" w14:textId="77777777" w:rsidR="006F01AF" w:rsidRPr="004254D3" w:rsidRDefault="006F01AF" w:rsidP="00B016D5">
      <w:pPr>
        <w:pStyle w:val="NormalWeb"/>
        <w:numPr>
          <w:ilvl w:val="0"/>
          <w:numId w:val="23"/>
        </w:numPr>
        <w:tabs>
          <w:tab w:val="clear" w:pos="720"/>
          <w:tab w:val="num" w:pos="1276"/>
        </w:tabs>
        <w:ind w:left="567" w:hanging="425"/>
        <w:jc w:val="both"/>
        <w:rPr>
          <w:rFonts w:ascii="Arial" w:hAnsi="Arial" w:cs="Arial"/>
          <w:vanish/>
          <w:sz w:val="20"/>
          <w:szCs w:val="20"/>
        </w:rPr>
      </w:pPr>
      <w:r w:rsidRPr="004254D3">
        <w:rPr>
          <w:rFonts w:ascii="Arial" w:hAnsi="Arial" w:cs="Arial"/>
          <w:sz w:val="20"/>
          <w:szCs w:val="20"/>
        </w:rPr>
        <w:t xml:space="preserve">Moreira, R., </w:t>
      </w:r>
      <w:proofErr w:type="spellStart"/>
      <w:r w:rsidRPr="004254D3">
        <w:rPr>
          <w:rFonts w:ascii="Arial" w:hAnsi="Arial" w:cs="Arial"/>
          <w:sz w:val="20"/>
          <w:szCs w:val="20"/>
        </w:rPr>
        <w:t>Chenlo</w:t>
      </w:r>
      <w:proofErr w:type="spellEnd"/>
      <w:r w:rsidRPr="004254D3">
        <w:rPr>
          <w:rFonts w:ascii="Arial" w:hAnsi="Arial" w:cs="Arial"/>
          <w:sz w:val="20"/>
          <w:szCs w:val="20"/>
        </w:rPr>
        <w:t xml:space="preserve">, F., Silva, C., &amp; Torres, M. D. (2017). Rheological behaviour of aqueous methylcellulose systems: Effect of concentration, temperature and presence of tragacanth. </w:t>
      </w:r>
      <w:r w:rsidRPr="004254D3">
        <w:rPr>
          <w:rStyle w:val="Emphasis"/>
          <w:rFonts w:ascii="Arial" w:hAnsi="Arial" w:cs="Arial"/>
          <w:sz w:val="20"/>
          <w:szCs w:val="20"/>
        </w:rPr>
        <w:t>LWT – Food Science and Technology, 84</w:t>
      </w:r>
      <w:r w:rsidRPr="004254D3">
        <w:rPr>
          <w:rFonts w:ascii="Arial" w:hAnsi="Arial" w:cs="Arial"/>
          <w:sz w:val="20"/>
          <w:szCs w:val="20"/>
        </w:rPr>
        <w:t xml:space="preserve">, 764–770. </w:t>
      </w:r>
      <w:proofErr w:type="spellStart"/>
      <w:r w:rsidRPr="004254D3">
        <w:rPr>
          <w:rFonts w:ascii="Arial" w:hAnsi="Arial" w:cs="Arial"/>
          <w:sz w:val="20"/>
          <w:szCs w:val="20"/>
        </w:rPr>
        <w:t>doi:</w:t>
      </w:r>
      <w:hyperlink r:id="rId35" w:tgtFrame="_new" w:history="1">
        <w:r w:rsidRPr="004254D3">
          <w:rPr>
            <w:rStyle w:val="Hyperlink"/>
            <w:rFonts w:ascii="Arial" w:hAnsi="Arial" w:cs="Arial"/>
            <w:sz w:val="20"/>
            <w:szCs w:val="20"/>
          </w:rPr>
          <w:t>https</w:t>
        </w:r>
        <w:proofErr w:type="spellEnd"/>
        <w:r w:rsidRPr="004254D3">
          <w:rPr>
            <w:rStyle w:val="Hyperlink"/>
            <w:rFonts w:ascii="Arial" w:hAnsi="Arial" w:cs="Arial"/>
            <w:sz w:val="20"/>
            <w:szCs w:val="20"/>
          </w:rPr>
          <w:t>://doi.org/10.1016/j.lwt.2017.06.050</w:t>
        </w:r>
      </w:hyperlink>
    </w:p>
    <w:p w14:paraId="32B5C901" w14:textId="77777777" w:rsidR="004254D3" w:rsidRPr="004254D3" w:rsidRDefault="004254D3" w:rsidP="004254D3">
      <w:pPr>
        <w:tabs>
          <w:tab w:val="num" w:pos="1276"/>
        </w:tabs>
        <w:spacing w:after="0" w:line="240" w:lineRule="auto"/>
        <w:jc w:val="both"/>
        <w:rPr>
          <w:rFonts w:ascii="Arial" w:hAnsi="Arial" w:cs="Arial"/>
          <w:b/>
          <w:sz w:val="20"/>
          <w:szCs w:val="20"/>
        </w:rPr>
      </w:pPr>
    </w:p>
    <w:p w14:paraId="02ECEDD4" w14:textId="77777777" w:rsidR="004254D3" w:rsidRPr="004254D3" w:rsidRDefault="00B016D5" w:rsidP="004254D3">
      <w:pPr>
        <w:pStyle w:val="NormalWeb"/>
        <w:numPr>
          <w:ilvl w:val="0"/>
          <w:numId w:val="23"/>
        </w:numPr>
        <w:tabs>
          <w:tab w:val="clear" w:pos="720"/>
          <w:tab w:val="num" w:pos="1276"/>
        </w:tabs>
        <w:ind w:left="567" w:hanging="425"/>
        <w:jc w:val="both"/>
        <w:rPr>
          <w:rFonts w:ascii="Arial" w:hAnsi="Arial" w:cs="Arial"/>
          <w:sz w:val="20"/>
          <w:szCs w:val="20"/>
        </w:rPr>
      </w:pPr>
      <w:r w:rsidRPr="004254D3">
        <w:rPr>
          <w:rFonts w:ascii="Arial" w:hAnsi="Arial" w:cs="Arial"/>
          <w:sz w:val="20"/>
          <w:szCs w:val="20"/>
        </w:rPr>
        <w:t>Palem, C. R., Lekkala, V.K., Gumudevelli, S. (2026). Current Industry Perspective on Process Analytical Technique Tools and their Recent Development in Pharmaceutical Oral Solid Dosage Formulations.</w:t>
      </w:r>
      <w:r w:rsidR="004254D3" w:rsidRPr="004254D3">
        <w:rPr>
          <w:rFonts w:ascii="Arial" w:hAnsi="Arial" w:cs="Arial"/>
          <w:sz w:val="20"/>
          <w:szCs w:val="20"/>
        </w:rPr>
        <w:t xml:space="preserve"> Journal of Pharmacy, 6(1), 123-142. </w:t>
      </w:r>
      <w:proofErr w:type="spellStart"/>
      <w:r w:rsidR="004254D3" w:rsidRPr="004254D3">
        <w:rPr>
          <w:rStyle w:val="Hyperlink"/>
          <w:rFonts w:ascii="Arial" w:hAnsi="Arial" w:cs="Arial"/>
          <w:sz w:val="20"/>
          <w:szCs w:val="20"/>
        </w:rPr>
        <w:t>doi</w:t>
      </w:r>
      <w:proofErr w:type="spellEnd"/>
      <w:r w:rsidR="004254D3" w:rsidRPr="004254D3">
        <w:rPr>
          <w:rStyle w:val="Hyperlink"/>
          <w:rFonts w:ascii="Arial" w:hAnsi="Arial" w:cs="Arial"/>
          <w:sz w:val="20"/>
          <w:szCs w:val="20"/>
        </w:rPr>
        <w:t>: https://doi:10.31436/jop.v6i1.373</w:t>
      </w:r>
      <w:r w:rsidR="004254D3" w:rsidRPr="004254D3">
        <w:rPr>
          <w:rFonts w:ascii="Arial" w:hAnsi="Arial" w:cs="Arial"/>
          <w:sz w:val="20"/>
          <w:szCs w:val="20"/>
        </w:rPr>
        <w:t>.</w:t>
      </w:r>
    </w:p>
    <w:sectPr w:rsidR="004254D3" w:rsidRPr="004254D3" w:rsidSect="003E68F3">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B61F4" w14:textId="77777777" w:rsidR="004969A5" w:rsidRDefault="004969A5" w:rsidP="00C451D0">
      <w:pPr>
        <w:spacing w:after="0" w:line="240" w:lineRule="auto"/>
      </w:pPr>
      <w:r>
        <w:separator/>
      </w:r>
    </w:p>
  </w:endnote>
  <w:endnote w:type="continuationSeparator" w:id="0">
    <w:p w14:paraId="386C1A07" w14:textId="77777777" w:rsidR="004969A5" w:rsidRDefault="004969A5" w:rsidP="00C4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AD1A" w14:textId="77777777" w:rsidR="003E68F3" w:rsidRDefault="003E6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44BE" w14:textId="77777777" w:rsidR="003E68F3" w:rsidRDefault="003E6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CA51" w14:textId="3B5645C3" w:rsidR="00CA200D" w:rsidRPr="00870C01" w:rsidRDefault="00CA200D" w:rsidP="00870C0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FB69B" w14:textId="77777777" w:rsidR="004969A5" w:rsidRDefault="004969A5" w:rsidP="00C451D0">
      <w:pPr>
        <w:spacing w:after="0" w:line="240" w:lineRule="auto"/>
      </w:pPr>
      <w:r>
        <w:separator/>
      </w:r>
    </w:p>
  </w:footnote>
  <w:footnote w:type="continuationSeparator" w:id="0">
    <w:p w14:paraId="1A53D8EF" w14:textId="77777777" w:rsidR="004969A5" w:rsidRDefault="004969A5" w:rsidP="00C4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B9E1" w14:textId="6B8CA8AE" w:rsidR="003E68F3" w:rsidRDefault="003E68F3">
    <w:pPr>
      <w:pStyle w:val="Header"/>
    </w:pPr>
    <w:r>
      <w:rPr>
        <w:noProof/>
      </w:rPr>
      <w:pict w14:anchorId="74729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39782" o:spid="_x0000_s2050" type="#_x0000_t136" style="position:absolute;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8D0C" w14:textId="7E966D18" w:rsidR="003E68F3" w:rsidRDefault="003E68F3">
    <w:pPr>
      <w:pStyle w:val="Header"/>
    </w:pPr>
    <w:r>
      <w:rPr>
        <w:noProof/>
      </w:rPr>
      <w:pict w14:anchorId="18E40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39783" o:spid="_x0000_s2051" type="#_x0000_t136" style="position:absolute;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2A50" w14:textId="4F093C78" w:rsidR="003E68F3" w:rsidRDefault="003E68F3">
    <w:pPr>
      <w:pStyle w:val="Header"/>
    </w:pPr>
    <w:r>
      <w:rPr>
        <w:noProof/>
      </w:rPr>
      <w:pict w14:anchorId="2B82A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239781" o:spid="_x0000_s2049" type="#_x0000_t136" style="position:absolute;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F98"/>
    <w:multiLevelType w:val="hybridMultilevel"/>
    <w:tmpl w:val="A14EB8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76588A"/>
    <w:multiLevelType w:val="multilevel"/>
    <w:tmpl w:val="DC54189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2074C1F"/>
    <w:multiLevelType w:val="multilevel"/>
    <w:tmpl w:val="2DCC3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2134F"/>
    <w:multiLevelType w:val="multilevel"/>
    <w:tmpl w:val="C2EA1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713D8"/>
    <w:multiLevelType w:val="hybridMultilevel"/>
    <w:tmpl w:val="005C2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7C6E53"/>
    <w:multiLevelType w:val="multilevel"/>
    <w:tmpl w:val="54E0672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u w:val="none"/>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26C3342"/>
    <w:multiLevelType w:val="multilevel"/>
    <w:tmpl w:val="6A4A1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403E6"/>
    <w:multiLevelType w:val="hybridMultilevel"/>
    <w:tmpl w:val="C75A6BC8"/>
    <w:lvl w:ilvl="0" w:tplc="4D24DB4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FC3074D"/>
    <w:multiLevelType w:val="hybridMultilevel"/>
    <w:tmpl w:val="D8F0094C"/>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3155A57"/>
    <w:multiLevelType w:val="multilevel"/>
    <w:tmpl w:val="25163D08"/>
    <w:lvl w:ilvl="0">
      <w:start w:val="5"/>
      <w:numFmt w:val="decimal"/>
      <w:lvlText w:val="%1"/>
      <w:lvlJc w:val="left"/>
      <w:pPr>
        <w:ind w:left="360" w:hanging="360"/>
      </w:pPr>
      <w:rPr>
        <w:rFonts w:eastAsiaTheme="minorHAnsi" w:hint="default"/>
        <w:b/>
      </w:rPr>
    </w:lvl>
    <w:lvl w:ilvl="1">
      <w:start w:val="1"/>
      <w:numFmt w:val="decimal"/>
      <w:lvlText w:val="%1.%2"/>
      <w:lvlJc w:val="left"/>
      <w:pPr>
        <w:ind w:left="502" w:hanging="360"/>
      </w:pPr>
      <w:rPr>
        <w:rFonts w:eastAsiaTheme="minorHAnsi" w:hint="default"/>
        <w:b/>
      </w:rPr>
    </w:lvl>
    <w:lvl w:ilvl="2">
      <w:start w:val="1"/>
      <w:numFmt w:val="decimal"/>
      <w:lvlText w:val="%1.%2.%3"/>
      <w:lvlJc w:val="left"/>
      <w:pPr>
        <w:ind w:left="1004" w:hanging="720"/>
      </w:pPr>
      <w:rPr>
        <w:rFonts w:eastAsiaTheme="minorHAnsi" w:hint="default"/>
        <w:b/>
      </w:rPr>
    </w:lvl>
    <w:lvl w:ilvl="3">
      <w:start w:val="1"/>
      <w:numFmt w:val="decimal"/>
      <w:lvlText w:val="%1.%2.%3.%4"/>
      <w:lvlJc w:val="left"/>
      <w:pPr>
        <w:ind w:left="1146" w:hanging="720"/>
      </w:pPr>
      <w:rPr>
        <w:rFonts w:eastAsiaTheme="minorHAnsi" w:hint="default"/>
        <w:b/>
      </w:rPr>
    </w:lvl>
    <w:lvl w:ilvl="4">
      <w:start w:val="1"/>
      <w:numFmt w:val="decimal"/>
      <w:lvlText w:val="%1.%2.%3.%4.%5"/>
      <w:lvlJc w:val="left"/>
      <w:pPr>
        <w:ind w:left="1648" w:hanging="1080"/>
      </w:pPr>
      <w:rPr>
        <w:rFonts w:eastAsiaTheme="minorHAnsi" w:hint="default"/>
        <w:b/>
      </w:rPr>
    </w:lvl>
    <w:lvl w:ilvl="5">
      <w:start w:val="1"/>
      <w:numFmt w:val="decimal"/>
      <w:lvlText w:val="%1.%2.%3.%4.%5.%6"/>
      <w:lvlJc w:val="left"/>
      <w:pPr>
        <w:ind w:left="1790" w:hanging="1080"/>
      </w:pPr>
      <w:rPr>
        <w:rFonts w:eastAsiaTheme="minorHAnsi" w:hint="default"/>
        <w:b/>
      </w:rPr>
    </w:lvl>
    <w:lvl w:ilvl="6">
      <w:start w:val="1"/>
      <w:numFmt w:val="decimal"/>
      <w:lvlText w:val="%1.%2.%3.%4.%5.%6.%7"/>
      <w:lvlJc w:val="left"/>
      <w:pPr>
        <w:ind w:left="2292" w:hanging="1440"/>
      </w:pPr>
      <w:rPr>
        <w:rFonts w:eastAsiaTheme="minorHAnsi" w:hint="default"/>
        <w:b/>
      </w:rPr>
    </w:lvl>
    <w:lvl w:ilvl="7">
      <w:start w:val="1"/>
      <w:numFmt w:val="decimal"/>
      <w:lvlText w:val="%1.%2.%3.%4.%5.%6.%7.%8"/>
      <w:lvlJc w:val="left"/>
      <w:pPr>
        <w:ind w:left="2434" w:hanging="1440"/>
      </w:pPr>
      <w:rPr>
        <w:rFonts w:eastAsiaTheme="minorHAnsi" w:hint="default"/>
        <w:b/>
      </w:rPr>
    </w:lvl>
    <w:lvl w:ilvl="8">
      <w:start w:val="1"/>
      <w:numFmt w:val="decimal"/>
      <w:lvlText w:val="%1.%2.%3.%4.%5.%6.%7.%8.%9"/>
      <w:lvlJc w:val="left"/>
      <w:pPr>
        <w:ind w:left="2936" w:hanging="1800"/>
      </w:pPr>
      <w:rPr>
        <w:rFonts w:eastAsiaTheme="minorHAnsi" w:hint="default"/>
        <w:b/>
      </w:rPr>
    </w:lvl>
  </w:abstractNum>
  <w:abstractNum w:abstractNumId="10" w15:restartNumberingAfterBreak="0">
    <w:nsid w:val="37AC7BE0"/>
    <w:multiLevelType w:val="multilevel"/>
    <w:tmpl w:val="F4D29F7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3D5348DE"/>
    <w:multiLevelType w:val="hybridMultilevel"/>
    <w:tmpl w:val="CFDE0562"/>
    <w:lvl w:ilvl="0" w:tplc="F44239DE">
      <w:start w:val="1"/>
      <w:numFmt w:val="decimal"/>
      <w:lvlText w:val="%1."/>
      <w:lvlJc w:val="left"/>
      <w:pPr>
        <w:ind w:left="502" w:hanging="360"/>
      </w:pPr>
      <w:rPr>
        <w:rFonts w:hint="default"/>
        <w:b/>
        <w:sz w:val="22"/>
      </w:rPr>
    </w:lvl>
    <w:lvl w:ilvl="1" w:tplc="40090019">
      <w:start w:val="1"/>
      <w:numFmt w:val="lowerLetter"/>
      <w:lvlText w:val="%2."/>
      <w:lvlJc w:val="left"/>
      <w:pPr>
        <w:ind w:left="1222" w:hanging="360"/>
      </w:pPr>
    </w:lvl>
    <w:lvl w:ilvl="2" w:tplc="4009001B">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15:restartNumberingAfterBreak="0">
    <w:nsid w:val="41C610E6"/>
    <w:multiLevelType w:val="multilevel"/>
    <w:tmpl w:val="CF941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D3CBD"/>
    <w:multiLevelType w:val="multilevel"/>
    <w:tmpl w:val="B486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73FF0"/>
    <w:multiLevelType w:val="multilevel"/>
    <w:tmpl w:val="1A00CCFC"/>
    <w:lvl w:ilvl="0">
      <w:start w:val="1"/>
      <w:numFmt w:val="decimal"/>
      <w:lvlText w:val="%1"/>
      <w:lvlJc w:val="left"/>
      <w:pPr>
        <w:ind w:left="480" w:hanging="480"/>
      </w:pPr>
      <w:rPr>
        <w:rFonts w:hint="default"/>
        <w:b/>
      </w:rPr>
    </w:lvl>
    <w:lvl w:ilvl="1">
      <w:start w:val="1"/>
      <w:numFmt w:val="decimal"/>
      <w:lvlText w:val="%1.%2"/>
      <w:lvlJc w:val="left"/>
      <w:pPr>
        <w:ind w:left="1020" w:hanging="480"/>
      </w:pPr>
      <w:rPr>
        <w:rFonts w:hint="default"/>
        <w:b/>
      </w:rPr>
    </w:lvl>
    <w:lvl w:ilvl="2">
      <w:start w:val="3"/>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5" w15:restartNumberingAfterBreak="0">
    <w:nsid w:val="53837E4C"/>
    <w:multiLevelType w:val="multilevel"/>
    <w:tmpl w:val="F822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70E18"/>
    <w:multiLevelType w:val="multilevel"/>
    <w:tmpl w:val="E59C3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B160B"/>
    <w:multiLevelType w:val="multilevel"/>
    <w:tmpl w:val="9FA2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06913"/>
    <w:multiLevelType w:val="hybridMultilevel"/>
    <w:tmpl w:val="A1441D2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762068F6"/>
    <w:multiLevelType w:val="multilevel"/>
    <w:tmpl w:val="FBAA5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D42916"/>
    <w:multiLevelType w:val="multilevel"/>
    <w:tmpl w:val="C860C81C"/>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1" w15:restartNumberingAfterBreak="0">
    <w:nsid w:val="7BD74D45"/>
    <w:multiLevelType w:val="multilevel"/>
    <w:tmpl w:val="6FE65512"/>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674DE8"/>
    <w:multiLevelType w:val="hybridMultilevel"/>
    <w:tmpl w:val="BDCCBE14"/>
    <w:lvl w:ilvl="0" w:tplc="3A6A543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2"/>
  </w:num>
  <w:num w:numId="2">
    <w:abstractNumId w:val="8"/>
  </w:num>
  <w:num w:numId="3">
    <w:abstractNumId w:val="10"/>
  </w:num>
  <w:num w:numId="4">
    <w:abstractNumId w:val="13"/>
  </w:num>
  <w:num w:numId="5">
    <w:abstractNumId w:val="17"/>
  </w:num>
  <w:num w:numId="6">
    <w:abstractNumId w:val="15"/>
  </w:num>
  <w:num w:numId="7">
    <w:abstractNumId w:val="6"/>
  </w:num>
  <w:num w:numId="8">
    <w:abstractNumId w:val="16"/>
  </w:num>
  <w:num w:numId="9">
    <w:abstractNumId w:val="18"/>
  </w:num>
  <w:num w:numId="10">
    <w:abstractNumId w:val="2"/>
  </w:num>
  <w:num w:numId="11">
    <w:abstractNumId w:val="3"/>
  </w:num>
  <w:num w:numId="12">
    <w:abstractNumId w:val="19"/>
  </w:num>
  <w:num w:numId="13">
    <w:abstractNumId w:val="12"/>
  </w:num>
  <w:num w:numId="14">
    <w:abstractNumId w:val="0"/>
  </w:num>
  <w:num w:numId="15">
    <w:abstractNumId w:val="14"/>
  </w:num>
  <w:num w:numId="16">
    <w:abstractNumId w:val="7"/>
  </w:num>
  <w:num w:numId="17">
    <w:abstractNumId w:val="4"/>
  </w:num>
  <w:num w:numId="18">
    <w:abstractNumId w:val="11"/>
  </w:num>
  <w:num w:numId="19">
    <w:abstractNumId w:val="1"/>
  </w:num>
  <w:num w:numId="20">
    <w:abstractNumId w:val="20"/>
  </w:num>
  <w:num w:numId="21">
    <w:abstractNumId w:val="9"/>
  </w:num>
  <w:num w:numId="22">
    <w:abstractNumId w:val="5"/>
  </w:num>
  <w:num w:numId="2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D9"/>
    <w:rsid w:val="000030EF"/>
    <w:rsid w:val="000218A4"/>
    <w:rsid w:val="00021A0D"/>
    <w:rsid w:val="00064BFB"/>
    <w:rsid w:val="00064C3B"/>
    <w:rsid w:val="00071317"/>
    <w:rsid w:val="00075BA9"/>
    <w:rsid w:val="00080238"/>
    <w:rsid w:val="00080A25"/>
    <w:rsid w:val="00081514"/>
    <w:rsid w:val="00085891"/>
    <w:rsid w:val="00090581"/>
    <w:rsid w:val="000971F8"/>
    <w:rsid w:val="000A46F2"/>
    <w:rsid w:val="000A4A84"/>
    <w:rsid w:val="000A6E2C"/>
    <w:rsid w:val="000B5584"/>
    <w:rsid w:val="000C246E"/>
    <w:rsid w:val="000C70D9"/>
    <w:rsid w:val="000D253A"/>
    <w:rsid w:val="000D30BF"/>
    <w:rsid w:val="000D43AD"/>
    <w:rsid w:val="000D4DFC"/>
    <w:rsid w:val="000E4655"/>
    <w:rsid w:val="000F0303"/>
    <w:rsid w:val="000F0EF2"/>
    <w:rsid w:val="000F6AD7"/>
    <w:rsid w:val="00101B09"/>
    <w:rsid w:val="001074E6"/>
    <w:rsid w:val="00110DB5"/>
    <w:rsid w:val="001172D7"/>
    <w:rsid w:val="00120A62"/>
    <w:rsid w:val="00125087"/>
    <w:rsid w:val="001274C3"/>
    <w:rsid w:val="00127E1E"/>
    <w:rsid w:val="00127FD5"/>
    <w:rsid w:val="00141DED"/>
    <w:rsid w:val="0014692F"/>
    <w:rsid w:val="001476CF"/>
    <w:rsid w:val="00150946"/>
    <w:rsid w:val="00151879"/>
    <w:rsid w:val="00152F30"/>
    <w:rsid w:val="00156560"/>
    <w:rsid w:val="00167FEA"/>
    <w:rsid w:val="00170399"/>
    <w:rsid w:val="00180B87"/>
    <w:rsid w:val="00181181"/>
    <w:rsid w:val="001928C2"/>
    <w:rsid w:val="00194135"/>
    <w:rsid w:val="00194CDF"/>
    <w:rsid w:val="001A4F87"/>
    <w:rsid w:val="001B287C"/>
    <w:rsid w:val="001B49A3"/>
    <w:rsid w:val="001B6475"/>
    <w:rsid w:val="001C678A"/>
    <w:rsid w:val="001C6860"/>
    <w:rsid w:val="001D09F0"/>
    <w:rsid w:val="001D6D36"/>
    <w:rsid w:val="001F46AA"/>
    <w:rsid w:val="00202A75"/>
    <w:rsid w:val="00221E63"/>
    <w:rsid w:val="00225266"/>
    <w:rsid w:val="002315FB"/>
    <w:rsid w:val="0024441C"/>
    <w:rsid w:val="00254415"/>
    <w:rsid w:val="00254A9E"/>
    <w:rsid w:val="00257249"/>
    <w:rsid w:val="0026505E"/>
    <w:rsid w:val="002750A3"/>
    <w:rsid w:val="00277BA4"/>
    <w:rsid w:val="00282B2A"/>
    <w:rsid w:val="0028708A"/>
    <w:rsid w:val="002974A9"/>
    <w:rsid w:val="002A0115"/>
    <w:rsid w:val="002A0F0F"/>
    <w:rsid w:val="002B1F10"/>
    <w:rsid w:val="002B6709"/>
    <w:rsid w:val="002B78D0"/>
    <w:rsid w:val="002C0FB5"/>
    <w:rsid w:val="002C486E"/>
    <w:rsid w:val="002D5240"/>
    <w:rsid w:val="002E7F3F"/>
    <w:rsid w:val="002F0E0A"/>
    <w:rsid w:val="002F120F"/>
    <w:rsid w:val="00302C62"/>
    <w:rsid w:val="00312156"/>
    <w:rsid w:val="00317402"/>
    <w:rsid w:val="00323F4F"/>
    <w:rsid w:val="00340435"/>
    <w:rsid w:val="00340607"/>
    <w:rsid w:val="00342143"/>
    <w:rsid w:val="0035125A"/>
    <w:rsid w:val="00354284"/>
    <w:rsid w:val="00373118"/>
    <w:rsid w:val="0037694C"/>
    <w:rsid w:val="00382494"/>
    <w:rsid w:val="003858FA"/>
    <w:rsid w:val="00390367"/>
    <w:rsid w:val="0039038B"/>
    <w:rsid w:val="00390A01"/>
    <w:rsid w:val="003A1695"/>
    <w:rsid w:val="003A7569"/>
    <w:rsid w:val="003C0E85"/>
    <w:rsid w:val="003C2F44"/>
    <w:rsid w:val="003C4262"/>
    <w:rsid w:val="003D236F"/>
    <w:rsid w:val="003D738B"/>
    <w:rsid w:val="003D7D81"/>
    <w:rsid w:val="003E1AEE"/>
    <w:rsid w:val="003E68F3"/>
    <w:rsid w:val="003F0373"/>
    <w:rsid w:val="003F37E1"/>
    <w:rsid w:val="003F4E69"/>
    <w:rsid w:val="00414B08"/>
    <w:rsid w:val="00422602"/>
    <w:rsid w:val="004254D3"/>
    <w:rsid w:val="004264D6"/>
    <w:rsid w:val="004270DB"/>
    <w:rsid w:val="004379EF"/>
    <w:rsid w:val="00444868"/>
    <w:rsid w:val="00463D68"/>
    <w:rsid w:val="004654AE"/>
    <w:rsid w:val="00471F42"/>
    <w:rsid w:val="00485FC6"/>
    <w:rsid w:val="00491908"/>
    <w:rsid w:val="004951EF"/>
    <w:rsid w:val="004969A5"/>
    <w:rsid w:val="004A4022"/>
    <w:rsid w:val="004D4CF6"/>
    <w:rsid w:val="004E284F"/>
    <w:rsid w:val="004E28AB"/>
    <w:rsid w:val="004E7751"/>
    <w:rsid w:val="004E7B93"/>
    <w:rsid w:val="004F135D"/>
    <w:rsid w:val="005003B7"/>
    <w:rsid w:val="0050766C"/>
    <w:rsid w:val="00517683"/>
    <w:rsid w:val="00523614"/>
    <w:rsid w:val="00535FA5"/>
    <w:rsid w:val="00540EA2"/>
    <w:rsid w:val="00545742"/>
    <w:rsid w:val="005530AB"/>
    <w:rsid w:val="005701D8"/>
    <w:rsid w:val="00580345"/>
    <w:rsid w:val="005823C9"/>
    <w:rsid w:val="005934C7"/>
    <w:rsid w:val="005A0B91"/>
    <w:rsid w:val="005A1A27"/>
    <w:rsid w:val="005B0638"/>
    <w:rsid w:val="005C1F82"/>
    <w:rsid w:val="005C4457"/>
    <w:rsid w:val="005D0B50"/>
    <w:rsid w:val="005D29EA"/>
    <w:rsid w:val="005E36B6"/>
    <w:rsid w:val="005E6D9E"/>
    <w:rsid w:val="005F01E6"/>
    <w:rsid w:val="005F7625"/>
    <w:rsid w:val="0061172D"/>
    <w:rsid w:val="00614906"/>
    <w:rsid w:val="00614D39"/>
    <w:rsid w:val="00614E9E"/>
    <w:rsid w:val="00616205"/>
    <w:rsid w:val="00617E6C"/>
    <w:rsid w:val="00620DF1"/>
    <w:rsid w:val="00643442"/>
    <w:rsid w:val="00645943"/>
    <w:rsid w:val="00651A2B"/>
    <w:rsid w:val="00651E30"/>
    <w:rsid w:val="00652065"/>
    <w:rsid w:val="00660DFC"/>
    <w:rsid w:val="00664110"/>
    <w:rsid w:val="00666B35"/>
    <w:rsid w:val="006B25B4"/>
    <w:rsid w:val="006C4A54"/>
    <w:rsid w:val="006C59F1"/>
    <w:rsid w:val="006C5E18"/>
    <w:rsid w:val="006D3526"/>
    <w:rsid w:val="006E7DA0"/>
    <w:rsid w:val="006F01AF"/>
    <w:rsid w:val="007222D9"/>
    <w:rsid w:val="00723321"/>
    <w:rsid w:val="00725659"/>
    <w:rsid w:val="00732058"/>
    <w:rsid w:val="007330C2"/>
    <w:rsid w:val="00741C86"/>
    <w:rsid w:val="00752728"/>
    <w:rsid w:val="00752F33"/>
    <w:rsid w:val="00756141"/>
    <w:rsid w:val="00765C30"/>
    <w:rsid w:val="0076619E"/>
    <w:rsid w:val="00767733"/>
    <w:rsid w:val="00791136"/>
    <w:rsid w:val="007A3FD6"/>
    <w:rsid w:val="007B10DB"/>
    <w:rsid w:val="007D0223"/>
    <w:rsid w:val="007E3300"/>
    <w:rsid w:val="007F07CF"/>
    <w:rsid w:val="007F0F65"/>
    <w:rsid w:val="007F3C52"/>
    <w:rsid w:val="00814176"/>
    <w:rsid w:val="008145DC"/>
    <w:rsid w:val="00824B18"/>
    <w:rsid w:val="00835952"/>
    <w:rsid w:val="00850AB8"/>
    <w:rsid w:val="008570B8"/>
    <w:rsid w:val="00857438"/>
    <w:rsid w:val="00870C01"/>
    <w:rsid w:val="00873C09"/>
    <w:rsid w:val="00884E3C"/>
    <w:rsid w:val="00897237"/>
    <w:rsid w:val="008A1678"/>
    <w:rsid w:val="008B683F"/>
    <w:rsid w:val="008C319C"/>
    <w:rsid w:val="008D4D4F"/>
    <w:rsid w:val="008E17E7"/>
    <w:rsid w:val="008E2BFA"/>
    <w:rsid w:val="008E2C38"/>
    <w:rsid w:val="008E3CA2"/>
    <w:rsid w:val="008F5DCC"/>
    <w:rsid w:val="008F69A3"/>
    <w:rsid w:val="00910FA3"/>
    <w:rsid w:val="0091348F"/>
    <w:rsid w:val="0091432E"/>
    <w:rsid w:val="0091596C"/>
    <w:rsid w:val="009237C7"/>
    <w:rsid w:val="00924687"/>
    <w:rsid w:val="0092508D"/>
    <w:rsid w:val="009261C4"/>
    <w:rsid w:val="009320C3"/>
    <w:rsid w:val="00933309"/>
    <w:rsid w:val="0093447E"/>
    <w:rsid w:val="0093680A"/>
    <w:rsid w:val="009424AD"/>
    <w:rsid w:val="0094570E"/>
    <w:rsid w:val="00945D23"/>
    <w:rsid w:val="00950134"/>
    <w:rsid w:val="0095310D"/>
    <w:rsid w:val="00965135"/>
    <w:rsid w:val="009676CB"/>
    <w:rsid w:val="0097113A"/>
    <w:rsid w:val="00976B29"/>
    <w:rsid w:val="00981453"/>
    <w:rsid w:val="009919DB"/>
    <w:rsid w:val="00992A1E"/>
    <w:rsid w:val="009A0B45"/>
    <w:rsid w:val="009C0C96"/>
    <w:rsid w:val="009D17BA"/>
    <w:rsid w:val="009D68A0"/>
    <w:rsid w:val="009F0B71"/>
    <w:rsid w:val="009F4B3F"/>
    <w:rsid w:val="009F64F3"/>
    <w:rsid w:val="009F7C7F"/>
    <w:rsid w:val="00A00FBF"/>
    <w:rsid w:val="00A02882"/>
    <w:rsid w:val="00A41644"/>
    <w:rsid w:val="00A41FED"/>
    <w:rsid w:val="00A46C49"/>
    <w:rsid w:val="00A50ACF"/>
    <w:rsid w:val="00A54F08"/>
    <w:rsid w:val="00A61AD8"/>
    <w:rsid w:val="00A640F0"/>
    <w:rsid w:val="00A65E1F"/>
    <w:rsid w:val="00A722E4"/>
    <w:rsid w:val="00A747B7"/>
    <w:rsid w:val="00A80691"/>
    <w:rsid w:val="00A84F36"/>
    <w:rsid w:val="00A947FB"/>
    <w:rsid w:val="00A957C8"/>
    <w:rsid w:val="00A966FF"/>
    <w:rsid w:val="00A977DF"/>
    <w:rsid w:val="00AA6A6A"/>
    <w:rsid w:val="00AB173D"/>
    <w:rsid w:val="00AB386D"/>
    <w:rsid w:val="00AE50B1"/>
    <w:rsid w:val="00AF59E1"/>
    <w:rsid w:val="00B016D5"/>
    <w:rsid w:val="00B01F2A"/>
    <w:rsid w:val="00B1163C"/>
    <w:rsid w:val="00B128E8"/>
    <w:rsid w:val="00B26594"/>
    <w:rsid w:val="00B373EF"/>
    <w:rsid w:val="00B40FEF"/>
    <w:rsid w:val="00B53EDA"/>
    <w:rsid w:val="00B65404"/>
    <w:rsid w:val="00B67EC2"/>
    <w:rsid w:val="00B7167A"/>
    <w:rsid w:val="00B73C04"/>
    <w:rsid w:val="00BA13A7"/>
    <w:rsid w:val="00BA2E4F"/>
    <w:rsid w:val="00BB5B86"/>
    <w:rsid w:val="00BC15BD"/>
    <w:rsid w:val="00BC2EC0"/>
    <w:rsid w:val="00BC3609"/>
    <w:rsid w:val="00BD1371"/>
    <w:rsid w:val="00BD5873"/>
    <w:rsid w:val="00BD5E50"/>
    <w:rsid w:val="00BE242C"/>
    <w:rsid w:val="00BE3006"/>
    <w:rsid w:val="00BF46E9"/>
    <w:rsid w:val="00C05544"/>
    <w:rsid w:val="00C177A1"/>
    <w:rsid w:val="00C27521"/>
    <w:rsid w:val="00C34097"/>
    <w:rsid w:val="00C36C50"/>
    <w:rsid w:val="00C42722"/>
    <w:rsid w:val="00C44228"/>
    <w:rsid w:val="00C451D0"/>
    <w:rsid w:val="00C605E6"/>
    <w:rsid w:val="00C74DBB"/>
    <w:rsid w:val="00C85C0C"/>
    <w:rsid w:val="00C864D8"/>
    <w:rsid w:val="00C924D6"/>
    <w:rsid w:val="00C942E7"/>
    <w:rsid w:val="00C95273"/>
    <w:rsid w:val="00CA200D"/>
    <w:rsid w:val="00CA204A"/>
    <w:rsid w:val="00CA5ADB"/>
    <w:rsid w:val="00CA63E3"/>
    <w:rsid w:val="00CB47A7"/>
    <w:rsid w:val="00CC2A38"/>
    <w:rsid w:val="00CC38C6"/>
    <w:rsid w:val="00CC5C3A"/>
    <w:rsid w:val="00CE1938"/>
    <w:rsid w:val="00CE4C03"/>
    <w:rsid w:val="00CF2FFA"/>
    <w:rsid w:val="00CF7777"/>
    <w:rsid w:val="00D0053C"/>
    <w:rsid w:val="00D101A6"/>
    <w:rsid w:val="00D17695"/>
    <w:rsid w:val="00D3036C"/>
    <w:rsid w:val="00D32200"/>
    <w:rsid w:val="00D364B5"/>
    <w:rsid w:val="00D45B7E"/>
    <w:rsid w:val="00D47ECF"/>
    <w:rsid w:val="00D536B7"/>
    <w:rsid w:val="00D60B5F"/>
    <w:rsid w:val="00D620F2"/>
    <w:rsid w:val="00D670A0"/>
    <w:rsid w:val="00D77452"/>
    <w:rsid w:val="00D81F85"/>
    <w:rsid w:val="00D84BA1"/>
    <w:rsid w:val="00D85917"/>
    <w:rsid w:val="00D9102E"/>
    <w:rsid w:val="00D9196E"/>
    <w:rsid w:val="00D925FA"/>
    <w:rsid w:val="00DA09F7"/>
    <w:rsid w:val="00DA1368"/>
    <w:rsid w:val="00DA1793"/>
    <w:rsid w:val="00DA55BE"/>
    <w:rsid w:val="00DB4B20"/>
    <w:rsid w:val="00DD46AF"/>
    <w:rsid w:val="00DE1161"/>
    <w:rsid w:val="00DE1D5C"/>
    <w:rsid w:val="00DE6D5B"/>
    <w:rsid w:val="00DE7A51"/>
    <w:rsid w:val="00DF4410"/>
    <w:rsid w:val="00E02E10"/>
    <w:rsid w:val="00E1795C"/>
    <w:rsid w:val="00E30905"/>
    <w:rsid w:val="00E3260E"/>
    <w:rsid w:val="00E335E7"/>
    <w:rsid w:val="00E372BE"/>
    <w:rsid w:val="00E40399"/>
    <w:rsid w:val="00E41FA4"/>
    <w:rsid w:val="00E43ECF"/>
    <w:rsid w:val="00E476B4"/>
    <w:rsid w:val="00E5061D"/>
    <w:rsid w:val="00E52C2F"/>
    <w:rsid w:val="00E55CE5"/>
    <w:rsid w:val="00E622C8"/>
    <w:rsid w:val="00E6235E"/>
    <w:rsid w:val="00E81A3C"/>
    <w:rsid w:val="00E833E6"/>
    <w:rsid w:val="00E935C1"/>
    <w:rsid w:val="00EB6711"/>
    <w:rsid w:val="00EC1A4F"/>
    <w:rsid w:val="00EC768F"/>
    <w:rsid w:val="00ED6E6F"/>
    <w:rsid w:val="00EE29E2"/>
    <w:rsid w:val="00EF422C"/>
    <w:rsid w:val="00EF71C5"/>
    <w:rsid w:val="00F05159"/>
    <w:rsid w:val="00F053AA"/>
    <w:rsid w:val="00F0622E"/>
    <w:rsid w:val="00F208AD"/>
    <w:rsid w:val="00F411C7"/>
    <w:rsid w:val="00F46C92"/>
    <w:rsid w:val="00F47E09"/>
    <w:rsid w:val="00F56E82"/>
    <w:rsid w:val="00F6003E"/>
    <w:rsid w:val="00F631CC"/>
    <w:rsid w:val="00F71B21"/>
    <w:rsid w:val="00F80FF7"/>
    <w:rsid w:val="00F849F6"/>
    <w:rsid w:val="00F879DF"/>
    <w:rsid w:val="00F97E17"/>
    <w:rsid w:val="00FA0D16"/>
    <w:rsid w:val="00FA5524"/>
    <w:rsid w:val="00FB2203"/>
    <w:rsid w:val="00FB3474"/>
    <w:rsid w:val="00FB3529"/>
    <w:rsid w:val="00FB6C95"/>
    <w:rsid w:val="00FC4AA5"/>
    <w:rsid w:val="00FE0399"/>
    <w:rsid w:val="00FE2984"/>
    <w:rsid w:val="00FE5D45"/>
    <w:rsid w:val="00FE61CB"/>
    <w:rsid w:val="00FE6E87"/>
    <w:rsid w:val="00FF38DC"/>
    <w:rsid w:val="00FF6248"/>
    <w:rsid w:val="00FF69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F98E9E"/>
  <w15:chartTrackingRefBased/>
  <w15:docId w15:val="{5F616DD0-C766-45E6-8E49-38666A36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0D9"/>
  </w:style>
  <w:style w:type="paragraph" w:styleId="Heading1">
    <w:name w:val="heading 1"/>
    <w:basedOn w:val="Normal"/>
    <w:link w:val="Heading1Char"/>
    <w:uiPriority w:val="9"/>
    <w:qFormat/>
    <w:rsid w:val="004D4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617E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2A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2E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9F0"/>
    <w:rPr>
      <w:color w:val="0563C1" w:themeColor="hyperlink"/>
      <w:u w:val="single"/>
    </w:rPr>
  </w:style>
  <w:style w:type="character" w:styleId="FollowedHyperlink">
    <w:name w:val="FollowedHyperlink"/>
    <w:basedOn w:val="DefaultParagraphFont"/>
    <w:uiPriority w:val="99"/>
    <w:semiHidden/>
    <w:unhideWhenUsed/>
    <w:rsid w:val="001D09F0"/>
    <w:rPr>
      <w:color w:val="954F72" w:themeColor="followedHyperlink"/>
      <w:u w:val="single"/>
    </w:rPr>
  </w:style>
  <w:style w:type="paragraph" w:styleId="ListParagraph">
    <w:name w:val="List Paragraph"/>
    <w:basedOn w:val="Normal"/>
    <w:uiPriority w:val="34"/>
    <w:qFormat/>
    <w:rsid w:val="0091596C"/>
    <w:pPr>
      <w:ind w:left="720"/>
      <w:contextualSpacing/>
    </w:pPr>
  </w:style>
  <w:style w:type="paragraph" w:styleId="BalloonText">
    <w:name w:val="Balloon Text"/>
    <w:basedOn w:val="Normal"/>
    <w:link w:val="BalloonTextChar"/>
    <w:uiPriority w:val="99"/>
    <w:semiHidden/>
    <w:unhideWhenUsed/>
    <w:rsid w:val="002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E0A"/>
    <w:rPr>
      <w:rFonts w:ascii="Segoe UI" w:hAnsi="Segoe UI" w:cs="Segoe UI"/>
      <w:sz w:val="18"/>
      <w:szCs w:val="18"/>
    </w:rPr>
  </w:style>
  <w:style w:type="character" w:customStyle="1" w:styleId="Heading1Char">
    <w:name w:val="Heading 1 Char"/>
    <w:basedOn w:val="DefaultParagraphFont"/>
    <w:link w:val="Heading1"/>
    <w:uiPriority w:val="9"/>
    <w:rsid w:val="004D4CF6"/>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4D4CF6"/>
  </w:style>
  <w:style w:type="character" w:customStyle="1" w:styleId="Heading2Char">
    <w:name w:val="Heading 2 Char"/>
    <w:basedOn w:val="DefaultParagraphFont"/>
    <w:link w:val="Heading2"/>
    <w:uiPriority w:val="9"/>
    <w:rsid w:val="00617E6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194CDF"/>
    <w:rPr>
      <w:i/>
      <w:iCs/>
    </w:rPr>
  </w:style>
  <w:style w:type="paragraph" w:styleId="NormalWeb">
    <w:name w:val="Normal (Web)"/>
    <w:basedOn w:val="Normal"/>
    <w:uiPriority w:val="99"/>
    <w:unhideWhenUsed/>
    <w:rsid w:val="00194C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202A7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02A75"/>
    <w:rPr>
      <w:b/>
      <w:bCs/>
    </w:rPr>
  </w:style>
  <w:style w:type="character" w:customStyle="1" w:styleId="Heading4Char">
    <w:name w:val="Heading 4 Char"/>
    <w:basedOn w:val="DefaultParagraphFont"/>
    <w:link w:val="Heading4"/>
    <w:uiPriority w:val="9"/>
    <w:semiHidden/>
    <w:rsid w:val="00E02E10"/>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A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F0F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oduct-specs">
    <w:name w:val="product-specs"/>
    <w:basedOn w:val="DefaultParagraphFont"/>
    <w:rsid w:val="007D0223"/>
  </w:style>
  <w:style w:type="paragraph" w:styleId="Header">
    <w:name w:val="header"/>
    <w:basedOn w:val="Normal"/>
    <w:link w:val="HeaderChar"/>
    <w:uiPriority w:val="99"/>
    <w:unhideWhenUsed/>
    <w:rsid w:val="00500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3B7"/>
  </w:style>
  <w:style w:type="paragraph" w:styleId="NoSpacing">
    <w:name w:val="No Spacing"/>
    <w:uiPriority w:val="1"/>
    <w:qFormat/>
    <w:rsid w:val="005003B7"/>
    <w:pPr>
      <w:spacing w:after="0" w:line="240" w:lineRule="auto"/>
      <w:jc w:val="both"/>
    </w:pPr>
    <w:rPr>
      <w:rFonts w:ascii="Palatino Linotype" w:eastAsia="SimSun" w:hAnsi="Palatino Linotype" w:cs="Times New Roman"/>
      <w:noProof/>
      <w:color w:val="000000"/>
      <w:sz w:val="20"/>
      <w:szCs w:val="20"/>
      <w:lang w:val="en-US" w:eastAsia="zh-CN"/>
    </w:rPr>
  </w:style>
  <w:style w:type="paragraph" w:customStyle="1" w:styleId="Author">
    <w:name w:val="Author"/>
    <w:basedOn w:val="Normal"/>
    <w:rsid w:val="008D4D4F"/>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8D4D4F"/>
    <w:pPr>
      <w:spacing w:after="240" w:line="240" w:lineRule="auto"/>
      <w:jc w:val="both"/>
    </w:pPr>
    <w:rPr>
      <w:rFonts w:ascii="Helvetica" w:eastAsia="Times New Roman" w:hAnsi="Helvetica" w:cs="Times New Roman"/>
      <w:sz w:val="20"/>
      <w:szCs w:val="20"/>
      <w:lang w:val="en-US"/>
    </w:rPr>
  </w:style>
  <w:style w:type="paragraph" w:styleId="Footer">
    <w:name w:val="footer"/>
    <w:basedOn w:val="Normal"/>
    <w:link w:val="FooterChar"/>
    <w:uiPriority w:val="99"/>
    <w:unhideWhenUsed/>
    <w:rsid w:val="008D4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D4F"/>
  </w:style>
  <w:style w:type="character" w:styleId="LineNumber">
    <w:name w:val="line number"/>
    <w:basedOn w:val="DefaultParagraphFont"/>
    <w:uiPriority w:val="99"/>
    <w:semiHidden/>
    <w:unhideWhenUsed/>
    <w:rsid w:val="0091432E"/>
  </w:style>
  <w:style w:type="character" w:styleId="UnresolvedMention">
    <w:name w:val="Unresolved Mention"/>
    <w:basedOn w:val="DefaultParagraphFont"/>
    <w:uiPriority w:val="99"/>
    <w:semiHidden/>
    <w:unhideWhenUsed/>
    <w:rsid w:val="00732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1288">
      <w:bodyDiv w:val="1"/>
      <w:marLeft w:val="0"/>
      <w:marRight w:val="0"/>
      <w:marTop w:val="0"/>
      <w:marBottom w:val="0"/>
      <w:divBdr>
        <w:top w:val="none" w:sz="0" w:space="0" w:color="auto"/>
        <w:left w:val="none" w:sz="0" w:space="0" w:color="auto"/>
        <w:bottom w:val="none" w:sz="0" w:space="0" w:color="auto"/>
        <w:right w:val="none" w:sz="0" w:space="0" w:color="auto"/>
      </w:divBdr>
    </w:div>
    <w:div w:id="105734156">
      <w:bodyDiv w:val="1"/>
      <w:marLeft w:val="0"/>
      <w:marRight w:val="0"/>
      <w:marTop w:val="0"/>
      <w:marBottom w:val="0"/>
      <w:divBdr>
        <w:top w:val="none" w:sz="0" w:space="0" w:color="auto"/>
        <w:left w:val="none" w:sz="0" w:space="0" w:color="auto"/>
        <w:bottom w:val="none" w:sz="0" w:space="0" w:color="auto"/>
        <w:right w:val="none" w:sz="0" w:space="0" w:color="auto"/>
      </w:divBdr>
    </w:div>
    <w:div w:id="122433994">
      <w:bodyDiv w:val="1"/>
      <w:marLeft w:val="0"/>
      <w:marRight w:val="0"/>
      <w:marTop w:val="0"/>
      <w:marBottom w:val="0"/>
      <w:divBdr>
        <w:top w:val="none" w:sz="0" w:space="0" w:color="auto"/>
        <w:left w:val="none" w:sz="0" w:space="0" w:color="auto"/>
        <w:bottom w:val="none" w:sz="0" w:space="0" w:color="auto"/>
        <w:right w:val="none" w:sz="0" w:space="0" w:color="auto"/>
      </w:divBdr>
    </w:div>
    <w:div w:id="165751130">
      <w:bodyDiv w:val="1"/>
      <w:marLeft w:val="0"/>
      <w:marRight w:val="0"/>
      <w:marTop w:val="0"/>
      <w:marBottom w:val="0"/>
      <w:divBdr>
        <w:top w:val="none" w:sz="0" w:space="0" w:color="auto"/>
        <w:left w:val="none" w:sz="0" w:space="0" w:color="auto"/>
        <w:bottom w:val="none" w:sz="0" w:space="0" w:color="auto"/>
        <w:right w:val="none" w:sz="0" w:space="0" w:color="auto"/>
      </w:divBdr>
    </w:div>
    <w:div w:id="194774177">
      <w:bodyDiv w:val="1"/>
      <w:marLeft w:val="0"/>
      <w:marRight w:val="0"/>
      <w:marTop w:val="0"/>
      <w:marBottom w:val="0"/>
      <w:divBdr>
        <w:top w:val="none" w:sz="0" w:space="0" w:color="auto"/>
        <w:left w:val="none" w:sz="0" w:space="0" w:color="auto"/>
        <w:bottom w:val="none" w:sz="0" w:space="0" w:color="auto"/>
        <w:right w:val="none" w:sz="0" w:space="0" w:color="auto"/>
      </w:divBdr>
    </w:div>
    <w:div w:id="226573577">
      <w:bodyDiv w:val="1"/>
      <w:marLeft w:val="0"/>
      <w:marRight w:val="0"/>
      <w:marTop w:val="0"/>
      <w:marBottom w:val="0"/>
      <w:divBdr>
        <w:top w:val="none" w:sz="0" w:space="0" w:color="auto"/>
        <w:left w:val="none" w:sz="0" w:space="0" w:color="auto"/>
        <w:bottom w:val="none" w:sz="0" w:space="0" w:color="auto"/>
        <w:right w:val="none" w:sz="0" w:space="0" w:color="auto"/>
      </w:divBdr>
    </w:div>
    <w:div w:id="229389625">
      <w:bodyDiv w:val="1"/>
      <w:marLeft w:val="0"/>
      <w:marRight w:val="0"/>
      <w:marTop w:val="0"/>
      <w:marBottom w:val="0"/>
      <w:divBdr>
        <w:top w:val="none" w:sz="0" w:space="0" w:color="auto"/>
        <w:left w:val="none" w:sz="0" w:space="0" w:color="auto"/>
        <w:bottom w:val="none" w:sz="0" w:space="0" w:color="auto"/>
        <w:right w:val="none" w:sz="0" w:space="0" w:color="auto"/>
      </w:divBdr>
    </w:div>
    <w:div w:id="238486952">
      <w:bodyDiv w:val="1"/>
      <w:marLeft w:val="0"/>
      <w:marRight w:val="0"/>
      <w:marTop w:val="0"/>
      <w:marBottom w:val="0"/>
      <w:divBdr>
        <w:top w:val="none" w:sz="0" w:space="0" w:color="auto"/>
        <w:left w:val="none" w:sz="0" w:space="0" w:color="auto"/>
        <w:bottom w:val="none" w:sz="0" w:space="0" w:color="auto"/>
        <w:right w:val="none" w:sz="0" w:space="0" w:color="auto"/>
      </w:divBdr>
    </w:div>
    <w:div w:id="244269569">
      <w:bodyDiv w:val="1"/>
      <w:marLeft w:val="0"/>
      <w:marRight w:val="0"/>
      <w:marTop w:val="0"/>
      <w:marBottom w:val="0"/>
      <w:divBdr>
        <w:top w:val="none" w:sz="0" w:space="0" w:color="auto"/>
        <w:left w:val="none" w:sz="0" w:space="0" w:color="auto"/>
        <w:bottom w:val="none" w:sz="0" w:space="0" w:color="auto"/>
        <w:right w:val="none" w:sz="0" w:space="0" w:color="auto"/>
      </w:divBdr>
    </w:div>
    <w:div w:id="330261034">
      <w:bodyDiv w:val="1"/>
      <w:marLeft w:val="0"/>
      <w:marRight w:val="0"/>
      <w:marTop w:val="0"/>
      <w:marBottom w:val="0"/>
      <w:divBdr>
        <w:top w:val="none" w:sz="0" w:space="0" w:color="auto"/>
        <w:left w:val="none" w:sz="0" w:space="0" w:color="auto"/>
        <w:bottom w:val="none" w:sz="0" w:space="0" w:color="auto"/>
        <w:right w:val="none" w:sz="0" w:space="0" w:color="auto"/>
      </w:divBdr>
    </w:div>
    <w:div w:id="353728180">
      <w:bodyDiv w:val="1"/>
      <w:marLeft w:val="0"/>
      <w:marRight w:val="0"/>
      <w:marTop w:val="0"/>
      <w:marBottom w:val="0"/>
      <w:divBdr>
        <w:top w:val="none" w:sz="0" w:space="0" w:color="auto"/>
        <w:left w:val="none" w:sz="0" w:space="0" w:color="auto"/>
        <w:bottom w:val="none" w:sz="0" w:space="0" w:color="auto"/>
        <w:right w:val="none" w:sz="0" w:space="0" w:color="auto"/>
      </w:divBdr>
    </w:div>
    <w:div w:id="359431218">
      <w:bodyDiv w:val="1"/>
      <w:marLeft w:val="0"/>
      <w:marRight w:val="0"/>
      <w:marTop w:val="0"/>
      <w:marBottom w:val="0"/>
      <w:divBdr>
        <w:top w:val="none" w:sz="0" w:space="0" w:color="auto"/>
        <w:left w:val="none" w:sz="0" w:space="0" w:color="auto"/>
        <w:bottom w:val="none" w:sz="0" w:space="0" w:color="auto"/>
        <w:right w:val="none" w:sz="0" w:space="0" w:color="auto"/>
      </w:divBdr>
    </w:div>
    <w:div w:id="381907639">
      <w:bodyDiv w:val="1"/>
      <w:marLeft w:val="0"/>
      <w:marRight w:val="0"/>
      <w:marTop w:val="0"/>
      <w:marBottom w:val="0"/>
      <w:divBdr>
        <w:top w:val="none" w:sz="0" w:space="0" w:color="auto"/>
        <w:left w:val="none" w:sz="0" w:space="0" w:color="auto"/>
        <w:bottom w:val="none" w:sz="0" w:space="0" w:color="auto"/>
        <w:right w:val="none" w:sz="0" w:space="0" w:color="auto"/>
      </w:divBdr>
      <w:divsChild>
        <w:div w:id="260383470">
          <w:marLeft w:val="0"/>
          <w:marRight w:val="0"/>
          <w:marTop w:val="0"/>
          <w:marBottom w:val="0"/>
          <w:divBdr>
            <w:top w:val="none" w:sz="0" w:space="0" w:color="auto"/>
            <w:left w:val="none" w:sz="0" w:space="0" w:color="auto"/>
            <w:bottom w:val="none" w:sz="0" w:space="0" w:color="auto"/>
            <w:right w:val="none" w:sz="0" w:space="0" w:color="auto"/>
          </w:divBdr>
          <w:divsChild>
            <w:div w:id="1346051555">
              <w:marLeft w:val="0"/>
              <w:marRight w:val="0"/>
              <w:marTop w:val="0"/>
              <w:marBottom w:val="0"/>
              <w:divBdr>
                <w:top w:val="none" w:sz="0" w:space="0" w:color="auto"/>
                <w:left w:val="none" w:sz="0" w:space="0" w:color="auto"/>
                <w:bottom w:val="none" w:sz="0" w:space="0" w:color="auto"/>
                <w:right w:val="none" w:sz="0" w:space="0" w:color="auto"/>
              </w:divBdr>
              <w:divsChild>
                <w:div w:id="2081636292">
                  <w:marLeft w:val="0"/>
                  <w:marRight w:val="0"/>
                  <w:marTop w:val="0"/>
                  <w:marBottom w:val="0"/>
                  <w:divBdr>
                    <w:top w:val="none" w:sz="0" w:space="0" w:color="auto"/>
                    <w:left w:val="none" w:sz="0" w:space="0" w:color="auto"/>
                    <w:bottom w:val="none" w:sz="0" w:space="0" w:color="auto"/>
                    <w:right w:val="none" w:sz="0" w:space="0" w:color="auto"/>
                  </w:divBdr>
                  <w:divsChild>
                    <w:div w:id="824053978">
                      <w:marLeft w:val="0"/>
                      <w:marRight w:val="0"/>
                      <w:marTop w:val="0"/>
                      <w:marBottom w:val="0"/>
                      <w:divBdr>
                        <w:top w:val="none" w:sz="0" w:space="0" w:color="auto"/>
                        <w:left w:val="none" w:sz="0" w:space="0" w:color="auto"/>
                        <w:bottom w:val="none" w:sz="0" w:space="0" w:color="auto"/>
                        <w:right w:val="none" w:sz="0" w:space="0" w:color="auto"/>
                      </w:divBdr>
                      <w:divsChild>
                        <w:div w:id="1140925660">
                          <w:marLeft w:val="0"/>
                          <w:marRight w:val="0"/>
                          <w:marTop w:val="0"/>
                          <w:marBottom w:val="0"/>
                          <w:divBdr>
                            <w:top w:val="none" w:sz="0" w:space="0" w:color="auto"/>
                            <w:left w:val="none" w:sz="0" w:space="0" w:color="auto"/>
                            <w:bottom w:val="none" w:sz="0" w:space="0" w:color="auto"/>
                            <w:right w:val="none" w:sz="0" w:space="0" w:color="auto"/>
                          </w:divBdr>
                          <w:divsChild>
                            <w:div w:id="12193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147262">
      <w:bodyDiv w:val="1"/>
      <w:marLeft w:val="0"/>
      <w:marRight w:val="0"/>
      <w:marTop w:val="0"/>
      <w:marBottom w:val="0"/>
      <w:divBdr>
        <w:top w:val="none" w:sz="0" w:space="0" w:color="auto"/>
        <w:left w:val="none" w:sz="0" w:space="0" w:color="auto"/>
        <w:bottom w:val="none" w:sz="0" w:space="0" w:color="auto"/>
        <w:right w:val="none" w:sz="0" w:space="0" w:color="auto"/>
      </w:divBdr>
      <w:divsChild>
        <w:div w:id="1838882600">
          <w:marLeft w:val="0"/>
          <w:marRight w:val="0"/>
          <w:marTop w:val="0"/>
          <w:marBottom w:val="0"/>
          <w:divBdr>
            <w:top w:val="none" w:sz="0" w:space="0" w:color="auto"/>
            <w:left w:val="none" w:sz="0" w:space="0" w:color="auto"/>
            <w:bottom w:val="none" w:sz="0" w:space="0" w:color="auto"/>
            <w:right w:val="none" w:sz="0" w:space="0" w:color="auto"/>
          </w:divBdr>
          <w:divsChild>
            <w:div w:id="53285592">
              <w:marLeft w:val="0"/>
              <w:marRight w:val="0"/>
              <w:marTop w:val="0"/>
              <w:marBottom w:val="0"/>
              <w:divBdr>
                <w:top w:val="none" w:sz="0" w:space="0" w:color="auto"/>
                <w:left w:val="none" w:sz="0" w:space="0" w:color="auto"/>
                <w:bottom w:val="none" w:sz="0" w:space="0" w:color="auto"/>
                <w:right w:val="none" w:sz="0" w:space="0" w:color="auto"/>
              </w:divBdr>
            </w:div>
          </w:divsChild>
        </w:div>
        <w:div w:id="256671286">
          <w:marLeft w:val="0"/>
          <w:marRight w:val="0"/>
          <w:marTop w:val="0"/>
          <w:marBottom w:val="0"/>
          <w:divBdr>
            <w:top w:val="none" w:sz="0" w:space="0" w:color="auto"/>
            <w:left w:val="none" w:sz="0" w:space="0" w:color="auto"/>
            <w:bottom w:val="none" w:sz="0" w:space="0" w:color="auto"/>
            <w:right w:val="none" w:sz="0" w:space="0" w:color="auto"/>
          </w:divBdr>
          <w:divsChild>
            <w:div w:id="12096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9998">
      <w:bodyDiv w:val="1"/>
      <w:marLeft w:val="0"/>
      <w:marRight w:val="0"/>
      <w:marTop w:val="0"/>
      <w:marBottom w:val="0"/>
      <w:divBdr>
        <w:top w:val="none" w:sz="0" w:space="0" w:color="auto"/>
        <w:left w:val="none" w:sz="0" w:space="0" w:color="auto"/>
        <w:bottom w:val="none" w:sz="0" w:space="0" w:color="auto"/>
        <w:right w:val="none" w:sz="0" w:space="0" w:color="auto"/>
      </w:divBdr>
    </w:div>
    <w:div w:id="419106303">
      <w:bodyDiv w:val="1"/>
      <w:marLeft w:val="0"/>
      <w:marRight w:val="0"/>
      <w:marTop w:val="0"/>
      <w:marBottom w:val="0"/>
      <w:divBdr>
        <w:top w:val="none" w:sz="0" w:space="0" w:color="auto"/>
        <w:left w:val="none" w:sz="0" w:space="0" w:color="auto"/>
        <w:bottom w:val="none" w:sz="0" w:space="0" w:color="auto"/>
        <w:right w:val="none" w:sz="0" w:space="0" w:color="auto"/>
      </w:divBdr>
    </w:div>
    <w:div w:id="438526803">
      <w:bodyDiv w:val="1"/>
      <w:marLeft w:val="0"/>
      <w:marRight w:val="0"/>
      <w:marTop w:val="0"/>
      <w:marBottom w:val="0"/>
      <w:divBdr>
        <w:top w:val="none" w:sz="0" w:space="0" w:color="auto"/>
        <w:left w:val="none" w:sz="0" w:space="0" w:color="auto"/>
        <w:bottom w:val="none" w:sz="0" w:space="0" w:color="auto"/>
        <w:right w:val="none" w:sz="0" w:space="0" w:color="auto"/>
      </w:divBdr>
    </w:div>
    <w:div w:id="446894671">
      <w:bodyDiv w:val="1"/>
      <w:marLeft w:val="0"/>
      <w:marRight w:val="0"/>
      <w:marTop w:val="0"/>
      <w:marBottom w:val="0"/>
      <w:divBdr>
        <w:top w:val="none" w:sz="0" w:space="0" w:color="auto"/>
        <w:left w:val="none" w:sz="0" w:space="0" w:color="auto"/>
        <w:bottom w:val="none" w:sz="0" w:space="0" w:color="auto"/>
        <w:right w:val="none" w:sz="0" w:space="0" w:color="auto"/>
      </w:divBdr>
    </w:div>
    <w:div w:id="464666795">
      <w:bodyDiv w:val="1"/>
      <w:marLeft w:val="0"/>
      <w:marRight w:val="0"/>
      <w:marTop w:val="0"/>
      <w:marBottom w:val="0"/>
      <w:divBdr>
        <w:top w:val="none" w:sz="0" w:space="0" w:color="auto"/>
        <w:left w:val="none" w:sz="0" w:space="0" w:color="auto"/>
        <w:bottom w:val="none" w:sz="0" w:space="0" w:color="auto"/>
        <w:right w:val="none" w:sz="0" w:space="0" w:color="auto"/>
      </w:divBdr>
    </w:div>
    <w:div w:id="511454142">
      <w:bodyDiv w:val="1"/>
      <w:marLeft w:val="0"/>
      <w:marRight w:val="0"/>
      <w:marTop w:val="0"/>
      <w:marBottom w:val="0"/>
      <w:divBdr>
        <w:top w:val="none" w:sz="0" w:space="0" w:color="auto"/>
        <w:left w:val="none" w:sz="0" w:space="0" w:color="auto"/>
        <w:bottom w:val="none" w:sz="0" w:space="0" w:color="auto"/>
        <w:right w:val="none" w:sz="0" w:space="0" w:color="auto"/>
      </w:divBdr>
    </w:div>
    <w:div w:id="518392428">
      <w:bodyDiv w:val="1"/>
      <w:marLeft w:val="0"/>
      <w:marRight w:val="0"/>
      <w:marTop w:val="0"/>
      <w:marBottom w:val="0"/>
      <w:divBdr>
        <w:top w:val="none" w:sz="0" w:space="0" w:color="auto"/>
        <w:left w:val="none" w:sz="0" w:space="0" w:color="auto"/>
        <w:bottom w:val="none" w:sz="0" w:space="0" w:color="auto"/>
        <w:right w:val="none" w:sz="0" w:space="0" w:color="auto"/>
      </w:divBdr>
    </w:div>
    <w:div w:id="541013961">
      <w:bodyDiv w:val="1"/>
      <w:marLeft w:val="0"/>
      <w:marRight w:val="0"/>
      <w:marTop w:val="0"/>
      <w:marBottom w:val="0"/>
      <w:divBdr>
        <w:top w:val="none" w:sz="0" w:space="0" w:color="auto"/>
        <w:left w:val="none" w:sz="0" w:space="0" w:color="auto"/>
        <w:bottom w:val="none" w:sz="0" w:space="0" w:color="auto"/>
        <w:right w:val="none" w:sz="0" w:space="0" w:color="auto"/>
      </w:divBdr>
    </w:div>
    <w:div w:id="555706818">
      <w:bodyDiv w:val="1"/>
      <w:marLeft w:val="0"/>
      <w:marRight w:val="0"/>
      <w:marTop w:val="0"/>
      <w:marBottom w:val="0"/>
      <w:divBdr>
        <w:top w:val="none" w:sz="0" w:space="0" w:color="auto"/>
        <w:left w:val="none" w:sz="0" w:space="0" w:color="auto"/>
        <w:bottom w:val="none" w:sz="0" w:space="0" w:color="auto"/>
        <w:right w:val="none" w:sz="0" w:space="0" w:color="auto"/>
      </w:divBdr>
    </w:div>
    <w:div w:id="575750010">
      <w:bodyDiv w:val="1"/>
      <w:marLeft w:val="0"/>
      <w:marRight w:val="0"/>
      <w:marTop w:val="0"/>
      <w:marBottom w:val="0"/>
      <w:divBdr>
        <w:top w:val="none" w:sz="0" w:space="0" w:color="auto"/>
        <w:left w:val="none" w:sz="0" w:space="0" w:color="auto"/>
        <w:bottom w:val="none" w:sz="0" w:space="0" w:color="auto"/>
        <w:right w:val="none" w:sz="0" w:space="0" w:color="auto"/>
      </w:divBdr>
    </w:div>
    <w:div w:id="606350184">
      <w:bodyDiv w:val="1"/>
      <w:marLeft w:val="0"/>
      <w:marRight w:val="0"/>
      <w:marTop w:val="0"/>
      <w:marBottom w:val="0"/>
      <w:divBdr>
        <w:top w:val="none" w:sz="0" w:space="0" w:color="auto"/>
        <w:left w:val="none" w:sz="0" w:space="0" w:color="auto"/>
        <w:bottom w:val="none" w:sz="0" w:space="0" w:color="auto"/>
        <w:right w:val="none" w:sz="0" w:space="0" w:color="auto"/>
      </w:divBdr>
    </w:div>
    <w:div w:id="636489957">
      <w:bodyDiv w:val="1"/>
      <w:marLeft w:val="0"/>
      <w:marRight w:val="0"/>
      <w:marTop w:val="0"/>
      <w:marBottom w:val="0"/>
      <w:divBdr>
        <w:top w:val="none" w:sz="0" w:space="0" w:color="auto"/>
        <w:left w:val="none" w:sz="0" w:space="0" w:color="auto"/>
        <w:bottom w:val="none" w:sz="0" w:space="0" w:color="auto"/>
        <w:right w:val="none" w:sz="0" w:space="0" w:color="auto"/>
      </w:divBdr>
    </w:div>
    <w:div w:id="655843152">
      <w:bodyDiv w:val="1"/>
      <w:marLeft w:val="0"/>
      <w:marRight w:val="0"/>
      <w:marTop w:val="0"/>
      <w:marBottom w:val="0"/>
      <w:divBdr>
        <w:top w:val="none" w:sz="0" w:space="0" w:color="auto"/>
        <w:left w:val="none" w:sz="0" w:space="0" w:color="auto"/>
        <w:bottom w:val="none" w:sz="0" w:space="0" w:color="auto"/>
        <w:right w:val="none" w:sz="0" w:space="0" w:color="auto"/>
      </w:divBdr>
    </w:div>
    <w:div w:id="677805380">
      <w:bodyDiv w:val="1"/>
      <w:marLeft w:val="0"/>
      <w:marRight w:val="0"/>
      <w:marTop w:val="0"/>
      <w:marBottom w:val="0"/>
      <w:divBdr>
        <w:top w:val="none" w:sz="0" w:space="0" w:color="auto"/>
        <w:left w:val="none" w:sz="0" w:space="0" w:color="auto"/>
        <w:bottom w:val="none" w:sz="0" w:space="0" w:color="auto"/>
        <w:right w:val="none" w:sz="0" w:space="0" w:color="auto"/>
      </w:divBdr>
    </w:div>
    <w:div w:id="682129887">
      <w:bodyDiv w:val="1"/>
      <w:marLeft w:val="0"/>
      <w:marRight w:val="0"/>
      <w:marTop w:val="0"/>
      <w:marBottom w:val="0"/>
      <w:divBdr>
        <w:top w:val="none" w:sz="0" w:space="0" w:color="auto"/>
        <w:left w:val="none" w:sz="0" w:space="0" w:color="auto"/>
        <w:bottom w:val="none" w:sz="0" w:space="0" w:color="auto"/>
        <w:right w:val="none" w:sz="0" w:space="0" w:color="auto"/>
      </w:divBdr>
      <w:divsChild>
        <w:div w:id="741756110">
          <w:marLeft w:val="0"/>
          <w:marRight w:val="0"/>
          <w:marTop w:val="0"/>
          <w:marBottom w:val="0"/>
          <w:divBdr>
            <w:top w:val="none" w:sz="0" w:space="0" w:color="auto"/>
            <w:left w:val="none" w:sz="0" w:space="0" w:color="auto"/>
            <w:bottom w:val="none" w:sz="0" w:space="0" w:color="auto"/>
            <w:right w:val="none" w:sz="0" w:space="0" w:color="auto"/>
          </w:divBdr>
          <w:divsChild>
            <w:div w:id="3398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4018">
      <w:bodyDiv w:val="1"/>
      <w:marLeft w:val="0"/>
      <w:marRight w:val="0"/>
      <w:marTop w:val="0"/>
      <w:marBottom w:val="0"/>
      <w:divBdr>
        <w:top w:val="none" w:sz="0" w:space="0" w:color="auto"/>
        <w:left w:val="none" w:sz="0" w:space="0" w:color="auto"/>
        <w:bottom w:val="none" w:sz="0" w:space="0" w:color="auto"/>
        <w:right w:val="none" w:sz="0" w:space="0" w:color="auto"/>
      </w:divBdr>
    </w:div>
    <w:div w:id="714307988">
      <w:bodyDiv w:val="1"/>
      <w:marLeft w:val="0"/>
      <w:marRight w:val="0"/>
      <w:marTop w:val="0"/>
      <w:marBottom w:val="0"/>
      <w:divBdr>
        <w:top w:val="none" w:sz="0" w:space="0" w:color="auto"/>
        <w:left w:val="none" w:sz="0" w:space="0" w:color="auto"/>
        <w:bottom w:val="none" w:sz="0" w:space="0" w:color="auto"/>
        <w:right w:val="none" w:sz="0" w:space="0" w:color="auto"/>
      </w:divBdr>
    </w:div>
    <w:div w:id="722874090">
      <w:bodyDiv w:val="1"/>
      <w:marLeft w:val="0"/>
      <w:marRight w:val="0"/>
      <w:marTop w:val="0"/>
      <w:marBottom w:val="0"/>
      <w:divBdr>
        <w:top w:val="none" w:sz="0" w:space="0" w:color="auto"/>
        <w:left w:val="none" w:sz="0" w:space="0" w:color="auto"/>
        <w:bottom w:val="none" w:sz="0" w:space="0" w:color="auto"/>
        <w:right w:val="none" w:sz="0" w:space="0" w:color="auto"/>
      </w:divBdr>
    </w:div>
    <w:div w:id="762459350">
      <w:bodyDiv w:val="1"/>
      <w:marLeft w:val="0"/>
      <w:marRight w:val="0"/>
      <w:marTop w:val="0"/>
      <w:marBottom w:val="0"/>
      <w:divBdr>
        <w:top w:val="none" w:sz="0" w:space="0" w:color="auto"/>
        <w:left w:val="none" w:sz="0" w:space="0" w:color="auto"/>
        <w:bottom w:val="none" w:sz="0" w:space="0" w:color="auto"/>
        <w:right w:val="none" w:sz="0" w:space="0" w:color="auto"/>
      </w:divBdr>
    </w:div>
    <w:div w:id="790128191">
      <w:bodyDiv w:val="1"/>
      <w:marLeft w:val="0"/>
      <w:marRight w:val="0"/>
      <w:marTop w:val="0"/>
      <w:marBottom w:val="0"/>
      <w:divBdr>
        <w:top w:val="none" w:sz="0" w:space="0" w:color="auto"/>
        <w:left w:val="none" w:sz="0" w:space="0" w:color="auto"/>
        <w:bottom w:val="none" w:sz="0" w:space="0" w:color="auto"/>
        <w:right w:val="none" w:sz="0" w:space="0" w:color="auto"/>
      </w:divBdr>
    </w:div>
    <w:div w:id="794450888">
      <w:bodyDiv w:val="1"/>
      <w:marLeft w:val="0"/>
      <w:marRight w:val="0"/>
      <w:marTop w:val="0"/>
      <w:marBottom w:val="0"/>
      <w:divBdr>
        <w:top w:val="none" w:sz="0" w:space="0" w:color="auto"/>
        <w:left w:val="none" w:sz="0" w:space="0" w:color="auto"/>
        <w:bottom w:val="none" w:sz="0" w:space="0" w:color="auto"/>
        <w:right w:val="none" w:sz="0" w:space="0" w:color="auto"/>
      </w:divBdr>
    </w:div>
    <w:div w:id="798382306">
      <w:bodyDiv w:val="1"/>
      <w:marLeft w:val="0"/>
      <w:marRight w:val="0"/>
      <w:marTop w:val="0"/>
      <w:marBottom w:val="0"/>
      <w:divBdr>
        <w:top w:val="none" w:sz="0" w:space="0" w:color="auto"/>
        <w:left w:val="none" w:sz="0" w:space="0" w:color="auto"/>
        <w:bottom w:val="none" w:sz="0" w:space="0" w:color="auto"/>
        <w:right w:val="none" w:sz="0" w:space="0" w:color="auto"/>
      </w:divBdr>
    </w:div>
    <w:div w:id="820733113">
      <w:bodyDiv w:val="1"/>
      <w:marLeft w:val="0"/>
      <w:marRight w:val="0"/>
      <w:marTop w:val="0"/>
      <w:marBottom w:val="0"/>
      <w:divBdr>
        <w:top w:val="none" w:sz="0" w:space="0" w:color="auto"/>
        <w:left w:val="none" w:sz="0" w:space="0" w:color="auto"/>
        <w:bottom w:val="none" w:sz="0" w:space="0" w:color="auto"/>
        <w:right w:val="none" w:sz="0" w:space="0" w:color="auto"/>
      </w:divBdr>
    </w:div>
    <w:div w:id="832645180">
      <w:bodyDiv w:val="1"/>
      <w:marLeft w:val="0"/>
      <w:marRight w:val="0"/>
      <w:marTop w:val="0"/>
      <w:marBottom w:val="0"/>
      <w:divBdr>
        <w:top w:val="none" w:sz="0" w:space="0" w:color="auto"/>
        <w:left w:val="none" w:sz="0" w:space="0" w:color="auto"/>
        <w:bottom w:val="none" w:sz="0" w:space="0" w:color="auto"/>
        <w:right w:val="none" w:sz="0" w:space="0" w:color="auto"/>
      </w:divBdr>
    </w:div>
    <w:div w:id="879050239">
      <w:bodyDiv w:val="1"/>
      <w:marLeft w:val="0"/>
      <w:marRight w:val="0"/>
      <w:marTop w:val="0"/>
      <w:marBottom w:val="0"/>
      <w:divBdr>
        <w:top w:val="none" w:sz="0" w:space="0" w:color="auto"/>
        <w:left w:val="none" w:sz="0" w:space="0" w:color="auto"/>
        <w:bottom w:val="none" w:sz="0" w:space="0" w:color="auto"/>
        <w:right w:val="none" w:sz="0" w:space="0" w:color="auto"/>
      </w:divBdr>
      <w:divsChild>
        <w:div w:id="1891265628">
          <w:marLeft w:val="0"/>
          <w:marRight w:val="0"/>
          <w:marTop w:val="0"/>
          <w:marBottom w:val="0"/>
          <w:divBdr>
            <w:top w:val="none" w:sz="0" w:space="0" w:color="auto"/>
            <w:left w:val="none" w:sz="0" w:space="0" w:color="auto"/>
            <w:bottom w:val="none" w:sz="0" w:space="0" w:color="auto"/>
            <w:right w:val="none" w:sz="0" w:space="0" w:color="auto"/>
          </w:divBdr>
          <w:divsChild>
            <w:div w:id="9782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9033">
      <w:bodyDiv w:val="1"/>
      <w:marLeft w:val="0"/>
      <w:marRight w:val="0"/>
      <w:marTop w:val="0"/>
      <w:marBottom w:val="0"/>
      <w:divBdr>
        <w:top w:val="none" w:sz="0" w:space="0" w:color="auto"/>
        <w:left w:val="none" w:sz="0" w:space="0" w:color="auto"/>
        <w:bottom w:val="none" w:sz="0" w:space="0" w:color="auto"/>
        <w:right w:val="none" w:sz="0" w:space="0" w:color="auto"/>
      </w:divBdr>
    </w:div>
    <w:div w:id="915627999">
      <w:bodyDiv w:val="1"/>
      <w:marLeft w:val="0"/>
      <w:marRight w:val="0"/>
      <w:marTop w:val="0"/>
      <w:marBottom w:val="0"/>
      <w:divBdr>
        <w:top w:val="none" w:sz="0" w:space="0" w:color="auto"/>
        <w:left w:val="none" w:sz="0" w:space="0" w:color="auto"/>
        <w:bottom w:val="none" w:sz="0" w:space="0" w:color="auto"/>
        <w:right w:val="none" w:sz="0" w:space="0" w:color="auto"/>
      </w:divBdr>
    </w:div>
    <w:div w:id="934049144">
      <w:bodyDiv w:val="1"/>
      <w:marLeft w:val="0"/>
      <w:marRight w:val="0"/>
      <w:marTop w:val="0"/>
      <w:marBottom w:val="0"/>
      <w:divBdr>
        <w:top w:val="none" w:sz="0" w:space="0" w:color="auto"/>
        <w:left w:val="none" w:sz="0" w:space="0" w:color="auto"/>
        <w:bottom w:val="none" w:sz="0" w:space="0" w:color="auto"/>
        <w:right w:val="none" w:sz="0" w:space="0" w:color="auto"/>
      </w:divBdr>
    </w:div>
    <w:div w:id="959065865">
      <w:bodyDiv w:val="1"/>
      <w:marLeft w:val="0"/>
      <w:marRight w:val="0"/>
      <w:marTop w:val="0"/>
      <w:marBottom w:val="0"/>
      <w:divBdr>
        <w:top w:val="none" w:sz="0" w:space="0" w:color="auto"/>
        <w:left w:val="none" w:sz="0" w:space="0" w:color="auto"/>
        <w:bottom w:val="none" w:sz="0" w:space="0" w:color="auto"/>
        <w:right w:val="none" w:sz="0" w:space="0" w:color="auto"/>
      </w:divBdr>
    </w:div>
    <w:div w:id="985666300">
      <w:bodyDiv w:val="1"/>
      <w:marLeft w:val="0"/>
      <w:marRight w:val="0"/>
      <w:marTop w:val="0"/>
      <w:marBottom w:val="0"/>
      <w:divBdr>
        <w:top w:val="none" w:sz="0" w:space="0" w:color="auto"/>
        <w:left w:val="none" w:sz="0" w:space="0" w:color="auto"/>
        <w:bottom w:val="none" w:sz="0" w:space="0" w:color="auto"/>
        <w:right w:val="none" w:sz="0" w:space="0" w:color="auto"/>
      </w:divBdr>
    </w:div>
    <w:div w:id="1020857378">
      <w:bodyDiv w:val="1"/>
      <w:marLeft w:val="0"/>
      <w:marRight w:val="0"/>
      <w:marTop w:val="0"/>
      <w:marBottom w:val="0"/>
      <w:divBdr>
        <w:top w:val="none" w:sz="0" w:space="0" w:color="auto"/>
        <w:left w:val="none" w:sz="0" w:space="0" w:color="auto"/>
        <w:bottom w:val="none" w:sz="0" w:space="0" w:color="auto"/>
        <w:right w:val="none" w:sz="0" w:space="0" w:color="auto"/>
      </w:divBdr>
    </w:div>
    <w:div w:id="1049303680">
      <w:bodyDiv w:val="1"/>
      <w:marLeft w:val="0"/>
      <w:marRight w:val="0"/>
      <w:marTop w:val="0"/>
      <w:marBottom w:val="0"/>
      <w:divBdr>
        <w:top w:val="none" w:sz="0" w:space="0" w:color="auto"/>
        <w:left w:val="none" w:sz="0" w:space="0" w:color="auto"/>
        <w:bottom w:val="none" w:sz="0" w:space="0" w:color="auto"/>
        <w:right w:val="none" w:sz="0" w:space="0" w:color="auto"/>
      </w:divBdr>
    </w:div>
    <w:div w:id="1089690878">
      <w:bodyDiv w:val="1"/>
      <w:marLeft w:val="0"/>
      <w:marRight w:val="0"/>
      <w:marTop w:val="0"/>
      <w:marBottom w:val="0"/>
      <w:divBdr>
        <w:top w:val="none" w:sz="0" w:space="0" w:color="auto"/>
        <w:left w:val="none" w:sz="0" w:space="0" w:color="auto"/>
        <w:bottom w:val="none" w:sz="0" w:space="0" w:color="auto"/>
        <w:right w:val="none" w:sz="0" w:space="0" w:color="auto"/>
      </w:divBdr>
    </w:div>
    <w:div w:id="1103574962">
      <w:bodyDiv w:val="1"/>
      <w:marLeft w:val="0"/>
      <w:marRight w:val="0"/>
      <w:marTop w:val="0"/>
      <w:marBottom w:val="0"/>
      <w:divBdr>
        <w:top w:val="none" w:sz="0" w:space="0" w:color="auto"/>
        <w:left w:val="none" w:sz="0" w:space="0" w:color="auto"/>
        <w:bottom w:val="none" w:sz="0" w:space="0" w:color="auto"/>
        <w:right w:val="none" w:sz="0" w:space="0" w:color="auto"/>
      </w:divBdr>
    </w:div>
    <w:div w:id="1107778338">
      <w:bodyDiv w:val="1"/>
      <w:marLeft w:val="0"/>
      <w:marRight w:val="0"/>
      <w:marTop w:val="0"/>
      <w:marBottom w:val="0"/>
      <w:divBdr>
        <w:top w:val="none" w:sz="0" w:space="0" w:color="auto"/>
        <w:left w:val="none" w:sz="0" w:space="0" w:color="auto"/>
        <w:bottom w:val="none" w:sz="0" w:space="0" w:color="auto"/>
        <w:right w:val="none" w:sz="0" w:space="0" w:color="auto"/>
      </w:divBdr>
    </w:div>
    <w:div w:id="1117866503">
      <w:bodyDiv w:val="1"/>
      <w:marLeft w:val="0"/>
      <w:marRight w:val="0"/>
      <w:marTop w:val="0"/>
      <w:marBottom w:val="0"/>
      <w:divBdr>
        <w:top w:val="none" w:sz="0" w:space="0" w:color="auto"/>
        <w:left w:val="none" w:sz="0" w:space="0" w:color="auto"/>
        <w:bottom w:val="none" w:sz="0" w:space="0" w:color="auto"/>
        <w:right w:val="none" w:sz="0" w:space="0" w:color="auto"/>
      </w:divBdr>
    </w:div>
    <w:div w:id="1121994186">
      <w:bodyDiv w:val="1"/>
      <w:marLeft w:val="0"/>
      <w:marRight w:val="0"/>
      <w:marTop w:val="0"/>
      <w:marBottom w:val="0"/>
      <w:divBdr>
        <w:top w:val="none" w:sz="0" w:space="0" w:color="auto"/>
        <w:left w:val="none" w:sz="0" w:space="0" w:color="auto"/>
        <w:bottom w:val="none" w:sz="0" w:space="0" w:color="auto"/>
        <w:right w:val="none" w:sz="0" w:space="0" w:color="auto"/>
      </w:divBdr>
    </w:div>
    <w:div w:id="1133325987">
      <w:bodyDiv w:val="1"/>
      <w:marLeft w:val="0"/>
      <w:marRight w:val="0"/>
      <w:marTop w:val="0"/>
      <w:marBottom w:val="0"/>
      <w:divBdr>
        <w:top w:val="none" w:sz="0" w:space="0" w:color="auto"/>
        <w:left w:val="none" w:sz="0" w:space="0" w:color="auto"/>
        <w:bottom w:val="none" w:sz="0" w:space="0" w:color="auto"/>
        <w:right w:val="none" w:sz="0" w:space="0" w:color="auto"/>
      </w:divBdr>
    </w:div>
    <w:div w:id="1173178697">
      <w:bodyDiv w:val="1"/>
      <w:marLeft w:val="0"/>
      <w:marRight w:val="0"/>
      <w:marTop w:val="0"/>
      <w:marBottom w:val="0"/>
      <w:divBdr>
        <w:top w:val="none" w:sz="0" w:space="0" w:color="auto"/>
        <w:left w:val="none" w:sz="0" w:space="0" w:color="auto"/>
        <w:bottom w:val="none" w:sz="0" w:space="0" w:color="auto"/>
        <w:right w:val="none" w:sz="0" w:space="0" w:color="auto"/>
      </w:divBdr>
    </w:div>
    <w:div w:id="1202789434">
      <w:bodyDiv w:val="1"/>
      <w:marLeft w:val="0"/>
      <w:marRight w:val="0"/>
      <w:marTop w:val="0"/>
      <w:marBottom w:val="0"/>
      <w:divBdr>
        <w:top w:val="none" w:sz="0" w:space="0" w:color="auto"/>
        <w:left w:val="none" w:sz="0" w:space="0" w:color="auto"/>
        <w:bottom w:val="none" w:sz="0" w:space="0" w:color="auto"/>
        <w:right w:val="none" w:sz="0" w:space="0" w:color="auto"/>
      </w:divBdr>
    </w:div>
    <w:div w:id="1251737707">
      <w:bodyDiv w:val="1"/>
      <w:marLeft w:val="0"/>
      <w:marRight w:val="0"/>
      <w:marTop w:val="0"/>
      <w:marBottom w:val="0"/>
      <w:divBdr>
        <w:top w:val="none" w:sz="0" w:space="0" w:color="auto"/>
        <w:left w:val="none" w:sz="0" w:space="0" w:color="auto"/>
        <w:bottom w:val="none" w:sz="0" w:space="0" w:color="auto"/>
        <w:right w:val="none" w:sz="0" w:space="0" w:color="auto"/>
      </w:divBdr>
    </w:div>
    <w:div w:id="1270312307">
      <w:bodyDiv w:val="1"/>
      <w:marLeft w:val="0"/>
      <w:marRight w:val="0"/>
      <w:marTop w:val="0"/>
      <w:marBottom w:val="0"/>
      <w:divBdr>
        <w:top w:val="none" w:sz="0" w:space="0" w:color="auto"/>
        <w:left w:val="none" w:sz="0" w:space="0" w:color="auto"/>
        <w:bottom w:val="none" w:sz="0" w:space="0" w:color="auto"/>
        <w:right w:val="none" w:sz="0" w:space="0" w:color="auto"/>
      </w:divBdr>
    </w:div>
    <w:div w:id="1271552101">
      <w:bodyDiv w:val="1"/>
      <w:marLeft w:val="0"/>
      <w:marRight w:val="0"/>
      <w:marTop w:val="0"/>
      <w:marBottom w:val="0"/>
      <w:divBdr>
        <w:top w:val="none" w:sz="0" w:space="0" w:color="auto"/>
        <w:left w:val="none" w:sz="0" w:space="0" w:color="auto"/>
        <w:bottom w:val="none" w:sz="0" w:space="0" w:color="auto"/>
        <w:right w:val="none" w:sz="0" w:space="0" w:color="auto"/>
      </w:divBdr>
    </w:div>
    <w:div w:id="1276328289">
      <w:bodyDiv w:val="1"/>
      <w:marLeft w:val="0"/>
      <w:marRight w:val="0"/>
      <w:marTop w:val="0"/>
      <w:marBottom w:val="0"/>
      <w:divBdr>
        <w:top w:val="none" w:sz="0" w:space="0" w:color="auto"/>
        <w:left w:val="none" w:sz="0" w:space="0" w:color="auto"/>
        <w:bottom w:val="none" w:sz="0" w:space="0" w:color="auto"/>
        <w:right w:val="none" w:sz="0" w:space="0" w:color="auto"/>
      </w:divBdr>
    </w:div>
    <w:div w:id="1294752336">
      <w:bodyDiv w:val="1"/>
      <w:marLeft w:val="0"/>
      <w:marRight w:val="0"/>
      <w:marTop w:val="0"/>
      <w:marBottom w:val="0"/>
      <w:divBdr>
        <w:top w:val="none" w:sz="0" w:space="0" w:color="auto"/>
        <w:left w:val="none" w:sz="0" w:space="0" w:color="auto"/>
        <w:bottom w:val="none" w:sz="0" w:space="0" w:color="auto"/>
        <w:right w:val="none" w:sz="0" w:space="0" w:color="auto"/>
      </w:divBdr>
    </w:div>
    <w:div w:id="1329594948">
      <w:bodyDiv w:val="1"/>
      <w:marLeft w:val="0"/>
      <w:marRight w:val="0"/>
      <w:marTop w:val="0"/>
      <w:marBottom w:val="0"/>
      <w:divBdr>
        <w:top w:val="none" w:sz="0" w:space="0" w:color="auto"/>
        <w:left w:val="none" w:sz="0" w:space="0" w:color="auto"/>
        <w:bottom w:val="none" w:sz="0" w:space="0" w:color="auto"/>
        <w:right w:val="none" w:sz="0" w:space="0" w:color="auto"/>
      </w:divBdr>
    </w:div>
    <w:div w:id="1354116895">
      <w:bodyDiv w:val="1"/>
      <w:marLeft w:val="0"/>
      <w:marRight w:val="0"/>
      <w:marTop w:val="0"/>
      <w:marBottom w:val="0"/>
      <w:divBdr>
        <w:top w:val="none" w:sz="0" w:space="0" w:color="auto"/>
        <w:left w:val="none" w:sz="0" w:space="0" w:color="auto"/>
        <w:bottom w:val="none" w:sz="0" w:space="0" w:color="auto"/>
        <w:right w:val="none" w:sz="0" w:space="0" w:color="auto"/>
      </w:divBdr>
    </w:div>
    <w:div w:id="1444183422">
      <w:bodyDiv w:val="1"/>
      <w:marLeft w:val="0"/>
      <w:marRight w:val="0"/>
      <w:marTop w:val="0"/>
      <w:marBottom w:val="0"/>
      <w:divBdr>
        <w:top w:val="none" w:sz="0" w:space="0" w:color="auto"/>
        <w:left w:val="none" w:sz="0" w:space="0" w:color="auto"/>
        <w:bottom w:val="none" w:sz="0" w:space="0" w:color="auto"/>
        <w:right w:val="none" w:sz="0" w:space="0" w:color="auto"/>
      </w:divBdr>
    </w:div>
    <w:div w:id="1460881058">
      <w:bodyDiv w:val="1"/>
      <w:marLeft w:val="0"/>
      <w:marRight w:val="0"/>
      <w:marTop w:val="0"/>
      <w:marBottom w:val="0"/>
      <w:divBdr>
        <w:top w:val="none" w:sz="0" w:space="0" w:color="auto"/>
        <w:left w:val="none" w:sz="0" w:space="0" w:color="auto"/>
        <w:bottom w:val="none" w:sz="0" w:space="0" w:color="auto"/>
        <w:right w:val="none" w:sz="0" w:space="0" w:color="auto"/>
      </w:divBdr>
    </w:div>
    <w:div w:id="1507134033">
      <w:bodyDiv w:val="1"/>
      <w:marLeft w:val="0"/>
      <w:marRight w:val="0"/>
      <w:marTop w:val="0"/>
      <w:marBottom w:val="0"/>
      <w:divBdr>
        <w:top w:val="none" w:sz="0" w:space="0" w:color="auto"/>
        <w:left w:val="none" w:sz="0" w:space="0" w:color="auto"/>
        <w:bottom w:val="none" w:sz="0" w:space="0" w:color="auto"/>
        <w:right w:val="none" w:sz="0" w:space="0" w:color="auto"/>
      </w:divBdr>
    </w:div>
    <w:div w:id="1511025988">
      <w:bodyDiv w:val="1"/>
      <w:marLeft w:val="0"/>
      <w:marRight w:val="0"/>
      <w:marTop w:val="0"/>
      <w:marBottom w:val="0"/>
      <w:divBdr>
        <w:top w:val="none" w:sz="0" w:space="0" w:color="auto"/>
        <w:left w:val="none" w:sz="0" w:space="0" w:color="auto"/>
        <w:bottom w:val="none" w:sz="0" w:space="0" w:color="auto"/>
        <w:right w:val="none" w:sz="0" w:space="0" w:color="auto"/>
      </w:divBdr>
    </w:div>
    <w:div w:id="1521123315">
      <w:bodyDiv w:val="1"/>
      <w:marLeft w:val="0"/>
      <w:marRight w:val="0"/>
      <w:marTop w:val="0"/>
      <w:marBottom w:val="0"/>
      <w:divBdr>
        <w:top w:val="none" w:sz="0" w:space="0" w:color="auto"/>
        <w:left w:val="none" w:sz="0" w:space="0" w:color="auto"/>
        <w:bottom w:val="none" w:sz="0" w:space="0" w:color="auto"/>
        <w:right w:val="none" w:sz="0" w:space="0" w:color="auto"/>
      </w:divBdr>
    </w:div>
    <w:div w:id="1572808026">
      <w:bodyDiv w:val="1"/>
      <w:marLeft w:val="0"/>
      <w:marRight w:val="0"/>
      <w:marTop w:val="0"/>
      <w:marBottom w:val="0"/>
      <w:divBdr>
        <w:top w:val="none" w:sz="0" w:space="0" w:color="auto"/>
        <w:left w:val="none" w:sz="0" w:space="0" w:color="auto"/>
        <w:bottom w:val="none" w:sz="0" w:space="0" w:color="auto"/>
        <w:right w:val="none" w:sz="0" w:space="0" w:color="auto"/>
      </w:divBdr>
    </w:div>
    <w:div w:id="1631128094">
      <w:bodyDiv w:val="1"/>
      <w:marLeft w:val="0"/>
      <w:marRight w:val="0"/>
      <w:marTop w:val="0"/>
      <w:marBottom w:val="0"/>
      <w:divBdr>
        <w:top w:val="none" w:sz="0" w:space="0" w:color="auto"/>
        <w:left w:val="none" w:sz="0" w:space="0" w:color="auto"/>
        <w:bottom w:val="none" w:sz="0" w:space="0" w:color="auto"/>
        <w:right w:val="none" w:sz="0" w:space="0" w:color="auto"/>
      </w:divBdr>
    </w:div>
    <w:div w:id="1716735960">
      <w:bodyDiv w:val="1"/>
      <w:marLeft w:val="0"/>
      <w:marRight w:val="0"/>
      <w:marTop w:val="0"/>
      <w:marBottom w:val="0"/>
      <w:divBdr>
        <w:top w:val="none" w:sz="0" w:space="0" w:color="auto"/>
        <w:left w:val="none" w:sz="0" w:space="0" w:color="auto"/>
        <w:bottom w:val="none" w:sz="0" w:space="0" w:color="auto"/>
        <w:right w:val="none" w:sz="0" w:space="0" w:color="auto"/>
      </w:divBdr>
    </w:div>
    <w:div w:id="1755200065">
      <w:bodyDiv w:val="1"/>
      <w:marLeft w:val="0"/>
      <w:marRight w:val="0"/>
      <w:marTop w:val="0"/>
      <w:marBottom w:val="0"/>
      <w:divBdr>
        <w:top w:val="none" w:sz="0" w:space="0" w:color="auto"/>
        <w:left w:val="none" w:sz="0" w:space="0" w:color="auto"/>
        <w:bottom w:val="none" w:sz="0" w:space="0" w:color="auto"/>
        <w:right w:val="none" w:sz="0" w:space="0" w:color="auto"/>
      </w:divBdr>
    </w:div>
    <w:div w:id="1757824123">
      <w:bodyDiv w:val="1"/>
      <w:marLeft w:val="0"/>
      <w:marRight w:val="0"/>
      <w:marTop w:val="0"/>
      <w:marBottom w:val="0"/>
      <w:divBdr>
        <w:top w:val="none" w:sz="0" w:space="0" w:color="auto"/>
        <w:left w:val="none" w:sz="0" w:space="0" w:color="auto"/>
        <w:bottom w:val="none" w:sz="0" w:space="0" w:color="auto"/>
        <w:right w:val="none" w:sz="0" w:space="0" w:color="auto"/>
      </w:divBdr>
    </w:div>
    <w:div w:id="1853717768">
      <w:bodyDiv w:val="1"/>
      <w:marLeft w:val="0"/>
      <w:marRight w:val="0"/>
      <w:marTop w:val="0"/>
      <w:marBottom w:val="0"/>
      <w:divBdr>
        <w:top w:val="none" w:sz="0" w:space="0" w:color="auto"/>
        <w:left w:val="none" w:sz="0" w:space="0" w:color="auto"/>
        <w:bottom w:val="none" w:sz="0" w:space="0" w:color="auto"/>
        <w:right w:val="none" w:sz="0" w:space="0" w:color="auto"/>
      </w:divBdr>
    </w:div>
    <w:div w:id="1866745305">
      <w:bodyDiv w:val="1"/>
      <w:marLeft w:val="0"/>
      <w:marRight w:val="0"/>
      <w:marTop w:val="0"/>
      <w:marBottom w:val="0"/>
      <w:divBdr>
        <w:top w:val="none" w:sz="0" w:space="0" w:color="auto"/>
        <w:left w:val="none" w:sz="0" w:space="0" w:color="auto"/>
        <w:bottom w:val="none" w:sz="0" w:space="0" w:color="auto"/>
        <w:right w:val="none" w:sz="0" w:space="0" w:color="auto"/>
      </w:divBdr>
    </w:div>
    <w:div w:id="1879507663">
      <w:bodyDiv w:val="1"/>
      <w:marLeft w:val="0"/>
      <w:marRight w:val="0"/>
      <w:marTop w:val="0"/>
      <w:marBottom w:val="0"/>
      <w:divBdr>
        <w:top w:val="none" w:sz="0" w:space="0" w:color="auto"/>
        <w:left w:val="none" w:sz="0" w:space="0" w:color="auto"/>
        <w:bottom w:val="none" w:sz="0" w:space="0" w:color="auto"/>
        <w:right w:val="none" w:sz="0" w:space="0" w:color="auto"/>
      </w:divBdr>
    </w:div>
    <w:div w:id="1908034592">
      <w:bodyDiv w:val="1"/>
      <w:marLeft w:val="0"/>
      <w:marRight w:val="0"/>
      <w:marTop w:val="0"/>
      <w:marBottom w:val="0"/>
      <w:divBdr>
        <w:top w:val="none" w:sz="0" w:space="0" w:color="auto"/>
        <w:left w:val="none" w:sz="0" w:space="0" w:color="auto"/>
        <w:bottom w:val="none" w:sz="0" w:space="0" w:color="auto"/>
        <w:right w:val="none" w:sz="0" w:space="0" w:color="auto"/>
      </w:divBdr>
    </w:div>
    <w:div w:id="1928801424">
      <w:bodyDiv w:val="1"/>
      <w:marLeft w:val="0"/>
      <w:marRight w:val="0"/>
      <w:marTop w:val="0"/>
      <w:marBottom w:val="0"/>
      <w:divBdr>
        <w:top w:val="none" w:sz="0" w:space="0" w:color="auto"/>
        <w:left w:val="none" w:sz="0" w:space="0" w:color="auto"/>
        <w:bottom w:val="none" w:sz="0" w:space="0" w:color="auto"/>
        <w:right w:val="none" w:sz="0" w:space="0" w:color="auto"/>
      </w:divBdr>
    </w:div>
    <w:div w:id="1969119986">
      <w:bodyDiv w:val="1"/>
      <w:marLeft w:val="0"/>
      <w:marRight w:val="0"/>
      <w:marTop w:val="0"/>
      <w:marBottom w:val="0"/>
      <w:divBdr>
        <w:top w:val="none" w:sz="0" w:space="0" w:color="auto"/>
        <w:left w:val="none" w:sz="0" w:space="0" w:color="auto"/>
        <w:bottom w:val="none" w:sz="0" w:space="0" w:color="auto"/>
        <w:right w:val="none" w:sz="0" w:space="0" w:color="auto"/>
      </w:divBdr>
    </w:div>
    <w:div w:id="1975869725">
      <w:bodyDiv w:val="1"/>
      <w:marLeft w:val="0"/>
      <w:marRight w:val="0"/>
      <w:marTop w:val="0"/>
      <w:marBottom w:val="0"/>
      <w:divBdr>
        <w:top w:val="none" w:sz="0" w:space="0" w:color="auto"/>
        <w:left w:val="none" w:sz="0" w:space="0" w:color="auto"/>
        <w:bottom w:val="none" w:sz="0" w:space="0" w:color="auto"/>
        <w:right w:val="none" w:sz="0" w:space="0" w:color="auto"/>
      </w:divBdr>
    </w:div>
    <w:div w:id="1985156742">
      <w:bodyDiv w:val="1"/>
      <w:marLeft w:val="0"/>
      <w:marRight w:val="0"/>
      <w:marTop w:val="0"/>
      <w:marBottom w:val="0"/>
      <w:divBdr>
        <w:top w:val="none" w:sz="0" w:space="0" w:color="auto"/>
        <w:left w:val="none" w:sz="0" w:space="0" w:color="auto"/>
        <w:bottom w:val="none" w:sz="0" w:space="0" w:color="auto"/>
        <w:right w:val="none" w:sz="0" w:space="0" w:color="auto"/>
      </w:divBdr>
    </w:div>
    <w:div w:id="2004356578">
      <w:bodyDiv w:val="1"/>
      <w:marLeft w:val="0"/>
      <w:marRight w:val="0"/>
      <w:marTop w:val="0"/>
      <w:marBottom w:val="0"/>
      <w:divBdr>
        <w:top w:val="none" w:sz="0" w:space="0" w:color="auto"/>
        <w:left w:val="none" w:sz="0" w:space="0" w:color="auto"/>
        <w:bottom w:val="none" w:sz="0" w:space="0" w:color="auto"/>
        <w:right w:val="none" w:sz="0" w:space="0" w:color="auto"/>
      </w:divBdr>
    </w:div>
    <w:div w:id="2117015143">
      <w:bodyDiv w:val="1"/>
      <w:marLeft w:val="0"/>
      <w:marRight w:val="0"/>
      <w:marTop w:val="0"/>
      <w:marBottom w:val="0"/>
      <w:divBdr>
        <w:top w:val="none" w:sz="0" w:space="0" w:color="auto"/>
        <w:left w:val="none" w:sz="0" w:space="0" w:color="auto"/>
        <w:bottom w:val="none" w:sz="0" w:space="0" w:color="auto"/>
        <w:right w:val="none" w:sz="0" w:space="0" w:color="auto"/>
      </w:divBdr>
    </w:div>
    <w:div w:id="2139254990">
      <w:bodyDiv w:val="1"/>
      <w:marLeft w:val="0"/>
      <w:marRight w:val="0"/>
      <w:marTop w:val="0"/>
      <w:marBottom w:val="0"/>
      <w:divBdr>
        <w:top w:val="none" w:sz="0" w:space="0" w:color="auto"/>
        <w:left w:val="none" w:sz="0" w:space="0" w:color="auto"/>
        <w:bottom w:val="none" w:sz="0" w:space="0" w:color="auto"/>
        <w:right w:val="none" w:sz="0" w:space="0" w:color="auto"/>
      </w:divBdr>
    </w:div>
    <w:div w:id="2141071060">
      <w:bodyDiv w:val="1"/>
      <w:marLeft w:val="0"/>
      <w:marRight w:val="0"/>
      <w:marTop w:val="0"/>
      <w:marBottom w:val="0"/>
      <w:divBdr>
        <w:top w:val="none" w:sz="0" w:space="0" w:color="auto"/>
        <w:left w:val="none" w:sz="0" w:space="0" w:color="auto"/>
        <w:bottom w:val="none" w:sz="0" w:space="0" w:color="auto"/>
        <w:right w:val="none" w:sz="0" w:space="0" w:color="auto"/>
      </w:divBdr>
      <w:divsChild>
        <w:div w:id="2075156846">
          <w:marLeft w:val="0"/>
          <w:marRight w:val="0"/>
          <w:marTop w:val="0"/>
          <w:marBottom w:val="0"/>
          <w:divBdr>
            <w:top w:val="none" w:sz="0" w:space="0" w:color="auto"/>
            <w:left w:val="none" w:sz="0" w:space="0" w:color="auto"/>
            <w:bottom w:val="none" w:sz="0" w:space="0" w:color="auto"/>
            <w:right w:val="none" w:sz="0" w:space="0" w:color="auto"/>
          </w:divBdr>
          <w:divsChild>
            <w:div w:id="631179438">
              <w:marLeft w:val="0"/>
              <w:marRight w:val="0"/>
              <w:marTop w:val="0"/>
              <w:marBottom w:val="0"/>
              <w:divBdr>
                <w:top w:val="none" w:sz="0" w:space="0" w:color="auto"/>
                <w:left w:val="none" w:sz="0" w:space="0" w:color="auto"/>
                <w:bottom w:val="none" w:sz="0" w:space="0" w:color="auto"/>
                <w:right w:val="none" w:sz="0" w:space="0" w:color="auto"/>
              </w:divBdr>
            </w:div>
          </w:divsChild>
        </w:div>
        <w:div w:id="1120148205">
          <w:marLeft w:val="0"/>
          <w:marRight w:val="0"/>
          <w:marTop w:val="0"/>
          <w:marBottom w:val="0"/>
          <w:divBdr>
            <w:top w:val="none" w:sz="0" w:space="0" w:color="auto"/>
            <w:left w:val="none" w:sz="0" w:space="0" w:color="auto"/>
            <w:bottom w:val="none" w:sz="0" w:space="0" w:color="auto"/>
            <w:right w:val="none" w:sz="0" w:space="0" w:color="auto"/>
          </w:divBdr>
          <w:divsChild>
            <w:div w:id="18532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390/lubricants12070236" TargetMode="External"/><Relationship Id="rId26" Type="http://schemas.openxmlformats.org/officeDocument/2006/relationships/hyperlink" Target="https://doi.org/10.1007/s12272-011-1014-2" TargetMode="External"/><Relationship Id="rId21" Type="http://schemas.openxmlformats.org/officeDocument/2006/relationships/hyperlink" Target="https://doi.org/10.3390/gels9060469" TargetMode="External"/><Relationship Id="rId34" Type="http://schemas.openxmlformats.org/officeDocument/2006/relationships/hyperlink" Target="https://doi.org/10.1016/j.ijpharm.2014.06.05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5" Type="http://schemas.openxmlformats.org/officeDocument/2006/relationships/hyperlink" Target="https://doi.org/10.1016/j.jddst.2015.10.017" TargetMode="External"/><Relationship Id="rId33" Type="http://schemas.openxmlformats.org/officeDocument/2006/relationships/hyperlink" Target="https://doi.org/10.37285/ijpsn.2016.9.2.3"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doi.org/10.1039/D3PY01367G" TargetMode="External"/><Relationship Id="rId29" Type="http://schemas.openxmlformats.org/officeDocument/2006/relationships/hyperlink" Target="https://doi.org/10.1016/j.heliyon.2023.e136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jcis.2023.06.014" TargetMode="External"/><Relationship Id="rId32" Type="http://schemas.openxmlformats.org/officeDocument/2006/relationships/hyperlink" Target="https://doi.org/10.3389/fnut.2022.86678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3390/polym14061108" TargetMode="External"/><Relationship Id="rId28" Type="http://schemas.openxmlformats.org/officeDocument/2006/relationships/hyperlink" Target="https://doi.org/10.9734/jpri/2025/v37i127795"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5281/zenodo.17246219" TargetMode="External"/><Relationship Id="rId31" Type="http://schemas.openxmlformats.org/officeDocument/2006/relationships/hyperlink" Target="http://dx.doi.org/10.5530/ijpi.2026043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515/cti-2022-0010" TargetMode="External"/><Relationship Id="rId27" Type="http://schemas.openxmlformats.org/officeDocument/2006/relationships/hyperlink" Target="https://doi.org/10.3109/10837450.2012.693505" TargetMode="External"/><Relationship Id="rId30" Type="http://schemas.openxmlformats.org/officeDocument/2006/relationships/hyperlink" Target="https://doi.org/10.33545/26648822.2025.v7.i1a.26" TargetMode="External"/><Relationship Id="rId35" Type="http://schemas.openxmlformats.org/officeDocument/2006/relationships/hyperlink" Target="https://doi.org/10.1016/j.lwt.2017.06.050" TargetMode="Externa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C44B-2CF5-43A0-81DD-4D92B93A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3974</TotalTime>
  <Pages>13</Pages>
  <Words>6562</Words>
  <Characters>37409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Venkata Santhoshi Lakshmi Kaja</dc:creator>
  <cp:keywords/>
  <dc:description/>
  <cp:lastModifiedBy>SDI 1084</cp:lastModifiedBy>
  <cp:revision>295</cp:revision>
  <cp:lastPrinted>2026-01-09T09:17:00Z</cp:lastPrinted>
  <dcterms:created xsi:type="dcterms:W3CDTF">2025-11-28T06:59:00Z</dcterms:created>
  <dcterms:modified xsi:type="dcterms:W3CDTF">2026-01-31T11:09:00Z</dcterms:modified>
</cp:coreProperties>
</file>