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6A2D31" w14:textId="77777777" w:rsidR="00E5512B" w:rsidRDefault="00E5512B" w:rsidP="00E5512B">
      <w:pPr>
        <w:spacing w:before="100" w:beforeAutospacing="1" w:after="100" w:afterAutospacing="1" w:line="240" w:lineRule="auto"/>
        <w:outlineLvl w:val="0"/>
        <w:rPr>
          <w:rFonts w:ascii="Times New Roman" w:eastAsia="Times New Roman" w:hAnsi="Times New Roman" w:cs="Times New Roman"/>
          <w:b/>
          <w:bCs/>
          <w:kern w:val="36"/>
          <w:sz w:val="24"/>
          <w:szCs w:val="24"/>
        </w:rPr>
      </w:pPr>
      <w:r w:rsidRPr="00E5512B">
        <w:rPr>
          <w:rFonts w:ascii="Times New Roman" w:eastAsia="Times New Roman" w:hAnsi="Times New Roman" w:cs="Times New Roman"/>
          <w:b/>
          <w:bCs/>
          <w:kern w:val="36"/>
          <w:sz w:val="24"/>
          <w:szCs w:val="24"/>
        </w:rPr>
        <w:t>A Mechanical Engineering Framework for Biomaterials in Healthcare Applications</w:t>
      </w:r>
    </w:p>
    <w:p w14:paraId="0BDB9BAF" w14:textId="77777777" w:rsidR="00C73D1E" w:rsidRDefault="00C73D1E" w:rsidP="00E5512B">
      <w:pPr>
        <w:spacing w:before="100" w:beforeAutospacing="1" w:after="100" w:afterAutospacing="1" w:line="240" w:lineRule="auto"/>
        <w:outlineLvl w:val="1"/>
        <w:rPr>
          <w:rFonts w:ascii="Times New Roman" w:eastAsia="Times New Roman" w:hAnsi="Times New Roman" w:cs="Times New Roman"/>
          <w:b/>
          <w:bCs/>
          <w:sz w:val="24"/>
          <w:szCs w:val="24"/>
        </w:rPr>
      </w:pPr>
    </w:p>
    <w:p w14:paraId="7CDE4CFA" w14:textId="3B9986F8"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bookmarkStart w:id="0" w:name="_GoBack"/>
      <w:bookmarkEnd w:id="0"/>
      <w:r w:rsidRPr="00E5512B">
        <w:rPr>
          <w:rFonts w:ascii="Times New Roman" w:eastAsia="Times New Roman" w:hAnsi="Times New Roman" w:cs="Times New Roman"/>
          <w:b/>
          <w:bCs/>
          <w:sz w:val="24"/>
          <w:szCs w:val="24"/>
        </w:rPr>
        <w:t>Abstract</w:t>
      </w:r>
    </w:p>
    <w:p w14:paraId="773C1C89" w14:textId="77777777" w:rsidR="00E5512B" w:rsidRPr="00E5512B" w:rsidRDefault="00E5512B" w:rsidP="00E5512B">
      <w:pPr>
        <w:spacing w:before="100" w:beforeAutospacing="1" w:after="100" w:afterAutospacing="1" w:line="240" w:lineRule="auto"/>
        <w:jc w:val="both"/>
        <w:rPr>
          <w:rFonts w:ascii="Times New Roman" w:eastAsia="Times New Roman" w:hAnsi="Times New Roman" w:cs="Times New Roman"/>
          <w:sz w:val="24"/>
          <w:szCs w:val="24"/>
        </w:rPr>
      </w:pPr>
      <w:r w:rsidRPr="00E5512B">
        <w:rPr>
          <w:rFonts w:ascii="Times New Roman" w:eastAsia="Times New Roman" w:hAnsi="Times New Roman" w:cs="Times New Roman"/>
          <w:sz w:val="24"/>
          <w:szCs w:val="24"/>
        </w:rPr>
        <w:t>Biomaterials are fundamental to modern healthcare technologies, enabling advances in drug delivery, implants, diagnostics, and regenerative medicine. Although biomaterials research is often driven by biological and clinical considerations, their design, performance, and reliability are inherently governed by mechanical engineering principles. This review presents a comprehensive mechanical engineering framework for biomaterials used in healthcare applications, emphasizing materials selection, mechanics, transport phenomena, manufacturing routes, and nano–bio interactions. Rather than focusing on a single theoretical approach, the paper integrates multiple engineering perspectives to illustrate how mechanical engineers contribute to the development of functional biomaterials across the health sector. Nanoparticle-based systems and bio-derived materials are discussed as representative examples, with cancer-related applications used as case studies to demonstrate framework applicability. The review aims to guide mechanical engineers entering biomedical research and to promote engineering-led, predictive design strategies for next-generation healthcare materials.</w:t>
      </w:r>
    </w:p>
    <w:p w14:paraId="581FAE93" w14:textId="77777777" w:rsidR="00E5512B" w:rsidRPr="00E5512B" w:rsidRDefault="00E5512B" w:rsidP="00E5512B">
      <w:pPr>
        <w:spacing w:before="100" w:beforeAutospacing="1" w:after="100" w:afterAutospacing="1" w:line="240" w:lineRule="auto"/>
        <w:rPr>
          <w:rFonts w:ascii="Times New Roman" w:eastAsia="Times New Roman" w:hAnsi="Times New Roman" w:cs="Times New Roman"/>
          <w:sz w:val="24"/>
          <w:szCs w:val="24"/>
        </w:rPr>
      </w:pPr>
      <w:r w:rsidRPr="00E5512B">
        <w:rPr>
          <w:rFonts w:ascii="Times New Roman" w:eastAsia="Times New Roman" w:hAnsi="Times New Roman" w:cs="Times New Roman"/>
          <w:b/>
          <w:bCs/>
          <w:sz w:val="24"/>
          <w:szCs w:val="24"/>
        </w:rPr>
        <w:t>Keywords:</w:t>
      </w:r>
      <w:r w:rsidRPr="00E5512B">
        <w:rPr>
          <w:rFonts w:ascii="Times New Roman" w:eastAsia="Times New Roman" w:hAnsi="Times New Roman" w:cs="Times New Roman"/>
          <w:sz w:val="24"/>
          <w:szCs w:val="24"/>
        </w:rPr>
        <w:t xml:space="preserve"> Mechanical engineering; biomaterials; healthcare applications; nanoparticles; transport phenomena; nano–bio interactions.</w:t>
      </w:r>
    </w:p>
    <w:p w14:paraId="52793284"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1. Introduction</w:t>
      </w:r>
    </w:p>
    <w:p w14:paraId="0E93C820" w14:textId="77777777" w:rsidR="00DD047C" w:rsidRDefault="00DD047C" w:rsidP="00DD047C">
      <w:pPr>
        <w:pStyle w:val="NormalWeb"/>
        <w:jc w:val="both"/>
      </w:pPr>
      <w:r>
        <w:t xml:space="preserve">The healthcare sector increasingly relies on engineered materials to address complex medical challenges, including chronic diseases, aging populations, and the growing demand for minimally invasive and personalized therapies (Ratner et al., 2013; </w:t>
      </w:r>
      <w:r w:rsidR="00E97C67">
        <w:t>Aslam et al., 2021</w:t>
      </w:r>
      <w:r>
        <w:t>). Biomaterials now play central roles in medical implants, prosthetic devices, controlled drug delivery systems, tissue engineering scaffolds, and diagnostic platforms (Williams, 2009; Hench &amp; Polak, 2002). Although these technologies are frequently discussed within biomedical and life science domains, their successful development is strongly rooted in mechanical engineering fundamentals such as materials science, structural mechanics, transport phenomena, manufacturing processes, and system-level optimization (Black &amp; Hastings, 2013; Anderson et al., 2008).</w:t>
      </w:r>
    </w:p>
    <w:p w14:paraId="567122C1" w14:textId="77777777" w:rsidR="00DD047C" w:rsidRDefault="00DD047C" w:rsidP="00DD047C">
      <w:pPr>
        <w:pStyle w:val="NormalWeb"/>
        <w:jc w:val="both"/>
      </w:pPr>
      <w:r>
        <w:t>Diseases such as cancer, cardiovascular disorders, orthopedic degeneration, and infectious conditions continue to impose significant global health and economic burdens (WHO, 2023; Siegel et al., 2024). In response, researchers have developed advanced biomaterials to improve therapeutic precision, reduce systemic side effects, and enhance long-term functional perf</w:t>
      </w:r>
      <w:r w:rsidR="000145BB">
        <w:t>ormance (Langer &amp; Tirrell, 2004</w:t>
      </w:r>
      <w:r>
        <w:t>). Nanoparticle-based biomaterials, in particular, have emerged as versatile platforms due to their controllable size, high surface-to-volume ratio, tunable material properties, and adaptability to multiple therapeutic functions (</w:t>
      </w:r>
      <w:proofErr w:type="spellStart"/>
      <w:r>
        <w:t>Farokhzad</w:t>
      </w:r>
      <w:proofErr w:type="spellEnd"/>
      <w:r>
        <w:t xml:space="preserve"> &amp; Langer, 2009). These attributes make nanoparticles suitable for drug delivery, medical imaging, and combined diagnostic–therapeutic (</w:t>
      </w:r>
      <w:proofErr w:type="spellStart"/>
      <w:r>
        <w:t>theranostic</w:t>
      </w:r>
      <w:proofErr w:type="spellEnd"/>
      <w:r>
        <w:t>) applic</w:t>
      </w:r>
      <w:r w:rsidR="00D873F0">
        <w:t>ations (</w:t>
      </w:r>
      <w:proofErr w:type="spellStart"/>
      <w:r w:rsidR="00D873F0">
        <w:t>Mitragotri</w:t>
      </w:r>
      <w:proofErr w:type="spellEnd"/>
      <w:r w:rsidR="00D873F0">
        <w:t xml:space="preserve"> et al., 2014</w:t>
      </w:r>
      <w:r>
        <w:t>).</w:t>
      </w:r>
    </w:p>
    <w:p w14:paraId="4D4F299E" w14:textId="77777777" w:rsidR="00DD047C" w:rsidRDefault="00DD047C" w:rsidP="00DD047C">
      <w:pPr>
        <w:pStyle w:val="NormalWeb"/>
        <w:jc w:val="both"/>
      </w:pPr>
      <w:r>
        <w:lastRenderedPageBreak/>
        <w:t>Despite rapid progress, much of the biomaterials literature emphasizes biological compatibility, cellular responses, and pharmacological outcomes, often treating engineering considerations as secondary (Williams, 2014; Nel et al., 2009). This perspective can limit predictive design, scalability, and translational reliability. Mechanical engineering offers a complementary and essential viewpoint by focusing on how forces, deformation, transport processes, and material behavior govern biomaterial performance within complex physiol</w:t>
      </w:r>
      <w:r w:rsidR="0049147C">
        <w:t>ogical environments (Fung, 1993</w:t>
      </w:r>
      <w:r>
        <w:t>). Parameters such as stiffness, fatigue resistance, durability, fluid–structure interaction, diffusion, particle transport, and interfacial interactions directly influence the safety, efficiency, and longevity of biomaterials in vivo (Discher et al., 2009; Mitragotri &amp; Lahann, 2009).</w:t>
      </w:r>
    </w:p>
    <w:p w14:paraId="70FC74A0" w14:textId="77777777" w:rsidR="00DD047C" w:rsidRDefault="00DD047C" w:rsidP="00DD047C">
      <w:pPr>
        <w:pStyle w:val="NormalWeb"/>
        <w:jc w:val="both"/>
      </w:pPr>
      <w:r>
        <w:t>Natural and bio-derived materials have also gained increasing attention in healthcare applications due to their availability, sustainability, and functional versatility (</w:t>
      </w:r>
      <w:r w:rsidR="0049147C">
        <w:t>Pradhan et al., 2020</w:t>
      </w:r>
      <w:r>
        <w:t>; Iravani et al., 2014). When incorporated into engineered biomaterials, such as nanoparticles or composite systems, these materials influence not only biological responses but also mechanical properties, structural stability, degradation behavior, and mass transport characteristics (Bhatia &amp; Ingber, 2014; Patra et al., 2018). From an engineering standpoint, bio-derived components act as modifiers of structure, mechanics, and transport performance rather than merely as therapeutic agents.</w:t>
      </w:r>
    </w:p>
    <w:p w14:paraId="2013235A" w14:textId="77777777" w:rsidR="00DD047C" w:rsidRDefault="00DD047C" w:rsidP="00DD047C">
      <w:pPr>
        <w:pStyle w:val="NormalWeb"/>
        <w:jc w:val="both"/>
      </w:pPr>
      <w:r>
        <w:t>This review proposes a unified mechanical engineering framework for biomaterials in healthcare applications. The framework integrates materials design, mechanics, transport phenomena, fabrication methods, and nano–bio interactions to provide a holistic understanding of biomaterial function in medical environments (Ratner et al., 2013; Black &amp; Hastings, 2013). While selected examples from cancer-related applications are included to illustrate practical relevance, the concepts discussed are broadly applicable across the health sector, including drug delivery, implants, regenerative medicine, and diagnostic technologies.</w:t>
      </w:r>
    </w:p>
    <w:p w14:paraId="193FE5AD" w14:textId="77777777" w:rsidR="007A6F3E" w:rsidRDefault="007A6F3E" w:rsidP="00DD047C">
      <w:pPr>
        <w:pStyle w:val="NormalWeb"/>
        <w:jc w:val="both"/>
      </w:pPr>
    </w:p>
    <w:p w14:paraId="435AD73E" w14:textId="77777777" w:rsidR="007A6F3E" w:rsidRDefault="007A6F3E" w:rsidP="00DD047C">
      <w:pPr>
        <w:pStyle w:val="NormalWeb"/>
        <w:jc w:val="both"/>
      </w:pPr>
    </w:p>
    <w:p w14:paraId="0F00449C" w14:textId="77777777" w:rsidR="007A6F3E" w:rsidRDefault="007A6F3E" w:rsidP="00DD047C">
      <w:pPr>
        <w:pStyle w:val="NormalWeb"/>
        <w:jc w:val="both"/>
      </w:pPr>
    </w:p>
    <w:p w14:paraId="1854DB68" w14:textId="77777777" w:rsidR="007A6F3E" w:rsidRDefault="007A6F3E" w:rsidP="00DD047C">
      <w:pPr>
        <w:pStyle w:val="NormalWeb"/>
        <w:jc w:val="both"/>
      </w:pPr>
    </w:p>
    <w:p w14:paraId="0A71EA3E" w14:textId="77777777" w:rsidR="007A6F3E" w:rsidRDefault="007A6F3E" w:rsidP="00DD047C">
      <w:pPr>
        <w:pStyle w:val="NormalWeb"/>
        <w:jc w:val="both"/>
      </w:pPr>
    </w:p>
    <w:p w14:paraId="4F340E9C" w14:textId="77777777" w:rsidR="007A6F3E" w:rsidRDefault="007A6F3E" w:rsidP="00DD047C">
      <w:pPr>
        <w:pStyle w:val="NormalWeb"/>
        <w:jc w:val="both"/>
      </w:pPr>
    </w:p>
    <w:p w14:paraId="1B215875" w14:textId="77777777" w:rsidR="007A6F3E" w:rsidRDefault="007A6F3E" w:rsidP="00DD047C">
      <w:pPr>
        <w:pStyle w:val="NormalWeb"/>
        <w:jc w:val="both"/>
      </w:pPr>
    </w:p>
    <w:p w14:paraId="694B358D" w14:textId="77777777" w:rsidR="007A6F3E" w:rsidRDefault="007A6F3E" w:rsidP="00E5512B">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noProof/>
          <w:sz w:val="24"/>
          <w:szCs w:val="24"/>
        </w:rPr>
        <w:lastRenderedPageBreak/>
        <w:drawing>
          <wp:inline distT="0" distB="0" distL="0" distR="0" wp14:anchorId="3736169C" wp14:editId="310E2B2D">
            <wp:extent cx="5305425" cy="264421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medical framework.png"/>
                    <pic:cNvPicPr/>
                  </pic:nvPicPr>
                  <pic:blipFill rotWithShape="1">
                    <a:blip r:embed="rId6" cstate="print">
                      <a:extLst>
                        <a:ext uri="{28A0092B-C50C-407E-A947-70E740481C1C}">
                          <a14:useLocalDpi xmlns:a14="http://schemas.microsoft.com/office/drawing/2010/main" val="0"/>
                        </a:ext>
                      </a:extLst>
                    </a:blip>
                    <a:srcRect b="25240"/>
                    <a:stretch/>
                  </pic:blipFill>
                  <pic:spPr bwMode="auto">
                    <a:xfrm>
                      <a:off x="0" y="0"/>
                      <a:ext cx="5305425" cy="2644210"/>
                    </a:xfrm>
                    <a:prstGeom prst="rect">
                      <a:avLst/>
                    </a:prstGeom>
                    <a:ln>
                      <a:noFill/>
                    </a:ln>
                    <a:extLst>
                      <a:ext uri="{53640926-AAD7-44D8-BBD7-CCE9431645EC}">
                        <a14:shadowObscured xmlns:a14="http://schemas.microsoft.com/office/drawing/2010/main"/>
                      </a:ext>
                    </a:extLst>
                  </pic:spPr>
                </pic:pic>
              </a:graphicData>
            </a:graphic>
          </wp:inline>
        </w:drawing>
      </w:r>
    </w:p>
    <w:p w14:paraId="05525325" w14:textId="77777777" w:rsidR="007A6F3E" w:rsidRPr="007A6F3E" w:rsidRDefault="000E79CB" w:rsidP="007A6F3E">
      <w:pPr>
        <w:spacing w:before="100" w:beforeAutospacing="1" w:after="100" w:afterAutospacing="1" w:line="240" w:lineRule="auto"/>
        <w:jc w:val="both"/>
        <w:outlineLvl w:val="1"/>
        <w:rPr>
          <w:rFonts w:ascii="Times New Roman" w:hAnsi="Times New Roman" w:cs="Times New Roman"/>
          <w:b/>
          <w:sz w:val="24"/>
          <w:szCs w:val="24"/>
        </w:rPr>
      </w:pPr>
      <w:r>
        <w:rPr>
          <w:rStyle w:val="Strong"/>
          <w:rFonts w:ascii="Times New Roman" w:hAnsi="Times New Roman" w:cs="Times New Roman"/>
          <w:b w:val="0"/>
          <w:sz w:val="24"/>
          <w:szCs w:val="24"/>
        </w:rPr>
        <w:t>Figure 1:</w:t>
      </w:r>
      <w:r w:rsidR="007A6F3E" w:rsidRPr="007A6F3E">
        <w:rPr>
          <w:rStyle w:val="Strong"/>
          <w:rFonts w:ascii="Times New Roman" w:hAnsi="Times New Roman" w:cs="Times New Roman"/>
          <w:b w:val="0"/>
          <w:sz w:val="24"/>
          <w:szCs w:val="24"/>
        </w:rPr>
        <w:t xml:space="preserve"> Mechanical Engineering Framework for Biomaterials in Healthcare Applications.</w:t>
      </w:r>
    </w:p>
    <w:p w14:paraId="424C5BA7" w14:textId="77777777" w:rsidR="007A6F3E" w:rsidRPr="007A6F3E" w:rsidRDefault="007A6F3E" w:rsidP="007A6F3E">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7A6F3E">
        <w:rPr>
          <w:rFonts w:ascii="Times New Roman" w:hAnsi="Times New Roman" w:cs="Times New Roman"/>
          <w:sz w:val="24"/>
          <w:szCs w:val="24"/>
        </w:rPr>
        <w:t>The figure illustrates the integration of materials selection, mechanics, transport phenomena, manufacturing processes, and nano–bio interactions, culminating in key healthcare applications such as drug delivery, implants, regenerative medicine, and diagnostic technologies.</w:t>
      </w:r>
    </w:p>
    <w:p w14:paraId="0664EBC4"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2. Role of Mechanical Engineering in Biomaterials Design</w:t>
      </w:r>
    </w:p>
    <w:p w14:paraId="68B5665D"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engineering plays a foundational role in the conception, design, analysis, and optimization of biomaterials for healthcare applications. While biomaterials research is often positioned within biomedical and life-science disciplines, the successful translation of biomaterials into reliable medical technologies depends critically on engineering principles that govern material behavior, structural integrity, manufacturability, and long-term performance. Mechanical engineering contributes a quantitative, predictive, and systems-level framework that enables biomaterials to be designed with defined performance criteria, safety margins, and scalability considerations rather than relying solely on empirical biological evaluation (Ratner et al., 2013; Black &amp; Hastings, 2013).</w:t>
      </w:r>
    </w:p>
    <w:p w14:paraId="1224E56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From an engineering standpoint, biomaterials are not passive biological adjuncts but functional materials operating within mechanically demanding and environmentally complex physiological systems. These systems impose cyclic loading, multiaxial stresses, contact mechanics, environmental exposure, and time-dependent degradation. Mechanical engineers address these challenges by applying classical mechanics, materials science, solid mechanics, and manufacturing theory to ensure that biomaterials meet both short-term functional requirements and long-term reliability expectations. This perspective is essential for implants, therapeutic platforms, and emerging advanced biomaterial systems.</w:t>
      </w:r>
    </w:p>
    <w:p w14:paraId="2C81CF01"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2.1 Materials Selection and Structure–Property–Performance Relationships</w:t>
      </w:r>
    </w:p>
    <w:p w14:paraId="0AEF1562"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lastRenderedPageBreak/>
        <w:t xml:space="preserve">At the core of mechanical engineering contributions to biomaterials design lies the systematic selection of materials based on structure–property–performance relationships. Mechanical engineers </w:t>
      </w:r>
      <w:r w:rsidR="00AA3A1B">
        <w:rPr>
          <w:rFonts w:ascii="Times New Roman" w:eastAsia="Times New Roman" w:hAnsi="Times New Roman" w:cs="Times New Roman"/>
          <w:sz w:val="24"/>
          <w:szCs w:val="24"/>
        </w:rPr>
        <w:t xml:space="preserve">evaluate candidate biomaterials </w:t>
      </w:r>
      <w:r w:rsidRPr="00860C56">
        <w:rPr>
          <w:rFonts w:ascii="Times New Roman" w:eastAsia="Times New Roman" w:hAnsi="Times New Roman" w:cs="Times New Roman"/>
          <w:sz w:val="24"/>
          <w:szCs w:val="24"/>
        </w:rPr>
        <w:t>including metals, polymers, ceramics, c</w:t>
      </w:r>
      <w:r w:rsidR="009C5ACF">
        <w:rPr>
          <w:rFonts w:ascii="Times New Roman" w:eastAsia="Times New Roman" w:hAnsi="Times New Roman" w:cs="Times New Roman"/>
          <w:sz w:val="24"/>
          <w:szCs w:val="24"/>
        </w:rPr>
        <w:t xml:space="preserve">omposites, and hybrid materials </w:t>
      </w:r>
      <w:r w:rsidRPr="00860C56">
        <w:rPr>
          <w:rFonts w:ascii="Times New Roman" w:eastAsia="Times New Roman" w:hAnsi="Times New Roman" w:cs="Times New Roman"/>
          <w:sz w:val="24"/>
          <w:szCs w:val="24"/>
        </w:rPr>
        <w:t>by quantifying their mechanical, physical, and environmental properties relative to the demands of specific medical applications (Ashby et al., 2018).</w:t>
      </w:r>
    </w:p>
    <w:p w14:paraId="1114170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Key properties considered during materials selection include elastic modulus, yield and ultimate strength, fracture toughness, fatigue resistance, viscoelastic response, density, wear resistance, corrosion behavior, and long-term stability. These properties are not considered in isolation but in relation to how material structure, composition, and processing influence performance under physiological conditions (Callister &amp; Rethwisch, 2020).</w:t>
      </w:r>
    </w:p>
    <w:p w14:paraId="4AC48438"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For load-bearing applications such as orthopedic implants, spinal devices, and dental prostheses, materials must sustain high stresses and repeated cyclic loading without mechanical failure. Mechanical engineers seek to optimize strength and toughness while minimizing stiffness mismatch with surrounding bone tissue, as excessive stiffness can lead to stress shielding and bone resorption (</w:t>
      </w:r>
      <w:proofErr w:type="spellStart"/>
      <w:r w:rsidRPr="00860C56">
        <w:rPr>
          <w:rFonts w:ascii="Times New Roman" w:eastAsia="Times New Roman" w:hAnsi="Times New Roman" w:cs="Times New Roman"/>
          <w:sz w:val="24"/>
          <w:szCs w:val="24"/>
        </w:rPr>
        <w:t>Niinomi</w:t>
      </w:r>
      <w:proofErr w:type="spellEnd"/>
      <w:r w:rsidRPr="00860C56">
        <w:rPr>
          <w:rFonts w:ascii="Times New Roman" w:eastAsia="Times New Roman" w:hAnsi="Times New Roman" w:cs="Times New Roman"/>
          <w:sz w:val="24"/>
          <w:szCs w:val="24"/>
        </w:rPr>
        <w:t>, 2008). Conversely, biomaterials inten</w:t>
      </w:r>
      <w:r w:rsidR="00A312C8">
        <w:rPr>
          <w:rFonts w:ascii="Times New Roman" w:eastAsia="Times New Roman" w:hAnsi="Times New Roman" w:cs="Times New Roman"/>
          <w:sz w:val="24"/>
          <w:szCs w:val="24"/>
        </w:rPr>
        <w:t xml:space="preserve">ded for soft-tissue interaction </w:t>
      </w:r>
      <w:r w:rsidRPr="00860C56">
        <w:rPr>
          <w:rFonts w:ascii="Times New Roman" w:eastAsia="Times New Roman" w:hAnsi="Times New Roman" w:cs="Times New Roman"/>
          <w:sz w:val="24"/>
          <w:szCs w:val="24"/>
        </w:rPr>
        <w:t xml:space="preserve">such as cardiovascular devices, wound </w:t>
      </w:r>
      <w:r w:rsidR="00A312C8">
        <w:rPr>
          <w:rFonts w:ascii="Times New Roman" w:eastAsia="Times New Roman" w:hAnsi="Times New Roman" w:cs="Times New Roman"/>
          <w:sz w:val="24"/>
          <w:szCs w:val="24"/>
        </w:rPr>
        <w:t xml:space="preserve">dressings, and tissue scaffolds </w:t>
      </w:r>
      <w:r w:rsidRPr="00860C56">
        <w:rPr>
          <w:rFonts w:ascii="Times New Roman" w:eastAsia="Times New Roman" w:hAnsi="Times New Roman" w:cs="Times New Roman"/>
          <w:sz w:val="24"/>
          <w:szCs w:val="24"/>
        </w:rPr>
        <w:t>require compliant, deformable, and often viscoelastic behavior that accommodates large strains without damage (Fung, 1993; Lakes, 2009).</w:t>
      </w:r>
    </w:p>
    <w:p w14:paraId="70112AE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engineering tools such as Ashby material selection charts, property maps, and performance indices enable rational comparison of candidate materials and identification of optimal design spaces. This systematic approach reduces reliance on trial-and-error experimentation and enhances predictive design capability.</w:t>
      </w:r>
    </w:p>
    <w:p w14:paraId="5DA8334A"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2.2 Mechanical Behavior of Biomaterials in Physiological Environments</w:t>
      </w:r>
    </w:p>
    <w:p w14:paraId="18C48776"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 xml:space="preserve">Biomaterials function in dynamic physiological environments characterized by complex loading histories, variable strain rates, and time-dependent deformation. Mechanical engineering provides the theoretical and experimental frameworks necessary to characterize elastic, plastic, viscoelastic, and </w:t>
      </w:r>
      <w:proofErr w:type="spellStart"/>
      <w:r w:rsidRPr="00860C56">
        <w:rPr>
          <w:rFonts w:ascii="Times New Roman" w:eastAsia="Times New Roman" w:hAnsi="Times New Roman" w:cs="Times New Roman"/>
          <w:sz w:val="24"/>
          <w:szCs w:val="24"/>
        </w:rPr>
        <w:t>viscoplastic</w:t>
      </w:r>
      <w:proofErr w:type="spellEnd"/>
      <w:r w:rsidRPr="00860C56">
        <w:rPr>
          <w:rFonts w:ascii="Times New Roman" w:eastAsia="Times New Roman" w:hAnsi="Times New Roman" w:cs="Times New Roman"/>
          <w:sz w:val="24"/>
          <w:szCs w:val="24"/>
        </w:rPr>
        <w:t xml:space="preserve"> behavior under conditions representative of in vivo use (Lemaitre &amp; </w:t>
      </w:r>
      <w:proofErr w:type="spellStart"/>
      <w:r w:rsidRPr="00860C56">
        <w:rPr>
          <w:rFonts w:ascii="Times New Roman" w:eastAsia="Times New Roman" w:hAnsi="Times New Roman" w:cs="Times New Roman"/>
          <w:sz w:val="24"/>
          <w:szCs w:val="24"/>
        </w:rPr>
        <w:t>Chaboche</w:t>
      </w:r>
      <w:proofErr w:type="spellEnd"/>
      <w:r w:rsidRPr="00860C56">
        <w:rPr>
          <w:rFonts w:ascii="Times New Roman" w:eastAsia="Times New Roman" w:hAnsi="Times New Roman" w:cs="Times New Roman"/>
          <w:sz w:val="24"/>
          <w:szCs w:val="24"/>
        </w:rPr>
        <w:t>, 1990; Meyers &amp; Chawla, 2009).</w:t>
      </w:r>
    </w:p>
    <w:p w14:paraId="468D6AB8"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Time-dependent mechanical phenomena such as creep, stress relaxation, and fatigue are particularly important for long-term biomedical applications. Implants and therapeutic systems may remain in the body for years or decades, experiencing millions to billions of loading cycles. Mechanical engineers apply fatigue life prediction models, damage accumulation theories, and durability testing to ensure long-term mechanical reliability (Suresh, 1998).</w:t>
      </w:r>
    </w:p>
    <w:p w14:paraId="3A43FF2B"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mismatch between biomaterials and biological tissues is a well-recognized cause of implant failure and adverse tissue response. Excessive stiffness, insufficient compliance, or inappropriate energy dissipation can trigger inflammation, fibrosis, or mechanical loosening. Mechanical engineering design strategies aim to tailor stiffness, damping, and energy absorption to improve mechanical compatibility and functional integration with surrounding tissues (Discher et al., 2009).</w:t>
      </w:r>
    </w:p>
    <w:p w14:paraId="5DA0E4CB"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lastRenderedPageBreak/>
        <w:t>2.3 Structural Integrity and Failure Analysis</w:t>
      </w:r>
    </w:p>
    <w:p w14:paraId="0076273A"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Structural integrity assessment is a defining strength of mechanical engineering applied to biomaterials. Engineers employ stress analysis, deformation modeling, and failure theories to evaluate whether biomaterial components can withstand physiological loads throughout their intended service life. Analytical methods and computational tools such as finite element analysis (FEA) are widely used to simulate stress distribution, identify critical regions, and optimize geometry and material placement within biomedical devices (Taylor et al., 2007).</w:t>
      </w:r>
    </w:p>
    <w:p w14:paraId="4FCB89A0"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Failure mechanisms including fracture, fatigue cracking, wear, delamination, and environmentally assisted degradation are systematically studied using engineering failure models. In implantable medical devices, even minor mechanical degradation can compromise patient safety, making failure prediction and prevention essential design objectives (Callister &amp; Rethwisch, 2020).</w:t>
      </w:r>
    </w:p>
    <w:p w14:paraId="4E6BA9C0"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engineers incorporate safety factors, redundancy, damage tolerance concepts, and conservative design margins to account for uncertainty in loading conditions, material variability, and biological environment. This reliability-focused approach is central to regulatory approval and clinical acceptance of biomaterials.</w:t>
      </w:r>
    </w:p>
    <w:p w14:paraId="135BFBE7"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2.4 Manufacturability and Process Engineering</w:t>
      </w:r>
    </w:p>
    <w:p w14:paraId="4ADB7587"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Mechanical engineering plays a critical role in translating biomaterials from laboratory-scale concepts to clinically and commercially viable products. Manufacturability, scalability, reproducibility, and cost-effectiveness are essential considerations in healthcare technology development. Mechanical engineers design and optimize fabrication processes to ensure consistent material quality and controlled mechanical properties at industrial scale (Gibson et al., 2021).</w:t>
      </w:r>
    </w:p>
    <w:p w14:paraId="6038A71D"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Conventional manufacturing techniques such as injection molding, extrusion, machining, and forming are widely used for polymeric and metallic biomaterials. Process parameters are optimized to control microstructure, surface finish, and residual stresses. In parallel, ad</w:t>
      </w:r>
      <w:r w:rsidR="009560F0">
        <w:rPr>
          <w:rFonts w:ascii="Times New Roman" w:eastAsia="Times New Roman" w:hAnsi="Times New Roman" w:cs="Times New Roman"/>
          <w:sz w:val="24"/>
          <w:szCs w:val="24"/>
        </w:rPr>
        <w:t xml:space="preserve">vanced manufacturing techniques </w:t>
      </w:r>
      <w:r w:rsidRPr="00860C56">
        <w:rPr>
          <w:rFonts w:ascii="Times New Roman" w:eastAsia="Times New Roman" w:hAnsi="Times New Roman" w:cs="Times New Roman"/>
          <w:sz w:val="24"/>
          <w:szCs w:val="24"/>
        </w:rPr>
        <w:t xml:space="preserve">including additive manufacturing, electrospinning, and coating </w:t>
      </w:r>
      <w:r w:rsidR="009560F0">
        <w:rPr>
          <w:rFonts w:ascii="Times New Roman" w:eastAsia="Times New Roman" w:hAnsi="Times New Roman" w:cs="Times New Roman"/>
          <w:sz w:val="24"/>
          <w:szCs w:val="24"/>
        </w:rPr>
        <w:t xml:space="preserve">technologies </w:t>
      </w:r>
      <w:r w:rsidRPr="00860C56">
        <w:rPr>
          <w:rFonts w:ascii="Times New Roman" w:eastAsia="Times New Roman" w:hAnsi="Times New Roman" w:cs="Times New Roman"/>
          <w:sz w:val="24"/>
          <w:szCs w:val="24"/>
        </w:rPr>
        <w:t>enable complex geometries and tailored architectures that are difficult to achieve using traditional methods (Ngo et al., 2018).</w:t>
      </w:r>
    </w:p>
    <w:p w14:paraId="786FF306"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Additive manufacturing has emerged as a transformative tool in biomaterials engineering, enabling patient-specific implants and customized medical devices. Mechanical engineers optimize build orientation, thermal history, and material feedstocks to achieve desired mechanical performance while minimizing defects. Process modeling and quality assurance frameworks ensure reproducibility and regulatory compliance.</w:t>
      </w:r>
    </w:p>
    <w:p w14:paraId="79CB382B" w14:textId="77777777" w:rsidR="00C16E6E" w:rsidRDefault="00C16E6E"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0436C7BB"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2.5 Reliability, Lifecycle, and Performance Optimization</w:t>
      </w:r>
    </w:p>
    <w:p w14:paraId="4498F905"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lastRenderedPageBreak/>
        <w:t>Mechanical engineering introduces lifecycle-based design and reliability engineering methodologies to biomaterials development. Rather than focusing solely on initial performance, engineers evaluate how biomaterials evolve over time due to mechanical loading, environmental exposure, and material degradation. Reliability analysis is used to assess failure probability, maintenance requirements, and service life expectations (Ulrich &amp; Eppinger, 2016).</w:t>
      </w:r>
    </w:p>
    <w:p w14:paraId="3B961579" w14:textId="77777777" w:rsidR="00860C56" w:rsidRPr="00860C56" w:rsidRDefault="00C16E6E" w:rsidP="00860C56">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Design optimization techniques </w:t>
      </w:r>
      <w:r w:rsidR="00860C56" w:rsidRPr="00860C56">
        <w:rPr>
          <w:rFonts w:ascii="Times New Roman" w:eastAsia="Times New Roman" w:hAnsi="Times New Roman" w:cs="Times New Roman"/>
          <w:sz w:val="24"/>
          <w:szCs w:val="24"/>
        </w:rPr>
        <w:t>including sensitivity analysis, trade-off analysis, a</w:t>
      </w:r>
      <w:r>
        <w:rPr>
          <w:rFonts w:ascii="Times New Roman" w:eastAsia="Times New Roman" w:hAnsi="Times New Roman" w:cs="Times New Roman"/>
          <w:sz w:val="24"/>
          <w:szCs w:val="24"/>
        </w:rPr>
        <w:t xml:space="preserve">nd multi-objective optimization </w:t>
      </w:r>
      <w:r w:rsidR="00860C56" w:rsidRPr="00860C56">
        <w:rPr>
          <w:rFonts w:ascii="Times New Roman" w:eastAsia="Times New Roman" w:hAnsi="Times New Roman" w:cs="Times New Roman"/>
          <w:sz w:val="24"/>
          <w:szCs w:val="24"/>
        </w:rPr>
        <w:t>enable engineers to balance competing requirements such as mechanical performance, durability, manufacturability, and cost. These predictive approaches reduce development time, improve safety margins, and enhance translational success by minimizing late-stage design failures.</w:t>
      </w:r>
    </w:p>
    <w:p w14:paraId="07C2A8F0" w14:textId="77777777" w:rsidR="00860C56" w:rsidRPr="00860C56" w:rsidRDefault="00860C56" w:rsidP="00860C56">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860C56">
        <w:rPr>
          <w:rFonts w:ascii="Times New Roman" w:eastAsia="Times New Roman" w:hAnsi="Times New Roman" w:cs="Times New Roman"/>
          <w:b/>
          <w:bCs/>
          <w:sz w:val="24"/>
          <w:szCs w:val="24"/>
        </w:rPr>
        <w:t>2.6 Mechanical Engineering as a Unifying Framework for Biomaterials</w:t>
      </w:r>
    </w:p>
    <w:p w14:paraId="51D7BAD4"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Collectively, mechanical engineering provides a unifying framework that integrates materials science, mechanics, manufacturing, and systems design into biomaterials research. By treating biomaterials as engineered systems rather than isolated biological entities, mechanical engineers enable predictive design, scalable production, and long-term reliability.</w:t>
      </w:r>
    </w:p>
    <w:p w14:paraId="5C274755" w14:textId="77777777" w:rsidR="00860C56" w:rsidRPr="00860C56" w:rsidRDefault="00860C56" w:rsidP="00860C56">
      <w:pPr>
        <w:spacing w:before="100" w:beforeAutospacing="1" w:after="100" w:afterAutospacing="1" w:line="240" w:lineRule="auto"/>
        <w:jc w:val="both"/>
        <w:rPr>
          <w:rFonts w:ascii="Times New Roman" w:eastAsia="Times New Roman" w:hAnsi="Times New Roman" w:cs="Times New Roman"/>
          <w:sz w:val="24"/>
          <w:szCs w:val="24"/>
        </w:rPr>
      </w:pPr>
      <w:r w:rsidRPr="00860C56">
        <w:rPr>
          <w:rFonts w:ascii="Times New Roman" w:eastAsia="Times New Roman" w:hAnsi="Times New Roman" w:cs="Times New Roman"/>
          <w:sz w:val="24"/>
          <w:szCs w:val="24"/>
        </w:rPr>
        <w:t>This engineering-led framework is essential for advancing biomaterials across healthcare applications, from implants and therapeutic platforms to emerging advanced material systems. It also provides a strong foundation upon which transport phenomena, nano–bio interactions, natural materials integration, and computational modeling can be rigorously built in subsequent sections of this review.</w:t>
      </w:r>
    </w:p>
    <w:p w14:paraId="69E86C6E"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3. Transport Phenomena in Healthcare Biomaterials</w:t>
      </w:r>
    </w:p>
    <w:p w14:paraId="1494AF06"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Transport phenomena constitute a core mechanical engineering contribution to biomaterials design and performance evaluation in healthcare applications. Transport processes govern how mass, momentum, and energy move through and around biomaterials within physiological environments, directly influencing therapeutic efficacy, safety, and reliability. In contrast to purely biological descriptions, mechanical engineering frameworks enable quantitative prediction of transport behavior using conservation laws, constitutive relations, and boundary conditions tailored to complex biological systems (Bird et al., 2007).</w:t>
      </w:r>
    </w:p>
    <w:p w14:paraId="270B44B6"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healthcare biomaterials, transport phenomena are particularly critical in drug delivery systems, implantable devices, tissue scaffolds, and thermal therapies. The ability of a biomaterial to deliver therapeutic agents, exchange nutrients and waste, interact with bodily fluids, or regulate heat depends fundamentally on mass transfer, fluid mechanics, and heat transfer processes. Mechanical engineers apply these principles to design biomaterials with predictable and controllable performance rather than relying on empirical trial-and-error approaches.</w:t>
      </w:r>
    </w:p>
    <w:p w14:paraId="7657B130" w14:textId="77777777" w:rsidR="00500809" w:rsidRDefault="00500809"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1D356BAF"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3.1 Mass Transport in Biomaterials Systems</w:t>
      </w:r>
    </w:p>
    <w:p w14:paraId="2570EC1F"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lastRenderedPageBreak/>
        <w:t>Mass transport is central to the function of many healthcare biomaterials, especially those used for controlled drug delivery, tissue regeneration, and therapeutic release systems. Mechanical engineers analyze mass transport using diffusion, convection, and reaction frameworks derived from conservation of species equations (Crank, 1975; Bird et al., 2007).</w:t>
      </w:r>
    </w:p>
    <w:p w14:paraId="781F290A"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drug delivery biomaterials, diffusion governs the movement of therapeutic molecules through polymer matrices, hydrogels, porous structures, or composite systems. The diffusion coefficient is influenced by material microstructure, porosity, tortuosity, swelling behavior, and molecular size of the transported species. Mechanical engineers quantify these relationships to engineer predictable release profiles over timescales ranging from hours to months (Siepmann &amp; Siepmann, 2012).</w:t>
      </w:r>
    </w:p>
    <w:p w14:paraId="5E766548"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 xml:space="preserve">Controlled release behavior is often achieved by coupling diffusion with material degradation or erosion. From a transport perspective, this involves moving boundary problems and time-dependent diffusion coefficients, which are </w:t>
      </w:r>
      <w:r w:rsidR="00FB4D2D">
        <w:rPr>
          <w:rFonts w:ascii="Times New Roman" w:eastAsia="Times New Roman" w:hAnsi="Times New Roman" w:cs="Times New Roman"/>
          <w:sz w:val="24"/>
          <w:szCs w:val="24"/>
        </w:rPr>
        <w:t>rigorously</w:t>
      </w:r>
      <w:r w:rsidRPr="00E82504">
        <w:rPr>
          <w:rFonts w:ascii="Times New Roman" w:eastAsia="Times New Roman" w:hAnsi="Times New Roman" w:cs="Times New Roman"/>
          <w:sz w:val="24"/>
          <w:szCs w:val="24"/>
        </w:rPr>
        <w:t xml:space="preserve"> treated using engineering diffusion models. Such analyses allow designers to tailor release kinetics by modifying material thickness, porosity, and microstructural organization rather than altering biological pathways alone.</w:t>
      </w:r>
    </w:p>
    <w:p w14:paraId="7F1876B6"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Beyond drug delivery, mass transport governs nutrient diffusion and waste removal in tissue scaffolds and implantable biomaterials. Insufficient transport can lead to localized hypoxia, nutrient depletion, or accumulation of toxic byproducts. Mechanical engineers evaluate transport limitations using porous media theory and effective diffusivity models to ensure adequate mass transfer throughout biomaterial constructs (Bear, 1988; Saltzman, 2001).</w:t>
      </w:r>
    </w:p>
    <w:p w14:paraId="688F121C"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3.2 Fluid Mechanics and Biomaterial–Fluid Interaction</w:t>
      </w:r>
    </w:p>
    <w:p w14:paraId="53B6AEE3"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Fluid mechanics plays a critical role in healthcare biomaterials that interact with blood, interstitial fluid, or other physiological liquids. Mechanical engineers analyze fluid flow behavior to understand how biomaterials are transported, positioned, and loaded within the body. Parameters such as velocity profiles, shear stress, pressure gradients, and residence time strongly influence biomaterial performance and safety (Fung, 1997).</w:t>
      </w:r>
    </w:p>
    <w:p w14:paraId="226017D4"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vascular and intravascular applications, biomaterials are exposed to complex, pulsatile blood flow characterized by non-Newtonian behavior and varying shear rates. Mechanical engineers apply continuum fluid mechanics and rheological models to predict how flow conditions influence transport, deposition, and mechanical loading of biomaterials. Excessive shear stress or flow disturbance can lead to adverse outcomes such as hemolysis or thrombosis, making fluid mechanical analysis essential for safe</w:t>
      </w:r>
      <w:r w:rsidR="00E26896">
        <w:rPr>
          <w:rFonts w:ascii="Times New Roman" w:eastAsia="Times New Roman" w:hAnsi="Times New Roman" w:cs="Times New Roman"/>
          <w:sz w:val="24"/>
          <w:szCs w:val="24"/>
        </w:rPr>
        <w:t xml:space="preserve"> design (</w:t>
      </w:r>
      <w:proofErr w:type="spellStart"/>
      <w:r w:rsidR="00E26896">
        <w:rPr>
          <w:rFonts w:ascii="Times New Roman" w:eastAsia="Times New Roman" w:hAnsi="Times New Roman" w:cs="Times New Roman"/>
          <w:sz w:val="24"/>
          <w:szCs w:val="24"/>
        </w:rPr>
        <w:t>Quarteroni</w:t>
      </w:r>
      <w:proofErr w:type="spellEnd"/>
      <w:r w:rsidR="00E26896">
        <w:rPr>
          <w:rFonts w:ascii="Times New Roman" w:eastAsia="Times New Roman" w:hAnsi="Times New Roman" w:cs="Times New Roman"/>
          <w:sz w:val="24"/>
          <w:szCs w:val="24"/>
        </w:rPr>
        <w:t xml:space="preserve"> et al., 2016</w:t>
      </w:r>
      <w:r w:rsidRPr="00E82504">
        <w:rPr>
          <w:rFonts w:ascii="Times New Roman" w:eastAsia="Times New Roman" w:hAnsi="Times New Roman" w:cs="Times New Roman"/>
          <w:sz w:val="24"/>
          <w:szCs w:val="24"/>
        </w:rPr>
        <w:t>).</w:t>
      </w:r>
    </w:p>
    <w:p w14:paraId="5B7EDFEE"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For implantable devices and surface-coated biomaterials, fluid flow governs mass transfer at interfaces, influencing nutrient exchange, drug elution, and surface fouling. Boundary layer analysis and convective mass transfer models are used to quantify these processes and optimize surface geometry and material properties. This engineering perspective allows designers to anticipate how biomaterials will behave under realistic physiological flow conditions rather than static laboratory environments.</w:t>
      </w:r>
    </w:p>
    <w:p w14:paraId="2D6184FB"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lastRenderedPageBreak/>
        <w:t>3.3 Transport in Porous and Structured Biomaterials</w:t>
      </w:r>
    </w:p>
    <w:p w14:paraId="11374AA8"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Many healthcare biomaterials, including tissue scaffolds, porous implants, and composite matrices, rely on engineered porosity to facilitate transport. Mechanical engineering provides robust theoretical tools for analyzing transport in porous media, treating biomaterials as continuum systems characterized by permeability, porosity, and effective transport coefficients (Bear, 1988).</w:t>
      </w:r>
    </w:p>
    <w:p w14:paraId="1137CEB9"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Darcy’s law and extended porous media models are applied to describe fluid flow through biomaterials, while effective diffusion models account for the influence of pore geometry and connectivity on mass transport. These models enable engineers to predict how scaffold architecture influences nutrient delivery, waste removal, and therapeutic distribution without relying solely on biological experimentation.</w:t>
      </w:r>
    </w:p>
    <w:p w14:paraId="250251D2"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Porosity and pore interconnectivity are not purely biological design choices but engineering variables that can be optimized to balance mechanical strength and transport efficiency. Mechanical engineers apply optimization techniques to identify architectures that satisfy both structural and transport requirements, a critical consideration for load-bearing yet permeable biomaterials.</w:t>
      </w:r>
    </w:p>
    <w:p w14:paraId="6509AB1F"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3.4 Heat Transfer in Healthcare Biomaterials</w:t>
      </w:r>
    </w:p>
    <w:p w14:paraId="3EF6A931"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Although less emphasized than mass and momentum transport, heat transfer plays an important role in several healthcare biomaterial applications. Thermal transport governs temperature regulation in implants, thermal therapies such as hyperthermia, and energy dissipation in active medical devices. Mechanical engineers apply heat conduction, convection, and transient thermal analysis to ensure safe and effective thermal performance (</w:t>
      </w:r>
      <w:proofErr w:type="spellStart"/>
      <w:r w:rsidRPr="00E82504">
        <w:rPr>
          <w:rFonts w:ascii="Times New Roman" w:eastAsia="Times New Roman" w:hAnsi="Times New Roman" w:cs="Times New Roman"/>
          <w:sz w:val="24"/>
          <w:szCs w:val="24"/>
        </w:rPr>
        <w:t>Incropera</w:t>
      </w:r>
      <w:proofErr w:type="spellEnd"/>
      <w:r w:rsidRPr="00E82504">
        <w:rPr>
          <w:rFonts w:ascii="Times New Roman" w:eastAsia="Times New Roman" w:hAnsi="Times New Roman" w:cs="Times New Roman"/>
          <w:sz w:val="24"/>
          <w:szCs w:val="24"/>
        </w:rPr>
        <w:t xml:space="preserve"> et al., 2011).</w:t>
      </w:r>
    </w:p>
    <w:p w14:paraId="17C589FB"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In hyperthermia-based therapies, biomaterials may be designed to deliver or modulate localized heating. From an engineering perspective, this requires precise control of heat generation, conduction through tissues, and convective heat loss due to blood perfusion. Thermal modeling enables prediction of temperature distributions and avoidance of unintended thermal damage to healthy tissues.</w:t>
      </w:r>
    </w:p>
    <w:p w14:paraId="104B191C"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Implantable devices may also experience localized heating due to mechanical friction, electrical activity, or environmental exposure. Mechanical engineers evaluate thermal transport to ensure that temperature rises remain within safe physiological limits over extended operation.</w:t>
      </w:r>
    </w:p>
    <w:p w14:paraId="2C0F001E"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3.5 Coupling of Transport Phenomena with Material Design</w:t>
      </w:r>
    </w:p>
    <w:p w14:paraId="56845A89"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A defining strength of mechanical engineering is the ability to integrate transport phenomena with material design. Rather than treating transport as an afterthought, engineers incorporate mass, momentum, and heat transfer considerations into the initial design of biomaterials. Material composition, geometry, and microstructure are selected to achieve desired transport performance alongside mechanical reliability.</w:t>
      </w:r>
    </w:p>
    <w:p w14:paraId="2E92193B"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lastRenderedPageBreak/>
        <w:t>This integrated approach allows predictive tuning of biomaterial behavior. For example, modifying thickness, porosity, or surface area alters diffusion paths and convective exchange, while changes in material thermal conductivity influence heat dissipation. Such relationships are quantified using transport models rather than inferred empirically.</w:t>
      </w:r>
    </w:p>
    <w:p w14:paraId="35DEAFA5"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3.6 Predictive Modeling and Design Implications</w:t>
      </w:r>
    </w:p>
    <w:p w14:paraId="3B052429" w14:textId="77777777" w:rsidR="007E2122" w:rsidRPr="007E2122" w:rsidRDefault="007E2122" w:rsidP="007E2122">
      <w:pPr>
        <w:spacing w:before="100" w:beforeAutospacing="1" w:after="100" w:afterAutospacing="1" w:line="240" w:lineRule="auto"/>
        <w:jc w:val="both"/>
        <w:rPr>
          <w:rFonts w:ascii="Times New Roman" w:eastAsia="Times New Roman" w:hAnsi="Times New Roman" w:cs="Times New Roman"/>
          <w:sz w:val="24"/>
          <w:szCs w:val="24"/>
        </w:rPr>
      </w:pPr>
      <w:r w:rsidRPr="007E2122">
        <w:rPr>
          <w:rFonts w:ascii="Times New Roman" w:eastAsia="Times New Roman" w:hAnsi="Times New Roman" w:cs="Times New Roman"/>
          <w:sz w:val="24"/>
          <w:szCs w:val="24"/>
        </w:rPr>
        <w:t>Mechanical engineering transport models provide the predictive capability required for rational biomaterials design. Governing equations derived from conservatio</w:t>
      </w:r>
      <w:r>
        <w:rPr>
          <w:rFonts w:ascii="Times New Roman" w:eastAsia="Times New Roman" w:hAnsi="Times New Roman" w:cs="Times New Roman"/>
          <w:sz w:val="24"/>
          <w:szCs w:val="24"/>
        </w:rPr>
        <w:t xml:space="preserve">n of mass, momentum, and energy </w:t>
      </w:r>
      <w:r w:rsidRPr="007E2122">
        <w:rPr>
          <w:rFonts w:ascii="Times New Roman" w:eastAsia="Times New Roman" w:hAnsi="Times New Roman" w:cs="Times New Roman"/>
          <w:sz w:val="24"/>
          <w:szCs w:val="24"/>
        </w:rPr>
        <w:t xml:space="preserve">such as </w:t>
      </w:r>
      <w:proofErr w:type="spellStart"/>
      <w:r w:rsidRPr="007E2122">
        <w:rPr>
          <w:rFonts w:ascii="Times New Roman" w:eastAsia="Times New Roman" w:hAnsi="Times New Roman" w:cs="Times New Roman"/>
          <w:sz w:val="24"/>
          <w:szCs w:val="24"/>
        </w:rPr>
        <w:t>Ficki</w:t>
      </w:r>
      <w:r>
        <w:rPr>
          <w:rFonts w:ascii="Times New Roman" w:eastAsia="Times New Roman" w:hAnsi="Times New Roman" w:cs="Times New Roman"/>
          <w:sz w:val="24"/>
          <w:szCs w:val="24"/>
        </w:rPr>
        <w:t>an</w:t>
      </w:r>
      <w:proofErr w:type="spellEnd"/>
      <w:r>
        <w:rPr>
          <w:rFonts w:ascii="Times New Roman" w:eastAsia="Times New Roman" w:hAnsi="Times New Roman" w:cs="Times New Roman"/>
          <w:sz w:val="24"/>
          <w:szCs w:val="24"/>
        </w:rPr>
        <w:t xml:space="preserve"> diffusion models, convection </w:t>
      </w:r>
      <w:r w:rsidRPr="007E2122">
        <w:rPr>
          <w:rFonts w:ascii="Times New Roman" w:eastAsia="Times New Roman" w:hAnsi="Times New Roman" w:cs="Times New Roman"/>
          <w:sz w:val="24"/>
          <w:szCs w:val="24"/>
        </w:rPr>
        <w:t>diffusion equations, porous media transport formulations, and fluid–s</w:t>
      </w:r>
      <w:r>
        <w:rPr>
          <w:rFonts w:ascii="Times New Roman" w:eastAsia="Times New Roman" w:hAnsi="Times New Roman" w:cs="Times New Roman"/>
          <w:sz w:val="24"/>
          <w:szCs w:val="24"/>
        </w:rPr>
        <w:t xml:space="preserve">tructure interaction frameworks </w:t>
      </w:r>
      <w:r w:rsidRPr="007E2122">
        <w:rPr>
          <w:rFonts w:ascii="Times New Roman" w:eastAsia="Times New Roman" w:hAnsi="Times New Roman" w:cs="Times New Roman"/>
          <w:sz w:val="24"/>
          <w:szCs w:val="24"/>
        </w:rPr>
        <w:t>enable quantitative simulation of mass transfer under physiologically relevant conditions (Bird et al., 2007; Crank, 1975; Bea</w:t>
      </w:r>
      <w:r w:rsidR="00E26896">
        <w:rPr>
          <w:rFonts w:ascii="Times New Roman" w:eastAsia="Times New Roman" w:hAnsi="Times New Roman" w:cs="Times New Roman"/>
          <w:sz w:val="24"/>
          <w:szCs w:val="24"/>
        </w:rPr>
        <w:t xml:space="preserve">r, 1988; </w:t>
      </w:r>
      <w:proofErr w:type="spellStart"/>
      <w:r w:rsidR="00E26896">
        <w:rPr>
          <w:rFonts w:ascii="Times New Roman" w:eastAsia="Times New Roman" w:hAnsi="Times New Roman" w:cs="Times New Roman"/>
          <w:sz w:val="24"/>
          <w:szCs w:val="24"/>
        </w:rPr>
        <w:t>Quarteroni</w:t>
      </w:r>
      <w:proofErr w:type="spellEnd"/>
      <w:r w:rsidR="00E26896">
        <w:rPr>
          <w:rFonts w:ascii="Times New Roman" w:eastAsia="Times New Roman" w:hAnsi="Times New Roman" w:cs="Times New Roman"/>
          <w:sz w:val="24"/>
          <w:szCs w:val="24"/>
        </w:rPr>
        <w:t xml:space="preserve"> et al., 2016</w:t>
      </w:r>
      <w:r w:rsidRPr="007E2122">
        <w:rPr>
          <w:rFonts w:ascii="Times New Roman" w:eastAsia="Times New Roman" w:hAnsi="Times New Roman" w:cs="Times New Roman"/>
          <w:sz w:val="24"/>
          <w:szCs w:val="24"/>
        </w:rPr>
        <w:t>).</w:t>
      </w:r>
    </w:p>
    <w:p w14:paraId="4F48FCDB" w14:textId="77777777" w:rsidR="007E2122" w:rsidRPr="007E2122" w:rsidRDefault="007E2122" w:rsidP="007E2122">
      <w:pPr>
        <w:spacing w:before="100" w:beforeAutospacing="1" w:after="100" w:afterAutospacing="1" w:line="240" w:lineRule="auto"/>
        <w:jc w:val="both"/>
        <w:rPr>
          <w:rFonts w:ascii="Times New Roman" w:eastAsia="Times New Roman" w:hAnsi="Times New Roman" w:cs="Times New Roman"/>
          <w:sz w:val="24"/>
          <w:szCs w:val="24"/>
        </w:rPr>
      </w:pPr>
      <w:r w:rsidRPr="007E2122">
        <w:rPr>
          <w:rFonts w:ascii="Times New Roman" w:eastAsia="Times New Roman" w:hAnsi="Times New Roman" w:cs="Times New Roman"/>
          <w:sz w:val="24"/>
          <w:szCs w:val="24"/>
        </w:rPr>
        <w:t xml:space="preserve">These models allow designers to predict drug release kinetics, nutrient transport, and particle residence times as functions of material properties, geometry, and flow conditions. By systematically exploring design parameters </w:t>
      </w:r>
      <w:r w:rsidRPr="007E2122">
        <w:rPr>
          <w:rFonts w:ascii="Times New Roman" w:eastAsia="Times New Roman" w:hAnsi="Times New Roman" w:cs="Times New Roman"/>
          <w:i/>
          <w:iCs/>
          <w:sz w:val="24"/>
          <w:szCs w:val="24"/>
        </w:rPr>
        <w:t>in silico</w:t>
      </w:r>
      <w:r w:rsidRPr="007E2122">
        <w:rPr>
          <w:rFonts w:ascii="Times New Roman" w:eastAsia="Times New Roman" w:hAnsi="Times New Roman" w:cs="Times New Roman"/>
          <w:sz w:val="24"/>
          <w:szCs w:val="24"/>
        </w:rPr>
        <w:t xml:space="preserve">, transport modeling reduces reliance on extensive </w:t>
      </w:r>
      <w:r w:rsidRPr="007E2122">
        <w:rPr>
          <w:rFonts w:ascii="Times New Roman" w:eastAsia="Times New Roman" w:hAnsi="Times New Roman" w:cs="Times New Roman"/>
          <w:i/>
          <w:iCs/>
          <w:sz w:val="24"/>
          <w:szCs w:val="24"/>
        </w:rPr>
        <w:t>in vivo</w:t>
      </w:r>
      <w:r w:rsidRPr="007E2122">
        <w:rPr>
          <w:rFonts w:ascii="Times New Roman" w:eastAsia="Times New Roman" w:hAnsi="Times New Roman" w:cs="Times New Roman"/>
          <w:sz w:val="24"/>
          <w:szCs w:val="24"/>
        </w:rPr>
        <w:t xml:space="preserve"> testing, narrows viable design spaces, and identifies dominant variables early in the development process (Saltzman, 2001; Siepmann &amp; Siepmann, 2012; Mitragotri &amp; Lahann, 2009).</w:t>
      </w:r>
    </w:p>
    <w:p w14:paraId="3E192DBB" w14:textId="77777777" w:rsidR="007E2122" w:rsidRPr="007E2122" w:rsidRDefault="007E2122" w:rsidP="007E2122">
      <w:pPr>
        <w:spacing w:before="100" w:beforeAutospacing="1" w:after="100" w:afterAutospacing="1" w:line="240" w:lineRule="auto"/>
        <w:jc w:val="both"/>
        <w:rPr>
          <w:rFonts w:ascii="Times New Roman" w:eastAsia="Times New Roman" w:hAnsi="Times New Roman" w:cs="Times New Roman"/>
          <w:sz w:val="24"/>
          <w:szCs w:val="24"/>
        </w:rPr>
      </w:pPr>
      <w:r w:rsidRPr="007E2122">
        <w:rPr>
          <w:rFonts w:ascii="Times New Roman" w:eastAsia="Times New Roman" w:hAnsi="Times New Roman" w:cs="Times New Roman"/>
          <w:sz w:val="24"/>
          <w:szCs w:val="24"/>
        </w:rPr>
        <w:t xml:space="preserve">Importantly, transport-based design supports scalability and reproducibility. Biomaterials engineered using well-defined transport principles can be manufactured with consistent performance across batches and patient populations, an essential requirement for regulatory approval and clinical translation (Ratner et al., 2013; </w:t>
      </w:r>
      <w:proofErr w:type="spellStart"/>
      <w:r w:rsidRPr="007E2122">
        <w:rPr>
          <w:rFonts w:ascii="Times New Roman" w:eastAsia="Times New Roman" w:hAnsi="Times New Roman" w:cs="Times New Roman"/>
          <w:sz w:val="24"/>
          <w:szCs w:val="24"/>
        </w:rPr>
        <w:t>Fadeel</w:t>
      </w:r>
      <w:proofErr w:type="spellEnd"/>
      <w:r w:rsidRPr="007E2122">
        <w:rPr>
          <w:rFonts w:ascii="Times New Roman" w:eastAsia="Times New Roman" w:hAnsi="Times New Roman" w:cs="Times New Roman"/>
          <w:sz w:val="24"/>
          <w:szCs w:val="24"/>
        </w:rPr>
        <w:t xml:space="preserve"> et al., 2018).</w:t>
      </w:r>
    </w:p>
    <w:p w14:paraId="66FC4668" w14:textId="77777777" w:rsidR="00E82504" w:rsidRPr="00E82504" w:rsidRDefault="00E82504" w:rsidP="00E82504">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E82504">
        <w:rPr>
          <w:rFonts w:ascii="Times New Roman" w:eastAsia="Times New Roman" w:hAnsi="Times New Roman" w:cs="Times New Roman"/>
          <w:b/>
          <w:bCs/>
          <w:sz w:val="24"/>
          <w:szCs w:val="24"/>
        </w:rPr>
        <w:t>3.7 Engineering Perspective on Transport-Limited Performance</w:t>
      </w:r>
    </w:p>
    <w:p w14:paraId="7725FE10"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From a mechanical engineering viewpoint, many limitations in biomaterials performance arise not from biological incompatibility but from transport constraints. Inadequate mass transfer, unfavorable flow conditions, or poor thermal management can undermine otherwise effective biomaterials. Recognizing and addressing these limitations through transport analysis enables more robust and reliable healthcare technologies.</w:t>
      </w:r>
    </w:p>
    <w:p w14:paraId="07909670" w14:textId="77777777" w:rsidR="00E82504" w:rsidRPr="00E82504" w:rsidRDefault="00E82504" w:rsidP="00E82504">
      <w:pPr>
        <w:spacing w:before="100" w:beforeAutospacing="1" w:after="100" w:afterAutospacing="1" w:line="240" w:lineRule="auto"/>
        <w:jc w:val="both"/>
        <w:rPr>
          <w:rFonts w:ascii="Times New Roman" w:eastAsia="Times New Roman" w:hAnsi="Times New Roman" w:cs="Times New Roman"/>
          <w:sz w:val="24"/>
          <w:szCs w:val="24"/>
        </w:rPr>
      </w:pPr>
      <w:r w:rsidRPr="00E82504">
        <w:rPr>
          <w:rFonts w:ascii="Times New Roman" w:eastAsia="Times New Roman" w:hAnsi="Times New Roman" w:cs="Times New Roman"/>
          <w:sz w:val="24"/>
          <w:szCs w:val="24"/>
        </w:rPr>
        <w:t>By grounding biomaterials design in transport phenomena, mechanical engineering provides a rigorous foundation for optimizing performance across diverse healthcare applications. This perspective complements biological insights while offering predictive, scalable, and quantitatively verifiable design strategies.</w:t>
      </w:r>
    </w:p>
    <w:p w14:paraId="50E80C72"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4. Nano–Bio Interactions from an Engineering Perspective</w:t>
      </w:r>
    </w:p>
    <w:p w14:paraId="71324F5F"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 xml:space="preserve">Nano–bio interactions represent a critical interface where engineered materials meet biological systems. At the nanoscale, biomaterial behavior is governed not only by chemical composition or biological signaling but also by mechanical contact, interfacial forces, deformation, and energy minimization. Mechanical engineering provides a rigorous framework for interpreting these </w:t>
      </w:r>
      <w:r w:rsidRPr="006F0CBB">
        <w:rPr>
          <w:rFonts w:ascii="Times New Roman" w:eastAsia="Times New Roman" w:hAnsi="Times New Roman" w:cs="Times New Roman"/>
          <w:sz w:val="24"/>
          <w:szCs w:val="24"/>
        </w:rPr>
        <w:lastRenderedPageBreak/>
        <w:t>interactions quantitatively, using principles of mechanics, surface science, and thermodynamics rather than relying solely on biochemical descriptions (</w:t>
      </w:r>
      <w:proofErr w:type="spellStart"/>
      <w:r w:rsidRPr="006F0CBB">
        <w:rPr>
          <w:rFonts w:ascii="Times New Roman" w:eastAsia="Times New Roman" w:hAnsi="Times New Roman" w:cs="Times New Roman"/>
          <w:sz w:val="24"/>
          <w:szCs w:val="24"/>
        </w:rPr>
        <w:t>Israelachvili</w:t>
      </w:r>
      <w:proofErr w:type="spellEnd"/>
      <w:r w:rsidRPr="006F0CBB">
        <w:rPr>
          <w:rFonts w:ascii="Times New Roman" w:eastAsia="Times New Roman" w:hAnsi="Times New Roman" w:cs="Times New Roman"/>
          <w:sz w:val="24"/>
          <w:szCs w:val="24"/>
        </w:rPr>
        <w:t>, 2011; Nel et al., 2009).</w:t>
      </w:r>
    </w:p>
    <w:p w14:paraId="321BE72C"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From an engineering standpoint, nano–bio interactions can be understood as the outcome of competing forces and energy contributions acting at interfaces between nanoparticles, cells, tissues, and surrounding fluids. These interactions determine nanoparticle stability, adhesion to biological surfaces, deformation of soft tissues, and subsequent biological response. Treating nano–bio interactions as force- and energy-driven processes enables predictive design of biomaterials with controlled interaction behavior.</w:t>
      </w:r>
    </w:p>
    <w:p w14:paraId="73805FF8"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4.1 Length-Scale Effects and Mechanical Dominance at the Nanoscale</w:t>
      </w:r>
    </w:p>
    <w:p w14:paraId="1EEE96E5"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At the nanoscale, surface forces dominate over body forces such as gravity and inertia. Mechanical engineers recognize that as characteristic length scales decrease, surface-to-volume ratios increase dramatically, amplifying the influence of interfacial phenomena. Consequently, nanoparticle interactions with cells and tissues are governed primarily by surface forces, contact mechanics, and interfacial energy rather than bulk material properties (</w:t>
      </w:r>
      <w:proofErr w:type="spellStart"/>
      <w:r w:rsidRPr="006F0CBB">
        <w:rPr>
          <w:rFonts w:ascii="Times New Roman" w:eastAsia="Times New Roman" w:hAnsi="Times New Roman" w:cs="Times New Roman"/>
          <w:sz w:val="24"/>
          <w:szCs w:val="24"/>
        </w:rPr>
        <w:t>Israelachvili</w:t>
      </w:r>
      <w:proofErr w:type="spellEnd"/>
      <w:r w:rsidRPr="006F0CBB">
        <w:rPr>
          <w:rFonts w:ascii="Times New Roman" w:eastAsia="Times New Roman" w:hAnsi="Times New Roman" w:cs="Times New Roman"/>
          <w:sz w:val="24"/>
          <w:szCs w:val="24"/>
        </w:rPr>
        <w:t>, 2011).</w:t>
      </w:r>
    </w:p>
    <w:p w14:paraId="421F94F3"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This shift in dominant forces explains why nanoparticle size, shape, and surface characteristics strongly influence biological outcomes. Mechanical engineering frameworks explicitly account for these scaling effects, enabling rational interpretation of why nanoparticles behave differently from microscale or bulk biomaterials when interacting with biological systems.</w:t>
      </w:r>
    </w:p>
    <w:p w14:paraId="50A20C3D"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4.2 Mechanical Contact and Deformation at the Nano–Bio Interface</w:t>
      </w:r>
    </w:p>
    <w:p w14:paraId="73BC5174"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 xml:space="preserve">Mechanical contact between nanoparticles and biological surfaces is a fundamental aspect of nano–bio interactions. Cells and tissues are mechanically compliant, exhibiting viscoelastic and </w:t>
      </w:r>
      <w:proofErr w:type="spellStart"/>
      <w:r w:rsidRPr="006F0CBB">
        <w:rPr>
          <w:rFonts w:ascii="Times New Roman" w:eastAsia="Times New Roman" w:hAnsi="Times New Roman" w:cs="Times New Roman"/>
          <w:sz w:val="24"/>
          <w:szCs w:val="24"/>
        </w:rPr>
        <w:t>poroelastic</w:t>
      </w:r>
      <w:proofErr w:type="spellEnd"/>
      <w:r w:rsidRPr="006F0CBB">
        <w:rPr>
          <w:rFonts w:ascii="Times New Roman" w:eastAsia="Times New Roman" w:hAnsi="Times New Roman" w:cs="Times New Roman"/>
          <w:sz w:val="24"/>
          <w:szCs w:val="24"/>
        </w:rPr>
        <w:t xml:space="preserve"> behavior. When nanoparticles come into contact with cell membranes, local deformation occurs, altering contact area and interaction energy (Fung, 1993; Discher et al., 2009).</w:t>
      </w:r>
    </w:p>
    <w:p w14:paraId="1A8DD26B"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Mechanical engineers analyze these interactions using contact mechanics theories adapted to soft materials. Parameters such as nanoparticle stiffness, surface roughness, and geometry influence the extent of membrane deformation and the effective contact area. Softer biological membranes deform more readily, increasing adhesion energy and interaction time, whereas stiffer interfaces may reduce contact and promote detachment.</w:t>
      </w:r>
    </w:p>
    <w:p w14:paraId="4DCE0F56"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Importantly, this mechanical perspective explains why nanoparticle stiffness and shape can influence cellular uptake and adhesion independently of biochemical signaling. Engineering analysis thus provides a complementary explanation to biological interpretations of nanoparticle–cell interaction.</w:t>
      </w:r>
    </w:p>
    <w:p w14:paraId="752F467B" w14:textId="77777777" w:rsidR="00F65B62" w:rsidRDefault="00F65B62"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p>
    <w:p w14:paraId="31AFE0A2"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4.3 Interfacial Forces Governing Nano–Bio Interactions</w:t>
      </w:r>
    </w:p>
    <w:p w14:paraId="43497BBF"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lastRenderedPageBreak/>
        <w:t>At the nano–bio interface, interaction behavior is governed by a balance of attractive and repulsive forces. Mechanical engineering frameworks categorize these forces into van der Waals interactions, electrostatic interactions, steric repulsion, and hydration forces. The net interaction potential determines whether nanoparticles remain stable in suspension, adhere to biological surfaces, or aggregate (Hunter, 2001).</w:t>
      </w:r>
    </w:p>
    <w:p w14:paraId="751D2081"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Van der Waals forces arise from electromagnetic fluctuations and are universally present at the nanoscale. These forces are quantified using material-dependent parameters and strongly influence nanoparticle adhesion to cell membranes. Electrostatic forces arise from surface charge and ionic environments, while steric forces emerge from surface-bound macromolecules or coatings.</w:t>
      </w:r>
    </w:p>
    <w:p w14:paraId="7974F80F"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Rather than treating these effects qualitatively, mechanical engineering applies energy-based interaction models to quantify force–distance relationships. This approach allows prediction of interaction strength and stability under different physiological conditions, providing a rational basis for nanoparticle design.</w:t>
      </w:r>
    </w:p>
    <w:p w14:paraId="175D59C1"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4.4 Energy Balance and Adhesion at the Nano–Bio Interface</w:t>
      </w:r>
    </w:p>
    <w:p w14:paraId="7348EFCA"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A defining feature of mechanical engineering analysis is the use of energy balance to describe interfacial interactions. Nano–bio adhesion can be understood as a competition between attractive interaction energy and the mechanical energy required to deform biological surfaces. Adhesion occurs when the reduction in interfacial free energy outweighs the elastic energy penalty associated with deformation (</w:t>
      </w:r>
      <w:proofErr w:type="spellStart"/>
      <w:r w:rsidRPr="006F0CBB">
        <w:rPr>
          <w:rFonts w:ascii="Times New Roman" w:eastAsia="Times New Roman" w:hAnsi="Times New Roman" w:cs="Times New Roman"/>
          <w:sz w:val="24"/>
          <w:szCs w:val="24"/>
        </w:rPr>
        <w:t>Israelachvili</w:t>
      </w:r>
      <w:proofErr w:type="spellEnd"/>
      <w:r w:rsidRPr="006F0CBB">
        <w:rPr>
          <w:rFonts w:ascii="Times New Roman" w:eastAsia="Times New Roman" w:hAnsi="Times New Roman" w:cs="Times New Roman"/>
          <w:sz w:val="24"/>
          <w:szCs w:val="24"/>
        </w:rPr>
        <w:t>, 2011).</w:t>
      </w:r>
    </w:p>
    <w:p w14:paraId="50241ECE"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This energy-based framework explains why nanoparticles may preferentially adhere to certain cells or tissues based on mechanical and surface properties rather than biochemical specificity alone. Differences in membrane stiffness, roughness, and surface energy alter the adhesion energy landscape, influencing selectivity and interaction outcomes.</w:t>
      </w:r>
    </w:p>
    <w:p w14:paraId="14BE9995"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By framing adhesion as an energy minimization problem, mechanical engineering provides predictive insight into nano–bio interactions that is difficult to obtain from purely biological experimentation.</w:t>
      </w:r>
    </w:p>
    <w:p w14:paraId="6F16AD50"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4.5 Influence of Nanoparticle Geometry and Mechanical Properties</w:t>
      </w:r>
    </w:p>
    <w:p w14:paraId="5403BB24"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Nanoparticle geometry—includin</w:t>
      </w:r>
      <w:r w:rsidR="001577CC">
        <w:rPr>
          <w:rFonts w:ascii="Times New Roman" w:eastAsia="Times New Roman" w:hAnsi="Times New Roman" w:cs="Times New Roman"/>
          <w:sz w:val="24"/>
          <w:szCs w:val="24"/>
        </w:rPr>
        <w:t xml:space="preserve">g size, shape, and aspect ratio </w:t>
      </w:r>
      <w:r w:rsidRPr="006F0CBB">
        <w:rPr>
          <w:rFonts w:ascii="Times New Roman" w:eastAsia="Times New Roman" w:hAnsi="Times New Roman" w:cs="Times New Roman"/>
          <w:sz w:val="24"/>
          <w:szCs w:val="24"/>
        </w:rPr>
        <w:t>plays a critical role in nano–bio interactions. Mechanical engineers analyze how geometry influences contact mechanics, hydrodynamic drag, and interaction forces. For example, spherical, rod-like, and plate-like nanoparticles exhibit distinct interaction behaviors due to differences in contact area and force distribution (Mitragotri &amp; Lahann, 2009).</w:t>
      </w:r>
    </w:p>
    <w:p w14:paraId="2E2F2F44"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Particle stiffness also influences interaction outcomes. Rigid nanoparticles impose higher localized stresses on soft biological membranes, while deformable particles distribute stresses more evenly. Mechanical engineering analysis allows these effects to be quantified, enabling design of nanoparticles with tailored interaction characteristics.</w:t>
      </w:r>
    </w:p>
    <w:p w14:paraId="63351FB7"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lastRenderedPageBreak/>
        <w:t>Such geometric and mechanical considerations are often overlooked in biologically focused studies but are central to engineering-driven nano–bio design.</w:t>
      </w:r>
    </w:p>
    <w:p w14:paraId="080E8B6C"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4.6 Stability of Nanoparticles in Physiological Environments</w:t>
      </w:r>
    </w:p>
    <w:p w14:paraId="31075CD7"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Before meaningful interaction with cells or tissues can occur, nanoparticles must remain mechanically and colloidally stable in physiological fluids. Mechanical engineers analyze stability using force balance and interaction energy frameworks, assessing how interparticle forces and environmental conditions influence aggregation or dispersion (Hunter, 2001; Nel et al., 2009).</w:t>
      </w:r>
    </w:p>
    <w:p w14:paraId="02817D33"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Physiological environments introduce challenges such as high ionic strength, variable pH, and mechanical shear. Engineering analysis enables prediction of how these factors influence interaction potentials and stability thresholds. Ensuring stability is a prerequisite for controlled nano–bio interaction and reliable performance.</w:t>
      </w:r>
    </w:p>
    <w:p w14:paraId="3CACBFE1" w14:textId="77777777" w:rsidR="006F0CBB" w:rsidRPr="006F0CBB" w:rsidRDefault="006F0CBB" w:rsidP="006F0CBB">
      <w:pPr>
        <w:spacing w:before="100" w:beforeAutospacing="1" w:after="100" w:afterAutospacing="1" w:line="240" w:lineRule="auto"/>
        <w:jc w:val="both"/>
        <w:outlineLvl w:val="1"/>
        <w:rPr>
          <w:rFonts w:ascii="Times New Roman" w:eastAsia="Times New Roman" w:hAnsi="Times New Roman" w:cs="Times New Roman"/>
          <w:b/>
          <w:bCs/>
          <w:sz w:val="24"/>
          <w:szCs w:val="24"/>
        </w:rPr>
      </w:pPr>
      <w:r w:rsidRPr="006F0CBB">
        <w:rPr>
          <w:rFonts w:ascii="Times New Roman" w:eastAsia="Times New Roman" w:hAnsi="Times New Roman" w:cs="Times New Roman"/>
          <w:b/>
          <w:bCs/>
          <w:sz w:val="24"/>
          <w:szCs w:val="24"/>
        </w:rPr>
        <w:t>4.7 Engineering Interpretation of Nano–Bio Interaction Outcomes</w:t>
      </w:r>
    </w:p>
    <w:p w14:paraId="4A49F6FA"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From a mechanical engineering perspective, many observed biological outcomes—such as selective adhesion, differential uptake, or</w:t>
      </w:r>
      <w:r w:rsidR="00626071">
        <w:rPr>
          <w:rFonts w:ascii="Times New Roman" w:eastAsia="Times New Roman" w:hAnsi="Times New Roman" w:cs="Times New Roman"/>
          <w:sz w:val="24"/>
          <w:szCs w:val="24"/>
        </w:rPr>
        <w:t xml:space="preserve"> variable interaction lifetimes </w:t>
      </w:r>
      <w:r w:rsidRPr="006F0CBB">
        <w:rPr>
          <w:rFonts w:ascii="Times New Roman" w:eastAsia="Times New Roman" w:hAnsi="Times New Roman" w:cs="Times New Roman"/>
          <w:sz w:val="24"/>
          <w:szCs w:val="24"/>
        </w:rPr>
        <w:t>can be interpreted as consequences of force balance, deformation, and energy minimization. This does not negate the role of biology but complements it by providing a quantitative physical foundation.</w:t>
      </w:r>
    </w:p>
    <w:p w14:paraId="1294B64E" w14:textId="77777777" w:rsidR="006F0CBB" w:rsidRPr="006F0CBB" w:rsidRDefault="006F0CBB" w:rsidP="006F0CBB">
      <w:pPr>
        <w:spacing w:before="100" w:beforeAutospacing="1" w:after="100" w:afterAutospacing="1" w:line="240" w:lineRule="auto"/>
        <w:jc w:val="both"/>
        <w:rPr>
          <w:rFonts w:ascii="Times New Roman" w:eastAsia="Times New Roman" w:hAnsi="Times New Roman" w:cs="Times New Roman"/>
          <w:sz w:val="24"/>
          <w:szCs w:val="24"/>
        </w:rPr>
      </w:pPr>
      <w:r w:rsidRPr="006F0CBB">
        <w:rPr>
          <w:rFonts w:ascii="Times New Roman" w:eastAsia="Times New Roman" w:hAnsi="Times New Roman" w:cs="Times New Roman"/>
          <w:sz w:val="24"/>
          <w:szCs w:val="24"/>
        </w:rPr>
        <w:t xml:space="preserve">By interpreting nano–bio interactions through mechanics and interfacial science, mechanical engineers enable predictive design of biomaterials with controlled interaction behavior. This framework supports scalability, reproducibility, and rational optimization, all of which are essential for translating </w:t>
      </w:r>
      <w:r w:rsidR="00626071" w:rsidRPr="006F0CBB">
        <w:rPr>
          <w:rFonts w:ascii="Times New Roman" w:eastAsia="Times New Roman" w:hAnsi="Times New Roman" w:cs="Times New Roman"/>
          <w:sz w:val="24"/>
          <w:szCs w:val="24"/>
        </w:rPr>
        <w:t>Nano biomaterials</w:t>
      </w:r>
      <w:r w:rsidRPr="006F0CBB">
        <w:rPr>
          <w:rFonts w:ascii="Times New Roman" w:eastAsia="Times New Roman" w:hAnsi="Times New Roman" w:cs="Times New Roman"/>
          <w:sz w:val="24"/>
          <w:szCs w:val="24"/>
        </w:rPr>
        <w:t xml:space="preserve"> into reliable healthcare technologies.</w:t>
      </w:r>
    </w:p>
    <w:p w14:paraId="6E228DDF" w14:textId="77777777" w:rsidR="00E5512B" w:rsidRPr="00E5512B" w:rsidRDefault="00E5512B" w:rsidP="006F0CBB">
      <w:pPr>
        <w:spacing w:before="100" w:beforeAutospacing="1" w:after="100" w:afterAutospacing="1" w:line="240" w:lineRule="auto"/>
        <w:jc w:val="both"/>
        <w:rPr>
          <w:rFonts w:ascii="Times New Roman" w:eastAsia="Times New Roman" w:hAnsi="Times New Roman" w:cs="Times New Roman"/>
          <w:b/>
          <w:bCs/>
          <w:sz w:val="24"/>
          <w:szCs w:val="24"/>
        </w:rPr>
      </w:pPr>
      <w:r w:rsidRPr="00E5512B">
        <w:rPr>
          <w:rFonts w:ascii="Times New Roman" w:eastAsia="Times New Roman" w:hAnsi="Times New Roman" w:cs="Times New Roman"/>
          <w:sz w:val="24"/>
          <w:szCs w:val="24"/>
        </w:rPr>
        <w:t>.</w:t>
      </w:r>
      <w:r w:rsidRPr="00E5512B">
        <w:rPr>
          <w:rFonts w:ascii="Times New Roman" w:eastAsia="Times New Roman" w:hAnsi="Times New Roman" w:cs="Times New Roman"/>
          <w:b/>
          <w:bCs/>
          <w:sz w:val="24"/>
          <w:szCs w:val="24"/>
        </w:rPr>
        <w:t>5. Bio-Derived and Natural Materials in Engineering Design</w:t>
      </w:r>
    </w:p>
    <w:p w14:paraId="3EA9A56A" w14:textId="77777777" w:rsidR="0034760F" w:rsidRPr="0034760F" w:rsidRDefault="0034760F" w:rsidP="0034760F">
      <w:pPr>
        <w:pStyle w:val="NormalWeb"/>
        <w:jc w:val="both"/>
      </w:pPr>
      <w:r w:rsidRPr="0034760F">
        <w:t xml:space="preserve">Bio-derived and natural materials are increasingly incorporated into healthcare biomaterials to enhance functionality, sustainability, and biocompatibility. From a mechanical engineering perspective, these materials are not treated as passive biological additives but as </w:t>
      </w:r>
      <w:r w:rsidRPr="0034760F">
        <w:rPr>
          <w:rStyle w:val="Strong"/>
          <w:b w:val="0"/>
        </w:rPr>
        <w:t>active engineering constituents</w:t>
      </w:r>
      <w:r w:rsidRPr="0034760F">
        <w:t xml:space="preserve"> that modify surface properties, mechanical response, degradation kinetics, and interfacial behavior. Their integration into biomaterials systems requires quantitative analysis of structure–property relationships, performance trade-offs, and manufacturability constraints (Ratner et al., 2013; Ashby et al., 2018).</w:t>
      </w:r>
    </w:p>
    <w:p w14:paraId="0D3BA1A9" w14:textId="77777777" w:rsidR="0034760F" w:rsidRPr="0034760F" w:rsidRDefault="0034760F" w:rsidP="0034760F">
      <w:pPr>
        <w:pStyle w:val="NormalWeb"/>
        <w:jc w:val="both"/>
      </w:pPr>
      <w:r w:rsidRPr="0034760F">
        <w:t>Mechanical engineering frameworks enable natural materials to be incorporated into predictive design methodologies, ensuring that their inclusion improves functional performance without compromising structural integrity, reliability, or scalability. This perspective is essential for translating bio-derived materials from laboratory concepts into robust healthcare technologies.</w:t>
      </w:r>
    </w:p>
    <w:p w14:paraId="43B5952E" w14:textId="77777777" w:rsidR="0034760F" w:rsidRPr="0034760F" w:rsidRDefault="0034760F" w:rsidP="0034760F">
      <w:pPr>
        <w:pStyle w:val="Heading2"/>
        <w:jc w:val="both"/>
        <w:rPr>
          <w:sz w:val="24"/>
          <w:szCs w:val="24"/>
        </w:rPr>
      </w:pPr>
      <w:r w:rsidRPr="0034760F">
        <w:rPr>
          <w:sz w:val="24"/>
          <w:szCs w:val="24"/>
        </w:rPr>
        <w:t>5.1 Engineering Classification of Bio-Derived Materials</w:t>
      </w:r>
    </w:p>
    <w:p w14:paraId="2828D5D0" w14:textId="77777777" w:rsidR="0034760F" w:rsidRPr="0034760F" w:rsidRDefault="0034760F" w:rsidP="0034760F">
      <w:pPr>
        <w:pStyle w:val="NormalWeb"/>
        <w:jc w:val="both"/>
      </w:pPr>
      <w:r w:rsidRPr="0034760F">
        <w:lastRenderedPageBreak/>
        <w:t xml:space="preserve">From an engineering standpoint, bio-derived materials can be classified based on their </w:t>
      </w:r>
      <w:r w:rsidRPr="0034760F">
        <w:rPr>
          <w:rStyle w:val="Strong"/>
          <w:b w:val="0"/>
        </w:rPr>
        <w:t>mechanical function within a composite or system</w:t>
      </w:r>
      <w:r w:rsidRPr="0034760F">
        <w:t>, rather than their biological origin. These materials may serve as load-bearing phases, reinforcing fillers, surface modifiers, stabilizing agents, or degradation-controlling components.</w:t>
      </w:r>
    </w:p>
    <w:p w14:paraId="419F46B5" w14:textId="77777777" w:rsidR="0034760F" w:rsidRPr="0034760F" w:rsidRDefault="0034760F" w:rsidP="0034760F">
      <w:pPr>
        <w:pStyle w:val="NormalWeb"/>
        <w:jc w:val="both"/>
      </w:pPr>
      <w:r w:rsidRPr="0034760F">
        <w:t>Common classes include plant-derived polymers, natural fibers, polysaccharides, proteins, and phytochemical compounds. Each class exhibits distinct mechanical, thermal, and interfacial properties that influence system-level performance. Mechanical engineers evaluate these materials using standardized metrics such as modulus, strength, toughness, density, and thermal stability, enabling direct comparison with synthetic alternatives (Callister &amp; Rethwisch, 2020).</w:t>
      </w:r>
    </w:p>
    <w:p w14:paraId="166865CC" w14:textId="77777777" w:rsidR="0034760F" w:rsidRPr="0034760F" w:rsidRDefault="0034760F" w:rsidP="0034760F">
      <w:pPr>
        <w:pStyle w:val="NormalWeb"/>
        <w:jc w:val="both"/>
      </w:pPr>
      <w:r w:rsidRPr="0034760F">
        <w:t>This classification allows natural materials to be integrated into established engineering design workflows rather than treated as biologically unique exceptions.</w:t>
      </w:r>
    </w:p>
    <w:p w14:paraId="3E1606FF" w14:textId="77777777" w:rsidR="0034760F" w:rsidRPr="0034760F" w:rsidRDefault="0034760F" w:rsidP="0034760F">
      <w:pPr>
        <w:pStyle w:val="Heading2"/>
        <w:jc w:val="both"/>
        <w:rPr>
          <w:sz w:val="24"/>
          <w:szCs w:val="24"/>
        </w:rPr>
      </w:pPr>
      <w:r w:rsidRPr="0034760F">
        <w:rPr>
          <w:sz w:val="24"/>
          <w:szCs w:val="24"/>
        </w:rPr>
        <w:t>5.2 Influence on Mechanical Properties and Structural Response</w:t>
      </w:r>
    </w:p>
    <w:p w14:paraId="6E172DD7" w14:textId="77777777" w:rsidR="0034760F" w:rsidRPr="0034760F" w:rsidRDefault="0034760F" w:rsidP="0034760F">
      <w:pPr>
        <w:pStyle w:val="NormalWeb"/>
        <w:jc w:val="both"/>
      </w:pPr>
      <w:r w:rsidRPr="0034760F">
        <w:t>The incorporation of bio-derived materials significantly influences the mechanical response of biomaterials. Natural polymers and fibers often introduce anisotropy, viscoelasticity, and nonlinear deformation behavior. Mechanical engineers analyze these effects using continuum mechanics and composite theory to predict stress–strain behavior and failure modes.</w:t>
      </w:r>
    </w:p>
    <w:p w14:paraId="0A467CB5" w14:textId="77777777" w:rsidR="0034760F" w:rsidRPr="0034760F" w:rsidRDefault="0034760F" w:rsidP="0034760F">
      <w:pPr>
        <w:pStyle w:val="NormalWeb"/>
        <w:jc w:val="both"/>
      </w:pPr>
      <w:r w:rsidRPr="0034760F">
        <w:t>In composite biomaterials, bio-derived fillers can act as reinforcing phases that enhance stiffness or toughness, provided that interfacial bonding is sufficient. Conversely, poor interfacial adhesion may lead to stress concentration, debonding, or premature failure. Mechanical engineering analysis enables optimization of material composition and processing parameters to achieve desired mechanical performance (Gibson, 2016).</w:t>
      </w:r>
    </w:p>
    <w:p w14:paraId="4D2AD8EF" w14:textId="77777777" w:rsidR="0034760F" w:rsidRPr="0034760F" w:rsidRDefault="0034760F" w:rsidP="0034760F">
      <w:pPr>
        <w:pStyle w:val="NormalWeb"/>
        <w:jc w:val="both"/>
      </w:pPr>
      <w:r w:rsidRPr="0034760F">
        <w:t>Understanding these mechanical contributions is particularly important for healthcare materials subjected to repeated loading or long-term service conditions.</w:t>
      </w:r>
    </w:p>
    <w:p w14:paraId="7FD136F7" w14:textId="77777777" w:rsidR="0034760F" w:rsidRPr="0034760F" w:rsidRDefault="0034760F" w:rsidP="0034760F">
      <w:pPr>
        <w:pStyle w:val="Heading2"/>
        <w:jc w:val="both"/>
        <w:rPr>
          <w:sz w:val="24"/>
          <w:szCs w:val="24"/>
        </w:rPr>
      </w:pPr>
      <w:r w:rsidRPr="0034760F">
        <w:rPr>
          <w:sz w:val="24"/>
          <w:szCs w:val="24"/>
        </w:rPr>
        <w:t>5.3 Surface Engineering and Interfacial Modification</w:t>
      </w:r>
    </w:p>
    <w:p w14:paraId="1836A263" w14:textId="77777777" w:rsidR="0034760F" w:rsidRPr="0034760F" w:rsidRDefault="0034760F" w:rsidP="0034760F">
      <w:pPr>
        <w:pStyle w:val="NormalWeb"/>
        <w:jc w:val="both"/>
      </w:pPr>
      <w:r w:rsidRPr="0034760F">
        <w:t>One of the most significant engineering roles of bio-derived materials lies in surface modification. Natural compounds are frequently used to alter surface roughness, surface energy, wettability, and adhesion characteristics. Mechanical engineers analyze these effects using surface mechanics and interfacial energy concepts rather than purely biochemical descriptors (</w:t>
      </w:r>
      <w:proofErr w:type="spellStart"/>
      <w:r w:rsidRPr="0034760F">
        <w:t>Israelachvili</w:t>
      </w:r>
      <w:proofErr w:type="spellEnd"/>
      <w:r w:rsidRPr="0034760F">
        <w:t>, 2011).</w:t>
      </w:r>
    </w:p>
    <w:p w14:paraId="03005ECD" w14:textId="77777777" w:rsidR="0034760F" w:rsidRPr="0034760F" w:rsidRDefault="0034760F" w:rsidP="0034760F">
      <w:pPr>
        <w:pStyle w:val="NormalWeb"/>
        <w:jc w:val="both"/>
      </w:pPr>
      <w:r w:rsidRPr="0034760F">
        <w:t>Surface-modified biomaterials exhibit altered mechanical interaction with surrounding tissues, influencing adhesion, friction, and wear behavior. From an engineering perspective, these effects can be quantified and optimized to improve functional integration and durability.</w:t>
      </w:r>
    </w:p>
    <w:p w14:paraId="40417FBE" w14:textId="77777777" w:rsidR="0034760F" w:rsidRPr="0034760F" w:rsidRDefault="0034760F" w:rsidP="0034760F">
      <w:pPr>
        <w:pStyle w:val="NormalWeb"/>
        <w:jc w:val="both"/>
      </w:pPr>
      <w:r w:rsidRPr="0034760F">
        <w:t>By treating surface modification as a mechanical design variable, bio-derived materials can be incorporated systematically rather than empirically.</w:t>
      </w:r>
    </w:p>
    <w:p w14:paraId="2BCE6861" w14:textId="77777777" w:rsidR="0034760F" w:rsidRPr="0034760F" w:rsidRDefault="0034760F" w:rsidP="0034760F">
      <w:pPr>
        <w:pStyle w:val="Heading2"/>
        <w:jc w:val="both"/>
        <w:rPr>
          <w:sz w:val="24"/>
          <w:szCs w:val="24"/>
        </w:rPr>
      </w:pPr>
      <w:r w:rsidRPr="0034760F">
        <w:rPr>
          <w:sz w:val="24"/>
          <w:szCs w:val="24"/>
        </w:rPr>
        <w:t>5.4 Degradation Behavior and Mechanical Reliability</w:t>
      </w:r>
    </w:p>
    <w:p w14:paraId="28871F3E" w14:textId="77777777" w:rsidR="0034760F" w:rsidRPr="0034760F" w:rsidRDefault="0034760F" w:rsidP="0034760F">
      <w:pPr>
        <w:pStyle w:val="NormalWeb"/>
        <w:jc w:val="both"/>
      </w:pPr>
      <w:r w:rsidRPr="0034760F">
        <w:lastRenderedPageBreak/>
        <w:t xml:space="preserve">Many bio-derived materials are inherently biodegradable, introducing time-dependent changes in mechanical properties. Mechanical engineers analyze degradation as a </w:t>
      </w:r>
      <w:r w:rsidRPr="0081424A">
        <w:rPr>
          <w:rStyle w:val="Strong"/>
          <w:b w:val="0"/>
        </w:rPr>
        <w:t>coupled material and structural problem</w:t>
      </w:r>
      <w:r w:rsidRPr="0034760F">
        <w:t>, focusing on how stiffness, strength, and load-bearing capacity evolve over time.</w:t>
      </w:r>
    </w:p>
    <w:p w14:paraId="62C6445F" w14:textId="77777777" w:rsidR="0034760F" w:rsidRPr="0034760F" w:rsidRDefault="0034760F" w:rsidP="0034760F">
      <w:pPr>
        <w:pStyle w:val="NormalWeb"/>
        <w:jc w:val="both"/>
      </w:pPr>
      <w:r w:rsidRPr="0034760F">
        <w:t>Degradation-induced property changes may lead to stress redistribution, local instability, or loss of structural integrity. Engineering analysis enables prediction of these effects through time-dependent material models, ensuring that biomaterials maintain adequate mechanical performance throughout their intended service life (Lakes, 2009).</w:t>
      </w:r>
    </w:p>
    <w:p w14:paraId="6B39C8DA" w14:textId="77777777" w:rsidR="0034760F" w:rsidRPr="0034760F" w:rsidRDefault="0034760F" w:rsidP="0034760F">
      <w:pPr>
        <w:pStyle w:val="NormalWeb"/>
        <w:jc w:val="both"/>
      </w:pPr>
      <w:r w:rsidRPr="0034760F">
        <w:t>This reliability-focused perspective distinguishes engineering treatment of natural materials from purely biological degradation studies.</w:t>
      </w:r>
    </w:p>
    <w:p w14:paraId="22DB32F5" w14:textId="77777777" w:rsidR="0034760F" w:rsidRPr="0034760F" w:rsidRDefault="0034760F" w:rsidP="0034760F">
      <w:pPr>
        <w:pStyle w:val="Heading2"/>
        <w:jc w:val="both"/>
        <w:rPr>
          <w:sz w:val="24"/>
          <w:szCs w:val="24"/>
        </w:rPr>
      </w:pPr>
      <w:r w:rsidRPr="0034760F">
        <w:rPr>
          <w:sz w:val="24"/>
          <w:szCs w:val="24"/>
        </w:rPr>
        <w:t>5.5 Role as Functional Modifiers and Stabilizing Agents</w:t>
      </w:r>
    </w:p>
    <w:p w14:paraId="4E3E99E0" w14:textId="77777777" w:rsidR="0034760F" w:rsidRPr="0034760F" w:rsidRDefault="0034760F" w:rsidP="0034760F">
      <w:pPr>
        <w:pStyle w:val="NormalWeb"/>
        <w:jc w:val="both"/>
      </w:pPr>
      <w:r w:rsidRPr="0034760F">
        <w:t>Bio-derived compounds often function as stabilizers, binders, or functional modifiers within biomaterials systems. From a mechanical engineering viewpoint, these roles influence internal cohesion, stress transfer, and resistance to mechanical damage.</w:t>
      </w:r>
    </w:p>
    <w:p w14:paraId="52A1FB0B" w14:textId="77777777" w:rsidR="0034760F" w:rsidRPr="0034760F" w:rsidRDefault="0034760F" w:rsidP="0034760F">
      <w:pPr>
        <w:pStyle w:val="NormalWeb"/>
        <w:jc w:val="both"/>
      </w:pPr>
      <w:r w:rsidRPr="0034760F">
        <w:t>For example, naturally derived stabilizing agents can improve dispersion of reinforcing phases, reduce defect formation, and enhance fatigue resistance. Mechanical engineers evaluate these effects using micromechanical models and fracture mechanics to ensure consistent performance under loading (Meyers &amp; Chawla, 2009).</w:t>
      </w:r>
    </w:p>
    <w:p w14:paraId="2B28B894" w14:textId="77777777" w:rsidR="0034760F" w:rsidRPr="0034760F" w:rsidRDefault="0034760F" w:rsidP="0034760F">
      <w:pPr>
        <w:pStyle w:val="NormalWeb"/>
        <w:jc w:val="both"/>
      </w:pPr>
      <w:r w:rsidRPr="0034760F">
        <w:t>Such functional roles are critical for ensuring that natural materials contribute positively to system-level performance rather than introducing variability.</w:t>
      </w:r>
    </w:p>
    <w:p w14:paraId="543DC89A" w14:textId="77777777" w:rsidR="0034760F" w:rsidRPr="0034760F" w:rsidRDefault="0034760F" w:rsidP="0034760F">
      <w:pPr>
        <w:pStyle w:val="Heading2"/>
        <w:jc w:val="both"/>
        <w:rPr>
          <w:sz w:val="24"/>
          <w:szCs w:val="24"/>
        </w:rPr>
      </w:pPr>
      <w:r w:rsidRPr="0034760F">
        <w:rPr>
          <w:sz w:val="24"/>
          <w:szCs w:val="24"/>
        </w:rPr>
        <w:t>5.6 Sustainability as an Engineering Constraint</w:t>
      </w:r>
    </w:p>
    <w:p w14:paraId="614596AF" w14:textId="77777777" w:rsidR="0034760F" w:rsidRPr="0034760F" w:rsidRDefault="0034760F" w:rsidP="0034760F">
      <w:pPr>
        <w:pStyle w:val="NormalWeb"/>
        <w:jc w:val="both"/>
      </w:pPr>
      <w:r w:rsidRPr="0034760F">
        <w:t>Sustainability is increasingly treated as an engineering design constraint rather than an abstract goal. Bio-derived materials offer advantages such as renewability, lower embodied energy, and reduced environmental impact. Mechanical engineers incorporate these factors into material selection and lifecycle assessment alongside traditional performance metrics (Ashby et al., 2018).</w:t>
      </w:r>
    </w:p>
    <w:p w14:paraId="45B29024" w14:textId="77777777" w:rsidR="0034760F" w:rsidRPr="0034760F" w:rsidRDefault="0034760F" w:rsidP="0034760F">
      <w:pPr>
        <w:pStyle w:val="NormalWeb"/>
        <w:jc w:val="both"/>
      </w:pPr>
      <w:r w:rsidRPr="0034760F">
        <w:t>This approach enables rational trade-offs between mechanical performance, environmental impact, and cost. By embedding sustainability within engineering decision-making, bio-derived materials can be adopted without compromising reliability or scalability.</w:t>
      </w:r>
    </w:p>
    <w:p w14:paraId="6E508360" w14:textId="77777777" w:rsidR="0034760F" w:rsidRPr="0034760F" w:rsidRDefault="0034760F" w:rsidP="0034760F">
      <w:pPr>
        <w:pStyle w:val="Heading2"/>
        <w:jc w:val="both"/>
        <w:rPr>
          <w:sz w:val="24"/>
          <w:szCs w:val="24"/>
        </w:rPr>
      </w:pPr>
      <w:r w:rsidRPr="0034760F">
        <w:rPr>
          <w:sz w:val="24"/>
          <w:szCs w:val="24"/>
        </w:rPr>
        <w:t>5.7 Integration into Predictive Engineering Design Frameworks</w:t>
      </w:r>
    </w:p>
    <w:p w14:paraId="21CCF2F6" w14:textId="77777777" w:rsidR="0034760F" w:rsidRPr="0034760F" w:rsidRDefault="0034760F" w:rsidP="0034760F">
      <w:pPr>
        <w:pStyle w:val="NormalWeb"/>
        <w:jc w:val="both"/>
      </w:pPr>
      <w:r w:rsidRPr="0034760F">
        <w:t>The ultimate contribution of mechanical engineering lies in integrating bio-derived materials into predictive design frameworks. Natural materials are characterized using the same quantitative tools applied to synthetic materials, allowing their behavior to be modeled, optimized, and scaled.</w:t>
      </w:r>
    </w:p>
    <w:p w14:paraId="4E918F39" w14:textId="77777777" w:rsidR="0051445F" w:rsidRPr="005905DB" w:rsidRDefault="0034760F" w:rsidP="005905DB">
      <w:pPr>
        <w:pStyle w:val="NormalWeb"/>
        <w:jc w:val="both"/>
      </w:pPr>
      <w:r w:rsidRPr="0034760F">
        <w:lastRenderedPageBreak/>
        <w:t>This integration reduces reliance on trial-and-error experimentation and enhances reproducibility. By treating bio-derived materials as engineering components governed by measurable properties and governing equations, mechanical engineering enables their systematic incorporation into healthcare biomaterials.</w:t>
      </w:r>
    </w:p>
    <w:p w14:paraId="41305EF7"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6. Modeling and Simulation Tools</w:t>
      </w:r>
    </w:p>
    <w:p w14:paraId="77B7FABA" w14:textId="77777777" w:rsidR="0051445F" w:rsidRDefault="0051445F" w:rsidP="0051445F">
      <w:pPr>
        <w:pStyle w:val="NormalWeb"/>
        <w:jc w:val="both"/>
      </w:pPr>
      <w:r>
        <w:t xml:space="preserve">Computational modeling and simulation constitute one of the strongest contributions of mechanical engineering to biomaterials research. Unlike empirical or purely experimental approaches, engineering-led modeling enables </w:t>
      </w:r>
      <w:r w:rsidRPr="0051445F">
        <w:rPr>
          <w:rStyle w:val="Strong"/>
          <w:b w:val="0"/>
        </w:rPr>
        <w:t>quantitative prediction, optimization, and scalability assessment</w:t>
      </w:r>
      <w:r>
        <w:t xml:space="preserve"> of biomaterials before fabrication or clinical testing. In healthcare applications, where experimental trials are costly, time-consuming, and ethically constrained, predictive modeling provides a rational framework for design a</w:t>
      </w:r>
      <w:r w:rsidR="00B853D7">
        <w:t>nd decision-making (</w:t>
      </w:r>
      <w:r>
        <w:t>Zienkiewicz et al., 2013).</w:t>
      </w:r>
    </w:p>
    <w:p w14:paraId="681A98F8" w14:textId="77777777" w:rsidR="0051445F" w:rsidRDefault="0051445F" w:rsidP="0051445F">
      <w:pPr>
        <w:pStyle w:val="NormalWeb"/>
        <w:jc w:val="both"/>
      </w:pPr>
      <w:r>
        <w:t xml:space="preserve">Mechanical engineers employ computational tools to simulate material behavior, structural response, </w:t>
      </w:r>
      <w:proofErr w:type="spellStart"/>
      <w:r>
        <w:t>multiphysics</w:t>
      </w:r>
      <w:proofErr w:type="spellEnd"/>
      <w:r>
        <w:t xml:space="preserve"> interactions, and system-level performance of biomaterials under realistic physiological conditions. Software platforms such as MATLAB, COMSOL Multiphysics, ANSYS, and Abaqus allow integration of mechanics, transport phenomena, thermal effects, and interfacial interactions into unified numerical frameworks.</w:t>
      </w:r>
    </w:p>
    <w:p w14:paraId="5F6B5568" w14:textId="77777777" w:rsidR="0051445F" w:rsidRPr="0051445F" w:rsidRDefault="0051445F" w:rsidP="0051445F">
      <w:pPr>
        <w:pStyle w:val="Heading2"/>
        <w:rPr>
          <w:sz w:val="24"/>
          <w:szCs w:val="24"/>
        </w:rPr>
      </w:pPr>
      <w:r w:rsidRPr="0051445F">
        <w:rPr>
          <w:sz w:val="24"/>
          <w:szCs w:val="24"/>
        </w:rPr>
        <w:t>6.1 Role of Modeling in Biomaterials Engineering</w:t>
      </w:r>
    </w:p>
    <w:p w14:paraId="33B86587" w14:textId="77777777" w:rsidR="0051445F" w:rsidRPr="0051445F" w:rsidRDefault="0051445F" w:rsidP="0051445F">
      <w:pPr>
        <w:pStyle w:val="NormalWeb"/>
        <w:jc w:val="both"/>
      </w:pPr>
      <w:r w:rsidRPr="0051445F">
        <w:t xml:space="preserve">From an engineering standpoint, modeling serves three primary functions: </w:t>
      </w:r>
      <w:r w:rsidRPr="0051445F">
        <w:rPr>
          <w:rStyle w:val="Strong"/>
          <w:b w:val="0"/>
        </w:rPr>
        <w:t>prediction</w:t>
      </w:r>
      <w:r w:rsidRPr="0051445F">
        <w:t xml:space="preserve">, </w:t>
      </w:r>
      <w:r w:rsidRPr="0051445F">
        <w:rPr>
          <w:rStyle w:val="Strong"/>
          <w:b w:val="0"/>
        </w:rPr>
        <w:t>optimization</w:t>
      </w:r>
      <w:r w:rsidRPr="0051445F">
        <w:t xml:space="preserve">, and </w:t>
      </w:r>
      <w:r w:rsidRPr="0051445F">
        <w:rPr>
          <w:rStyle w:val="Strong"/>
          <w:b w:val="0"/>
        </w:rPr>
        <w:t>risk reduction</w:t>
      </w:r>
      <w:r w:rsidRPr="0051445F">
        <w:t>. Predictive models estimate how biomaterials will behave under mechanical loading, environmental exposure, and operational constraints. Optimization frameworks identify parameter combinations that maximize performance while minimizing cost, failure risk, or material usage. Risk reduction is achieved by identifying failure modes and sensitivity to uncertainties early in the design process (Ulrich &amp; Eppinger, 2016).</w:t>
      </w:r>
    </w:p>
    <w:p w14:paraId="441BB15A" w14:textId="77777777" w:rsidR="0051445F" w:rsidRPr="0051445F" w:rsidRDefault="0051445F" w:rsidP="0051445F">
      <w:pPr>
        <w:pStyle w:val="NormalWeb"/>
        <w:jc w:val="both"/>
      </w:pPr>
      <w:r w:rsidRPr="0051445F">
        <w:t>In biomaterials research, these functions enable systematic evaluation of design choices such as material composition, geometry, surface modification, and fabrication parameters. Mechanical engineers rely on governing equations derived from continuum mechanics, thermodynamics, and transport theory rather than empirical correlations alone.</w:t>
      </w:r>
    </w:p>
    <w:p w14:paraId="756FA435" w14:textId="77777777" w:rsidR="0051445F" w:rsidRPr="0051445F" w:rsidRDefault="0051445F" w:rsidP="0051445F">
      <w:pPr>
        <w:pStyle w:val="Heading2"/>
        <w:jc w:val="both"/>
        <w:rPr>
          <w:sz w:val="24"/>
          <w:szCs w:val="24"/>
        </w:rPr>
      </w:pPr>
      <w:r w:rsidRPr="0051445F">
        <w:rPr>
          <w:sz w:val="24"/>
          <w:szCs w:val="24"/>
        </w:rPr>
        <w:t>6.2 Finite Element Modeling of Biomaterials</w:t>
      </w:r>
    </w:p>
    <w:p w14:paraId="56FB6F47" w14:textId="77777777" w:rsidR="0051445F" w:rsidRPr="0051445F" w:rsidRDefault="0051445F" w:rsidP="0051445F">
      <w:pPr>
        <w:pStyle w:val="NormalWeb"/>
        <w:jc w:val="both"/>
      </w:pPr>
      <w:r w:rsidRPr="0051445F">
        <w:t>Finite element analysis (FEA) is a cornerstone of mechanical engineering simulation applied to biomaterials. FEA enables spatially resolved analysis of stress, strain, deformation, and failure within complex geometries and heterogeneous materials. In healthcare applications, FEA is used extensively to evaluate implants, scaffolds, and composite biomaterials under physiological loading conditions (Taylor et al., 2007).</w:t>
      </w:r>
    </w:p>
    <w:p w14:paraId="06E8D189" w14:textId="77777777" w:rsidR="0051445F" w:rsidRPr="0051445F" w:rsidRDefault="0051445F" w:rsidP="0051445F">
      <w:pPr>
        <w:pStyle w:val="NormalWeb"/>
        <w:jc w:val="both"/>
      </w:pPr>
      <w:r w:rsidRPr="0051445F">
        <w:t xml:space="preserve">Mechanical engineers construct constitutive models that capture elastic, plastic, viscoelastic, or damage behavior of biomaterials. These models are implemented within FEA frameworks to predict time-dependent response, fatigue life, and failure initiation. Geometry optimization and </w:t>
      </w:r>
      <w:r w:rsidRPr="0051445F">
        <w:lastRenderedPageBreak/>
        <w:t>material distribution strategies are then applied to reduce stress concentrations and enhance durability.</w:t>
      </w:r>
    </w:p>
    <w:p w14:paraId="2CBB26F9" w14:textId="77777777" w:rsidR="0051445F" w:rsidRPr="0051445F" w:rsidRDefault="0051445F" w:rsidP="0051445F">
      <w:pPr>
        <w:pStyle w:val="NormalWeb"/>
        <w:jc w:val="both"/>
      </w:pPr>
      <w:r w:rsidRPr="0051445F">
        <w:t>Importantly, FEA allows biomaterials to be evaluated under patient-specific loading scenarios, supporting personalized healthcare solutions while maintaining engineering rigor.</w:t>
      </w:r>
    </w:p>
    <w:p w14:paraId="22D2ECC2" w14:textId="77777777" w:rsidR="0051445F" w:rsidRPr="0051445F" w:rsidRDefault="0051445F" w:rsidP="0051445F">
      <w:pPr>
        <w:pStyle w:val="Heading2"/>
        <w:jc w:val="both"/>
        <w:rPr>
          <w:sz w:val="24"/>
          <w:szCs w:val="24"/>
        </w:rPr>
      </w:pPr>
      <w:r w:rsidRPr="0051445F">
        <w:rPr>
          <w:sz w:val="24"/>
          <w:szCs w:val="24"/>
        </w:rPr>
        <w:t>6.3 Multiphysics Simulation Frameworks</w:t>
      </w:r>
    </w:p>
    <w:p w14:paraId="10D1A133" w14:textId="77777777" w:rsidR="0051445F" w:rsidRPr="0051445F" w:rsidRDefault="0051445F" w:rsidP="0051445F">
      <w:pPr>
        <w:pStyle w:val="NormalWeb"/>
        <w:jc w:val="both"/>
      </w:pPr>
      <w:r w:rsidRPr="0051445F">
        <w:t xml:space="preserve">Biomaterials often operate in environments where multiple physical processes interact simultaneously. Mechanical engineering addresses this complexity through </w:t>
      </w:r>
      <w:proofErr w:type="spellStart"/>
      <w:r w:rsidRPr="0051445F">
        <w:rPr>
          <w:rStyle w:val="Strong"/>
          <w:b w:val="0"/>
        </w:rPr>
        <w:t>multiphysics</w:t>
      </w:r>
      <w:proofErr w:type="spellEnd"/>
      <w:r w:rsidRPr="0051445F">
        <w:rPr>
          <w:rStyle w:val="Strong"/>
          <w:b w:val="0"/>
        </w:rPr>
        <w:t xml:space="preserve"> modeling</w:t>
      </w:r>
      <w:r w:rsidRPr="0051445F">
        <w:t>, which couples mechanics with transport, thermal, and interfacial phenomena.</w:t>
      </w:r>
    </w:p>
    <w:p w14:paraId="5521E962" w14:textId="77777777" w:rsidR="0051445F" w:rsidRPr="0051445F" w:rsidRDefault="0051445F" w:rsidP="0051445F">
      <w:pPr>
        <w:pStyle w:val="NormalWeb"/>
        <w:jc w:val="both"/>
      </w:pPr>
      <w:r w:rsidRPr="0051445F">
        <w:t>COMSOL Multiphysics and similar platforms enable simultaneous solution of governing equations for solid mechanics, fluid flow, mass transport, and heat transfer. This capability is essential for capturing realistic operating conditions in healthcare systems, where material deformation influences transport behavior and vice versa</w:t>
      </w:r>
      <w:r w:rsidR="00E26896">
        <w:t xml:space="preserve"> (</w:t>
      </w:r>
      <w:proofErr w:type="spellStart"/>
      <w:r w:rsidR="00E26896">
        <w:t>Quarteroni</w:t>
      </w:r>
      <w:proofErr w:type="spellEnd"/>
      <w:r w:rsidR="00E26896">
        <w:t xml:space="preserve"> et al., 2016</w:t>
      </w:r>
      <w:r w:rsidRPr="0051445F">
        <w:t>).</w:t>
      </w:r>
    </w:p>
    <w:p w14:paraId="110335DD" w14:textId="77777777" w:rsidR="0051445F" w:rsidRPr="0051445F" w:rsidRDefault="0051445F" w:rsidP="0051445F">
      <w:pPr>
        <w:pStyle w:val="NormalWeb"/>
        <w:jc w:val="both"/>
      </w:pPr>
      <w:r w:rsidRPr="0051445F">
        <w:t>By integrating these coupled effects, engineers can evaluate system-level performance rather than isolated material properties.</w:t>
      </w:r>
    </w:p>
    <w:p w14:paraId="433609EB" w14:textId="77777777" w:rsidR="0051445F" w:rsidRPr="0051445F" w:rsidRDefault="0051445F" w:rsidP="0051445F">
      <w:pPr>
        <w:pStyle w:val="Heading2"/>
        <w:jc w:val="both"/>
        <w:rPr>
          <w:sz w:val="24"/>
          <w:szCs w:val="24"/>
        </w:rPr>
      </w:pPr>
      <w:r w:rsidRPr="0051445F">
        <w:rPr>
          <w:sz w:val="24"/>
          <w:szCs w:val="24"/>
        </w:rPr>
        <w:t>6.4 Parametric Analysis and Design Space Exploration</w:t>
      </w:r>
    </w:p>
    <w:p w14:paraId="0B2763C7" w14:textId="77777777" w:rsidR="0051445F" w:rsidRPr="0051445F" w:rsidRDefault="0051445F" w:rsidP="0051445F">
      <w:pPr>
        <w:pStyle w:val="NormalWeb"/>
        <w:jc w:val="both"/>
      </w:pPr>
      <w:r w:rsidRPr="0051445F">
        <w:t xml:space="preserve">A defining advantage of computational modeling is the ability to perform </w:t>
      </w:r>
      <w:r w:rsidRPr="0051445F">
        <w:rPr>
          <w:rStyle w:val="Strong"/>
          <w:b w:val="0"/>
        </w:rPr>
        <w:t>parametric and sensitivity analyses</w:t>
      </w:r>
      <w:r w:rsidRPr="0051445F">
        <w:t>. Mechanical engineers systematically vary input parameters</w:t>
      </w:r>
      <w:r>
        <w:t xml:space="preserve"> </w:t>
      </w:r>
      <w:r w:rsidRPr="0051445F">
        <w:t>such as material properties, geometry, boundary cond</w:t>
      </w:r>
      <w:r w:rsidR="00603392">
        <w:t xml:space="preserve">itions, or processing variables </w:t>
      </w:r>
      <w:r w:rsidRPr="0051445F">
        <w:t>to assess their influence on performance metrics.</w:t>
      </w:r>
    </w:p>
    <w:p w14:paraId="012B6FE3" w14:textId="77777777" w:rsidR="0051445F" w:rsidRPr="0051445F" w:rsidRDefault="0051445F" w:rsidP="0051445F">
      <w:pPr>
        <w:pStyle w:val="NormalWeb"/>
        <w:jc w:val="both"/>
      </w:pPr>
      <w:r w:rsidRPr="0051445F">
        <w:t>Sensitivity analysis identifies dominant parameters governing system behavior, allowing engineers to focus experimental effort on critical variables. This approach reduces development time and minimizes reliance on trial-and-error experimentation (</w:t>
      </w:r>
      <w:proofErr w:type="spellStart"/>
      <w:r w:rsidRPr="0051445F">
        <w:t>Saltelli</w:t>
      </w:r>
      <w:proofErr w:type="spellEnd"/>
      <w:r w:rsidRPr="0051445F">
        <w:t xml:space="preserve"> et al., 2008).</w:t>
      </w:r>
    </w:p>
    <w:p w14:paraId="7A6FF97B" w14:textId="77777777" w:rsidR="0051445F" w:rsidRPr="0051445F" w:rsidRDefault="0051445F" w:rsidP="0051445F">
      <w:pPr>
        <w:pStyle w:val="NormalWeb"/>
        <w:jc w:val="both"/>
      </w:pPr>
      <w:r w:rsidRPr="0051445F">
        <w:t>Design space exploration also supports robust design by identifying regions where performance is insensitive to variability, improving reliability and manufacturability.</w:t>
      </w:r>
    </w:p>
    <w:p w14:paraId="34C2CF5C" w14:textId="77777777" w:rsidR="0051445F" w:rsidRPr="0051445F" w:rsidRDefault="0051445F" w:rsidP="0051445F">
      <w:pPr>
        <w:pStyle w:val="Heading2"/>
        <w:jc w:val="both"/>
        <w:rPr>
          <w:sz w:val="24"/>
          <w:szCs w:val="24"/>
        </w:rPr>
      </w:pPr>
      <w:r w:rsidRPr="0051445F">
        <w:rPr>
          <w:sz w:val="24"/>
          <w:szCs w:val="24"/>
        </w:rPr>
        <w:t>6.5 MATLAB-Based Modeling and Data Integration</w:t>
      </w:r>
    </w:p>
    <w:p w14:paraId="3099BC30" w14:textId="77777777" w:rsidR="0051445F" w:rsidRPr="0051445F" w:rsidRDefault="0051445F" w:rsidP="0051445F">
      <w:pPr>
        <w:pStyle w:val="NormalWeb"/>
        <w:jc w:val="both"/>
      </w:pPr>
      <w:r w:rsidRPr="0051445F">
        <w:t>MATLAB plays a central role in mechanical engineering biomaterials research due to its flexibility in numerical computation, optimization, and data analysis. Engineers use MATLAB to develop custom models for constitutive behavior, degradation kinetics, optimization routines, and system-level simulations.</w:t>
      </w:r>
    </w:p>
    <w:p w14:paraId="14D54705" w14:textId="77777777" w:rsidR="0051445F" w:rsidRPr="0051445F" w:rsidRDefault="0051445F" w:rsidP="0051445F">
      <w:pPr>
        <w:pStyle w:val="NormalWeb"/>
        <w:jc w:val="both"/>
      </w:pPr>
      <w:r w:rsidRPr="0051445F">
        <w:t>MATLAB is particularly valuable for integrating experimental data with theoretical models. Regression analysis, machine learning tools, and statistical validation methods allow engineers to calibrate models and quantify uncertainty (</w:t>
      </w:r>
      <w:proofErr w:type="spellStart"/>
      <w:r w:rsidR="00E2066D">
        <w:t>Raissi</w:t>
      </w:r>
      <w:proofErr w:type="spellEnd"/>
      <w:r w:rsidR="00E2066D">
        <w:t xml:space="preserve"> et al., 2019</w:t>
      </w:r>
      <w:r w:rsidRPr="0051445F">
        <w:t>).</w:t>
      </w:r>
    </w:p>
    <w:p w14:paraId="55124C87" w14:textId="77777777" w:rsidR="0051445F" w:rsidRPr="0051445F" w:rsidRDefault="0051445F" w:rsidP="0051445F">
      <w:pPr>
        <w:pStyle w:val="NormalWeb"/>
        <w:jc w:val="both"/>
      </w:pPr>
      <w:r w:rsidRPr="0051445F">
        <w:t>This integration strengthens predictive accuracy and enhances confidence in design decisions.</w:t>
      </w:r>
    </w:p>
    <w:p w14:paraId="3A0EBC59" w14:textId="77777777" w:rsidR="0051445F" w:rsidRPr="0051445F" w:rsidRDefault="0051445F" w:rsidP="0051445F">
      <w:pPr>
        <w:pStyle w:val="Heading2"/>
        <w:jc w:val="both"/>
        <w:rPr>
          <w:sz w:val="24"/>
          <w:szCs w:val="24"/>
        </w:rPr>
      </w:pPr>
      <w:r w:rsidRPr="0051445F">
        <w:rPr>
          <w:sz w:val="24"/>
          <w:szCs w:val="24"/>
        </w:rPr>
        <w:lastRenderedPageBreak/>
        <w:t>6.6 Model Validation and Engineering Reliability</w:t>
      </w:r>
    </w:p>
    <w:p w14:paraId="625C6BFC" w14:textId="77777777" w:rsidR="0051445F" w:rsidRPr="0051445F" w:rsidRDefault="0051445F" w:rsidP="0051445F">
      <w:pPr>
        <w:pStyle w:val="NormalWeb"/>
        <w:jc w:val="both"/>
      </w:pPr>
      <w:r w:rsidRPr="0051445F">
        <w:t xml:space="preserve">Mechanical engineering emphasizes </w:t>
      </w:r>
      <w:r w:rsidRPr="0051445F">
        <w:rPr>
          <w:rStyle w:val="Strong"/>
          <w:b w:val="0"/>
        </w:rPr>
        <w:t>model validation and verification</w:t>
      </w:r>
      <w:r w:rsidRPr="0051445F">
        <w:t xml:space="preserve"> as essential steps in simulation-driven design. Models are validated against experimental data to ensure physical realism and predictive accuracy. Verification ensures numerical correctness and convergence of solutions (Oberkampf &amp; Roy, 2010).</w:t>
      </w:r>
    </w:p>
    <w:p w14:paraId="0EA79198" w14:textId="77777777" w:rsidR="0051445F" w:rsidRPr="0051445F" w:rsidRDefault="0051445F" w:rsidP="0051445F">
      <w:pPr>
        <w:pStyle w:val="NormalWeb"/>
        <w:jc w:val="both"/>
      </w:pPr>
      <w:r w:rsidRPr="0051445F">
        <w:t>Reliability engineering concepts are applied to assess uncertainty, variability, and failure probability. By incorporating safety factors, probabilistic analysis, and robustness metrics, mechanical engineers ensure that biomaterials designs meet stringent healthcare reliability requirements.</w:t>
      </w:r>
    </w:p>
    <w:p w14:paraId="4D892F09" w14:textId="77777777" w:rsidR="0051445F" w:rsidRPr="0051445F" w:rsidRDefault="0051445F" w:rsidP="0051445F">
      <w:pPr>
        <w:pStyle w:val="NormalWeb"/>
        <w:jc w:val="both"/>
      </w:pPr>
      <w:r w:rsidRPr="0051445F">
        <w:t>This disciplined approach distinguishes engineering-led modeling from exploratory computational studies.</w:t>
      </w:r>
    </w:p>
    <w:p w14:paraId="22DE5CAA" w14:textId="77777777" w:rsidR="0051445F" w:rsidRPr="0051445F" w:rsidRDefault="0051445F" w:rsidP="0051445F">
      <w:pPr>
        <w:pStyle w:val="Heading2"/>
        <w:jc w:val="both"/>
        <w:rPr>
          <w:sz w:val="24"/>
          <w:szCs w:val="24"/>
        </w:rPr>
      </w:pPr>
      <w:r w:rsidRPr="0051445F">
        <w:rPr>
          <w:sz w:val="24"/>
          <w:szCs w:val="24"/>
        </w:rPr>
        <w:t>6.7 Role of Modeling in Scalability and Translation</w:t>
      </w:r>
    </w:p>
    <w:p w14:paraId="4795AAEB" w14:textId="77777777" w:rsidR="0051445F" w:rsidRPr="0051445F" w:rsidRDefault="0051445F" w:rsidP="0051445F">
      <w:pPr>
        <w:pStyle w:val="NormalWeb"/>
        <w:jc w:val="both"/>
      </w:pPr>
      <w:r w:rsidRPr="0051445F">
        <w:t xml:space="preserve">Beyond performance prediction, modeling supports </w:t>
      </w:r>
      <w:r w:rsidRPr="0051445F">
        <w:rPr>
          <w:rStyle w:val="Strong"/>
          <w:b w:val="0"/>
        </w:rPr>
        <w:t>scalability and translational</w:t>
      </w:r>
      <w:r w:rsidRPr="0051445F">
        <w:rPr>
          <w:rStyle w:val="Strong"/>
        </w:rPr>
        <w:t xml:space="preserve"> success</w:t>
      </w:r>
      <w:r w:rsidRPr="0051445F">
        <w:t>. Manufacturing constraints, material availability, and process variability can be incorporated into engineering simulations to evaluate feasibility at industrial scale.</w:t>
      </w:r>
    </w:p>
    <w:p w14:paraId="53CAC5F2" w14:textId="77777777" w:rsidR="0051445F" w:rsidRPr="0051445F" w:rsidRDefault="0051445F" w:rsidP="0051445F">
      <w:pPr>
        <w:pStyle w:val="NormalWeb"/>
        <w:jc w:val="both"/>
      </w:pPr>
      <w:r w:rsidRPr="0051445F">
        <w:t>Mechanical engineers assess how small-scale laboratory designs translate to mass production by modeling process-induced defects, residual stresses, and variability. This systems-level perspective is critical for transforming biomaterials research into deployable healthcare technologies (Gibson et al., 2021).</w:t>
      </w:r>
    </w:p>
    <w:p w14:paraId="2518C72F" w14:textId="77777777" w:rsidR="0051445F" w:rsidRPr="0051445F" w:rsidRDefault="0051445F" w:rsidP="0051445F">
      <w:pPr>
        <w:pStyle w:val="Heading2"/>
        <w:jc w:val="both"/>
        <w:rPr>
          <w:sz w:val="24"/>
          <w:szCs w:val="24"/>
        </w:rPr>
      </w:pPr>
      <w:r w:rsidRPr="0051445F">
        <w:rPr>
          <w:sz w:val="24"/>
          <w:szCs w:val="24"/>
        </w:rPr>
        <w:t>6.8 Engineering Modeling as a Unifying Framework</w:t>
      </w:r>
    </w:p>
    <w:p w14:paraId="429E09A0" w14:textId="77777777" w:rsidR="0051445F" w:rsidRPr="0051445F" w:rsidRDefault="0051445F" w:rsidP="0051445F">
      <w:pPr>
        <w:pStyle w:val="NormalWeb"/>
        <w:jc w:val="both"/>
      </w:pPr>
      <w:r w:rsidRPr="0051445F">
        <w:t>Ultimately, modeling and simulation serve as unifying tools that connect materials selection, mechanics, manufacturing, and performance evaluation. By embedding biomaterials research within predictive engineering frameworks, mechanical engineering reduces uncertainty, accelerates development, and enhances clinical reliability.</w:t>
      </w:r>
    </w:p>
    <w:p w14:paraId="43E417C4" w14:textId="77777777" w:rsidR="0051445F" w:rsidRDefault="0051445F" w:rsidP="0051445F">
      <w:pPr>
        <w:pStyle w:val="NormalWeb"/>
        <w:jc w:val="both"/>
      </w:pPr>
      <w:r w:rsidRPr="0051445F">
        <w:t>These tools position mechanical engineers as central contributors to next-generation healthcare biomaterials, ensuring that innovations are not only biologically effective but also mechanically sound, scalable, and robust.</w:t>
      </w:r>
    </w:p>
    <w:p w14:paraId="20708F79" w14:textId="77777777" w:rsidR="00641476" w:rsidRDefault="00641476" w:rsidP="0051445F">
      <w:pPr>
        <w:pStyle w:val="NormalWeb"/>
        <w:jc w:val="both"/>
      </w:pPr>
    </w:p>
    <w:p w14:paraId="193CE38F" w14:textId="77777777" w:rsidR="00641476" w:rsidRPr="0051445F" w:rsidRDefault="00641476" w:rsidP="0051445F">
      <w:pPr>
        <w:pStyle w:val="NormalWeb"/>
        <w:jc w:val="both"/>
      </w:pPr>
    </w:p>
    <w:p w14:paraId="4FF2AD2E"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7. Case Studies in Healthcare Applications</w:t>
      </w:r>
    </w:p>
    <w:p w14:paraId="2BEA9B73"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Mechanical engineeri</w:t>
      </w:r>
      <w:r>
        <w:rPr>
          <w:rFonts w:ascii="Times New Roman" w:eastAsia="Times New Roman" w:hAnsi="Times New Roman" w:cs="Times New Roman"/>
          <w:sz w:val="24"/>
          <w:szCs w:val="24"/>
        </w:rPr>
        <w:t xml:space="preserve">ng principles have been central often implicitly </w:t>
      </w:r>
      <w:r w:rsidRPr="006E08A2">
        <w:rPr>
          <w:rFonts w:ascii="Times New Roman" w:eastAsia="Times New Roman" w:hAnsi="Times New Roman" w:cs="Times New Roman"/>
          <w:sz w:val="24"/>
          <w:szCs w:val="24"/>
        </w:rPr>
        <w:t xml:space="preserve">to many landmark advances in biomaterials for healthcare. Although these studies are frequently categorized under biomedical engineering or materials science, closer examination reveals that their success is </w:t>
      </w:r>
      <w:r w:rsidRPr="006E08A2">
        <w:rPr>
          <w:rFonts w:ascii="Times New Roman" w:eastAsia="Times New Roman" w:hAnsi="Times New Roman" w:cs="Times New Roman"/>
          <w:sz w:val="24"/>
          <w:szCs w:val="24"/>
        </w:rPr>
        <w:lastRenderedPageBreak/>
        <w:t>fundamentally rooted in mechanics, materials behavior, structural optimization, transport analysis, and predictive modeling. This section reviews representative works where engineering frameworks have directly governed biomaterial performance, with emphasis on implants, nanomaterials, and therapeutic systems relevant to healthcare and cancer research.</w:t>
      </w:r>
    </w:p>
    <w:p w14:paraId="625A472B"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Early foundational work by </w:t>
      </w:r>
      <w:r w:rsidRPr="006E08A2">
        <w:rPr>
          <w:rFonts w:ascii="Times New Roman" w:eastAsia="Times New Roman" w:hAnsi="Times New Roman" w:cs="Times New Roman"/>
          <w:bCs/>
          <w:sz w:val="24"/>
          <w:szCs w:val="24"/>
        </w:rPr>
        <w:t>Hench and Polak (2002)</w:t>
      </w:r>
      <w:r w:rsidRPr="006E08A2">
        <w:rPr>
          <w:rFonts w:ascii="Times New Roman" w:eastAsia="Times New Roman" w:hAnsi="Times New Roman" w:cs="Times New Roman"/>
          <w:sz w:val="24"/>
          <w:szCs w:val="24"/>
        </w:rPr>
        <w:t xml:space="preserve"> on bioactive glasses demonstrated that successful bone–implant integration depends not only on chemical compatibility but also on </w:t>
      </w:r>
      <w:r w:rsidRPr="004B62F3">
        <w:rPr>
          <w:rFonts w:ascii="Times New Roman" w:eastAsia="Times New Roman" w:hAnsi="Times New Roman" w:cs="Times New Roman"/>
          <w:iCs/>
          <w:sz w:val="24"/>
          <w:szCs w:val="24"/>
        </w:rPr>
        <w:t>mechanical stiffness matching and controlled degradation</w:t>
      </w:r>
      <w:r w:rsidRPr="006E08A2">
        <w:rPr>
          <w:rFonts w:ascii="Times New Roman" w:eastAsia="Times New Roman" w:hAnsi="Times New Roman" w:cs="Times New Roman"/>
          <w:sz w:val="24"/>
          <w:szCs w:val="24"/>
        </w:rPr>
        <w:t>. Their studies showed that tailoring elastic modulus and fracture behavior reduced stress shielding, an insight drawn directly from solid mechanics and materials design principles rather than biological optimization alone.</w:t>
      </w:r>
    </w:p>
    <w:p w14:paraId="3C6925E5"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orthopedic biomaterials, </w:t>
      </w:r>
      <w:proofErr w:type="spellStart"/>
      <w:r w:rsidRPr="006767EC">
        <w:rPr>
          <w:rFonts w:ascii="Times New Roman" w:eastAsia="Times New Roman" w:hAnsi="Times New Roman" w:cs="Times New Roman"/>
          <w:bCs/>
          <w:sz w:val="24"/>
          <w:szCs w:val="24"/>
        </w:rPr>
        <w:t>Niinomi</w:t>
      </w:r>
      <w:proofErr w:type="spellEnd"/>
      <w:r w:rsidRPr="006767EC">
        <w:rPr>
          <w:rFonts w:ascii="Times New Roman" w:eastAsia="Times New Roman" w:hAnsi="Times New Roman" w:cs="Times New Roman"/>
          <w:bCs/>
          <w:sz w:val="24"/>
          <w:szCs w:val="24"/>
        </w:rPr>
        <w:t xml:space="preserve"> (2008)</w:t>
      </w:r>
      <w:r w:rsidRPr="006E08A2">
        <w:rPr>
          <w:rFonts w:ascii="Times New Roman" w:eastAsia="Times New Roman" w:hAnsi="Times New Roman" w:cs="Times New Roman"/>
          <w:sz w:val="24"/>
          <w:szCs w:val="24"/>
        </w:rPr>
        <w:t xml:space="preserve"> systematically investigated titanium alloys for implants, emphasizing elastic modulus reduction to improve load transfer between implant and bone. Using mechanical testing and structure–property relationships, </w:t>
      </w:r>
      <w:proofErr w:type="spellStart"/>
      <w:r w:rsidRPr="006E08A2">
        <w:rPr>
          <w:rFonts w:ascii="Times New Roman" w:eastAsia="Times New Roman" w:hAnsi="Times New Roman" w:cs="Times New Roman"/>
          <w:sz w:val="24"/>
          <w:szCs w:val="24"/>
        </w:rPr>
        <w:t>Niinomi</w:t>
      </w:r>
      <w:proofErr w:type="spellEnd"/>
      <w:r w:rsidRPr="006E08A2">
        <w:rPr>
          <w:rFonts w:ascii="Times New Roman" w:eastAsia="Times New Roman" w:hAnsi="Times New Roman" w:cs="Times New Roman"/>
          <w:sz w:val="24"/>
          <w:szCs w:val="24"/>
        </w:rPr>
        <w:t xml:space="preserve"> showed that alloy composition and microstructure control fatigue life and mechanical compatibility. These studies established stiffness matching as a core mechanical design requirement in biomaterials, now widely adopted in implant engineering.</w:t>
      </w:r>
    </w:p>
    <w:p w14:paraId="28DFA3E6"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Finite element modeling has become a benchmark mechanical tool in implant design. </w:t>
      </w:r>
      <w:r w:rsidRPr="006767EC">
        <w:rPr>
          <w:rFonts w:ascii="Times New Roman" w:eastAsia="Times New Roman" w:hAnsi="Times New Roman" w:cs="Times New Roman"/>
          <w:bCs/>
          <w:sz w:val="24"/>
          <w:szCs w:val="24"/>
        </w:rPr>
        <w:t>Taylor et al. (2007)</w:t>
      </w:r>
      <w:r w:rsidRPr="006E08A2">
        <w:rPr>
          <w:rFonts w:ascii="Times New Roman" w:eastAsia="Times New Roman" w:hAnsi="Times New Roman" w:cs="Times New Roman"/>
          <w:sz w:val="24"/>
          <w:szCs w:val="24"/>
        </w:rPr>
        <w:t xml:space="preserve"> applied finite element analysis (FEA) to hip and knee implants to predict stress concentrations and failure risks un</w:t>
      </w:r>
      <w:r w:rsidR="00B7123F">
        <w:rPr>
          <w:rFonts w:ascii="Times New Roman" w:eastAsia="Times New Roman" w:hAnsi="Times New Roman" w:cs="Times New Roman"/>
          <w:sz w:val="24"/>
          <w:szCs w:val="24"/>
        </w:rPr>
        <w:t>der physiological loading. The</w:t>
      </w:r>
      <w:r w:rsidRPr="006E08A2">
        <w:rPr>
          <w:rFonts w:ascii="Times New Roman" w:eastAsia="Times New Roman" w:hAnsi="Times New Roman" w:cs="Times New Roman"/>
          <w:sz w:val="24"/>
          <w:szCs w:val="24"/>
        </w:rPr>
        <w:t xml:space="preserve"> work demonstrated that implant geo</w:t>
      </w:r>
      <w:r w:rsidR="00B7123F">
        <w:rPr>
          <w:rFonts w:ascii="Times New Roman" w:eastAsia="Times New Roman" w:hAnsi="Times New Roman" w:cs="Times New Roman"/>
          <w:sz w:val="24"/>
          <w:szCs w:val="24"/>
        </w:rPr>
        <w:t xml:space="preserve">metry and material distribution rather than biological factors </w:t>
      </w:r>
      <w:r w:rsidRPr="006E08A2">
        <w:rPr>
          <w:rFonts w:ascii="Times New Roman" w:eastAsia="Times New Roman" w:hAnsi="Times New Roman" w:cs="Times New Roman"/>
          <w:sz w:val="24"/>
          <w:szCs w:val="24"/>
        </w:rPr>
        <w:t>were dominant determinants of long-term mechanical stability. This approach transformed implant development from empirical testing to predictive engineering design.</w:t>
      </w:r>
    </w:p>
    <w:p w14:paraId="269F8300"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cardiovascular applications, </w:t>
      </w:r>
      <w:proofErr w:type="spellStart"/>
      <w:r w:rsidR="00E26896">
        <w:rPr>
          <w:rFonts w:ascii="Times New Roman" w:eastAsia="Times New Roman" w:hAnsi="Times New Roman" w:cs="Times New Roman"/>
          <w:bCs/>
          <w:sz w:val="24"/>
          <w:szCs w:val="24"/>
        </w:rPr>
        <w:t>Quarteroni</w:t>
      </w:r>
      <w:proofErr w:type="spellEnd"/>
      <w:r w:rsidR="00E26896">
        <w:rPr>
          <w:rFonts w:ascii="Times New Roman" w:eastAsia="Times New Roman" w:hAnsi="Times New Roman" w:cs="Times New Roman"/>
          <w:bCs/>
          <w:sz w:val="24"/>
          <w:szCs w:val="24"/>
        </w:rPr>
        <w:t xml:space="preserve"> et al. (2016</w:t>
      </w:r>
      <w:r w:rsidRPr="006767EC">
        <w:rPr>
          <w:rFonts w:ascii="Times New Roman" w:eastAsia="Times New Roman" w:hAnsi="Times New Roman" w:cs="Times New Roman"/>
          <w:bCs/>
          <w:sz w:val="24"/>
          <w:szCs w:val="24"/>
        </w:rPr>
        <w:t>)</w:t>
      </w:r>
      <w:r w:rsidRPr="006E08A2">
        <w:rPr>
          <w:rFonts w:ascii="Times New Roman" w:eastAsia="Times New Roman" w:hAnsi="Times New Roman" w:cs="Times New Roman"/>
          <w:sz w:val="24"/>
          <w:szCs w:val="24"/>
        </w:rPr>
        <w:t xml:space="preserve"> pioneered fluid–structure interaction (FSI) modeling of heart valves and vascular implants. Their simulations coupled blood flow dynamics with material deformation, showing that mechanical stress, shear forces, and cyclic loading govern thrombosis risk and device fatigue. This work clearly illustrates how mechanical engineering models enable safer and more reliable biomaterial-based medical devices.</w:t>
      </w:r>
    </w:p>
    <w:p w14:paraId="507165AD"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At the nanoscale, </w:t>
      </w:r>
      <w:r w:rsidRPr="006767EC">
        <w:rPr>
          <w:rFonts w:ascii="Times New Roman" w:eastAsia="Times New Roman" w:hAnsi="Times New Roman" w:cs="Times New Roman"/>
          <w:bCs/>
          <w:sz w:val="24"/>
          <w:szCs w:val="24"/>
        </w:rPr>
        <w:t>Mitragotri and Lahann (2009)</w:t>
      </w:r>
      <w:r w:rsidRPr="006E08A2">
        <w:rPr>
          <w:rFonts w:ascii="Times New Roman" w:eastAsia="Times New Roman" w:hAnsi="Times New Roman" w:cs="Times New Roman"/>
          <w:sz w:val="24"/>
          <w:szCs w:val="24"/>
        </w:rPr>
        <w:t xml:space="preserve"> reframed nanoparticle drug delivery as a mechanical transport and adhesion problem rather than a purely biochemical one. They demonstrated that particle size, shape, and stiffness influence circulation time, margination, and cellular interaction. Their work showed that non-spherical particles exhibit superior transport and </w:t>
      </w:r>
      <w:r w:rsidR="006767EC">
        <w:rPr>
          <w:rFonts w:ascii="Times New Roman" w:eastAsia="Times New Roman" w:hAnsi="Times New Roman" w:cs="Times New Roman"/>
          <w:sz w:val="24"/>
          <w:szCs w:val="24"/>
        </w:rPr>
        <w:t xml:space="preserve">adhesion behavior in blood flow </w:t>
      </w:r>
      <w:r w:rsidRPr="006E08A2">
        <w:rPr>
          <w:rFonts w:ascii="Times New Roman" w:eastAsia="Times New Roman" w:hAnsi="Times New Roman" w:cs="Times New Roman"/>
          <w:sz w:val="24"/>
          <w:szCs w:val="24"/>
        </w:rPr>
        <w:t>an insight derived from fluid mechanics and contact mechanics.</w:t>
      </w:r>
    </w:p>
    <w:p w14:paraId="29566D0C"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Building on this perspective, </w:t>
      </w:r>
      <w:r w:rsidRPr="006767EC">
        <w:rPr>
          <w:rFonts w:ascii="Times New Roman" w:eastAsia="Times New Roman" w:hAnsi="Times New Roman" w:cs="Times New Roman"/>
          <w:bCs/>
          <w:sz w:val="24"/>
          <w:szCs w:val="24"/>
        </w:rPr>
        <w:t>Discher et al. (2009)</w:t>
      </w:r>
      <w:r w:rsidRPr="006E08A2">
        <w:rPr>
          <w:rFonts w:ascii="Times New Roman" w:eastAsia="Times New Roman" w:hAnsi="Times New Roman" w:cs="Times New Roman"/>
          <w:sz w:val="24"/>
          <w:szCs w:val="24"/>
        </w:rPr>
        <w:t xml:space="preserve"> experimentally showed that substrate stiffness regulates cellular behavior, including adhesion and uptake. Although often cited in cell biology, this work is fundamentally mechanical: it links elastic modulus and deformation to biological response. These findings later influenced the design of soft nanoparticles and hydrogel-based carriers engineered to mechanically match target tissues.</w:t>
      </w:r>
    </w:p>
    <w:p w14:paraId="73A23EF9"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cancer nanomedicine, </w:t>
      </w:r>
      <w:r w:rsidRPr="006767EC">
        <w:rPr>
          <w:rFonts w:ascii="Times New Roman" w:eastAsia="Times New Roman" w:hAnsi="Times New Roman" w:cs="Times New Roman"/>
          <w:bCs/>
          <w:sz w:val="24"/>
          <w:szCs w:val="24"/>
        </w:rPr>
        <w:t>Nel et al. (2009)</w:t>
      </w:r>
      <w:r w:rsidRPr="006E08A2">
        <w:rPr>
          <w:rFonts w:ascii="Times New Roman" w:eastAsia="Times New Roman" w:hAnsi="Times New Roman" w:cs="Times New Roman"/>
          <w:sz w:val="24"/>
          <w:szCs w:val="24"/>
        </w:rPr>
        <w:t xml:space="preserve"> emphasized the importance of physicochemical and mechanical interactions at the nano–bio interface. Their review highlighted how van der Waals forces, electrostatics, and surface energy govern nanoparticle stability and cellular interaction. </w:t>
      </w:r>
      <w:r w:rsidRPr="006E08A2">
        <w:rPr>
          <w:rFonts w:ascii="Times New Roman" w:eastAsia="Times New Roman" w:hAnsi="Times New Roman" w:cs="Times New Roman"/>
          <w:sz w:val="24"/>
          <w:szCs w:val="24"/>
        </w:rPr>
        <w:lastRenderedPageBreak/>
        <w:t>This work laid the groundwork for engineering-based interpretation of nanoparticle–cell interactions beyond ligand–receptor models.</w:t>
      </w:r>
    </w:p>
    <w:p w14:paraId="3256B997"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More recent studies by </w:t>
      </w:r>
      <w:proofErr w:type="spellStart"/>
      <w:r w:rsidRPr="006767EC">
        <w:rPr>
          <w:rFonts w:ascii="Times New Roman" w:eastAsia="Times New Roman" w:hAnsi="Times New Roman" w:cs="Times New Roman"/>
          <w:bCs/>
          <w:sz w:val="24"/>
          <w:szCs w:val="24"/>
        </w:rPr>
        <w:t>Lekka</w:t>
      </w:r>
      <w:proofErr w:type="spellEnd"/>
      <w:r w:rsidRPr="006767EC">
        <w:rPr>
          <w:rFonts w:ascii="Times New Roman" w:eastAsia="Times New Roman" w:hAnsi="Times New Roman" w:cs="Times New Roman"/>
          <w:bCs/>
          <w:sz w:val="24"/>
          <w:szCs w:val="24"/>
        </w:rPr>
        <w:t xml:space="preserve"> (2016)</w:t>
      </w:r>
      <w:r w:rsidRPr="006E08A2">
        <w:rPr>
          <w:rFonts w:ascii="Times New Roman" w:eastAsia="Times New Roman" w:hAnsi="Times New Roman" w:cs="Times New Roman"/>
          <w:sz w:val="24"/>
          <w:szCs w:val="24"/>
        </w:rPr>
        <w:t xml:space="preserve"> and </w:t>
      </w:r>
      <w:proofErr w:type="spellStart"/>
      <w:r w:rsidR="00D435C9">
        <w:rPr>
          <w:rFonts w:ascii="Times New Roman" w:eastAsia="Times New Roman" w:hAnsi="Times New Roman" w:cs="Times New Roman"/>
          <w:bCs/>
          <w:sz w:val="24"/>
          <w:szCs w:val="24"/>
        </w:rPr>
        <w:t>Efremov</w:t>
      </w:r>
      <w:proofErr w:type="spellEnd"/>
      <w:r w:rsidR="00D435C9">
        <w:rPr>
          <w:rFonts w:ascii="Times New Roman" w:eastAsia="Times New Roman" w:hAnsi="Times New Roman" w:cs="Times New Roman"/>
          <w:bCs/>
          <w:sz w:val="24"/>
          <w:szCs w:val="24"/>
        </w:rPr>
        <w:t xml:space="preserve"> et al. (2017</w:t>
      </w:r>
      <w:r w:rsidRPr="006767EC">
        <w:rPr>
          <w:rFonts w:ascii="Times New Roman" w:eastAsia="Times New Roman" w:hAnsi="Times New Roman" w:cs="Times New Roman"/>
          <w:bCs/>
          <w:sz w:val="24"/>
          <w:szCs w:val="24"/>
        </w:rPr>
        <w:t>)</w:t>
      </w:r>
      <w:r w:rsidRPr="006E08A2">
        <w:rPr>
          <w:rFonts w:ascii="Times New Roman" w:eastAsia="Times New Roman" w:hAnsi="Times New Roman" w:cs="Times New Roman"/>
          <w:sz w:val="24"/>
          <w:szCs w:val="24"/>
        </w:rPr>
        <w:t xml:space="preserve"> used atomic force microscopy (AFM) to quantify mechanical differences between cancerous and healthy cells. Their findings showed that cancer cells are mechanically softer and more deformable, increasing real contact area during nanoparticle interaction. These results provide a strong mechanical basis for selective n</w:t>
      </w:r>
      <w:r w:rsidR="006767EC">
        <w:rPr>
          <w:rFonts w:ascii="Times New Roman" w:eastAsia="Times New Roman" w:hAnsi="Times New Roman" w:cs="Times New Roman"/>
          <w:sz w:val="24"/>
          <w:szCs w:val="24"/>
        </w:rPr>
        <w:t xml:space="preserve">anoparticle adhesion and uptake </w:t>
      </w:r>
      <w:r w:rsidRPr="006E08A2">
        <w:rPr>
          <w:rFonts w:ascii="Times New Roman" w:eastAsia="Times New Roman" w:hAnsi="Times New Roman" w:cs="Times New Roman"/>
          <w:sz w:val="24"/>
          <w:szCs w:val="24"/>
        </w:rPr>
        <w:t>an insight critical for engineering-driven cancer therapies.</w:t>
      </w:r>
    </w:p>
    <w:p w14:paraId="441A9552"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In tissue engineering, </w:t>
      </w:r>
      <w:r w:rsidRPr="006767EC">
        <w:rPr>
          <w:rFonts w:ascii="Times New Roman" w:eastAsia="Times New Roman" w:hAnsi="Times New Roman" w:cs="Times New Roman"/>
          <w:bCs/>
          <w:sz w:val="24"/>
          <w:szCs w:val="24"/>
        </w:rPr>
        <w:t>Gibson, Ashby, and colleagues (2010–2018)</w:t>
      </w:r>
      <w:r w:rsidRPr="006E08A2">
        <w:rPr>
          <w:rFonts w:ascii="Times New Roman" w:eastAsia="Times New Roman" w:hAnsi="Times New Roman" w:cs="Times New Roman"/>
          <w:sz w:val="24"/>
          <w:szCs w:val="24"/>
        </w:rPr>
        <w:t xml:space="preserve"> applied cellular solids theory to scaffold design, demonstrating how porosity, strut thickness, and architecture control stiffness, strength, and permeability. These studies directly translated mechanical models into scaffold fabrication strategies now widely used in bone and soft tissue regeneration.</w:t>
      </w:r>
    </w:p>
    <w:p w14:paraId="4ADF3EDC"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Additive manufacturing further advanced engineering control in biomaterials. </w:t>
      </w:r>
      <w:r w:rsidRPr="006767EC">
        <w:rPr>
          <w:rFonts w:ascii="Times New Roman" w:eastAsia="Times New Roman" w:hAnsi="Times New Roman" w:cs="Times New Roman"/>
          <w:bCs/>
          <w:sz w:val="24"/>
          <w:szCs w:val="24"/>
        </w:rPr>
        <w:t>Ngo et al. (2018)</w:t>
      </w:r>
      <w:r w:rsidRPr="006E08A2">
        <w:rPr>
          <w:rFonts w:ascii="Times New Roman" w:eastAsia="Times New Roman" w:hAnsi="Times New Roman" w:cs="Times New Roman"/>
          <w:sz w:val="24"/>
          <w:szCs w:val="24"/>
        </w:rPr>
        <w:t xml:space="preserve"> showed that process parameters in 3D printing dictate microstructure, anisotropy, and mechanical reliability of biomedical components. Their work highlights how manufacturing mechanics and process modeling are essential for reproducible, clinically viable biomaterials.</w:t>
      </w:r>
    </w:p>
    <w:p w14:paraId="717B501E" w14:textId="77777777" w:rsidR="006E08A2" w:rsidRPr="006E08A2" w:rsidRDefault="006E08A2" w:rsidP="006E08A2">
      <w:pPr>
        <w:spacing w:before="100" w:beforeAutospacing="1" w:after="100" w:afterAutospacing="1" w:line="240" w:lineRule="auto"/>
        <w:jc w:val="both"/>
        <w:rPr>
          <w:rFonts w:ascii="Times New Roman" w:eastAsia="Times New Roman" w:hAnsi="Times New Roman" w:cs="Times New Roman"/>
          <w:sz w:val="24"/>
          <w:szCs w:val="24"/>
        </w:rPr>
      </w:pPr>
      <w:r w:rsidRPr="006E08A2">
        <w:rPr>
          <w:rFonts w:ascii="Times New Roman" w:eastAsia="Times New Roman" w:hAnsi="Times New Roman" w:cs="Times New Roman"/>
          <w:sz w:val="24"/>
          <w:szCs w:val="24"/>
        </w:rPr>
        <w:t xml:space="preserve">Collectively, these studies demonstrate that successful healthcare biomaterials are not products of biology alone but of </w:t>
      </w:r>
      <w:r w:rsidRPr="006767EC">
        <w:rPr>
          <w:rFonts w:ascii="Times New Roman" w:eastAsia="Times New Roman" w:hAnsi="Times New Roman" w:cs="Times New Roman"/>
          <w:bCs/>
          <w:sz w:val="24"/>
          <w:szCs w:val="24"/>
        </w:rPr>
        <w:t>engineering-led design</w:t>
      </w:r>
      <w:r w:rsidRPr="006E08A2">
        <w:rPr>
          <w:rFonts w:ascii="Times New Roman" w:eastAsia="Times New Roman" w:hAnsi="Times New Roman" w:cs="Times New Roman"/>
          <w:sz w:val="24"/>
          <w:szCs w:val="24"/>
        </w:rPr>
        <w:t>, where mechanics, materials science, and modeling govern performance, safety, and scalability.</w:t>
      </w:r>
    </w:p>
    <w:p w14:paraId="22BD72B4" w14:textId="77777777" w:rsidR="006767EC" w:rsidRDefault="006767EC" w:rsidP="006767EC">
      <w:pPr>
        <w:pStyle w:val="Heading2"/>
        <w:rPr>
          <w:sz w:val="24"/>
          <w:szCs w:val="24"/>
        </w:rPr>
      </w:pPr>
      <w:r w:rsidRPr="006767EC">
        <w:rPr>
          <w:sz w:val="24"/>
          <w:szCs w:val="24"/>
        </w:rPr>
        <w:t>Table 1. Representative Engineering-Led Case Studies in Healthcare Biomaterials</w:t>
      </w:r>
    </w:p>
    <w:tbl>
      <w:tblPr>
        <w:tblStyle w:val="TableGrid"/>
        <w:tblW w:w="0" w:type="auto"/>
        <w:tblLook w:val="04A0" w:firstRow="1" w:lastRow="0" w:firstColumn="1" w:lastColumn="0" w:noHBand="0" w:noVBand="1"/>
      </w:tblPr>
      <w:tblGrid>
        <w:gridCol w:w="2394"/>
        <w:gridCol w:w="2394"/>
        <w:gridCol w:w="2394"/>
        <w:gridCol w:w="2394"/>
      </w:tblGrid>
      <w:tr w:rsidR="00262D9F" w14:paraId="6A377A88" w14:textId="77777777" w:rsidTr="008622D2">
        <w:tc>
          <w:tcPr>
            <w:tcW w:w="2394" w:type="dxa"/>
          </w:tcPr>
          <w:p w14:paraId="58E63B21" w14:textId="77777777" w:rsidR="00262D9F" w:rsidRDefault="00262D9F" w:rsidP="006767EC">
            <w:pPr>
              <w:pStyle w:val="Heading2"/>
              <w:outlineLvl w:val="1"/>
              <w:rPr>
                <w:sz w:val="24"/>
                <w:szCs w:val="24"/>
              </w:rPr>
            </w:pPr>
            <w:r w:rsidRPr="00262D9F">
              <w:rPr>
                <w:sz w:val="24"/>
                <w:szCs w:val="24"/>
              </w:rPr>
              <w:t>Author(s)</w:t>
            </w:r>
          </w:p>
        </w:tc>
        <w:tc>
          <w:tcPr>
            <w:tcW w:w="2394" w:type="dxa"/>
          </w:tcPr>
          <w:p w14:paraId="137755BB" w14:textId="77777777" w:rsidR="00262D9F" w:rsidRDefault="00262D9F" w:rsidP="006767EC">
            <w:pPr>
              <w:pStyle w:val="Heading2"/>
              <w:outlineLvl w:val="1"/>
              <w:rPr>
                <w:sz w:val="24"/>
                <w:szCs w:val="24"/>
              </w:rPr>
            </w:pPr>
            <w:r w:rsidRPr="00262D9F">
              <w:rPr>
                <w:sz w:val="24"/>
                <w:szCs w:val="24"/>
              </w:rPr>
              <w:t>Application Area</w:t>
            </w:r>
          </w:p>
        </w:tc>
        <w:tc>
          <w:tcPr>
            <w:tcW w:w="2394" w:type="dxa"/>
            <w:vAlign w:val="center"/>
          </w:tcPr>
          <w:p w14:paraId="64209A42" w14:textId="77777777" w:rsidR="00262D9F" w:rsidRPr="00262D9F" w:rsidRDefault="00262D9F" w:rsidP="00A707D0">
            <w:pPr>
              <w:jc w:val="center"/>
              <w:rPr>
                <w:rFonts w:ascii="Times New Roman" w:hAnsi="Times New Roman" w:cs="Times New Roman"/>
                <w:b/>
                <w:bCs/>
                <w:sz w:val="24"/>
                <w:szCs w:val="24"/>
              </w:rPr>
            </w:pPr>
            <w:r w:rsidRPr="00262D9F">
              <w:rPr>
                <w:rFonts w:ascii="Times New Roman" w:hAnsi="Times New Roman" w:cs="Times New Roman"/>
                <w:b/>
                <w:bCs/>
                <w:sz w:val="24"/>
                <w:szCs w:val="24"/>
              </w:rPr>
              <w:t>Engineering Focus</w:t>
            </w:r>
          </w:p>
        </w:tc>
        <w:tc>
          <w:tcPr>
            <w:tcW w:w="2394" w:type="dxa"/>
            <w:vAlign w:val="center"/>
          </w:tcPr>
          <w:p w14:paraId="51CAC013" w14:textId="77777777" w:rsidR="00262D9F" w:rsidRPr="00262D9F" w:rsidRDefault="00262D9F" w:rsidP="00A707D0">
            <w:pPr>
              <w:jc w:val="center"/>
              <w:rPr>
                <w:rFonts w:ascii="Times New Roman" w:hAnsi="Times New Roman" w:cs="Times New Roman"/>
                <w:b/>
                <w:bCs/>
                <w:sz w:val="24"/>
                <w:szCs w:val="24"/>
              </w:rPr>
            </w:pPr>
            <w:r w:rsidRPr="00262D9F">
              <w:rPr>
                <w:rFonts w:ascii="Times New Roman" w:hAnsi="Times New Roman" w:cs="Times New Roman"/>
                <w:b/>
                <w:bCs/>
                <w:sz w:val="24"/>
                <w:szCs w:val="24"/>
              </w:rPr>
              <w:t>Key Contribution</w:t>
            </w:r>
          </w:p>
        </w:tc>
      </w:tr>
      <w:tr w:rsidR="00262D9F" w14:paraId="7DEA4F0F" w14:textId="77777777" w:rsidTr="00E70A52">
        <w:tc>
          <w:tcPr>
            <w:tcW w:w="2394" w:type="dxa"/>
            <w:vAlign w:val="center"/>
          </w:tcPr>
          <w:p w14:paraId="6D64A73E"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Hench &amp; Polak (2002)</w:t>
            </w:r>
          </w:p>
        </w:tc>
        <w:tc>
          <w:tcPr>
            <w:tcW w:w="2394" w:type="dxa"/>
            <w:vAlign w:val="center"/>
          </w:tcPr>
          <w:p w14:paraId="4970EEAF"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Bone implants</w:t>
            </w:r>
          </w:p>
        </w:tc>
        <w:tc>
          <w:tcPr>
            <w:tcW w:w="2394" w:type="dxa"/>
            <w:vAlign w:val="center"/>
          </w:tcPr>
          <w:p w14:paraId="0C817E7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Elastic modulus, degradation mechanics</w:t>
            </w:r>
          </w:p>
        </w:tc>
        <w:tc>
          <w:tcPr>
            <w:tcW w:w="2394" w:type="dxa"/>
            <w:vAlign w:val="center"/>
          </w:tcPr>
          <w:p w14:paraId="5EDDCC0F" w14:textId="77777777" w:rsidR="00262D9F" w:rsidRPr="00262D9F" w:rsidRDefault="00CF6D80" w:rsidP="00CF6D80">
            <w:pPr>
              <w:jc w:val="center"/>
              <w:rPr>
                <w:rFonts w:ascii="Times New Roman" w:hAnsi="Times New Roman" w:cs="Times New Roman"/>
                <w:sz w:val="24"/>
                <w:szCs w:val="24"/>
              </w:rPr>
            </w:pPr>
            <w:r>
              <w:rPr>
                <w:rFonts w:ascii="Times New Roman" w:hAnsi="Times New Roman" w:cs="Times New Roman"/>
                <w:sz w:val="24"/>
                <w:szCs w:val="24"/>
              </w:rPr>
              <w:t xml:space="preserve">Reduced stress </w:t>
            </w:r>
            <w:r w:rsidR="00262D9F" w:rsidRPr="00262D9F">
              <w:rPr>
                <w:rFonts w:ascii="Times New Roman" w:hAnsi="Times New Roman" w:cs="Times New Roman"/>
                <w:sz w:val="24"/>
                <w:szCs w:val="24"/>
              </w:rPr>
              <w:t>shielding via stiffness control</w:t>
            </w:r>
          </w:p>
        </w:tc>
      </w:tr>
      <w:tr w:rsidR="00262D9F" w14:paraId="40A5EA7A" w14:textId="77777777" w:rsidTr="00E70A52">
        <w:tc>
          <w:tcPr>
            <w:tcW w:w="2394" w:type="dxa"/>
            <w:vAlign w:val="center"/>
          </w:tcPr>
          <w:p w14:paraId="20E7FD12" w14:textId="77777777" w:rsidR="00262D9F" w:rsidRPr="00262D9F" w:rsidRDefault="00262D9F" w:rsidP="00CF6D80">
            <w:pPr>
              <w:jc w:val="center"/>
              <w:rPr>
                <w:rFonts w:ascii="Times New Roman" w:hAnsi="Times New Roman" w:cs="Times New Roman"/>
                <w:sz w:val="24"/>
                <w:szCs w:val="24"/>
              </w:rPr>
            </w:pPr>
            <w:proofErr w:type="spellStart"/>
            <w:r w:rsidRPr="00262D9F">
              <w:rPr>
                <w:rFonts w:ascii="Times New Roman" w:hAnsi="Times New Roman" w:cs="Times New Roman"/>
                <w:sz w:val="24"/>
                <w:szCs w:val="24"/>
              </w:rPr>
              <w:t>Niinomi</w:t>
            </w:r>
            <w:proofErr w:type="spellEnd"/>
            <w:r w:rsidRPr="00262D9F">
              <w:rPr>
                <w:rFonts w:ascii="Times New Roman" w:hAnsi="Times New Roman" w:cs="Times New Roman"/>
                <w:sz w:val="24"/>
                <w:szCs w:val="24"/>
              </w:rPr>
              <w:t xml:space="preserve"> (2008)</w:t>
            </w:r>
          </w:p>
        </w:tc>
        <w:tc>
          <w:tcPr>
            <w:tcW w:w="2394" w:type="dxa"/>
            <w:vAlign w:val="center"/>
          </w:tcPr>
          <w:p w14:paraId="7EE45083"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Orthopedic alloys</w:t>
            </w:r>
          </w:p>
        </w:tc>
        <w:tc>
          <w:tcPr>
            <w:tcW w:w="2394" w:type="dxa"/>
            <w:vAlign w:val="center"/>
          </w:tcPr>
          <w:p w14:paraId="17F19B8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Fatigue, modulus matching</w:t>
            </w:r>
          </w:p>
        </w:tc>
        <w:tc>
          <w:tcPr>
            <w:tcW w:w="2394" w:type="dxa"/>
            <w:vAlign w:val="center"/>
          </w:tcPr>
          <w:p w14:paraId="2AE8D0F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Titanium alloy design for mechanical compatibility</w:t>
            </w:r>
          </w:p>
        </w:tc>
      </w:tr>
      <w:tr w:rsidR="00262D9F" w14:paraId="301B4A5B" w14:textId="77777777" w:rsidTr="00E70A52">
        <w:tc>
          <w:tcPr>
            <w:tcW w:w="2394" w:type="dxa"/>
            <w:vAlign w:val="center"/>
          </w:tcPr>
          <w:p w14:paraId="38211420"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Taylor et al. (2007)</w:t>
            </w:r>
          </w:p>
        </w:tc>
        <w:tc>
          <w:tcPr>
            <w:tcW w:w="2394" w:type="dxa"/>
            <w:vAlign w:val="center"/>
          </w:tcPr>
          <w:p w14:paraId="680DE63D"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Joint implants</w:t>
            </w:r>
          </w:p>
        </w:tc>
        <w:tc>
          <w:tcPr>
            <w:tcW w:w="2394" w:type="dxa"/>
            <w:vAlign w:val="center"/>
          </w:tcPr>
          <w:p w14:paraId="7846B176"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Finite element modeling</w:t>
            </w:r>
          </w:p>
        </w:tc>
        <w:tc>
          <w:tcPr>
            <w:tcW w:w="2394" w:type="dxa"/>
            <w:vAlign w:val="center"/>
          </w:tcPr>
          <w:p w14:paraId="4B12ED0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Predictive failure and stress analysis</w:t>
            </w:r>
          </w:p>
        </w:tc>
      </w:tr>
      <w:tr w:rsidR="00262D9F" w14:paraId="285803C6" w14:textId="77777777" w:rsidTr="00E70A52">
        <w:tc>
          <w:tcPr>
            <w:tcW w:w="2394" w:type="dxa"/>
            <w:vAlign w:val="center"/>
          </w:tcPr>
          <w:p w14:paraId="22005CBA" w14:textId="77777777" w:rsidR="00262D9F" w:rsidRPr="00262D9F" w:rsidRDefault="00262D9F" w:rsidP="00CF6D80">
            <w:pPr>
              <w:jc w:val="center"/>
              <w:rPr>
                <w:rFonts w:ascii="Times New Roman" w:hAnsi="Times New Roman" w:cs="Times New Roman"/>
                <w:sz w:val="24"/>
                <w:szCs w:val="24"/>
              </w:rPr>
            </w:pPr>
            <w:proofErr w:type="spellStart"/>
            <w:r w:rsidRPr="00262D9F">
              <w:rPr>
                <w:rFonts w:ascii="Times New Roman" w:hAnsi="Times New Roman" w:cs="Times New Roman"/>
                <w:sz w:val="24"/>
                <w:szCs w:val="24"/>
              </w:rPr>
              <w:t>Quarteroni</w:t>
            </w:r>
            <w:proofErr w:type="spellEnd"/>
            <w:r w:rsidRPr="00262D9F">
              <w:rPr>
                <w:rFonts w:ascii="Times New Roman" w:hAnsi="Times New Roman" w:cs="Times New Roman"/>
                <w:sz w:val="24"/>
                <w:szCs w:val="24"/>
              </w:rPr>
              <w:t xml:space="preserve"> et al. (2016)</w:t>
            </w:r>
          </w:p>
        </w:tc>
        <w:tc>
          <w:tcPr>
            <w:tcW w:w="2394" w:type="dxa"/>
            <w:vAlign w:val="center"/>
          </w:tcPr>
          <w:p w14:paraId="02F212F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Cardiovascular devices</w:t>
            </w:r>
          </w:p>
        </w:tc>
        <w:tc>
          <w:tcPr>
            <w:tcW w:w="2394" w:type="dxa"/>
            <w:vAlign w:val="center"/>
          </w:tcPr>
          <w:p w14:paraId="1BCEDEA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Fluid–structure interaction</w:t>
            </w:r>
          </w:p>
        </w:tc>
        <w:tc>
          <w:tcPr>
            <w:tcW w:w="2394" w:type="dxa"/>
            <w:vAlign w:val="center"/>
          </w:tcPr>
          <w:p w14:paraId="6A3FB036"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Coupled flow–deformation safety analysis</w:t>
            </w:r>
          </w:p>
        </w:tc>
      </w:tr>
      <w:tr w:rsidR="00262D9F" w14:paraId="39C34D8C" w14:textId="77777777" w:rsidTr="00E70A52">
        <w:tc>
          <w:tcPr>
            <w:tcW w:w="2394" w:type="dxa"/>
            <w:vAlign w:val="center"/>
          </w:tcPr>
          <w:p w14:paraId="53959BF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Mitragotri &amp; Lahann (2009)</w:t>
            </w:r>
          </w:p>
        </w:tc>
        <w:tc>
          <w:tcPr>
            <w:tcW w:w="2394" w:type="dxa"/>
            <w:vAlign w:val="center"/>
          </w:tcPr>
          <w:p w14:paraId="2D8C64A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Drug delivery nanoparticles</w:t>
            </w:r>
          </w:p>
        </w:tc>
        <w:tc>
          <w:tcPr>
            <w:tcW w:w="2394" w:type="dxa"/>
            <w:vAlign w:val="center"/>
          </w:tcPr>
          <w:p w14:paraId="7DFE87C0"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Particle mechanics, transport</w:t>
            </w:r>
          </w:p>
        </w:tc>
        <w:tc>
          <w:tcPr>
            <w:tcW w:w="2394" w:type="dxa"/>
            <w:vAlign w:val="center"/>
          </w:tcPr>
          <w:p w14:paraId="28AAC13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Shape- and stiffness-driven delivery</w:t>
            </w:r>
          </w:p>
        </w:tc>
      </w:tr>
      <w:tr w:rsidR="00262D9F" w14:paraId="3E721249" w14:textId="77777777" w:rsidTr="00E70A52">
        <w:tc>
          <w:tcPr>
            <w:tcW w:w="2394" w:type="dxa"/>
            <w:vAlign w:val="center"/>
          </w:tcPr>
          <w:p w14:paraId="1482C349"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Discher et al. (2009)</w:t>
            </w:r>
          </w:p>
        </w:tc>
        <w:tc>
          <w:tcPr>
            <w:tcW w:w="2394" w:type="dxa"/>
            <w:vAlign w:val="center"/>
          </w:tcPr>
          <w:p w14:paraId="778A8FAC"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Cell–material interaction</w:t>
            </w:r>
          </w:p>
        </w:tc>
        <w:tc>
          <w:tcPr>
            <w:tcW w:w="2394" w:type="dxa"/>
            <w:vAlign w:val="center"/>
          </w:tcPr>
          <w:p w14:paraId="19B6B69E"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Substrate stiffness</w:t>
            </w:r>
          </w:p>
        </w:tc>
        <w:tc>
          <w:tcPr>
            <w:tcW w:w="2394" w:type="dxa"/>
            <w:vAlign w:val="center"/>
          </w:tcPr>
          <w:p w14:paraId="11888C11"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Mechanics-controlled cellular response</w:t>
            </w:r>
          </w:p>
        </w:tc>
      </w:tr>
      <w:tr w:rsidR="00262D9F" w14:paraId="51E1874E" w14:textId="77777777" w:rsidTr="00E70A52">
        <w:tc>
          <w:tcPr>
            <w:tcW w:w="2394" w:type="dxa"/>
            <w:vAlign w:val="center"/>
          </w:tcPr>
          <w:p w14:paraId="39345782"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Nel et al. (2009)</w:t>
            </w:r>
          </w:p>
        </w:tc>
        <w:tc>
          <w:tcPr>
            <w:tcW w:w="2394" w:type="dxa"/>
            <w:vAlign w:val="center"/>
          </w:tcPr>
          <w:p w14:paraId="280DD9A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Cancer nanomaterials</w:t>
            </w:r>
          </w:p>
        </w:tc>
        <w:tc>
          <w:tcPr>
            <w:tcW w:w="2394" w:type="dxa"/>
            <w:vAlign w:val="center"/>
          </w:tcPr>
          <w:p w14:paraId="36641484"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Interfacial forces</w:t>
            </w:r>
          </w:p>
        </w:tc>
        <w:tc>
          <w:tcPr>
            <w:tcW w:w="2394" w:type="dxa"/>
            <w:vAlign w:val="center"/>
          </w:tcPr>
          <w:p w14:paraId="3873E9E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Engineering view of nano–bio interactions</w:t>
            </w:r>
          </w:p>
        </w:tc>
      </w:tr>
      <w:tr w:rsidR="00262D9F" w14:paraId="71C5B1A3" w14:textId="77777777" w:rsidTr="00E70A52">
        <w:tc>
          <w:tcPr>
            <w:tcW w:w="2394" w:type="dxa"/>
            <w:vAlign w:val="center"/>
          </w:tcPr>
          <w:p w14:paraId="5410983F" w14:textId="77777777" w:rsidR="00262D9F" w:rsidRPr="00262D9F" w:rsidRDefault="00262D9F" w:rsidP="00CF6D80">
            <w:pPr>
              <w:jc w:val="center"/>
              <w:rPr>
                <w:rFonts w:ascii="Times New Roman" w:hAnsi="Times New Roman" w:cs="Times New Roman"/>
                <w:sz w:val="24"/>
                <w:szCs w:val="24"/>
              </w:rPr>
            </w:pPr>
            <w:proofErr w:type="spellStart"/>
            <w:r w:rsidRPr="00262D9F">
              <w:rPr>
                <w:rFonts w:ascii="Times New Roman" w:hAnsi="Times New Roman" w:cs="Times New Roman"/>
                <w:sz w:val="24"/>
                <w:szCs w:val="24"/>
              </w:rPr>
              <w:t>Lekka</w:t>
            </w:r>
            <w:proofErr w:type="spellEnd"/>
            <w:r w:rsidRPr="00262D9F">
              <w:rPr>
                <w:rFonts w:ascii="Times New Roman" w:hAnsi="Times New Roman" w:cs="Times New Roman"/>
                <w:sz w:val="24"/>
                <w:szCs w:val="24"/>
              </w:rPr>
              <w:t xml:space="preserve"> (2016)</w:t>
            </w:r>
          </w:p>
        </w:tc>
        <w:tc>
          <w:tcPr>
            <w:tcW w:w="2394" w:type="dxa"/>
            <w:vAlign w:val="center"/>
          </w:tcPr>
          <w:p w14:paraId="1BAD8BB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Cancer diagnostics</w:t>
            </w:r>
          </w:p>
        </w:tc>
        <w:tc>
          <w:tcPr>
            <w:tcW w:w="2394" w:type="dxa"/>
            <w:vAlign w:val="center"/>
          </w:tcPr>
          <w:p w14:paraId="6BD5DBB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Cell mechanics</w:t>
            </w:r>
          </w:p>
        </w:tc>
        <w:tc>
          <w:tcPr>
            <w:tcW w:w="2394" w:type="dxa"/>
            <w:vAlign w:val="center"/>
          </w:tcPr>
          <w:p w14:paraId="065B25CC"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Mechanical differentiation of cancer cells</w:t>
            </w:r>
          </w:p>
        </w:tc>
      </w:tr>
      <w:tr w:rsidR="00262D9F" w14:paraId="6912E60B" w14:textId="77777777" w:rsidTr="00E70A52">
        <w:tc>
          <w:tcPr>
            <w:tcW w:w="2394" w:type="dxa"/>
            <w:vAlign w:val="center"/>
          </w:tcPr>
          <w:p w14:paraId="483CB2B3"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lastRenderedPageBreak/>
              <w:t>Efremov et al. (2017)</w:t>
            </w:r>
          </w:p>
        </w:tc>
        <w:tc>
          <w:tcPr>
            <w:tcW w:w="2394" w:type="dxa"/>
            <w:vAlign w:val="center"/>
          </w:tcPr>
          <w:p w14:paraId="5BA059DD"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Cancer biomechanics</w:t>
            </w:r>
          </w:p>
        </w:tc>
        <w:tc>
          <w:tcPr>
            <w:tcW w:w="2394" w:type="dxa"/>
            <w:vAlign w:val="center"/>
          </w:tcPr>
          <w:p w14:paraId="31A44F26"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 xml:space="preserve">AFM </w:t>
            </w:r>
            <w:proofErr w:type="spellStart"/>
            <w:r w:rsidRPr="00262D9F">
              <w:rPr>
                <w:rFonts w:ascii="Times New Roman" w:hAnsi="Times New Roman" w:cs="Times New Roman"/>
                <w:sz w:val="24"/>
                <w:szCs w:val="24"/>
              </w:rPr>
              <w:t>nanomechanics</w:t>
            </w:r>
            <w:proofErr w:type="spellEnd"/>
          </w:p>
        </w:tc>
        <w:tc>
          <w:tcPr>
            <w:tcW w:w="2394" w:type="dxa"/>
            <w:vAlign w:val="center"/>
          </w:tcPr>
          <w:p w14:paraId="077D32CF"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Quantified cancer cell softness</w:t>
            </w:r>
          </w:p>
        </w:tc>
      </w:tr>
      <w:tr w:rsidR="00262D9F" w14:paraId="3ADE9DF5" w14:textId="77777777" w:rsidTr="00E70A52">
        <w:tc>
          <w:tcPr>
            <w:tcW w:w="2394" w:type="dxa"/>
            <w:vAlign w:val="center"/>
          </w:tcPr>
          <w:p w14:paraId="151032B4"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Gibson et al. (2010–2018)</w:t>
            </w:r>
          </w:p>
        </w:tc>
        <w:tc>
          <w:tcPr>
            <w:tcW w:w="2394" w:type="dxa"/>
            <w:vAlign w:val="center"/>
          </w:tcPr>
          <w:p w14:paraId="2975DCCA"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Tissue scaffolds</w:t>
            </w:r>
          </w:p>
        </w:tc>
        <w:tc>
          <w:tcPr>
            <w:tcW w:w="2394" w:type="dxa"/>
            <w:vAlign w:val="center"/>
          </w:tcPr>
          <w:p w14:paraId="29A3EA1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Cellular solids theory</w:t>
            </w:r>
          </w:p>
        </w:tc>
        <w:tc>
          <w:tcPr>
            <w:tcW w:w="2394" w:type="dxa"/>
            <w:vAlign w:val="center"/>
          </w:tcPr>
          <w:p w14:paraId="1058D48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Architecture-driven mechanical optimization</w:t>
            </w:r>
          </w:p>
        </w:tc>
      </w:tr>
      <w:tr w:rsidR="00262D9F" w14:paraId="084B2026" w14:textId="77777777" w:rsidTr="00E70A52">
        <w:tc>
          <w:tcPr>
            <w:tcW w:w="2394" w:type="dxa"/>
            <w:vAlign w:val="center"/>
          </w:tcPr>
          <w:p w14:paraId="095E8218"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Ngo et al. (2018)</w:t>
            </w:r>
          </w:p>
        </w:tc>
        <w:tc>
          <w:tcPr>
            <w:tcW w:w="2394" w:type="dxa"/>
            <w:vAlign w:val="center"/>
          </w:tcPr>
          <w:p w14:paraId="09B18E24"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Medical manufacturing</w:t>
            </w:r>
          </w:p>
        </w:tc>
        <w:tc>
          <w:tcPr>
            <w:tcW w:w="2394" w:type="dxa"/>
            <w:vAlign w:val="center"/>
          </w:tcPr>
          <w:p w14:paraId="7BA6B020"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Process mechanics</w:t>
            </w:r>
          </w:p>
        </w:tc>
        <w:tc>
          <w:tcPr>
            <w:tcW w:w="2394" w:type="dxa"/>
            <w:vAlign w:val="center"/>
          </w:tcPr>
          <w:p w14:paraId="44BFAC8B" w14:textId="77777777" w:rsidR="00262D9F" w:rsidRPr="00262D9F" w:rsidRDefault="00262D9F" w:rsidP="00CF6D80">
            <w:pPr>
              <w:jc w:val="center"/>
              <w:rPr>
                <w:rFonts w:ascii="Times New Roman" w:hAnsi="Times New Roman" w:cs="Times New Roman"/>
                <w:sz w:val="24"/>
                <w:szCs w:val="24"/>
              </w:rPr>
            </w:pPr>
            <w:r w:rsidRPr="00262D9F">
              <w:rPr>
                <w:rFonts w:ascii="Times New Roman" w:hAnsi="Times New Roman" w:cs="Times New Roman"/>
                <w:sz w:val="24"/>
                <w:szCs w:val="24"/>
              </w:rPr>
              <w:t>Scalable additive manufacturing design</w:t>
            </w:r>
          </w:p>
        </w:tc>
      </w:tr>
    </w:tbl>
    <w:p w14:paraId="451D0881"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8. Challenges and Research Gaps</w:t>
      </w:r>
    </w:p>
    <w:p w14:paraId="05DC0745" w14:textId="77777777" w:rsidR="006767EC" w:rsidRPr="006767EC" w:rsidRDefault="006767EC" w:rsidP="006767EC">
      <w:pPr>
        <w:pStyle w:val="NormalWeb"/>
        <w:jc w:val="both"/>
      </w:pPr>
      <w:r w:rsidRPr="006767EC">
        <w:t xml:space="preserve">Despite major advances in biomaterials for healthcare, recent studies consistently show that </w:t>
      </w:r>
      <w:r w:rsidRPr="006767EC">
        <w:rPr>
          <w:rStyle w:val="Strong"/>
          <w:b w:val="0"/>
        </w:rPr>
        <w:t>engineering principles are not yet fully integrated into biomedical research and clinical translation</w:t>
      </w:r>
      <w:r w:rsidRPr="006767EC">
        <w:t>. Analysis of implant systems, nanomaterials, scaffolds, and therapeutic platforms reveals persistent challenges related to modeling fidelity, mechanical–biological coupling, standardization, scalability, and regulatory alignment. These limitations constrain predictive design and slow the transition of biomaterials from laboratory research to reliable clinical technologies.</w:t>
      </w:r>
    </w:p>
    <w:p w14:paraId="650FA3B4" w14:textId="77777777" w:rsidR="006767EC" w:rsidRPr="006767EC" w:rsidRDefault="006767EC" w:rsidP="006767EC">
      <w:pPr>
        <w:pStyle w:val="Heading2"/>
        <w:jc w:val="both"/>
        <w:rPr>
          <w:sz w:val="24"/>
          <w:szCs w:val="24"/>
        </w:rPr>
      </w:pPr>
      <w:r w:rsidRPr="006767EC">
        <w:rPr>
          <w:sz w:val="24"/>
          <w:szCs w:val="24"/>
        </w:rPr>
        <w:t>8.1 Limited Integration of Predictive Engineering Models</w:t>
      </w:r>
    </w:p>
    <w:p w14:paraId="24080EBA" w14:textId="77777777" w:rsidR="006767EC" w:rsidRPr="006767EC" w:rsidRDefault="006767EC" w:rsidP="006767EC">
      <w:pPr>
        <w:pStyle w:val="NormalWeb"/>
        <w:jc w:val="both"/>
      </w:pPr>
      <w:r w:rsidRPr="006767EC">
        <w:t xml:space="preserve">Although finite element analysis (FEA), fluid–structure interaction (FSI), and </w:t>
      </w:r>
      <w:proofErr w:type="spellStart"/>
      <w:r w:rsidRPr="006767EC">
        <w:t>multiphysics</w:t>
      </w:r>
      <w:proofErr w:type="spellEnd"/>
      <w:r w:rsidRPr="006767EC">
        <w:t xml:space="preserve"> simulations are widely used in implant and scaffold research, many studies apply these tools in isolation from biological evolution. For example, while Taylor et al. (2</w:t>
      </w:r>
      <w:r w:rsidR="00E26896">
        <w:t xml:space="preserve">007) and </w:t>
      </w:r>
      <w:proofErr w:type="spellStart"/>
      <w:r w:rsidR="00E26896">
        <w:t>Quarteroni</w:t>
      </w:r>
      <w:proofErr w:type="spellEnd"/>
      <w:r w:rsidR="00E26896">
        <w:t xml:space="preserve"> et al. (2016</w:t>
      </w:r>
      <w:r w:rsidRPr="006767EC">
        <w:t>) demonstrated the effectiveness of FEA and FSI in predicting stress distribution and fatigue behavior in orthopedic and cardiovascular devices, subsequent reviews show that most models still assume static material properties and simplified boundary conditions that do not reflect biological remodeling or degradation (Humphrey &amp; Dufresne, 2014; Moroni et al., 2018).</w:t>
      </w:r>
    </w:p>
    <w:p w14:paraId="6429C358" w14:textId="77777777" w:rsidR="006767EC" w:rsidRPr="006767EC" w:rsidRDefault="006767EC" w:rsidP="006767EC">
      <w:pPr>
        <w:pStyle w:val="NormalWeb"/>
        <w:jc w:val="both"/>
      </w:pPr>
      <w:r w:rsidRPr="006767EC">
        <w:t xml:space="preserve">Recent scaffold modeling studies further reveal that mechanical simulations often stop at predicting stiffness or stress fields, without incorporating tissue ingrowth, matrix deposition, or </w:t>
      </w:r>
      <w:r w:rsidR="00084065">
        <w:t>evolving porosity (</w:t>
      </w:r>
      <w:proofErr w:type="spellStart"/>
      <w:r w:rsidR="00084065">
        <w:t>Zadpoor</w:t>
      </w:r>
      <w:proofErr w:type="spellEnd"/>
      <w:r w:rsidR="00084065">
        <w:t>, 2017</w:t>
      </w:r>
      <w:r w:rsidR="00D23618">
        <w:t>; Boccaccio et al., 2016</w:t>
      </w:r>
      <w:r w:rsidRPr="006767EC">
        <w:t>). This limits the ability of models to forecast long-term in vivo performance.</w:t>
      </w:r>
    </w:p>
    <w:p w14:paraId="3137F5A4" w14:textId="77777777" w:rsidR="006767EC" w:rsidRPr="006767EC" w:rsidRDefault="006767EC" w:rsidP="006767EC">
      <w:pPr>
        <w:pStyle w:val="NormalWeb"/>
        <w:jc w:val="both"/>
      </w:pPr>
      <w:r w:rsidRPr="006767EC">
        <w:t xml:space="preserve">There is a clear need for </w:t>
      </w:r>
      <w:r w:rsidRPr="00EC083A">
        <w:rPr>
          <w:rStyle w:val="Strong"/>
          <w:b w:val="0"/>
        </w:rPr>
        <w:t>multiscale, time-dependent engineering models</w:t>
      </w:r>
      <w:r w:rsidRPr="006767EC">
        <w:t xml:space="preserve"> that couple mechanics with biological evolution, allowing material properties, geometry, and loading conditions to update dynamically as hea</w:t>
      </w:r>
      <w:r w:rsidR="009A3200">
        <w:t>ling or degradation progresses.</w:t>
      </w:r>
    </w:p>
    <w:p w14:paraId="4AD752EB" w14:textId="77777777" w:rsidR="009A3200" w:rsidRDefault="009A3200" w:rsidP="006767EC">
      <w:pPr>
        <w:pStyle w:val="Heading2"/>
        <w:jc w:val="both"/>
        <w:rPr>
          <w:sz w:val="24"/>
          <w:szCs w:val="24"/>
        </w:rPr>
      </w:pPr>
    </w:p>
    <w:p w14:paraId="4194E001" w14:textId="77777777" w:rsidR="009A3200" w:rsidRDefault="009A3200" w:rsidP="006767EC">
      <w:pPr>
        <w:pStyle w:val="Heading2"/>
        <w:jc w:val="both"/>
        <w:rPr>
          <w:sz w:val="24"/>
          <w:szCs w:val="24"/>
        </w:rPr>
      </w:pPr>
    </w:p>
    <w:p w14:paraId="07627004" w14:textId="77777777" w:rsidR="006767EC" w:rsidRPr="006767EC" w:rsidRDefault="006767EC" w:rsidP="006767EC">
      <w:pPr>
        <w:pStyle w:val="Heading2"/>
        <w:jc w:val="both"/>
        <w:rPr>
          <w:sz w:val="24"/>
          <w:szCs w:val="24"/>
        </w:rPr>
      </w:pPr>
      <w:r w:rsidRPr="006767EC">
        <w:rPr>
          <w:sz w:val="24"/>
          <w:szCs w:val="24"/>
        </w:rPr>
        <w:t>8.2 Lack of Standardized Engineering Testing Protocols</w:t>
      </w:r>
    </w:p>
    <w:p w14:paraId="66700146" w14:textId="77777777" w:rsidR="006767EC" w:rsidRPr="006767EC" w:rsidRDefault="006767EC" w:rsidP="006767EC">
      <w:pPr>
        <w:pStyle w:val="NormalWeb"/>
        <w:jc w:val="both"/>
      </w:pPr>
      <w:r w:rsidRPr="006767EC">
        <w:t xml:space="preserve">Another persistent challenge is the </w:t>
      </w:r>
      <w:r w:rsidRPr="00EC083A">
        <w:rPr>
          <w:rStyle w:val="Strong"/>
          <w:b w:val="0"/>
        </w:rPr>
        <w:t>absence of standardized mechanical testing protocols</w:t>
      </w:r>
      <w:r w:rsidRPr="006767EC">
        <w:t xml:space="preserve"> tailored to modern biomaterials. While traditional standards exist for metallic implants, they are often </w:t>
      </w:r>
      <w:r w:rsidRPr="006767EC">
        <w:lastRenderedPageBreak/>
        <w:t>unsuitable for bioresorbable polymers, nanocomposites, hydrogels, or architected scaffolds (</w:t>
      </w:r>
      <w:r w:rsidR="00F55A70">
        <w:t>Patel et al., 2019</w:t>
      </w:r>
      <w:r w:rsidRPr="006767EC">
        <w:t>; Callister &amp; Rethwisch, 2020).</w:t>
      </w:r>
    </w:p>
    <w:p w14:paraId="71EDC0A1" w14:textId="77777777" w:rsidR="006767EC" w:rsidRPr="006767EC" w:rsidRDefault="006767EC" w:rsidP="006767EC">
      <w:pPr>
        <w:pStyle w:val="NormalWeb"/>
        <w:jc w:val="both"/>
      </w:pPr>
      <w:r w:rsidRPr="006767EC">
        <w:t>Recent reviews emphasize that fatigue, creep, and wear testing are rarely conducted under physiologically realistic conditions for emerging biomaterials, particularly for porous and additively manufacture</w:t>
      </w:r>
      <w:r w:rsidR="004A7164">
        <w:t>d structures (Zhang et al., 2024</w:t>
      </w:r>
      <w:r w:rsidRPr="006767EC">
        <w:t>; Gibson et al., 2021). This inconsistency makes it difficult to compare results across studies or establish reliable design limits.</w:t>
      </w:r>
    </w:p>
    <w:p w14:paraId="4903D766" w14:textId="77777777" w:rsidR="006767EC" w:rsidRPr="006767EC" w:rsidRDefault="006767EC" w:rsidP="00EC083A">
      <w:pPr>
        <w:pStyle w:val="NormalWeb"/>
        <w:jc w:val="both"/>
      </w:pPr>
      <w:r w:rsidRPr="006767EC">
        <w:t xml:space="preserve">Development of </w:t>
      </w:r>
      <w:r w:rsidRPr="00EC083A">
        <w:rPr>
          <w:rStyle w:val="Strong"/>
          <w:b w:val="0"/>
        </w:rPr>
        <w:t>engineering standards that reflect physiological loading, hydration, temperature, and degradation</w:t>
      </w:r>
      <w:r w:rsidRPr="006767EC">
        <w:t xml:space="preserve"> is urgently required to enable reproducibility and regula</w:t>
      </w:r>
      <w:r w:rsidR="00D6480E">
        <w:t>tory acceptance</w:t>
      </w:r>
      <w:r w:rsidRPr="006767EC">
        <w:t>.</w:t>
      </w:r>
    </w:p>
    <w:p w14:paraId="336B4816" w14:textId="77777777" w:rsidR="006767EC" w:rsidRPr="006767EC" w:rsidRDefault="006767EC" w:rsidP="006767EC">
      <w:pPr>
        <w:pStyle w:val="Heading2"/>
        <w:jc w:val="both"/>
        <w:rPr>
          <w:sz w:val="24"/>
          <w:szCs w:val="24"/>
        </w:rPr>
      </w:pPr>
      <w:r w:rsidRPr="006767EC">
        <w:rPr>
          <w:sz w:val="24"/>
          <w:szCs w:val="24"/>
        </w:rPr>
        <w:t>8.3 Insufficient Coupling Between Mechanics and Biological Response</w:t>
      </w:r>
    </w:p>
    <w:p w14:paraId="35B93A47" w14:textId="77777777" w:rsidR="006767EC" w:rsidRPr="006767EC" w:rsidRDefault="006767EC" w:rsidP="006767EC">
      <w:pPr>
        <w:pStyle w:val="NormalWeb"/>
        <w:jc w:val="both"/>
      </w:pPr>
      <w:r w:rsidRPr="006767EC">
        <w:t xml:space="preserve">Although studies such as Discher et al. (2009) and </w:t>
      </w:r>
      <w:proofErr w:type="spellStart"/>
      <w:r w:rsidRPr="006767EC">
        <w:t>Lekka</w:t>
      </w:r>
      <w:proofErr w:type="spellEnd"/>
      <w:r w:rsidRPr="006767EC">
        <w:t xml:space="preserve"> (2016) clearly demonstrate that mechanical properties such as stiffness and deformability influence cellular behavior, most biomaterials research still treats mechanics and biology as loosely connected domains. In cancer nanomedicine, for example, nanoparticle uptake is frequently explained using biochemical targeting, despite growing evidence that mechanical softness and membrane deformability of cancer cells play a dec</w:t>
      </w:r>
      <w:r w:rsidR="00D435C9">
        <w:t>isive role (Efremov et al., 2017</w:t>
      </w:r>
      <w:r w:rsidRPr="006767EC">
        <w:t>; Stylianou et al., 2023).</w:t>
      </w:r>
    </w:p>
    <w:p w14:paraId="1DFD77CF" w14:textId="77777777" w:rsidR="006767EC" w:rsidRPr="006767EC" w:rsidRDefault="006767EC" w:rsidP="006767EC">
      <w:pPr>
        <w:pStyle w:val="NormalWeb"/>
        <w:jc w:val="both"/>
      </w:pPr>
      <w:r w:rsidRPr="006767EC">
        <w:t>Similarly, in tissue engineering, scaffold stiffness is often optimized independently of biological response, even though excessive stiffness can inhibit vascularization or</w:t>
      </w:r>
      <w:r w:rsidR="00084065">
        <w:t xml:space="preserve"> promote fibrosis (</w:t>
      </w:r>
      <w:proofErr w:type="spellStart"/>
      <w:r w:rsidR="00084065">
        <w:t>Zadpoor</w:t>
      </w:r>
      <w:proofErr w:type="spellEnd"/>
      <w:r w:rsidR="00084065">
        <w:t>, 2017</w:t>
      </w:r>
      <w:r w:rsidRPr="006767EC">
        <w:t>; Moroni et al., 2018).</w:t>
      </w:r>
    </w:p>
    <w:p w14:paraId="1FE9F4A7" w14:textId="77777777" w:rsidR="006767EC" w:rsidRPr="006767EC" w:rsidRDefault="006767EC" w:rsidP="00EC083A">
      <w:pPr>
        <w:pStyle w:val="NormalWeb"/>
        <w:jc w:val="both"/>
      </w:pPr>
      <w:r w:rsidRPr="006767EC">
        <w:t xml:space="preserve">There is a need for </w:t>
      </w:r>
      <w:r w:rsidRPr="00EC083A">
        <w:rPr>
          <w:rStyle w:val="Strong"/>
          <w:b w:val="0"/>
        </w:rPr>
        <w:t>mechanobiological frameworks</w:t>
      </w:r>
      <w:r w:rsidRPr="006767EC">
        <w:t xml:space="preserve"> that quantitatively link mechanical forces, deformation, and energy dissipation to biological outcomes such as cell differentiation, uptake, and immune response.</w:t>
      </w:r>
    </w:p>
    <w:p w14:paraId="6D5B63D6" w14:textId="77777777" w:rsidR="006767EC" w:rsidRPr="006767EC" w:rsidRDefault="006767EC" w:rsidP="006767EC">
      <w:pPr>
        <w:pStyle w:val="Heading2"/>
        <w:jc w:val="both"/>
        <w:rPr>
          <w:sz w:val="24"/>
          <w:szCs w:val="24"/>
        </w:rPr>
      </w:pPr>
      <w:r w:rsidRPr="006767EC">
        <w:rPr>
          <w:sz w:val="24"/>
          <w:szCs w:val="24"/>
        </w:rPr>
        <w:t>8.4 Manufacturing Scalability and Mechanical Reliability</w:t>
      </w:r>
    </w:p>
    <w:p w14:paraId="6611F948" w14:textId="77777777" w:rsidR="006767EC" w:rsidRPr="006767EC" w:rsidRDefault="006767EC" w:rsidP="006767EC">
      <w:pPr>
        <w:pStyle w:val="NormalWeb"/>
        <w:jc w:val="both"/>
      </w:pPr>
      <w:r w:rsidRPr="006767EC">
        <w:t xml:space="preserve">While additive manufacturing and nanofabrication techniques enable unprecedented control over biomaterial architecture, </w:t>
      </w:r>
      <w:r w:rsidRPr="00EC083A">
        <w:rPr>
          <w:rStyle w:val="Strong"/>
          <w:b w:val="0"/>
        </w:rPr>
        <w:t>scaling these technologies remains a major bottleneck</w:t>
      </w:r>
      <w:r w:rsidRPr="006767EC">
        <w:t>. Ngo et al. (2018) showed that mechanical anisotropy and defect sensitivity increase with build size and process variability, raising concerns about reproducibility and long-term reliability.</w:t>
      </w:r>
    </w:p>
    <w:p w14:paraId="5A9538C3" w14:textId="77777777" w:rsidR="006767EC" w:rsidRPr="006767EC" w:rsidRDefault="006767EC" w:rsidP="006767EC">
      <w:pPr>
        <w:pStyle w:val="NormalWeb"/>
        <w:jc w:val="both"/>
      </w:pPr>
      <w:r w:rsidRPr="006767EC">
        <w:t xml:space="preserve">In nanoparticle systems, Mitragotri and Lahann (2009) and more recent studies report that batch-to-batch variability in particle size, stiffness, and surface properties leads to inconsistent mechanical and transport behavior in </w:t>
      </w:r>
      <w:r w:rsidR="00A768C9">
        <w:t>vivo (Anselmo &amp; Mitragotri, 2019</w:t>
      </w:r>
      <w:r w:rsidRPr="006767EC">
        <w:t>).</w:t>
      </w:r>
    </w:p>
    <w:p w14:paraId="29AF897A" w14:textId="77777777" w:rsidR="006767EC" w:rsidRPr="006767EC" w:rsidRDefault="006767EC" w:rsidP="00EC083A">
      <w:pPr>
        <w:pStyle w:val="NormalWeb"/>
        <w:jc w:val="both"/>
      </w:pPr>
      <w:r w:rsidRPr="006767EC">
        <w:t xml:space="preserve">Engineering research must focus on </w:t>
      </w:r>
      <w:r w:rsidRPr="00EC083A">
        <w:rPr>
          <w:rStyle w:val="Strong"/>
          <w:b w:val="0"/>
        </w:rPr>
        <w:t>process-structure–property relationships</w:t>
      </w:r>
      <w:r w:rsidRPr="006767EC">
        <w:t xml:space="preserve"> that ensure consistent mechanical performance across manufacturing scales, supported by real-time quality control and mechanical validation.</w:t>
      </w:r>
    </w:p>
    <w:p w14:paraId="4E39D1BB" w14:textId="77777777" w:rsidR="006767EC" w:rsidRPr="006767EC" w:rsidRDefault="006767EC" w:rsidP="006767EC">
      <w:pPr>
        <w:pStyle w:val="Heading2"/>
        <w:jc w:val="both"/>
        <w:rPr>
          <w:sz w:val="24"/>
          <w:szCs w:val="24"/>
        </w:rPr>
      </w:pPr>
      <w:r w:rsidRPr="006767EC">
        <w:rPr>
          <w:sz w:val="24"/>
          <w:szCs w:val="24"/>
        </w:rPr>
        <w:t>8.5 Regulatory and Long-Term Safety Challenges</w:t>
      </w:r>
    </w:p>
    <w:p w14:paraId="1B2FC68E" w14:textId="77777777" w:rsidR="006767EC" w:rsidRPr="006767EC" w:rsidRDefault="006767EC" w:rsidP="006767EC">
      <w:pPr>
        <w:pStyle w:val="NormalWeb"/>
        <w:jc w:val="both"/>
      </w:pPr>
      <w:r w:rsidRPr="006767EC">
        <w:lastRenderedPageBreak/>
        <w:t xml:space="preserve">Regulatory frameworks remain poorly aligned with engineering-driven biomaterials, particularly for nanostructured and multifunctional systems. Nel et al. (2009) already highlighted that nanoscale interactions introduce mechanical and physicochemical behaviors not addressed by traditional safety assessments, a concern echoed in recent regulatory </w:t>
      </w:r>
      <w:r w:rsidR="00C42118">
        <w:t>reviews (</w:t>
      </w:r>
      <w:proofErr w:type="spellStart"/>
      <w:r w:rsidR="00C42118">
        <w:t>Fadeel</w:t>
      </w:r>
      <w:proofErr w:type="spellEnd"/>
      <w:r w:rsidR="00C42118">
        <w:t xml:space="preserve"> et al., 2018</w:t>
      </w:r>
      <w:r w:rsidRPr="006767EC">
        <w:t>).</w:t>
      </w:r>
    </w:p>
    <w:p w14:paraId="12E10457" w14:textId="77777777" w:rsidR="006767EC" w:rsidRPr="006767EC" w:rsidRDefault="006767EC" w:rsidP="006767EC">
      <w:pPr>
        <w:pStyle w:val="NormalWeb"/>
        <w:jc w:val="both"/>
      </w:pPr>
      <w:r w:rsidRPr="006767EC">
        <w:t>Long-term mechanical degradation, fatigue failure, and interaction with evolving tissues are rarely assessed systematically, despite their importance for implant longevity and nanoparticle clearance.</w:t>
      </w:r>
    </w:p>
    <w:p w14:paraId="5D702D69" w14:textId="77777777" w:rsidR="006767EC" w:rsidRPr="006767EC" w:rsidRDefault="006767EC" w:rsidP="00EC083A">
      <w:pPr>
        <w:pStyle w:val="NormalWeb"/>
        <w:jc w:val="both"/>
      </w:pPr>
      <w:r w:rsidRPr="006767EC">
        <w:t xml:space="preserve">There is a pressing need for </w:t>
      </w:r>
      <w:r w:rsidRPr="00EC083A">
        <w:rPr>
          <w:rStyle w:val="Strong"/>
          <w:b w:val="0"/>
        </w:rPr>
        <w:t>regulatory-ready mechanical evaluation frameworks</w:t>
      </w:r>
      <w:r w:rsidRPr="006767EC">
        <w:t xml:space="preserve"> that incorporate degradation, fatigue, and nano–bio interaction mechanics over clinically relevant timescales.</w:t>
      </w:r>
    </w:p>
    <w:p w14:paraId="338AEAA4" w14:textId="77777777" w:rsidR="006767EC" w:rsidRPr="006767EC" w:rsidRDefault="006767EC" w:rsidP="006767EC">
      <w:pPr>
        <w:pStyle w:val="Heading2"/>
        <w:jc w:val="both"/>
        <w:rPr>
          <w:sz w:val="24"/>
          <w:szCs w:val="24"/>
        </w:rPr>
      </w:pPr>
      <w:r w:rsidRPr="006767EC">
        <w:rPr>
          <w:sz w:val="24"/>
          <w:szCs w:val="24"/>
        </w:rPr>
        <w:t>8.6 Limitations in Nanoscale Mechanical Characterization</w:t>
      </w:r>
    </w:p>
    <w:p w14:paraId="735852B8" w14:textId="77777777" w:rsidR="006767EC" w:rsidRPr="006767EC" w:rsidRDefault="006767EC" w:rsidP="006767EC">
      <w:pPr>
        <w:pStyle w:val="NormalWeb"/>
        <w:jc w:val="both"/>
      </w:pPr>
      <w:r w:rsidRPr="006767EC">
        <w:t>Although atomic force microscopy (AFM) and nanoindentation are widely used to characterize biomaterials, their application to soft, heterogeneous biological systems remains c</w:t>
      </w:r>
      <w:r w:rsidR="00D435C9">
        <w:t>hallenging. Efremov et al. (2017</w:t>
      </w:r>
      <w:r w:rsidRPr="006767EC">
        <w:t xml:space="preserve">) and </w:t>
      </w:r>
      <w:proofErr w:type="spellStart"/>
      <w:r w:rsidRPr="006767EC">
        <w:t>Lekka</w:t>
      </w:r>
      <w:proofErr w:type="spellEnd"/>
      <w:r w:rsidRPr="006767EC">
        <w:t xml:space="preserve"> (2016) note that probe geometry, loading rate, and viscoelastic effects can significantly bias stiffness measurements, complicating model calibration.</w:t>
      </w:r>
    </w:p>
    <w:p w14:paraId="1E6A3F14" w14:textId="77777777" w:rsidR="006767EC" w:rsidRPr="006767EC" w:rsidRDefault="006767EC" w:rsidP="00EC083A">
      <w:pPr>
        <w:pStyle w:val="NormalWeb"/>
        <w:jc w:val="both"/>
      </w:pPr>
      <w:r w:rsidRPr="006767EC">
        <w:t xml:space="preserve">Improved </w:t>
      </w:r>
      <w:r w:rsidRPr="00EC083A">
        <w:rPr>
          <w:rStyle w:val="Strong"/>
          <w:b w:val="0"/>
        </w:rPr>
        <w:t>nanoscale mechanical testing methodologies and standard calibration protocols</w:t>
      </w:r>
      <w:r w:rsidRPr="006767EC">
        <w:t xml:space="preserve"> are needed to generate reliable data for engineering models of nano-bio interactions.</w:t>
      </w:r>
    </w:p>
    <w:p w14:paraId="6D029AD6" w14:textId="77777777" w:rsidR="006767EC" w:rsidRPr="006767EC" w:rsidRDefault="006767EC" w:rsidP="006767EC">
      <w:pPr>
        <w:pStyle w:val="Heading2"/>
        <w:jc w:val="both"/>
        <w:rPr>
          <w:sz w:val="24"/>
          <w:szCs w:val="24"/>
        </w:rPr>
      </w:pPr>
      <w:r w:rsidRPr="006767EC">
        <w:rPr>
          <w:sz w:val="24"/>
          <w:szCs w:val="24"/>
        </w:rPr>
        <w:t>8.7 Complexity of Multifunctional Biomaterial Systems</w:t>
      </w:r>
    </w:p>
    <w:p w14:paraId="17FAE2E7" w14:textId="77777777" w:rsidR="006767EC" w:rsidRPr="006767EC" w:rsidRDefault="006767EC" w:rsidP="006767EC">
      <w:pPr>
        <w:pStyle w:val="NormalWeb"/>
        <w:jc w:val="both"/>
      </w:pPr>
      <w:r w:rsidRPr="006767EC">
        <w:t>Modern biomaterials increasingly aim to combine mechanical support, therapeutic delivery, and biological signaling within a single platform. While promising, such multifunctionality introduces complex trade-offs that are rarely optimized systematically (Gibson et al., 2021; Stylianou et al., 2023).</w:t>
      </w:r>
    </w:p>
    <w:p w14:paraId="0EDF85C6" w14:textId="77777777" w:rsidR="006767EC" w:rsidRPr="006767EC" w:rsidRDefault="006767EC" w:rsidP="00EC083A">
      <w:pPr>
        <w:pStyle w:val="NormalWeb"/>
        <w:jc w:val="both"/>
      </w:pPr>
      <w:r w:rsidRPr="006767EC">
        <w:t xml:space="preserve">The field lacks </w:t>
      </w:r>
      <w:r w:rsidRPr="00EC083A">
        <w:rPr>
          <w:rStyle w:val="Strong"/>
          <w:b w:val="0"/>
        </w:rPr>
        <w:t>multi-objective optimization frameworks</w:t>
      </w:r>
      <w:r w:rsidRPr="006767EC">
        <w:t xml:space="preserve"> capable of balancing mechanical integrity, transport efficiency, degradation, and biological response within a unified engineering design space.</w:t>
      </w:r>
    </w:p>
    <w:p w14:paraId="301BA5D8" w14:textId="77777777" w:rsidR="006767EC" w:rsidRPr="006767EC" w:rsidRDefault="006767EC" w:rsidP="006767EC">
      <w:pPr>
        <w:pStyle w:val="Heading2"/>
        <w:jc w:val="both"/>
        <w:rPr>
          <w:sz w:val="24"/>
          <w:szCs w:val="24"/>
        </w:rPr>
      </w:pPr>
      <w:r w:rsidRPr="006767EC">
        <w:rPr>
          <w:sz w:val="24"/>
          <w:szCs w:val="24"/>
        </w:rPr>
        <w:t>8.8 Validation Across Length and Time Scales</w:t>
      </w:r>
    </w:p>
    <w:p w14:paraId="2FB609B0" w14:textId="77777777" w:rsidR="006767EC" w:rsidRPr="006767EC" w:rsidRDefault="006767EC" w:rsidP="006767EC">
      <w:pPr>
        <w:pStyle w:val="NormalWeb"/>
        <w:jc w:val="both"/>
      </w:pPr>
      <w:r w:rsidRPr="006767EC">
        <w:t>Finally, many engineering models are validated only at a single scale or time point. For example, scaffold mechanics may be validated ex vivo, while in vivo biological response remains uncorrelated with predicted stress</w:t>
      </w:r>
      <w:r w:rsidR="00084065">
        <w:t xml:space="preserve"> or strain fields (</w:t>
      </w:r>
      <w:proofErr w:type="spellStart"/>
      <w:r w:rsidR="00084065">
        <w:t>Zadpoor</w:t>
      </w:r>
      <w:proofErr w:type="spellEnd"/>
      <w:r w:rsidR="00084065">
        <w:t>, 2017</w:t>
      </w:r>
      <w:r w:rsidR="00D23618">
        <w:t>; Boccaccio et al., 2016</w:t>
      </w:r>
      <w:r w:rsidRPr="006767EC">
        <w:t>).</w:t>
      </w:r>
    </w:p>
    <w:p w14:paraId="759E83F2" w14:textId="77777777" w:rsidR="006767EC" w:rsidRPr="006767EC" w:rsidRDefault="006767EC" w:rsidP="006767EC">
      <w:pPr>
        <w:pStyle w:val="NormalWeb"/>
        <w:jc w:val="both"/>
      </w:pPr>
      <w:r w:rsidRPr="006767EC">
        <w:t xml:space="preserve">Establishment of </w:t>
      </w:r>
      <w:r w:rsidRPr="00EC083A">
        <w:rPr>
          <w:rStyle w:val="Strong"/>
          <w:b w:val="0"/>
        </w:rPr>
        <w:t>multiscale validation pipelines</w:t>
      </w:r>
      <w:r w:rsidR="0020177B">
        <w:t>, linking nano, micro</w:t>
      </w:r>
      <w:r w:rsidRPr="006767EC">
        <w:t>, and macro-scale mechanics to biological performance over time, remains a critical unmet need.</w:t>
      </w:r>
    </w:p>
    <w:p w14:paraId="5D38C10A" w14:textId="77777777" w:rsidR="003F4833" w:rsidRDefault="003F4833" w:rsidP="00E5512B">
      <w:pPr>
        <w:spacing w:before="100" w:beforeAutospacing="1" w:after="100" w:afterAutospacing="1" w:line="240" w:lineRule="auto"/>
        <w:outlineLvl w:val="1"/>
        <w:rPr>
          <w:rFonts w:ascii="Times New Roman" w:hAnsi="Times New Roman" w:cs="Times New Roman"/>
          <w:sz w:val="24"/>
          <w:szCs w:val="24"/>
        </w:rPr>
      </w:pPr>
    </w:p>
    <w:p w14:paraId="65528CA6" w14:textId="77777777" w:rsidR="00EC083A" w:rsidRDefault="00EC083A" w:rsidP="00E5512B">
      <w:pPr>
        <w:spacing w:before="100" w:beforeAutospacing="1" w:after="100" w:afterAutospacing="1" w:line="240" w:lineRule="auto"/>
        <w:outlineLvl w:val="1"/>
        <w:rPr>
          <w:rFonts w:ascii="Times New Roman" w:hAnsi="Times New Roman" w:cs="Times New Roman"/>
          <w:sz w:val="24"/>
          <w:szCs w:val="24"/>
        </w:rPr>
      </w:pPr>
      <w:r w:rsidRPr="00EC083A">
        <w:rPr>
          <w:rFonts w:ascii="Times New Roman" w:hAnsi="Times New Roman" w:cs="Times New Roman"/>
          <w:sz w:val="24"/>
          <w:szCs w:val="24"/>
        </w:rPr>
        <w:t>Table 2: Summary of Challenges and Gaps</w:t>
      </w:r>
    </w:p>
    <w:tbl>
      <w:tblPr>
        <w:tblStyle w:val="TableGrid"/>
        <w:tblW w:w="0" w:type="auto"/>
        <w:tblLook w:val="04A0" w:firstRow="1" w:lastRow="0" w:firstColumn="1" w:lastColumn="0" w:noHBand="0" w:noVBand="1"/>
      </w:tblPr>
      <w:tblGrid>
        <w:gridCol w:w="3192"/>
        <w:gridCol w:w="3192"/>
        <w:gridCol w:w="3192"/>
      </w:tblGrid>
      <w:tr w:rsidR="00726089" w14:paraId="13EABBB5" w14:textId="77777777" w:rsidTr="00C0188B">
        <w:tc>
          <w:tcPr>
            <w:tcW w:w="3192" w:type="dxa"/>
            <w:vAlign w:val="center"/>
          </w:tcPr>
          <w:p w14:paraId="2AEAAB5A" w14:textId="77777777" w:rsidR="00726089" w:rsidRPr="00EC083A" w:rsidRDefault="00726089" w:rsidP="00A707D0">
            <w:pPr>
              <w:jc w:val="center"/>
              <w:rPr>
                <w:rFonts w:ascii="Times New Roman" w:eastAsia="Times New Roman" w:hAnsi="Times New Roman" w:cs="Times New Roman"/>
                <w:b/>
                <w:bCs/>
                <w:sz w:val="24"/>
                <w:szCs w:val="24"/>
              </w:rPr>
            </w:pPr>
            <w:r w:rsidRPr="00EC083A">
              <w:rPr>
                <w:rFonts w:ascii="Times New Roman" w:eastAsia="Times New Roman" w:hAnsi="Times New Roman" w:cs="Times New Roman"/>
                <w:b/>
                <w:bCs/>
                <w:sz w:val="24"/>
                <w:szCs w:val="24"/>
              </w:rPr>
              <w:lastRenderedPageBreak/>
              <w:t>Challenge Category</w:t>
            </w:r>
          </w:p>
        </w:tc>
        <w:tc>
          <w:tcPr>
            <w:tcW w:w="3192" w:type="dxa"/>
            <w:vAlign w:val="center"/>
          </w:tcPr>
          <w:p w14:paraId="07BC5685" w14:textId="77777777" w:rsidR="00726089" w:rsidRPr="00EC083A" w:rsidRDefault="00726089" w:rsidP="00A707D0">
            <w:pPr>
              <w:jc w:val="center"/>
              <w:rPr>
                <w:rFonts w:ascii="Times New Roman" w:eastAsia="Times New Roman" w:hAnsi="Times New Roman" w:cs="Times New Roman"/>
                <w:b/>
                <w:bCs/>
                <w:sz w:val="24"/>
                <w:szCs w:val="24"/>
              </w:rPr>
            </w:pPr>
            <w:r w:rsidRPr="00EC083A">
              <w:rPr>
                <w:rFonts w:ascii="Times New Roman" w:eastAsia="Times New Roman" w:hAnsi="Times New Roman" w:cs="Times New Roman"/>
                <w:b/>
                <w:bCs/>
                <w:sz w:val="24"/>
                <w:szCs w:val="24"/>
              </w:rPr>
              <w:t>Description</w:t>
            </w:r>
          </w:p>
        </w:tc>
        <w:tc>
          <w:tcPr>
            <w:tcW w:w="3192" w:type="dxa"/>
            <w:vAlign w:val="center"/>
          </w:tcPr>
          <w:p w14:paraId="5F4FCFFB" w14:textId="77777777" w:rsidR="00726089" w:rsidRPr="00EC083A" w:rsidRDefault="00726089" w:rsidP="00A707D0">
            <w:pPr>
              <w:jc w:val="center"/>
              <w:rPr>
                <w:rFonts w:ascii="Times New Roman" w:eastAsia="Times New Roman" w:hAnsi="Times New Roman" w:cs="Times New Roman"/>
                <w:b/>
                <w:bCs/>
                <w:sz w:val="24"/>
                <w:szCs w:val="24"/>
              </w:rPr>
            </w:pPr>
            <w:r w:rsidRPr="00EC083A">
              <w:rPr>
                <w:rFonts w:ascii="Times New Roman" w:eastAsia="Times New Roman" w:hAnsi="Times New Roman" w:cs="Times New Roman"/>
                <w:b/>
                <w:bCs/>
                <w:sz w:val="24"/>
                <w:szCs w:val="24"/>
              </w:rPr>
              <w:t>Engineering Research Gap</w:t>
            </w:r>
          </w:p>
        </w:tc>
      </w:tr>
      <w:tr w:rsidR="00726089" w14:paraId="3D5812AE" w14:textId="77777777" w:rsidTr="00C0188B">
        <w:tc>
          <w:tcPr>
            <w:tcW w:w="3192" w:type="dxa"/>
            <w:vAlign w:val="center"/>
          </w:tcPr>
          <w:p w14:paraId="2F2FDB55"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Integration of models</w:t>
            </w:r>
          </w:p>
        </w:tc>
        <w:tc>
          <w:tcPr>
            <w:tcW w:w="3192" w:type="dxa"/>
            <w:vAlign w:val="center"/>
          </w:tcPr>
          <w:p w14:paraId="59FE17C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Disconnect between mechanics and biology</w:t>
            </w:r>
          </w:p>
        </w:tc>
        <w:tc>
          <w:tcPr>
            <w:tcW w:w="3192" w:type="dxa"/>
            <w:vAlign w:val="center"/>
          </w:tcPr>
          <w:p w14:paraId="03E32D93"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Multiscale mechanobiological models</w:t>
            </w:r>
          </w:p>
        </w:tc>
      </w:tr>
      <w:tr w:rsidR="00726089" w14:paraId="3FD17A5B" w14:textId="77777777" w:rsidTr="00C0188B">
        <w:tc>
          <w:tcPr>
            <w:tcW w:w="3192" w:type="dxa"/>
            <w:vAlign w:val="center"/>
          </w:tcPr>
          <w:p w14:paraId="76D1727A"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Standardization</w:t>
            </w:r>
          </w:p>
        </w:tc>
        <w:tc>
          <w:tcPr>
            <w:tcW w:w="3192" w:type="dxa"/>
            <w:vAlign w:val="center"/>
          </w:tcPr>
          <w:p w14:paraId="5C21A74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Lack of unified mechanical testing standards</w:t>
            </w:r>
          </w:p>
        </w:tc>
        <w:tc>
          <w:tcPr>
            <w:tcW w:w="3192" w:type="dxa"/>
            <w:vAlign w:val="center"/>
          </w:tcPr>
          <w:p w14:paraId="121B63D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Protocols reflecting physiology</w:t>
            </w:r>
          </w:p>
        </w:tc>
      </w:tr>
      <w:tr w:rsidR="00726089" w14:paraId="3E060312" w14:textId="77777777" w:rsidTr="00C0188B">
        <w:tc>
          <w:tcPr>
            <w:tcW w:w="3192" w:type="dxa"/>
            <w:vAlign w:val="center"/>
          </w:tcPr>
          <w:p w14:paraId="624FD3B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Coupled responses</w:t>
            </w:r>
          </w:p>
        </w:tc>
        <w:tc>
          <w:tcPr>
            <w:tcW w:w="3192" w:type="dxa"/>
            <w:vAlign w:val="center"/>
          </w:tcPr>
          <w:p w14:paraId="2B7916F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Limited coupling of mechanics with cell/tissue behavior</w:t>
            </w:r>
          </w:p>
        </w:tc>
        <w:tc>
          <w:tcPr>
            <w:tcW w:w="3192" w:type="dxa"/>
            <w:vAlign w:val="center"/>
          </w:tcPr>
          <w:p w14:paraId="5F724676"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Integrated mechanobiological frameworks</w:t>
            </w:r>
          </w:p>
        </w:tc>
      </w:tr>
      <w:tr w:rsidR="00726089" w14:paraId="18405B5B" w14:textId="77777777" w:rsidTr="00C0188B">
        <w:tc>
          <w:tcPr>
            <w:tcW w:w="3192" w:type="dxa"/>
            <w:vAlign w:val="center"/>
          </w:tcPr>
          <w:p w14:paraId="07B09A17"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Scalability</w:t>
            </w:r>
          </w:p>
        </w:tc>
        <w:tc>
          <w:tcPr>
            <w:tcW w:w="3192" w:type="dxa"/>
            <w:vAlign w:val="center"/>
          </w:tcPr>
          <w:p w14:paraId="1D1421F3"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Difficulty scaling manufacturing</w:t>
            </w:r>
          </w:p>
        </w:tc>
        <w:tc>
          <w:tcPr>
            <w:tcW w:w="3192" w:type="dxa"/>
            <w:vAlign w:val="center"/>
          </w:tcPr>
          <w:p w14:paraId="2867269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Robust, controlled production methods</w:t>
            </w:r>
          </w:p>
        </w:tc>
      </w:tr>
      <w:tr w:rsidR="00726089" w14:paraId="5BC680A3" w14:textId="77777777" w:rsidTr="00C0188B">
        <w:tc>
          <w:tcPr>
            <w:tcW w:w="3192" w:type="dxa"/>
            <w:vAlign w:val="center"/>
          </w:tcPr>
          <w:p w14:paraId="77FD662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Regulatory</w:t>
            </w:r>
          </w:p>
        </w:tc>
        <w:tc>
          <w:tcPr>
            <w:tcW w:w="3192" w:type="dxa"/>
            <w:vAlign w:val="center"/>
          </w:tcPr>
          <w:p w14:paraId="4F44096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Poor alignment of mechanical data with approval pathways</w:t>
            </w:r>
          </w:p>
        </w:tc>
        <w:tc>
          <w:tcPr>
            <w:tcW w:w="3192" w:type="dxa"/>
            <w:vAlign w:val="center"/>
          </w:tcPr>
          <w:p w14:paraId="0029B9B8"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Regulatory frameworks incorporating mechanics</w:t>
            </w:r>
          </w:p>
        </w:tc>
      </w:tr>
      <w:tr w:rsidR="00726089" w14:paraId="37A820DA" w14:textId="77777777" w:rsidTr="00C0188B">
        <w:tc>
          <w:tcPr>
            <w:tcW w:w="3192" w:type="dxa"/>
            <w:vAlign w:val="center"/>
          </w:tcPr>
          <w:p w14:paraId="6941E147"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Nanoscale mechanics</w:t>
            </w:r>
          </w:p>
        </w:tc>
        <w:tc>
          <w:tcPr>
            <w:tcW w:w="3192" w:type="dxa"/>
            <w:vAlign w:val="center"/>
          </w:tcPr>
          <w:p w14:paraId="1F6C56E2"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Limited accuracy in mechanical characterization</w:t>
            </w:r>
          </w:p>
        </w:tc>
        <w:tc>
          <w:tcPr>
            <w:tcW w:w="3192" w:type="dxa"/>
            <w:vAlign w:val="center"/>
          </w:tcPr>
          <w:p w14:paraId="1A4DD9C5"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Improved nanoscale measurement methods</w:t>
            </w:r>
          </w:p>
        </w:tc>
      </w:tr>
      <w:tr w:rsidR="00726089" w14:paraId="7CC15C5E" w14:textId="77777777" w:rsidTr="00C0188B">
        <w:tc>
          <w:tcPr>
            <w:tcW w:w="3192" w:type="dxa"/>
            <w:vAlign w:val="center"/>
          </w:tcPr>
          <w:p w14:paraId="48010D35"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Multifunctionality</w:t>
            </w:r>
          </w:p>
        </w:tc>
        <w:tc>
          <w:tcPr>
            <w:tcW w:w="3192" w:type="dxa"/>
            <w:vAlign w:val="center"/>
          </w:tcPr>
          <w:p w14:paraId="6B64851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Complex trade-offs in multifunctional designs</w:t>
            </w:r>
          </w:p>
        </w:tc>
        <w:tc>
          <w:tcPr>
            <w:tcW w:w="3192" w:type="dxa"/>
            <w:vAlign w:val="center"/>
          </w:tcPr>
          <w:p w14:paraId="0A51BCB7"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Multi-objective optimization tools</w:t>
            </w:r>
          </w:p>
        </w:tc>
      </w:tr>
      <w:tr w:rsidR="00726089" w14:paraId="37AADBC0" w14:textId="77777777" w:rsidTr="00C0188B">
        <w:tc>
          <w:tcPr>
            <w:tcW w:w="3192" w:type="dxa"/>
            <w:vAlign w:val="center"/>
          </w:tcPr>
          <w:p w14:paraId="2101829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Validation</w:t>
            </w:r>
          </w:p>
        </w:tc>
        <w:tc>
          <w:tcPr>
            <w:tcW w:w="3192" w:type="dxa"/>
            <w:vAlign w:val="center"/>
          </w:tcPr>
          <w:p w14:paraId="51FB2821"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Lack of multiscale validation</w:t>
            </w:r>
          </w:p>
        </w:tc>
        <w:tc>
          <w:tcPr>
            <w:tcW w:w="3192" w:type="dxa"/>
            <w:vAlign w:val="center"/>
          </w:tcPr>
          <w:p w14:paraId="2B3F54F4" w14:textId="77777777" w:rsidR="00726089" w:rsidRPr="00EC083A" w:rsidRDefault="00726089" w:rsidP="00A707D0">
            <w:pPr>
              <w:rPr>
                <w:rFonts w:ascii="Times New Roman" w:eastAsia="Times New Roman" w:hAnsi="Times New Roman" w:cs="Times New Roman"/>
                <w:sz w:val="24"/>
                <w:szCs w:val="24"/>
              </w:rPr>
            </w:pPr>
            <w:r w:rsidRPr="00EC083A">
              <w:rPr>
                <w:rFonts w:ascii="Times New Roman" w:eastAsia="Times New Roman" w:hAnsi="Times New Roman" w:cs="Times New Roman"/>
                <w:sz w:val="24"/>
                <w:szCs w:val="24"/>
              </w:rPr>
              <w:t>Standardized multiscale benchmarks</w:t>
            </w:r>
          </w:p>
        </w:tc>
      </w:tr>
    </w:tbl>
    <w:p w14:paraId="30BD16B0" w14:textId="77777777" w:rsidR="00726089" w:rsidRDefault="00726089" w:rsidP="00E5512B">
      <w:pPr>
        <w:spacing w:before="100" w:beforeAutospacing="1" w:after="100" w:afterAutospacing="1" w:line="240" w:lineRule="auto"/>
        <w:outlineLvl w:val="1"/>
        <w:rPr>
          <w:rFonts w:ascii="Times New Roman" w:eastAsia="Times New Roman" w:hAnsi="Times New Roman" w:cs="Times New Roman"/>
          <w:b/>
          <w:bCs/>
          <w:sz w:val="24"/>
          <w:szCs w:val="24"/>
        </w:rPr>
      </w:pPr>
    </w:p>
    <w:p w14:paraId="611C31C8"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9. Future Outlook</w:t>
      </w:r>
    </w:p>
    <w:p w14:paraId="11AEA950" w14:textId="77777777" w:rsidR="00EC083A" w:rsidRPr="00EC083A" w:rsidRDefault="00EC083A" w:rsidP="00EC083A">
      <w:pPr>
        <w:pStyle w:val="NormalWeb"/>
        <w:jc w:val="both"/>
      </w:pPr>
      <w:r w:rsidRPr="00EC083A">
        <w:t xml:space="preserve">The future of healthcare biomaterials will be shaped by a decisive shift from empirically driven development toward </w:t>
      </w:r>
      <w:r w:rsidRPr="00EC083A">
        <w:rPr>
          <w:rStyle w:val="Strong"/>
          <w:b w:val="0"/>
        </w:rPr>
        <w:t>predictive, engineering-led design frameworks</w:t>
      </w:r>
      <w:r w:rsidRPr="00EC083A">
        <w:t>. As highlighted by the challenges and research gaps identified in Section 8, current limitations in modeling fidelity, standardization, scalability, and mechanobiological integration underscore the need for stronger mechanical engineering leadership in biomaterials research and translation.</w:t>
      </w:r>
    </w:p>
    <w:p w14:paraId="74A22BDD" w14:textId="77777777" w:rsidR="00EC083A" w:rsidRPr="00EC083A" w:rsidRDefault="00EC083A" w:rsidP="00EC083A">
      <w:pPr>
        <w:pStyle w:val="NormalWeb"/>
        <w:jc w:val="both"/>
      </w:pPr>
      <w:r w:rsidRPr="00EC083A">
        <w:t xml:space="preserve">Rather than treating mechanics as a secondary consideration, future biomaterials must be conceived as </w:t>
      </w:r>
      <w:r w:rsidRPr="00EC083A">
        <w:rPr>
          <w:rStyle w:val="Strong"/>
          <w:b w:val="0"/>
        </w:rPr>
        <w:t>engineered systems</w:t>
      </w:r>
      <w:r w:rsidRPr="00EC083A">
        <w:t>, whose performance emerges from well-defined relationships between structure, material properties, forces, and transport processes. Mechanical engineering provides the theoretical, computational, and experimental tools required to realize this transformation.</w:t>
      </w:r>
    </w:p>
    <w:p w14:paraId="0C79BA45" w14:textId="77777777" w:rsidR="00EC083A" w:rsidRPr="00EC083A" w:rsidRDefault="00EC083A" w:rsidP="00EC083A">
      <w:pPr>
        <w:pStyle w:val="Heading2"/>
        <w:jc w:val="both"/>
        <w:rPr>
          <w:sz w:val="24"/>
          <w:szCs w:val="24"/>
        </w:rPr>
      </w:pPr>
      <w:r w:rsidRPr="00EC083A">
        <w:rPr>
          <w:sz w:val="24"/>
          <w:szCs w:val="24"/>
        </w:rPr>
        <w:t>9.1 Toward Fully Predictive Multiscale Design Frameworks</w:t>
      </w:r>
    </w:p>
    <w:p w14:paraId="34EB9BA5" w14:textId="77777777" w:rsidR="00EC083A" w:rsidRPr="00EC083A" w:rsidRDefault="00EC083A" w:rsidP="00EC083A">
      <w:pPr>
        <w:pStyle w:val="NormalWeb"/>
        <w:jc w:val="both"/>
      </w:pPr>
      <w:r w:rsidRPr="00EC083A">
        <w:t xml:space="preserve">One of the most critical future directions is the development of </w:t>
      </w:r>
      <w:r w:rsidRPr="00EC083A">
        <w:rPr>
          <w:rStyle w:val="Strong"/>
          <w:b w:val="0"/>
        </w:rPr>
        <w:t>multiscale, time-dependent engineering models</w:t>
      </w:r>
      <w:r w:rsidRPr="00EC083A">
        <w:t xml:space="preserve"> that couple mechanics, transport, and biological evolution. Future biomaterials research must move beyond static simulations toward frameworks that account for degradation, tissue remodeling, cellular adaptation, and changing mechanical environments over tim</w:t>
      </w:r>
      <w:r w:rsidR="004C06ED">
        <w:t>e</w:t>
      </w:r>
      <w:r w:rsidRPr="00EC083A">
        <w:t>.</w:t>
      </w:r>
    </w:p>
    <w:p w14:paraId="4DBED3B8" w14:textId="77777777" w:rsidR="00EC083A" w:rsidRPr="00EC083A" w:rsidRDefault="00EC083A" w:rsidP="00EC083A">
      <w:pPr>
        <w:pStyle w:val="NormalWeb"/>
        <w:jc w:val="both"/>
      </w:pPr>
      <w:r w:rsidRPr="00EC083A">
        <w:t xml:space="preserve">For cancer-related biomaterials and nanotherapeutics, this implies predictive models that integrate nanoparticle mechanics, interfacial forces, transport under flow, and evolving tumor </w:t>
      </w:r>
      <w:r w:rsidRPr="00EC083A">
        <w:lastRenderedPageBreak/>
        <w:t>mechanics. Such approaches will enable rational optimization of size, stiffness, surface properties, and architecture without relying solely on trial-and-error experimentation.</w:t>
      </w:r>
    </w:p>
    <w:p w14:paraId="2CCD1E53" w14:textId="77777777" w:rsidR="00EC083A" w:rsidRPr="00EC083A" w:rsidRDefault="00EC083A" w:rsidP="00EC083A">
      <w:pPr>
        <w:pStyle w:val="Heading2"/>
        <w:jc w:val="both"/>
        <w:rPr>
          <w:sz w:val="24"/>
          <w:szCs w:val="24"/>
        </w:rPr>
      </w:pPr>
      <w:r w:rsidRPr="00EC083A">
        <w:rPr>
          <w:sz w:val="24"/>
          <w:szCs w:val="24"/>
        </w:rPr>
        <w:t>9.2 Establishment of Engineering-Centered Testing Standards</w:t>
      </w:r>
    </w:p>
    <w:p w14:paraId="54111FE2" w14:textId="77777777" w:rsidR="00EC083A" w:rsidRPr="00EC083A" w:rsidRDefault="00EC083A" w:rsidP="00EC083A">
      <w:pPr>
        <w:pStyle w:val="NormalWeb"/>
        <w:jc w:val="both"/>
      </w:pPr>
      <w:r w:rsidRPr="00EC083A">
        <w:t xml:space="preserve">Future progress will also depend on the creation of </w:t>
      </w:r>
      <w:r w:rsidRPr="00EC083A">
        <w:rPr>
          <w:rStyle w:val="Strong"/>
          <w:b w:val="0"/>
        </w:rPr>
        <w:t>standardized, physiology-relevant mechanical testing protocols</w:t>
      </w:r>
      <w:r w:rsidRPr="00EC083A">
        <w:t xml:space="preserve"> for emerging biomaterials. These standards must reflect realistic loading conditions, hydration states, degradation pathways, and cyclic fatigue experienced in v</w:t>
      </w:r>
      <w:r w:rsidR="004C06ED">
        <w:t>ivo</w:t>
      </w:r>
      <w:r w:rsidRPr="00EC083A">
        <w:t>.</w:t>
      </w:r>
    </w:p>
    <w:p w14:paraId="3000F0C0" w14:textId="77777777" w:rsidR="00EC083A" w:rsidRPr="00EC083A" w:rsidRDefault="00EC083A" w:rsidP="00EC083A">
      <w:pPr>
        <w:pStyle w:val="NormalWeb"/>
        <w:jc w:val="both"/>
      </w:pPr>
      <w:r w:rsidRPr="00EC083A">
        <w:t>Mechanical engineers are uniquely positioned to lead this effort by adapting and extending classical materials testing methodologies to complex biomaterials such as porous scaffolds, hydrogels, nanocomposites, and bioresorbable systems. Standardization will be essential for reproducibility, regulatory approval, and industrial scalability.</w:t>
      </w:r>
    </w:p>
    <w:p w14:paraId="2F20D2D0" w14:textId="77777777" w:rsidR="00EC083A" w:rsidRPr="00EC083A" w:rsidRDefault="00EC083A" w:rsidP="00EC083A">
      <w:pPr>
        <w:pStyle w:val="Heading2"/>
        <w:jc w:val="both"/>
        <w:rPr>
          <w:sz w:val="24"/>
          <w:szCs w:val="24"/>
        </w:rPr>
      </w:pPr>
      <w:r w:rsidRPr="00EC083A">
        <w:rPr>
          <w:sz w:val="24"/>
          <w:szCs w:val="24"/>
        </w:rPr>
        <w:t>9.3 Integration of Mechanics with Biological Function (Mechanobiology by Design)</w:t>
      </w:r>
    </w:p>
    <w:p w14:paraId="19443FF8" w14:textId="77777777" w:rsidR="00EC083A" w:rsidRPr="00EC083A" w:rsidRDefault="00EC083A" w:rsidP="00EC083A">
      <w:pPr>
        <w:pStyle w:val="NormalWeb"/>
        <w:jc w:val="both"/>
      </w:pPr>
      <w:r w:rsidRPr="00EC083A">
        <w:t xml:space="preserve">Future biomaterials must be designed with </w:t>
      </w:r>
      <w:r w:rsidRPr="00EC083A">
        <w:rPr>
          <w:rStyle w:val="Strong"/>
          <w:b w:val="0"/>
        </w:rPr>
        <w:t>mechanobiological coupling as a core design principle</w:t>
      </w:r>
      <w:r w:rsidRPr="00EC083A">
        <w:t xml:space="preserve">, not a post hoc observation. As demonstrated by Discher et al. (2009), </w:t>
      </w:r>
      <w:proofErr w:type="spellStart"/>
      <w:r w:rsidRPr="00EC083A">
        <w:t>Lekka</w:t>
      </w:r>
      <w:proofErr w:type="spellEnd"/>
      <w:r w:rsidRPr="00EC083A">
        <w:t xml:space="preserve"> </w:t>
      </w:r>
      <w:r w:rsidR="00D435C9">
        <w:t xml:space="preserve">(2016), and </w:t>
      </w:r>
      <w:proofErr w:type="spellStart"/>
      <w:r w:rsidR="00D435C9">
        <w:t>Efremov</w:t>
      </w:r>
      <w:proofErr w:type="spellEnd"/>
      <w:r w:rsidR="00D435C9">
        <w:t xml:space="preserve"> et al. (2017</w:t>
      </w:r>
      <w:r w:rsidRPr="00EC083A">
        <w:t>), mechanical cues such as stiffness, deformation, and force transmission fundamentally influence cellular behavior and disease progression.</w:t>
      </w:r>
    </w:p>
    <w:p w14:paraId="6A56CEBB" w14:textId="77777777" w:rsidR="00EC083A" w:rsidRPr="00EC083A" w:rsidRDefault="00EC083A" w:rsidP="00EC083A">
      <w:pPr>
        <w:pStyle w:val="NormalWeb"/>
        <w:jc w:val="both"/>
      </w:pPr>
      <w:r w:rsidRPr="00EC083A">
        <w:t>The next generation of biomaterials should therefore be engineered to actively exploit mechanical differences betwe</w:t>
      </w:r>
      <w:r w:rsidR="004C06ED">
        <w:t xml:space="preserve">en healthy and diseased tissues particularly in cancer </w:t>
      </w:r>
      <w:r w:rsidRPr="00EC083A">
        <w:t>using energy-based and force-based selectivity rather than biochemical targeting alone. This represents a major opportunity for mechanical engineers to redefine therapeutic design paradigms.</w:t>
      </w:r>
    </w:p>
    <w:p w14:paraId="1F45BA45" w14:textId="77777777" w:rsidR="00EC083A" w:rsidRPr="00EC083A" w:rsidRDefault="00EC083A" w:rsidP="00EC083A">
      <w:pPr>
        <w:pStyle w:val="Heading2"/>
        <w:jc w:val="both"/>
        <w:rPr>
          <w:sz w:val="24"/>
          <w:szCs w:val="24"/>
        </w:rPr>
      </w:pPr>
      <w:r w:rsidRPr="00EC083A">
        <w:rPr>
          <w:sz w:val="24"/>
          <w:szCs w:val="24"/>
        </w:rPr>
        <w:t>9.4 Scalable Manufacturing Guided by Process–Structure–Property Control</w:t>
      </w:r>
    </w:p>
    <w:p w14:paraId="5107B6D7" w14:textId="77777777" w:rsidR="00EC083A" w:rsidRPr="00EC083A" w:rsidRDefault="00EC083A" w:rsidP="00EC083A">
      <w:pPr>
        <w:pStyle w:val="NormalWeb"/>
        <w:jc w:val="both"/>
      </w:pPr>
      <w:r w:rsidRPr="00EC083A">
        <w:t xml:space="preserve">Advanced manufacturing technologies, including additive manufacturing and nanofabrication, will continue to expand the design space of healthcare biomaterials. However, future success will require </w:t>
      </w:r>
      <w:r w:rsidRPr="00EC083A">
        <w:rPr>
          <w:rStyle w:val="Strong"/>
          <w:b w:val="0"/>
        </w:rPr>
        <w:t>tight integration between manufacturing processes and mechanical performance</w:t>
      </w:r>
      <w:r w:rsidRPr="00EC083A">
        <w:t>.</w:t>
      </w:r>
    </w:p>
    <w:p w14:paraId="2FFE44C7" w14:textId="77777777" w:rsidR="00EC083A" w:rsidRPr="00EC083A" w:rsidRDefault="00EC083A" w:rsidP="00EC083A">
      <w:pPr>
        <w:pStyle w:val="NormalWeb"/>
        <w:jc w:val="both"/>
      </w:pPr>
      <w:r w:rsidRPr="00EC083A">
        <w:t xml:space="preserve">Mechanical engineering research must focus on establishing robust process–structure–property relationships that ensure consistency, reliability, and mechanical integrity </w:t>
      </w:r>
      <w:r w:rsidR="004C06ED">
        <w:t>across production scales</w:t>
      </w:r>
      <w:r w:rsidRPr="00EC083A">
        <w:t>. Real-time process monitoring, in-line mechanical validation, and digital twins will likely become central components of biomaterials manufacturing pipelines.</w:t>
      </w:r>
    </w:p>
    <w:p w14:paraId="48A144A2" w14:textId="77777777" w:rsidR="00EC083A" w:rsidRPr="00EC083A" w:rsidRDefault="00EC083A" w:rsidP="00EC083A">
      <w:pPr>
        <w:pStyle w:val="Heading2"/>
        <w:jc w:val="both"/>
        <w:rPr>
          <w:sz w:val="24"/>
          <w:szCs w:val="24"/>
        </w:rPr>
      </w:pPr>
      <w:r w:rsidRPr="00EC083A">
        <w:rPr>
          <w:sz w:val="24"/>
          <w:szCs w:val="24"/>
        </w:rPr>
        <w:t>9.5 Regulatory Alignment Through Engineering Metrics</w:t>
      </w:r>
    </w:p>
    <w:p w14:paraId="6DD2D97C" w14:textId="77777777" w:rsidR="00EC083A" w:rsidRPr="00EC083A" w:rsidRDefault="00EC083A" w:rsidP="00EC083A">
      <w:pPr>
        <w:pStyle w:val="NormalWeb"/>
        <w:jc w:val="both"/>
      </w:pPr>
      <w:r w:rsidRPr="00EC083A">
        <w:t xml:space="preserve">Another key future direction lies in aligning biomaterials evaluation with </w:t>
      </w:r>
      <w:r w:rsidRPr="00EC083A">
        <w:rPr>
          <w:rStyle w:val="Strong"/>
          <w:b w:val="0"/>
        </w:rPr>
        <w:t>engineering-based performance metrics</w:t>
      </w:r>
      <w:r w:rsidRPr="00EC083A">
        <w:t xml:space="preserve"> that are meaningful for regulatory decision-making. Rather than relying predominantly on biological endpoints, future regulatory frameworks should incorporate mechanical durability, fatigue resistance, degradation mechanics, and long-term stability as primary evaluatio</w:t>
      </w:r>
      <w:r w:rsidR="004C06ED">
        <w:t>n criteria</w:t>
      </w:r>
      <w:r w:rsidRPr="00EC083A">
        <w:t>.</w:t>
      </w:r>
    </w:p>
    <w:p w14:paraId="4CEE53B2" w14:textId="77777777" w:rsidR="00EC083A" w:rsidRPr="00EC083A" w:rsidRDefault="00EC083A" w:rsidP="00EC083A">
      <w:pPr>
        <w:pStyle w:val="NormalWeb"/>
        <w:jc w:val="both"/>
      </w:pPr>
      <w:r w:rsidRPr="00EC083A">
        <w:lastRenderedPageBreak/>
        <w:t>Mechanical engineers can contribute by developing standardized testing protocols and predictive models that directly inform safety margins, failure probabilities, and lifecycle performance.</w:t>
      </w:r>
    </w:p>
    <w:p w14:paraId="6E0DB1FF" w14:textId="77777777" w:rsidR="00EC083A" w:rsidRPr="00EC083A" w:rsidRDefault="00EC083A" w:rsidP="00EC083A">
      <w:pPr>
        <w:pStyle w:val="Heading2"/>
        <w:jc w:val="both"/>
        <w:rPr>
          <w:sz w:val="24"/>
          <w:szCs w:val="24"/>
        </w:rPr>
      </w:pPr>
      <w:r w:rsidRPr="00EC083A">
        <w:rPr>
          <w:sz w:val="24"/>
          <w:szCs w:val="24"/>
        </w:rPr>
        <w:t>9.6 Data-Driven and AI-Enhanced Engineering Design</w:t>
      </w:r>
    </w:p>
    <w:p w14:paraId="1E7277C7" w14:textId="77777777" w:rsidR="00EC083A" w:rsidRPr="00EC083A" w:rsidRDefault="00EC083A" w:rsidP="00EC083A">
      <w:pPr>
        <w:pStyle w:val="NormalWeb"/>
        <w:jc w:val="both"/>
      </w:pPr>
      <w:r w:rsidRPr="00EC083A">
        <w:t>The integration of data-driven methods and artificial intelligence with mechanical modeling represents a powerful future avenue for biomaterials research. Machine learning tools can be used to explore high-dimensional design spaces, optimize material architectures, and identify dominant mechanical variables influencing performance.</w:t>
      </w:r>
    </w:p>
    <w:p w14:paraId="2869D5C0" w14:textId="77777777" w:rsidR="00EC083A" w:rsidRPr="00EC083A" w:rsidRDefault="00EC083A" w:rsidP="00EC083A">
      <w:pPr>
        <w:pStyle w:val="NormalWeb"/>
        <w:jc w:val="both"/>
      </w:pPr>
      <w:r w:rsidRPr="00EC083A">
        <w:t>When combined with physics-based models, these approaches can significantly accelerate biomaterials discovery while preserving interpretability and engineering rigor.</w:t>
      </w:r>
    </w:p>
    <w:p w14:paraId="7F39F306" w14:textId="77777777" w:rsidR="00EC083A" w:rsidRPr="00EC083A" w:rsidRDefault="00EC083A" w:rsidP="00EC083A">
      <w:pPr>
        <w:pStyle w:val="Heading2"/>
        <w:jc w:val="both"/>
        <w:rPr>
          <w:sz w:val="24"/>
          <w:szCs w:val="24"/>
        </w:rPr>
      </w:pPr>
      <w:r w:rsidRPr="00EC083A">
        <w:rPr>
          <w:sz w:val="24"/>
          <w:szCs w:val="24"/>
        </w:rPr>
        <w:t>9.7 A Unifying Role for Mechanical Engineering in Healthcare Innovation</w:t>
      </w:r>
    </w:p>
    <w:p w14:paraId="6D2D29EF" w14:textId="77777777" w:rsidR="00EC083A" w:rsidRPr="00EC083A" w:rsidRDefault="00EC083A" w:rsidP="00EC083A">
      <w:pPr>
        <w:pStyle w:val="NormalWeb"/>
        <w:jc w:val="both"/>
      </w:pPr>
      <w:r w:rsidRPr="00EC083A">
        <w:t xml:space="preserve">Ultimately, the future of healthcare biomaterials depends on the establishment of </w:t>
      </w:r>
      <w:r w:rsidRPr="00EC083A">
        <w:rPr>
          <w:rStyle w:val="Strong"/>
          <w:b w:val="0"/>
        </w:rPr>
        <w:t>unified engineering frameworks</w:t>
      </w:r>
      <w:r w:rsidRPr="00EC083A">
        <w:t xml:space="preserve"> that integrate materials science, mechanics, transport phenomena, manufacturing, and biological response. Mechanical engineering is uniquely positioned to provide this unifying structure, transforming biomaterials research from descriptive experimentation into predictive, scalable, and clinically reliable technology development.</w:t>
      </w:r>
    </w:p>
    <w:p w14:paraId="78AEA04B" w14:textId="77777777" w:rsidR="00EC083A" w:rsidRPr="00EC083A" w:rsidRDefault="00EC083A" w:rsidP="00EC083A">
      <w:pPr>
        <w:pStyle w:val="NormalWeb"/>
        <w:jc w:val="both"/>
      </w:pPr>
      <w:r w:rsidRPr="00EC083A">
        <w:t xml:space="preserve">By embracing this role, mechanical engineers will not merely contribute to healthcare innovation—they will </w:t>
      </w:r>
      <w:r w:rsidRPr="00EC083A">
        <w:rPr>
          <w:rStyle w:val="Strong"/>
          <w:b w:val="0"/>
        </w:rPr>
        <w:t>define the foundational principles</w:t>
      </w:r>
      <w:r w:rsidRPr="00EC083A">
        <w:t xml:space="preserve"> governing next-generation biomaterials for disease treatment, diagnosis, and regeneration.</w:t>
      </w:r>
    </w:p>
    <w:p w14:paraId="5E4861CB" w14:textId="77777777" w:rsidR="004C06ED" w:rsidRDefault="004C06ED" w:rsidP="00E5512B">
      <w:pPr>
        <w:spacing w:before="100" w:beforeAutospacing="1" w:after="100" w:afterAutospacing="1" w:line="240" w:lineRule="auto"/>
        <w:outlineLvl w:val="1"/>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19DC8F07" w14:textId="77777777" w:rsidR="00C84580" w:rsidRPr="00C84580"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This paper has presented a mechanical engineering–centered framework for understanding, designing, and optimizing biomaterials for healthcare applications. By emphasizing core mechanical principles—such as solid mechanics, transport phenomena, interfacial intera</w:t>
      </w:r>
      <w:r>
        <w:rPr>
          <w:rFonts w:ascii="Times New Roman" w:eastAsia="Times New Roman" w:hAnsi="Times New Roman" w:cs="Times New Roman"/>
          <w:sz w:val="24"/>
          <w:szCs w:val="24"/>
        </w:rPr>
        <w:t xml:space="preserve">ctions, and multiscale modeling </w:t>
      </w:r>
      <w:r w:rsidRPr="00C84580">
        <w:rPr>
          <w:rFonts w:ascii="Times New Roman" w:eastAsia="Times New Roman" w:hAnsi="Times New Roman" w:cs="Times New Roman"/>
          <w:sz w:val="24"/>
          <w:szCs w:val="24"/>
        </w:rPr>
        <w:t>the framework provides a structured lens through which biomaterial behavior in physiological environments can be systematically analyzed and predicted. This approach bridges the gap between material composition and biological performance, moving beyond empirical design toward physics-based, predictive methodologies.</w:t>
      </w:r>
    </w:p>
    <w:p w14:paraId="3D67B0B2" w14:textId="77777777" w:rsidR="00C84580" w:rsidRPr="00C84580"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The review highlights how mechanical properties, deformation behavior, fluid–structure interactions, and mass transport processes govern the functionality of biomaterials in applications including drug delivery systems, implants, tissue scaffolds, and nano-enabled therapeutics. Particular attention is given to nano–bio interactions, where size, surface characteristics, and mechanical forces strongly influence cellular uptake, transport, and biological response. Computational tools such as finite element analysis, multiscale modeling, and physics-informed simulations are shown to be essential for capturing these complex interactions and guiding rational material design.</w:t>
      </w:r>
    </w:p>
    <w:p w14:paraId="4DF27C7F" w14:textId="77777777" w:rsidR="00C84580" w:rsidRPr="00C84580"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 xml:space="preserve">Despite significant advances, challenges remain in translating mechanically optimized biomaterials from laboratory studies to clinical practice. These challenges include biological </w:t>
      </w:r>
      <w:r w:rsidRPr="00C84580">
        <w:rPr>
          <w:rFonts w:ascii="Times New Roman" w:eastAsia="Times New Roman" w:hAnsi="Times New Roman" w:cs="Times New Roman"/>
          <w:sz w:val="24"/>
          <w:szCs w:val="24"/>
        </w:rPr>
        <w:lastRenderedPageBreak/>
        <w:t>variability, long-term material stability, uncertainty in in vivo loading conditions, and the integration of mechanical models with biological feedback mechanisms. Addressing these issues will require tighter coupling between experimental characterization, computational modeling, and systems-level design approaches.</w:t>
      </w:r>
    </w:p>
    <w:p w14:paraId="6A9EFA30" w14:textId="77777777" w:rsidR="004C06ED" w:rsidRDefault="00C84580" w:rsidP="00C84580">
      <w:pPr>
        <w:spacing w:before="100" w:beforeAutospacing="1" w:after="100" w:afterAutospacing="1" w:line="240" w:lineRule="auto"/>
        <w:jc w:val="both"/>
        <w:rPr>
          <w:rFonts w:ascii="Times New Roman" w:eastAsia="Times New Roman" w:hAnsi="Times New Roman" w:cs="Times New Roman"/>
          <w:sz w:val="24"/>
          <w:szCs w:val="24"/>
        </w:rPr>
      </w:pPr>
      <w:r w:rsidRPr="00C84580">
        <w:rPr>
          <w:rFonts w:ascii="Times New Roman" w:eastAsia="Times New Roman" w:hAnsi="Times New Roman" w:cs="Times New Roman"/>
          <w:sz w:val="24"/>
          <w:szCs w:val="24"/>
        </w:rPr>
        <w:t>Overall, adopting a mechanical engineering framework offers a unifying and quantitative pathway for advancing biomaterials research in healthcare. By integrating mechanics, transport, and computational modeling with biological considerations, this approach can accelerate the development of safer, more effective, and application-specific biomaterials, supporting the next generation of precision healthcare technologies.</w:t>
      </w:r>
    </w:p>
    <w:p w14:paraId="7C9C98DE" w14:textId="77777777" w:rsidR="003116B5" w:rsidRDefault="003116B5" w:rsidP="00C84580">
      <w:pPr>
        <w:spacing w:before="100" w:beforeAutospacing="1" w:after="100" w:afterAutospacing="1" w:line="240" w:lineRule="auto"/>
        <w:jc w:val="both"/>
        <w:rPr>
          <w:rFonts w:ascii="Times New Roman" w:eastAsia="Times New Roman" w:hAnsi="Times New Roman" w:cs="Times New Roman"/>
          <w:sz w:val="24"/>
          <w:szCs w:val="24"/>
        </w:rPr>
      </w:pPr>
    </w:p>
    <w:p w14:paraId="794264AA" w14:textId="77777777" w:rsidR="003116B5" w:rsidRPr="003116B5" w:rsidRDefault="003116B5" w:rsidP="003116B5">
      <w:pPr>
        <w:spacing w:before="100" w:beforeAutospacing="1" w:after="100" w:afterAutospacing="1" w:line="240" w:lineRule="auto"/>
        <w:jc w:val="both"/>
        <w:rPr>
          <w:rFonts w:ascii="Times New Roman" w:eastAsia="Times New Roman" w:hAnsi="Times New Roman" w:cs="Times New Roman"/>
          <w:sz w:val="24"/>
          <w:szCs w:val="24"/>
        </w:rPr>
      </w:pPr>
      <w:r w:rsidRPr="003116B5">
        <w:rPr>
          <w:rFonts w:ascii="Times New Roman" w:eastAsia="Times New Roman" w:hAnsi="Times New Roman" w:cs="Times New Roman"/>
          <w:sz w:val="24"/>
          <w:szCs w:val="24"/>
        </w:rPr>
        <w:t>COMPETING INTERESTS DISCLAIMER:</w:t>
      </w:r>
    </w:p>
    <w:p w14:paraId="031CCE90" w14:textId="77777777" w:rsidR="003116B5" w:rsidRPr="003116B5" w:rsidRDefault="003116B5" w:rsidP="003116B5">
      <w:pPr>
        <w:spacing w:before="100" w:beforeAutospacing="1" w:after="100" w:afterAutospacing="1" w:line="240" w:lineRule="auto"/>
        <w:jc w:val="both"/>
        <w:rPr>
          <w:rFonts w:ascii="Times New Roman" w:eastAsia="Times New Roman" w:hAnsi="Times New Roman" w:cs="Times New Roman"/>
          <w:sz w:val="24"/>
          <w:szCs w:val="24"/>
        </w:rPr>
      </w:pPr>
      <w:r w:rsidRPr="003116B5">
        <w:rPr>
          <w:rFonts w:ascii="Times New Roman" w:eastAsia="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032D2715" w14:textId="77777777" w:rsidR="003116B5" w:rsidRPr="003116B5" w:rsidRDefault="003116B5" w:rsidP="003116B5">
      <w:pPr>
        <w:spacing w:before="100" w:beforeAutospacing="1" w:after="100" w:afterAutospacing="1" w:line="240" w:lineRule="auto"/>
        <w:jc w:val="both"/>
        <w:rPr>
          <w:rFonts w:ascii="Times New Roman" w:eastAsia="Times New Roman" w:hAnsi="Times New Roman" w:cs="Times New Roman"/>
          <w:sz w:val="24"/>
          <w:szCs w:val="24"/>
        </w:rPr>
      </w:pPr>
    </w:p>
    <w:p w14:paraId="35E0561E" w14:textId="77777777" w:rsidR="003116B5" w:rsidRPr="00C84580" w:rsidRDefault="003116B5" w:rsidP="00C84580">
      <w:pPr>
        <w:spacing w:before="100" w:beforeAutospacing="1" w:after="100" w:afterAutospacing="1" w:line="240" w:lineRule="auto"/>
        <w:jc w:val="both"/>
        <w:rPr>
          <w:rFonts w:ascii="Times New Roman" w:eastAsia="Times New Roman" w:hAnsi="Times New Roman" w:cs="Times New Roman"/>
          <w:sz w:val="24"/>
          <w:szCs w:val="24"/>
        </w:rPr>
      </w:pPr>
    </w:p>
    <w:p w14:paraId="6FF0EC69" w14:textId="77777777" w:rsidR="00E5512B" w:rsidRPr="00E5512B" w:rsidRDefault="00E5512B" w:rsidP="00E5512B">
      <w:pPr>
        <w:spacing w:before="100" w:beforeAutospacing="1" w:after="100" w:afterAutospacing="1" w:line="240" w:lineRule="auto"/>
        <w:outlineLvl w:val="1"/>
        <w:rPr>
          <w:rFonts w:ascii="Times New Roman" w:eastAsia="Times New Roman" w:hAnsi="Times New Roman" w:cs="Times New Roman"/>
          <w:b/>
          <w:bCs/>
          <w:sz w:val="24"/>
          <w:szCs w:val="24"/>
        </w:rPr>
      </w:pPr>
      <w:r w:rsidRPr="00E5512B">
        <w:rPr>
          <w:rFonts w:ascii="Times New Roman" w:eastAsia="Times New Roman" w:hAnsi="Times New Roman" w:cs="Times New Roman"/>
          <w:b/>
          <w:bCs/>
          <w:sz w:val="24"/>
          <w:szCs w:val="24"/>
        </w:rPr>
        <w:t>References</w:t>
      </w:r>
    </w:p>
    <w:p w14:paraId="08AA6458" w14:textId="77777777" w:rsidR="00E03780" w:rsidRDefault="00E03780" w:rsidP="00E03780">
      <w:pPr>
        <w:pStyle w:val="NormalWeb"/>
        <w:jc w:val="both"/>
      </w:pPr>
      <w:r>
        <w:t xml:space="preserve">[1] Anderson, J. M., Rodriguez, A., &amp; Chang, D. T. (2008). Foreign body reaction to biomaterials. </w:t>
      </w:r>
      <w:r>
        <w:rPr>
          <w:rStyle w:val="Emphasis"/>
        </w:rPr>
        <w:t>Seminars in Immunology, 20</w:t>
      </w:r>
      <w:r>
        <w:t xml:space="preserve">(2), 86–100. </w:t>
      </w:r>
      <w:hyperlink r:id="rId7" w:tgtFrame="_new" w:history="1">
        <w:r>
          <w:rPr>
            <w:rStyle w:val="Hyperlink"/>
          </w:rPr>
          <w:t>https://doi.org/10.1016/j.smim.2007.11.004</w:t>
        </w:r>
      </w:hyperlink>
    </w:p>
    <w:p w14:paraId="0BD8428A" w14:textId="77777777" w:rsidR="00A768C9" w:rsidRPr="00A768C9" w:rsidRDefault="00E03780" w:rsidP="00E03780">
      <w:pPr>
        <w:pStyle w:val="NormalWeb"/>
        <w:jc w:val="both"/>
      </w:pPr>
      <w:r>
        <w:t xml:space="preserve">[2] </w:t>
      </w:r>
      <w:r w:rsidR="00A768C9" w:rsidRPr="00A768C9">
        <w:rPr>
          <w:color w:val="1B1B1B"/>
          <w:shd w:val="clear" w:color="auto" w:fill="FFFFFF"/>
        </w:rPr>
        <w:t>Anselmo, A. C., &amp; Mitragotri, S. (2019). Nanoparticles in the clinic: An update. </w:t>
      </w:r>
      <w:r w:rsidR="00A768C9" w:rsidRPr="00A768C9">
        <w:rPr>
          <w:i/>
          <w:iCs/>
          <w:color w:val="1B1B1B"/>
          <w:shd w:val="clear" w:color="auto" w:fill="FFFFFF"/>
        </w:rPr>
        <w:t>Bioengineering &amp; translational medicine</w:t>
      </w:r>
      <w:r w:rsidR="00A768C9" w:rsidRPr="00A768C9">
        <w:rPr>
          <w:color w:val="1B1B1B"/>
          <w:shd w:val="clear" w:color="auto" w:fill="FFFFFF"/>
        </w:rPr>
        <w:t>, </w:t>
      </w:r>
      <w:r w:rsidR="00A768C9" w:rsidRPr="00A768C9">
        <w:rPr>
          <w:i/>
          <w:iCs/>
          <w:color w:val="1B1B1B"/>
          <w:shd w:val="clear" w:color="auto" w:fill="FFFFFF"/>
        </w:rPr>
        <w:t>4</w:t>
      </w:r>
      <w:r w:rsidR="00A768C9" w:rsidRPr="00A768C9">
        <w:rPr>
          <w:color w:val="1B1B1B"/>
          <w:shd w:val="clear" w:color="auto" w:fill="FFFFFF"/>
        </w:rPr>
        <w:t>(3), e10143. https://doi.org/10.1002/btm2.10143</w:t>
      </w:r>
      <w:r w:rsidR="00A768C9" w:rsidRPr="00A768C9">
        <w:t xml:space="preserve"> </w:t>
      </w:r>
    </w:p>
    <w:p w14:paraId="027D4EF3" w14:textId="77777777" w:rsidR="00E03780" w:rsidRDefault="00E03780" w:rsidP="00E03780">
      <w:pPr>
        <w:pStyle w:val="NormalWeb"/>
        <w:jc w:val="both"/>
      </w:pPr>
      <w:r>
        <w:t xml:space="preserve">[3] Ashby, M. F., </w:t>
      </w:r>
      <w:proofErr w:type="spellStart"/>
      <w:r>
        <w:t>Shercliff</w:t>
      </w:r>
      <w:proofErr w:type="spellEnd"/>
      <w:r>
        <w:t xml:space="preserve">, H., &amp; </w:t>
      </w:r>
      <w:proofErr w:type="spellStart"/>
      <w:r>
        <w:t>Cebon</w:t>
      </w:r>
      <w:proofErr w:type="spellEnd"/>
      <w:r>
        <w:t xml:space="preserve">, D. (2018). </w:t>
      </w:r>
      <w:r>
        <w:rPr>
          <w:rStyle w:val="Emphasis"/>
        </w:rPr>
        <w:t>Materials: Engineering, science, processing and design</w:t>
      </w:r>
      <w:r>
        <w:t xml:space="preserve"> (4th ed.). Butterworth-Heinemann.</w:t>
      </w:r>
    </w:p>
    <w:p w14:paraId="1C4A7734" w14:textId="77777777" w:rsidR="000C325D" w:rsidRDefault="000C325D" w:rsidP="00E03780">
      <w:pPr>
        <w:pStyle w:val="NormalWeb"/>
        <w:jc w:val="both"/>
      </w:pPr>
      <w:r>
        <w:t xml:space="preserve">[4] Aslam Khan, M. U., Abd Razak, S. I., Al Arjan, W. S., Nazir, S., Sahaya Anand, T. J., Mehboob, H., &amp; Amin, R. (2021). </w:t>
      </w:r>
      <w:r w:rsidRPr="00E97C67">
        <w:rPr>
          <w:rStyle w:val="Strong"/>
          <w:b w:val="0"/>
        </w:rPr>
        <w:t>Recent advances in biopolymeric composite materials for tissue engineering and regenerative medicines: A review</w:t>
      </w:r>
      <w:r>
        <w:rPr>
          <w:rStyle w:val="Strong"/>
        </w:rPr>
        <w:t>.</w:t>
      </w:r>
      <w:r>
        <w:t xml:space="preserve"> </w:t>
      </w:r>
      <w:r>
        <w:rPr>
          <w:rStyle w:val="Emphasis"/>
        </w:rPr>
        <w:t>Molecules, 26</w:t>
      </w:r>
      <w:r>
        <w:t xml:space="preserve">(3), Article 619. </w:t>
      </w:r>
      <w:hyperlink r:id="rId8" w:tgtFrame="_new" w:history="1">
        <w:r>
          <w:rPr>
            <w:rStyle w:val="Hyperlink"/>
          </w:rPr>
          <w:t>https://doi.org/10.3390/molecules26030619</w:t>
        </w:r>
      </w:hyperlink>
    </w:p>
    <w:p w14:paraId="6FCBBED6" w14:textId="77777777" w:rsidR="00E03780" w:rsidRDefault="000C325D" w:rsidP="00E03780">
      <w:pPr>
        <w:pStyle w:val="NormalWeb"/>
        <w:jc w:val="both"/>
      </w:pPr>
      <w:r>
        <w:t>[5</w:t>
      </w:r>
      <w:r w:rsidR="00E03780">
        <w:t xml:space="preserve">] Bear, J. (1988). </w:t>
      </w:r>
      <w:r w:rsidR="00E03780">
        <w:rPr>
          <w:rStyle w:val="Emphasis"/>
        </w:rPr>
        <w:t>Dynamics of fluids in porous media</w:t>
      </w:r>
      <w:r w:rsidR="00E03780">
        <w:t>. Dover Publications.</w:t>
      </w:r>
    </w:p>
    <w:p w14:paraId="76650A61" w14:textId="77777777" w:rsidR="00E03780" w:rsidRDefault="000C325D" w:rsidP="00E03780">
      <w:pPr>
        <w:pStyle w:val="NormalWeb"/>
        <w:jc w:val="both"/>
      </w:pPr>
      <w:r>
        <w:t>[6</w:t>
      </w:r>
      <w:r w:rsidR="00E03780">
        <w:t xml:space="preserve">] Bhatia, S. N., &amp; Ingber, D. E. (2014). Microfluidic organs-on-chips. </w:t>
      </w:r>
      <w:r w:rsidR="00E03780">
        <w:rPr>
          <w:rStyle w:val="Emphasis"/>
        </w:rPr>
        <w:t>Nature Biotechnology, 32</w:t>
      </w:r>
      <w:r w:rsidR="00E03780">
        <w:t xml:space="preserve">(8), 760–772. </w:t>
      </w:r>
      <w:hyperlink r:id="rId9" w:tgtFrame="_new" w:history="1">
        <w:r w:rsidR="00E03780">
          <w:rPr>
            <w:rStyle w:val="Hyperlink"/>
          </w:rPr>
          <w:t>https://doi.org/10.1038/nbt.2989</w:t>
        </w:r>
      </w:hyperlink>
    </w:p>
    <w:p w14:paraId="1D4C2825" w14:textId="77777777" w:rsidR="00E03780" w:rsidRDefault="000C325D" w:rsidP="00E03780">
      <w:pPr>
        <w:pStyle w:val="NormalWeb"/>
        <w:jc w:val="both"/>
      </w:pPr>
      <w:r>
        <w:lastRenderedPageBreak/>
        <w:t>[7</w:t>
      </w:r>
      <w:r w:rsidR="00E03780">
        <w:t xml:space="preserve">] Bird, R. B., Stewart, W. E., &amp; Lightfoot, E. N. (2007). </w:t>
      </w:r>
      <w:r w:rsidR="00E03780">
        <w:rPr>
          <w:rStyle w:val="Emphasis"/>
        </w:rPr>
        <w:t>Transport phenomena</w:t>
      </w:r>
      <w:r w:rsidR="00E03780">
        <w:t xml:space="preserve"> (2nd ed.). John Wiley &amp; Sons.</w:t>
      </w:r>
    </w:p>
    <w:p w14:paraId="0DACE57E" w14:textId="77777777" w:rsidR="00E03780" w:rsidRDefault="000C325D" w:rsidP="00E03780">
      <w:pPr>
        <w:pStyle w:val="NormalWeb"/>
        <w:jc w:val="both"/>
      </w:pPr>
      <w:r>
        <w:t>[8</w:t>
      </w:r>
      <w:r w:rsidR="00E03780">
        <w:t xml:space="preserve">] Black, J., &amp; Hastings, G. (2013). </w:t>
      </w:r>
      <w:r w:rsidR="00E03780">
        <w:rPr>
          <w:rStyle w:val="Emphasis"/>
        </w:rPr>
        <w:t>Handbook of biomaterial properties</w:t>
      </w:r>
      <w:r w:rsidR="00E03780">
        <w:t>. Springer.</w:t>
      </w:r>
    </w:p>
    <w:p w14:paraId="3CECC247" w14:textId="77777777" w:rsidR="00E03780" w:rsidRDefault="000C325D" w:rsidP="00E03780">
      <w:pPr>
        <w:pStyle w:val="NormalWeb"/>
        <w:jc w:val="both"/>
      </w:pPr>
      <w:r>
        <w:t>[9</w:t>
      </w:r>
      <w:r w:rsidR="00E03780">
        <w:t xml:space="preserve">] </w:t>
      </w:r>
      <w:r w:rsidR="00D23618" w:rsidRPr="00D23618">
        <w:t xml:space="preserve">Boccaccio, A., Uva, A.E., Fiorentino, M., Lamberti, L., </w:t>
      </w:r>
      <w:proofErr w:type="spellStart"/>
      <w:r w:rsidR="00D23618" w:rsidRPr="00D23618">
        <w:t>Monno</w:t>
      </w:r>
      <w:proofErr w:type="spellEnd"/>
      <w:r w:rsidR="00D23618" w:rsidRPr="00D23618">
        <w:t xml:space="preserve">, G. (2016). A Mechanobiology-based Algorithm to Optimize the Microstructure Geometry of Bone Tissue Scaffolds. International Journal of Biological Sciences, 12(1), 1-17. https://doi.org/10.7150/ijbs.13158.  </w:t>
      </w:r>
    </w:p>
    <w:p w14:paraId="61E5FDC6" w14:textId="77777777" w:rsidR="00E03780" w:rsidRDefault="00E03780" w:rsidP="00E03780">
      <w:pPr>
        <w:pStyle w:val="NormalWeb"/>
        <w:jc w:val="both"/>
      </w:pPr>
      <w:r>
        <w:t xml:space="preserve">[10] Callister, W. D., &amp; Rethwisch, D. G. (2020). </w:t>
      </w:r>
      <w:r>
        <w:rPr>
          <w:rStyle w:val="Emphasis"/>
        </w:rPr>
        <w:t>Materials science and engineering: An introduction</w:t>
      </w:r>
      <w:r>
        <w:t xml:space="preserve"> (10th ed.). Wiley.</w:t>
      </w:r>
    </w:p>
    <w:p w14:paraId="4F4588EB" w14:textId="77777777" w:rsidR="00E03780" w:rsidRDefault="00E03780" w:rsidP="00E03780">
      <w:pPr>
        <w:pStyle w:val="NormalWeb"/>
        <w:jc w:val="both"/>
      </w:pPr>
      <w:r>
        <w:t xml:space="preserve">[11] Crank, J. (1975). </w:t>
      </w:r>
      <w:r>
        <w:rPr>
          <w:rStyle w:val="Emphasis"/>
        </w:rPr>
        <w:t>The mathematics of diffusion</w:t>
      </w:r>
      <w:r>
        <w:t xml:space="preserve"> (2nd ed.). Oxford University Press.</w:t>
      </w:r>
    </w:p>
    <w:p w14:paraId="39A2801B" w14:textId="77777777" w:rsidR="000C325D" w:rsidRDefault="000C325D" w:rsidP="000C325D">
      <w:pPr>
        <w:pStyle w:val="NormalWeb"/>
        <w:jc w:val="both"/>
      </w:pPr>
      <w:r>
        <w:t>[12] David F. Williams, On the nature of biomaterials, Biomaterials, Volume 30, Issue 30, 2009, Pages 5897-5909, ISSN 0142-9612, https://doi.org/10.1016/j.biomaterials.2009.07.027</w:t>
      </w:r>
    </w:p>
    <w:p w14:paraId="2A195265" w14:textId="77777777" w:rsidR="000C325D" w:rsidRDefault="000C325D" w:rsidP="00E03780">
      <w:pPr>
        <w:pStyle w:val="NormalWeb"/>
        <w:jc w:val="both"/>
      </w:pPr>
      <w:r>
        <w:t>[13] David F. Williams, There is no such thing as a biocompatible material, Biomaterials, Volume 35, Issue 38, 2014, Pages 10009-10014, ISSN 0142-9612, https://doi.org/10.1016/j.biomaterials.2014.08.035.</w:t>
      </w:r>
    </w:p>
    <w:p w14:paraId="287AA437" w14:textId="77777777" w:rsidR="00E03780" w:rsidRDefault="000C325D" w:rsidP="00E03780">
      <w:pPr>
        <w:pStyle w:val="NormalWeb"/>
        <w:jc w:val="both"/>
      </w:pPr>
      <w:r>
        <w:t>[14</w:t>
      </w:r>
      <w:r w:rsidR="00E03780">
        <w:t xml:space="preserve">] Discher, D. E., Mooney, D. J., &amp; Zandstra, P. W. (2009). Growth factors, matrices, and forces combine to control stem cells. </w:t>
      </w:r>
      <w:r w:rsidR="00E03780">
        <w:rPr>
          <w:rStyle w:val="Emphasis"/>
        </w:rPr>
        <w:t>Science, 324</w:t>
      </w:r>
      <w:r w:rsidR="00E03780">
        <w:t xml:space="preserve">(5935), 1673–1677. </w:t>
      </w:r>
      <w:hyperlink r:id="rId10" w:tgtFrame="_new" w:history="1">
        <w:r w:rsidR="00E03780">
          <w:rPr>
            <w:rStyle w:val="Hyperlink"/>
          </w:rPr>
          <w:t>https://doi.org/10.1126/science.1171643</w:t>
        </w:r>
      </w:hyperlink>
    </w:p>
    <w:p w14:paraId="03FA9C50" w14:textId="77777777" w:rsidR="00E03780" w:rsidRPr="006811C5" w:rsidRDefault="000C325D" w:rsidP="00E03780">
      <w:pPr>
        <w:pStyle w:val="NormalWeb"/>
        <w:jc w:val="both"/>
      </w:pPr>
      <w:r>
        <w:t>[15</w:t>
      </w:r>
      <w:r w:rsidR="00E03780">
        <w:t xml:space="preserve">] </w:t>
      </w:r>
      <w:r w:rsidR="006811C5" w:rsidRPr="006811C5">
        <w:rPr>
          <w:color w:val="212121"/>
          <w:shd w:val="clear" w:color="auto" w:fill="FFFFFF"/>
        </w:rPr>
        <w:t xml:space="preserve">Efremov, Y. M., Wang, W. H., Hardy, S. D., </w:t>
      </w:r>
      <w:proofErr w:type="spellStart"/>
      <w:r w:rsidR="006811C5" w:rsidRPr="006811C5">
        <w:rPr>
          <w:color w:val="212121"/>
          <w:shd w:val="clear" w:color="auto" w:fill="FFFFFF"/>
        </w:rPr>
        <w:t>Geahlen</w:t>
      </w:r>
      <w:proofErr w:type="spellEnd"/>
      <w:r w:rsidR="006811C5" w:rsidRPr="006811C5">
        <w:rPr>
          <w:color w:val="212121"/>
          <w:shd w:val="clear" w:color="auto" w:fill="FFFFFF"/>
        </w:rPr>
        <w:t>, R. L., &amp; Raman, A. (2017). Measuring nanoscale viscoelastic parameters of cells directly from AFM force-displacement curves. </w:t>
      </w:r>
      <w:r w:rsidR="006811C5" w:rsidRPr="006811C5">
        <w:rPr>
          <w:i/>
          <w:iCs/>
          <w:color w:val="212121"/>
          <w:shd w:val="clear" w:color="auto" w:fill="FFFFFF"/>
        </w:rPr>
        <w:t>Scientific reports</w:t>
      </w:r>
      <w:r w:rsidR="006811C5" w:rsidRPr="006811C5">
        <w:rPr>
          <w:color w:val="212121"/>
          <w:shd w:val="clear" w:color="auto" w:fill="FFFFFF"/>
        </w:rPr>
        <w:t>, </w:t>
      </w:r>
      <w:r w:rsidR="006811C5" w:rsidRPr="006811C5">
        <w:rPr>
          <w:i/>
          <w:iCs/>
          <w:color w:val="212121"/>
          <w:shd w:val="clear" w:color="auto" w:fill="FFFFFF"/>
        </w:rPr>
        <w:t>7</w:t>
      </w:r>
      <w:r w:rsidR="006811C5" w:rsidRPr="006811C5">
        <w:rPr>
          <w:color w:val="212121"/>
          <w:shd w:val="clear" w:color="auto" w:fill="FFFFFF"/>
        </w:rPr>
        <w:t>(1), 1541. https://doi.org/10.1038/s41598-017-01784-3</w:t>
      </w:r>
    </w:p>
    <w:p w14:paraId="404B63BB" w14:textId="77777777" w:rsidR="00E03780" w:rsidRDefault="000C325D" w:rsidP="00E03780">
      <w:pPr>
        <w:pStyle w:val="NormalWeb"/>
        <w:jc w:val="both"/>
      </w:pPr>
      <w:r>
        <w:t>[16</w:t>
      </w:r>
      <w:r w:rsidR="00E03780">
        <w:t xml:space="preserve">] </w:t>
      </w:r>
      <w:proofErr w:type="spellStart"/>
      <w:r w:rsidR="00E03780">
        <w:t>Fadeel</w:t>
      </w:r>
      <w:proofErr w:type="spellEnd"/>
      <w:r w:rsidR="00E03780">
        <w:t xml:space="preserve">, B., </w:t>
      </w:r>
      <w:proofErr w:type="spellStart"/>
      <w:r w:rsidR="00E03780">
        <w:t>Farcal</w:t>
      </w:r>
      <w:proofErr w:type="spellEnd"/>
      <w:r w:rsidR="00E03780">
        <w:t xml:space="preserve">, L., Hardy, B., et al. (2018). Advanced tools for the safety assessment of nanomaterials. </w:t>
      </w:r>
      <w:r w:rsidR="00E03780">
        <w:rPr>
          <w:rStyle w:val="Emphasis"/>
        </w:rPr>
        <w:t>Nature Nanotechnology, 13</w:t>
      </w:r>
      <w:r w:rsidR="00E03780">
        <w:t>, 537–543. https://doi.org/10.1038/s41565-018-0185-0</w:t>
      </w:r>
    </w:p>
    <w:p w14:paraId="273DDF64" w14:textId="77777777" w:rsidR="00E03780" w:rsidRDefault="000C325D" w:rsidP="00E03780">
      <w:pPr>
        <w:pStyle w:val="NormalWeb"/>
        <w:jc w:val="both"/>
      </w:pPr>
      <w:r>
        <w:t>[17</w:t>
      </w:r>
      <w:r w:rsidR="00E03780">
        <w:t xml:space="preserve">] </w:t>
      </w:r>
      <w:proofErr w:type="spellStart"/>
      <w:r w:rsidR="00E03780">
        <w:t>Farokhzad</w:t>
      </w:r>
      <w:proofErr w:type="spellEnd"/>
      <w:r w:rsidR="00E03780">
        <w:t xml:space="preserve">, O. C., &amp; Langer, R. (2009). Impact of nanotechnology on drug delivery. </w:t>
      </w:r>
      <w:r w:rsidR="00E03780">
        <w:rPr>
          <w:rStyle w:val="Emphasis"/>
        </w:rPr>
        <w:t>ACS Nano, 3</w:t>
      </w:r>
      <w:r w:rsidR="00E03780">
        <w:t xml:space="preserve">(1), 16–20. </w:t>
      </w:r>
      <w:hyperlink r:id="rId11" w:tgtFrame="_new" w:history="1">
        <w:r w:rsidR="00E03780">
          <w:rPr>
            <w:rStyle w:val="Hyperlink"/>
          </w:rPr>
          <w:t>https://doi.org/10.1021/nn900002m</w:t>
        </w:r>
      </w:hyperlink>
    </w:p>
    <w:p w14:paraId="0BAFCCBC" w14:textId="77777777" w:rsidR="00E03780" w:rsidRDefault="000C325D" w:rsidP="00E03780">
      <w:pPr>
        <w:pStyle w:val="NormalWeb"/>
        <w:jc w:val="both"/>
      </w:pPr>
      <w:r>
        <w:t>[18</w:t>
      </w:r>
      <w:r w:rsidR="00E03780">
        <w:t xml:space="preserve">] Fung, Y. C. (1993). </w:t>
      </w:r>
      <w:r w:rsidR="00E03780">
        <w:rPr>
          <w:rStyle w:val="Emphasis"/>
        </w:rPr>
        <w:t>Biomechanics: Mechanical properties of living tissues</w:t>
      </w:r>
      <w:r w:rsidR="00E03780">
        <w:t xml:space="preserve"> (2nd ed.). Springer.</w:t>
      </w:r>
    </w:p>
    <w:p w14:paraId="724DEDC2" w14:textId="77777777" w:rsidR="00E03780" w:rsidRDefault="000C325D" w:rsidP="00E03780">
      <w:pPr>
        <w:pStyle w:val="NormalWeb"/>
        <w:jc w:val="both"/>
      </w:pPr>
      <w:r>
        <w:t>[19</w:t>
      </w:r>
      <w:r w:rsidR="00E03780">
        <w:t xml:space="preserve">] Fung, Y. C. (1997). </w:t>
      </w:r>
      <w:r w:rsidR="00E03780">
        <w:rPr>
          <w:rStyle w:val="Emphasis"/>
        </w:rPr>
        <w:t>Biomechanics: Circulation</w:t>
      </w:r>
      <w:r w:rsidR="00E03780">
        <w:t xml:space="preserve"> (2nd ed.). Springer.</w:t>
      </w:r>
    </w:p>
    <w:p w14:paraId="32A724C9" w14:textId="77777777" w:rsidR="00E03780" w:rsidRDefault="000C325D" w:rsidP="00E03780">
      <w:pPr>
        <w:pStyle w:val="NormalWeb"/>
        <w:jc w:val="both"/>
      </w:pPr>
      <w:r>
        <w:t>[20</w:t>
      </w:r>
      <w:r w:rsidR="00E03780">
        <w:t xml:space="preserve">] Gibson, L. J., Ashby, M. F., &amp; Harley, B. A. (2010). </w:t>
      </w:r>
      <w:r w:rsidR="00E03780">
        <w:rPr>
          <w:rStyle w:val="Emphasis"/>
        </w:rPr>
        <w:t>Cellular materials in nature and medicine</w:t>
      </w:r>
      <w:r w:rsidR="00E03780">
        <w:t>. Cambridge University Press.</w:t>
      </w:r>
    </w:p>
    <w:p w14:paraId="513B0FDB" w14:textId="77777777" w:rsidR="00E03780" w:rsidRDefault="000C325D" w:rsidP="00E03780">
      <w:pPr>
        <w:pStyle w:val="NormalWeb"/>
        <w:jc w:val="both"/>
      </w:pPr>
      <w:r>
        <w:t>[21</w:t>
      </w:r>
      <w:r w:rsidR="00E03780">
        <w:t xml:space="preserve">] Gibson, R. F. (2016). </w:t>
      </w:r>
      <w:r w:rsidR="00E03780">
        <w:rPr>
          <w:rStyle w:val="Emphasis"/>
        </w:rPr>
        <w:t>Principles of composite material mechanics</w:t>
      </w:r>
      <w:r w:rsidR="00E03780">
        <w:t xml:space="preserve"> (4th ed.). CRC Press.</w:t>
      </w:r>
    </w:p>
    <w:p w14:paraId="61DC206B" w14:textId="77777777" w:rsidR="009560F0" w:rsidRDefault="000C325D" w:rsidP="00E03780">
      <w:pPr>
        <w:pStyle w:val="NormalWeb"/>
        <w:jc w:val="both"/>
      </w:pPr>
      <w:r>
        <w:lastRenderedPageBreak/>
        <w:t>[22</w:t>
      </w:r>
      <w:r w:rsidR="009560F0">
        <w:t xml:space="preserve">] Gibson, I., Rosen, D. W., &amp; Stucker, B. (2021). </w:t>
      </w:r>
      <w:r w:rsidR="009560F0">
        <w:rPr>
          <w:rStyle w:val="Emphasis"/>
        </w:rPr>
        <w:t>Additive manufacturing technologies</w:t>
      </w:r>
      <w:r w:rsidR="009560F0">
        <w:t xml:space="preserve"> (3rd ed.). Springer.</w:t>
      </w:r>
    </w:p>
    <w:p w14:paraId="54D49D3C" w14:textId="77777777" w:rsidR="004B62F3" w:rsidRDefault="000C325D" w:rsidP="00E03780">
      <w:pPr>
        <w:pStyle w:val="NormalWeb"/>
        <w:jc w:val="both"/>
      </w:pPr>
      <w:r>
        <w:t>[23</w:t>
      </w:r>
      <w:r w:rsidR="00E03780">
        <w:t xml:space="preserve">] </w:t>
      </w:r>
      <w:r w:rsidR="004B62F3" w:rsidRPr="004B62F3">
        <w:rPr>
          <w:color w:val="232323"/>
          <w:shd w:val="clear" w:color="auto" w:fill="FFFFFF"/>
        </w:rPr>
        <w:t>Hench, L.L. and Polak, J.M. (2002) Third-Generation Biomedical Materials. Science, 295, 1014-1017. http://dx.doi.org/10.1126/science.1067404</w:t>
      </w:r>
      <w:r w:rsidR="004B62F3">
        <w:t xml:space="preserve"> </w:t>
      </w:r>
    </w:p>
    <w:p w14:paraId="7BA0E401" w14:textId="77777777" w:rsidR="00E03780" w:rsidRDefault="000C325D" w:rsidP="00E03780">
      <w:pPr>
        <w:pStyle w:val="NormalWeb"/>
        <w:jc w:val="both"/>
      </w:pPr>
      <w:r>
        <w:t>[24</w:t>
      </w:r>
      <w:r w:rsidR="00E03780">
        <w:t xml:space="preserve">] Humphrey, J. D. (2002). </w:t>
      </w:r>
      <w:r w:rsidR="00E03780">
        <w:rPr>
          <w:rStyle w:val="Emphasis"/>
        </w:rPr>
        <w:t>Cardiovascular solid mechanics</w:t>
      </w:r>
      <w:r w:rsidR="00E03780">
        <w:t>. Springer.</w:t>
      </w:r>
    </w:p>
    <w:p w14:paraId="6657F911" w14:textId="77777777" w:rsidR="00E03780" w:rsidRDefault="000C325D" w:rsidP="00E03780">
      <w:pPr>
        <w:pStyle w:val="NormalWeb"/>
        <w:jc w:val="both"/>
      </w:pPr>
      <w:r>
        <w:t>[25</w:t>
      </w:r>
      <w:r w:rsidR="00E03780">
        <w:t xml:space="preserve">] </w:t>
      </w:r>
      <w:r w:rsidR="004A43A6" w:rsidRPr="004A095D">
        <w:rPr>
          <w:rStyle w:val="Strong"/>
          <w:b w:val="0"/>
        </w:rPr>
        <w:t>Humphrey, J. D. (2003).</w:t>
      </w:r>
      <w:r w:rsidR="004A43A6">
        <w:t xml:space="preserve"> Continuum biomechanics of soft biological tissues. </w:t>
      </w:r>
      <w:r w:rsidR="004A43A6">
        <w:rPr>
          <w:rStyle w:val="Emphasis"/>
        </w:rPr>
        <w:t>Proceedings of the Royal Society A: Mathematical, Physical and Engineering Sciences, 459</w:t>
      </w:r>
      <w:r w:rsidR="004A43A6">
        <w:t xml:space="preserve">(2029), 3–46. </w:t>
      </w:r>
      <w:hyperlink r:id="rId12" w:history="1">
        <w:r w:rsidR="00873017" w:rsidRPr="0058797E">
          <w:rPr>
            <w:rStyle w:val="Hyperlink"/>
          </w:rPr>
          <w:t>https://doi.org/10.1098/rspa.2002.1060</w:t>
        </w:r>
      </w:hyperlink>
    </w:p>
    <w:p w14:paraId="57FAE102" w14:textId="77777777" w:rsidR="00873017" w:rsidRDefault="000C325D" w:rsidP="00873017">
      <w:pPr>
        <w:pStyle w:val="NormalWeb"/>
        <w:jc w:val="both"/>
      </w:pPr>
      <w:r>
        <w:t>[26</w:t>
      </w:r>
      <w:r w:rsidR="00873017">
        <w:t xml:space="preserve">] </w:t>
      </w:r>
      <w:r w:rsidR="00873017" w:rsidRPr="00873017">
        <w:t xml:space="preserve">Humphrey, J., Dufresne, E. R., &amp; Schwartz, M. A. (2014). </w:t>
      </w:r>
      <w:proofErr w:type="spellStart"/>
      <w:r w:rsidR="00873017" w:rsidRPr="00873017">
        <w:t>Mechanotransduction</w:t>
      </w:r>
      <w:proofErr w:type="spellEnd"/>
      <w:r w:rsidR="00873017" w:rsidRPr="00873017">
        <w:t xml:space="preserve"> and extracellular matrix homeostasis. </w:t>
      </w:r>
      <w:r w:rsidR="00873017" w:rsidRPr="00873017">
        <w:rPr>
          <w:i/>
          <w:iCs/>
        </w:rPr>
        <w:t>Nature Reviews Molecular Cell Biology, 15</w:t>
      </w:r>
      <w:r w:rsidR="00873017" w:rsidRPr="00873017">
        <w:t xml:space="preserve">(12), 802–812. https://doi.org/10.1038/nrm3896 </w:t>
      </w:r>
    </w:p>
    <w:p w14:paraId="4E96EFC7" w14:textId="77777777" w:rsidR="00E03780" w:rsidRDefault="000C325D" w:rsidP="00E03780">
      <w:pPr>
        <w:pStyle w:val="NormalWeb"/>
        <w:jc w:val="both"/>
      </w:pPr>
      <w:r>
        <w:t>[27</w:t>
      </w:r>
      <w:r w:rsidR="00E03780">
        <w:t xml:space="preserve">] Hunter, R. J. (2001). </w:t>
      </w:r>
      <w:r w:rsidR="00E03780">
        <w:rPr>
          <w:rStyle w:val="Emphasis"/>
        </w:rPr>
        <w:t>Foundations of colloid science</w:t>
      </w:r>
      <w:r w:rsidR="00E03780">
        <w:t xml:space="preserve"> (2nd ed.). Oxford University Press.</w:t>
      </w:r>
    </w:p>
    <w:p w14:paraId="0F798E45" w14:textId="77777777" w:rsidR="00E03780" w:rsidRDefault="000C325D" w:rsidP="00E03780">
      <w:pPr>
        <w:pStyle w:val="NormalWeb"/>
        <w:jc w:val="both"/>
      </w:pPr>
      <w:r>
        <w:t>[28</w:t>
      </w:r>
      <w:r w:rsidR="00E03780">
        <w:t xml:space="preserve">] </w:t>
      </w:r>
      <w:proofErr w:type="spellStart"/>
      <w:r w:rsidR="00E03780">
        <w:t>Incropera</w:t>
      </w:r>
      <w:proofErr w:type="spellEnd"/>
      <w:r w:rsidR="00E03780">
        <w:t xml:space="preserve">, F. P., DeWitt, D. P., Bergman, T. L., &amp; Lavine, A. S. (2011). </w:t>
      </w:r>
      <w:r w:rsidR="00E03780">
        <w:rPr>
          <w:rStyle w:val="Emphasis"/>
        </w:rPr>
        <w:t>Fundamentals of heat and mass transfer</w:t>
      </w:r>
      <w:r w:rsidR="00E03780">
        <w:t xml:space="preserve"> (7th ed.). Wiley.</w:t>
      </w:r>
    </w:p>
    <w:p w14:paraId="4553B2E6" w14:textId="77777777" w:rsidR="00E03780" w:rsidRDefault="000C325D" w:rsidP="00E03780">
      <w:pPr>
        <w:pStyle w:val="NormalWeb"/>
        <w:jc w:val="both"/>
      </w:pPr>
      <w:r>
        <w:t>[29</w:t>
      </w:r>
      <w:r w:rsidR="00E03780">
        <w:t xml:space="preserve">] Iravani, S., </w:t>
      </w:r>
      <w:proofErr w:type="spellStart"/>
      <w:r w:rsidR="00E03780">
        <w:t>Korbekandi</w:t>
      </w:r>
      <w:proofErr w:type="spellEnd"/>
      <w:r w:rsidR="00E03780">
        <w:t xml:space="preserve">, H., </w:t>
      </w:r>
      <w:proofErr w:type="spellStart"/>
      <w:r w:rsidR="00E03780">
        <w:t>Mirmohammadi</w:t>
      </w:r>
      <w:proofErr w:type="spellEnd"/>
      <w:r w:rsidR="00E03780">
        <w:t xml:space="preserve">, S. V., &amp; Zolfaghari, B. (2014). Synthesis of silver nanoparticles: Chemical, physical and biological methods. </w:t>
      </w:r>
      <w:r w:rsidR="00E03780">
        <w:rPr>
          <w:rStyle w:val="Emphasis"/>
        </w:rPr>
        <w:t>Research in Pharmaceutical Sciences, 9</w:t>
      </w:r>
      <w:r w:rsidR="00E03780">
        <w:t>(6), 385–406.</w:t>
      </w:r>
    </w:p>
    <w:p w14:paraId="3703067C" w14:textId="77777777" w:rsidR="00E03780" w:rsidRDefault="000C325D" w:rsidP="00E03780">
      <w:pPr>
        <w:pStyle w:val="NormalWeb"/>
        <w:jc w:val="both"/>
      </w:pPr>
      <w:r>
        <w:t>[30</w:t>
      </w:r>
      <w:r w:rsidR="00E03780">
        <w:t xml:space="preserve">] </w:t>
      </w:r>
      <w:proofErr w:type="spellStart"/>
      <w:r w:rsidR="00E03780">
        <w:t>Israelachvili</w:t>
      </w:r>
      <w:proofErr w:type="spellEnd"/>
      <w:r w:rsidR="00E03780">
        <w:t xml:space="preserve">, J. N. (2011). </w:t>
      </w:r>
      <w:r w:rsidR="00E03780">
        <w:rPr>
          <w:rStyle w:val="Emphasis"/>
        </w:rPr>
        <w:t>Intermolecular and surface forces</w:t>
      </w:r>
      <w:r w:rsidR="00E03780">
        <w:t xml:space="preserve"> (3rd ed.). Academic Press.</w:t>
      </w:r>
    </w:p>
    <w:p w14:paraId="0A1C903A" w14:textId="77777777" w:rsidR="00A978F1" w:rsidRDefault="000C325D" w:rsidP="00E03780">
      <w:pPr>
        <w:pStyle w:val="NormalWeb"/>
        <w:jc w:val="both"/>
      </w:pPr>
      <w:r>
        <w:t xml:space="preserve">[31] </w:t>
      </w:r>
      <w:proofErr w:type="spellStart"/>
      <w:r w:rsidR="00A978F1">
        <w:t>Kontomaris</w:t>
      </w:r>
      <w:proofErr w:type="spellEnd"/>
      <w:r w:rsidR="00A978F1">
        <w:t xml:space="preserve">, S. V., </w:t>
      </w:r>
      <w:r w:rsidR="00A978F1" w:rsidRPr="00A978F1">
        <w:rPr>
          <w:rStyle w:val="Strong"/>
          <w:b w:val="0"/>
        </w:rPr>
        <w:t>Stylianou,</w:t>
      </w:r>
      <w:r w:rsidR="00A978F1">
        <w:rPr>
          <w:rStyle w:val="Strong"/>
        </w:rPr>
        <w:t xml:space="preserve"> </w:t>
      </w:r>
      <w:r w:rsidR="00A978F1" w:rsidRPr="00A978F1">
        <w:rPr>
          <w:rStyle w:val="Strong"/>
          <w:b w:val="0"/>
        </w:rPr>
        <w:t>A.</w:t>
      </w:r>
      <w:r w:rsidR="00A978F1">
        <w:t xml:space="preserve">, Georgakopoulos, A., &amp; </w:t>
      </w:r>
      <w:proofErr w:type="spellStart"/>
      <w:r w:rsidR="00A978F1">
        <w:t>Malamou</w:t>
      </w:r>
      <w:proofErr w:type="spellEnd"/>
      <w:r w:rsidR="00A978F1">
        <w:t xml:space="preserve">, A. (2023). </w:t>
      </w:r>
      <w:r w:rsidR="00A978F1">
        <w:rPr>
          <w:rStyle w:val="Emphasis"/>
        </w:rPr>
        <w:t>3D AFM nanomechanical characterization of biological materials</w:t>
      </w:r>
      <w:r w:rsidR="00A978F1">
        <w:t xml:space="preserve">. </w:t>
      </w:r>
      <w:r w:rsidR="00A978F1" w:rsidRPr="00A978F1">
        <w:rPr>
          <w:rStyle w:val="Strong"/>
          <w:b w:val="0"/>
        </w:rPr>
        <w:t>Nanomaterials, 13</w:t>
      </w:r>
      <w:r w:rsidR="00A978F1">
        <w:t>(3), 395. https://doi.org/10.3390/nano13030395</w:t>
      </w:r>
    </w:p>
    <w:p w14:paraId="04D5B7FF" w14:textId="77777777" w:rsidR="00E03780" w:rsidRDefault="000C325D" w:rsidP="00E03780">
      <w:pPr>
        <w:pStyle w:val="NormalWeb"/>
        <w:jc w:val="both"/>
      </w:pPr>
      <w:r>
        <w:t>[32</w:t>
      </w:r>
      <w:r w:rsidR="00E03780">
        <w:t xml:space="preserve">] Lakes, R. (2009). </w:t>
      </w:r>
      <w:r w:rsidR="00E03780">
        <w:rPr>
          <w:rStyle w:val="Emphasis"/>
        </w:rPr>
        <w:t>Viscoelastic materials</w:t>
      </w:r>
      <w:r w:rsidR="00E03780">
        <w:t>. Cambridge University Press.</w:t>
      </w:r>
    </w:p>
    <w:p w14:paraId="16006A96" w14:textId="77777777" w:rsidR="00E03780" w:rsidRDefault="000C325D" w:rsidP="00E03780">
      <w:pPr>
        <w:pStyle w:val="NormalWeb"/>
        <w:jc w:val="both"/>
      </w:pPr>
      <w:r>
        <w:t>[33</w:t>
      </w:r>
      <w:r w:rsidR="00E03780">
        <w:t xml:space="preserve">] Langer, R., &amp; Tirrell, D. A. (2004). Designing materials for biology and medicine. </w:t>
      </w:r>
      <w:r w:rsidR="00E03780">
        <w:rPr>
          <w:rStyle w:val="Emphasis"/>
        </w:rPr>
        <w:t>Nature, 428</w:t>
      </w:r>
      <w:r w:rsidR="00E03780">
        <w:t xml:space="preserve">(6982), 487–492. </w:t>
      </w:r>
      <w:hyperlink r:id="rId13" w:tgtFrame="_new" w:history="1">
        <w:r w:rsidR="00E03780">
          <w:rPr>
            <w:rStyle w:val="Hyperlink"/>
          </w:rPr>
          <w:t>https://doi.org/10.1038/nature02388</w:t>
        </w:r>
      </w:hyperlink>
    </w:p>
    <w:p w14:paraId="2905B1C5" w14:textId="77777777" w:rsidR="00E03780" w:rsidRDefault="000C325D" w:rsidP="00E03780">
      <w:pPr>
        <w:pStyle w:val="NormalWeb"/>
        <w:jc w:val="both"/>
      </w:pPr>
      <w:r>
        <w:t>[34</w:t>
      </w:r>
      <w:r w:rsidR="00E03780">
        <w:t xml:space="preserve">] </w:t>
      </w:r>
      <w:proofErr w:type="spellStart"/>
      <w:r w:rsidR="00E03780">
        <w:t>Lekka</w:t>
      </w:r>
      <w:proofErr w:type="spellEnd"/>
      <w:r w:rsidR="00E03780">
        <w:t xml:space="preserve">, M. (2016). Discrimination between normal and cancerous cells using AFM. </w:t>
      </w:r>
      <w:proofErr w:type="spellStart"/>
      <w:r w:rsidR="00E03780">
        <w:rPr>
          <w:rStyle w:val="Emphasis"/>
        </w:rPr>
        <w:t>BioNanoScience</w:t>
      </w:r>
      <w:proofErr w:type="spellEnd"/>
      <w:r w:rsidR="00E03780">
        <w:rPr>
          <w:rStyle w:val="Emphasis"/>
        </w:rPr>
        <w:t>, 6</w:t>
      </w:r>
      <w:r w:rsidR="00E03780">
        <w:t>, 65–80. https://doi.org/10.1007/s12668-016-0191-3</w:t>
      </w:r>
    </w:p>
    <w:p w14:paraId="5A818BA9" w14:textId="77777777" w:rsidR="00A978F1" w:rsidRDefault="000C325D" w:rsidP="00E03780">
      <w:pPr>
        <w:pStyle w:val="NormalWeb"/>
        <w:jc w:val="both"/>
      </w:pPr>
      <w:r>
        <w:t>[35</w:t>
      </w:r>
      <w:r w:rsidR="00E03780">
        <w:t xml:space="preserve">] Lemaitre, J., &amp; </w:t>
      </w:r>
      <w:proofErr w:type="spellStart"/>
      <w:r w:rsidR="00E03780">
        <w:t>Chaboche</w:t>
      </w:r>
      <w:proofErr w:type="spellEnd"/>
      <w:r w:rsidR="00E03780">
        <w:t xml:space="preserve">, J. L. (1990). </w:t>
      </w:r>
      <w:r w:rsidR="00E03780">
        <w:rPr>
          <w:rStyle w:val="Emphasis"/>
        </w:rPr>
        <w:t>Mechanics of solid materials</w:t>
      </w:r>
      <w:r w:rsidR="00E03780">
        <w:t>. Cambridge University Press.</w:t>
      </w:r>
    </w:p>
    <w:p w14:paraId="36D7BBF8" w14:textId="77777777" w:rsidR="00E03780" w:rsidRDefault="000C325D" w:rsidP="00E03780">
      <w:pPr>
        <w:pStyle w:val="NormalWeb"/>
        <w:jc w:val="both"/>
      </w:pPr>
      <w:r>
        <w:t>[36</w:t>
      </w:r>
      <w:r w:rsidR="00E03780">
        <w:t xml:space="preserve">] Meyers, M. A., &amp; Chawla, K. K. (2009). </w:t>
      </w:r>
      <w:r w:rsidR="00E03780">
        <w:rPr>
          <w:rStyle w:val="Emphasis"/>
        </w:rPr>
        <w:t>Mechanical behavior of materials</w:t>
      </w:r>
      <w:r w:rsidR="00E03780">
        <w:t xml:space="preserve"> (2nd ed.). Cambridge University Press.</w:t>
      </w:r>
    </w:p>
    <w:p w14:paraId="0D52F050" w14:textId="77777777" w:rsidR="00E03780" w:rsidRDefault="000C325D" w:rsidP="00E03780">
      <w:pPr>
        <w:pStyle w:val="NormalWeb"/>
        <w:jc w:val="both"/>
      </w:pPr>
      <w:r>
        <w:lastRenderedPageBreak/>
        <w:t>[37</w:t>
      </w:r>
      <w:r w:rsidR="00E03780">
        <w:t xml:space="preserve">] Mitragotri, S., &amp; Lahann, J. (2009). Physical approaches to biomaterial design. </w:t>
      </w:r>
      <w:r w:rsidR="00E03780">
        <w:rPr>
          <w:rStyle w:val="Emphasis"/>
        </w:rPr>
        <w:t>Nature Materials, 8</w:t>
      </w:r>
      <w:r w:rsidR="00E03780">
        <w:t xml:space="preserve">, 15–23. </w:t>
      </w:r>
      <w:hyperlink r:id="rId14" w:tgtFrame="_new" w:history="1">
        <w:r w:rsidR="00E03780">
          <w:rPr>
            <w:rStyle w:val="Hyperlink"/>
          </w:rPr>
          <w:t>https://doi.org/10.1038/nmat2344</w:t>
        </w:r>
      </w:hyperlink>
    </w:p>
    <w:p w14:paraId="41D9F106" w14:textId="77777777" w:rsidR="00E31AEF" w:rsidRPr="00E31AEF" w:rsidRDefault="000C325D" w:rsidP="00E03780">
      <w:pPr>
        <w:pStyle w:val="NormalWeb"/>
        <w:jc w:val="both"/>
        <w:rPr>
          <w:color w:val="0000FF"/>
          <w:u w:val="single"/>
        </w:rPr>
      </w:pPr>
      <w:r>
        <w:t>[38</w:t>
      </w:r>
      <w:r w:rsidR="00E03780">
        <w:t xml:space="preserve">] Mitragotri, S., Burke, P. A., &amp; Langer, R. (2014). Overcoming the challenges in administering biopharmaceuticals. </w:t>
      </w:r>
      <w:r w:rsidR="00E03780">
        <w:rPr>
          <w:rStyle w:val="Emphasis"/>
        </w:rPr>
        <w:t>Nature Reviews Drug Discovery, 13</w:t>
      </w:r>
      <w:r w:rsidR="00E03780">
        <w:t xml:space="preserve">(9), 655–672. </w:t>
      </w:r>
      <w:hyperlink r:id="rId15" w:tgtFrame="_new" w:history="1">
        <w:r w:rsidR="00E03780">
          <w:rPr>
            <w:rStyle w:val="Hyperlink"/>
          </w:rPr>
          <w:t>https://doi.org/10.1038/nrd4363</w:t>
        </w:r>
      </w:hyperlink>
    </w:p>
    <w:p w14:paraId="6100435A" w14:textId="77777777" w:rsidR="00E31AEF" w:rsidRDefault="000C325D" w:rsidP="00E03780">
      <w:pPr>
        <w:pStyle w:val="NormalWeb"/>
        <w:jc w:val="both"/>
      </w:pPr>
      <w:r>
        <w:t>[39</w:t>
      </w:r>
      <w:r w:rsidR="00E31AEF">
        <w:t xml:space="preserve">] Moroni, L., Burdick, J. A., </w:t>
      </w:r>
      <w:proofErr w:type="spellStart"/>
      <w:r w:rsidR="00E31AEF">
        <w:t>Highley</w:t>
      </w:r>
      <w:proofErr w:type="spellEnd"/>
      <w:r w:rsidR="00E31AEF">
        <w:t xml:space="preserve">, C., Lee, S. J., &amp; Yoo, J. J. (2018). </w:t>
      </w:r>
      <w:proofErr w:type="spellStart"/>
      <w:r w:rsidR="00E31AEF">
        <w:t>Biofabrication</w:t>
      </w:r>
      <w:proofErr w:type="spellEnd"/>
      <w:r w:rsidR="00E31AEF">
        <w:t xml:space="preserve"> strategies for 3D in vitro models and regenerative medicine. </w:t>
      </w:r>
      <w:r w:rsidR="00E31AEF">
        <w:rPr>
          <w:rStyle w:val="Emphasis"/>
        </w:rPr>
        <w:t>Nature Reviews Materials, 3</w:t>
      </w:r>
      <w:r w:rsidR="00E31AEF">
        <w:t>, 21–37. https://doi.org/10.1038/s41578-018-0006-y</w:t>
      </w:r>
    </w:p>
    <w:p w14:paraId="6224BB2B" w14:textId="77777777" w:rsidR="00E03780" w:rsidRDefault="000C325D" w:rsidP="00E03780">
      <w:pPr>
        <w:pStyle w:val="NormalWeb"/>
        <w:jc w:val="both"/>
      </w:pPr>
      <w:r>
        <w:t>[40</w:t>
      </w:r>
      <w:r w:rsidR="00E03780">
        <w:t xml:space="preserve">] Nel, A. E., </w:t>
      </w:r>
      <w:proofErr w:type="spellStart"/>
      <w:r w:rsidR="00E03780">
        <w:t>Mädler</w:t>
      </w:r>
      <w:proofErr w:type="spellEnd"/>
      <w:r w:rsidR="00E03780">
        <w:t xml:space="preserve">, L., </w:t>
      </w:r>
      <w:proofErr w:type="spellStart"/>
      <w:r w:rsidR="00E03780">
        <w:t>Velegol</w:t>
      </w:r>
      <w:proofErr w:type="spellEnd"/>
      <w:r w:rsidR="00E03780">
        <w:t xml:space="preserve">, D., et al. (2009). Understanding </w:t>
      </w:r>
      <w:proofErr w:type="spellStart"/>
      <w:r w:rsidR="00E03780">
        <w:t>biophysicochemical</w:t>
      </w:r>
      <w:proofErr w:type="spellEnd"/>
      <w:r w:rsidR="00E03780">
        <w:t xml:space="preserve"> interactions at the nano–bio interface. </w:t>
      </w:r>
      <w:r w:rsidR="00E03780">
        <w:rPr>
          <w:rStyle w:val="Emphasis"/>
        </w:rPr>
        <w:t>Nature Materials, 8</w:t>
      </w:r>
      <w:r w:rsidR="00E03780">
        <w:t xml:space="preserve">, 543–557. </w:t>
      </w:r>
      <w:hyperlink r:id="rId16" w:tgtFrame="_new" w:history="1">
        <w:r w:rsidR="00E03780">
          <w:rPr>
            <w:rStyle w:val="Hyperlink"/>
          </w:rPr>
          <w:t>https://doi.org/10.1038/nmat2442</w:t>
        </w:r>
      </w:hyperlink>
    </w:p>
    <w:p w14:paraId="362D5AE8" w14:textId="77777777" w:rsidR="00E03780" w:rsidRDefault="000C325D" w:rsidP="00E03780">
      <w:pPr>
        <w:pStyle w:val="NormalWeb"/>
        <w:jc w:val="both"/>
      </w:pPr>
      <w:r>
        <w:t>[41</w:t>
      </w:r>
      <w:r w:rsidR="00E03780">
        <w:t xml:space="preserve">] Ngo, T. D., Kashani, A., </w:t>
      </w:r>
      <w:proofErr w:type="spellStart"/>
      <w:r w:rsidR="00E03780">
        <w:t>Imbalzano</w:t>
      </w:r>
      <w:proofErr w:type="spellEnd"/>
      <w:r w:rsidR="00E03780">
        <w:t xml:space="preserve">, G., Nguyen, K. T. Q., &amp; Hui, D. (2018). Additive manufacturing (3D printing): A review of materials, methods, applications and challenges. </w:t>
      </w:r>
      <w:r w:rsidR="00E03780">
        <w:rPr>
          <w:rStyle w:val="Emphasis"/>
        </w:rPr>
        <w:t>Composites Part B, 143</w:t>
      </w:r>
      <w:r w:rsidR="00E03780">
        <w:t xml:space="preserve">, 172–196. </w:t>
      </w:r>
      <w:hyperlink r:id="rId17" w:tgtFrame="_new" w:history="1">
        <w:r w:rsidR="00E03780">
          <w:rPr>
            <w:rStyle w:val="Hyperlink"/>
          </w:rPr>
          <w:t>https://doi.org/10.1016/j.compositesb.2018.02.012</w:t>
        </w:r>
      </w:hyperlink>
    </w:p>
    <w:p w14:paraId="05053A8B" w14:textId="77777777" w:rsidR="00A312C8" w:rsidRDefault="000C325D" w:rsidP="00A312C8">
      <w:pPr>
        <w:pStyle w:val="NormalWeb"/>
        <w:jc w:val="both"/>
      </w:pPr>
      <w:r>
        <w:t>[42</w:t>
      </w:r>
      <w:r w:rsidR="00E03780">
        <w:t xml:space="preserve">] </w:t>
      </w:r>
      <w:proofErr w:type="spellStart"/>
      <w:r w:rsidR="00A312C8">
        <w:t>Mitsuo</w:t>
      </w:r>
      <w:proofErr w:type="spellEnd"/>
      <w:r w:rsidR="00A312C8">
        <w:t xml:space="preserve"> </w:t>
      </w:r>
      <w:proofErr w:type="spellStart"/>
      <w:r w:rsidR="00A312C8">
        <w:t>Niinomi</w:t>
      </w:r>
      <w:proofErr w:type="spellEnd"/>
      <w:r w:rsidR="00A312C8">
        <w:t xml:space="preserve">, Mechanical biocompatibilities of titanium alloys for biomedical applications, Journal of the Mechanical Behavior of Biomedical Materials, Volume 1, Issue 1, 2008, Pages 30-42, ISSN 1751-6161, </w:t>
      </w:r>
      <w:hyperlink r:id="rId18" w:history="1">
        <w:r w:rsidR="00A312C8" w:rsidRPr="00931E4F">
          <w:rPr>
            <w:rStyle w:val="Hyperlink"/>
          </w:rPr>
          <w:t>https://doi.org/10.1016/j.jmbbm.2007.07.001</w:t>
        </w:r>
      </w:hyperlink>
      <w:r w:rsidR="00A312C8">
        <w:t xml:space="preserve">. </w:t>
      </w:r>
    </w:p>
    <w:p w14:paraId="34A3AC2E" w14:textId="77777777" w:rsidR="00940318" w:rsidRDefault="000C325D" w:rsidP="00A312C8">
      <w:pPr>
        <w:pStyle w:val="NormalWeb"/>
        <w:jc w:val="both"/>
      </w:pPr>
      <w:r>
        <w:t xml:space="preserve">[43] </w:t>
      </w:r>
      <w:r w:rsidR="00940318">
        <w:t xml:space="preserve">Oberkampf, W. L., &amp; Roy, C. J. (2010). </w:t>
      </w:r>
      <w:r w:rsidR="00940318">
        <w:rPr>
          <w:rStyle w:val="Emphasis"/>
        </w:rPr>
        <w:t>Verification and validation in scientific computing</w:t>
      </w:r>
      <w:r w:rsidR="00940318">
        <w:t>. Cambridge University Press.</w:t>
      </w:r>
    </w:p>
    <w:p w14:paraId="061137B5" w14:textId="77777777" w:rsidR="00F55A70" w:rsidRDefault="000C325D" w:rsidP="00A312C8">
      <w:pPr>
        <w:pStyle w:val="NormalWeb"/>
        <w:jc w:val="both"/>
      </w:pPr>
      <w:r>
        <w:t xml:space="preserve">[44] </w:t>
      </w:r>
      <w:r w:rsidR="00F55A70">
        <w:t xml:space="preserve">Patel, J. M., Wise, B. C., Bonnevie, E. D., Mauck, R. L., et al. (2019). A systematic review and guide to mechanical testing for articular cartilage tissue engineering. </w:t>
      </w:r>
      <w:r w:rsidR="00F55A70">
        <w:rPr>
          <w:rStyle w:val="Emphasis"/>
        </w:rPr>
        <w:t>Tissue Engineering Part C: Methods, 25</w:t>
      </w:r>
      <w:r w:rsidR="00F55A70">
        <w:t>(10), 593–608. https://doi.org/10.1089/ten.tec.2019.0116</w:t>
      </w:r>
    </w:p>
    <w:p w14:paraId="5D92C9CF" w14:textId="77777777" w:rsidR="00E03780" w:rsidRDefault="000C325D" w:rsidP="00A312C8">
      <w:pPr>
        <w:pStyle w:val="NormalWeb"/>
        <w:jc w:val="both"/>
      </w:pPr>
      <w:r>
        <w:t>[45</w:t>
      </w:r>
      <w:r w:rsidR="00E03780">
        <w:t xml:space="preserve">] Patra, J. K., Das, G., </w:t>
      </w:r>
      <w:proofErr w:type="spellStart"/>
      <w:r w:rsidR="00E03780">
        <w:t>Fraceto</w:t>
      </w:r>
      <w:proofErr w:type="spellEnd"/>
      <w:r w:rsidR="00E03780">
        <w:t xml:space="preserve">, L. F., et al. (2018). Nano-based drug delivery systems: Recent developments and future prospects. </w:t>
      </w:r>
      <w:r w:rsidR="00E03780">
        <w:rPr>
          <w:rStyle w:val="Emphasis"/>
        </w:rPr>
        <w:t>Journal of Nanobiotechnology, 16</w:t>
      </w:r>
      <w:r w:rsidR="00E03780">
        <w:t xml:space="preserve">, 71. </w:t>
      </w:r>
      <w:hyperlink r:id="rId19" w:tgtFrame="_new" w:history="1">
        <w:r w:rsidR="00E03780">
          <w:rPr>
            <w:rStyle w:val="Hyperlink"/>
          </w:rPr>
          <w:t>https://doi.org/10.1186/s12951-018-0392-8</w:t>
        </w:r>
      </w:hyperlink>
    </w:p>
    <w:p w14:paraId="6354E6BC" w14:textId="77777777" w:rsidR="00E03780" w:rsidRDefault="000C325D" w:rsidP="00E03780">
      <w:pPr>
        <w:pStyle w:val="NormalWeb"/>
        <w:jc w:val="both"/>
      </w:pPr>
      <w:r>
        <w:t>[46</w:t>
      </w:r>
      <w:r w:rsidR="00E03780">
        <w:t xml:space="preserve">] </w:t>
      </w:r>
      <w:proofErr w:type="spellStart"/>
      <w:r w:rsidR="00E03780">
        <w:t>Pelaz</w:t>
      </w:r>
      <w:proofErr w:type="spellEnd"/>
      <w:r w:rsidR="00E03780">
        <w:t xml:space="preserve">, B., Alexiou, C., Alvarez-Puebla, R. A., et al. (2017). Diverse applications of nanomedicine. </w:t>
      </w:r>
      <w:r w:rsidR="00E03780">
        <w:rPr>
          <w:rStyle w:val="Emphasis"/>
        </w:rPr>
        <w:t>ACS Nano, 11</w:t>
      </w:r>
      <w:r w:rsidR="00E03780">
        <w:t xml:space="preserve">(3), 2313–2381. </w:t>
      </w:r>
      <w:hyperlink r:id="rId20" w:tgtFrame="_new" w:history="1">
        <w:r w:rsidR="00E03780">
          <w:rPr>
            <w:rStyle w:val="Hyperlink"/>
          </w:rPr>
          <w:t>https://doi.org/10.1021/acsnano.6b06040</w:t>
        </w:r>
      </w:hyperlink>
    </w:p>
    <w:p w14:paraId="4B24A0A6" w14:textId="77777777" w:rsidR="000C325D" w:rsidRDefault="000C325D" w:rsidP="002461A9">
      <w:pPr>
        <w:pStyle w:val="NormalWeb"/>
        <w:jc w:val="both"/>
      </w:pPr>
      <w:r>
        <w:t>[47] Pradhan .S, A.K. Brooks, V.K. Yadavalli, Nature-derived materials for the fabrication of functional biodevices, Materials Today Bio, Volume 7, 2020, 100065, ISSN 2590-0064, https://doi.org/10.1016/j.mtbio.2020.100065.</w:t>
      </w:r>
    </w:p>
    <w:p w14:paraId="5733DECA" w14:textId="77777777" w:rsidR="002461A9" w:rsidRDefault="000C325D" w:rsidP="002461A9">
      <w:pPr>
        <w:pStyle w:val="NormalWeb"/>
        <w:jc w:val="both"/>
      </w:pPr>
      <w:r>
        <w:t>[48</w:t>
      </w:r>
      <w:r w:rsidR="00E03780">
        <w:t xml:space="preserve">] </w:t>
      </w:r>
      <w:proofErr w:type="spellStart"/>
      <w:r w:rsidR="002461A9">
        <w:t>Quarteroni</w:t>
      </w:r>
      <w:proofErr w:type="spellEnd"/>
      <w:r>
        <w:t xml:space="preserve"> A</w:t>
      </w:r>
      <w:r w:rsidR="002461A9">
        <w:t xml:space="preserve">, A. </w:t>
      </w:r>
      <w:proofErr w:type="spellStart"/>
      <w:r w:rsidR="002461A9">
        <w:t>Veneziani</w:t>
      </w:r>
      <w:proofErr w:type="spellEnd"/>
      <w:r w:rsidR="002461A9">
        <w:t xml:space="preserve">, C. Vergara, Geometric multiscale modeling of the cardiovascular system, between theory and practice, Computer Methods in Applied Mechanics and Engineering, Volume 302, 2016, Pages 193-252, ISSN 0045-7825, https://doi.org/10.1016/j.cma.2016.01.007. </w:t>
      </w:r>
    </w:p>
    <w:p w14:paraId="7BF6C717" w14:textId="77777777" w:rsidR="00E2066D" w:rsidRDefault="000C325D" w:rsidP="002461A9">
      <w:pPr>
        <w:pStyle w:val="NormalWeb"/>
        <w:jc w:val="both"/>
      </w:pPr>
      <w:r>
        <w:rPr>
          <w:rStyle w:val="Strong"/>
          <w:b w:val="0"/>
        </w:rPr>
        <w:lastRenderedPageBreak/>
        <w:t xml:space="preserve">[49] </w:t>
      </w:r>
      <w:proofErr w:type="spellStart"/>
      <w:r w:rsidR="00E2066D" w:rsidRPr="00E2066D">
        <w:rPr>
          <w:rStyle w:val="Strong"/>
          <w:b w:val="0"/>
        </w:rPr>
        <w:t>Raissi</w:t>
      </w:r>
      <w:proofErr w:type="spellEnd"/>
      <w:r w:rsidR="00E2066D" w:rsidRPr="00E2066D">
        <w:rPr>
          <w:rStyle w:val="Strong"/>
          <w:b w:val="0"/>
        </w:rPr>
        <w:t xml:space="preserve">, M., </w:t>
      </w:r>
      <w:proofErr w:type="spellStart"/>
      <w:r w:rsidR="00E2066D" w:rsidRPr="00E2066D">
        <w:rPr>
          <w:rStyle w:val="Strong"/>
          <w:b w:val="0"/>
        </w:rPr>
        <w:t>Perdikaris</w:t>
      </w:r>
      <w:proofErr w:type="spellEnd"/>
      <w:r w:rsidR="00E2066D" w:rsidRPr="00E2066D">
        <w:rPr>
          <w:rStyle w:val="Strong"/>
          <w:b w:val="0"/>
        </w:rPr>
        <w:t xml:space="preserve">, P., &amp; </w:t>
      </w:r>
      <w:proofErr w:type="spellStart"/>
      <w:r w:rsidR="00E2066D" w:rsidRPr="00E2066D">
        <w:rPr>
          <w:rStyle w:val="Strong"/>
          <w:b w:val="0"/>
        </w:rPr>
        <w:t>Karniadakis</w:t>
      </w:r>
      <w:proofErr w:type="spellEnd"/>
      <w:r w:rsidR="00E2066D" w:rsidRPr="00E2066D">
        <w:rPr>
          <w:rStyle w:val="Strong"/>
          <w:b w:val="0"/>
        </w:rPr>
        <w:t>, G. E. (2019). Physics-informed neural networks: A deep learning framework for solving forward and inverse problems involving nonlinear partial differential equations</w:t>
      </w:r>
      <w:r w:rsidR="00E2066D">
        <w:rPr>
          <w:rStyle w:val="Strong"/>
        </w:rPr>
        <w:t xml:space="preserve">. </w:t>
      </w:r>
      <w:r w:rsidR="00E2066D" w:rsidRPr="00E2066D">
        <w:rPr>
          <w:rStyle w:val="Emphasis"/>
          <w:bCs/>
        </w:rPr>
        <w:t>Journal of Computational Physics, 378</w:t>
      </w:r>
      <w:r w:rsidR="00E2066D" w:rsidRPr="00E2066D">
        <w:rPr>
          <w:rStyle w:val="Strong"/>
        </w:rPr>
        <w:t>, 686–707.</w:t>
      </w:r>
      <w:r w:rsidR="00E2066D">
        <w:br/>
      </w:r>
      <w:hyperlink r:id="rId21" w:tgtFrame="_new" w:history="1">
        <w:r w:rsidR="00E2066D">
          <w:rPr>
            <w:rStyle w:val="Hyperlink"/>
          </w:rPr>
          <w:t>https://doi.org/10.1016/j.jcp.2018.10.045</w:t>
        </w:r>
      </w:hyperlink>
    </w:p>
    <w:p w14:paraId="4540CA25" w14:textId="77777777" w:rsidR="00E03780" w:rsidRDefault="000C325D" w:rsidP="002461A9">
      <w:pPr>
        <w:pStyle w:val="NormalWeb"/>
        <w:jc w:val="both"/>
      </w:pPr>
      <w:r>
        <w:t>[50</w:t>
      </w:r>
      <w:r w:rsidR="00E03780">
        <w:t xml:space="preserve">] Ratner, B. D., Hoffman, A. S., Schoen, F. J., &amp; Lemons, J. E. (2013). </w:t>
      </w:r>
      <w:r w:rsidR="00E03780">
        <w:rPr>
          <w:rStyle w:val="Emphasis"/>
        </w:rPr>
        <w:t>Biomaterials science: An introduction to materials in medicine</w:t>
      </w:r>
      <w:r w:rsidR="00E03780">
        <w:t xml:space="preserve"> (3rd ed.). Academic Press.</w:t>
      </w:r>
    </w:p>
    <w:p w14:paraId="6197D2F8" w14:textId="77777777" w:rsidR="00603392" w:rsidRDefault="000C325D" w:rsidP="00E03780">
      <w:pPr>
        <w:pStyle w:val="NormalWeb"/>
        <w:jc w:val="both"/>
      </w:pPr>
      <w:r>
        <w:t>[51</w:t>
      </w:r>
      <w:r w:rsidR="00E03780">
        <w:t xml:space="preserve">] </w:t>
      </w:r>
      <w:proofErr w:type="spellStart"/>
      <w:r w:rsidR="00603392">
        <w:t>Saltelli</w:t>
      </w:r>
      <w:proofErr w:type="spellEnd"/>
      <w:r w:rsidR="00603392">
        <w:t xml:space="preserve">, A., Ratto, M., Andres, T., Campolongo, F., </w:t>
      </w:r>
      <w:proofErr w:type="spellStart"/>
      <w:r w:rsidR="00603392">
        <w:t>Cariboni</w:t>
      </w:r>
      <w:proofErr w:type="spellEnd"/>
      <w:r w:rsidR="00603392">
        <w:t xml:space="preserve">, J., </w:t>
      </w:r>
      <w:proofErr w:type="spellStart"/>
      <w:r w:rsidR="00603392">
        <w:t>Gatelli</w:t>
      </w:r>
      <w:proofErr w:type="spellEnd"/>
      <w:r w:rsidR="00603392">
        <w:t xml:space="preserve">, D., </w:t>
      </w:r>
      <w:proofErr w:type="spellStart"/>
      <w:r w:rsidR="00603392">
        <w:t>Saisana</w:t>
      </w:r>
      <w:proofErr w:type="spellEnd"/>
      <w:r w:rsidR="00603392">
        <w:t xml:space="preserve">, M., &amp; Tarantola, S. (2008). </w:t>
      </w:r>
      <w:r w:rsidR="00603392">
        <w:rPr>
          <w:rStyle w:val="Emphasis"/>
        </w:rPr>
        <w:t>Global sensitivity analysis: The primer</w:t>
      </w:r>
      <w:r w:rsidR="00603392">
        <w:t xml:space="preserve">. John Wiley &amp; Sons. </w:t>
      </w:r>
      <w:hyperlink r:id="rId22" w:tgtFrame="_new" w:history="1">
        <w:r w:rsidR="00603392">
          <w:rPr>
            <w:rStyle w:val="Hyperlink"/>
          </w:rPr>
          <w:t>https://doi.org/10.1002/9780470725184</w:t>
        </w:r>
      </w:hyperlink>
    </w:p>
    <w:p w14:paraId="188552A8" w14:textId="77777777" w:rsidR="00603392" w:rsidRDefault="000C325D" w:rsidP="00603392">
      <w:pPr>
        <w:pStyle w:val="NormalWeb"/>
        <w:jc w:val="both"/>
      </w:pPr>
      <w:r>
        <w:t>[52</w:t>
      </w:r>
      <w:r w:rsidR="00603392">
        <w:t xml:space="preserve">] Saltzman, W. M. (2001). </w:t>
      </w:r>
      <w:r w:rsidR="00603392">
        <w:rPr>
          <w:rStyle w:val="Emphasis"/>
        </w:rPr>
        <w:t>Drug delivery: Engineering principles for drug therapy</w:t>
      </w:r>
      <w:r w:rsidR="00603392">
        <w:t>. Oxford University Press.</w:t>
      </w:r>
    </w:p>
    <w:p w14:paraId="4DC0B359" w14:textId="77777777" w:rsidR="00E03780" w:rsidRDefault="00603392" w:rsidP="00603392">
      <w:pPr>
        <w:pStyle w:val="NormalWeb"/>
        <w:jc w:val="both"/>
      </w:pPr>
      <w:r>
        <w:t xml:space="preserve"> </w:t>
      </w:r>
      <w:r w:rsidR="000C325D">
        <w:t>[53</w:t>
      </w:r>
      <w:r w:rsidR="00E03780">
        <w:t xml:space="preserve">] </w:t>
      </w:r>
      <w:r w:rsidR="003661A1" w:rsidRPr="003661A1">
        <w:rPr>
          <w:color w:val="212121"/>
          <w:shd w:val="clear" w:color="auto" w:fill="FFFFFF"/>
        </w:rPr>
        <w:t>Siegel, R. L., Giaquinto, A. N., &amp; Jemal, A. (2024). Cancer statistics, 2024. </w:t>
      </w:r>
      <w:r w:rsidR="003661A1" w:rsidRPr="003661A1">
        <w:rPr>
          <w:i/>
          <w:iCs/>
          <w:color w:val="212121"/>
          <w:shd w:val="clear" w:color="auto" w:fill="FFFFFF"/>
        </w:rPr>
        <w:t>CA: a cancer journal for clinicians</w:t>
      </w:r>
      <w:r w:rsidR="003661A1" w:rsidRPr="003661A1">
        <w:rPr>
          <w:color w:val="212121"/>
          <w:shd w:val="clear" w:color="auto" w:fill="FFFFFF"/>
        </w:rPr>
        <w:t>, </w:t>
      </w:r>
      <w:r w:rsidR="003661A1" w:rsidRPr="003661A1">
        <w:rPr>
          <w:i/>
          <w:iCs/>
          <w:color w:val="212121"/>
          <w:shd w:val="clear" w:color="auto" w:fill="FFFFFF"/>
        </w:rPr>
        <w:t>74</w:t>
      </w:r>
      <w:r w:rsidR="003661A1" w:rsidRPr="003661A1">
        <w:rPr>
          <w:color w:val="212121"/>
          <w:shd w:val="clear" w:color="auto" w:fill="FFFFFF"/>
        </w:rPr>
        <w:t>(1), 12–49. https://doi.org/10.3322/caac.21820</w:t>
      </w:r>
      <w:r w:rsidR="003661A1">
        <w:t>.</w:t>
      </w:r>
    </w:p>
    <w:p w14:paraId="74AD3FA3" w14:textId="77777777" w:rsidR="00E03780" w:rsidRDefault="000C325D" w:rsidP="00E03780">
      <w:pPr>
        <w:pStyle w:val="NormalWeb"/>
        <w:jc w:val="both"/>
      </w:pPr>
      <w:r>
        <w:t>[5</w:t>
      </w:r>
      <w:r w:rsidR="00E03780">
        <w:t xml:space="preserve">4] Siepmann, J., &amp; Siepmann, F. (2012). Modeling of diffusion-controlled drug delivery. </w:t>
      </w:r>
      <w:r w:rsidR="00E03780">
        <w:rPr>
          <w:rStyle w:val="Emphasis"/>
        </w:rPr>
        <w:t>Journal of Controlled Release, 161</w:t>
      </w:r>
      <w:r w:rsidR="00E03780">
        <w:t>(2), 351–362.</w:t>
      </w:r>
    </w:p>
    <w:p w14:paraId="356F360B" w14:textId="77777777" w:rsidR="00E03780" w:rsidRDefault="000C325D" w:rsidP="00E03780">
      <w:pPr>
        <w:pStyle w:val="NormalWeb"/>
        <w:jc w:val="both"/>
      </w:pPr>
      <w:r>
        <w:t>[5</w:t>
      </w:r>
      <w:r w:rsidR="00E03780">
        <w:t xml:space="preserve">5] Suresh, S. (1998). </w:t>
      </w:r>
      <w:r w:rsidR="00E03780">
        <w:rPr>
          <w:rStyle w:val="Emphasis"/>
        </w:rPr>
        <w:t>Fatigue of materials</w:t>
      </w:r>
      <w:r w:rsidR="00E03780">
        <w:t xml:space="preserve"> (2nd ed.). Cambridge University Press.</w:t>
      </w:r>
    </w:p>
    <w:p w14:paraId="06791825" w14:textId="77777777" w:rsidR="00E03780" w:rsidRDefault="000C325D" w:rsidP="00E03780">
      <w:pPr>
        <w:pStyle w:val="NormalWeb"/>
        <w:jc w:val="both"/>
      </w:pPr>
      <w:r>
        <w:t>[5</w:t>
      </w:r>
      <w:r w:rsidR="00E03780">
        <w:t xml:space="preserve">6] Taylor, M., Prendergast, P. J., &amp; Lennon, A. B. (2007). Stress analysis of implants. </w:t>
      </w:r>
      <w:r w:rsidR="00E03780">
        <w:rPr>
          <w:rStyle w:val="Emphasis"/>
        </w:rPr>
        <w:t>Clinical Biomechanics, 22</w:t>
      </w:r>
      <w:r w:rsidR="00E03780">
        <w:t>(2), 189–199.</w:t>
      </w:r>
    </w:p>
    <w:p w14:paraId="6E9FF63E" w14:textId="77777777" w:rsidR="00E03780" w:rsidRDefault="000C325D" w:rsidP="000C325D">
      <w:pPr>
        <w:pStyle w:val="NormalWeb"/>
        <w:jc w:val="both"/>
      </w:pPr>
      <w:r>
        <w:t>[5</w:t>
      </w:r>
      <w:r w:rsidR="00E03780">
        <w:t xml:space="preserve">7] Ulrich, K. T., &amp; Eppinger, S. D. (2016). </w:t>
      </w:r>
      <w:r w:rsidR="00E03780">
        <w:rPr>
          <w:rStyle w:val="Emphasis"/>
        </w:rPr>
        <w:t>Product design and development</w:t>
      </w:r>
      <w:r w:rsidR="00E03780">
        <w:t xml:space="preserve"> (6th ed.). McGraw-Hill.</w:t>
      </w:r>
    </w:p>
    <w:p w14:paraId="09B68836" w14:textId="77777777" w:rsidR="00E03780" w:rsidRDefault="000C325D" w:rsidP="00E03780">
      <w:pPr>
        <w:pStyle w:val="NormalWeb"/>
        <w:jc w:val="both"/>
      </w:pPr>
      <w:r>
        <w:t>[58</w:t>
      </w:r>
      <w:r w:rsidR="00E03780">
        <w:t xml:space="preserve">] World Health Organization. (2023). </w:t>
      </w:r>
      <w:r w:rsidR="00E03780">
        <w:rPr>
          <w:rStyle w:val="Emphasis"/>
        </w:rPr>
        <w:t>Global health estimates</w:t>
      </w:r>
      <w:r w:rsidR="00E03780">
        <w:t>. WHO.</w:t>
      </w:r>
    </w:p>
    <w:p w14:paraId="3A943172" w14:textId="77777777" w:rsidR="006637FA" w:rsidRDefault="000C325D" w:rsidP="00E03780">
      <w:pPr>
        <w:pStyle w:val="NormalWeb"/>
        <w:jc w:val="both"/>
        <w:rPr>
          <w:color w:val="212121"/>
          <w:shd w:val="clear" w:color="auto" w:fill="FFFFFF"/>
        </w:rPr>
      </w:pPr>
      <w:r>
        <w:t>[59</w:t>
      </w:r>
      <w:r w:rsidR="00E03780">
        <w:t xml:space="preserve">] </w:t>
      </w:r>
      <w:proofErr w:type="spellStart"/>
      <w:r w:rsidR="00242FF6" w:rsidRPr="00242FF6">
        <w:rPr>
          <w:color w:val="212121"/>
          <w:shd w:val="clear" w:color="auto" w:fill="FFFFFF"/>
        </w:rPr>
        <w:t>Zadpoor</w:t>
      </w:r>
      <w:proofErr w:type="spellEnd"/>
      <w:r w:rsidR="00242FF6" w:rsidRPr="00242FF6">
        <w:rPr>
          <w:color w:val="212121"/>
          <w:shd w:val="clear" w:color="auto" w:fill="FFFFFF"/>
        </w:rPr>
        <w:t xml:space="preserve"> A. A. (2017). Mechanics of additively manufactured biomaterials.</w:t>
      </w:r>
      <w:r w:rsidR="00242FF6">
        <w:rPr>
          <w:color w:val="212121"/>
          <w:shd w:val="clear" w:color="auto" w:fill="FFFFFF"/>
        </w:rPr>
        <w:t xml:space="preserve"> </w:t>
      </w:r>
      <w:r w:rsidR="00242FF6" w:rsidRPr="00242FF6">
        <w:rPr>
          <w:color w:val="212121"/>
          <w:shd w:val="clear" w:color="auto" w:fill="FFFFFF"/>
        </w:rPr>
        <w:t> </w:t>
      </w:r>
      <w:r w:rsidR="00242FF6" w:rsidRPr="00242FF6">
        <w:rPr>
          <w:i/>
          <w:iCs/>
          <w:color w:val="212121"/>
          <w:shd w:val="clear" w:color="auto" w:fill="FFFFFF"/>
        </w:rPr>
        <w:t>Journal of the mechanical behavior of biomedical materials</w:t>
      </w:r>
      <w:r w:rsidR="00242FF6" w:rsidRPr="00242FF6">
        <w:rPr>
          <w:color w:val="212121"/>
          <w:shd w:val="clear" w:color="auto" w:fill="FFFFFF"/>
        </w:rPr>
        <w:t>, </w:t>
      </w:r>
      <w:r w:rsidR="00242FF6" w:rsidRPr="00242FF6">
        <w:rPr>
          <w:i/>
          <w:iCs/>
          <w:color w:val="212121"/>
          <w:shd w:val="clear" w:color="auto" w:fill="FFFFFF"/>
        </w:rPr>
        <w:t>70</w:t>
      </w:r>
      <w:r w:rsidR="00242FF6" w:rsidRPr="00242FF6">
        <w:rPr>
          <w:color w:val="212121"/>
          <w:shd w:val="clear" w:color="auto" w:fill="FFFFFF"/>
        </w:rPr>
        <w:t xml:space="preserve">, 1–6. </w:t>
      </w:r>
      <w:hyperlink r:id="rId23" w:history="1">
        <w:r w:rsidR="004A7164" w:rsidRPr="0058797E">
          <w:rPr>
            <w:rStyle w:val="Hyperlink"/>
            <w:shd w:val="clear" w:color="auto" w:fill="FFFFFF"/>
          </w:rPr>
          <w:t>https://doi.org/10.1016/j.jmbbm.2017.03.018</w:t>
        </w:r>
      </w:hyperlink>
    </w:p>
    <w:p w14:paraId="6239B43C" w14:textId="77777777" w:rsidR="004A7164" w:rsidRPr="004A7164" w:rsidRDefault="000C325D" w:rsidP="004A7164">
      <w:pPr>
        <w:spacing w:before="100" w:beforeAutospacing="1" w:after="100" w:afterAutospacing="1"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[60] </w:t>
      </w:r>
      <w:r w:rsidR="004A7164" w:rsidRPr="004A7164">
        <w:rPr>
          <w:rFonts w:ascii="Times New Roman" w:eastAsia="Times New Roman" w:hAnsi="Times New Roman" w:cs="Times New Roman"/>
          <w:sz w:val="24"/>
          <w:szCs w:val="24"/>
        </w:rPr>
        <w:t xml:space="preserve">Zhang, W., Wang, A., Wang, J., Wang, Q., Li, F., &amp; Lu, K. (2024). </w:t>
      </w:r>
      <w:r w:rsidR="004A7164" w:rsidRPr="004A7164">
        <w:rPr>
          <w:rFonts w:ascii="Times New Roman" w:eastAsia="Times New Roman" w:hAnsi="Times New Roman" w:cs="Times New Roman"/>
          <w:iCs/>
          <w:sz w:val="24"/>
          <w:szCs w:val="24"/>
        </w:rPr>
        <w:t>Advances in fatigue performance of metal materials with additive manufacturing based on crystal plasticity: A comprehensive review</w:t>
      </w:r>
      <w:r w:rsidR="004A7164" w:rsidRPr="004A7164">
        <w:rPr>
          <w:rFonts w:ascii="Times New Roman" w:eastAsia="Times New Roman" w:hAnsi="Times New Roman" w:cs="Times New Roman"/>
          <w:sz w:val="24"/>
          <w:szCs w:val="24"/>
        </w:rPr>
        <w:t xml:space="preserve">. </w:t>
      </w:r>
      <w:r w:rsidR="004A7164" w:rsidRPr="004A7164">
        <w:rPr>
          <w:rFonts w:ascii="Times New Roman" w:eastAsia="Times New Roman" w:hAnsi="Times New Roman" w:cs="Times New Roman"/>
          <w:i/>
          <w:iCs/>
          <w:sz w:val="24"/>
          <w:szCs w:val="24"/>
        </w:rPr>
        <w:t>Materials, 17</w:t>
      </w:r>
      <w:r w:rsidR="004A7164" w:rsidRPr="004A7164">
        <w:rPr>
          <w:rFonts w:ascii="Times New Roman" w:eastAsia="Times New Roman" w:hAnsi="Times New Roman" w:cs="Times New Roman"/>
          <w:sz w:val="24"/>
          <w:szCs w:val="24"/>
        </w:rPr>
        <w:t>(5), 1019. https://doi.org/10.3390/ma17051019</w:t>
      </w:r>
    </w:p>
    <w:p w14:paraId="5AC4491F" w14:textId="77777777" w:rsidR="0049147C" w:rsidRDefault="000C325D" w:rsidP="0049147C">
      <w:pPr>
        <w:pStyle w:val="NormalWeb"/>
        <w:jc w:val="both"/>
      </w:pPr>
      <w:r>
        <w:t>[61</w:t>
      </w:r>
      <w:r w:rsidR="006637FA">
        <w:t xml:space="preserve">] </w:t>
      </w:r>
      <w:r w:rsidR="006637FA" w:rsidRPr="006637FA">
        <w:rPr>
          <w:rStyle w:val="Strong"/>
          <w:b w:val="0"/>
        </w:rPr>
        <w:t>Zienkiewicz, O. C., Taylor, R. L., &amp; Zhu, J. Z. (2013).</w:t>
      </w:r>
      <w:r w:rsidR="006637FA">
        <w:br/>
      </w:r>
      <w:r w:rsidR="006637FA">
        <w:rPr>
          <w:rStyle w:val="Emphasis"/>
        </w:rPr>
        <w:t>The finite element method: Its basis and fundamentals</w:t>
      </w:r>
      <w:r w:rsidR="006637FA">
        <w:t xml:space="preserve"> (7th ed.). Elsevier Butterworth-Heinemann. https://doi.org/10.1016/C2009-0-24909-9</w:t>
      </w:r>
    </w:p>
    <w:sectPr w:rsidR="0049147C">
      <w:headerReference w:type="even" r:id="rId24"/>
      <w:headerReference w:type="default" r:id="rId25"/>
      <w:footerReference w:type="even" r:id="rId26"/>
      <w:footerReference w:type="default" r:id="rId27"/>
      <w:headerReference w:type="first" r:id="rId28"/>
      <w:footerReference w:type="firs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FEAC62" w14:textId="77777777" w:rsidR="00763FE7" w:rsidRDefault="00763FE7" w:rsidP="00C73D1E">
      <w:pPr>
        <w:spacing w:after="0" w:line="240" w:lineRule="auto"/>
      </w:pPr>
      <w:r>
        <w:separator/>
      </w:r>
    </w:p>
  </w:endnote>
  <w:endnote w:type="continuationSeparator" w:id="0">
    <w:p w14:paraId="32C41670" w14:textId="77777777" w:rsidR="00763FE7" w:rsidRDefault="00763FE7" w:rsidP="00C73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4960D9" w14:textId="77777777" w:rsidR="00C73D1E" w:rsidRDefault="00C73D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7E40D" w14:textId="77777777" w:rsidR="00C73D1E" w:rsidRDefault="00C73D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EAB6A7" w14:textId="77777777" w:rsidR="00C73D1E" w:rsidRDefault="00C73D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5DE4A" w14:textId="77777777" w:rsidR="00763FE7" w:rsidRDefault="00763FE7" w:rsidP="00C73D1E">
      <w:pPr>
        <w:spacing w:after="0" w:line="240" w:lineRule="auto"/>
      </w:pPr>
      <w:r>
        <w:separator/>
      </w:r>
    </w:p>
  </w:footnote>
  <w:footnote w:type="continuationSeparator" w:id="0">
    <w:p w14:paraId="507CFB7C" w14:textId="77777777" w:rsidR="00763FE7" w:rsidRDefault="00763FE7" w:rsidP="00C73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2C9056" w14:textId="18364C79" w:rsidR="00C73D1E" w:rsidRDefault="00C73D1E">
    <w:pPr>
      <w:pStyle w:val="Header"/>
    </w:pPr>
    <w:r>
      <w:rPr>
        <w:noProof/>
      </w:rPr>
      <w:pict w14:anchorId="0E561A2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612547"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178A05" w14:textId="4586177E" w:rsidR="00C73D1E" w:rsidRDefault="00C73D1E">
    <w:pPr>
      <w:pStyle w:val="Header"/>
    </w:pPr>
    <w:r>
      <w:rPr>
        <w:noProof/>
      </w:rPr>
      <w:pict w14:anchorId="3A2F59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612548"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A098D" w14:textId="30329CDB" w:rsidR="00C73D1E" w:rsidRDefault="00C73D1E">
    <w:pPr>
      <w:pStyle w:val="Header"/>
    </w:pPr>
    <w:r>
      <w:rPr>
        <w:noProof/>
      </w:rPr>
      <w:pict w14:anchorId="76A8438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4612546"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12B"/>
    <w:rsid w:val="000125D9"/>
    <w:rsid w:val="000145BB"/>
    <w:rsid w:val="00084065"/>
    <w:rsid w:val="000C325D"/>
    <w:rsid w:val="000C57E0"/>
    <w:rsid w:val="000E79CB"/>
    <w:rsid w:val="001577CC"/>
    <w:rsid w:val="0020177B"/>
    <w:rsid w:val="00242FF6"/>
    <w:rsid w:val="002461A9"/>
    <w:rsid w:val="00262D9F"/>
    <w:rsid w:val="003116B5"/>
    <w:rsid w:val="0034760F"/>
    <w:rsid w:val="003661A1"/>
    <w:rsid w:val="00377A8D"/>
    <w:rsid w:val="003F4833"/>
    <w:rsid w:val="0049147C"/>
    <w:rsid w:val="004A095D"/>
    <w:rsid w:val="004A43A6"/>
    <w:rsid w:val="004A7164"/>
    <w:rsid w:val="004B62F3"/>
    <w:rsid w:val="004C06ED"/>
    <w:rsid w:val="00500809"/>
    <w:rsid w:val="0051445F"/>
    <w:rsid w:val="005905DB"/>
    <w:rsid w:val="005E229D"/>
    <w:rsid w:val="00603392"/>
    <w:rsid w:val="00626071"/>
    <w:rsid w:val="00641476"/>
    <w:rsid w:val="006637FA"/>
    <w:rsid w:val="00675C4C"/>
    <w:rsid w:val="006767EC"/>
    <w:rsid w:val="006811C5"/>
    <w:rsid w:val="006E08A2"/>
    <w:rsid w:val="006F0CBB"/>
    <w:rsid w:val="00726089"/>
    <w:rsid w:val="00763FE7"/>
    <w:rsid w:val="007A6F3E"/>
    <w:rsid w:val="007E2122"/>
    <w:rsid w:val="0081424A"/>
    <w:rsid w:val="00837129"/>
    <w:rsid w:val="00860C56"/>
    <w:rsid w:val="00873017"/>
    <w:rsid w:val="008C115B"/>
    <w:rsid w:val="00940318"/>
    <w:rsid w:val="009560F0"/>
    <w:rsid w:val="00980820"/>
    <w:rsid w:val="009A3200"/>
    <w:rsid w:val="009C5ACF"/>
    <w:rsid w:val="00A312C8"/>
    <w:rsid w:val="00A768C9"/>
    <w:rsid w:val="00A978F1"/>
    <w:rsid w:val="00AA3A1B"/>
    <w:rsid w:val="00AC257E"/>
    <w:rsid w:val="00AF258E"/>
    <w:rsid w:val="00B3704F"/>
    <w:rsid w:val="00B7123F"/>
    <w:rsid w:val="00B853D7"/>
    <w:rsid w:val="00C16E6E"/>
    <w:rsid w:val="00C42118"/>
    <w:rsid w:val="00C73D1E"/>
    <w:rsid w:val="00C84580"/>
    <w:rsid w:val="00CF6D80"/>
    <w:rsid w:val="00D23618"/>
    <w:rsid w:val="00D435C9"/>
    <w:rsid w:val="00D6480E"/>
    <w:rsid w:val="00D873F0"/>
    <w:rsid w:val="00DD047C"/>
    <w:rsid w:val="00E03780"/>
    <w:rsid w:val="00E2066D"/>
    <w:rsid w:val="00E26896"/>
    <w:rsid w:val="00E31AEF"/>
    <w:rsid w:val="00E5512B"/>
    <w:rsid w:val="00E82504"/>
    <w:rsid w:val="00E97C67"/>
    <w:rsid w:val="00EC083A"/>
    <w:rsid w:val="00EC179F"/>
    <w:rsid w:val="00F2657B"/>
    <w:rsid w:val="00F55A70"/>
    <w:rsid w:val="00F65B62"/>
    <w:rsid w:val="00FB4D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B766F7"/>
  <w15:docId w15:val="{8EF862E3-F040-4B90-B00C-448624511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E5512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E5512B"/>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512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E5512B"/>
    <w:rPr>
      <w:rFonts w:ascii="Times New Roman" w:eastAsia="Times New Roman" w:hAnsi="Times New Roman" w:cs="Times New Roman"/>
      <w:b/>
      <w:bCs/>
      <w:sz w:val="36"/>
      <w:szCs w:val="36"/>
    </w:rPr>
  </w:style>
  <w:style w:type="paragraph" w:styleId="NormalWeb">
    <w:name w:val="Normal (Web)"/>
    <w:basedOn w:val="Normal"/>
    <w:uiPriority w:val="99"/>
    <w:unhideWhenUsed/>
    <w:rsid w:val="00E5512B"/>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5512B"/>
    <w:rPr>
      <w:b/>
      <w:bCs/>
    </w:rPr>
  </w:style>
  <w:style w:type="character" w:styleId="Emphasis">
    <w:name w:val="Emphasis"/>
    <w:basedOn w:val="DefaultParagraphFont"/>
    <w:uiPriority w:val="20"/>
    <w:qFormat/>
    <w:rsid w:val="00E5512B"/>
    <w:rPr>
      <w:i/>
      <w:iCs/>
    </w:rPr>
  </w:style>
  <w:style w:type="character" w:styleId="Hyperlink">
    <w:name w:val="Hyperlink"/>
    <w:basedOn w:val="DefaultParagraphFont"/>
    <w:uiPriority w:val="99"/>
    <w:unhideWhenUsed/>
    <w:rsid w:val="00DD047C"/>
    <w:rPr>
      <w:color w:val="0000FF"/>
      <w:u w:val="single"/>
    </w:rPr>
  </w:style>
  <w:style w:type="table" w:styleId="TableGrid">
    <w:name w:val="Table Grid"/>
    <w:basedOn w:val="TableNormal"/>
    <w:uiPriority w:val="59"/>
    <w:rsid w:val="00262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6F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6F3E"/>
    <w:rPr>
      <w:rFonts w:ascii="Tahoma" w:hAnsi="Tahoma" w:cs="Tahoma"/>
      <w:sz w:val="16"/>
      <w:szCs w:val="16"/>
    </w:rPr>
  </w:style>
  <w:style w:type="character" w:styleId="UnresolvedMention">
    <w:name w:val="Unresolved Mention"/>
    <w:basedOn w:val="DefaultParagraphFont"/>
    <w:uiPriority w:val="99"/>
    <w:semiHidden/>
    <w:unhideWhenUsed/>
    <w:rsid w:val="003116B5"/>
    <w:rPr>
      <w:color w:val="605E5C"/>
      <w:shd w:val="clear" w:color="auto" w:fill="E1DFDD"/>
    </w:rPr>
  </w:style>
  <w:style w:type="paragraph" w:styleId="Header">
    <w:name w:val="header"/>
    <w:basedOn w:val="Normal"/>
    <w:link w:val="HeaderChar"/>
    <w:uiPriority w:val="99"/>
    <w:unhideWhenUsed/>
    <w:rsid w:val="00C73D1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D1E"/>
  </w:style>
  <w:style w:type="paragraph" w:styleId="Footer">
    <w:name w:val="footer"/>
    <w:basedOn w:val="Normal"/>
    <w:link w:val="FooterChar"/>
    <w:uiPriority w:val="99"/>
    <w:unhideWhenUsed/>
    <w:rsid w:val="00C73D1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896332">
      <w:bodyDiv w:val="1"/>
      <w:marLeft w:val="0"/>
      <w:marRight w:val="0"/>
      <w:marTop w:val="0"/>
      <w:marBottom w:val="0"/>
      <w:divBdr>
        <w:top w:val="none" w:sz="0" w:space="0" w:color="auto"/>
        <w:left w:val="none" w:sz="0" w:space="0" w:color="auto"/>
        <w:bottom w:val="none" w:sz="0" w:space="0" w:color="auto"/>
        <w:right w:val="none" w:sz="0" w:space="0" w:color="auto"/>
      </w:divBdr>
      <w:divsChild>
        <w:div w:id="728841484">
          <w:marLeft w:val="0"/>
          <w:marRight w:val="0"/>
          <w:marTop w:val="0"/>
          <w:marBottom w:val="0"/>
          <w:divBdr>
            <w:top w:val="none" w:sz="0" w:space="0" w:color="auto"/>
            <w:left w:val="none" w:sz="0" w:space="0" w:color="auto"/>
            <w:bottom w:val="none" w:sz="0" w:space="0" w:color="auto"/>
            <w:right w:val="none" w:sz="0" w:space="0" w:color="auto"/>
          </w:divBdr>
          <w:divsChild>
            <w:div w:id="735127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91873">
      <w:bodyDiv w:val="1"/>
      <w:marLeft w:val="0"/>
      <w:marRight w:val="0"/>
      <w:marTop w:val="0"/>
      <w:marBottom w:val="0"/>
      <w:divBdr>
        <w:top w:val="none" w:sz="0" w:space="0" w:color="auto"/>
        <w:left w:val="none" w:sz="0" w:space="0" w:color="auto"/>
        <w:bottom w:val="none" w:sz="0" w:space="0" w:color="auto"/>
        <w:right w:val="none" w:sz="0" w:space="0" w:color="auto"/>
      </w:divBdr>
    </w:div>
    <w:div w:id="441074028">
      <w:bodyDiv w:val="1"/>
      <w:marLeft w:val="0"/>
      <w:marRight w:val="0"/>
      <w:marTop w:val="0"/>
      <w:marBottom w:val="0"/>
      <w:divBdr>
        <w:top w:val="none" w:sz="0" w:space="0" w:color="auto"/>
        <w:left w:val="none" w:sz="0" w:space="0" w:color="auto"/>
        <w:bottom w:val="none" w:sz="0" w:space="0" w:color="auto"/>
        <w:right w:val="none" w:sz="0" w:space="0" w:color="auto"/>
      </w:divBdr>
    </w:div>
    <w:div w:id="575364147">
      <w:bodyDiv w:val="1"/>
      <w:marLeft w:val="0"/>
      <w:marRight w:val="0"/>
      <w:marTop w:val="0"/>
      <w:marBottom w:val="0"/>
      <w:divBdr>
        <w:top w:val="none" w:sz="0" w:space="0" w:color="auto"/>
        <w:left w:val="none" w:sz="0" w:space="0" w:color="auto"/>
        <w:bottom w:val="none" w:sz="0" w:space="0" w:color="auto"/>
        <w:right w:val="none" w:sz="0" w:space="0" w:color="auto"/>
      </w:divBdr>
    </w:div>
    <w:div w:id="792404508">
      <w:bodyDiv w:val="1"/>
      <w:marLeft w:val="0"/>
      <w:marRight w:val="0"/>
      <w:marTop w:val="0"/>
      <w:marBottom w:val="0"/>
      <w:divBdr>
        <w:top w:val="none" w:sz="0" w:space="0" w:color="auto"/>
        <w:left w:val="none" w:sz="0" w:space="0" w:color="auto"/>
        <w:bottom w:val="none" w:sz="0" w:space="0" w:color="auto"/>
        <w:right w:val="none" w:sz="0" w:space="0" w:color="auto"/>
      </w:divBdr>
    </w:div>
    <w:div w:id="840050336">
      <w:bodyDiv w:val="1"/>
      <w:marLeft w:val="0"/>
      <w:marRight w:val="0"/>
      <w:marTop w:val="0"/>
      <w:marBottom w:val="0"/>
      <w:divBdr>
        <w:top w:val="none" w:sz="0" w:space="0" w:color="auto"/>
        <w:left w:val="none" w:sz="0" w:space="0" w:color="auto"/>
        <w:bottom w:val="none" w:sz="0" w:space="0" w:color="auto"/>
        <w:right w:val="none" w:sz="0" w:space="0" w:color="auto"/>
      </w:divBdr>
    </w:div>
    <w:div w:id="848328112">
      <w:bodyDiv w:val="1"/>
      <w:marLeft w:val="0"/>
      <w:marRight w:val="0"/>
      <w:marTop w:val="0"/>
      <w:marBottom w:val="0"/>
      <w:divBdr>
        <w:top w:val="none" w:sz="0" w:space="0" w:color="auto"/>
        <w:left w:val="none" w:sz="0" w:space="0" w:color="auto"/>
        <w:bottom w:val="none" w:sz="0" w:space="0" w:color="auto"/>
        <w:right w:val="none" w:sz="0" w:space="0" w:color="auto"/>
      </w:divBdr>
    </w:div>
    <w:div w:id="856577223">
      <w:bodyDiv w:val="1"/>
      <w:marLeft w:val="0"/>
      <w:marRight w:val="0"/>
      <w:marTop w:val="0"/>
      <w:marBottom w:val="0"/>
      <w:divBdr>
        <w:top w:val="none" w:sz="0" w:space="0" w:color="auto"/>
        <w:left w:val="none" w:sz="0" w:space="0" w:color="auto"/>
        <w:bottom w:val="none" w:sz="0" w:space="0" w:color="auto"/>
        <w:right w:val="none" w:sz="0" w:space="0" w:color="auto"/>
      </w:divBdr>
    </w:div>
    <w:div w:id="862788894">
      <w:bodyDiv w:val="1"/>
      <w:marLeft w:val="0"/>
      <w:marRight w:val="0"/>
      <w:marTop w:val="0"/>
      <w:marBottom w:val="0"/>
      <w:divBdr>
        <w:top w:val="none" w:sz="0" w:space="0" w:color="auto"/>
        <w:left w:val="none" w:sz="0" w:space="0" w:color="auto"/>
        <w:bottom w:val="none" w:sz="0" w:space="0" w:color="auto"/>
        <w:right w:val="none" w:sz="0" w:space="0" w:color="auto"/>
      </w:divBdr>
    </w:div>
    <w:div w:id="872881975">
      <w:bodyDiv w:val="1"/>
      <w:marLeft w:val="0"/>
      <w:marRight w:val="0"/>
      <w:marTop w:val="0"/>
      <w:marBottom w:val="0"/>
      <w:divBdr>
        <w:top w:val="none" w:sz="0" w:space="0" w:color="auto"/>
        <w:left w:val="none" w:sz="0" w:space="0" w:color="auto"/>
        <w:bottom w:val="none" w:sz="0" w:space="0" w:color="auto"/>
        <w:right w:val="none" w:sz="0" w:space="0" w:color="auto"/>
      </w:divBdr>
    </w:div>
    <w:div w:id="991057485">
      <w:bodyDiv w:val="1"/>
      <w:marLeft w:val="0"/>
      <w:marRight w:val="0"/>
      <w:marTop w:val="0"/>
      <w:marBottom w:val="0"/>
      <w:divBdr>
        <w:top w:val="none" w:sz="0" w:space="0" w:color="auto"/>
        <w:left w:val="none" w:sz="0" w:space="0" w:color="auto"/>
        <w:bottom w:val="none" w:sz="0" w:space="0" w:color="auto"/>
        <w:right w:val="none" w:sz="0" w:space="0" w:color="auto"/>
      </w:divBdr>
    </w:div>
    <w:div w:id="1038973402">
      <w:bodyDiv w:val="1"/>
      <w:marLeft w:val="0"/>
      <w:marRight w:val="0"/>
      <w:marTop w:val="0"/>
      <w:marBottom w:val="0"/>
      <w:divBdr>
        <w:top w:val="none" w:sz="0" w:space="0" w:color="auto"/>
        <w:left w:val="none" w:sz="0" w:space="0" w:color="auto"/>
        <w:bottom w:val="none" w:sz="0" w:space="0" w:color="auto"/>
        <w:right w:val="none" w:sz="0" w:space="0" w:color="auto"/>
      </w:divBdr>
    </w:div>
    <w:div w:id="1181776285">
      <w:bodyDiv w:val="1"/>
      <w:marLeft w:val="0"/>
      <w:marRight w:val="0"/>
      <w:marTop w:val="0"/>
      <w:marBottom w:val="0"/>
      <w:divBdr>
        <w:top w:val="none" w:sz="0" w:space="0" w:color="auto"/>
        <w:left w:val="none" w:sz="0" w:space="0" w:color="auto"/>
        <w:bottom w:val="none" w:sz="0" w:space="0" w:color="auto"/>
        <w:right w:val="none" w:sz="0" w:space="0" w:color="auto"/>
      </w:divBdr>
    </w:div>
    <w:div w:id="1217207712">
      <w:bodyDiv w:val="1"/>
      <w:marLeft w:val="0"/>
      <w:marRight w:val="0"/>
      <w:marTop w:val="0"/>
      <w:marBottom w:val="0"/>
      <w:divBdr>
        <w:top w:val="none" w:sz="0" w:space="0" w:color="auto"/>
        <w:left w:val="none" w:sz="0" w:space="0" w:color="auto"/>
        <w:bottom w:val="none" w:sz="0" w:space="0" w:color="auto"/>
        <w:right w:val="none" w:sz="0" w:space="0" w:color="auto"/>
      </w:divBdr>
    </w:div>
    <w:div w:id="1407452986">
      <w:bodyDiv w:val="1"/>
      <w:marLeft w:val="0"/>
      <w:marRight w:val="0"/>
      <w:marTop w:val="0"/>
      <w:marBottom w:val="0"/>
      <w:divBdr>
        <w:top w:val="none" w:sz="0" w:space="0" w:color="auto"/>
        <w:left w:val="none" w:sz="0" w:space="0" w:color="auto"/>
        <w:bottom w:val="none" w:sz="0" w:space="0" w:color="auto"/>
        <w:right w:val="none" w:sz="0" w:space="0" w:color="auto"/>
      </w:divBdr>
    </w:div>
    <w:div w:id="1471053432">
      <w:bodyDiv w:val="1"/>
      <w:marLeft w:val="0"/>
      <w:marRight w:val="0"/>
      <w:marTop w:val="0"/>
      <w:marBottom w:val="0"/>
      <w:divBdr>
        <w:top w:val="none" w:sz="0" w:space="0" w:color="auto"/>
        <w:left w:val="none" w:sz="0" w:space="0" w:color="auto"/>
        <w:bottom w:val="none" w:sz="0" w:space="0" w:color="auto"/>
        <w:right w:val="none" w:sz="0" w:space="0" w:color="auto"/>
      </w:divBdr>
    </w:div>
    <w:div w:id="1497573246">
      <w:bodyDiv w:val="1"/>
      <w:marLeft w:val="0"/>
      <w:marRight w:val="0"/>
      <w:marTop w:val="0"/>
      <w:marBottom w:val="0"/>
      <w:divBdr>
        <w:top w:val="none" w:sz="0" w:space="0" w:color="auto"/>
        <w:left w:val="none" w:sz="0" w:space="0" w:color="auto"/>
        <w:bottom w:val="none" w:sz="0" w:space="0" w:color="auto"/>
        <w:right w:val="none" w:sz="0" w:space="0" w:color="auto"/>
      </w:divBdr>
    </w:div>
    <w:div w:id="1548106148">
      <w:bodyDiv w:val="1"/>
      <w:marLeft w:val="0"/>
      <w:marRight w:val="0"/>
      <w:marTop w:val="0"/>
      <w:marBottom w:val="0"/>
      <w:divBdr>
        <w:top w:val="none" w:sz="0" w:space="0" w:color="auto"/>
        <w:left w:val="none" w:sz="0" w:space="0" w:color="auto"/>
        <w:bottom w:val="none" w:sz="0" w:space="0" w:color="auto"/>
        <w:right w:val="none" w:sz="0" w:space="0" w:color="auto"/>
      </w:divBdr>
    </w:div>
    <w:div w:id="1553807963">
      <w:bodyDiv w:val="1"/>
      <w:marLeft w:val="0"/>
      <w:marRight w:val="0"/>
      <w:marTop w:val="0"/>
      <w:marBottom w:val="0"/>
      <w:divBdr>
        <w:top w:val="none" w:sz="0" w:space="0" w:color="auto"/>
        <w:left w:val="none" w:sz="0" w:space="0" w:color="auto"/>
        <w:bottom w:val="none" w:sz="0" w:space="0" w:color="auto"/>
        <w:right w:val="none" w:sz="0" w:space="0" w:color="auto"/>
      </w:divBdr>
    </w:div>
    <w:div w:id="1579484145">
      <w:bodyDiv w:val="1"/>
      <w:marLeft w:val="0"/>
      <w:marRight w:val="0"/>
      <w:marTop w:val="0"/>
      <w:marBottom w:val="0"/>
      <w:divBdr>
        <w:top w:val="none" w:sz="0" w:space="0" w:color="auto"/>
        <w:left w:val="none" w:sz="0" w:space="0" w:color="auto"/>
        <w:bottom w:val="none" w:sz="0" w:space="0" w:color="auto"/>
        <w:right w:val="none" w:sz="0" w:space="0" w:color="auto"/>
      </w:divBdr>
      <w:divsChild>
        <w:div w:id="1578319762">
          <w:marLeft w:val="0"/>
          <w:marRight w:val="0"/>
          <w:marTop w:val="0"/>
          <w:marBottom w:val="0"/>
          <w:divBdr>
            <w:top w:val="none" w:sz="0" w:space="0" w:color="auto"/>
            <w:left w:val="none" w:sz="0" w:space="0" w:color="auto"/>
            <w:bottom w:val="none" w:sz="0" w:space="0" w:color="auto"/>
            <w:right w:val="none" w:sz="0" w:space="0" w:color="auto"/>
          </w:divBdr>
          <w:divsChild>
            <w:div w:id="210156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27286">
      <w:bodyDiv w:val="1"/>
      <w:marLeft w:val="0"/>
      <w:marRight w:val="0"/>
      <w:marTop w:val="0"/>
      <w:marBottom w:val="0"/>
      <w:divBdr>
        <w:top w:val="none" w:sz="0" w:space="0" w:color="auto"/>
        <w:left w:val="none" w:sz="0" w:space="0" w:color="auto"/>
        <w:bottom w:val="none" w:sz="0" w:space="0" w:color="auto"/>
        <w:right w:val="none" w:sz="0" w:space="0" w:color="auto"/>
      </w:divBdr>
    </w:div>
    <w:div w:id="1819691334">
      <w:bodyDiv w:val="1"/>
      <w:marLeft w:val="0"/>
      <w:marRight w:val="0"/>
      <w:marTop w:val="0"/>
      <w:marBottom w:val="0"/>
      <w:divBdr>
        <w:top w:val="none" w:sz="0" w:space="0" w:color="auto"/>
        <w:left w:val="none" w:sz="0" w:space="0" w:color="auto"/>
        <w:bottom w:val="none" w:sz="0" w:space="0" w:color="auto"/>
        <w:right w:val="none" w:sz="0" w:space="0" w:color="auto"/>
      </w:divBdr>
    </w:div>
    <w:div w:id="1859352074">
      <w:bodyDiv w:val="1"/>
      <w:marLeft w:val="0"/>
      <w:marRight w:val="0"/>
      <w:marTop w:val="0"/>
      <w:marBottom w:val="0"/>
      <w:divBdr>
        <w:top w:val="none" w:sz="0" w:space="0" w:color="auto"/>
        <w:left w:val="none" w:sz="0" w:space="0" w:color="auto"/>
        <w:bottom w:val="none" w:sz="0" w:space="0" w:color="auto"/>
        <w:right w:val="none" w:sz="0" w:space="0" w:color="auto"/>
      </w:divBdr>
    </w:div>
    <w:div w:id="1877154646">
      <w:bodyDiv w:val="1"/>
      <w:marLeft w:val="0"/>
      <w:marRight w:val="0"/>
      <w:marTop w:val="0"/>
      <w:marBottom w:val="0"/>
      <w:divBdr>
        <w:top w:val="none" w:sz="0" w:space="0" w:color="auto"/>
        <w:left w:val="none" w:sz="0" w:space="0" w:color="auto"/>
        <w:bottom w:val="none" w:sz="0" w:space="0" w:color="auto"/>
        <w:right w:val="none" w:sz="0" w:space="0" w:color="auto"/>
      </w:divBdr>
    </w:div>
    <w:div w:id="1929533100">
      <w:bodyDiv w:val="1"/>
      <w:marLeft w:val="0"/>
      <w:marRight w:val="0"/>
      <w:marTop w:val="0"/>
      <w:marBottom w:val="0"/>
      <w:divBdr>
        <w:top w:val="none" w:sz="0" w:space="0" w:color="auto"/>
        <w:left w:val="none" w:sz="0" w:space="0" w:color="auto"/>
        <w:bottom w:val="none" w:sz="0" w:space="0" w:color="auto"/>
        <w:right w:val="none" w:sz="0" w:space="0" w:color="auto"/>
      </w:divBdr>
    </w:div>
    <w:div w:id="2066372318">
      <w:bodyDiv w:val="1"/>
      <w:marLeft w:val="0"/>
      <w:marRight w:val="0"/>
      <w:marTop w:val="0"/>
      <w:marBottom w:val="0"/>
      <w:divBdr>
        <w:top w:val="none" w:sz="0" w:space="0" w:color="auto"/>
        <w:left w:val="none" w:sz="0" w:space="0" w:color="auto"/>
        <w:bottom w:val="none" w:sz="0" w:space="0" w:color="auto"/>
        <w:right w:val="none" w:sz="0" w:space="0" w:color="auto"/>
      </w:divBdr>
    </w:div>
    <w:div w:id="207882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3390/molecules26030619" TargetMode="External"/><Relationship Id="rId13" Type="http://schemas.openxmlformats.org/officeDocument/2006/relationships/hyperlink" Target="https://doi.org/10.1038/nature02388" TargetMode="External"/><Relationship Id="rId18" Type="http://schemas.openxmlformats.org/officeDocument/2006/relationships/hyperlink" Target="https://doi.org/10.1016/j.jmbbm.2007.07.001" TargetMode="External"/><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hyperlink" Target="https://doi.org/10.1016/j.jcp.2018.10.045" TargetMode="External"/><Relationship Id="rId7" Type="http://schemas.openxmlformats.org/officeDocument/2006/relationships/hyperlink" Target="https://doi.org/10.1016/j.smim.2007.11.004" TargetMode="External"/><Relationship Id="rId12" Type="http://schemas.openxmlformats.org/officeDocument/2006/relationships/hyperlink" Target="https://doi.org/10.1098/rspa.2002.1060" TargetMode="External"/><Relationship Id="rId17" Type="http://schemas.openxmlformats.org/officeDocument/2006/relationships/hyperlink" Target="https://doi.org/10.1016/j.compositesb.2018.02.012" TargetMode="External"/><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hyperlink" Target="https://doi.org/10.1038/nmat2442" TargetMode="External"/><Relationship Id="rId20" Type="http://schemas.openxmlformats.org/officeDocument/2006/relationships/hyperlink" Target="https://doi.org/10.1021/acsnano.6b06040"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doi.org/10.1021/nn900002m" TargetMode="External"/><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yperlink" Target="https://doi.org/10.1038/nrd4363" TargetMode="External"/><Relationship Id="rId23" Type="http://schemas.openxmlformats.org/officeDocument/2006/relationships/hyperlink" Target="https://doi.org/10.1016/j.jmbbm.2017.03.018" TargetMode="External"/><Relationship Id="rId28" Type="http://schemas.openxmlformats.org/officeDocument/2006/relationships/header" Target="header3.xml"/><Relationship Id="rId10" Type="http://schemas.openxmlformats.org/officeDocument/2006/relationships/hyperlink" Target="https://doi.org/10.1126/science.1171643" TargetMode="External"/><Relationship Id="rId19" Type="http://schemas.openxmlformats.org/officeDocument/2006/relationships/hyperlink" Target="https://doi.org/10.1186/s12951-018-0392-8" TargetMode="External"/><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doi.org/10.1038/nbt.2989" TargetMode="External"/><Relationship Id="rId14" Type="http://schemas.openxmlformats.org/officeDocument/2006/relationships/hyperlink" Target="https://doi.org/10.1038/nmat2344" TargetMode="External"/><Relationship Id="rId22" Type="http://schemas.openxmlformats.org/officeDocument/2006/relationships/hyperlink" Target="https://doi.org/10.1002/9780470725184"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1089</TotalTime>
  <Pages>30</Pages>
  <Words>12133</Words>
  <Characters>69161</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SDI 1084</cp:lastModifiedBy>
  <cp:revision>68</cp:revision>
  <dcterms:created xsi:type="dcterms:W3CDTF">2026-01-09T00:47:00Z</dcterms:created>
  <dcterms:modified xsi:type="dcterms:W3CDTF">2026-01-17T07:49:00Z</dcterms:modified>
</cp:coreProperties>
</file>