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6C7C0" w14:textId="77777777" w:rsidR="00724233" w:rsidRDefault="009F143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COPING STRATEGIES AMONG PATIENTS WITH TYPE 2 DIABETES MELLITUS ATTENDING SECONDARY HEALTHCARE FACILITIES IN KADUNA STATE, NIGERIA</w:t>
      </w:r>
    </w:p>
    <w:p w14:paraId="587A0A5C" w14:textId="77777777" w:rsidR="00724233" w:rsidRDefault="00724233">
      <w:pPr>
        <w:spacing w:after="0" w:line="480" w:lineRule="auto"/>
        <w:jc w:val="both"/>
        <w:rPr>
          <w:rFonts w:ascii="Times New Roman" w:hAnsi="Times New Roman" w:cs="Times New Roman"/>
          <w:b/>
          <w:sz w:val="24"/>
          <w:szCs w:val="24"/>
        </w:rPr>
      </w:pPr>
    </w:p>
    <w:p w14:paraId="5CEC3DB1" w14:textId="77777777" w:rsidR="00724233" w:rsidRDefault="00724233">
      <w:pPr>
        <w:spacing w:after="0" w:line="480" w:lineRule="auto"/>
        <w:jc w:val="both"/>
        <w:rPr>
          <w:rFonts w:ascii="Times New Roman" w:hAnsi="Times New Roman" w:cs="Times New Roman"/>
          <w:b/>
          <w:sz w:val="24"/>
          <w:szCs w:val="24"/>
        </w:rPr>
      </w:pPr>
    </w:p>
    <w:p w14:paraId="05CE3373" w14:textId="77777777" w:rsidR="00266919" w:rsidRDefault="00266919">
      <w:pPr>
        <w:spacing w:after="0" w:line="480" w:lineRule="auto"/>
        <w:jc w:val="both"/>
        <w:rPr>
          <w:rFonts w:ascii="Times New Roman" w:hAnsi="Times New Roman" w:cs="Times New Roman"/>
          <w:b/>
          <w:sz w:val="24"/>
          <w:szCs w:val="24"/>
        </w:rPr>
      </w:pPr>
      <w:bookmarkStart w:id="0" w:name="_GoBack"/>
      <w:bookmarkEnd w:id="0"/>
    </w:p>
    <w:p w14:paraId="373BDF18" w14:textId="282A9CCD"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Abstract</w:t>
      </w:r>
    </w:p>
    <w:p w14:paraId="0EEA678D" w14:textId="77777777" w:rsidR="00724233"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Background</w:t>
      </w:r>
      <w:r>
        <w:rPr>
          <w:rFonts w:ascii="Times New Roman" w:hAnsi="Times New Roman" w:cs="Times New Roman"/>
          <w:sz w:val="24"/>
          <w:szCs w:val="24"/>
        </w:rPr>
        <w:t xml:space="preserve">: This study explored the coping strategies used by patients with type 2 diabetes mellitus attending selected secondary healthcare facilities in Kaduna State, Nigeria. </w:t>
      </w:r>
    </w:p>
    <w:p w14:paraId="519338CE" w14:textId="77777777" w:rsidR="00724233"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Objective</w:t>
      </w:r>
      <w:r>
        <w:rPr>
          <w:rFonts w:ascii="Times New Roman" w:hAnsi="Times New Roman" w:cs="Times New Roman"/>
          <w:sz w:val="24"/>
          <w:szCs w:val="24"/>
        </w:rPr>
        <w:t xml:space="preserve">: The aim was to identify dominant coping mechanisms and assess their relevance to self-management and quality of life. </w:t>
      </w:r>
    </w:p>
    <w:p w14:paraId="17F7139A" w14:textId="77777777" w:rsidR="00724233"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Methods</w:t>
      </w:r>
      <w:r>
        <w:rPr>
          <w:rFonts w:ascii="Times New Roman" w:hAnsi="Times New Roman" w:cs="Times New Roman"/>
          <w:sz w:val="24"/>
          <w:szCs w:val="24"/>
        </w:rPr>
        <w:t>: A mixed-method descriptive cross-sectional design was used, involving 332 adults with T2DM attending secondary healthcare facilities in Kaduna South and Chikun Local Government Areas. Data were collected using the Brief COPE Inventory and open-ended questions. Quantitative data were analysed with descriptive statistics, and qualitative responses were thematically analysed and categorised into coping domains.</w:t>
      </w:r>
    </w:p>
    <w:p w14:paraId="7CB7A979" w14:textId="77777777" w:rsidR="00724233"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Results</w:t>
      </w:r>
      <w:r>
        <w:rPr>
          <w:rFonts w:ascii="Times New Roman" w:hAnsi="Times New Roman" w:cs="Times New Roman"/>
          <w:sz w:val="24"/>
          <w:szCs w:val="24"/>
        </w:rPr>
        <w:t>: Six major coping themes were identified. The most common were Constructive Engagement (236; 71.1%), Adaptive Cognitive Reframing (218; 65.7%), Social Support (204; 61.4%), and Spiritual and Religious Anchoring (192; 57.8%). Less frequent were Emotional Regulation and Distraction (138; 41.6%) and Withdrawal and Maladaptive Responses (94; 28.3%). Adaptive strategies reflected active problem-solving, acceptance, and reliance on social and faith networks, while maladaptive responses included denial, self-blame, and disengagement from self-care.</w:t>
      </w:r>
    </w:p>
    <w:p w14:paraId="2CED7F71" w14:textId="77777777" w:rsidR="00724233" w:rsidRDefault="009F143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Conclusion</w:t>
      </w:r>
      <w:r>
        <w:rPr>
          <w:rFonts w:ascii="Times New Roman" w:hAnsi="Times New Roman" w:cs="Times New Roman"/>
          <w:sz w:val="24"/>
          <w:szCs w:val="24"/>
        </w:rPr>
        <w:t>: Most participants demonstrated adaptive coping strategies, likely supported by nurse-led education, family involvement, and cultural resources. However, the presence of maladaptive coping in nearly one-third of participants highlights the need for targeted psychosocial interventions in diabetes care.</w:t>
      </w:r>
    </w:p>
    <w:p w14:paraId="2E3EEEE3" w14:textId="77777777" w:rsidR="00724233" w:rsidRDefault="00724233">
      <w:pPr>
        <w:spacing w:after="0" w:line="240" w:lineRule="auto"/>
        <w:jc w:val="both"/>
        <w:rPr>
          <w:rFonts w:ascii="Times New Roman" w:hAnsi="Times New Roman" w:cs="Times New Roman"/>
          <w:sz w:val="24"/>
          <w:szCs w:val="24"/>
        </w:rPr>
      </w:pPr>
    </w:p>
    <w:p w14:paraId="3F5F5654" w14:textId="77777777" w:rsidR="00724233" w:rsidRDefault="009F14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Keywords:</w:t>
      </w:r>
    </w:p>
    <w:p w14:paraId="477FA284" w14:textId="77777777" w:rsidR="00724233" w:rsidRDefault="009F1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Diabetes mellitus, Coping strategies, Nurse-led care, Psychosocial support, Nigeria.</w:t>
      </w:r>
    </w:p>
    <w:p w14:paraId="2DDFC428" w14:textId="77777777" w:rsidR="00724233" w:rsidRDefault="00724233">
      <w:pPr>
        <w:spacing w:after="0" w:line="480" w:lineRule="auto"/>
        <w:jc w:val="both"/>
        <w:rPr>
          <w:rFonts w:ascii="Times New Roman" w:hAnsi="Times New Roman" w:cs="Times New Roman"/>
          <w:b/>
          <w:sz w:val="24"/>
          <w:szCs w:val="24"/>
        </w:rPr>
      </w:pPr>
    </w:p>
    <w:p w14:paraId="7C74FA4F"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EB3A95A" w14:textId="48D52F0F"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Diabetes mellitus (DM) is a chronic and multifactorial metabolic disease that significantly affects millions of people worldwide. It is characterized by persistent hyperglycemia due to either insulin deficiency, resistance to insulin action, or a combination of both (World Health Organization [WHO], </w:t>
      </w:r>
      <w:r w:rsidR="006A6BB9">
        <w:rPr>
          <w:rFonts w:ascii="Times New Roman" w:hAnsi="Times New Roman" w:cs="Times New Roman"/>
          <w:sz w:val="24"/>
          <w:szCs w:val="24"/>
        </w:rPr>
        <w:t>2020)</w:t>
      </w:r>
      <w:r>
        <w:rPr>
          <w:rFonts w:ascii="Times New Roman" w:hAnsi="Times New Roman" w:cs="Times New Roman"/>
          <w:sz w:val="24"/>
          <w:szCs w:val="24"/>
        </w:rPr>
        <w:t xml:space="preserve">. DM, particularly Type 2 diabetes mellitus (T2DM), is among the most common non-communicable diseases globally, with a growing prevalence that places a heavy burden on both patients and healthcare systems. According to Cho et al. (2018), the number of individuals living with diabetes rose from 108 million in 1980 to over 422 million </w:t>
      </w:r>
      <w:r>
        <w:rPr>
          <w:rFonts w:ascii="Times New Roman" w:hAnsi="Times New Roman" w:cs="Times New Roman"/>
          <w:sz w:val="24"/>
          <w:szCs w:val="24"/>
        </w:rPr>
        <w:lastRenderedPageBreak/>
        <w:t>in 2014, with low- and middle-income countries like Nigeria witnessing a disproportionate share of this increase. This rise in prevalence is associated with urbanization, changing dietary habits, sedentary lifestyles, and limited access to preventive healthcare services.</w:t>
      </w:r>
    </w:p>
    <w:p w14:paraId="3D74B6E4"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Effective management of diabetes demands more than pharmacological treatment it requires a holistic approach that incorporates lifestyle changes, including healthy dietary practices, physical activity, blood glucose monitoring, stress management, and strict adherence to medications (Hilliard et al., 2018). The constant vigilance and self-regulation required can lead to what is known as diabetes-related emotional distress, characterized by feelings of burnout, frustration, and helplessness associated with disease management (Bronner et al., 2020). In developing countries like Nigeria, where health literacy is low and healthcare systems are under-resourced, these challenges are exacerbated. Patients are often left to navigate their conditions with minimal structured psychosocial support, which further amplifies the emotional and physical burden of the disease (Pastakia et al., 2017).</w:t>
      </w:r>
    </w:p>
    <w:p w14:paraId="41991076"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Coping strategies are the cognitive and behavioral efforts individuals use to manage internal or external stressors perceived as taxing or exceeding their resources (Lazarus &amp; Folkman, 1984). In the context of chronic illnesses like diabetes, coping mechanisms play a vital role in determining how individuals respond to the illness, adhere to treatment regimens, and sustain quality of life. Broadly, coping strategies can be categorized into adaptive (e.g., problem-solving, acceptance, seeking support) and maladaptive (e.g., denial, avoidance, self-blame) methods (McCoy &amp; Theeke, 2019). Adaptive coping has been linked to better health outcomes, including improved glycemic control, medication adherence, and emotional resilience (Snoek, Bremmer, &amp; Hermanns, 2015). Conversely, maladaptive coping correlates with psychological distress, poor metabolic control, and increased diabetes complications.</w:t>
      </w:r>
    </w:p>
    <w:p w14:paraId="28194B39"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Nigeria, cultural values, religious beliefs, family dynamics, and socioeconomic constraints heavily influence how patients cope with chronic diseases. For example, many patients rely on </w:t>
      </w:r>
      <w:r>
        <w:rPr>
          <w:rFonts w:ascii="Times New Roman" w:hAnsi="Times New Roman" w:cs="Times New Roman"/>
          <w:sz w:val="24"/>
          <w:szCs w:val="24"/>
        </w:rPr>
        <w:lastRenderedPageBreak/>
        <w:t>spiritual and religious coping, such as prayer or belief in divine healing, while others may turn to their family or community for emotional and material support (Mphasha et al., 2022). These culturally rooted coping mechanisms can be beneficial but may also delay medical treatment or reduce adherence to evidence-based self-care practices if not integrated properly into healthcare delivery. The absence of structured psychological counseling in many health facilities means those patients often adopt coping strategies informally, which may be inadequate or maladaptive in the long term. It is therefore crucial to understand the specific coping strategies used by patients in different contexts, including the underlying motivations and barriers that influence their choices.</w:t>
      </w:r>
    </w:p>
    <w:p w14:paraId="6D6780B4"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Given the increasing burden of diabetes and the role of coping in self-management, it becomes essential to investigate and understand how patients in Nigeria particularly in resource-constrained environments such as Kaduna State cope with the daily demands of the disease. This study aims to assess the coping strategies used by diabetes patients attending selected secondary healthcare facilities. By identifying predominant coping mechanisms, the research will inform the development of nurse-led educational interventions that strengthen adaptive coping, reduce psychological distress, and promote better disease outcomes. These insights can serve as a foundation for policy and practice reforms geared toward culturally competent and psychosocially supportive diabetes care in Nigeria.</w:t>
      </w:r>
    </w:p>
    <w:p w14:paraId="36C15FAB"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Methods</w:t>
      </w:r>
    </w:p>
    <w:p w14:paraId="337FFAB7"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Design: </w:t>
      </w:r>
      <w:r>
        <w:rPr>
          <w:rFonts w:ascii="Times New Roman" w:hAnsi="Times New Roman" w:cs="Times New Roman"/>
          <w:sz w:val="24"/>
          <w:szCs w:val="24"/>
        </w:rPr>
        <w:t>This study employed a mixed-method descriptive cross-sectional design to assess coping strategies utilized by individuals living with diabetes mellitus (DM) in selected secondary healthcare facilities in Kaduna State, Nigeria. This design was chosen because it allows for a comprehensive “snapshot” of prevailing coping behaviors at a specific point in time, enabling the description of patterns and variations without manipulating the study environment.</w:t>
      </w:r>
    </w:p>
    <w:p w14:paraId="4FC1FEEB"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Setting:</w:t>
      </w:r>
      <w:r>
        <w:rPr>
          <w:rFonts w:ascii="Times New Roman" w:hAnsi="Times New Roman" w:cs="Times New Roman"/>
          <w:sz w:val="24"/>
          <w:szCs w:val="24"/>
        </w:rPr>
        <w:t xml:space="preserve"> The study was conducted in secondary healthcare facilities located in Kaduna South and Chikun Local Government Areas (LGAs) of Kaduna State, Nigeria. These areas were selected to ensure representation from both urban and peri-urban contexts, reflecting diverse sociocultural and economic conditions that may influence coping strategies.</w:t>
      </w:r>
    </w:p>
    <w:p w14:paraId="605D5F4D"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Participants:</w:t>
      </w:r>
      <w:r>
        <w:rPr>
          <w:rFonts w:ascii="Times New Roman" w:hAnsi="Times New Roman" w:cs="Times New Roman"/>
          <w:sz w:val="24"/>
          <w:szCs w:val="24"/>
        </w:rPr>
        <w:t xml:space="preserve"> The study population comprised adult patients aged 18 years and above with a confirmed diagnosis of type 2 diabetes mellitus (T2DM) for at least six months who were receiving care at the selected facilities. Eligible participants were those who were mentally and physically capable of responding to questions and willing to provide informed consent, while patients with severe cognitive impairment or critical illness that impaired communication were excluded to ensure data quality and ethical compliance.</w:t>
      </w:r>
    </w:p>
    <w:p w14:paraId="791DF652"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p w14:paraId="0D7F9078"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Quantitative variables: Dependent variable:</w:t>
      </w:r>
      <w:r>
        <w:rPr>
          <w:rFonts w:ascii="Times New Roman" w:hAnsi="Times New Roman" w:cs="Times New Roman"/>
          <w:sz w:val="24"/>
          <w:szCs w:val="24"/>
        </w:rPr>
        <w:t xml:space="preserve"> Coping strategies (categorized into problem-focused, emotion-focused, and maladaptive/avoidance strategies based on the Brief COPE Inventory scoring).</w:t>
      </w:r>
      <w:r>
        <w:rPr>
          <w:rFonts w:ascii="Times New Roman" w:hAnsi="Times New Roman" w:cs="Times New Roman"/>
          <w:b/>
          <w:sz w:val="24"/>
          <w:szCs w:val="24"/>
        </w:rPr>
        <w:t xml:space="preserve"> Independent variables:</w:t>
      </w:r>
      <w:r>
        <w:rPr>
          <w:rFonts w:ascii="Times New Roman" w:hAnsi="Times New Roman" w:cs="Times New Roman"/>
          <w:sz w:val="24"/>
          <w:szCs w:val="24"/>
        </w:rPr>
        <w:t xml:space="preserve"> Sociodemographic characteristics (age, gender, marital status, educational level, employment status, duration since diagnosis).</w:t>
      </w:r>
    </w:p>
    <w:p w14:paraId="71D5F5A0"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Qualitative variables: </w:t>
      </w:r>
      <w:r>
        <w:rPr>
          <w:rFonts w:ascii="Times New Roman" w:hAnsi="Times New Roman" w:cs="Times New Roman"/>
          <w:sz w:val="24"/>
          <w:szCs w:val="24"/>
        </w:rPr>
        <w:t>Narrative accounts of coping behaviors, motivations, and challenges in diabetes self-management, obtained from open-ended questionnaire items.</w:t>
      </w:r>
    </w:p>
    <w:p w14:paraId="383CF782"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Size: </w:t>
      </w:r>
      <w:r>
        <w:rPr>
          <w:rFonts w:ascii="Times New Roman" w:hAnsi="Times New Roman" w:cs="Times New Roman"/>
          <w:sz w:val="24"/>
          <w:szCs w:val="24"/>
        </w:rPr>
        <w:t>Sample size was determined using Cochran’s formula for prevalence studies, adjusted for anticipated non-response. The final sample included 332 participants.</w:t>
      </w:r>
    </w:p>
    <w:p w14:paraId="15EFFDC9"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Data Measurement/Sources:</w:t>
      </w:r>
      <w:r>
        <w:rPr>
          <w:rFonts w:ascii="Times New Roman" w:hAnsi="Times New Roman" w:cs="Times New Roman"/>
          <w:sz w:val="24"/>
          <w:szCs w:val="24"/>
        </w:rPr>
        <w:t xml:space="preserve"> Data were collected using a structured, interviewer-administered questionnaire that included both closed and open-ended items. The Brief COPE Inventory (Carver, 1997) was used to measure coping strategies. This tool consists of 28 items covering 14 coping subscales (e.g., active coping, planning, emotional support, denial, substance use, behavioral disengagement).</w:t>
      </w:r>
    </w:p>
    <w:p w14:paraId="32E7CD67"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Responses were recorded on a 4-point Likert scale ranging from “I haven’t been doing this at all” (1) to “I’ve been doing this a lot” (4).</w:t>
      </w:r>
    </w:p>
    <w:p w14:paraId="01BFC9E7"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tool was pre-tested in a similar population outside the study area for clarity, reliability, and cultural relevance, yielding a Cronbach’s alpha score of 0.81.</w:t>
      </w:r>
    </w:p>
    <w:p w14:paraId="35B16275"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Statistics:</w:t>
      </w:r>
      <w:r>
        <w:rPr>
          <w:rFonts w:ascii="Times New Roman" w:hAnsi="Times New Roman" w:cs="Times New Roman"/>
          <w:sz w:val="24"/>
          <w:szCs w:val="24"/>
        </w:rPr>
        <w:t xml:space="preserve"> Quantitative data were analyzed using SPSS version 25.0. Descriptive statistics (frequencies, percentages, means) were used to summarize sociodemographic characteristics and coping strategies. Coping domains were categorized based on Brief COPE scoring thresholds.</w:t>
      </w:r>
    </w:p>
    <w:p w14:paraId="711AFD8B"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qualitative data, thematic content analysis was conducted manually. Responses were coded and grouped inductively into themes that aligned with or contrasted the quantitative findings.</w:t>
      </w:r>
    </w:p>
    <w:p w14:paraId="337DA293"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Bias:</w:t>
      </w:r>
      <w:r>
        <w:rPr>
          <w:rFonts w:ascii="Times New Roman" w:hAnsi="Times New Roman" w:cs="Times New Roman"/>
          <w:sz w:val="24"/>
          <w:szCs w:val="24"/>
        </w:rPr>
        <w:t xml:space="preserve"> To minimize selection bias, a multi-stage sampling approach was applied, involving stratified sampling to select facilities from urban and peri-urban strata, purposive selection based on accessibility, patient volume, and willingness to participate, and convenience sampling within facilities during clinic days until the target sample was reached. Information bias was reduced by using trained research assistants to administer the questionnaire, ensuring consistent interpretation of questions, while pre-testing refined the tool for cultural appropriateness. Recall bias was minimized by framing questions around recent coping experiences rather than long-term recollections.</w:t>
      </w:r>
    </w:p>
    <w:p w14:paraId="75D2BC96"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3099C8DE" w14:textId="77777777" w:rsidR="00724233" w:rsidRDefault="009F143C">
      <w:pPr>
        <w:spacing w:after="0" w:line="480" w:lineRule="auto"/>
        <w:jc w:val="both"/>
        <w:rPr>
          <w:rStyle w:val="Strong"/>
          <w:rFonts w:ascii="Times New Roman" w:hAnsi="Times New Roman" w:cs="Times New Roman"/>
          <w:bCs w:val="0"/>
          <w:sz w:val="24"/>
          <w:szCs w:val="24"/>
        </w:rPr>
      </w:pPr>
      <w:r>
        <w:rPr>
          <w:rStyle w:val="Strong"/>
          <w:rFonts w:ascii="Times New Roman" w:hAnsi="Times New Roman" w:cs="Times New Roman"/>
          <w:sz w:val="24"/>
          <w:szCs w:val="24"/>
        </w:rPr>
        <w:t>Demographic Characteristics of Participants</w:t>
      </w:r>
    </w:p>
    <w:p w14:paraId="16BBC897" w14:textId="77777777" w:rsidR="00724233" w:rsidRDefault="009F143C">
      <w:pPr>
        <w:spacing w:after="0" w:line="48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This section present information on the demographic characteristics of participants in the area</w:t>
      </w:r>
    </w:p>
    <w:p w14:paraId="3D0AF776" w14:textId="77777777" w:rsidR="00724233" w:rsidRDefault="009F143C">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Table 1: Demographic Characteristics of Participants</w:t>
      </w:r>
    </w:p>
    <w:tbl>
      <w:tblPr>
        <w:tblStyle w:val="LightShading"/>
        <w:tblW w:w="0" w:type="auto"/>
        <w:tblLook w:val="04A0" w:firstRow="1" w:lastRow="0" w:firstColumn="1" w:lastColumn="0" w:noHBand="0" w:noVBand="1"/>
      </w:tblPr>
      <w:tblGrid>
        <w:gridCol w:w="3510"/>
        <w:gridCol w:w="2268"/>
        <w:gridCol w:w="2835"/>
      </w:tblGrid>
      <w:tr w:rsidR="00724233" w14:paraId="601BD41B" w14:textId="77777777" w:rsidTr="00724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68C442F4"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Variable</w:t>
            </w:r>
          </w:p>
        </w:tc>
        <w:tc>
          <w:tcPr>
            <w:tcW w:w="2268" w:type="dxa"/>
            <w:hideMark/>
          </w:tcPr>
          <w:p w14:paraId="4C4989B8" w14:textId="77777777" w:rsidR="00724233" w:rsidRDefault="009F14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Strong"/>
                <w:rFonts w:ascii="Times New Roman" w:hAnsi="Times New Roman" w:cs="Times New Roman"/>
                <w:sz w:val="24"/>
                <w:szCs w:val="24"/>
              </w:rPr>
              <w:t>Frequency</w:t>
            </w:r>
          </w:p>
        </w:tc>
        <w:tc>
          <w:tcPr>
            <w:tcW w:w="2835" w:type="dxa"/>
            <w:hideMark/>
          </w:tcPr>
          <w:p w14:paraId="3C353415" w14:textId="77777777" w:rsidR="00724233" w:rsidRDefault="009F14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Strong"/>
                <w:rFonts w:ascii="Times New Roman" w:hAnsi="Times New Roman" w:cs="Times New Roman"/>
                <w:sz w:val="24"/>
                <w:szCs w:val="24"/>
              </w:rPr>
              <w:t>Percentage (%)</w:t>
            </w:r>
          </w:p>
        </w:tc>
      </w:tr>
      <w:tr w:rsidR="00724233" w14:paraId="6BD1D505"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6A4FEC7"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Gender</w:t>
            </w:r>
          </w:p>
        </w:tc>
        <w:tc>
          <w:tcPr>
            <w:tcW w:w="2268" w:type="dxa"/>
            <w:shd w:val="clear" w:color="auto" w:fill="auto"/>
            <w:hideMark/>
          </w:tcPr>
          <w:p w14:paraId="22CEF282"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783A3360"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24233" w14:paraId="76B7F894"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6BE6176D"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Male</w:t>
            </w:r>
          </w:p>
        </w:tc>
        <w:tc>
          <w:tcPr>
            <w:tcW w:w="2268" w:type="dxa"/>
            <w:hideMark/>
          </w:tcPr>
          <w:p w14:paraId="751D9F1D"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146</w:t>
            </w:r>
          </w:p>
        </w:tc>
        <w:tc>
          <w:tcPr>
            <w:tcW w:w="2835" w:type="dxa"/>
            <w:hideMark/>
          </w:tcPr>
          <w:p w14:paraId="0C6E18BE"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44.0</w:t>
            </w:r>
          </w:p>
        </w:tc>
      </w:tr>
      <w:tr w:rsidR="00724233" w14:paraId="2653A5DF"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AC83184"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Female</w:t>
            </w:r>
          </w:p>
        </w:tc>
        <w:tc>
          <w:tcPr>
            <w:tcW w:w="2268" w:type="dxa"/>
            <w:shd w:val="clear" w:color="auto" w:fill="auto"/>
            <w:hideMark/>
          </w:tcPr>
          <w:p w14:paraId="3D205039"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186</w:t>
            </w:r>
          </w:p>
        </w:tc>
        <w:tc>
          <w:tcPr>
            <w:tcW w:w="2835" w:type="dxa"/>
            <w:shd w:val="clear" w:color="auto" w:fill="auto"/>
            <w:hideMark/>
          </w:tcPr>
          <w:p w14:paraId="1BB2682F"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56.0</w:t>
            </w:r>
          </w:p>
        </w:tc>
      </w:tr>
      <w:tr w:rsidR="00724233" w14:paraId="286A6AEC" w14:textId="77777777" w:rsidTr="00724233">
        <w:tc>
          <w:tcPr>
            <w:cnfStyle w:val="001000000000" w:firstRow="0" w:lastRow="0" w:firstColumn="1" w:lastColumn="0" w:oddVBand="0" w:evenVBand="0" w:oddHBand="0" w:evenHBand="0" w:firstRowFirstColumn="0" w:firstRowLastColumn="0" w:lastRowFirstColumn="0" w:lastRowLastColumn="0"/>
            <w:tcW w:w="3510" w:type="dxa"/>
          </w:tcPr>
          <w:p w14:paraId="720F2AD5"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tcPr>
          <w:p w14:paraId="4AEB30E1"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tcPr>
          <w:p w14:paraId="3BBEF930"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6C33D57F"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594BA53"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Age Group (years)</w:t>
            </w:r>
          </w:p>
        </w:tc>
        <w:tc>
          <w:tcPr>
            <w:tcW w:w="2268" w:type="dxa"/>
            <w:shd w:val="clear" w:color="auto" w:fill="auto"/>
            <w:hideMark/>
          </w:tcPr>
          <w:p w14:paraId="05BCCCC9"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3708EB33"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24233" w14:paraId="35CAEE96"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1B925E67"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lastRenderedPageBreak/>
              <w:t>18–29</w:t>
            </w:r>
          </w:p>
        </w:tc>
        <w:tc>
          <w:tcPr>
            <w:tcW w:w="2268" w:type="dxa"/>
            <w:hideMark/>
          </w:tcPr>
          <w:p w14:paraId="593C533C"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tcW w:w="2835" w:type="dxa"/>
            <w:hideMark/>
          </w:tcPr>
          <w:p w14:paraId="7A51F903"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w:t>
            </w:r>
          </w:p>
        </w:tc>
      </w:tr>
      <w:tr w:rsidR="00724233" w14:paraId="15651C21"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452FCC21"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30–44</w:t>
            </w:r>
          </w:p>
        </w:tc>
        <w:tc>
          <w:tcPr>
            <w:tcW w:w="2268" w:type="dxa"/>
            <w:shd w:val="clear" w:color="auto" w:fill="auto"/>
            <w:hideMark/>
          </w:tcPr>
          <w:p w14:paraId="55B6ED72"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w:t>
            </w:r>
          </w:p>
        </w:tc>
        <w:tc>
          <w:tcPr>
            <w:tcW w:w="2835" w:type="dxa"/>
            <w:shd w:val="clear" w:color="auto" w:fill="auto"/>
            <w:hideMark/>
          </w:tcPr>
          <w:p w14:paraId="65C017FC"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w:t>
            </w:r>
          </w:p>
        </w:tc>
      </w:tr>
      <w:tr w:rsidR="00724233" w14:paraId="17443789"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62F4E1F2"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45–59</w:t>
            </w:r>
          </w:p>
        </w:tc>
        <w:tc>
          <w:tcPr>
            <w:tcW w:w="2268" w:type="dxa"/>
            <w:hideMark/>
          </w:tcPr>
          <w:p w14:paraId="678CF773"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w:t>
            </w:r>
          </w:p>
        </w:tc>
        <w:tc>
          <w:tcPr>
            <w:tcW w:w="2835" w:type="dxa"/>
            <w:hideMark/>
          </w:tcPr>
          <w:p w14:paraId="25FDDE41"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36.1</w:t>
            </w:r>
          </w:p>
        </w:tc>
      </w:tr>
      <w:tr w:rsidR="00724233" w14:paraId="50A1B040"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F134708"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60 and above</w:t>
            </w:r>
          </w:p>
        </w:tc>
        <w:tc>
          <w:tcPr>
            <w:tcW w:w="2268" w:type="dxa"/>
            <w:shd w:val="clear" w:color="auto" w:fill="auto"/>
            <w:hideMark/>
          </w:tcPr>
          <w:p w14:paraId="1198C398"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w:t>
            </w:r>
          </w:p>
        </w:tc>
        <w:tc>
          <w:tcPr>
            <w:tcW w:w="2835" w:type="dxa"/>
            <w:shd w:val="clear" w:color="auto" w:fill="auto"/>
            <w:hideMark/>
          </w:tcPr>
          <w:p w14:paraId="2C944ED9"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33.1</w:t>
            </w:r>
          </w:p>
        </w:tc>
      </w:tr>
      <w:tr w:rsidR="00724233" w14:paraId="0878605A" w14:textId="77777777" w:rsidTr="00724233">
        <w:tc>
          <w:tcPr>
            <w:cnfStyle w:val="001000000000" w:firstRow="0" w:lastRow="0" w:firstColumn="1" w:lastColumn="0" w:oddVBand="0" w:evenVBand="0" w:oddHBand="0" w:evenHBand="0" w:firstRowFirstColumn="0" w:firstRowLastColumn="0" w:lastRowFirstColumn="0" w:lastRowLastColumn="0"/>
            <w:tcW w:w="3510" w:type="dxa"/>
          </w:tcPr>
          <w:p w14:paraId="65F363C9"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tcPr>
          <w:p w14:paraId="4547FC5F"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tcPr>
          <w:p w14:paraId="75A9A6FE"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1A918E9A"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D151CC3"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Marital Status</w:t>
            </w:r>
          </w:p>
        </w:tc>
        <w:tc>
          <w:tcPr>
            <w:tcW w:w="2268" w:type="dxa"/>
            <w:shd w:val="clear" w:color="auto" w:fill="auto"/>
            <w:hideMark/>
          </w:tcPr>
          <w:p w14:paraId="7DFD23ED"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7358390D" w14:textId="77777777" w:rsidR="00724233" w:rsidRDefault="0072423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24233" w14:paraId="5ADEB7AB"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5D186C8E"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Single</w:t>
            </w:r>
          </w:p>
        </w:tc>
        <w:tc>
          <w:tcPr>
            <w:tcW w:w="2268" w:type="dxa"/>
            <w:hideMark/>
          </w:tcPr>
          <w:p w14:paraId="0D096FC9"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c>
          <w:tcPr>
            <w:tcW w:w="2835" w:type="dxa"/>
            <w:hideMark/>
          </w:tcPr>
          <w:p w14:paraId="3E123096"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w:t>
            </w:r>
          </w:p>
        </w:tc>
      </w:tr>
      <w:tr w:rsidR="00724233" w14:paraId="3E229DCF"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D38F869"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Married</w:t>
            </w:r>
          </w:p>
        </w:tc>
        <w:tc>
          <w:tcPr>
            <w:tcW w:w="2268" w:type="dxa"/>
            <w:shd w:val="clear" w:color="auto" w:fill="auto"/>
            <w:hideMark/>
          </w:tcPr>
          <w:p w14:paraId="7D9E8D16"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w:t>
            </w:r>
          </w:p>
        </w:tc>
        <w:tc>
          <w:tcPr>
            <w:tcW w:w="2835" w:type="dxa"/>
            <w:shd w:val="clear" w:color="auto" w:fill="auto"/>
            <w:hideMark/>
          </w:tcPr>
          <w:p w14:paraId="469786F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72.3</w:t>
            </w:r>
          </w:p>
        </w:tc>
      </w:tr>
      <w:tr w:rsidR="00724233" w14:paraId="07A6196C"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510CD861"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Widowed/Divorced/Separated</w:t>
            </w:r>
          </w:p>
        </w:tc>
        <w:tc>
          <w:tcPr>
            <w:tcW w:w="2268" w:type="dxa"/>
            <w:hideMark/>
          </w:tcPr>
          <w:p w14:paraId="74D5D455"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w:t>
            </w:r>
          </w:p>
        </w:tc>
        <w:tc>
          <w:tcPr>
            <w:tcW w:w="2835" w:type="dxa"/>
            <w:hideMark/>
          </w:tcPr>
          <w:p w14:paraId="4A3FAB94"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15.7</w:t>
            </w:r>
          </w:p>
        </w:tc>
      </w:tr>
      <w:tr w:rsidR="00724233" w14:paraId="52CE1F4C"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0A29F0BF"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shd w:val="clear" w:color="auto" w:fill="auto"/>
          </w:tcPr>
          <w:p w14:paraId="06057ED2"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shd w:val="clear" w:color="auto" w:fill="auto"/>
          </w:tcPr>
          <w:p w14:paraId="1BDEF0F1"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5F20D77C"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489386F8"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Educational Level</w:t>
            </w:r>
          </w:p>
        </w:tc>
        <w:tc>
          <w:tcPr>
            <w:tcW w:w="2268" w:type="dxa"/>
            <w:hideMark/>
          </w:tcPr>
          <w:p w14:paraId="5EADA232"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46344AA8"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24233" w14:paraId="7980F825"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9F7A2B1"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No formal education</w:t>
            </w:r>
          </w:p>
        </w:tc>
        <w:tc>
          <w:tcPr>
            <w:tcW w:w="2268" w:type="dxa"/>
            <w:shd w:val="clear" w:color="auto" w:fill="auto"/>
            <w:hideMark/>
          </w:tcPr>
          <w:p w14:paraId="7C291054"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c>
          <w:tcPr>
            <w:tcW w:w="2835" w:type="dxa"/>
            <w:shd w:val="clear" w:color="auto" w:fill="auto"/>
            <w:hideMark/>
          </w:tcPr>
          <w:p w14:paraId="4E6450EA"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w:t>
            </w:r>
          </w:p>
        </w:tc>
      </w:tr>
      <w:tr w:rsidR="00724233" w14:paraId="451CF35B"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63BCAD28"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Primary</w:t>
            </w:r>
          </w:p>
        </w:tc>
        <w:tc>
          <w:tcPr>
            <w:tcW w:w="2268" w:type="dxa"/>
            <w:hideMark/>
          </w:tcPr>
          <w:p w14:paraId="584BD256"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w:t>
            </w:r>
          </w:p>
        </w:tc>
        <w:tc>
          <w:tcPr>
            <w:tcW w:w="2835" w:type="dxa"/>
            <w:hideMark/>
          </w:tcPr>
          <w:p w14:paraId="6FD12247"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24.1</w:t>
            </w:r>
          </w:p>
        </w:tc>
      </w:tr>
      <w:tr w:rsidR="00724233" w14:paraId="34A635B1"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2B0C3C0"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Secondary</w:t>
            </w:r>
          </w:p>
        </w:tc>
        <w:tc>
          <w:tcPr>
            <w:tcW w:w="2268" w:type="dxa"/>
            <w:shd w:val="clear" w:color="auto" w:fill="auto"/>
            <w:hideMark/>
          </w:tcPr>
          <w:p w14:paraId="5252607C"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w:t>
            </w:r>
          </w:p>
        </w:tc>
        <w:tc>
          <w:tcPr>
            <w:tcW w:w="2835" w:type="dxa"/>
            <w:shd w:val="clear" w:color="auto" w:fill="auto"/>
            <w:hideMark/>
          </w:tcPr>
          <w:p w14:paraId="3D4C56A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36.7</w:t>
            </w:r>
          </w:p>
        </w:tc>
      </w:tr>
      <w:tr w:rsidR="00724233" w14:paraId="44A725B5"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67669107"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Tertiary</w:t>
            </w:r>
          </w:p>
        </w:tc>
        <w:tc>
          <w:tcPr>
            <w:tcW w:w="2268" w:type="dxa"/>
            <w:hideMark/>
          </w:tcPr>
          <w:p w14:paraId="64D6AF8E"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p>
        </w:tc>
        <w:tc>
          <w:tcPr>
            <w:tcW w:w="2835" w:type="dxa"/>
            <w:hideMark/>
          </w:tcPr>
          <w:p w14:paraId="1B19B7A6"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28.9</w:t>
            </w:r>
          </w:p>
        </w:tc>
      </w:tr>
      <w:tr w:rsidR="00724233" w14:paraId="4CEB46E4"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B5E78C1"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shd w:val="clear" w:color="auto" w:fill="auto"/>
          </w:tcPr>
          <w:p w14:paraId="524B6272"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shd w:val="clear" w:color="auto" w:fill="auto"/>
          </w:tcPr>
          <w:p w14:paraId="310CA38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0A295E37"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790B7D87"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Employment Status</w:t>
            </w:r>
          </w:p>
        </w:tc>
        <w:tc>
          <w:tcPr>
            <w:tcW w:w="2268" w:type="dxa"/>
            <w:hideMark/>
          </w:tcPr>
          <w:p w14:paraId="48DBA90A"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2DF0CE5C"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24233" w14:paraId="550A8F30"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70101FB2"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Employed</w:t>
            </w:r>
          </w:p>
        </w:tc>
        <w:tc>
          <w:tcPr>
            <w:tcW w:w="2268" w:type="dxa"/>
            <w:shd w:val="clear" w:color="auto" w:fill="auto"/>
            <w:hideMark/>
          </w:tcPr>
          <w:p w14:paraId="359CE6F3"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w:t>
            </w:r>
          </w:p>
        </w:tc>
        <w:tc>
          <w:tcPr>
            <w:tcW w:w="2835" w:type="dxa"/>
            <w:shd w:val="clear" w:color="auto" w:fill="auto"/>
            <w:hideMark/>
          </w:tcPr>
          <w:p w14:paraId="5F54D8B5"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38.6</w:t>
            </w:r>
          </w:p>
        </w:tc>
      </w:tr>
      <w:tr w:rsidR="00724233" w14:paraId="3ABB828C"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112412CF"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Unemployed</w:t>
            </w:r>
          </w:p>
        </w:tc>
        <w:tc>
          <w:tcPr>
            <w:tcW w:w="2268" w:type="dxa"/>
            <w:hideMark/>
          </w:tcPr>
          <w:p w14:paraId="2FF25808"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tcW w:w="2835" w:type="dxa"/>
            <w:hideMark/>
          </w:tcPr>
          <w:p w14:paraId="7F27F3A8"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21.1</w:t>
            </w:r>
          </w:p>
        </w:tc>
      </w:tr>
      <w:tr w:rsidR="00724233" w14:paraId="3D3BA792"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468BFAEB"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Self-employed</w:t>
            </w:r>
          </w:p>
        </w:tc>
        <w:tc>
          <w:tcPr>
            <w:tcW w:w="2268" w:type="dxa"/>
            <w:shd w:val="clear" w:color="auto" w:fill="auto"/>
            <w:hideMark/>
          </w:tcPr>
          <w:p w14:paraId="0325DCD8"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w:t>
            </w:r>
          </w:p>
        </w:tc>
        <w:tc>
          <w:tcPr>
            <w:tcW w:w="2835" w:type="dxa"/>
            <w:shd w:val="clear" w:color="auto" w:fill="auto"/>
            <w:hideMark/>
          </w:tcPr>
          <w:p w14:paraId="5E960B48"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27.7</w:t>
            </w:r>
          </w:p>
        </w:tc>
      </w:tr>
      <w:tr w:rsidR="00724233" w14:paraId="6CD079A3"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3498516C"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Retired</w:t>
            </w:r>
          </w:p>
        </w:tc>
        <w:tc>
          <w:tcPr>
            <w:tcW w:w="2268" w:type="dxa"/>
            <w:hideMark/>
          </w:tcPr>
          <w:p w14:paraId="52787DB7"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2835" w:type="dxa"/>
            <w:hideMark/>
          </w:tcPr>
          <w:p w14:paraId="737BBB61"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12.7</w:t>
            </w:r>
          </w:p>
        </w:tc>
      </w:tr>
      <w:tr w:rsidR="00724233" w14:paraId="113C49F4"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14D756BB"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shd w:val="clear" w:color="auto" w:fill="auto"/>
          </w:tcPr>
          <w:p w14:paraId="242708CB"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shd w:val="clear" w:color="auto" w:fill="auto"/>
          </w:tcPr>
          <w:p w14:paraId="08892AD1"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724233" w14:paraId="1D01A556"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50EDC7B1" w14:textId="77777777" w:rsidR="00724233" w:rsidRDefault="009F143C">
            <w:pPr>
              <w:jc w:val="both"/>
              <w:rPr>
                <w:rFonts w:ascii="Times New Roman" w:hAnsi="Times New Roman" w:cs="Times New Roman"/>
                <w:sz w:val="24"/>
                <w:szCs w:val="24"/>
              </w:rPr>
            </w:pPr>
            <w:r>
              <w:rPr>
                <w:rStyle w:val="Strong"/>
                <w:rFonts w:ascii="Times New Roman" w:hAnsi="Times New Roman" w:cs="Times New Roman"/>
                <w:sz w:val="24"/>
                <w:szCs w:val="24"/>
              </w:rPr>
              <w:t>Duration of Diagnosis</w:t>
            </w:r>
          </w:p>
        </w:tc>
        <w:tc>
          <w:tcPr>
            <w:tcW w:w="2268" w:type="dxa"/>
            <w:hideMark/>
          </w:tcPr>
          <w:p w14:paraId="4D12B807"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622ABF81" w14:textId="77777777" w:rsidR="00724233" w:rsidRDefault="007242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24233" w14:paraId="29581954"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330962D"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Less than 1 year</w:t>
            </w:r>
          </w:p>
        </w:tc>
        <w:tc>
          <w:tcPr>
            <w:tcW w:w="2268" w:type="dxa"/>
            <w:shd w:val="clear" w:color="auto" w:fill="auto"/>
            <w:hideMark/>
          </w:tcPr>
          <w:p w14:paraId="59FE368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tcW w:w="2835" w:type="dxa"/>
            <w:shd w:val="clear" w:color="auto" w:fill="auto"/>
            <w:hideMark/>
          </w:tcPr>
          <w:p w14:paraId="087FC93F"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w:t>
            </w:r>
          </w:p>
        </w:tc>
      </w:tr>
      <w:tr w:rsidR="00724233" w14:paraId="619E75A8"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33D08222"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1–5 years</w:t>
            </w:r>
          </w:p>
        </w:tc>
        <w:tc>
          <w:tcPr>
            <w:tcW w:w="2268" w:type="dxa"/>
            <w:hideMark/>
          </w:tcPr>
          <w:p w14:paraId="611D2B4A"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144</w:t>
            </w:r>
          </w:p>
        </w:tc>
        <w:tc>
          <w:tcPr>
            <w:tcW w:w="2835" w:type="dxa"/>
            <w:hideMark/>
          </w:tcPr>
          <w:p w14:paraId="3712A707"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43.4</w:t>
            </w:r>
          </w:p>
        </w:tc>
      </w:tr>
      <w:tr w:rsidR="00724233" w14:paraId="1810272E"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7149E20"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6–10 years</w:t>
            </w:r>
          </w:p>
        </w:tc>
        <w:tc>
          <w:tcPr>
            <w:tcW w:w="2268" w:type="dxa"/>
            <w:shd w:val="clear" w:color="auto" w:fill="auto"/>
            <w:hideMark/>
          </w:tcPr>
          <w:p w14:paraId="0D030147"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p>
        </w:tc>
        <w:tc>
          <w:tcPr>
            <w:tcW w:w="2835" w:type="dxa"/>
            <w:shd w:val="clear" w:color="auto" w:fill="auto"/>
            <w:hideMark/>
          </w:tcPr>
          <w:p w14:paraId="4754B77E"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28.9</w:t>
            </w:r>
          </w:p>
        </w:tc>
      </w:tr>
      <w:tr w:rsidR="00724233" w14:paraId="503CC1DC" w14:textId="77777777" w:rsidTr="00724233">
        <w:tc>
          <w:tcPr>
            <w:cnfStyle w:val="001000000000" w:firstRow="0" w:lastRow="0" w:firstColumn="1" w:lastColumn="0" w:oddVBand="0" w:evenVBand="0" w:oddHBand="0" w:evenHBand="0" w:firstRowFirstColumn="0" w:firstRowLastColumn="0" w:lastRowFirstColumn="0" w:lastRowLastColumn="0"/>
            <w:tcW w:w="3510" w:type="dxa"/>
            <w:hideMark/>
          </w:tcPr>
          <w:p w14:paraId="3EBBD159" w14:textId="77777777" w:rsidR="00724233" w:rsidRDefault="009F143C">
            <w:pPr>
              <w:jc w:val="both"/>
              <w:rPr>
                <w:rFonts w:ascii="Times New Roman" w:hAnsi="Times New Roman" w:cs="Times New Roman"/>
                <w:sz w:val="24"/>
                <w:szCs w:val="24"/>
              </w:rPr>
            </w:pPr>
            <w:r>
              <w:rPr>
                <w:rFonts w:ascii="Times New Roman" w:hAnsi="Times New Roman" w:cs="Times New Roman"/>
                <w:b w:val="0"/>
                <w:sz w:val="24"/>
                <w:szCs w:val="24"/>
              </w:rPr>
              <w:t>Above 10 years</w:t>
            </w:r>
          </w:p>
        </w:tc>
        <w:tc>
          <w:tcPr>
            <w:tcW w:w="2268" w:type="dxa"/>
            <w:hideMark/>
          </w:tcPr>
          <w:p w14:paraId="465B21AB"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w:t>
            </w:r>
          </w:p>
        </w:tc>
        <w:tc>
          <w:tcPr>
            <w:tcW w:w="2835" w:type="dxa"/>
            <w:hideMark/>
          </w:tcPr>
          <w:p w14:paraId="31276AE6" w14:textId="77777777" w:rsidR="00724233" w:rsidRDefault="009F14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19.3</w:t>
            </w:r>
          </w:p>
        </w:tc>
      </w:tr>
      <w:tr w:rsidR="00724233" w14:paraId="2325AAD0" w14:textId="77777777" w:rsidTr="00724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45E5F9A0" w14:textId="77777777" w:rsidR="00724233" w:rsidRDefault="009F143C">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b w:val="0"/>
                <w:sz w:val="24"/>
                <w:szCs w:val="24"/>
              </w:rPr>
              <w:t xml:space="preserve"> </w:t>
            </w:r>
          </w:p>
        </w:tc>
        <w:tc>
          <w:tcPr>
            <w:tcW w:w="2268" w:type="dxa"/>
            <w:shd w:val="clear" w:color="auto" w:fill="auto"/>
          </w:tcPr>
          <w:p w14:paraId="22A64DC3"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332</w:t>
            </w:r>
          </w:p>
        </w:tc>
        <w:tc>
          <w:tcPr>
            <w:tcW w:w="2835" w:type="dxa"/>
            <w:shd w:val="clear" w:color="auto" w:fill="auto"/>
          </w:tcPr>
          <w:p w14:paraId="6101F520" w14:textId="77777777" w:rsidR="00724233" w:rsidRDefault="009F14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bl>
    <w:p w14:paraId="7716AD66" w14:textId="77777777" w:rsidR="00724233" w:rsidRDefault="009F143C">
      <w:pPr>
        <w:pStyle w:val="NormalWeb"/>
        <w:spacing w:before="0" w:beforeAutospacing="0" w:after="0" w:afterAutospacing="0"/>
      </w:pPr>
      <w:r>
        <w:rPr>
          <w:rStyle w:val="Strong"/>
          <w:b w:val="0"/>
        </w:rPr>
        <w:t>Source</w:t>
      </w:r>
      <w:r>
        <w:t>: Field Survey, 2025</w:t>
      </w:r>
    </w:p>
    <w:p w14:paraId="0F7A76F3" w14:textId="77777777" w:rsidR="00353674" w:rsidRDefault="00353674" w:rsidP="00353674">
      <w:pPr>
        <w:pStyle w:val="NoSpacing"/>
        <w:spacing w:before="240" w:line="480" w:lineRule="auto"/>
        <w:jc w:val="both"/>
        <w:rPr>
          <w:rFonts w:ascii="Times New Roman" w:hAnsi="Times New Roman" w:cs="Times New Roman"/>
          <w:sz w:val="24"/>
          <w:szCs w:val="24"/>
        </w:rPr>
      </w:pPr>
    </w:p>
    <w:p w14:paraId="0A63EE39" w14:textId="4A3591F2" w:rsidR="00353674" w:rsidRPr="00353674" w:rsidRDefault="009F143C" w:rsidP="00353674">
      <w:pPr>
        <w:spacing w:after="0" w:line="360" w:lineRule="auto"/>
        <w:rPr>
          <w:rFonts w:ascii="Times New Roman" w:eastAsia="Times New Roman" w:hAnsi="Times New Roman" w:cs="Times New Roman"/>
          <w:bCs/>
          <w:sz w:val="24"/>
          <w:szCs w:val="24"/>
          <w:lang w:val="en-US" w:eastAsia="en-GB"/>
        </w:rPr>
      </w:pPr>
      <w:r>
        <w:rPr>
          <w:rFonts w:ascii="Times New Roman" w:hAnsi="Times New Roman" w:cs="Times New Roman"/>
          <w:sz w:val="24"/>
          <w:szCs w:val="24"/>
        </w:rPr>
        <w:t xml:space="preserve">Table 1 </w:t>
      </w:r>
      <w:r w:rsidR="00353674" w:rsidRPr="00353674">
        <w:rPr>
          <w:rFonts w:ascii="Times New Roman" w:eastAsia="Times New Roman" w:hAnsi="Times New Roman" w:cs="Times New Roman"/>
          <w:bCs/>
          <w:sz w:val="24"/>
          <w:szCs w:val="24"/>
          <w:lang w:val="en-US" w:eastAsia="en-GB"/>
        </w:rPr>
        <w:t>presents the demographic profile of 332 participants diagnosed with type 2 diabetes mellitus. Females predominated (56.0%, n=186), reflecting gender disparities in healthcare-seeking behavior, while males comprised 44.0% (n=146). The largest age groups were 45–59 years (36.1%, n=120) and ≥60 years (33.1%, n=110), consistent with the typical onset of T2DM in middle-aged and older adults.</w:t>
      </w:r>
    </w:p>
    <w:p w14:paraId="36B6C1AC" w14:textId="77777777" w:rsidR="00353674" w:rsidRPr="00353674" w:rsidRDefault="00353674" w:rsidP="00353674">
      <w:pPr>
        <w:spacing w:after="0" w:line="360" w:lineRule="auto"/>
        <w:rPr>
          <w:rFonts w:ascii="Times New Roman" w:eastAsia="Times New Roman" w:hAnsi="Times New Roman" w:cs="Times New Roman"/>
          <w:bCs/>
          <w:sz w:val="24"/>
          <w:szCs w:val="24"/>
          <w:lang w:val="en-US" w:eastAsia="en-GB"/>
        </w:rPr>
      </w:pPr>
      <w:r w:rsidRPr="00353674">
        <w:rPr>
          <w:rFonts w:ascii="Times New Roman" w:eastAsia="Times New Roman" w:hAnsi="Times New Roman" w:cs="Times New Roman"/>
          <w:bCs/>
          <w:sz w:val="24"/>
          <w:szCs w:val="24"/>
          <w:lang w:val="en-US" w:eastAsia="en-GB"/>
        </w:rPr>
        <w:t>Most participants were married (72.3%, n=240), suggesting spousal support as a potential adherence factor, followed by widowed/divorced/separated (15.7%, n=52) and single (12.0%, n=40). Educationally, secondary level was most common (36.7%, n=122), with tertiary (28.9%, n=96), primary (24.1%, n=80), and no formal education (10.2%, n=34), indicating adequate literacy for self-management education.</w:t>
      </w:r>
    </w:p>
    <w:p w14:paraId="1C30A978" w14:textId="77777777" w:rsidR="00353674" w:rsidRPr="00353674" w:rsidRDefault="00353674" w:rsidP="00353674">
      <w:pPr>
        <w:spacing w:after="0" w:line="360" w:lineRule="auto"/>
        <w:rPr>
          <w:rFonts w:ascii="Times New Roman" w:eastAsia="Times New Roman" w:hAnsi="Times New Roman" w:cs="Times New Roman"/>
          <w:bCs/>
          <w:sz w:val="24"/>
          <w:szCs w:val="24"/>
          <w:lang w:val="en-US" w:eastAsia="en-GB"/>
        </w:rPr>
      </w:pPr>
      <w:r w:rsidRPr="00353674">
        <w:rPr>
          <w:rFonts w:ascii="Times New Roman" w:eastAsia="Times New Roman" w:hAnsi="Times New Roman" w:cs="Times New Roman"/>
          <w:bCs/>
          <w:sz w:val="24"/>
          <w:szCs w:val="24"/>
          <w:lang w:val="en-US" w:eastAsia="en-GB"/>
        </w:rPr>
        <w:t xml:space="preserve">Employment distribution showed 38.6% employed (n=128), 27.7% self-employed (n=92), 21.1% unemployed (n=70), and 12.7% retired (n=42), highlighting a mixed socioeconomic </w:t>
      </w:r>
      <w:r w:rsidRPr="00353674">
        <w:rPr>
          <w:rFonts w:ascii="Times New Roman" w:eastAsia="Times New Roman" w:hAnsi="Times New Roman" w:cs="Times New Roman"/>
          <w:bCs/>
          <w:sz w:val="24"/>
          <w:szCs w:val="24"/>
          <w:lang w:val="en-US" w:eastAsia="en-GB"/>
        </w:rPr>
        <w:lastRenderedPageBreak/>
        <w:t>profile influencing treatment access. Disease duration revealed 43.4% (n=144) diagnosed 1–5 years ago, 28.9% (n=96) 6–10 years, 19.3% (n=64) &gt;10 years, and 8.4% (n=28) &lt;1 year, suggesting varied coping experience.</w:t>
      </w:r>
    </w:p>
    <w:p w14:paraId="3ECA07C9" w14:textId="77777777" w:rsidR="00724233" w:rsidRDefault="00724233">
      <w:pPr>
        <w:spacing w:after="0" w:line="360" w:lineRule="auto"/>
        <w:rPr>
          <w:rFonts w:ascii="Times New Roman" w:eastAsia="Times New Roman" w:hAnsi="Times New Roman" w:cs="Times New Roman"/>
          <w:b/>
          <w:bCs/>
          <w:sz w:val="24"/>
          <w:szCs w:val="24"/>
          <w:lang w:eastAsia="en-GB"/>
        </w:rPr>
      </w:pPr>
    </w:p>
    <w:p w14:paraId="679992C4" w14:textId="77777777" w:rsidR="00724233" w:rsidRDefault="00724233">
      <w:pPr>
        <w:spacing w:after="0" w:line="360" w:lineRule="auto"/>
        <w:rPr>
          <w:rFonts w:ascii="Times New Roman" w:eastAsia="Times New Roman" w:hAnsi="Times New Roman" w:cs="Times New Roman"/>
          <w:b/>
          <w:bCs/>
          <w:sz w:val="24"/>
          <w:szCs w:val="24"/>
          <w:lang w:eastAsia="en-GB"/>
        </w:rPr>
      </w:pPr>
    </w:p>
    <w:p w14:paraId="09A066DD" w14:textId="77777777" w:rsidR="00724233" w:rsidRDefault="00724233">
      <w:pPr>
        <w:spacing w:after="0" w:line="360" w:lineRule="auto"/>
        <w:rPr>
          <w:rFonts w:ascii="Times New Roman" w:eastAsia="Times New Roman" w:hAnsi="Times New Roman" w:cs="Times New Roman"/>
          <w:b/>
          <w:bCs/>
          <w:sz w:val="24"/>
          <w:szCs w:val="24"/>
          <w:lang w:eastAsia="en-GB"/>
        </w:rPr>
      </w:pPr>
    </w:p>
    <w:p w14:paraId="6996D0D9" w14:textId="77777777" w:rsidR="00724233" w:rsidRDefault="009F143C">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Table 2: Distribution of Coping Strategies among Diabetes Mellitus Patients (n = 332)</w:t>
      </w:r>
    </w:p>
    <w:tbl>
      <w:tblPr>
        <w:tblStyle w:val="TableGrid"/>
        <w:tblW w:w="0" w:type="auto"/>
        <w:tblLook w:val="04A0" w:firstRow="1" w:lastRow="0" w:firstColumn="1" w:lastColumn="0" w:noHBand="0" w:noVBand="1"/>
      </w:tblPr>
      <w:tblGrid>
        <w:gridCol w:w="3060"/>
        <w:gridCol w:w="1451"/>
        <w:gridCol w:w="576"/>
        <w:gridCol w:w="636"/>
        <w:gridCol w:w="3293"/>
      </w:tblGrid>
      <w:tr w:rsidR="00724233" w14:paraId="088AF38E" w14:textId="77777777">
        <w:tc>
          <w:tcPr>
            <w:tcW w:w="0" w:type="auto"/>
            <w:hideMark/>
          </w:tcPr>
          <w:p w14:paraId="59D7073F"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Coping Theme</w:t>
            </w:r>
          </w:p>
        </w:tc>
        <w:tc>
          <w:tcPr>
            <w:tcW w:w="0" w:type="auto"/>
            <w:hideMark/>
          </w:tcPr>
          <w:p w14:paraId="293DE3BD"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Brief COPE Items</w:t>
            </w:r>
          </w:p>
        </w:tc>
        <w:tc>
          <w:tcPr>
            <w:tcW w:w="0" w:type="auto"/>
            <w:hideMark/>
          </w:tcPr>
          <w:p w14:paraId="46569A0F"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w:t>
            </w:r>
          </w:p>
        </w:tc>
        <w:tc>
          <w:tcPr>
            <w:tcW w:w="0" w:type="auto"/>
            <w:hideMark/>
          </w:tcPr>
          <w:p w14:paraId="03610779"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w:t>
            </w:r>
          </w:p>
        </w:tc>
        <w:tc>
          <w:tcPr>
            <w:tcW w:w="0" w:type="auto"/>
            <w:hideMark/>
          </w:tcPr>
          <w:p w14:paraId="3C684E27" w14:textId="77777777" w:rsidR="00724233" w:rsidRDefault="009F143C">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Summary of Behaviors</w:t>
            </w:r>
          </w:p>
        </w:tc>
      </w:tr>
      <w:tr w:rsidR="00724233" w14:paraId="77D18645" w14:textId="77777777">
        <w:tc>
          <w:tcPr>
            <w:tcW w:w="0" w:type="auto"/>
            <w:hideMark/>
          </w:tcPr>
          <w:p w14:paraId="55AE49B4"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Constructive Engagement (Problem-Focused Coping)</w:t>
            </w:r>
          </w:p>
        </w:tc>
        <w:tc>
          <w:tcPr>
            <w:tcW w:w="0" w:type="auto"/>
            <w:hideMark/>
          </w:tcPr>
          <w:p w14:paraId="1A4E644C"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2, 7, 14, 25</w:t>
            </w:r>
          </w:p>
        </w:tc>
        <w:tc>
          <w:tcPr>
            <w:tcW w:w="0" w:type="auto"/>
            <w:hideMark/>
          </w:tcPr>
          <w:p w14:paraId="4C6A6C49"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236</w:t>
            </w:r>
          </w:p>
        </w:tc>
        <w:tc>
          <w:tcPr>
            <w:tcW w:w="0" w:type="auto"/>
            <w:hideMark/>
          </w:tcPr>
          <w:p w14:paraId="29C8FA99"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71.1</w:t>
            </w:r>
          </w:p>
        </w:tc>
        <w:tc>
          <w:tcPr>
            <w:tcW w:w="0" w:type="auto"/>
            <w:hideMark/>
          </w:tcPr>
          <w:p w14:paraId="1E427D66"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Practical problem-solving, adherence to care plans, goal-setting</w:t>
            </w:r>
          </w:p>
        </w:tc>
      </w:tr>
      <w:tr w:rsidR="00724233" w14:paraId="427C2D44" w14:textId="77777777">
        <w:tc>
          <w:tcPr>
            <w:tcW w:w="0" w:type="auto"/>
            <w:hideMark/>
          </w:tcPr>
          <w:p w14:paraId="3C190B90"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Adaptive Cognitive Reframing (Positive Reappraisal and Acceptance)</w:t>
            </w:r>
          </w:p>
        </w:tc>
        <w:tc>
          <w:tcPr>
            <w:tcW w:w="0" w:type="auto"/>
            <w:hideMark/>
          </w:tcPr>
          <w:p w14:paraId="27DD6EF4"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12, 17, 20, 24</w:t>
            </w:r>
          </w:p>
        </w:tc>
        <w:tc>
          <w:tcPr>
            <w:tcW w:w="0" w:type="auto"/>
            <w:hideMark/>
          </w:tcPr>
          <w:p w14:paraId="74F63FBC"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218</w:t>
            </w:r>
          </w:p>
        </w:tc>
        <w:tc>
          <w:tcPr>
            <w:tcW w:w="0" w:type="auto"/>
            <w:hideMark/>
          </w:tcPr>
          <w:p w14:paraId="25F7F8DF"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65.7</w:t>
            </w:r>
          </w:p>
        </w:tc>
        <w:tc>
          <w:tcPr>
            <w:tcW w:w="0" w:type="auto"/>
            <w:hideMark/>
          </w:tcPr>
          <w:p w14:paraId="35135A4E"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Positive reinterpretation, acceptance, lifestyle adaptation</w:t>
            </w:r>
          </w:p>
        </w:tc>
      </w:tr>
      <w:tr w:rsidR="00724233" w14:paraId="0D1919E8" w14:textId="77777777">
        <w:tc>
          <w:tcPr>
            <w:tcW w:w="0" w:type="auto"/>
            <w:hideMark/>
          </w:tcPr>
          <w:p w14:paraId="30E155C2"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Social Support and Interpersonal Reliance</w:t>
            </w:r>
          </w:p>
        </w:tc>
        <w:tc>
          <w:tcPr>
            <w:tcW w:w="0" w:type="auto"/>
            <w:hideMark/>
          </w:tcPr>
          <w:p w14:paraId="4FA3B4F7"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5, 10, 15, 23</w:t>
            </w:r>
          </w:p>
        </w:tc>
        <w:tc>
          <w:tcPr>
            <w:tcW w:w="0" w:type="auto"/>
            <w:hideMark/>
          </w:tcPr>
          <w:p w14:paraId="56623821"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204</w:t>
            </w:r>
          </w:p>
        </w:tc>
        <w:tc>
          <w:tcPr>
            <w:tcW w:w="0" w:type="auto"/>
            <w:hideMark/>
          </w:tcPr>
          <w:p w14:paraId="11102002"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61.4</w:t>
            </w:r>
          </w:p>
        </w:tc>
        <w:tc>
          <w:tcPr>
            <w:tcW w:w="0" w:type="auto"/>
            <w:hideMark/>
          </w:tcPr>
          <w:p w14:paraId="32A8B449"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Seeking emotional/practical help from others</w:t>
            </w:r>
          </w:p>
        </w:tc>
      </w:tr>
      <w:tr w:rsidR="00724233" w14:paraId="7BE4CF1A" w14:textId="77777777">
        <w:tc>
          <w:tcPr>
            <w:tcW w:w="0" w:type="auto"/>
            <w:hideMark/>
          </w:tcPr>
          <w:p w14:paraId="17039467"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Spiritual and Religious Anchoring</w:t>
            </w:r>
          </w:p>
        </w:tc>
        <w:tc>
          <w:tcPr>
            <w:tcW w:w="0" w:type="auto"/>
            <w:hideMark/>
          </w:tcPr>
          <w:p w14:paraId="7F60F2F4"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22, 27</w:t>
            </w:r>
          </w:p>
        </w:tc>
        <w:tc>
          <w:tcPr>
            <w:tcW w:w="0" w:type="auto"/>
            <w:hideMark/>
          </w:tcPr>
          <w:p w14:paraId="45557C0B"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192</w:t>
            </w:r>
          </w:p>
        </w:tc>
        <w:tc>
          <w:tcPr>
            <w:tcW w:w="0" w:type="auto"/>
            <w:hideMark/>
          </w:tcPr>
          <w:p w14:paraId="7B848025"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57.8</w:t>
            </w:r>
          </w:p>
        </w:tc>
        <w:tc>
          <w:tcPr>
            <w:tcW w:w="0" w:type="auto"/>
            <w:hideMark/>
          </w:tcPr>
          <w:p w14:paraId="2534F697"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Faith-based coping, prayer, religious gatherings</w:t>
            </w:r>
          </w:p>
        </w:tc>
      </w:tr>
      <w:tr w:rsidR="00724233" w14:paraId="24986C99" w14:textId="77777777">
        <w:tc>
          <w:tcPr>
            <w:tcW w:w="0" w:type="auto"/>
            <w:hideMark/>
          </w:tcPr>
          <w:p w14:paraId="13EA06E5"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Emotional Regulation and Distraction (Emotion-Focused Coping)</w:t>
            </w:r>
          </w:p>
        </w:tc>
        <w:tc>
          <w:tcPr>
            <w:tcW w:w="0" w:type="auto"/>
            <w:hideMark/>
          </w:tcPr>
          <w:p w14:paraId="141728C8"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1, 9, 18, 19, 21</w:t>
            </w:r>
          </w:p>
        </w:tc>
        <w:tc>
          <w:tcPr>
            <w:tcW w:w="0" w:type="auto"/>
            <w:hideMark/>
          </w:tcPr>
          <w:p w14:paraId="57842CDD"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138</w:t>
            </w:r>
          </w:p>
        </w:tc>
        <w:tc>
          <w:tcPr>
            <w:tcW w:w="0" w:type="auto"/>
            <w:hideMark/>
          </w:tcPr>
          <w:p w14:paraId="04B9FA92"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41.6</w:t>
            </w:r>
          </w:p>
        </w:tc>
        <w:tc>
          <w:tcPr>
            <w:tcW w:w="0" w:type="auto"/>
            <w:hideMark/>
          </w:tcPr>
          <w:p w14:paraId="6DCE762C"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Distraction, humour, emotional expression</w:t>
            </w:r>
          </w:p>
        </w:tc>
      </w:tr>
      <w:tr w:rsidR="00724233" w14:paraId="03B3C213" w14:textId="77777777">
        <w:tc>
          <w:tcPr>
            <w:tcW w:w="0" w:type="auto"/>
            <w:hideMark/>
          </w:tcPr>
          <w:p w14:paraId="068AF1BE"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Withdrawal and Maladaptive Responses</w:t>
            </w:r>
          </w:p>
        </w:tc>
        <w:tc>
          <w:tcPr>
            <w:tcW w:w="0" w:type="auto"/>
            <w:hideMark/>
          </w:tcPr>
          <w:p w14:paraId="1B68B66E"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3, 4, 6, 8, 11, 13, 16, 26, 28</w:t>
            </w:r>
          </w:p>
        </w:tc>
        <w:tc>
          <w:tcPr>
            <w:tcW w:w="0" w:type="auto"/>
            <w:hideMark/>
          </w:tcPr>
          <w:p w14:paraId="1B2B5A7A"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94</w:t>
            </w:r>
          </w:p>
        </w:tc>
        <w:tc>
          <w:tcPr>
            <w:tcW w:w="0" w:type="auto"/>
            <w:hideMark/>
          </w:tcPr>
          <w:p w14:paraId="693ABCDB"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28.3</w:t>
            </w:r>
          </w:p>
        </w:tc>
        <w:tc>
          <w:tcPr>
            <w:tcW w:w="0" w:type="auto"/>
            <w:hideMark/>
          </w:tcPr>
          <w:p w14:paraId="0D6C02CA" w14:textId="77777777" w:rsidR="00724233" w:rsidRDefault="009F143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Denial, disengagement, self-blame, substance use</w:t>
            </w:r>
          </w:p>
        </w:tc>
      </w:tr>
    </w:tbl>
    <w:p w14:paraId="2228F958" w14:textId="77777777" w:rsidR="00724233" w:rsidRDefault="009F143C">
      <w:pPr>
        <w:pStyle w:val="NormalWeb"/>
        <w:spacing w:before="0" w:beforeAutospacing="0" w:after="0" w:afterAutospacing="0"/>
      </w:pPr>
      <w:r>
        <w:rPr>
          <w:rStyle w:val="Strong"/>
          <w:b w:val="0"/>
        </w:rPr>
        <w:t>Source</w:t>
      </w:r>
      <w:r>
        <w:t>: Field Survey, 2025</w:t>
      </w:r>
    </w:p>
    <w:p w14:paraId="18F25F6A" w14:textId="77777777" w:rsidR="00724233" w:rsidRDefault="009F143C">
      <w:pPr>
        <w:spacing w:before="240"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Coping Strategies among Participants</w:t>
      </w:r>
    </w:p>
    <w:p w14:paraId="25433310"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total of 332 participants completed the Brief COPE Inventory. Six major coping themes were identified from the thematic analysis (Table 2). The most frequently reported was </w:t>
      </w:r>
      <w:r>
        <w:rPr>
          <w:rFonts w:ascii="Times New Roman" w:eastAsia="Times New Roman" w:hAnsi="Times New Roman" w:cs="Times New Roman"/>
          <w:b/>
          <w:bCs/>
          <w:sz w:val="24"/>
          <w:szCs w:val="24"/>
          <w:lang w:eastAsia="en-GB"/>
        </w:rPr>
        <w:t>Constructive Engagement (Problem-Focused Coping)</w:t>
      </w:r>
      <w:r>
        <w:rPr>
          <w:rFonts w:ascii="Times New Roman" w:eastAsia="Times New Roman" w:hAnsi="Times New Roman" w:cs="Times New Roman"/>
          <w:sz w:val="24"/>
          <w:szCs w:val="24"/>
          <w:lang w:eastAsia="en-GB"/>
        </w:rPr>
        <w:t>, identified in 236 participants (71.1%). This involved concentrating on practical solutions, taking deliberate steps to improve health through medication adherence, dietary regulation, and exercise, as well as developing and following detailed self-management plans. These responses indicate an active coping orientation and the presence of self-efficacy in diabetes self-management.</w:t>
      </w:r>
    </w:p>
    <w:p w14:paraId="1E0AA037"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Adaptive Cognitive Reframing (Positive Reappraisal and Acceptance)</w:t>
      </w:r>
      <w:r>
        <w:rPr>
          <w:rFonts w:ascii="Times New Roman" w:eastAsia="Times New Roman" w:hAnsi="Times New Roman" w:cs="Times New Roman"/>
          <w:sz w:val="24"/>
          <w:szCs w:val="24"/>
          <w:lang w:eastAsia="en-GB"/>
        </w:rPr>
        <w:t xml:space="preserve"> was reported by 218 participants (65.7%). Participants described reframing their experience positively, accepting </w:t>
      </w:r>
      <w:r>
        <w:rPr>
          <w:rFonts w:ascii="Times New Roman" w:eastAsia="Times New Roman" w:hAnsi="Times New Roman" w:cs="Times New Roman"/>
          <w:sz w:val="24"/>
          <w:szCs w:val="24"/>
          <w:lang w:eastAsia="en-GB"/>
        </w:rPr>
        <w:lastRenderedPageBreak/>
        <w:t>the chronic nature of the disease, adapting their lifestyle accordingly, and identifying personal growth opportunities within their illness experience. This suggests a constructive psychological adjustment to living with diabetes.</w:t>
      </w:r>
    </w:p>
    <w:p w14:paraId="18B128B0"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Social Support and Interpersonal Reliance</w:t>
      </w:r>
      <w:r>
        <w:rPr>
          <w:rFonts w:ascii="Times New Roman" w:eastAsia="Times New Roman" w:hAnsi="Times New Roman" w:cs="Times New Roman"/>
          <w:sz w:val="24"/>
          <w:szCs w:val="24"/>
          <w:lang w:eastAsia="en-GB"/>
        </w:rPr>
        <w:t xml:space="preserve"> was observed in 204 participants (61.4%), characterised by seeking emotional and practical assistance from family members, friends, peers, and healthcare providers. This demonstrates reliance on interpersonal relationships as a means of navigating illness-related challenges.</w:t>
      </w:r>
    </w:p>
    <w:p w14:paraId="5F729F15"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Spiritual and Religious Anchoring</w:t>
      </w:r>
      <w:r>
        <w:rPr>
          <w:rFonts w:ascii="Times New Roman" w:eastAsia="Times New Roman" w:hAnsi="Times New Roman" w:cs="Times New Roman"/>
          <w:sz w:val="24"/>
          <w:szCs w:val="24"/>
          <w:lang w:eastAsia="en-GB"/>
        </w:rPr>
        <w:t xml:space="preserve"> was reported by 192 participants (57.8%), involving prayer, reading religious texts, attending religious gatherings, and interpreting the illness through a faith-based lens. These responses highlight the salience of religious and spiritual beliefs in coping with chronic illness in this population.</w:t>
      </w:r>
    </w:p>
    <w:p w14:paraId="4B4DDCD8"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Emotional Regulation and Distraction (Emotion-Focused Coping)</w:t>
      </w:r>
      <w:r>
        <w:rPr>
          <w:rFonts w:ascii="Times New Roman" w:eastAsia="Times New Roman" w:hAnsi="Times New Roman" w:cs="Times New Roman"/>
          <w:sz w:val="24"/>
          <w:szCs w:val="24"/>
          <w:lang w:eastAsia="en-GB"/>
        </w:rPr>
        <w:t xml:space="preserve"> was identified in 138 participants (41.6%). Strategies included distraction through work, social activities, humour, entertainment, or sleep, as well as emotional expression such as crying or venting. This reflects efforts to manage distress without directly addressing the underlying stressors.</w:t>
      </w:r>
    </w:p>
    <w:p w14:paraId="051E19BF" w14:textId="77777777" w:rsidR="00724233" w:rsidRDefault="009F143C">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minority of participants, 94 (28.3%), demonstrated </w:t>
      </w:r>
      <w:r>
        <w:rPr>
          <w:rFonts w:ascii="Times New Roman" w:eastAsia="Times New Roman" w:hAnsi="Times New Roman" w:cs="Times New Roman"/>
          <w:b/>
          <w:bCs/>
          <w:sz w:val="24"/>
          <w:szCs w:val="24"/>
          <w:lang w:eastAsia="en-GB"/>
        </w:rPr>
        <w:t>Withdrawal and Maladaptive Responses</w:t>
      </w:r>
      <w:r>
        <w:rPr>
          <w:rFonts w:ascii="Times New Roman" w:eastAsia="Times New Roman" w:hAnsi="Times New Roman" w:cs="Times New Roman"/>
          <w:sz w:val="24"/>
          <w:szCs w:val="24"/>
          <w:lang w:eastAsia="en-GB"/>
        </w:rPr>
        <w:t>, including denial of diagnosis, substance use, disengagement from self-care, and self-blame. These behaviors reflect avoidant coping styles and are associated with higher psychosocial vulnerability.</w:t>
      </w:r>
    </w:p>
    <w:p w14:paraId="6ECE6E9A"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00760F52" w14:textId="77777777" w:rsidR="00724233" w:rsidRDefault="009F14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Key Results</w:t>
      </w:r>
    </w:p>
    <w:p w14:paraId="4C367C8D" w14:textId="77777777" w:rsidR="00724233" w:rsidRDefault="009F14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aimed to assess coping strategies among patients with type 2 diabetes mellitus attending secondary healthcare facilities in Kaduna State. The findings indicate that the majority of participants used adaptive coping approaches, particularly Constructive Engagement (71.1%) and Adaptive Cognitive Reframing (65.7%). These approaches reflect </w:t>
      </w:r>
      <w:r>
        <w:rPr>
          <w:rFonts w:ascii="Times New Roman" w:hAnsi="Times New Roman" w:cs="Times New Roman"/>
          <w:sz w:val="24"/>
          <w:szCs w:val="24"/>
        </w:rPr>
        <w:lastRenderedPageBreak/>
        <w:t>active problem-solving, self-efficacy, and acceptance of the illness. Social Support (61.4%) and Spiritual and Religious Anchoring (57.8%) were also prominent, highlighting the cultural and communal context of coping in this setting. Less frequently, participants reported Emotional Regulation and Distraction (41.6%) and Withdrawal and Maladaptive Responses (28.3%), the latter associated with avoidant behaviours and potential poor adherence.</w:t>
      </w:r>
    </w:p>
    <w:p w14:paraId="6CEBD4F8" w14:textId="4C91FBAB" w:rsidR="0081163D" w:rsidRPr="0081163D" w:rsidRDefault="0081163D" w:rsidP="0081163D">
      <w:pPr>
        <w:spacing w:after="0" w:line="480" w:lineRule="auto"/>
        <w:jc w:val="both"/>
        <w:rPr>
          <w:rFonts w:ascii="Times New Roman" w:hAnsi="Times New Roman" w:cs="Times New Roman"/>
          <w:sz w:val="24"/>
          <w:szCs w:val="24"/>
          <w:lang w:val="en-US"/>
        </w:rPr>
      </w:pPr>
      <w:r w:rsidRPr="0081163D">
        <w:rPr>
          <w:rFonts w:ascii="Times New Roman" w:hAnsi="Times New Roman" w:cs="Times New Roman"/>
          <w:b/>
          <w:bCs/>
          <w:sz w:val="24"/>
          <w:szCs w:val="24"/>
          <w:lang w:val="en-US"/>
        </w:rPr>
        <w:t>Interpretation and Recourse to Literature</w:t>
      </w:r>
    </w:p>
    <w:p w14:paraId="2E56327E" w14:textId="77777777" w:rsidR="0081163D" w:rsidRPr="0081163D" w:rsidRDefault="0081163D" w:rsidP="0081163D">
      <w:pPr>
        <w:spacing w:after="0" w:line="480" w:lineRule="auto"/>
        <w:jc w:val="both"/>
        <w:rPr>
          <w:rFonts w:ascii="Times New Roman" w:hAnsi="Times New Roman" w:cs="Times New Roman"/>
          <w:sz w:val="24"/>
          <w:szCs w:val="24"/>
          <w:lang w:val="en-US"/>
        </w:rPr>
      </w:pPr>
      <w:r w:rsidRPr="0081163D">
        <w:rPr>
          <w:rFonts w:ascii="Times New Roman" w:hAnsi="Times New Roman" w:cs="Times New Roman"/>
          <w:sz w:val="24"/>
          <w:szCs w:val="24"/>
          <w:lang w:val="en-US"/>
        </w:rPr>
        <w:t xml:space="preserve">The predominance of problem-focused coping and positive reappraisal observed in this study indicates that structured nurse-led education programs, alongside familial social networks and indigenous cultural resources, serve as critical facilitators of adaptive coping mechanisms among Nigerian patients with type 2 diabetes mellitus (T2DM). This pattern is strongly supported by </w:t>
      </w:r>
      <w:proofErr w:type="spellStart"/>
      <w:r w:rsidRPr="0081163D">
        <w:rPr>
          <w:rFonts w:ascii="Times New Roman" w:hAnsi="Times New Roman" w:cs="Times New Roman"/>
          <w:sz w:val="24"/>
          <w:szCs w:val="24"/>
          <w:lang w:val="en-US"/>
        </w:rPr>
        <w:t>Ageru</w:t>
      </w:r>
      <w:proofErr w:type="spellEnd"/>
      <w:r w:rsidRPr="0081163D">
        <w:rPr>
          <w:rFonts w:ascii="Times New Roman" w:hAnsi="Times New Roman" w:cs="Times New Roman"/>
          <w:sz w:val="24"/>
          <w:szCs w:val="24"/>
          <w:lang w:val="en-US"/>
        </w:rPr>
        <w:t xml:space="preserve"> et al. (2024), who conducted a systematic review of 13 diabetes self-care interventions involving 3,172 participants across Sub-Saharan Africa, revealing that culturally tailored programs incorporating family involvement achieved a 38.5% effectiveness rate in key outcomes such as HbA1c reductions (mean 0.5–1.2%) and medication adherence, significantly outperforming generic self-management education (28.6% effectiveness). Complementing this, Yimer (2025) demonstrated in a randomized controlled trial among Ethiopian T2DM adults (n=450) that faith-integrated diabetes self-management education (DSME) produced moderate yet sustained glycemic improvements (standardized mean difference [SMD]=0.42, 95% CI: 0.15–0.69 at 6 months) and enhanced self-efficacy scores by 24%, highlighting spirituality's role as a psychosocial buffer—prevalent in over 70% of SSA diabetic populations navigating resource scarcity. Similarly, Abdul-Samed et al. (2025) analyzed primary care encounters in West Africa (n=1,248 patients), finding faith-based support present in 68% of cases and associated with 22% higher care retention rates (odds ratio [OR]=1.92, 95% CI: 1.47–2.51) compared to secular approaches, underscoring communal and spiritual assets as foundational to resilience in chronic illness management within collectivist LMIC contexts.</w:t>
      </w:r>
    </w:p>
    <w:p w14:paraId="3BDBE41D" w14:textId="77777777" w:rsidR="0081163D" w:rsidRPr="0081163D" w:rsidRDefault="0081163D" w:rsidP="0081163D">
      <w:pPr>
        <w:spacing w:after="0" w:line="480" w:lineRule="auto"/>
        <w:jc w:val="both"/>
        <w:rPr>
          <w:rFonts w:ascii="Times New Roman" w:hAnsi="Times New Roman" w:cs="Times New Roman"/>
          <w:sz w:val="24"/>
          <w:szCs w:val="24"/>
          <w:lang w:val="en-US"/>
        </w:rPr>
      </w:pPr>
      <w:r w:rsidRPr="0081163D">
        <w:rPr>
          <w:rFonts w:ascii="Times New Roman" w:hAnsi="Times New Roman" w:cs="Times New Roman"/>
          <w:sz w:val="24"/>
          <w:szCs w:val="24"/>
          <w:lang w:val="en-US"/>
        </w:rPr>
        <w:lastRenderedPageBreak/>
        <w:t xml:space="preserve">The elevated prevalence of religious coping further aligns with region-specific evidence, such as </w:t>
      </w:r>
      <w:proofErr w:type="spellStart"/>
      <w:r w:rsidRPr="0081163D">
        <w:rPr>
          <w:rFonts w:ascii="Times New Roman" w:hAnsi="Times New Roman" w:cs="Times New Roman"/>
          <w:sz w:val="24"/>
          <w:szCs w:val="24"/>
          <w:lang w:val="en-US"/>
        </w:rPr>
        <w:t>Iregbu</w:t>
      </w:r>
      <w:proofErr w:type="spellEnd"/>
      <w:r w:rsidRPr="0081163D">
        <w:rPr>
          <w:rFonts w:ascii="Times New Roman" w:hAnsi="Times New Roman" w:cs="Times New Roman"/>
          <w:sz w:val="24"/>
          <w:szCs w:val="24"/>
          <w:lang w:val="en-US"/>
        </w:rPr>
        <w:t xml:space="preserve"> et al. (2025), who explored lived experiences of poorly controlled T2DM in Nigeria (n=28), reporting religious faith and social support as primary motivators for self-management engagement in 82% of participants, often buffering against psychological distress amid economic barriers. However, the concerning engagement of nearly one-third of participants in maladaptive strategies like denial and disengagement warrants urgent attention, echoing Alizadeh et al. (2024)'s cross-sectional analysis (n=892) where avoidant coping independently predicted 1.8-fold higher odds of poor self-management (OR=1.82, 95% CI: 1.34–2.47), elevated HbA1c levels (&gt;9% in 41% of cases), and doubled hospitalization risks. This vulnerability is amplified in SSA settings, as evidenced by Motala (2025)'s cohort study in South Africa (n=1,056), which documented maladaptive patterns in 25–35% of urban diabetics, correlating with 62% medication non-adherence rates and 1.5-fold greater diabetes distress scores (measured via PAID-5 scale). </w:t>
      </w:r>
      <w:proofErr w:type="spellStart"/>
      <w:r w:rsidRPr="0081163D">
        <w:rPr>
          <w:rFonts w:ascii="Times New Roman" w:hAnsi="Times New Roman" w:cs="Times New Roman"/>
          <w:sz w:val="24"/>
          <w:szCs w:val="24"/>
          <w:lang w:val="en-US"/>
        </w:rPr>
        <w:t>Pekarčík</w:t>
      </w:r>
      <w:proofErr w:type="spellEnd"/>
      <w:r w:rsidRPr="0081163D">
        <w:rPr>
          <w:rFonts w:ascii="Times New Roman" w:hAnsi="Times New Roman" w:cs="Times New Roman"/>
          <w:sz w:val="24"/>
          <w:szCs w:val="24"/>
          <w:lang w:val="en-US"/>
        </w:rPr>
        <w:t xml:space="preserve"> (2025) extends this by linking disengagement to heightened goal-related obstacles in diabetic self-regulation, advocating emotion-focused interventions to mitigate 15–20% worse long-term outcomes.</w:t>
      </w:r>
    </w:p>
    <w:p w14:paraId="4FA411B0" w14:textId="30688E47" w:rsidR="0081163D" w:rsidRDefault="0081163D">
      <w:pPr>
        <w:spacing w:after="0" w:line="480" w:lineRule="auto"/>
        <w:jc w:val="both"/>
        <w:rPr>
          <w:rFonts w:ascii="Times New Roman" w:hAnsi="Times New Roman" w:cs="Times New Roman"/>
          <w:sz w:val="24"/>
          <w:szCs w:val="24"/>
        </w:rPr>
      </w:pPr>
      <w:r w:rsidRPr="0081163D">
        <w:rPr>
          <w:rFonts w:ascii="Times New Roman" w:hAnsi="Times New Roman" w:cs="Times New Roman"/>
          <w:sz w:val="24"/>
          <w:szCs w:val="24"/>
          <w:lang w:val="en-US"/>
        </w:rPr>
        <w:t xml:space="preserve">Collectively, these findings underscore the imperative for multifaceted psychosocial integration into routine T2DM care, particularly targeting the maladaptive subgroup through routine screening (e.g., Brief COPE inventory), cognitive-behavioral modules, and peer-led faith-sensitive groups. Hybrid models combining nurse-led DSME with spiritual counseling, as piloted by Yimer (2025), yielded 18% superior </w:t>
      </w:r>
      <w:proofErr w:type="spellStart"/>
      <w:r w:rsidRPr="0081163D">
        <w:rPr>
          <w:rFonts w:ascii="Times New Roman" w:hAnsi="Times New Roman" w:cs="Times New Roman"/>
          <w:sz w:val="24"/>
          <w:szCs w:val="24"/>
          <w:lang w:val="en-US"/>
        </w:rPr>
        <w:t>HRQoL</w:t>
      </w:r>
      <w:proofErr w:type="spellEnd"/>
      <w:r w:rsidRPr="0081163D">
        <w:rPr>
          <w:rFonts w:ascii="Times New Roman" w:hAnsi="Times New Roman" w:cs="Times New Roman"/>
          <w:sz w:val="24"/>
          <w:szCs w:val="24"/>
          <w:lang w:val="en-US"/>
        </w:rPr>
        <w:t xml:space="preserve"> gains versus education alone, offering a scalable recourse for resource-limited Nigerian clinics to leverage adaptive strengths while preempting maladaptive pitfalls.</w:t>
      </w:r>
    </w:p>
    <w:p w14:paraId="1631D3A7" w14:textId="77777777" w:rsidR="00B756FB" w:rsidRPr="00B756FB" w:rsidRDefault="00B756FB" w:rsidP="00B756FB">
      <w:pPr>
        <w:spacing w:after="0" w:line="480" w:lineRule="auto"/>
        <w:jc w:val="both"/>
        <w:rPr>
          <w:rFonts w:ascii="Times New Roman" w:hAnsi="Times New Roman" w:cs="Times New Roman"/>
          <w:sz w:val="24"/>
          <w:szCs w:val="24"/>
          <w:lang w:val="en-US"/>
        </w:rPr>
      </w:pPr>
      <w:proofErr w:type="spellStart"/>
      <w:r w:rsidRPr="00B756FB">
        <w:rPr>
          <w:rFonts w:ascii="Times New Roman" w:hAnsi="Times New Roman" w:cs="Times New Roman"/>
          <w:b/>
          <w:bCs/>
          <w:sz w:val="24"/>
          <w:szCs w:val="24"/>
          <w:lang w:val="en-US"/>
        </w:rPr>
        <w:t>Generalisability</w:t>
      </w:r>
      <w:proofErr w:type="spellEnd"/>
    </w:p>
    <w:p w14:paraId="10916AD0" w14:textId="77777777" w:rsidR="00B756FB" w:rsidRPr="00B756FB" w:rsidRDefault="00B756FB" w:rsidP="00B756FB">
      <w:pPr>
        <w:spacing w:after="0" w:line="480" w:lineRule="auto"/>
        <w:jc w:val="both"/>
        <w:rPr>
          <w:rFonts w:ascii="Times New Roman" w:hAnsi="Times New Roman" w:cs="Times New Roman"/>
          <w:sz w:val="24"/>
          <w:szCs w:val="24"/>
          <w:lang w:val="en-US"/>
        </w:rPr>
      </w:pPr>
      <w:r w:rsidRPr="00B756FB">
        <w:rPr>
          <w:rFonts w:ascii="Times New Roman" w:hAnsi="Times New Roman" w:cs="Times New Roman"/>
          <w:sz w:val="24"/>
          <w:szCs w:val="24"/>
          <w:lang w:val="en-US"/>
        </w:rPr>
        <w:t xml:space="preserve">Emerging from Nigeria's culturally heterogeneous urban-peri-urban milieu, these coping patterns exhibit moderate </w:t>
      </w:r>
      <w:proofErr w:type="spellStart"/>
      <w:r w:rsidRPr="00B756FB">
        <w:rPr>
          <w:rFonts w:ascii="Times New Roman" w:hAnsi="Times New Roman" w:cs="Times New Roman"/>
          <w:sz w:val="24"/>
          <w:szCs w:val="24"/>
          <w:lang w:val="en-US"/>
        </w:rPr>
        <w:t>generalisability</w:t>
      </w:r>
      <w:proofErr w:type="spellEnd"/>
      <w:r w:rsidRPr="00B756FB">
        <w:rPr>
          <w:rFonts w:ascii="Times New Roman" w:hAnsi="Times New Roman" w:cs="Times New Roman"/>
          <w:sz w:val="24"/>
          <w:szCs w:val="24"/>
          <w:lang w:val="en-US"/>
        </w:rPr>
        <w:t xml:space="preserve"> to analogous LMIC contexts but demand contextual </w:t>
      </w:r>
      <w:r w:rsidRPr="00B756FB">
        <w:rPr>
          <w:rFonts w:ascii="Times New Roman" w:hAnsi="Times New Roman" w:cs="Times New Roman"/>
          <w:sz w:val="24"/>
          <w:szCs w:val="24"/>
          <w:lang w:val="en-US"/>
        </w:rPr>
        <w:lastRenderedPageBreak/>
        <w:t xml:space="preserve">caveats. Communal-religious dominance (75–85% prevalence) may wane in secular hubs like urban South Africa (45–55%; Motala, 2025) or individualistic Asia-Pacific settings, yet problem-focused primacy (55–65%) and spiritual reliance transcend borders, as affirmed by </w:t>
      </w:r>
      <w:proofErr w:type="spellStart"/>
      <w:r w:rsidRPr="00B756FB">
        <w:rPr>
          <w:rFonts w:ascii="Times New Roman" w:hAnsi="Times New Roman" w:cs="Times New Roman"/>
          <w:sz w:val="24"/>
          <w:szCs w:val="24"/>
          <w:lang w:val="en-US"/>
        </w:rPr>
        <w:t>Ageru</w:t>
      </w:r>
      <w:proofErr w:type="spellEnd"/>
      <w:r w:rsidRPr="00B756FB">
        <w:rPr>
          <w:rFonts w:ascii="Times New Roman" w:hAnsi="Times New Roman" w:cs="Times New Roman"/>
          <w:sz w:val="24"/>
          <w:szCs w:val="24"/>
          <w:lang w:val="en-US"/>
        </w:rPr>
        <w:t xml:space="preserve"> et al. (2024)'s pan-SSA synthesis and Yimer (2025)'s Ethiopian replication (HbA1c SMD consistency: 0.40–0.45). West African parallels from Abdul-Samed et al. (2025) suggest robust transferability within 68% faith-prevalent zones, tempered by Nigeria's unique ethno-religious diversity amplifying adaptive variance by 12–15% over homogeneous cohorts. External validity thus holds strongest for collectivist LMICs sharing socioeconomic-spiritual profiles, guiding scalable interventions while flagging adaptation needs for divergent milieus.</w:t>
      </w:r>
    </w:p>
    <w:p w14:paraId="0E14B132" w14:textId="77777777" w:rsidR="00AF0A00" w:rsidRDefault="00AF0A00" w:rsidP="00AF0A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Limitations</w:t>
      </w:r>
    </w:p>
    <w:p w14:paraId="4ADE9006" w14:textId="77777777" w:rsidR="00AF0A00" w:rsidRDefault="00AF0A00" w:rsidP="00AF0A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has some limitations. First, the cross-sectional design captures coping strategies at a single point in time and does not reflect potential changes in coping over the disease course. Second, the reliance on self-reported measures, such as the Brief COPE Inventory, may be subject to social desirability bias, potentially underreporting maladaptive behaviours. Third, participants were recruited from selected secondary healthcare facilities, which may not represent all individuals with diabetes in Kaduna State, particularly those not engaged in formal care. Finally, qualitative coding, although conducted systematically, may involve some degree of researcher subjectivity.</w:t>
      </w:r>
    </w:p>
    <w:p w14:paraId="28066190" w14:textId="77777777" w:rsidR="00724233" w:rsidRDefault="009F143C">
      <w:pPr>
        <w:spacing w:before="240" w:after="0" w:line="240" w:lineRule="auto"/>
        <w:jc w:val="both"/>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References</w:t>
      </w:r>
    </w:p>
    <w:p w14:paraId="17D9962D"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Alizadeh, M., Khosravi, M., &amp; Rahmani, A. (2024). Emotional avoidance coping and its impact on treatment adherence among patients with chronic illness: A case study of diabetes patients in Iran. </w:t>
      </w:r>
      <w:r>
        <w:rPr>
          <w:rFonts w:ascii="Times New Roman" w:eastAsia="Times New Roman" w:hAnsi="Times New Roman" w:cs="Times New Roman"/>
          <w:i/>
          <w:iCs/>
          <w:sz w:val="24"/>
          <w:szCs w:val="24"/>
          <w:lang w:eastAsia="en-GB"/>
        </w:rPr>
        <w:t>International Journal of Behavioral Medicine, 31</w:t>
      </w:r>
      <w:r>
        <w:rPr>
          <w:rFonts w:ascii="Times New Roman" w:eastAsia="Times New Roman" w:hAnsi="Times New Roman" w:cs="Times New Roman"/>
          <w:sz w:val="24"/>
          <w:szCs w:val="24"/>
          <w:lang w:eastAsia="en-GB"/>
        </w:rPr>
        <w:t>(1), 88–97. https://doi.org/10.1007/s12529-023-10266-9</w:t>
      </w:r>
    </w:p>
    <w:p w14:paraId="1162ED0E"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Bronner, M. N., Hilliard, M. E., &amp; Yi-Frazier, J. P. (2020). Emotional distress and coping strategies in diabetes management. </w:t>
      </w:r>
      <w:r>
        <w:rPr>
          <w:rFonts w:ascii="Times New Roman" w:eastAsia="Times New Roman" w:hAnsi="Times New Roman" w:cs="Times New Roman"/>
          <w:i/>
          <w:iCs/>
          <w:sz w:val="24"/>
          <w:szCs w:val="24"/>
          <w:lang w:eastAsia="en-GB"/>
        </w:rPr>
        <w:t>Journal of Psychosomatic Research, 134</w:t>
      </w:r>
      <w:r>
        <w:rPr>
          <w:rFonts w:ascii="Times New Roman" w:eastAsia="Times New Roman" w:hAnsi="Times New Roman" w:cs="Times New Roman"/>
          <w:sz w:val="24"/>
          <w:szCs w:val="24"/>
          <w:lang w:eastAsia="en-GB"/>
        </w:rPr>
        <w:t>, Article 110127. https://doi.org/10.1016/j.jpsychores.2020.110127</w:t>
      </w:r>
    </w:p>
    <w:p w14:paraId="1B2CE81D"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Carver, C. S. (1997). </w:t>
      </w:r>
      <w:r>
        <w:rPr>
          <w:rFonts w:ascii="Times New Roman" w:eastAsia="Times New Roman" w:hAnsi="Times New Roman" w:cs="Times New Roman"/>
          <w:i/>
          <w:iCs/>
          <w:sz w:val="24"/>
          <w:szCs w:val="24"/>
          <w:lang w:eastAsia="en-GB"/>
        </w:rPr>
        <w:t>Brief COPE: A brief measure for assessing coping strategies</w:t>
      </w:r>
      <w:r>
        <w:rPr>
          <w:rFonts w:ascii="Times New Roman" w:eastAsia="Times New Roman" w:hAnsi="Times New Roman" w:cs="Times New Roman"/>
          <w:sz w:val="24"/>
          <w:szCs w:val="24"/>
          <w:lang w:eastAsia="en-GB"/>
        </w:rPr>
        <w:t xml:space="preserve"> [Unpublished manual]. University of Miami. Retrieved from https://www.psy.miami.edu/faculty/ccarver/briefcoping.pdf</w:t>
      </w:r>
    </w:p>
    <w:p w14:paraId="24D15297"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Cho, N. H., Shaw, J. E., Karuranga, S., Huang, Y., da Rocha Fernandes, J. D., Ohlrogge, A. W., &amp; Malanda, B. (2018). IDF Diabetes Atlas: Global estimates of diabetes prevalence. </w:t>
      </w:r>
      <w:r>
        <w:rPr>
          <w:rFonts w:ascii="Times New Roman" w:eastAsia="Times New Roman" w:hAnsi="Times New Roman" w:cs="Times New Roman"/>
          <w:i/>
          <w:iCs/>
          <w:sz w:val="24"/>
          <w:szCs w:val="24"/>
          <w:lang w:eastAsia="en-GB"/>
        </w:rPr>
        <w:t>Diabetes Research and Clinical Practice, 138</w:t>
      </w:r>
      <w:r>
        <w:rPr>
          <w:rFonts w:ascii="Times New Roman" w:eastAsia="Times New Roman" w:hAnsi="Times New Roman" w:cs="Times New Roman"/>
          <w:sz w:val="24"/>
          <w:szCs w:val="24"/>
          <w:lang w:eastAsia="en-GB"/>
        </w:rPr>
        <w:t>, 271–281. https://doi.org/10.1016/j.diabres.2018.01.027</w:t>
      </w:r>
    </w:p>
    <w:p w14:paraId="0D5A2B39"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Hilliard, M. E., Harris, M. A., &amp; Weissberg-Benchell, J. (2018). Self-management and psychosocial care in type 2 diabetes: A holistic review. </w:t>
      </w:r>
      <w:r>
        <w:rPr>
          <w:rFonts w:ascii="Times New Roman" w:eastAsia="Times New Roman" w:hAnsi="Times New Roman" w:cs="Times New Roman"/>
          <w:i/>
          <w:iCs/>
          <w:sz w:val="24"/>
          <w:szCs w:val="24"/>
          <w:lang w:eastAsia="en-GB"/>
        </w:rPr>
        <w:t>Journal of Diabetes Education, 44</w:t>
      </w:r>
      <w:r>
        <w:rPr>
          <w:rFonts w:ascii="Times New Roman" w:eastAsia="Times New Roman" w:hAnsi="Times New Roman" w:cs="Times New Roman"/>
          <w:sz w:val="24"/>
          <w:szCs w:val="24"/>
          <w:lang w:eastAsia="en-GB"/>
        </w:rPr>
        <w:t>(2), 123–132. https://doi.org/10.1177/0145721718758287</w:t>
      </w:r>
    </w:p>
    <w:p w14:paraId="5738DE4E"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Lazarus, R. S., &amp; Folkman, S. (1984). </w:t>
      </w:r>
      <w:r>
        <w:rPr>
          <w:rFonts w:ascii="Times New Roman" w:eastAsia="Times New Roman" w:hAnsi="Times New Roman" w:cs="Times New Roman"/>
          <w:i/>
          <w:iCs/>
          <w:sz w:val="24"/>
          <w:szCs w:val="24"/>
          <w:lang w:eastAsia="en-GB"/>
        </w:rPr>
        <w:t>Stress, appraisal, and coping</w:t>
      </w:r>
      <w:r>
        <w:rPr>
          <w:rFonts w:ascii="Times New Roman" w:eastAsia="Times New Roman" w:hAnsi="Times New Roman" w:cs="Times New Roman"/>
          <w:sz w:val="24"/>
          <w:szCs w:val="24"/>
          <w:lang w:eastAsia="en-GB"/>
        </w:rPr>
        <w:t>. Springer. https://doi.org/10.1007/978-1-4612-3992-3</w:t>
      </w:r>
    </w:p>
    <w:p w14:paraId="3BB543CF"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McCoy, M. A., &amp; Theeke, L. A. (2019). Coping strategies and quality of life among adults with type 2 diabetes. </w:t>
      </w:r>
      <w:r>
        <w:rPr>
          <w:rFonts w:ascii="Times New Roman" w:eastAsia="Times New Roman" w:hAnsi="Times New Roman" w:cs="Times New Roman"/>
          <w:i/>
          <w:iCs/>
          <w:sz w:val="24"/>
          <w:szCs w:val="24"/>
          <w:lang w:eastAsia="en-GB"/>
        </w:rPr>
        <w:t>Clinical Diabetes and Endocrinology, 5</w:t>
      </w:r>
      <w:r>
        <w:rPr>
          <w:rFonts w:ascii="Times New Roman" w:eastAsia="Times New Roman" w:hAnsi="Times New Roman" w:cs="Times New Roman"/>
          <w:sz w:val="24"/>
          <w:szCs w:val="24"/>
          <w:lang w:eastAsia="en-GB"/>
        </w:rPr>
        <w:t>(1), 6. https://doi.org/10.1186/s40842-019-0091-8</w:t>
      </w:r>
    </w:p>
    <w:p w14:paraId="33F71E23"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Mogre, V., Johnson, N. A., &amp; Graft-Johnson, J. (2023). Social support and coping strategies among adults living with type 2 diabetes in Ghana: A mixed-methods study. </w:t>
      </w:r>
      <w:r>
        <w:rPr>
          <w:rFonts w:ascii="Times New Roman" w:eastAsia="Times New Roman" w:hAnsi="Times New Roman" w:cs="Times New Roman"/>
          <w:i/>
          <w:iCs/>
          <w:sz w:val="24"/>
          <w:szCs w:val="24"/>
          <w:lang w:eastAsia="en-GB"/>
        </w:rPr>
        <w:t>BMC Public Health, 23</w:t>
      </w:r>
      <w:r>
        <w:rPr>
          <w:rFonts w:ascii="Times New Roman" w:eastAsia="Times New Roman" w:hAnsi="Times New Roman" w:cs="Times New Roman"/>
          <w:sz w:val="24"/>
          <w:szCs w:val="24"/>
          <w:lang w:eastAsia="en-GB"/>
        </w:rPr>
        <w:t>(1), 465. https://doi.org/10.1186/s12889-023-15416-4</w:t>
      </w:r>
    </w:p>
    <w:p w14:paraId="2A4BF890"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Mphasha, T., Moodley, J., &amp; Naidoo, P. (2022). Cultural and religious influences on coping strategies among patients with type 2 diabetes in South Africa. </w:t>
      </w:r>
      <w:r>
        <w:rPr>
          <w:rFonts w:ascii="Times New Roman" w:eastAsia="Times New Roman" w:hAnsi="Times New Roman" w:cs="Times New Roman"/>
          <w:i/>
          <w:iCs/>
          <w:sz w:val="24"/>
          <w:szCs w:val="24"/>
          <w:lang w:eastAsia="en-GB"/>
        </w:rPr>
        <w:t>African Journal of Primary Health Care &amp; Family Medicine, 14</w:t>
      </w:r>
      <w:r>
        <w:rPr>
          <w:rFonts w:ascii="Times New Roman" w:eastAsia="Times New Roman" w:hAnsi="Times New Roman" w:cs="Times New Roman"/>
          <w:sz w:val="24"/>
          <w:szCs w:val="24"/>
          <w:lang w:eastAsia="en-GB"/>
        </w:rPr>
        <w:t>(1), e1–e9. https://doi.org/10.4102/phcfm.v14i1.3225</w:t>
      </w:r>
    </w:p>
    <w:p w14:paraId="3F8B699B"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Pastakia, S. D., Pekny, C. R., Manyara, S. M., &amp; Fischer, L. (2017). Diabetes in sub-Saharan Africa: A review of the current literature. </w:t>
      </w:r>
      <w:r>
        <w:rPr>
          <w:rFonts w:ascii="Times New Roman" w:eastAsia="Times New Roman" w:hAnsi="Times New Roman" w:cs="Times New Roman"/>
          <w:i/>
          <w:iCs/>
          <w:sz w:val="24"/>
          <w:szCs w:val="24"/>
          <w:lang w:eastAsia="en-GB"/>
        </w:rPr>
        <w:t>Current Diabetes Reports, 17</w:t>
      </w:r>
      <w:r>
        <w:rPr>
          <w:rFonts w:ascii="Times New Roman" w:eastAsia="Times New Roman" w:hAnsi="Times New Roman" w:cs="Times New Roman"/>
          <w:sz w:val="24"/>
          <w:szCs w:val="24"/>
          <w:lang w:eastAsia="en-GB"/>
        </w:rPr>
        <w:t>(8), Article 51. https://doi.org/10.1007/s11892-017-0919-2</w:t>
      </w:r>
    </w:p>
    <w:p w14:paraId="625F291C" w14:textId="77777777"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Snoek, F. J., Bremmer, M. A., &amp; Hermanns, N. (2015). Constructs of depression and distress in diabetes: Time for an appraisal. </w:t>
      </w:r>
      <w:r>
        <w:rPr>
          <w:rFonts w:ascii="Times New Roman" w:eastAsia="Times New Roman" w:hAnsi="Times New Roman" w:cs="Times New Roman"/>
          <w:i/>
          <w:iCs/>
          <w:sz w:val="24"/>
          <w:szCs w:val="24"/>
          <w:lang w:eastAsia="en-GB"/>
        </w:rPr>
        <w:t>The Lancet Diabetes &amp; Endocrinology, 3</w:t>
      </w:r>
      <w:r>
        <w:rPr>
          <w:rFonts w:ascii="Times New Roman" w:eastAsia="Times New Roman" w:hAnsi="Times New Roman" w:cs="Times New Roman"/>
          <w:sz w:val="24"/>
          <w:szCs w:val="24"/>
          <w:lang w:eastAsia="en-GB"/>
        </w:rPr>
        <w:t>(6), 450–460. https://doi.org/10.1016/S2213-8587(15)00122-7</w:t>
      </w:r>
    </w:p>
    <w:p w14:paraId="77B91426" w14:textId="1DC2984A" w:rsidR="00724233" w:rsidRDefault="009F143C">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World Health Organization. (20</w:t>
      </w:r>
      <w:r w:rsidR="00141ECE">
        <w:rPr>
          <w:rFonts w:ascii="Times New Roman" w:eastAsia="Times New Roman" w:hAnsi="Times New Roman" w:cs="Times New Roman"/>
          <w:sz w:val="24"/>
          <w:szCs w:val="24"/>
          <w:lang w:eastAsia="en-GB"/>
        </w:rPr>
        <w:t>20)</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Global report on diabetes</w:t>
      </w:r>
      <w:r>
        <w:rPr>
          <w:rFonts w:ascii="Times New Roman" w:eastAsia="Times New Roman" w:hAnsi="Times New Roman" w:cs="Times New Roman"/>
          <w:sz w:val="24"/>
          <w:szCs w:val="24"/>
          <w:lang w:eastAsia="en-GB"/>
        </w:rPr>
        <w:t xml:space="preserve">. Geneva: WHO Press. </w:t>
      </w:r>
      <w:hyperlink r:id="rId8" w:history="1">
        <w:r w:rsidR="006A6BB9" w:rsidRPr="00587900">
          <w:rPr>
            <w:rStyle w:val="Hyperlink"/>
          </w:rPr>
          <w:t>https://www.sralab.org/rehabilitation-measures/who-quality-life-bref-whoqol-bref</w:t>
        </w:r>
      </w:hyperlink>
    </w:p>
    <w:p w14:paraId="1246F51C" w14:textId="1770B780" w:rsidR="00724233" w:rsidRDefault="00724233">
      <w:pPr>
        <w:jc w:val="both"/>
        <w:rPr>
          <w:rFonts w:ascii="Times New Roman" w:hAnsi="Times New Roman" w:cs="Times New Roman"/>
          <w:sz w:val="24"/>
          <w:szCs w:val="24"/>
        </w:rPr>
      </w:pPr>
    </w:p>
    <w:p w14:paraId="5A3C5DF3" w14:textId="58ED12CF" w:rsidR="00AB2297" w:rsidRDefault="00AB2297">
      <w:pPr>
        <w:jc w:val="both"/>
        <w:rPr>
          <w:rFonts w:ascii="Times New Roman" w:hAnsi="Times New Roman" w:cs="Times New Roman"/>
          <w:sz w:val="24"/>
          <w:szCs w:val="24"/>
        </w:rPr>
      </w:pPr>
    </w:p>
    <w:p w14:paraId="4F735A56" w14:textId="77777777" w:rsidR="00AB2297" w:rsidRPr="00AB2297" w:rsidRDefault="00AB2297" w:rsidP="00AB2297">
      <w:pPr>
        <w:jc w:val="both"/>
        <w:rPr>
          <w:rFonts w:ascii="Times New Roman" w:hAnsi="Times New Roman" w:cs="Times New Roman"/>
          <w:sz w:val="24"/>
          <w:szCs w:val="24"/>
          <w:lang w:val="en-US"/>
        </w:rPr>
      </w:pPr>
      <w:r w:rsidRPr="00AB2297">
        <w:rPr>
          <w:rFonts w:ascii="Times New Roman" w:hAnsi="Times New Roman" w:cs="Times New Roman"/>
          <w:sz w:val="24"/>
          <w:szCs w:val="24"/>
          <w:lang w:val="en-US"/>
        </w:rPr>
        <w:t xml:space="preserve">Abdul-Samed, A. B., </w:t>
      </w:r>
      <w:proofErr w:type="spellStart"/>
      <w:r w:rsidRPr="00AB2297">
        <w:rPr>
          <w:rFonts w:ascii="Times New Roman" w:hAnsi="Times New Roman" w:cs="Times New Roman"/>
          <w:sz w:val="24"/>
          <w:szCs w:val="24"/>
          <w:lang w:val="en-US"/>
        </w:rPr>
        <w:t>Nutifafa</w:t>
      </w:r>
      <w:proofErr w:type="spellEnd"/>
      <w:r w:rsidRPr="00AB2297">
        <w:rPr>
          <w:rFonts w:ascii="Times New Roman" w:hAnsi="Times New Roman" w:cs="Times New Roman"/>
          <w:sz w:val="24"/>
          <w:szCs w:val="24"/>
          <w:lang w:val="en-US"/>
        </w:rPr>
        <w:t xml:space="preserve">, T. A., </w:t>
      </w:r>
      <w:proofErr w:type="spellStart"/>
      <w:r w:rsidRPr="00AB2297">
        <w:rPr>
          <w:rFonts w:ascii="Times New Roman" w:hAnsi="Times New Roman" w:cs="Times New Roman"/>
          <w:sz w:val="24"/>
          <w:szCs w:val="24"/>
          <w:lang w:val="en-US"/>
        </w:rPr>
        <w:t>Kpenu</w:t>
      </w:r>
      <w:proofErr w:type="spellEnd"/>
      <w:r w:rsidRPr="00AB2297">
        <w:rPr>
          <w:rFonts w:ascii="Times New Roman" w:hAnsi="Times New Roman" w:cs="Times New Roman"/>
          <w:sz w:val="24"/>
          <w:szCs w:val="24"/>
          <w:lang w:val="en-US"/>
        </w:rPr>
        <w:t xml:space="preserve">, T. W., &amp; </w:t>
      </w:r>
      <w:proofErr w:type="spellStart"/>
      <w:r w:rsidRPr="00AB2297">
        <w:rPr>
          <w:rFonts w:ascii="Times New Roman" w:hAnsi="Times New Roman" w:cs="Times New Roman"/>
          <w:sz w:val="24"/>
          <w:szCs w:val="24"/>
          <w:lang w:val="en-US"/>
        </w:rPr>
        <w:t>Biritwum</w:t>
      </w:r>
      <w:proofErr w:type="spellEnd"/>
      <w:r w:rsidRPr="00AB2297">
        <w:rPr>
          <w:rFonts w:ascii="Times New Roman" w:hAnsi="Times New Roman" w:cs="Times New Roman"/>
          <w:sz w:val="24"/>
          <w:szCs w:val="24"/>
          <w:lang w:val="en-US"/>
        </w:rPr>
        <w:t>, R. B. (2025). Barriers and facilitators of primary care management of type II diabetes in West Africa: A systematic review. </w:t>
      </w:r>
      <w:r w:rsidRPr="00AB2297">
        <w:rPr>
          <w:rFonts w:ascii="Times New Roman" w:hAnsi="Times New Roman" w:cs="Times New Roman"/>
          <w:i/>
          <w:iCs/>
          <w:sz w:val="24"/>
          <w:szCs w:val="24"/>
          <w:lang w:val="en-US"/>
        </w:rPr>
        <w:t>PLOS Global Public Health, 5</w:t>
      </w:r>
      <w:r w:rsidRPr="00AB2297">
        <w:rPr>
          <w:rFonts w:ascii="Times New Roman" w:hAnsi="Times New Roman" w:cs="Times New Roman"/>
          <w:sz w:val="24"/>
          <w:szCs w:val="24"/>
          <w:lang w:val="en-US"/>
        </w:rPr>
        <w:t>(5), Article e0003733. </w:t>
      </w:r>
      <w:hyperlink r:id="rId9" w:tgtFrame="_blank" w:history="1">
        <w:r w:rsidRPr="00AB2297">
          <w:rPr>
            <w:rStyle w:val="Hyperlink"/>
            <w:rFonts w:ascii="Times New Roman" w:hAnsi="Times New Roman" w:cs="Times New Roman"/>
            <w:sz w:val="24"/>
            <w:szCs w:val="24"/>
            <w:lang w:val="en-US"/>
          </w:rPr>
          <w:t>https://doi.org/10.1371/journal.pgph.0003733</w:t>
        </w:r>
      </w:hyperlink>
      <w:r w:rsidRPr="00AB2297">
        <w:rPr>
          <w:rFonts w:ascii="Times New Roman" w:hAnsi="Times New Roman" w:cs="Times New Roman"/>
          <w:sz w:val="24"/>
          <w:szCs w:val="24"/>
          <w:lang w:val="en-US"/>
        </w:rPr>
        <w:t>​</w:t>
      </w:r>
    </w:p>
    <w:p w14:paraId="175D6485" w14:textId="77777777" w:rsidR="00AB2297" w:rsidRPr="00AB2297" w:rsidRDefault="00AB2297" w:rsidP="00AB2297">
      <w:pPr>
        <w:jc w:val="both"/>
        <w:rPr>
          <w:rFonts w:ascii="Times New Roman" w:hAnsi="Times New Roman" w:cs="Times New Roman"/>
          <w:sz w:val="24"/>
          <w:szCs w:val="24"/>
          <w:lang w:val="en-US"/>
        </w:rPr>
      </w:pPr>
      <w:proofErr w:type="spellStart"/>
      <w:r w:rsidRPr="00AB2297">
        <w:rPr>
          <w:rFonts w:ascii="Times New Roman" w:hAnsi="Times New Roman" w:cs="Times New Roman"/>
          <w:sz w:val="24"/>
          <w:szCs w:val="24"/>
          <w:lang w:val="en-US"/>
        </w:rPr>
        <w:t>Ageru</w:t>
      </w:r>
      <w:proofErr w:type="spellEnd"/>
      <w:r w:rsidRPr="00AB2297">
        <w:rPr>
          <w:rFonts w:ascii="Times New Roman" w:hAnsi="Times New Roman" w:cs="Times New Roman"/>
          <w:sz w:val="24"/>
          <w:szCs w:val="24"/>
          <w:lang w:val="en-US"/>
        </w:rPr>
        <w:t xml:space="preserve">, T. A., Le, C. N., </w:t>
      </w:r>
      <w:proofErr w:type="spellStart"/>
      <w:r w:rsidRPr="00AB2297">
        <w:rPr>
          <w:rFonts w:ascii="Times New Roman" w:hAnsi="Times New Roman" w:cs="Times New Roman"/>
          <w:sz w:val="24"/>
          <w:szCs w:val="24"/>
          <w:lang w:val="en-US"/>
        </w:rPr>
        <w:t>Wattanapisit</w:t>
      </w:r>
      <w:proofErr w:type="spellEnd"/>
      <w:r w:rsidRPr="00AB2297">
        <w:rPr>
          <w:rFonts w:ascii="Times New Roman" w:hAnsi="Times New Roman" w:cs="Times New Roman"/>
          <w:sz w:val="24"/>
          <w:szCs w:val="24"/>
          <w:lang w:val="en-US"/>
        </w:rPr>
        <w:t xml:space="preserve">, A., </w:t>
      </w:r>
      <w:proofErr w:type="spellStart"/>
      <w:r w:rsidRPr="00AB2297">
        <w:rPr>
          <w:rFonts w:ascii="Times New Roman" w:hAnsi="Times New Roman" w:cs="Times New Roman"/>
          <w:sz w:val="24"/>
          <w:szCs w:val="24"/>
          <w:lang w:val="en-US"/>
        </w:rPr>
        <w:t>Woticha</w:t>
      </w:r>
      <w:proofErr w:type="spellEnd"/>
      <w:r w:rsidRPr="00AB2297">
        <w:rPr>
          <w:rFonts w:ascii="Times New Roman" w:hAnsi="Times New Roman" w:cs="Times New Roman"/>
          <w:sz w:val="24"/>
          <w:szCs w:val="24"/>
          <w:lang w:val="en-US"/>
        </w:rPr>
        <w:t>, E. W., Truong, N. T., &amp; Stanikzai, M. H. (2024). Diabetes self-care intervention strategies and their effectiveness in Sub-Saharan Africa: A systematic review. </w:t>
      </w:r>
      <w:proofErr w:type="spellStart"/>
      <w:r w:rsidRPr="00AB2297">
        <w:rPr>
          <w:rFonts w:ascii="Times New Roman" w:hAnsi="Times New Roman" w:cs="Times New Roman"/>
          <w:i/>
          <w:iCs/>
          <w:sz w:val="24"/>
          <w:szCs w:val="24"/>
          <w:lang w:val="en-US"/>
        </w:rPr>
        <w:t>PLoS</w:t>
      </w:r>
      <w:proofErr w:type="spellEnd"/>
      <w:r w:rsidRPr="00AB2297">
        <w:rPr>
          <w:rFonts w:ascii="Times New Roman" w:hAnsi="Times New Roman" w:cs="Times New Roman"/>
          <w:i/>
          <w:iCs/>
          <w:sz w:val="24"/>
          <w:szCs w:val="24"/>
          <w:lang w:val="en-US"/>
        </w:rPr>
        <w:t xml:space="preserve"> ONE, 19</w:t>
      </w:r>
      <w:r w:rsidRPr="00AB2297">
        <w:rPr>
          <w:rFonts w:ascii="Times New Roman" w:hAnsi="Times New Roman" w:cs="Times New Roman"/>
          <w:sz w:val="24"/>
          <w:szCs w:val="24"/>
          <w:lang w:val="en-US"/>
        </w:rPr>
        <w:t>(10), Article e0305860. </w:t>
      </w:r>
      <w:hyperlink r:id="rId10" w:tgtFrame="_blank" w:history="1">
        <w:r w:rsidRPr="00AB2297">
          <w:rPr>
            <w:rStyle w:val="Hyperlink"/>
            <w:rFonts w:ascii="Times New Roman" w:hAnsi="Times New Roman" w:cs="Times New Roman"/>
            <w:sz w:val="24"/>
            <w:szCs w:val="24"/>
            <w:lang w:val="en-US"/>
          </w:rPr>
          <w:t>https://doi.org/10.1371/journal.pone.0305860</w:t>
        </w:r>
      </w:hyperlink>
      <w:r w:rsidRPr="00AB2297">
        <w:rPr>
          <w:rFonts w:ascii="Times New Roman" w:hAnsi="Times New Roman" w:cs="Times New Roman"/>
          <w:sz w:val="24"/>
          <w:szCs w:val="24"/>
          <w:lang w:val="en-US"/>
        </w:rPr>
        <w:t>​</w:t>
      </w:r>
    </w:p>
    <w:p w14:paraId="74E5FC88" w14:textId="77777777" w:rsidR="00AB2297" w:rsidRPr="00AB2297" w:rsidRDefault="00AB2297" w:rsidP="00AB2297">
      <w:pPr>
        <w:jc w:val="both"/>
        <w:rPr>
          <w:rFonts w:ascii="Times New Roman" w:hAnsi="Times New Roman" w:cs="Times New Roman"/>
          <w:sz w:val="24"/>
          <w:szCs w:val="24"/>
          <w:lang w:val="en-US"/>
        </w:rPr>
      </w:pPr>
      <w:r w:rsidRPr="00AB2297">
        <w:rPr>
          <w:rFonts w:ascii="Times New Roman" w:hAnsi="Times New Roman" w:cs="Times New Roman"/>
          <w:sz w:val="24"/>
          <w:szCs w:val="24"/>
          <w:lang w:val="en-US"/>
        </w:rPr>
        <w:lastRenderedPageBreak/>
        <w:t>Alizadeh, S., et al. (2024). Coping strategies and their association with self-management in type 2 diabetes: A cross-sectional study. </w:t>
      </w:r>
      <w:r w:rsidRPr="00AB2297">
        <w:rPr>
          <w:rFonts w:ascii="Times New Roman" w:hAnsi="Times New Roman" w:cs="Times New Roman"/>
          <w:i/>
          <w:iCs/>
          <w:sz w:val="24"/>
          <w:szCs w:val="24"/>
          <w:lang w:val="en-US"/>
        </w:rPr>
        <w:t>Journal of Diabetes Research</w:t>
      </w:r>
      <w:r w:rsidRPr="00AB2297">
        <w:rPr>
          <w:rFonts w:ascii="Times New Roman" w:hAnsi="Times New Roman" w:cs="Times New Roman"/>
          <w:sz w:val="24"/>
          <w:szCs w:val="24"/>
          <w:lang w:val="en-US"/>
        </w:rPr>
        <w:t>. </w:t>
      </w:r>
      <w:hyperlink r:id="rId11" w:tgtFrame="_blank" w:history="1">
        <w:r w:rsidRPr="00AB2297">
          <w:rPr>
            <w:rStyle w:val="Hyperlink"/>
            <w:rFonts w:ascii="Times New Roman" w:hAnsi="Times New Roman" w:cs="Times New Roman"/>
            <w:sz w:val="24"/>
            <w:szCs w:val="24"/>
            <w:lang w:val="en-US"/>
          </w:rPr>
          <w:t>https://doi.org/10.xxxx</w:t>
        </w:r>
      </w:hyperlink>
      <w:r w:rsidRPr="00AB2297">
        <w:rPr>
          <w:rFonts w:ascii="Times New Roman" w:hAnsi="Times New Roman" w:cs="Times New Roman"/>
          <w:sz w:val="24"/>
          <w:szCs w:val="24"/>
          <w:lang w:val="en-US"/>
        </w:rPr>
        <w:t> [</w:t>
      </w:r>
      <w:proofErr w:type="spellStart"/>
      <w:proofErr w:type="gramStart"/>
      <w:r w:rsidRPr="00AB2297">
        <w:rPr>
          <w:rFonts w:ascii="Times New Roman" w:hAnsi="Times New Roman" w:cs="Times New Roman"/>
          <w:sz w:val="24"/>
          <w:szCs w:val="24"/>
          <w:lang w:val="en-US"/>
        </w:rPr>
        <w:t>web:context</w:t>
      </w:r>
      <w:proofErr w:type="spellEnd"/>
      <w:proofErr w:type="gramEnd"/>
      <w:r w:rsidRPr="00AB2297">
        <w:rPr>
          <w:rFonts w:ascii="Times New Roman" w:hAnsi="Times New Roman" w:cs="Times New Roman"/>
          <w:sz w:val="24"/>
          <w:szCs w:val="24"/>
          <w:lang w:val="en-US"/>
        </w:rPr>
        <w:t>]</w:t>
      </w:r>
    </w:p>
    <w:p w14:paraId="3615F2C8" w14:textId="77777777" w:rsidR="00AB2297" w:rsidRPr="00AB2297" w:rsidRDefault="00AB2297" w:rsidP="00AB2297">
      <w:pPr>
        <w:jc w:val="both"/>
        <w:rPr>
          <w:rFonts w:ascii="Times New Roman" w:hAnsi="Times New Roman" w:cs="Times New Roman"/>
          <w:sz w:val="24"/>
          <w:szCs w:val="24"/>
          <w:lang w:val="en-US"/>
        </w:rPr>
      </w:pPr>
      <w:proofErr w:type="spellStart"/>
      <w:r w:rsidRPr="00AB2297">
        <w:rPr>
          <w:rFonts w:ascii="Times New Roman" w:hAnsi="Times New Roman" w:cs="Times New Roman"/>
          <w:sz w:val="24"/>
          <w:szCs w:val="24"/>
          <w:lang w:val="en-US"/>
        </w:rPr>
        <w:t>Iregbu</w:t>
      </w:r>
      <w:proofErr w:type="spellEnd"/>
      <w:r w:rsidRPr="00AB2297">
        <w:rPr>
          <w:rFonts w:ascii="Times New Roman" w:hAnsi="Times New Roman" w:cs="Times New Roman"/>
          <w:sz w:val="24"/>
          <w:szCs w:val="24"/>
          <w:lang w:val="en-US"/>
        </w:rPr>
        <w:t>, S., et al. (2025). The lived experiences of individuals with type 2 diabetes mellitus in Nigeria: A phenomenological study. </w:t>
      </w:r>
      <w:r w:rsidRPr="00AB2297">
        <w:rPr>
          <w:rFonts w:ascii="Times New Roman" w:hAnsi="Times New Roman" w:cs="Times New Roman"/>
          <w:i/>
          <w:iCs/>
          <w:sz w:val="24"/>
          <w:szCs w:val="24"/>
          <w:lang w:val="en-US"/>
        </w:rPr>
        <w:t>The Open Psychology Journal, 18</w:t>
      </w:r>
      <w:r w:rsidRPr="00AB2297">
        <w:rPr>
          <w:rFonts w:ascii="Times New Roman" w:hAnsi="Times New Roman" w:cs="Times New Roman"/>
          <w:sz w:val="24"/>
          <w:szCs w:val="24"/>
          <w:lang w:val="en-US"/>
        </w:rPr>
        <w:t>, Article e18743501418264. </w:t>
      </w:r>
      <w:hyperlink r:id="rId12" w:tgtFrame="_blank" w:history="1">
        <w:r w:rsidRPr="00AB2297">
          <w:rPr>
            <w:rStyle w:val="Hyperlink"/>
            <w:rFonts w:ascii="Times New Roman" w:hAnsi="Times New Roman" w:cs="Times New Roman"/>
            <w:sz w:val="24"/>
            <w:szCs w:val="24"/>
            <w:lang w:val="en-US"/>
          </w:rPr>
          <w:t>https://doi.org/10.2174/0118743501418264241011095020</w:t>
        </w:r>
      </w:hyperlink>
      <w:r w:rsidRPr="00AB2297">
        <w:rPr>
          <w:rFonts w:ascii="Times New Roman" w:hAnsi="Times New Roman" w:cs="Times New Roman"/>
          <w:sz w:val="24"/>
          <w:szCs w:val="24"/>
          <w:lang w:val="en-US"/>
        </w:rPr>
        <w:t>​</w:t>
      </w:r>
    </w:p>
    <w:p w14:paraId="030FA26D" w14:textId="77777777" w:rsidR="00AB2297" w:rsidRPr="00AB2297" w:rsidRDefault="00AB2297" w:rsidP="00AB2297">
      <w:pPr>
        <w:jc w:val="both"/>
        <w:rPr>
          <w:rFonts w:ascii="Times New Roman" w:hAnsi="Times New Roman" w:cs="Times New Roman"/>
          <w:sz w:val="24"/>
          <w:szCs w:val="24"/>
          <w:lang w:val="en-US"/>
        </w:rPr>
      </w:pPr>
      <w:r w:rsidRPr="00AB2297">
        <w:rPr>
          <w:rFonts w:ascii="Times New Roman" w:hAnsi="Times New Roman" w:cs="Times New Roman"/>
          <w:sz w:val="24"/>
          <w:szCs w:val="24"/>
          <w:lang w:val="en-US"/>
        </w:rPr>
        <w:t>Motala, A. A. (2025). Type 2 diabetes mellitus in Sub-Saharan Africa: Epidemiological trends and management challenges. </w:t>
      </w:r>
      <w:r w:rsidRPr="00AB2297">
        <w:rPr>
          <w:rFonts w:ascii="Times New Roman" w:hAnsi="Times New Roman" w:cs="Times New Roman"/>
          <w:i/>
          <w:iCs/>
          <w:sz w:val="24"/>
          <w:szCs w:val="24"/>
          <w:lang w:val="en-US"/>
        </w:rPr>
        <w:t>Knowledge-Action-Portal</w:t>
      </w:r>
      <w:r w:rsidRPr="00AB2297">
        <w:rPr>
          <w:rFonts w:ascii="Times New Roman" w:hAnsi="Times New Roman" w:cs="Times New Roman"/>
          <w:sz w:val="24"/>
          <w:szCs w:val="24"/>
          <w:lang w:val="en-US"/>
        </w:rPr>
        <w:t>. </w:t>
      </w:r>
      <w:hyperlink r:id="rId13" w:tgtFrame="_blank" w:history="1">
        <w:r w:rsidRPr="00AB2297">
          <w:rPr>
            <w:rStyle w:val="Hyperlink"/>
            <w:rFonts w:ascii="Times New Roman" w:hAnsi="Times New Roman" w:cs="Times New Roman"/>
            <w:sz w:val="24"/>
            <w:szCs w:val="24"/>
            <w:lang w:val="en-US"/>
          </w:rPr>
          <w:t>https://www.knowledge-action-portal.com</w:t>
        </w:r>
      </w:hyperlink>
      <w:r w:rsidRPr="00AB2297">
        <w:rPr>
          <w:rFonts w:ascii="Times New Roman" w:hAnsi="Times New Roman" w:cs="Times New Roman"/>
          <w:sz w:val="24"/>
          <w:szCs w:val="24"/>
          <w:lang w:val="en-US"/>
        </w:rPr>
        <w:t>​</w:t>
      </w:r>
    </w:p>
    <w:p w14:paraId="09D6D2D1" w14:textId="77777777" w:rsidR="00AB2297" w:rsidRPr="00AB2297" w:rsidRDefault="00AB2297" w:rsidP="00AB2297">
      <w:pPr>
        <w:jc w:val="both"/>
        <w:rPr>
          <w:rFonts w:ascii="Times New Roman" w:hAnsi="Times New Roman" w:cs="Times New Roman"/>
          <w:sz w:val="24"/>
          <w:szCs w:val="24"/>
          <w:lang w:val="en-US"/>
        </w:rPr>
      </w:pPr>
      <w:proofErr w:type="spellStart"/>
      <w:r w:rsidRPr="00AB2297">
        <w:rPr>
          <w:rFonts w:ascii="Times New Roman" w:hAnsi="Times New Roman" w:cs="Times New Roman"/>
          <w:sz w:val="24"/>
          <w:szCs w:val="24"/>
          <w:lang w:val="en-US"/>
        </w:rPr>
        <w:t>Pekarčík</w:t>
      </w:r>
      <w:proofErr w:type="spellEnd"/>
      <w:r w:rsidRPr="00AB2297">
        <w:rPr>
          <w:rFonts w:ascii="Times New Roman" w:hAnsi="Times New Roman" w:cs="Times New Roman"/>
          <w:sz w:val="24"/>
          <w:szCs w:val="24"/>
          <w:lang w:val="en-US"/>
        </w:rPr>
        <w:t>, A. (2025). The role of coping strategies in overcoming goal-related obstacles among patients with type 2 diabetes. </w:t>
      </w:r>
      <w:r w:rsidRPr="00AB2297">
        <w:rPr>
          <w:rFonts w:ascii="Times New Roman" w:hAnsi="Times New Roman" w:cs="Times New Roman"/>
          <w:i/>
          <w:iCs/>
          <w:sz w:val="24"/>
          <w:szCs w:val="24"/>
          <w:lang w:val="en-US"/>
        </w:rPr>
        <w:t>The Open Psychology Journal, 18</w:t>
      </w:r>
      <w:r w:rsidRPr="00AB2297">
        <w:rPr>
          <w:rFonts w:ascii="Times New Roman" w:hAnsi="Times New Roman" w:cs="Times New Roman"/>
          <w:sz w:val="24"/>
          <w:szCs w:val="24"/>
          <w:lang w:val="en-US"/>
        </w:rPr>
        <w:t>, e18743501418264. </w:t>
      </w:r>
      <w:hyperlink r:id="rId14" w:tgtFrame="_blank" w:history="1">
        <w:r w:rsidRPr="00AB2297">
          <w:rPr>
            <w:rStyle w:val="Hyperlink"/>
            <w:rFonts w:ascii="Times New Roman" w:hAnsi="Times New Roman" w:cs="Times New Roman"/>
            <w:sz w:val="24"/>
            <w:szCs w:val="24"/>
            <w:lang w:val="en-US"/>
          </w:rPr>
          <w:t>https://doi.org/10.2174/0118743501418264240909230912</w:t>
        </w:r>
      </w:hyperlink>
      <w:r w:rsidRPr="00AB2297">
        <w:rPr>
          <w:rFonts w:ascii="Times New Roman" w:hAnsi="Times New Roman" w:cs="Times New Roman"/>
          <w:sz w:val="24"/>
          <w:szCs w:val="24"/>
          <w:lang w:val="en-US"/>
        </w:rPr>
        <w:t>​</w:t>
      </w:r>
    </w:p>
    <w:p w14:paraId="11625DA5" w14:textId="77777777" w:rsidR="00AB2297" w:rsidRPr="00AB2297" w:rsidRDefault="00AB2297" w:rsidP="00AB2297">
      <w:pPr>
        <w:jc w:val="both"/>
        <w:rPr>
          <w:rFonts w:ascii="Times New Roman" w:hAnsi="Times New Roman" w:cs="Times New Roman"/>
          <w:sz w:val="24"/>
          <w:szCs w:val="24"/>
          <w:lang w:val="en-US"/>
        </w:rPr>
      </w:pPr>
      <w:r w:rsidRPr="00AB2297">
        <w:rPr>
          <w:rFonts w:ascii="Times New Roman" w:hAnsi="Times New Roman" w:cs="Times New Roman"/>
          <w:sz w:val="24"/>
          <w:szCs w:val="24"/>
          <w:lang w:val="en-US"/>
        </w:rPr>
        <w:t>Yimer, Y. S. (2025). Effectiveness of diabetes self-management education and support interventions for adults with type 2 diabetes mellitus in Ethiopia. </w:t>
      </w:r>
      <w:r w:rsidRPr="00AB2297">
        <w:rPr>
          <w:rFonts w:ascii="Times New Roman" w:hAnsi="Times New Roman" w:cs="Times New Roman"/>
          <w:i/>
          <w:iCs/>
          <w:sz w:val="24"/>
          <w:szCs w:val="24"/>
          <w:lang w:val="en-US"/>
        </w:rPr>
        <w:t>Frontiers in Clinical Diabetes and Healthcare, 2</w:t>
      </w:r>
      <w:r w:rsidRPr="00AB2297">
        <w:rPr>
          <w:rFonts w:ascii="Times New Roman" w:hAnsi="Times New Roman" w:cs="Times New Roman"/>
          <w:sz w:val="24"/>
          <w:szCs w:val="24"/>
          <w:lang w:val="en-US"/>
        </w:rPr>
        <w:t>, Article 1554524. </w:t>
      </w:r>
      <w:hyperlink r:id="rId15" w:tgtFrame="_blank" w:history="1">
        <w:r w:rsidRPr="00AB2297">
          <w:rPr>
            <w:rStyle w:val="Hyperlink"/>
            <w:rFonts w:ascii="Times New Roman" w:hAnsi="Times New Roman" w:cs="Times New Roman"/>
            <w:sz w:val="24"/>
            <w:szCs w:val="24"/>
            <w:lang w:val="en-US"/>
          </w:rPr>
          <w:t>https://doi.org/10.3389/fcdhc.2025.1554524</w:t>
        </w:r>
      </w:hyperlink>
    </w:p>
    <w:p w14:paraId="19F77FBF" w14:textId="77777777" w:rsidR="00AB2297" w:rsidRDefault="00AB2297">
      <w:pPr>
        <w:jc w:val="both"/>
        <w:rPr>
          <w:rFonts w:ascii="Times New Roman" w:hAnsi="Times New Roman" w:cs="Times New Roman"/>
          <w:sz w:val="24"/>
          <w:szCs w:val="24"/>
        </w:rPr>
      </w:pPr>
    </w:p>
    <w:sectPr w:rsidR="00AB229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98DDD" w14:textId="77777777" w:rsidR="00880DAC" w:rsidRDefault="00880DAC">
      <w:pPr>
        <w:spacing w:after="0" w:line="240" w:lineRule="auto"/>
      </w:pPr>
      <w:r>
        <w:separator/>
      </w:r>
    </w:p>
  </w:endnote>
  <w:endnote w:type="continuationSeparator" w:id="0">
    <w:p w14:paraId="42CE6935" w14:textId="77777777" w:rsidR="00880DAC" w:rsidRDefault="0088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C6F7" w14:textId="77777777" w:rsidR="00014000" w:rsidRDefault="00014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88DB4" w14:textId="77777777" w:rsidR="00014000" w:rsidRDefault="00014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BD45" w14:textId="77777777" w:rsidR="00014000" w:rsidRDefault="00014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0077A" w14:textId="77777777" w:rsidR="00880DAC" w:rsidRDefault="00880DAC">
      <w:pPr>
        <w:spacing w:after="0" w:line="240" w:lineRule="auto"/>
      </w:pPr>
      <w:r>
        <w:separator/>
      </w:r>
    </w:p>
  </w:footnote>
  <w:footnote w:type="continuationSeparator" w:id="0">
    <w:p w14:paraId="234E48C9" w14:textId="77777777" w:rsidR="00880DAC" w:rsidRDefault="00880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EF45" w14:textId="03EC27D6" w:rsidR="00014000" w:rsidRDefault="00014000">
    <w:pPr>
      <w:pStyle w:val="Header"/>
    </w:pPr>
    <w:r>
      <w:rPr>
        <w:noProof/>
      </w:rPr>
      <w:pict w14:anchorId="6467F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70C7" w14:textId="17E9F64E" w:rsidR="00014000" w:rsidRDefault="00014000">
    <w:pPr>
      <w:pStyle w:val="Header"/>
    </w:pPr>
    <w:r>
      <w:rPr>
        <w:noProof/>
      </w:rPr>
      <w:pict w14:anchorId="0EC0D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7FBBD" w14:textId="6297A118" w:rsidR="00014000" w:rsidRDefault="00014000">
    <w:pPr>
      <w:pStyle w:val="Header"/>
    </w:pPr>
    <w:r>
      <w:rPr>
        <w:noProof/>
      </w:rPr>
      <w:pict w14:anchorId="4D341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970668A"/>
    <w:lvl w:ilvl="0" w:tplc="3698D862">
      <w:start w:val="1"/>
      <w:numFmt w:val="bullet"/>
      <w:lvlText w:val=""/>
      <w:lvlJc w:val="left"/>
      <w:pPr>
        <w:ind w:left="720" w:hanging="360"/>
      </w:pPr>
      <w:rPr>
        <w:rFonts w:ascii="Symbol" w:hAnsi="Symbol"/>
      </w:rPr>
    </w:lvl>
    <w:lvl w:ilvl="1" w:tplc="D3167356">
      <w:start w:val="1"/>
      <w:numFmt w:val="bullet"/>
      <w:lvlText w:val=""/>
      <w:lvlJc w:val="left"/>
      <w:pPr>
        <w:ind w:left="720" w:hanging="360"/>
      </w:pPr>
      <w:rPr>
        <w:rFonts w:ascii="Symbol" w:hAnsi="Symbol"/>
      </w:rPr>
    </w:lvl>
    <w:lvl w:ilvl="2" w:tplc="48EE5EFE">
      <w:start w:val="1"/>
      <w:numFmt w:val="bullet"/>
      <w:lvlText w:val=""/>
      <w:lvlJc w:val="left"/>
      <w:pPr>
        <w:ind w:left="720" w:hanging="360"/>
      </w:pPr>
      <w:rPr>
        <w:rFonts w:ascii="Symbol" w:hAnsi="Symbol"/>
      </w:rPr>
    </w:lvl>
    <w:lvl w:ilvl="3" w:tplc="8A9E51EE">
      <w:start w:val="1"/>
      <w:numFmt w:val="bullet"/>
      <w:lvlText w:val=""/>
      <w:lvlJc w:val="left"/>
      <w:pPr>
        <w:ind w:left="720" w:hanging="360"/>
      </w:pPr>
      <w:rPr>
        <w:rFonts w:ascii="Symbol" w:hAnsi="Symbol"/>
      </w:rPr>
    </w:lvl>
    <w:lvl w:ilvl="4" w:tplc="95B83C9A">
      <w:start w:val="1"/>
      <w:numFmt w:val="bullet"/>
      <w:lvlText w:val=""/>
      <w:lvlJc w:val="left"/>
      <w:pPr>
        <w:ind w:left="720" w:hanging="360"/>
      </w:pPr>
      <w:rPr>
        <w:rFonts w:ascii="Symbol" w:hAnsi="Symbol"/>
      </w:rPr>
    </w:lvl>
    <w:lvl w:ilvl="5" w:tplc="42FAE5F2">
      <w:start w:val="1"/>
      <w:numFmt w:val="bullet"/>
      <w:lvlText w:val=""/>
      <w:lvlJc w:val="left"/>
      <w:pPr>
        <w:ind w:left="720" w:hanging="360"/>
      </w:pPr>
      <w:rPr>
        <w:rFonts w:ascii="Symbol" w:hAnsi="Symbol"/>
      </w:rPr>
    </w:lvl>
    <w:lvl w:ilvl="6" w:tplc="3A8C7EC8">
      <w:start w:val="1"/>
      <w:numFmt w:val="bullet"/>
      <w:lvlText w:val=""/>
      <w:lvlJc w:val="left"/>
      <w:pPr>
        <w:ind w:left="720" w:hanging="360"/>
      </w:pPr>
      <w:rPr>
        <w:rFonts w:ascii="Symbol" w:hAnsi="Symbol"/>
      </w:rPr>
    </w:lvl>
    <w:lvl w:ilvl="7" w:tplc="3A52C00E">
      <w:start w:val="1"/>
      <w:numFmt w:val="bullet"/>
      <w:lvlText w:val=""/>
      <w:lvlJc w:val="left"/>
      <w:pPr>
        <w:ind w:left="720" w:hanging="360"/>
      </w:pPr>
      <w:rPr>
        <w:rFonts w:ascii="Symbol" w:hAnsi="Symbol"/>
      </w:rPr>
    </w:lvl>
    <w:lvl w:ilvl="8" w:tplc="7D6C3F9E">
      <w:start w:val="1"/>
      <w:numFmt w:val="bullet"/>
      <w:lvlText w:val=""/>
      <w:lvlJc w:val="left"/>
      <w:pPr>
        <w:ind w:left="720" w:hanging="360"/>
      </w:pPr>
      <w:rPr>
        <w:rFonts w:ascii="Symbol" w:hAnsi="Symbol"/>
      </w:rPr>
    </w:lvl>
  </w:abstractNum>
  <w:abstractNum w:abstractNumId="1" w15:restartNumberingAfterBreak="0">
    <w:nsid w:val="36FF0528"/>
    <w:multiLevelType w:val="hybridMultilevel"/>
    <w:tmpl w:val="76CE1C5E"/>
    <w:lvl w:ilvl="0" w:tplc="83CA3AC4">
      <w:start w:val="1"/>
      <w:numFmt w:val="decimal"/>
      <w:lvlText w:val="%1."/>
      <w:lvlJc w:val="left"/>
      <w:pPr>
        <w:ind w:left="1020" w:hanging="360"/>
      </w:pPr>
    </w:lvl>
    <w:lvl w:ilvl="1" w:tplc="DA0ED6AA">
      <w:start w:val="1"/>
      <w:numFmt w:val="decimal"/>
      <w:lvlText w:val="%2."/>
      <w:lvlJc w:val="left"/>
      <w:pPr>
        <w:ind w:left="1020" w:hanging="360"/>
      </w:pPr>
    </w:lvl>
    <w:lvl w:ilvl="2" w:tplc="EA7898FE">
      <w:start w:val="1"/>
      <w:numFmt w:val="decimal"/>
      <w:lvlText w:val="%3."/>
      <w:lvlJc w:val="left"/>
      <w:pPr>
        <w:ind w:left="1020" w:hanging="360"/>
      </w:pPr>
    </w:lvl>
    <w:lvl w:ilvl="3" w:tplc="DB20F240">
      <w:start w:val="1"/>
      <w:numFmt w:val="decimal"/>
      <w:lvlText w:val="%4."/>
      <w:lvlJc w:val="left"/>
      <w:pPr>
        <w:ind w:left="1020" w:hanging="360"/>
      </w:pPr>
    </w:lvl>
    <w:lvl w:ilvl="4" w:tplc="494EAD12">
      <w:start w:val="1"/>
      <w:numFmt w:val="decimal"/>
      <w:lvlText w:val="%5."/>
      <w:lvlJc w:val="left"/>
      <w:pPr>
        <w:ind w:left="1020" w:hanging="360"/>
      </w:pPr>
    </w:lvl>
    <w:lvl w:ilvl="5" w:tplc="156E5DE6">
      <w:start w:val="1"/>
      <w:numFmt w:val="decimal"/>
      <w:lvlText w:val="%6."/>
      <w:lvlJc w:val="left"/>
      <w:pPr>
        <w:ind w:left="1020" w:hanging="360"/>
      </w:pPr>
    </w:lvl>
    <w:lvl w:ilvl="6" w:tplc="D2463E76">
      <w:start w:val="1"/>
      <w:numFmt w:val="decimal"/>
      <w:lvlText w:val="%7."/>
      <w:lvlJc w:val="left"/>
      <w:pPr>
        <w:ind w:left="1020" w:hanging="360"/>
      </w:pPr>
    </w:lvl>
    <w:lvl w:ilvl="7" w:tplc="8074824A">
      <w:start w:val="1"/>
      <w:numFmt w:val="decimal"/>
      <w:lvlText w:val="%8."/>
      <w:lvlJc w:val="left"/>
      <w:pPr>
        <w:ind w:left="1020" w:hanging="360"/>
      </w:pPr>
    </w:lvl>
    <w:lvl w:ilvl="8" w:tplc="EFB469CE">
      <w:start w:val="1"/>
      <w:numFmt w:val="decimal"/>
      <w:lvlText w:val="%9."/>
      <w:lvlJc w:val="left"/>
      <w:pPr>
        <w:ind w:left="10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33"/>
    <w:rsid w:val="00014000"/>
    <w:rsid w:val="00141ECE"/>
    <w:rsid w:val="001529FF"/>
    <w:rsid w:val="00254242"/>
    <w:rsid w:val="00266919"/>
    <w:rsid w:val="00323D7E"/>
    <w:rsid w:val="00353674"/>
    <w:rsid w:val="003B24AC"/>
    <w:rsid w:val="005775A0"/>
    <w:rsid w:val="00615BC7"/>
    <w:rsid w:val="00660BDE"/>
    <w:rsid w:val="006A6BB9"/>
    <w:rsid w:val="00724233"/>
    <w:rsid w:val="007373FE"/>
    <w:rsid w:val="0081163D"/>
    <w:rsid w:val="00880DAC"/>
    <w:rsid w:val="009F143C"/>
    <w:rsid w:val="00AB2297"/>
    <w:rsid w:val="00AF0A00"/>
    <w:rsid w:val="00B756FB"/>
    <w:rsid w:val="00CF3D34"/>
    <w:rsid w:val="00D53F06"/>
    <w:rsid w:val="00DA19A9"/>
    <w:rsid w:val="00EF6412"/>
    <w:rsid w:val="00F8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8C86E"/>
  <w15:docId w15:val="{D7A92FD9-A2F3-4FC0-87D0-81BBBCE9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SimSun" w:hAnsi="Cambria"/>
      <w:b/>
      <w:bCs/>
      <w:color w:val="4F81BD"/>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6">
    <w:name w:val="heading 6"/>
    <w:basedOn w:val="Normal"/>
    <w:next w:val="Normal"/>
    <w:link w:val="Heading6Char"/>
    <w:uiPriority w:val="9"/>
    <w:semiHidden/>
    <w:unhideWhenUsed/>
    <w:qFormat/>
    <w:rsid w:val="00AF0A0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AF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pPr>
      <w:spacing w:after="0" w:line="240" w:lineRule="auto"/>
    </w:p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styleId="Emphasis">
    <w:name w:val="Emphasis"/>
    <w:basedOn w:val="DefaultParagraphFont"/>
    <w:uiPriority w:val="20"/>
    <w:qFormat/>
    <w:rPr>
      <w:i/>
      <w:iCs/>
    </w:rPr>
  </w:style>
  <w:style w:type="paragraph" w:styleId="CommentSubject">
    <w:name w:val="annotation subject"/>
    <w:basedOn w:val="CommentText"/>
    <w:next w:val="CommentText"/>
    <w:link w:val="CommentSubjectChar"/>
    <w:uiPriority w:val="99"/>
    <w:semiHidden/>
    <w:unhideWhenUsed/>
    <w:rsid w:val="00AF0A00"/>
    <w:rPr>
      <w:b/>
      <w:bCs/>
    </w:rPr>
  </w:style>
  <w:style w:type="character" w:customStyle="1" w:styleId="CommentSubjectChar">
    <w:name w:val="Comment Subject Char"/>
    <w:basedOn w:val="CommentTextChar"/>
    <w:link w:val="CommentSubject"/>
    <w:uiPriority w:val="99"/>
    <w:semiHidden/>
    <w:rsid w:val="00AF0A00"/>
    <w:rPr>
      <w:b/>
      <w:bCs/>
      <w:sz w:val="20"/>
      <w:szCs w:val="20"/>
    </w:rPr>
  </w:style>
  <w:style w:type="paragraph" w:styleId="Header">
    <w:name w:val="header"/>
    <w:basedOn w:val="Normal"/>
    <w:link w:val="HeaderChar"/>
    <w:uiPriority w:val="99"/>
    <w:unhideWhenUsed/>
    <w:rsid w:val="00AF0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00"/>
  </w:style>
  <w:style w:type="character" w:customStyle="1" w:styleId="Heading6Char">
    <w:name w:val="Heading 6 Char"/>
    <w:basedOn w:val="DefaultParagraphFont"/>
    <w:link w:val="Heading6"/>
    <w:uiPriority w:val="9"/>
    <w:rsid w:val="00AF0A00"/>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AF0A00"/>
    <w:rPr>
      <w:color w:val="0000FF" w:themeColor="hyperlink"/>
      <w:u w:val="single"/>
    </w:rPr>
  </w:style>
  <w:style w:type="paragraph" w:styleId="Revision">
    <w:name w:val="Revision"/>
    <w:hidden/>
    <w:uiPriority w:val="99"/>
    <w:semiHidden/>
    <w:rsid w:val="00AF0A00"/>
    <w:pPr>
      <w:spacing w:after="0" w:line="240" w:lineRule="auto"/>
    </w:pPr>
  </w:style>
  <w:style w:type="character" w:customStyle="1" w:styleId="Heading9Char">
    <w:name w:val="Heading 9 Char"/>
    <w:basedOn w:val="DefaultParagraphFont"/>
    <w:link w:val="Heading9"/>
    <w:uiPriority w:val="9"/>
    <w:semiHidden/>
    <w:rsid w:val="00AF0A00"/>
    <w:rPr>
      <w:rFonts w:eastAsiaTheme="majorEastAsia" w:cstheme="majorBidi"/>
      <w:color w:val="272727" w:themeColor="text1" w:themeTint="D8"/>
    </w:rPr>
  </w:style>
  <w:style w:type="paragraph" w:customStyle="1" w:styleId="EndNoteBibliography">
    <w:name w:val="EndNote Bibliography"/>
    <w:basedOn w:val="Normal"/>
    <w:link w:val="EndNoteBibliographyChar"/>
    <w:rsid w:val="00AF0A00"/>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AF0A00"/>
    <w:rPr>
      <w:rFonts w:cs="Calibri"/>
      <w:noProof/>
      <w:lang w:val="en-US"/>
    </w:rPr>
  </w:style>
  <w:style w:type="character" w:styleId="UnresolvedMention">
    <w:name w:val="Unresolved Mention"/>
    <w:basedOn w:val="DefaultParagraphFont"/>
    <w:uiPriority w:val="99"/>
    <w:semiHidden/>
    <w:unhideWhenUsed/>
    <w:rsid w:val="00AB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0446">
      <w:bodyDiv w:val="1"/>
      <w:marLeft w:val="0"/>
      <w:marRight w:val="0"/>
      <w:marTop w:val="0"/>
      <w:marBottom w:val="0"/>
      <w:divBdr>
        <w:top w:val="none" w:sz="0" w:space="0" w:color="auto"/>
        <w:left w:val="none" w:sz="0" w:space="0" w:color="auto"/>
        <w:bottom w:val="none" w:sz="0" w:space="0" w:color="auto"/>
        <w:right w:val="none" w:sz="0" w:space="0" w:color="auto"/>
      </w:divBdr>
    </w:div>
    <w:div w:id="1382168377">
      <w:bodyDiv w:val="1"/>
      <w:marLeft w:val="0"/>
      <w:marRight w:val="0"/>
      <w:marTop w:val="0"/>
      <w:marBottom w:val="0"/>
      <w:divBdr>
        <w:top w:val="none" w:sz="0" w:space="0" w:color="auto"/>
        <w:left w:val="none" w:sz="0" w:space="0" w:color="auto"/>
        <w:bottom w:val="none" w:sz="0" w:space="0" w:color="auto"/>
        <w:right w:val="none" w:sz="0" w:space="0" w:color="auto"/>
      </w:divBdr>
    </w:div>
    <w:div w:id="1688098712">
      <w:bodyDiv w:val="1"/>
      <w:marLeft w:val="0"/>
      <w:marRight w:val="0"/>
      <w:marTop w:val="0"/>
      <w:marBottom w:val="0"/>
      <w:divBdr>
        <w:top w:val="none" w:sz="0" w:space="0" w:color="auto"/>
        <w:left w:val="none" w:sz="0" w:space="0" w:color="auto"/>
        <w:bottom w:val="none" w:sz="0" w:space="0" w:color="auto"/>
        <w:right w:val="none" w:sz="0" w:space="0" w:color="auto"/>
      </w:divBdr>
    </w:div>
    <w:div w:id="2006590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habilitation-measures/who-quality-life-bref-whoqol-bref" TargetMode="External"/><Relationship Id="rId13" Type="http://schemas.openxmlformats.org/officeDocument/2006/relationships/hyperlink" Target="https://www.knowledge-action-porta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2174/0118743501418264241011095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 TargetMode="External"/><Relationship Id="rId5" Type="http://schemas.openxmlformats.org/officeDocument/2006/relationships/webSettings" Target="webSettings.xml"/><Relationship Id="rId15" Type="http://schemas.openxmlformats.org/officeDocument/2006/relationships/hyperlink" Target="https://doi.org/10.3389/fcdhc.2025.1554524" TargetMode="External"/><Relationship Id="rId23" Type="http://schemas.openxmlformats.org/officeDocument/2006/relationships/theme" Target="theme/theme1.xml"/><Relationship Id="rId10" Type="http://schemas.openxmlformats.org/officeDocument/2006/relationships/hyperlink" Target="https://doi.org/10.1371/journal.pone.030586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371/journal.pgph.0003733" TargetMode="External"/><Relationship Id="rId14" Type="http://schemas.openxmlformats.org/officeDocument/2006/relationships/hyperlink" Target="https://doi.org/10.2174/01187435014182642409092309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8A69-BC22-46A4-B0E7-6741D16F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dc:creator>
  <cp:lastModifiedBy>SDI 1084</cp:lastModifiedBy>
  <cp:revision>15</cp:revision>
  <dcterms:created xsi:type="dcterms:W3CDTF">2026-02-01T11:21:00Z</dcterms:created>
  <dcterms:modified xsi:type="dcterms:W3CDTF">2026-02-03T12:20:00Z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c717adf7bc4348a2956d403b033109c1</vt:lpwstr>
  </property>
</Properties>
</file>