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B4E380" w14:textId="5BC33F97" w:rsidR="00636C39" w:rsidRPr="00636C39" w:rsidRDefault="00636C39" w:rsidP="00636C39">
      <w:pPr>
        <w:rPr>
          <w:b/>
          <w:u w:val="single"/>
        </w:rPr>
      </w:pPr>
      <w:r w:rsidRPr="00636C39">
        <w:rPr>
          <w:b/>
          <w:u w:val="single"/>
        </w:rPr>
        <w:t>Review Article</w:t>
      </w:r>
    </w:p>
    <w:p w14:paraId="264CE011" w14:textId="7F4EAFA2" w:rsidR="00A3560C" w:rsidRDefault="005E19A1">
      <w:pPr>
        <w:jc w:val="center"/>
      </w:pPr>
      <w:r>
        <w:rPr>
          <w:b/>
        </w:rPr>
        <w:t>Solid-Waste Valorization in Cementitious Binders: Feedstocks, Reaction Pathways, Performance, and Remaining Barriers — A Civil Engineering Review</w:t>
      </w:r>
    </w:p>
    <w:p w14:paraId="68D27131" w14:textId="77777777" w:rsidR="006C666E" w:rsidRDefault="006C666E" w:rsidP="00CA58D7">
      <w:pPr>
        <w:spacing w:after="0"/>
        <w:jc w:val="both"/>
        <w:rPr>
          <w:rFonts w:eastAsia="SimHei"/>
          <w:bCs/>
          <w:sz w:val="20"/>
          <w:szCs w:val="20"/>
        </w:rPr>
      </w:pPr>
      <w:bookmarkStart w:id="0" w:name="_GoBack"/>
      <w:bookmarkEnd w:id="0"/>
    </w:p>
    <w:p w14:paraId="6CF56DE4" w14:textId="77777777" w:rsidR="006C666E" w:rsidRPr="00CA58D7" w:rsidRDefault="006C666E" w:rsidP="00CA58D7">
      <w:pPr>
        <w:spacing w:after="0"/>
        <w:jc w:val="both"/>
        <w:rPr>
          <w:rFonts w:eastAsia="SimHei"/>
          <w:bCs/>
          <w:sz w:val="20"/>
          <w:szCs w:val="20"/>
          <w:lang w:eastAsia="zh-CN"/>
        </w:rPr>
      </w:pPr>
    </w:p>
    <w:p w14:paraId="5C40E528" w14:textId="77777777" w:rsidR="00CA58D7" w:rsidRDefault="00CA58D7" w:rsidP="00CA58D7">
      <w:pPr>
        <w:spacing w:after="0"/>
        <w:jc w:val="both"/>
        <w:rPr>
          <w:rFonts w:eastAsia="SimSun"/>
          <w:lang w:eastAsia="zh-CN"/>
        </w:rPr>
      </w:pPr>
    </w:p>
    <w:p w14:paraId="40A41117" w14:textId="77777777" w:rsidR="00A3560C" w:rsidRDefault="00CA58D7" w:rsidP="00CA58D7">
      <w:pPr>
        <w:spacing w:after="0"/>
        <w:jc w:val="both"/>
      </w:pPr>
      <w:r w:rsidRPr="006C666E">
        <w:rPr>
          <w:rFonts w:eastAsia="SimSun" w:hint="eastAsia"/>
          <w:b/>
          <w:bCs/>
          <w:lang w:eastAsia="zh-CN"/>
        </w:rPr>
        <w:t>Abstract</w:t>
      </w:r>
      <w:r>
        <w:rPr>
          <w:rFonts w:eastAsia="SimSun" w:hint="eastAsia"/>
          <w:lang w:eastAsia="zh-CN"/>
        </w:rPr>
        <w:t xml:space="preserve">: </w:t>
      </w:r>
      <w:r>
        <w:t>Industrial by-products and post-consumer mineral residues are increasingly engineered into supplementary cementitious materials (SCMs) or precursors for alkali-activated materials (AAMs), aiming to reduce clinker demand while addressing large-volume waste disposal. This review synthesizes the civil-engineering evidence base for solid-waste-derived binders with an emphasis on (</w:t>
      </w:r>
      <w:proofErr w:type="spellStart"/>
      <w:r>
        <w:t>i</w:t>
      </w:r>
      <w:proofErr w:type="spellEnd"/>
      <w:r>
        <w:t xml:space="preserve">) feedstock chemistry and reactivity (fly ash, ground granulated blast-furnace slag, steel slags, red mud, </w:t>
      </w:r>
      <w:proofErr w:type="spellStart"/>
      <w:r>
        <w:t>phosphogypsum</w:t>
      </w:r>
      <w:proofErr w:type="spellEnd"/>
      <w:r>
        <w:t>, municipal solid waste incineration residues, waste glass, rice husk ash, and construction–demolition fines), (ii) reaction pathways governing hydrate/gel formation in Portland-cement blends, LC3-type systems, and AAM/geopolymer binders, and (iii) structural performance and durability under service exposures (shrinkage cracking, carbonation, chloride ingress, sulfate/acid attack, leaching, and fire). A unified framework is proposed linking precursor composition, activator/SCM selection, curing, and microstructural development to measurable engineering properties and code-relevant indicators. Key barriers remain: variability of waste streams, activator footprint and safety, standardization gaps, and the limited number of long-term field validations. Practical strategies are highlighted, including feedstock classification and blending, accelerated carbonation of steel slags, low-hazard one-part activation routes, and performance-based specifications supported by life-cycle assessment. The review concludes with research needs for scalable quality control, durability models in cracked states, and harmonized testing routes to accelerate adoption of solid-waste valorization in sustainable infrastructure.</w:t>
      </w:r>
    </w:p>
    <w:p w14:paraId="713065DC" w14:textId="77777777" w:rsidR="007E6ABC" w:rsidRPr="00CA58D7" w:rsidRDefault="007E6ABC" w:rsidP="00CA58D7">
      <w:pPr>
        <w:spacing w:after="0"/>
        <w:jc w:val="both"/>
        <w:rPr>
          <w:rFonts w:eastAsia="SimSun"/>
          <w:lang w:eastAsia="zh-CN"/>
        </w:rPr>
      </w:pPr>
    </w:p>
    <w:p w14:paraId="68C0A633" w14:textId="77777777" w:rsidR="00A3560C" w:rsidRDefault="005E19A1" w:rsidP="00CA58D7">
      <w:pPr>
        <w:spacing w:after="0"/>
        <w:jc w:val="both"/>
      </w:pPr>
      <w:r>
        <w:t>Keywords: solid waste; supplementary cementitious materials; alkali-activated materials; geopolymer; durability; sustainability; life-cycle assessment</w:t>
      </w:r>
    </w:p>
    <w:p w14:paraId="41B4E757" w14:textId="77777777" w:rsidR="009C65CD" w:rsidRDefault="005E19A1" w:rsidP="00250DD8">
      <w:pPr>
        <w:jc w:val="both"/>
      </w:pPr>
      <w:r>
        <w:t xml:space="preserve">Scope and approach: This narrative </w:t>
      </w:r>
      <w:r>
        <w:t>review focuses on civil-engineering decision needs—material qualification, mix design, durability in realistic exposure classes, cracking control, and quality assurance. The discussion emphasizes how feedstock chemistry and processing govern reaction produ</w:t>
      </w:r>
      <w:r>
        <w:t>cts (C-(A)-S-H, N-A-S-H and hybrid gels), which in turn control transport, deformation, and long-term performance. Wherever possible, the review highlights measurable parameters and practical test methods that enable performance-based specifications and sa</w:t>
      </w:r>
      <w:r>
        <w:t>fe field adoption.</w:t>
      </w:r>
    </w:p>
    <w:p w14:paraId="541BD543" w14:textId="77777777" w:rsidR="00A3560C" w:rsidRPr="007E6ABC" w:rsidRDefault="00A3560C" w:rsidP="007E6ABC">
      <w:pPr>
        <w:spacing w:after="0"/>
        <w:jc w:val="both"/>
        <w:rPr>
          <w:rFonts w:eastAsia="SimSun"/>
          <w:lang w:eastAsia="zh-CN"/>
        </w:rPr>
      </w:pPr>
    </w:p>
    <w:p w14:paraId="4AD15151" w14:textId="77777777" w:rsidR="00A3560C" w:rsidRPr="00CA58D7" w:rsidRDefault="005E19A1" w:rsidP="00CA58D7">
      <w:pPr>
        <w:pStyle w:val="Heading1"/>
        <w:spacing w:before="0"/>
        <w:rPr>
          <w:color w:val="000000" w:themeColor="text1"/>
          <w:sz w:val="24"/>
          <w:szCs w:val="24"/>
        </w:rPr>
      </w:pPr>
      <w:r w:rsidRPr="00CA58D7">
        <w:rPr>
          <w:rFonts w:ascii="Times New Roman" w:eastAsia="Times New Roman" w:hAnsi="Times New Roman"/>
          <w:color w:val="000000" w:themeColor="text1"/>
          <w:sz w:val="24"/>
          <w:szCs w:val="24"/>
        </w:rPr>
        <w:t>1. Introduction</w:t>
      </w:r>
    </w:p>
    <w:p w14:paraId="5B29726E" w14:textId="77777777" w:rsidR="00A3560C" w:rsidRDefault="005E19A1" w:rsidP="007E6ABC">
      <w:pPr>
        <w:spacing w:after="0"/>
        <w:ind w:firstLineChars="200" w:firstLine="440"/>
        <w:jc w:val="both"/>
      </w:pPr>
      <w:r>
        <w:t>To ensure traceability across diverse binder families and engineering concerns, this review integrates foundational AAM/geopolymer frameworks [1–5], durability mechanisms and service-exposure perspectives [8–9,23,27], en</w:t>
      </w:r>
      <w:r>
        <w:t xml:space="preserve">vironmental stabilization/solidification evidence for hazardous residues [10–11], feedstock utilization and processing knowledge for slags, ashes, red mud, </w:t>
      </w:r>
      <w:proofErr w:type="spellStart"/>
      <w:r>
        <w:t>phosphogypsum</w:t>
      </w:r>
      <w:proofErr w:type="spellEnd"/>
      <w:r>
        <w:t>, and biomass/glass-derived SCMs [6–7,12–17,29,32], shrinkage and deformation-control m</w:t>
      </w:r>
      <w:r>
        <w:t xml:space="preserve">odeling approaches relevant to cracking risk [19–20,30–31], and life-cycle assessment studies highlighting the role of activators, transport, and variability in environmental </w:t>
      </w:r>
      <w:r>
        <w:lastRenderedPageBreak/>
        <w:t>performance [24–26]. Standards and code-type documents are used as acceptance bas</w:t>
      </w:r>
      <w:r>
        <w:t>elines for SCMs and cement types [33–36].</w:t>
      </w:r>
    </w:p>
    <w:p w14:paraId="6017D647" w14:textId="77777777" w:rsidR="009C65CD" w:rsidRDefault="005E19A1" w:rsidP="00250DD8">
      <w:pPr>
        <w:spacing w:after="0"/>
        <w:ind w:firstLineChars="200" w:firstLine="440"/>
        <w:jc w:val="both"/>
      </w:pPr>
      <w:r>
        <w:t>From a structural-materials perspective, the central challenge is to translate heterogeneous waste streams into predictable binder performance. In practice, engineers must answer a sequence of questions: (</w:t>
      </w:r>
      <w:proofErr w:type="spellStart"/>
      <w:r>
        <w:t>i</w:t>
      </w:r>
      <w:proofErr w:type="spellEnd"/>
      <w:r>
        <w:t>) whethe</w:t>
      </w:r>
      <w:r>
        <w:t>r a waste can be safely and consistently processed into a reactive feedstock; (ii) which binder pathway (blended OPC, LC3-type, AAM/geopolymer, or hybrid) is most compatible with local materials and curing; and (iii) whether the resulting concrete or morta</w:t>
      </w:r>
      <w:r>
        <w:t>r meets durability and serviceability requirements under relevant exposure classes. The following sections therefore connect chemistry and processing to measurable performance indicators rather than treating waste utilization as an isolated materials exerc</w:t>
      </w:r>
      <w:r>
        <w:t>ise.</w:t>
      </w:r>
    </w:p>
    <w:p w14:paraId="0D84465A" w14:textId="77777777" w:rsidR="00A3560C" w:rsidRPr="00CA58D7" w:rsidRDefault="005E19A1" w:rsidP="00CA58D7">
      <w:pPr>
        <w:pStyle w:val="Heading1"/>
        <w:spacing w:before="0"/>
        <w:rPr>
          <w:rFonts w:ascii="Times New Roman" w:eastAsia="Times New Roman" w:hAnsi="Times New Roman"/>
          <w:color w:val="000000" w:themeColor="text1"/>
          <w:sz w:val="24"/>
          <w:szCs w:val="24"/>
        </w:rPr>
      </w:pPr>
      <w:r w:rsidRPr="00CA58D7">
        <w:rPr>
          <w:rFonts w:ascii="Times New Roman" w:eastAsia="Times New Roman" w:hAnsi="Times New Roman"/>
          <w:color w:val="000000" w:themeColor="text1"/>
          <w:sz w:val="24"/>
          <w:szCs w:val="24"/>
        </w:rPr>
        <w:t>2. Solid waste feedstocks and reaction chemistry</w:t>
      </w:r>
    </w:p>
    <w:p w14:paraId="268B9508" w14:textId="77777777" w:rsidR="007E6ABC" w:rsidRPr="00CA58D7" w:rsidRDefault="005E19A1" w:rsidP="00CA58D7">
      <w:pPr>
        <w:pStyle w:val="Heading1"/>
        <w:spacing w:before="0"/>
        <w:rPr>
          <w:rFonts w:ascii="Times New Roman" w:eastAsia="Times New Roman" w:hAnsi="Times New Roman"/>
          <w:color w:val="000000" w:themeColor="text1"/>
          <w:sz w:val="24"/>
          <w:szCs w:val="24"/>
        </w:rPr>
      </w:pPr>
      <w:r w:rsidRPr="00CA58D7">
        <w:rPr>
          <w:rFonts w:ascii="Times New Roman" w:eastAsia="Times New Roman" w:hAnsi="Times New Roman"/>
          <w:color w:val="000000" w:themeColor="text1"/>
          <w:sz w:val="24"/>
          <w:szCs w:val="24"/>
        </w:rPr>
        <w:t>2.1 Feedstock classification by chemistry and reactivity</w:t>
      </w:r>
    </w:p>
    <w:p w14:paraId="53E11F6F" w14:textId="77777777" w:rsidR="009C65CD" w:rsidRDefault="005E19A1" w:rsidP="00250DD8">
      <w:pPr>
        <w:spacing w:after="0"/>
        <w:ind w:firstLineChars="200" w:firstLine="440"/>
        <w:jc w:val="both"/>
      </w:pPr>
      <w:r>
        <w:t>A useful classification scheme should serve two purposes simultaneously: it should reflect the dominant reactive phases (amorphous aluminosilicat</w:t>
      </w:r>
      <w:r>
        <w:t>es, calcium-rich glass, sulfates, carbonates, or inert minerals), and it should predict the likely reaction products and durability risks when the waste is introduced into a cementitious system. For this reason, feedstocks are discussed below in terms of t</w:t>
      </w:r>
      <w:r>
        <w:t>heir chemistry, glass content and fineness, as well as their impurity signatures (chlorides, sulfates, alkalis and heavy metals) that can constrain field use.</w:t>
      </w:r>
    </w:p>
    <w:p w14:paraId="7E7FC2C2" w14:textId="77777777" w:rsidR="007E6ABC" w:rsidRDefault="005E19A1" w:rsidP="007E6ABC">
      <w:pPr>
        <w:spacing w:after="0"/>
        <w:ind w:firstLineChars="200" w:firstLine="440"/>
        <w:jc w:val="both"/>
        <w:rPr>
          <w:rFonts w:eastAsia="SimSun"/>
          <w:lang w:eastAsia="zh-CN"/>
        </w:rPr>
      </w:pPr>
      <w:r>
        <w:t>Solid wastes used in cementitious materials can be classified by major oxides, amorphous content,</w:t>
      </w:r>
      <w:r>
        <w:t xml:space="preserve"> and the presence of reactive calcium. High-calcium by-products such as ground granulated blast-furnace slag (GGBFS) provide glassy </w:t>
      </w:r>
      <w:proofErr w:type="spellStart"/>
      <w:r>
        <w:t>CaO</w:t>
      </w:r>
      <w:proofErr w:type="spellEnd"/>
      <w:r>
        <w:t>–</w:t>
      </w:r>
      <w:proofErr w:type="spellStart"/>
      <w:r>
        <w:t>SiO</w:t>
      </w:r>
      <w:proofErr w:type="spellEnd"/>
      <w:r>
        <w:t>₂–</w:t>
      </w:r>
      <w:proofErr w:type="spellStart"/>
      <w:r>
        <w:t>Al₂O</w:t>
      </w:r>
      <w:proofErr w:type="spellEnd"/>
      <w:r>
        <w:t xml:space="preserve">₃ phases that are latent hydraulic and readily alkali-activated, often producing dense C-(N)-A-S-H gels [3,6]. </w:t>
      </w:r>
      <w:r>
        <w:t>Steel slags may contain C₂S/C₃S-like phases and free CaO/MgO as well as iron-bearing minerals; their reactivity and stability are highly dependent on processing history, cooling rate, and aging [12]. Low-calcium aluminosilicate residues such as Class F fly</w:t>
      </w:r>
      <w:r>
        <w:t xml:space="preserve"> ash or certain demolition fines can form N-A-S-H gels under alkaline activation, but their ambient-cure reactivity may be limited without activator optimization or blended calcium sources [1–4].</w:t>
      </w:r>
    </w:p>
    <w:p w14:paraId="065F79BA" w14:textId="77777777" w:rsidR="007E6ABC" w:rsidRDefault="005E19A1" w:rsidP="007E6ABC">
      <w:pPr>
        <w:spacing w:after="0"/>
        <w:ind w:firstLineChars="200" w:firstLine="440"/>
        <w:jc w:val="both"/>
        <w:rPr>
          <w:rFonts w:eastAsia="SimSun"/>
          <w:lang w:eastAsia="zh-CN"/>
        </w:rPr>
      </w:pPr>
      <w:r>
        <w:t>Complex wastes require additional scrutiny. Red mud, a bauxite residue, is rich in Fe/Al oxides and may contain residual alkalinity; its reactivity is typically enhanced when blended with other precursors (slag, fly ash) and activated under conditions that</w:t>
      </w:r>
      <w:r>
        <w:t xml:space="preserve"> promote dissolution and gel formation [13]. </w:t>
      </w:r>
      <w:proofErr w:type="spellStart"/>
      <w:r>
        <w:t>Phosphogypsum</w:t>
      </w:r>
      <w:proofErr w:type="spellEnd"/>
      <w:r>
        <w:t xml:space="preserve"> (PG) is primarily </w:t>
      </w:r>
      <w:proofErr w:type="spellStart"/>
      <w:r>
        <w:t>CaSO</w:t>
      </w:r>
      <w:proofErr w:type="spellEnd"/>
      <w:r>
        <w:t>₄·2H₂O with impurities (phosphate, fluoride, organic matter, sometimes radionuclides), and its use in binders must account for impurity effects and sulfate-related phase forma</w:t>
      </w:r>
      <w:r>
        <w:t>tion [14]. Municipal solid waste incineration (MSWI) residues often contain soluble chlorides/sulfates and heavy metals; their direct use is constrained by leaching regulations, but immobilization within geopolymer/AAM matrices has demonstrated promise whe</w:t>
      </w:r>
      <w:r>
        <w:t>n salts are reduced and the binder chemistry is tailored for stability [10,11].</w:t>
      </w:r>
    </w:p>
    <w:p w14:paraId="17CD81C1" w14:textId="77777777" w:rsidR="007E6ABC" w:rsidRDefault="005E19A1" w:rsidP="007E6ABC">
      <w:pPr>
        <w:spacing w:after="0"/>
        <w:ind w:firstLineChars="200" w:firstLine="440"/>
        <w:jc w:val="both"/>
        <w:rPr>
          <w:rFonts w:eastAsia="SimSun"/>
          <w:lang w:eastAsia="zh-CN"/>
        </w:rPr>
      </w:pPr>
      <w:r>
        <w:t>Table 1 consolidates feedstocks and typical mitigation routes such as grinding to increase fineness and dissolution, washing to remove salts from MSWI ash, and accelerated carb</w:t>
      </w:r>
      <w:r>
        <w:t>onation to stabilize steel slags by consuming free CaO/MgO while also sequestering CO₂ [12]. For practical engineering, a “feedstock-to-performance” approach begins with rapid screening tests: XRF/ICP for composition, XRD for mineralogy and amorphous conte</w:t>
      </w:r>
      <w:r>
        <w:t>nt, particle-size distribution and specific surface area for kinetics, loss on ignition (LOI) for carbonaceous content, and leachable salts/metals for environmental compliance.</w:t>
      </w:r>
    </w:p>
    <w:p w14:paraId="41F790E5" w14:textId="77777777" w:rsidR="007E6ABC" w:rsidRPr="00CA58D7" w:rsidRDefault="005E19A1" w:rsidP="00CA58D7">
      <w:pPr>
        <w:pStyle w:val="Heading1"/>
        <w:spacing w:before="0"/>
        <w:rPr>
          <w:rFonts w:ascii="Times New Roman" w:eastAsia="Times New Roman" w:hAnsi="Times New Roman"/>
          <w:color w:val="000000" w:themeColor="text1"/>
          <w:sz w:val="24"/>
          <w:szCs w:val="24"/>
        </w:rPr>
      </w:pPr>
      <w:r w:rsidRPr="00CA58D7">
        <w:rPr>
          <w:rFonts w:ascii="Times New Roman" w:eastAsia="Times New Roman" w:hAnsi="Times New Roman"/>
          <w:color w:val="000000" w:themeColor="text1"/>
          <w:sz w:val="24"/>
          <w:szCs w:val="24"/>
        </w:rPr>
        <w:lastRenderedPageBreak/>
        <w:t>2.2 Reaction pathways in blended Portland-cement systems</w:t>
      </w:r>
    </w:p>
    <w:p w14:paraId="517E7B7B" w14:textId="77777777" w:rsidR="007E6ABC" w:rsidRPr="007E6ABC" w:rsidRDefault="005E19A1" w:rsidP="007E6ABC">
      <w:pPr>
        <w:spacing w:after="0"/>
        <w:ind w:firstLineChars="200" w:firstLine="440"/>
        <w:jc w:val="both"/>
      </w:pPr>
      <w:r>
        <w:t>In blended OPC systems</w:t>
      </w:r>
      <w:r>
        <w:t>, SCMs influence both kinetics and phase assemblage. Reactive silica and alumina consume portlandite (</w:t>
      </w:r>
      <w:proofErr w:type="gramStart"/>
      <w:r>
        <w:t>Ca(</w:t>
      </w:r>
      <w:proofErr w:type="gramEnd"/>
      <w:r>
        <w:t>OH)₂) to form additional C–S–H and alumina-containing hydrates (</w:t>
      </w:r>
      <w:proofErr w:type="spellStart"/>
      <w:r>
        <w:t>AFm</w:t>
      </w:r>
      <w:proofErr w:type="spellEnd"/>
      <w:r>
        <w:t>/</w:t>
      </w:r>
      <w:proofErr w:type="spellStart"/>
      <w:r>
        <w:t>AFt</w:t>
      </w:r>
      <w:proofErr w:type="spellEnd"/>
      <w:r>
        <w:t>). Slag contributes latent hydraulic reactions and often improves early-age stre</w:t>
      </w:r>
      <w:r>
        <w:t>ngth when sufficiently fine [6,29]. Fly ash and rice husk ash (RHA) typically act as pozzolans, with RHA’s high amorphous silica enabling significant portlandite consumption and pore refinement when properly burned and ground [15]. Finely ground waste glas</w:t>
      </w:r>
      <w:r>
        <w:t>s powder can provide reactive silica and improve packing, but coarse glass can trigger alkali–silica reaction (ASR), so fineness and blending are key [16].</w:t>
      </w:r>
      <w:r w:rsidR="007E6ABC">
        <w:t xml:space="preserve"> </w:t>
      </w:r>
    </w:p>
    <w:p w14:paraId="7C53F2CC" w14:textId="77777777" w:rsidR="007E6ABC" w:rsidRDefault="005E19A1" w:rsidP="007E6ABC">
      <w:pPr>
        <w:spacing w:after="0"/>
        <w:ind w:firstLineChars="200" w:firstLine="440"/>
        <w:jc w:val="both"/>
        <w:rPr>
          <w:rFonts w:eastAsia="SimSun"/>
          <w:lang w:eastAsia="zh-CN"/>
        </w:rPr>
      </w:pPr>
      <w:r>
        <w:t xml:space="preserve">LC3-type systems combine calcined clay and limestone to obtain high clinker substitution with good </w:t>
      </w:r>
      <w:r>
        <w:t xml:space="preserve">performance. The synergy arises from </w:t>
      </w:r>
      <w:proofErr w:type="spellStart"/>
      <w:r>
        <w:t>carboaluminate</w:t>
      </w:r>
      <w:proofErr w:type="spellEnd"/>
      <w:r>
        <w:t xml:space="preserve"> formation and improved particle packing, which can reduce permeability and maintain strength [7]. From a civil engineering viewpoint, these blended systems benefit from compatibility with existing concret</w:t>
      </w:r>
      <w:r>
        <w:t>e production infrastructure and standards (e.g., EN 197-1), but their durability must be assessed within local exposure classes, especially for carbonation resistance in low-clinker, low-portlandite mixtures.</w:t>
      </w:r>
      <w:r w:rsidR="007E6ABC">
        <w:t xml:space="preserve"> </w:t>
      </w:r>
    </w:p>
    <w:p w14:paraId="3B968980" w14:textId="77777777" w:rsidR="007E6ABC" w:rsidRPr="00CA58D7" w:rsidRDefault="005E19A1" w:rsidP="00CA58D7">
      <w:pPr>
        <w:pStyle w:val="Heading1"/>
        <w:spacing w:before="0"/>
        <w:rPr>
          <w:rFonts w:ascii="Times New Roman" w:eastAsia="Times New Roman" w:hAnsi="Times New Roman"/>
          <w:color w:val="000000" w:themeColor="text1"/>
          <w:sz w:val="24"/>
          <w:szCs w:val="24"/>
        </w:rPr>
      </w:pPr>
      <w:r w:rsidRPr="00CA58D7">
        <w:rPr>
          <w:rFonts w:ascii="Times New Roman" w:eastAsia="Times New Roman" w:hAnsi="Times New Roman"/>
          <w:color w:val="000000" w:themeColor="text1"/>
          <w:sz w:val="24"/>
          <w:szCs w:val="24"/>
        </w:rPr>
        <w:t>2.3 Gel chemistry in alkali-activated material</w:t>
      </w:r>
      <w:r w:rsidRPr="00CA58D7">
        <w:rPr>
          <w:rFonts w:ascii="Times New Roman" w:eastAsia="Times New Roman" w:hAnsi="Times New Roman"/>
          <w:color w:val="000000" w:themeColor="text1"/>
          <w:sz w:val="24"/>
          <w:szCs w:val="24"/>
        </w:rPr>
        <w:t>s and geopolymers</w:t>
      </w:r>
    </w:p>
    <w:p w14:paraId="1925C40D" w14:textId="77777777" w:rsidR="007E6ABC" w:rsidRPr="007E6ABC" w:rsidRDefault="005E19A1" w:rsidP="007E6ABC">
      <w:pPr>
        <w:spacing w:after="0"/>
        <w:ind w:firstLineChars="200" w:firstLine="440"/>
        <w:jc w:val="both"/>
      </w:pPr>
      <w:r>
        <w:t>AAMs are commonly grouped by calcium content: high-Ca systems (slag-rich) and low-Ca systems (fly ash/metakaolin-rich). In high-Ca AAMs, dissolution and precipitation lead to C-(N)-A-S-H gels that resemble C–S–H but incorporate more Al an</w:t>
      </w:r>
      <w:r>
        <w:t>d sometimes Na. In low-Ca systems, polymerized aluminosilicate networks (N-A-S-H) dominate. Reaction is governed by dissolution in high-pH media and subsequent gel precipitation and reorganization, which are sensitive to alkali dosage, silicate modulus, li</w:t>
      </w:r>
      <w:r>
        <w:t>quid-to-solid ratio, and curing temperature [1–4].</w:t>
      </w:r>
    </w:p>
    <w:p w14:paraId="58DEE450" w14:textId="77777777" w:rsidR="007E6ABC" w:rsidRPr="007E6ABC" w:rsidRDefault="005E19A1" w:rsidP="007E6ABC">
      <w:pPr>
        <w:spacing w:after="0"/>
        <w:ind w:firstLineChars="200" w:firstLine="440"/>
        <w:jc w:val="both"/>
      </w:pPr>
      <w:r>
        <w:t>Hybrid and blended AAM systems can leverage complementary strengths. Incorporating fly ash into alkali-activated slag can modify phase evolution, improve workability, and influence durability-related prope</w:t>
      </w:r>
      <w:r>
        <w:t>rties, including chloride transport and pore structure [20]. Classic studies on sodium silicate-activated slag mortars established links between activator chemistry, hydration products, and strength development [21,22]. However, durability mechanisms can d</w:t>
      </w:r>
      <w:r>
        <w:t>iffer from OPC: carbonation may decalcify C-(N)-A-S-H gels and alter pore solution alkalinity, while efflorescence can occur if alkalis migrate and react with atmospheric CO₂ [8,28].</w:t>
      </w:r>
      <w:r w:rsidR="007E6ABC">
        <w:t xml:space="preserve"> </w:t>
      </w:r>
    </w:p>
    <w:p w14:paraId="79E9B6BD" w14:textId="77777777" w:rsidR="007E6ABC" w:rsidRPr="00CA58D7" w:rsidRDefault="005E19A1" w:rsidP="00CA58D7">
      <w:pPr>
        <w:pStyle w:val="Heading1"/>
        <w:spacing w:before="0"/>
        <w:rPr>
          <w:rFonts w:ascii="Times New Roman" w:eastAsia="Times New Roman" w:hAnsi="Times New Roman"/>
          <w:color w:val="000000" w:themeColor="text1"/>
          <w:sz w:val="24"/>
          <w:szCs w:val="24"/>
        </w:rPr>
      </w:pPr>
      <w:r w:rsidRPr="00CA58D7">
        <w:rPr>
          <w:rFonts w:ascii="Times New Roman" w:eastAsia="Times New Roman" w:hAnsi="Times New Roman"/>
          <w:color w:val="000000" w:themeColor="text1"/>
          <w:sz w:val="24"/>
          <w:szCs w:val="24"/>
        </w:rPr>
        <w:t>2.4 Contaminants, immobilization, and environmental safety</w:t>
      </w:r>
    </w:p>
    <w:p w14:paraId="16145D29" w14:textId="77777777" w:rsidR="00A3560C" w:rsidRDefault="005E19A1" w:rsidP="007E6ABC">
      <w:pPr>
        <w:spacing w:after="0"/>
        <w:ind w:firstLineChars="200" w:firstLine="440"/>
        <w:jc w:val="both"/>
      </w:pPr>
      <w:r>
        <w:t>For wastes co</w:t>
      </w:r>
      <w:r>
        <w:t>ntaining hazardous components, immobilization is often as important as mechanical performance. Geopolymer/AAM matrices can reduce leaching through physical encapsulation in a refined pore network, chemical incorporation into gels, and precipitation of low-</w:t>
      </w:r>
      <w:r>
        <w:t>solubility phases [5]. Studies on MSWI residues report that fly ash-based geopolymers can stabilize/solidify incineration residues, while chemical stability depends on binder chemistry and exposure conditions [10,11]. From a design standpoint, leaching eva</w:t>
      </w:r>
      <w:r>
        <w:t>luations should consider cracked-state transport and carbonation-induced changes because both can increase permeability or alter binding phases. These requirements motivate performance-based specifications that integrate both mechanical criteria and enviro</w:t>
      </w:r>
      <w:r>
        <w:t>nmental compliance.</w:t>
      </w:r>
    </w:p>
    <w:p w14:paraId="0A7992C8" w14:textId="77777777" w:rsidR="006C666E" w:rsidRDefault="006C666E" w:rsidP="007E6ABC">
      <w:pPr>
        <w:spacing w:after="0"/>
        <w:ind w:firstLineChars="200" w:firstLine="440"/>
        <w:jc w:val="both"/>
      </w:pPr>
    </w:p>
    <w:p w14:paraId="369770B0" w14:textId="77777777" w:rsidR="006C666E" w:rsidRDefault="006C666E" w:rsidP="007E6ABC">
      <w:pPr>
        <w:spacing w:after="0"/>
        <w:ind w:firstLineChars="200" w:firstLine="440"/>
        <w:jc w:val="both"/>
      </w:pPr>
    </w:p>
    <w:p w14:paraId="068B3C8E" w14:textId="77777777" w:rsidR="006C666E" w:rsidRDefault="006C666E" w:rsidP="007E6ABC">
      <w:pPr>
        <w:spacing w:after="0"/>
        <w:ind w:firstLineChars="200" w:firstLine="440"/>
        <w:jc w:val="both"/>
      </w:pPr>
    </w:p>
    <w:p w14:paraId="2646A1F9" w14:textId="77777777" w:rsidR="00D25023" w:rsidRPr="006C666E" w:rsidRDefault="005E19A1" w:rsidP="00D25023">
      <w:pPr>
        <w:spacing w:after="0"/>
        <w:jc w:val="both"/>
        <w:rPr>
          <w:rFonts w:eastAsia="SimSun"/>
          <w:b/>
          <w:bCs/>
          <w:sz w:val="20"/>
          <w:lang w:eastAsia="zh-CN"/>
        </w:rPr>
      </w:pPr>
      <w:r w:rsidRPr="006C666E">
        <w:rPr>
          <w:b/>
          <w:bCs/>
          <w:sz w:val="20"/>
        </w:rPr>
        <w:t xml:space="preserve">Table 1. </w:t>
      </w:r>
    </w:p>
    <w:p w14:paraId="7EC08A25" w14:textId="77777777" w:rsidR="00A3560C" w:rsidRPr="006C666E" w:rsidRDefault="005E19A1" w:rsidP="00D25023">
      <w:pPr>
        <w:spacing w:after="0"/>
        <w:jc w:val="both"/>
        <w:rPr>
          <w:b/>
          <w:bCs/>
        </w:rPr>
      </w:pPr>
      <w:r w:rsidRPr="006C666E">
        <w:rPr>
          <w:b/>
          <w:bCs/>
          <w:sz w:val="20"/>
        </w:rPr>
        <w:lastRenderedPageBreak/>
        <w:t>Representative solid waste streams for cementitious binders, their roles, risks, and common mitigation routes.</w:t>
      </w:r>
    </w:p>
    <w:tbl>
      <w:tblPr>
        <w:tblW w:w="0" w:type="auto"/>
        <w:tblBorders>
          <w:top w:val="single" w:sz="4" w:space="0" w:color="auto"/>
          <w:bottom w:val="single" w:sz="4" w:space="0" w:color="auto"/>
        </w:tblBorders>
        <w:tblLook w:val="04A0" w:firstRow="1" w:lastRow="0" w:firstColumn="1" w:lastColumn="0" w:noHBand="0" w:noVBand="1"/>
      </w:tblPr>
      <w:tblGrid>
        <w:gridCol w:w="1625"/>
        <w:gridCol w:w="1771"/>
        <w:gridCol w:w="2305"/>
        <w:gridCol w:w="1644"/>
        <w:gridCol w:w="1511"/>
      </w:tblGrid>
      <w:tr w:rsidR="00A3560C" w14:paraId="0F25F9F5" w14:textId="77777777" w:rsidTr="00D25023">
        <w:tc>
          <w:tcPr>
            <w:tcW w:w="1728" w:type="dxa"/>
            <w:tcBorders>
              <w:bottom w:val="single" w:sz="4" w:space="0" w:color="auto"/>
            </w:tcBorders>
          </w:tcPr>
          <w:p w14:paraId="3B80B297" w14:textId="77777777" w:rsidR="00A3560C" w:rsidRDefault="005E19A1">
            <w:pPr>
              <w:jc w:val="center"/>
            </w:pPr>
            <w:r>
              <w:rPr>
                <w:b/>
                <w:sz w:val="20"/>
              </w:rPr>
              <w:t>Waste stream</w:t>
            </w:r>
          </w:p>
        </w:tc>
        <w:tc>
          <w:tcPr>
            <w:tcW w:w="1728" w:type="dxa"/>
            <w:tcBorders>
              <w:bottom w:val="single" w:sz="4" w:space="0" w:color="auto"/>
            </w:tcBorders>
          </w:tcPr>
          <w:p w14:paraId="53501C27" w14:textId="77777777" w:rsidR="00A3560C" w:rsidRDefault="005E19A1">
            <w:pPr>
              <w:jc w:val="center"/>
            </w:pPr>
            <w:r>
              <w:rPr>
                <w:b/>
                <w:sz w:val="20"/>
              </w:rPr>
              <w:t>Main reactive components</w:t>
            </w:r>
          </w:p>
        </w:tc>
        <w:tc>
          <w:tcPr>
            <w:tcW w:w="1728" w:type="dxa"/>
            <w:tcBorders>
              <w:bottom w:val="single" w:sz="4" w:space="0" w:color="auto"/>
            </w:tcBorders>
          </w:tcPr>
          <w:p w14:paraId="4354E114" w14:textId="77777777" w:rsidR="00A3560C" w:rsidRDefault="005E19A1">
            <w:pPr>
              <w:jc w:val="center"/>
            </w:pPr>
            <w:r>
              <w:rPr>
                <w:b/>
                <w:sz w:val="20"/>
              </w:rPr>
              <w:t>Typical role in binder</w:t>
            </w:r>
          </w:p>
        </w:tc>
        <w:tc>
          <w:tcPr>
            <w:tcW w:w="1728" w:type="dxa"/>
            <w:tcBorders>
              <w:bottom w:val="single" w:sz="4" w:space="0" w:color="auto"/>
            </w:tcBorders>
          </w:tcPr>
          <w:p w14:paraId="2A4B9F19" w14:textId="77777777" w:rsidR="00A3560C" w:rsidRDefault="005E19A1">
            <w:pPr>
              <w:jc w:val="center"/>
            </w:pPr>
            <w:r>
              <w:rPr>
                <w:b/>
                <w:sz w:val="20"/>
              </w:rPr>
              <w:t>Key risks/variability</w:t>
            </w:r>
          </w:p>
        </w:tc>
        <w:tc>
          <w:tcPr>
            <w:tcW w:w="1728" w:type="dxa"/>
            <w:tcBorders>
              <w:bottom w:val="single" w:sz="4" w:space="0" w:color="auto"/>
            </w:tcBorders>
          </w:tcPr>
          <w:p w14:paraId="32234BF6" w14:textId="77777777" w:rsidR="00A3560C" w:rsidRDefault="005E19A1">
            <w:pPr>
              <w:jc w:val="center"/>
            </w:pPr>
            <w:r>
              <w:rPr>
                <w:b/>
                <w:sz w:val="20"/>
              </w:rPr>
              <w:t>Common mitigation</w:t>
            </w:r>
          </w:p>
        </w:tc>
      </w:tr>
      <w:tr w:rsidR="00A3560C" w14:paraId="2E29AB25" w14:textId="77777777" w:rsidTr="00D25023">
        <w:tc>
          <w:tcPr>
            <w:tcW w:w="1728" w:type="dxa"/>
            <w:tcBorders>
              <w:top w:val="single" w:sz="4" w:space="0" w:color="auto"/>
            </w:tcBorders>
          </w:tcPr>
          <w:p w14:paraId="3EF2DA76" w14:textId="77777777" w:rsidR="00A3560C" w:rsidRDefault="005E19A1">
            <w:r>
              <w:rPr>
                <w:sz w:val="20"/>
              </w:rPr>
              <w:t xml:space="preserve">Fly ash </w:t>
            </w:r>
            <w:r>
              <w:rPr>
                <w:sz w:val="20"/>
              </w:rPr>
              <w:t>(Class F/C)</w:t>
            </w:r>
          </w:p>
        </w:tc>
        <w:tc>
          <w:tcPr>
            <w:tcW w:w="1728" w:type="dxa"/>
            <w:tcBorders>
              <w:top w:val="single" w:sz="4" w:space="0" w:color="auto"/>
            </w:tcBorders>
          </w:tcPr>
          <w:p w14:paraId="05B3AC06" w14:textId="77777777" w:rsidR="00A3560C" w:rsidRDefault="005E19A1">
            <w:r>
              <w:rPr>
                <w:sz w:val="20"/>
              </w:rPr>
              <w:t>amorphous aluminosilicate; variable Ca</w:t>
            </w:r>
          </w:p>
        </w:tc>
        <w:tc>
          <w:tcPr>
            <w:tcW w:w="1728" w:type="dxa"/>
            <w:tcBorders>
              <w:top w:val="single" w:sz="4" w:space="0" w:color="auto"/>
            </w:tcBorders>
          </w:tcPr>
          <w:p w14:paraId="58DB1CC6" w14:textId="77777777" w:rsidR="00A3560C" w:rsidRDefault="005E19A1">
            <w:r>
              <w:rPr>
                <w:sz w:val="20"/>
              </w:rPr>
              <w:t>SCM; low-Ca AAM precursor</w:t>
            </w:r>
          </w:p>
        </w:tc>
        <w:tc>
          <w:tcPr>
            <w:tcW w:w="1728" w:type="dxa"/>
            <w:tcBorders>
              <w:top w:val="single" w:sz="4" w:space="0" w:color="auto"/>
            </w:tcBorders>
          </w:tcPr>
          <w:p w14:paraId="68EBB36A" w14:textId="77777777" w:rsidR="00A3560C" w:rsidRDefault="005E19A1">
            <w:r>
              <w:rPr>
                <w:sz w:val="20"/>
              </w:rPr>
              <w:t>LOI, fineness, Ca variability</w:t>
            </w:r>
          </w:p>
        </w:tc>
        <w:tc>
          <w:tcPr>
            <w:tcW w:w="1728" w:type="dxa"/>
            <w:tcBorders>
              <w:top w:val="single" w:sz="4" w:space="0" w:color="auto"/>
            </w:tcBorders>
          </w:tcPr>
          <w:p w14:paraId="354EE165" w14:textId="77777777" w:rsidR="00A3560C" w:rsidRDefault="005E19A1">
            <w:r>
              <w:rPr>
                <w:sz w:val="20"/>
              </w:rPr>
              <w:t>classification; grinding; blending</w:t>
            </w:r>
          </w:p>
        </w:tc>
      </w:tr>
      <w:tr w:rsidR="00A3560C" w14:paraId="08BC88E0" w14:textId="77777777" w:rsidTr="00D25023">
        <w:tc>
          <w:tcPr>
            <w:tcW w:w="1728" w:type="dxa"/>
          </w:tcPr>
          <w:p w14:paraId="0F9780E9" w14:textId="77777777" w:rsidR="00A3560C" w:rsidRDefault="005E19A1">
            <w:r>
              <w:rPr>
                <w:sz w:val="20"/>
              </w:rPr>
              <w:t>GGBFS</w:t>
            </w:r>
          </w:p>
        </w:tc>
        <w:tc>
          <w:tcPr>
            <w:tcW w:w="1728" w:type="dxa"/>
          </w:tcPr>
          <w:p w14:paraId="423935A6" w14:textId="77777777" w:rsidR="00A3560C" w:rsidRDefault="005E19A1">
            <w:r>
              <w:rPr>
                <w:sz w:val="20"/>
              </w:rPr>
              <w:t>glassy CaO–SiO2–Al2O3</w:t>
            </w:r>
          </w:p>
        </w:tc>
        <w:tc>
          <w:tcPr>
            <w:tcW w:w="1728" w:type="dxa"/>
          </w:tcPr>
          <w:p w14:paraId="27CBF454" w14:textId="77777777" w:rsidR="00A3560C" w:rsidRDefault="005E19A1">
            <w:r>
              <w:rPr>
                <w:sz w:val="20"/>
              </w:rPr>
              <w:t>latent hydraulic SCM; AAM precursor</w:t>
            </w:r>
          </w:p>
        </w:tc>
        <w:tc>
          <w:tcPr>
            <w:tcW w:w="1728" w:type="dxa"/>
          </w:tcPr>
          <w:p w14:paraId="5668F7E1" w14:textId="77777777" w:rsidR="00A3560C" w:rsidRDefault="005E19A1">
            <w:r>
              <w:rPr>
                <w:sz w:val="20"/>
              </w:rPr>
              <w:t>fineness/quality variability</w:t>
            </w:r>
          </w:p>
        </w:tc>
        <w:tc>
          <w:tcPr>
            <w:tcW w:w="1728" w:type="dxa"/>
          </w:tcPr>
          <w:p w14:paraId="13FA69E1" w14:textId="77777777" w:rsidR="00A3560C" w:rsidRDefault="005E19A1">
            <w:r>
              <w:rPr>
                <w:sz w:val="20"/>
              </w:rPr>
              <w:t xml:space="preserve">fineness control; </w:t>
            </w:r>
            <w:r>
              <w:rPr>
                <w:sz w:val="20"/>
              </w:rPr>
              <w:t>sulfate check</w:t>
            </w:r>
          </w:p>
        </w:tc>
      </w:tr>
      <w:tr w:rsidR="00A3560C" w14:paraId="5E0B49F1" w14:textId="77777777" w:rsidTr="00D25023">
        <w:tc>
          <w:tcPr>
            <w:tcW w:w="1728" w:type="dxa"/>
          </w:tcPr>
          <w:p w14:paraId="43DBAC54" w14:textId="77777777" w:rsidR="00A3560C" w:rsidRDefault="005E19A1">
            <w:r>
              <w:rPr>
                <w:sz w:val="20"/>
              </w:rPr>
              <w:t>Steel slags</w:t>
            </w:r>
          </w:p>
        </w:tc>
        <w:tc>
          <w:tcPr>
            <w:tcW w:w="1728" w:type="dxa"/>
          </w:tcPr>
          <w:p w14:paraId="5D6ED9C5" w14:textId="77777777" w:rsidR="00A3560C" w:rsidRDefault="005E19A1">
            <w:r>
              <w:rPr>
                <w:sz w:val="20"/>
              </w:rPr>
              <w:t>C2S/C3S-like; free-CaO/MgO; Fe phases</w:t>
            </w:r>
          </w:p>
        </w:tc>
        <w:tc>
          <w:tcPr>
            <w:tcW w:w="1728" w:type="dxa"/>
          </w:tcPr>
          <w:p w14:paraId="00A550CF" w14:textId="77777777" w:rsidR="00A3560C" w:rsidRDefault="005E19A1">
            <w:r>
              <w:rPr>
                <w:sz w:val="20"/>
              </w:rPr>
              <w:t>aggregate; SCM/AAM precursor</w:t>
            </w:r>
          </w:p>
        </w:tc>
        <w:tc>
          <w:tcPr>
            <w:tcW w:w="1728" w:type="dxa"/>
          </w:tcPr>
          <w:p w14:paraId="6119BA70" w14:textId="77777777" w:rsidR="00A3560C" w:rsidRDefault="005E19A1">
            <w:r>
              <w:rPr>
                <w:sz w:val="20"/>
              </w:rPr>
              <w:t>expansion; heavy metals</w:t>
            </w:r>
          </w:p>
        </w:tc>
        <w:tc>
          <w:tcPr>
            <w:tcW w:w="1728" w:type="dxa"/>
          </w:tcPr>
          <w:p w14:paraId="33123F18" w14:textId="77777777" w:rsidR="00A3560C" w:rsidRDefault="005E19A1">
            <w:r>
              <w:rPr>
                <w:sz w:val="20"/>
              </w:rPr>
              <w:t>aging; carbonation; separation</w:t>
            </w:r>
          </w:p>
        </w:tc>
      </w:tr>
      <w:tr w:rsidR="00A3560C" w14:paraId="78C5DBAC" w14:textId="77777777" w:rsidTr="00D25023">
        <w:tc>
          <w:tcPr>
            <w:tcW w:w="1728" w:type="dxa"/>
          </w:tcPr>
          <w:p w14:paraId="722094AA" w14:textId="77777777" w:rsidR="00A3560C" w:rsidRDefault="005E19A1">
            <w:r>
              <w:rPr>
                <w:sz w:val="20"/>
              </w:rPr>
              <w:t>Red mud</w:t>
            </w:r>
          </w:p>
        </w:tc>
        <w:tc>
          <w:tcPr>
            <w:tcW w:w="1728" w:type="dxa"/>
          </w:tcPr>
          <w:p w14:paraId="66F43019" w14:textId="77777777" w:rsidR="00A3560C" w:rsidRDefault="005E19A1">
            <w:r>
              <w:rPr>
                <w:sz w:val="20"/>
              </w:rPr>
              <w:t>Al/Fe oxides; residual alkali</w:t>
            </w:r>
          </w:p>
        </w:tc>
        <w:tc>
          <w:tcPr>
            <w:tcW w:w="1728" w:type="dxa"/>
          </w:tcPr>
          <w:p w14:paraId="40E6101D" w14:textId="77777777" w:rsidR="00A3560C" w:rsidRDefault="005E19A1">
            <w:r>
              <w:rPr>
                <w:sz w:val="20"/>
              </w:rPr>
              <w:t>AAM blend; limited SCM</w:t>
            </w:r>
          </w:p>
        </w:tc>
        <w:tc>
          <w:tcPr>
            <w:tcW w:w="1728" w:type="dxa"/>
          </w:tcPr>
          <w:p w14:paraId="55050AFD" w14:textId="77777777" w:rsidR="00A3560C" w:rsidRDefault="005E19A1">
            <w:r>
              <w:rPr>
                <w:sz w:val="20"/>
              </w:rPr>
              <w:t>high alkalinity; variability</w:t>
            </w:r>
          </w:p>
        </w:tc>
        <w:tc>
          <w:tcPr>
            <w:tcW w:w="1728" w:type="dxa"/>
          </w:tcPr>
          <w:p w14:paraId="3D837FAD" w14:textId="77777777" w:rsidR="00A3560C" w:rsidRDefault="005E19A1">
            <w:r>
              <w:rPr>
                <w:sz w:val="20"/>
              </w:rPr>
              <w:t>washing; blendin</w:t>
            </w:r>
            <w:r>
              <w:rPr>
                <w:sz w:val="20"/>
              </w:rPr>
              <w:t>g; dosage limits</w:t>
            </w:r>
          </w:p>
        </w:tc>
      </w:tr>
      <w:tr w:rsidR="00A3560C" w14:paraId="0BEE54EC" w14:textId="77777777" w:rsidTr="00D25023">
        <w:tc>
          <w:tcPr>
            <w:tcW w:w="1728" w:type="dxa"/>
          </w:tcPr>
          <w:p w14:paraId="59894ECB" w14:textId="77777777" w:rsidR="00A3560C" w:rsidRDefault="005E19A1">
            <w:proofErr w:type="spellStart"/>
            <w:r>
              <w:rPr>
                <w:sz w:val="20"/>
              </w:rPr>
              <w:t>Phosphogypsum</w:t>
            </w:r>
            <w:proofErr w:type="spellEnd"/>
          </w:p>
        </w:tc>
        <w:tc>
          <w:tcPr>
            <w:tcW w:w="1728" w:type="dxa"/>
          </w:tcPr>
          <w:p w14:paraId="03A09E96" w14:textId="77777777" w:rsidR="00A3560C" w:rsidRDefault="005E19A1">
            <w:r>
              <w:rPr>
                <w:sz w:val="20"/>
              </w:rPr>
              <w:t>CaSO4·2H2O + impurities</w:t>
            </w:r>
          </w:p>
        </w:tc>
        <w:tc>
          <w:tcPr>
            <w:tcW w:w="1728" w:type="dxa"/>
          </w:tcPr>
          <w:p w14:paraId="43F095FE" w14:textId="77777777" w:rsidR="00A3560C" w:rsidRDefault="005E19A1">
            <w:r>
              <w:rPr>
                <w:sz w:val="20"/>
              </w:rPr>
              <w:t>blends; special binders</w:t>
            </w:r>
          </w:p>
        </w:tc>
        <w:tc>
          <w:tcPr>
            <w:tcW w:w="1728" w:type="dxa"/>
          </w:tcPr>
          <w:p w14:paraId="7FB6FF45" w14:textId="77777777" w:rsidR="00A3560C" w:rsidRDefault="005E19A1">
            <w:r>
              <w:rPr>
                <w:sz w:val="20"/>
              </w:rPr>
              <w:t>impurity-induced retardation</w:t>
            </w:r>
          </w:p>
        </w:tc>
        <w:tc>
          <w:tcPr>
            <w:tcW w:w="1728" w:type="dxa"/>
          </w:tcPr>
          <w:p w14:paraId="2A6BFDA4" w14:textId="77777777" w:rsidR="00A3560C" w:rsidRDefault="005E19A1">
            <w:r>
              <w:rPr>
                <w:sz w:val="20"/>
              </w:rPr>
              <w:t>pre-treatment; blending strategy</w:t>
            </w:r>
          </w:p>
        </w:tc>
      </w:tr>
      <w:tr w:rsidR="00A3560C" w14:paraId="0848659C" w14:textId="77777777" w:rsidTr="00D25023">
        <w:tc>
          <w:tcPr>
            <w:tcW w:w="1728" w:type="dxa"/>
          </w:tcPr>
          <w:p w14:paraId="513C9B21" w14:textId="77777777" w:rsidR="00A3560C" w:rsidRDefault="005E19A1">
            <w:r>
              <w:rPr>
                <w:sz w:val="20"/>
              </w:rPr>
              <w:t>MSWI residues</w:t>
            </w:r>
          </w:p>
        </w:tc>
        <w:tc>
          <w:tcPr>
            <w:tcW w:w="1728" w:type="dxa"/>
          </w:tcPr>
          <w:p w14:paraId="1D182013" w14:textId="77777777" w:rsidR="00A3560C" w:rsidRDefault="005E19A1">
            <w:r>
              <w:rPr>
                <w:sz w:val="20"/>
              </w:rPr>
              <w:t>salts + ash phases + trace metals</w:t>
            </w:r>
          </w:p>
        </w:tc>
        <w:tc>
          <w:tcPr>
            <w:tcW w:w="1728" w:type="dxa"/>
          </w:tcPr>
          <w:p w14:paraId="41933FA3" w14:textId="77777777" w:rsidR="00A3560C" w:rsidRDefault="005E19A1">
            <w:r>
              <w:rPr>
                <w:sz w:val="20"/>
              </w:rPr>
              <w:t>stabilization/solidification (often via AAM/geopolymer)</w:t>
            </w:r>
          </w:p>
        </w:tc>
        <w:tc>
          <w:tcPr>
            <w:tcW w:w="1728" w:type="dxa"/>
          </w:tcPr>
          <w:p w14:paraId="48FD15AC" w14:textId="77777777" w:rsidR="00A3560C" w:rsidRDefault="005E19A1">
            <w:r>
              <w:rPr>
                <w:sz w:val="20"/>
              </w:rPr>
              <w:t xml:space="preserve">high </w:t>
            </w:r>
            <w:r>
              <w:rPr>
                <w:sz w:val="20"/>
              </w:rPr>
              <w:t>chloride/sulfate; leaching; variability</w:t>
            </w:r>
          </w:p>
        </w:tc>
        <w:tc>
          <w:tcPr>
            <w:tcW w:w="1728" w:type="dxa"/>
          </w:tcPr>
          <w:p w14:paraId="30354FF0" w14:textId="77777777" w:rsidR="00A3560C" w:rsidRDefault="005E19A1">
            <w:r>
              <w:rPr>
                <w:sz w:val="20"/>
              </w:rPr>
              <w:t>washing; blending; leaching validation</w:t>
            </w:r>
          </w:p>
        </w:tc>
      </w:tr>
      <w:tr w:rsidR="00A3560C" w14:paraId="5EE7DE38" w14:textId="77777777" w:rsidTr="00D25023">
        <w:tc>
          <w:tcPr>
            <w:tcW w:w="1728" w:type="dxa"/>
          </w:tcPr>
          <w:p w14:paraId="5C6EC6B8" w14:textId="77777777" w:rsidR="00A3560C" w:rsidRDefault="005E19A1">
            <w:r>
              <w:rPr>
                <w:sz w:val="20"/>
              </w:rPr>
              <w:t>Waste glass powder</w:t>
            </w:r>
          </w:p>
        </w:tc>
        <w:tc>
          <w:tcPr>
            <w:tcW w:w="1728" w:type="dxa"/>
          </w:tcPr>
          <w:p w14:paraId="20CA71C3" w14:textId="77777777" w:rsidR="00A3560C" w:rsidRDefault="005E19A1">
            <w:r>
              <w:rPr>
                <w:sz w:val="20"/>
              </w:rPr>
              <w:t>amorphous SiO2</w:t>
            </w:r>
          </w:p>
        </w:tc>
        <w:tc>
          <w:tcPr>
            <w:tcW w:w="1728" w:type="dxa"/>
          </w:tcPr>
          <w:p w14:paraId="117B156B" w14:textId="77777777" w:rsidR="00A3560C" w:rsidRDefault="005E19A1">
            <w:r>
              <w:rPr>
                <w:sz w:val="20"/>
              </w:rPr>
              <w:t>SCM/reactive filler</w:t>
            </w:r>
          </w:p>
        </w:tc>
        <w:tc>
          <w:tcPr>
            <w:tcW w:w="1728" w:type="dxa"/>
          </w:tcPr>
          <w:p w14:paraId="39F1599A" w14:textId="77777777" w:rsidR="00A3560C" w:rsidRDefault="005E19A1">
            <w:r>
              <w:rPr>
                <w:sz w:val="20"/>
              </w:rPr>
              <w:t>ASR if coarse; fineness</w:t>
            </w:r>
          </w:p>
        </w:tc>
        <w:tc>
          <w:tcPr>
            <w:tcW w:w="1728" w:type="dxa"/>
          </w:tcPr>
          <w:p w14:paraId="7B073778" w14:textId="77777777" w:rsidR="00A3560C" w:rsidRDefault="005E19A1">
            <w:r>
              <w:rPr>
                <w:sz w:val="20"/>
              </w:rPr>
              <w:t>fine grinding; ternary blends</w:t>
            </w:r>
          </w:p>
        </w:tc>
      </w:tr>
      <w:tr w:rsidR="00A3560C" w14:paraId="69E1C74F" w14:textId="77777777" w:rsidTr="00D25023">
        <w:tc>
          <w:tcPr>
            <w:tcW w:w="1728" w:type="dxa"/>
          </w:tcPr>
          <w:p w14:paraId="0044EC47" w14:textId="77777777" w:rsidR="00A3560C" w:rsidRDefault="005E19A1">
            <w:r>
              <w:rPr>
                <w:sz w:val="20"/>
              </w:rPr>
              <w:t>Rice husk ash</w:t>
            </w:r>
          </w:p>
        </w:tc>
        <w:tc>
          <w:tcPr>
            <w:tcW w:w="1728" w:type="dxa"/>
          </w:tcPr>
          <w:p w14:paraId="6F2922C7" w14:textId="77777777" w:rsidR="00A3560C" w:rsidRDefault="005E19A1">
            <w:r>
              <w:rPr>
                <w:sz w:val="20"/>
              </w:rPr>
              <w:t>amorphous SiO2 (high)</w:t>
            </w:r>
          </w:p>
        </w:tc>
        <w:tc>
          <w:tcPr>
            <w:tcW w:w="1728" w:type="dxa"/>
          </w:tcPr>
          <w:p w14:paraId="182814F9" w14:textId="77777777" w:rsidR="00A3560C" w:rsidRDefault="005E19A1">
            <w:r>
              <w:rPr>
                <w:sz w:val="20"/>
              </w:rPr>
              <w:t>SCM/pozzolan</w:t>
            </w:r>
          </w:p>
        </w:tc>
        <w:tc>
          <w:tcPr>
            <w:tcW w:w="1728" w:type="dxa"/>
          </w:tcPr>
          <w:p w14:paraId="54B94CE1" w14:textId="77777777" w:rsidR="00A3560C" w:rsidRDefault="005E19A1">
            <w:r>
              <w:rPr>
                <w:sz w:val="20"/>
              </w:rPr>
              <w:t xml:space="preserve">burn quality; </w:t>
            </w:r>
            <w:r>
              <w:rPr>
                <w:sz w:val="20"/>
              </w:rPr>
              <w:t>carbon</w:t>
            </w:r>
          </w:p>
        </w:tc>
        <w:tc>
          <w:tcPr>
            <w:tcW w:w="1728" w:type="dxa"/>
          </w:tcPr>
          <w:p w14:paraId="63C724F5" w14:textId="77777777" w:rsidR="00A3560C" w:rsidRDefault="005E19A1">
            <w:r>
              <w:rPr>
                <w:sz w:val="20"/>
              </w:rPr>
              <w:t>controlled combustion; grinding</w:t>
            </w:r>
          </w:p>
        </w:tc>
      </w:tr>
      <w:tr w:rsidR="00A3560C" w14:paraId="464CE864" w14:textId="77777777" w:rsidTr="00D25023">
        <w:tc>
          <w:tcPr>
            <w:tcW w:w="1728" w:type="dxa"/>
          </w:tcPr>
          <w:p w14:paraId="15A808A7" w14:textId="77777777" w:rsidR="00A3560C" w:rsidRDefault="005E19A1">
            <w:r>
              <w:rPr>
                <w:sz w:val="20"/>
              </w:rPr>
              <w:t>CDW fines</w:t>
            </w:r>
          </w:p>
        </w:tc>
        <w:tc>
          <w:tcPr>
            <w:tcW w:w="1728" w:type="dxa"/>
          </w:tcPr>
          <w:p w14:paraId="6A60B82C" w14:textId="77777777" w:rsidR="00A3560C" w:rsidRDefault="005E19A1">
            <w:r>
              <w:rPr>
                <w:sz w:val="20"/>
              </w:rPr>
              <w:t>mixed silicates/carbonates</w:t>
            </w:r>
          </w:p>
        </w:tc>
        <w:tc>
          <w:tcPr>
            <w:tcW w:w="1728" w:type="dxa"/>
          </w:tcPr>
          <w:p w14:paraId="1B865118" w14:textId="77777777" w:rsidR="00A3560C" w:rsidRDefault="005E19A1">
            <w:r>
              <w:rPr>
                <w:sz w:val="20"/>
              </w:rPr>
              <w:t>filler/SCM (case-specific)</w:t>
            </w:r>
          </w:p>
        </w:tc>
        <w:tc>
          <w:tcPr>
            <w:tcW w:w="1728" w:type="dxa"/>
          </w:tcPr>
          <w:p w14:paraId="0AE1C8C8" w14:textId="77777777" w:rsidR="00A3560C" w:rsidRDefault="005E19A1">
            <w:r>
              <w:rPr>
                <w:sz w:val="20"/>
              </w:rPr>
              <w:t>heterogeneity; contaminants</w:t>
            </w:r>
          </w:p>
        </w:tc>
        <w:tc>
          <w:tcPr>
            <w:tcW w:w="1728" w:type="dxa"/>
          </w:tcPr>
          <w:p w14:paraId="12E069F0" w14:textId="77777777" w:rsidR="00A3560C" w:rsidRDefault="005E19A1">
            <w:r>
              <w:rPr>
                <w:sz w:val="20"/>
              </w:rPr>
              <w:t>sorting; beneficiation; QC</w:t>
            </w:r>
          </w:p>
        </w:tc>
      </w:tr>
    </w:tbl>
    <w:p w14:paraId="0F7C13C1" w14:textId="77777777" w:rsidR="00A3560C" w:rsidRPr="00CA58D7" w:rsidRDefault="005E19A1" w:rsidP="00CA58D7">
      <w:pPr>
        <w:pStyle w:val="Heading1"/>
        <w:spacing w:before="0"/>
        <w:rPr>
          <w:rFonts w:ascii="Times New Roman" w:eastAsia="Times New Roman" w:hAnsi="Times New Roman"/>
          <w:color w:val="000000" w:themeColor="text1"/>
          <w:sz w:val="24"/>
          <w:szCs w:val="24"/>
        </w:rPr>
      </w:pPr>
      <w:r w:rsidRPr="00CA58D7">
        <w:rPr>
          <w:rFonts w:ascii="Times New Roman" w:eastAsia="Times New Roman" w:hAnsi="Times New Roman"/>
          <w:color w:val="000000" w:themeColor="text1"/>
          <w:sz w:val="24"/>
          <w:szCs w:val="24"/>
        </w:rPr>
        <w:t>3. Processing, mix design, and quality control</w:t>
      </w:r>
    </w:p>
    <w:p w14:paraId="260E9B45" w14:textId="77777777" w:rsidR="007E6ABC" w:rsidRPr="00CA58D7" w:rsidRDefault="005E19A1" w:rsidP="00CA58D7">
      <w:pPr>
        <w:pStyle w:val="Heading1"/>
        <w:spacing w:before="0"/>
        <w:rPr>
          <w:rFonts w:ascii="Times New Roman" w:eastAsia="Times New Roman" w:hAnsi="Times New Roman"/>
          <w:color w:val="000000" w:themeColor="text1"/>
          <w:sz w:val="24"/>
          <w:szCs w:val="24"/>
        </w:rPr>
      </w:pPr>
      <w:r w:rsidRPr="00CA58D7">
        <w:rPr>
          <w:rFonts w:ascii="Times New Roman" w:eastAsia="Times New Roman" w:hAnsi="Times New Roman"/>
          <w:color w:val="000000" w:themeColor="text1"/>
          <w:sz w:val="24"/>
          <w:szCs w:val="24"/>
        </w:rPr>
        <w:t>3.1 Pre-treatment and beneficiation routes</w:t>
      </w:r>
    </w:p>
    <w:p w14:paraId="19677CD6" w14:textId="77777777" w:rsidR="007E6ABC" w:rsidRPr="007E6ABC" w:rsidRDefault="005E19A1" w:rsidP="007E6ABC">
      <w:pPr>
        <w:spacing w:after="0"/>
        <w:ind w:firstLineChars="200" w:firstLine="440"/>
        <w:jc w:val="both"/>
      </w:pPr>
      <w:r>
        <w:t>Pre-treatment is frequently necessary to make solid wastes suitable for structural binders. Grinding increases fineness and dissolution rate for fly ash, glass powder, and demolition fines. Steel slags may require metallic iron removal, controlled aging, a</w:t>
      </w:r>
      <w:r>
        <w:t>nd/or accelerated carbonation to mitigate expansion. Carbonation treatment is particularly attractive because it can stabilize free CaO/MgO and improve volumetric stability while also sequestering CO₂; recent reviews summarize accelerated carbonation route</w:t>
      </w:r>
      <w:r>
        <w:t xml:space="preserve">s and performance implications for steel slag utilization [12]. MSWI ash often requires washing or other salt-removal routes to reduce chlorides and </w:t>
      </w:r>
      <w:r>
        <w:lastRenderedPageBreak/>
        <w:t xml:space="preserve">sulfates before incorporation into cementitious matrices [10,11]. For </w:t>
      </w:r>
      <w:proofErr w:type="spellStart"/>
      <w:r>
        <w:t>phosphogypsum</w:t>
      </w:r>
      <w:proofErr w:type="spellEnd"/>
      <w:r>
        <w:t>, impurity management is</w:t>
      </w:r>
      <w:r>
        <w:t xml:space="preserve"> critical; review studies emphasize that pre-treatment and blending strategies are necessary to mitigate adverse effects of phosphates and fluorides on binder hydration and strength development [14].</w:t>
      </w:r>
    </w:p>
    <w:p w14:paraId="322CDE42" w14:textId="77777777" w:rsidR="007E6ABC" w:rsidRPr="00CA58D7" w:rsidRDefault="005E19A1" w:rsidP="00CA58D7">
      <w:pPr>
        <w:pStyle w:val="Heading1"/>
        <w:spacing w:before="0"/>
        <w:rPr>
          <w:rFonts w:ascii="Times New Roman" w:eastAsia="Times New Roman" w:hAnsi="Times New Roman"/>
          <w:color w:val="000000" w:themeColor="text1"/>
          <w:sz w:val="24"/>
          <w:szCs w:val="24"/>
        </w:rPr>
      </w:pPr>
      <w:r w:rsidRPr="00CA58D7">
        <w:rPr>
          <w:rFonts w:ascii="Times New Roman" w:eastAsia="Times New Roman" w:hAnsi="Times New Roman"/>
          <w:color w:val="000000" w:themeColor="text1"/>
          <w:sz w:val="24"/>
          <w:szCs w:val="24"/>
        </w:rPr>
        <w:t>3.2 Activator selection and constructability for AAMs</w:t>
      </w:r>
    </w:p>
    <w:p w14:paraId="7E574C82" w14:textId="77777777" w:rsidR="007E6ABC" w:rsidRPr="007E6ABC" w:rsidRDefault="005E19A1" w:rsidP="007E6ABC">
      <w:pPr>
        <w:spacing w:after="0"/>
        <w:ind w:firstLineChars="200" w:firstLine="440"/>
        <w:jc w:val="both"/>
      </w:pPr>
      <w:r>
        <w:t>Ac</w:t>
      </w:r>
      <w:r>
        <w:t>tivator design controls kinetics, gel chemistry, and practical handling. Common activators include NaOH/KOH solutions, sodium silicate solutions, and blended systems. Increasing alkali dosage and silicate content can raise early strength but may increase a</w:t>
      </w:r>
      <w:r>
        <w:t xml:space="preserve">utogenous shrinkage, efflorescence potential, and cost/footprint. Because liquid alkaline activators can be hazardous and logistically challenging, “one-part” AAMs that use solid activators (just add water) have gained attention. Mix design principles and </w:t>
      </w:r>
      <w:r>
        <w:t>activator options for one-part geopolymers have been documented, including the effects of different solid activators on reaction and performance [18,32]. Table 2 summarizes practical activator and processing parameters and highlights typical engineering ri</w:t>
      </w:r>
      <w:r>
        <w:t>sks.</w:t>
      </w:r>
    </w:p>
    <w:p w14:paraId="761F22D1" w14:textId="77777777" w:rsidR="007E6ABC" w:rsidRPr="00CA58D7" w:rsidRDefault="005E19A1" w:rsidP="00CA58D7">
      <w:pPr>
        <w:pStyle w:val="Heading1"/>
        <w:spacing w:before="0"/>
        <w:rPr>
          <w:rFonts w:ascii="Times New Roman" w:eastAsia="Times New Roman" w:hAnsi="Times New Roman"/>
          <w:color w:val="000000" w:themeColor="text1"/>
          <w:sz w:val="24"/>
          <w:szCs w:val="24"/>
        </w:rPr>
      </w:pPr>
      <w:r w:rsidRPr="00CA58D7">
        <w:rPr>
          <w:rFonts w:ascii="Times New Roman" w:eastAsia="Times New Roman" w:hAnsi="Times New Roman"/>
          <w:color w:val="000000" w:themeColor="text1"/>
          <w:sz w:val="24"/>
          <w:szCs w:val="24"/>
        </w:rPr>
        <w:t>3.3 Shrinkage, cracking, and early-age deformation management</w:t>
      </w:r>
    </w:p>
    <w:p w14:paraId="2387950D" w14:textId="77777777" w:rsidR="007E6ABC" w:rsidRPr="007E6ABC" w:rsidRDefault="005E19A1" w:rsidP="007E6ABC">
      <w:pPr>
        <w:spacing w:after="0"/>
        <w:ind w:firstLineChars="200" w:firstLine="440"/>
        <w:jc w:val="both"/>
      </w:pPr>
      <w:r>
        <w:t>Cracking risk in waste-derived binders is often governed by the competition between stiffness development and shrinkage/thermal strains. Many AAM systems exhibit significant drying shrinkag</w:t>
      </w:r>
      <w:r>
        <w:t>e due to fine pore structures and capillary stresses, while slag-rich AAMs can also show autogenous shrinkage when low liquid contents are used to achieve high strength. Shrinkage prediction and control remain major research priorities, and statistical mod</w:t>
      </w:r>
      <w:r>
        <w:t>els for shrinkage prediction have been proposed to link mixture variables to expected deformation [31]. Cartwright and co-workers quantified shrinkage characteristics of alkali-activated slag cements and highlighted the sensitivity to activator chemistry a</w:t>
      </w:r>
      <w:r>
        <w:t>nd curing [19]. Practical mitigation strategies include optimized aggregate grading and volume fraction, internal curing, shrinkage-reducing admixtures, fiber reinforcement, and controlled curing regimes (humidity sealing, temperature control).</w:t>
      </w:r>
    </w:p>
    <w:p w14:paraId="236DE792" w14:textId="77777777" w:rsidR="007E6ABC" w:rsidRPr="00CA58D7" w:rsidRDefault="005E19A1" w:rsidP="00CA58D7">
      <w:pPr>
        <w:pStyle w:val="Heading1"/>
        <w:spacing w:before="0"/>
        <w:rPr>
          <w:rFonts w:ascii="Times New Roman" w:eastAsia="Times New Roman" w:hAnsi="Times New Roman"/>
          <w:color w:val="000000" w:themeColor="text1"/>
          <w:sz w:val="24"/>
          <w:szCs w:val="24"/>
        </w:rPr>
      </w:pPr>
      <w:r w:rsidRPr="00CA58D7">
        <w:rPr>
          <w:rFonts w:ascii="Times New Roman" w:eastAsia="Times New Roman" w:hAnsi="Times New Roman"/>
          <w:color w:val="000000" w:themeColor="text1"/>
          <w:sz w:val="24"/>
          <w:szCs w:val="24"/>
        </w:rPr>
        <w:t>3.4 Variabi</w:t>
      </w:r>
      <w:r w:rsidRPr="00CA58D7">
        <w:rPr>
          <w:rFonts w:ascii="Times New Roman" w:eastAsia="Times New Roman" w:hAnsi="Times New Roman"/>
          <w:color w:val="000000" w:themeColor="text1"/>
          <w:sz w:val="24"/>
          <w:szCs w:val="24"/>
        </w:rPr>
        <w:t>lity and performance-based quality assurance</w:t>
      </w:r>
    </w:p>
    <w:p w14:paraId="4A598955" w14:textId="77777777" w:rsidR="009C65CD" w:rsidRDefault="005E19A1" w:rsidP="00250DD8">
      <w:pPr>
        <w:spacing w:after="0"/>
        <w:ind w:firstLineChars="200" w:firstLine="440"/>
        <w:jc w:val="both"/>
      </w:pPr>
      <w:r>
        <w:t>In addition to conventional strength-based acceptance, durability-related surrogate indicators can improve screening efficiency for waste-derived binders. Examples include rapid measures of electrical resistivit</w:t>
      </w:r>
      <w:r>
        <w:t>y or surface resistivity as proxies for transport, calorimetry to detect abnormal reactivity, pH/alkalinity buffering capacity for carbonation resistance, and leaching pre-tests for wastes with potential environmental concerns. When coupled with statistica</w:t>
      </w:r>
      <w:r>
        <w:t>l process control and clear documentation of feedstock provenance, such indicators help bridge the gap between laboratory qualification and field quality assurance.</w:t>
      </w:r>
    </w:p>
    <w:p w14:paraId="14AD58BF" w14:textId="77777777" w:rsidR="00250DD8" w:rsidRDefault="005E19A1" w:rsidP="00250DD8">
      <w:pPr>
        <w:spacing w:after="0"/>
        <w:ind w:firstLineChars="200" w:firstLine="440"/>
        <w:jc w:val="both"/>
        <w:rPr>
          <w:rFonts w:eastAsia="SimSun"/>
          <w:lang w:eastAsia="zh-CN"/>
        </w:rPr>
      </w:pPr>
      <w:r>
        <w:t xml:space="preserve">Reporting recommendations for a coherent narrative review. To meet editorial expectations, </w:t>
      </w:r>
      <w:r>
        <w:t>studies can be grouped by the decision they inform: (</w:t>
      </w:r>
      <w:proofErr w:type="spellStart"/>
      <w:r>
        <w:t>i</w:t>
      </w:r>
      <w:proofErr w:type="spellEnd"/>
      <w:r>
        <w:t xml:space="preserve">) material qualification of the waste (variability, reactivity, contaminants), (ii) binder selection and mix design (activator choice, water/binder ratio, curing), and (iii) performance in the intended </w:t>
      </w:r>
      <w:r>
        <w:t>application (strength development, cracking, transport and exposure resistance). Within each group, it is useful to standardize how outcomes are compared—e.g., normalizing by binder content, reporting curing conditions explicitly, and distinguishing betwee</w:t>
      </w:r>
      <w:r>
        <w:t>n mortar and concrete results. Many apparent contradictions in the literature are explained by differences in curing humidity, activator modulus, aggregate content, or the degree of blending with OPC; explicitly stating these factors improves interpretabil</w:t>
      </w:r>
      <w:r>
        <w:t>ity.</w:t>
      </w:r>
    </w:p>
    <w:p w14:paraId="67F64BAE" w14:textId="69239238" w:rsidR="009C65CD" w:rsidRDefault="005E19A1" w:rsidP="00250DD8">
      <w:pPr>
        <w:spacing w:after="0"/>
        <w:ind w:firstLineChars="200" w:firstLine="440"/>
        <w:jc w:val="both"/>
      </w:pPr>
      <w:r>
        <w:lastRenderedPageBreak/>
        <w:t xml:space="preserve">Where possible, the review should highlight transferable, quantitative relationships rather than only qualitative statements. Examples include the sensitivity of drying shrinkage to liquid-to-binder ratio and activator type, the dependence of </w:t>
      </w:r>
      <w:r>
        <w:t>resistivity on curing regime, and the impact of precursor fineness on early reaction kinetics. Even when a universal model is not available, identifying the dominant controlling variables helps readers design targeted experiments and supports the developme</w:t>
      </w:r>
      <w:r>
        <w:t>nt of performance-based specifications.</w:t>
      </w:r>
    </w:p>
    <w:p w14:paraId="6EC24F30" w14:textId="77777777" w:rsidR="007E6ABC" w:rsidRPr="007E6ABC" w:rsidRDefault="005E19A1" w:rsidP="007E6ABC">
      <w:pPr>
        <w:spacing w:after="0"/>
        <w:ind w:firstLineChars="200" w:firstLine="440"/>
        <w:jc w:val="both"/>
      </w:pPr>
      <w:r>
        <w:t>Feedstock variability is one of the most significant barriers to scale-up. In addition to chemical composition and fineness, factors such as LOI, glass content, and soluble salts can change between sources and over t</w:t>
      </w:r>
      <w:r>
        <w:t xml:space="preserve">ime. For mature SCMs (fly ash and slag), standards provide acceptance limits and test methods (ASTM C618, ASTM C989) that support consistent performance [35,36]. However, for emerging wastes (red mud, </w:t>
      </w:r>
      <w:proofErr w:type="spellStart"/>
      <w:r>
        <w:t>phosphogypsum</w:t>
      </w:r>
      <w:proofErr w:type="spellEnd"/>
      <w:r>
        <w:t>, MSWI residues, heterogeneous CDW fines),</w:t>
      </w:r>
      <w:r>
        <w:t xml:space="preserve"> harmonized specifications remain limited. Therefore, a practical civil engineering QA/QC framework should combine (</w:t>
      </w:r>
      <w:proofErr w:type="spellStart"/>
      <w:r>
        <w:t>i</w:t>
      </w:r>
      <w:proofErr w:type="spellEnd"/>
      <w:r>
        <w:t>) chemical limits (e.g., chloride, sulfate, LOI), (ii) reactivity indices (calorimetry, dissolution), and (iii) performance-based acceptanc</w:t>
      </w:r>
      <w:r>
        <w:t>e (strength, setting time, shrinkage, transport). The RILEM state-of-the-art report provides guidance for alkali-activated materials and highlights the need for standardized testing routes and reporting practices [36].</w:t>
      </w:r>
    </w:p>
    <w:p w14:paraId="2F64E3BE" w14:textId="77777777" w:rsidR="00D25023" w:rsidRPr="006C666E" w:rsidRDefault="005E19A1" w:rsidP="00D25023">
      <w:pPr>
        <w:spacing w:after="0"/>
        <w:jc w:val="both"/>
        <w:rPr>
          <w:rFonts w:eastAsia="SimSun"/>
          <w:b/>
          <w:bCs/>
          <w:sz w:val="20"/>
          <w:lang w:eastAsia="zh-CN"/>
        </w:rPr>
      </w:pPr>
      <w:r w:rsidRPr="006C666E">
        <w:rPr>
          <w:b/>
          <w:bCs/>
          <w:sz w:val="20"/>
        </w:rPr>
        <w:t>Table 2.</w:t>
      </w:r>
    </w:p>
    <w:p w14:paraId="4C81BAE0" w14:textId="77777777" w:rsidR="00A3560C" w:rsidRPr="006C666E" w:rsidRDefault="005E19A1" w:rsidP="00D25023">
      <w:pPr>
        <w:spacing w:after="0"/>
        <w:jc w:val="both"/>
        <w:rPr>
          <w:b/>
          <w:bCs/>
        </w:rPr>
      </w:pPr>
      <w:r w:rsidRPr="006C666E">
        <w:rPr>
          <w:b/>
          <w:bCs/>
          <w:sz w:val="20"/>
        </w:rPr>
        <w:t>Practical activator and proc</w:t>
      </w:r>
      <w:r w:rsidRPr="006C666E">
        <w:rPr>
          <w:b/>
          <w:bCs/>
          <w:sz w:val="20"/>
        </w:rPr>
        <w:t>essing parameters for alkali-activated materials and typical engineering implications.</w:t>
      </w:r>
    </w:p>
    <w:tbl>
      <w:tblPr>
        <w:tblW w:w="0" w:type="auto"/>
        <w:tblBorders>
          <w:top w:val="single" w:sz="4" w:space="0" w:color="auto"/>
          <w:bottom w:val="single" w:sz="4" w:space="0" w:color="auto"/>
        </w:tblBorders>
        <w:tblLook w:val="04A0" w:firstRow="1" w:lastRow="0" w:firstColumn="1" w:lastColumn="0" w:noHBand="0" w:noVBand="1"/>
      </w:tblPr>
      <w:tblGrid>
        <w:gridCol w:w="1728"/>
        <w:gridCol w:w="1883"/>
        <w:gridCol w:w="1728"/>
        <w:gridCol w:w="1728"/>
        <w:gridCol w:w="1728"/>
      </w:tblGrid>
      <w:tr w:rsidR="00A3560C" w14:paraId="6C1E2FF0" w14:textId="77777777" w:rsidTr="00D25023">
        <w:tc>
          <w:tcPr>
            <w:tcW w:w="1728" w:type="dxa"/>
            <w:tcBorders>
              <w:bottom w:val="single" w:sz="4" w:space="0" w:color="auto"/>
            </w:tcBorders>
          </w:tcPr>
          <w:p w14:paraId="27EB0ED3" w14:textId="77777777" w:rsidR="00A3560C" w:rsidRDefault="005E19A1">
            <w:pPr>
              <w:jc w:val="center"/>
            </w:pPr>
            <w:r>
              <w:rPr>
                <w:b/>
                <w:sz w:val="20"/>
              </w:rPr>
              <w:t>Parameter</w:t>
            </w:r>
          </w:p>
        </w:tc>
        <w:tc>
          <w:tcPr>
            <w:tcW w:w="1728" w:type="dxa"/>
            <w:tcBorders>
              <w:bottom w:val="single" w:sz="4" w:space="0" w:color="auto"/>
            </w:tcBorders>
          </w:tcPr>
          <w:p w14:paraId="7FA47A42" w14:textId="77777777" w:rsidR="00A3560C" w:rsidRDefault="005E19A1">
            <w:pPr>
              <w:jc w:val="center"/>
            </w:pPr>
            <w:r>
              <w:rPr>
                <w:b/>
                <w:sz w:val="20"/>
              </w:rPr>
              <w:t>Typical range</w:t>
            </w:r>
          </w:p>
        </w:tc>
        <w:tc>
          <w:tcPr>
            <w:tcW w:w="1728" w:type="dxa"/>
            <w:tcBorders>
              <w:bottom w:val="single" w:sz="4" w:space="0" w:color="auto"/>
            </w:tcBorders>
          </w:tcPr>
          <w:p w14:paraId="63F32C5D" w14:textId="77777777" w:rsidR="00A3560C" w:rsidRDefault="005E19A1">
            <w:pPr>
              <w:jc w:val="center"/>
            </w:pPr>
            <w:r>
              <w:rPr>
                <w:b/>
                <w:sz w:val="20"/>
              </w:rPr>
              <w:t>Primary effect</w:t>
            </w:r>
          </w:p>
        </w:tc>
        <w:tc>
          <w:tcPr>
            <w:tcW w:w="1728" w:type="dxa"/>
            <w:tcBorders>
              <w:bottom w:val="single" w:sz="4" w:space="0" w:color="auto"/>
            </w:tcBorders>
          </w:tcPr>
          <w:p w14:paraId="02F9C554" w14:textId="77777777" w:rsidR="00A3560C" w:rsidRDefault="005E19A1">
            <w:pPr>
              <w:jc w:val="center"/>
            </w:pPr>
            <w:r>
              <w:rPr>
                <w:b/>
                <w:sz w:val="20"/>
              </w:rPr>
              <w:t>Engineering risk</w:t>
            </w:r>
          </w:p>
        </w:tc>
        <w:tc>
          <w:tcPr>
            <w:tcW w:w="1728" w:type="dxa"/>
            <w:tcBorders>
              <w:bottom w:val="single" w:sz="4" w:space="0" w:color="auto"/>
            </w:tcBorders>
          </w:tcPr>
          <w:p w14:paraId="4313DD50" w14:textId="77777777" w:rsidR="00A3560C" w:rsidRDefault="005E19A1">
            <w:pPr>
              <w:jc w:val="center"/>
            </w:pPr>
            <w:r>
              <w:rPr>
                <w:b/>
                <w:sz w:val="20"/>
              </w:rPr>
              <w:t>Mitigation/notes</w:t>
            </w:r>
          </w:p>
        </w:tc>
      </w:tr>
      <w:tr w:rsidR="00A3560C" w14:paraId="74DB5E48" w14:textId="77777777" w:rsidTr="00D25023">
        <w:tc>
          <w:tcPr>
            <w:tcW w:w="1728" w:type="dxa"/>
            <w:tcBorders>
              <w:top w:val="single" w:sz="4" w:space="0" w:color="auto"/>
            </w:tcBorders>
          </w:tcPr>
          <w:p w14:paraId="5D21EDEA" w14:textId="77777777" w:rsidR="00A3560C" w:rsidRDefault="005E19A1">
            <w:r>
              <w:rPr>
                <w:sz w:val="20"/>
              </w:rPr>
              <w:t>Alkali dosage (Na2O eq.)</w:t>
            </w:r>
          </w:p>
        </w:tc>
        <w:tc>
          <w:tcPr>
            <w:tcW w:w="1728" w:type="dxa"/>
            <w:tcBorders>
              <w:top w:val="single" w:sz="4" w:space="0" w:color="auto"/>
            </w:tcBorders>
          </w:tcPr>
          <w:p w14:paraId="79B12137" w14:textId="77777777" w:rsidR="00A3560C" w:rsidRDefault="005E19A1">
            <w:r>
              <w:rPr>
                <w:sz w:val="20"/>
              </w:rPr>
              <w:t>3–10% of binder</w:t>
            </w:r>
          </w:p>
        </w:tc>
        <w:tc>
          <w:tcPr>
            <w:tcW w:w="1728" w:type="dxa"/>
            <w:tcBorders>
              <w:top w:val="single" w:sz="4" w:space="0" w:color="auto"/>
            </w:tcBorders>
          </w:tcPr>
          <w:p w14:paraId="1B543AD0" w14:textId="77777777" w:rsidR="00A3560C" w:rsidRDefault="005E19A1">
            <w:r>
              <w:rPr>
                <w:sz w:val="20"/>
              </w:rPr>
              <w:t>dissolution &amp; early strength</w:t>
            </w:r>
          </w:p>
        </w:tc>
        <w:tc>
          <w:tcPr>
            <w:tcW w:w="1728" w:type="dxa"/>
            <w:tcBorders>
              <w:top w:val="single" w:sz="4" w:space="0" w:color="auto"/>
            </w:tcBorders>
          </w:tcPr>
          <w:p w14:paraId="0960EC8C" w14:textId="77777777" w:rsidR="00A3560C" w:rsidRDefault="005E19A1">
            <w:r>
              <w:rPr>
                <w:sz w:val="20"/>
              </w:rPr>
              <w:t>efflorescence; shrinkage</w:t>
            </w:r>
          </w:p>
        </w:tc>
        <w:tc>
          <w:tcPr>
            <w:tcW w:w="1728" w:type="dxa"/>
            <w:tcBorders>
              <w:top w:val="single" w:sz="4" w:space="0" w:color="auto"/>
            </w:tcBorders>
          </w:tcPr>
          <w:p w14:paraId="665F6610" w14:textId="77777777" w:rsidR="00A3560C" w:rsidRDefault="005E19A1">
            <w:r>
              <w:rPr>
                <w:sz w:val="20"/>
              </w:rPr>
              <w:t>optimize with reactivity &amp; curing</w:t>
            </w:r>
          </w:p>
        </w:tc>
      </w:tr>
      <w:tr w:rsidR="00A3560C" w14:paraId="6C16EFD7" w14:textId="77777777" w:rsidTr="00D25023">
        <w:tc>
          <w:tcPr>
            <w:tcW w:w="1728" w:type="dxa"/>
          </w:tcPr>
          <w:p w14:paraId="1EBCF4A2" w14:textId="77777777" w:rsidR="00A3560C" w:rsidRDefault="005E19A1">
            <w:r>
              <w:rPr>
                <w:sz w:val="20"/>
              </w:rPr>
              <w:t>Silicate modulus (SiO2/Na2O)</w:t>
            </w:r>
          </w:p>
        </w:tc>
        <w:tc>
          <w:tcPr>
            <w:tcW w:w="1728" w:type="dxa"/>
          </w:tcPr>
          <w:p w14:paraId="5201A3B9" w14:textId="77777777" w:rsidR="00A3560C" w:rsidRDefault="005E19A1">
            <w:r>
              <w:rPr>
                <w:sz w:val="20"/>
              </w:rPr>
              <w:t>0–2</w:t>
            </w:r>
          </w:p>
        </w:tc>
        <w:tc>
          <w:tcPr>
            <w:tcW w:w="1728" w:type="dxa"/>
          </w:tcPr>
          <w:p w14:paraId="23F2C4E1" w14:textId="77777777" w:rsidR="00A3560C" w:rsidRDefault="005E19A1">
            <w:r>
              <w:rPr>
                <w:sz w:val="20"/>
              </w:rPr>
              <w:t>polymerization &amp; workability</w:t>
            </w:r>
          </w:p>
        </w:tc>
        <w:tc>
          <w:tcPr>
            <w:tcW w:w="1728" w:type="dxa"/>
          </w:tcPr>
          <w:p w14:paraId="3377A8F5" w14:textId="77777777" w:rsidR="00A3560C" w:rsidRDefault="005E19A1">
            <w:r>
              <w:rPr>
                <w:sz w:val="20"/>
              </w:rPr>
              <w:t>rapid set; footprint</w:t>
            </w:r>
          </w:p>
        </w:tc>
        <w:tc>
          <w:tcPr>
            <w:tcW w:w="1728" w:type="dxa"/>
          </w:tcPr>
          <w:p w14:paraId="109981D8" w14:textId="77777777" w:rsidR="00A3560C" w:rsidRDefault="005E19A1">
            <w:r>
              <w:rPr>
                <w:sz w:val="20"/>
              </w:rPr>
              <w:t>use blended or solid activators</w:t>
            </w:r>
          </w:p>
        </w:tc>
      </w:tr>
      <w:tr w:rsidR="00A3560C" w14:paraId="2A29AE79" w14:textId="77777777" w:rsidTr="00D25023">
        <w:tc>
          <w:tcPr>
            <w:tcW w:w="1728" w:type="dxa"/>
          </w:tcPr>
          <w:p w14:paraId="46FC0A09" w14:textId="77777777" w:rsidR="00A3560C" w:rsidRDefault="005E19A1">
            <w:r>
              <w:rPr>
                <w:sz w:val="20"/>
              </w:rPr>
              <w:t>Liquid-to-binder ratio</w:t>
            </w:r>
          </w:p>
        </w:tc>
        <w:tc>
          <w:tcPr>
            <w:tcW w:w="1728" w:type="dxa"/>
          </w:tcPr>
          <w:p w14:paraId="4E19C9B8" w14:textId="77777777" w:rsidR="00A3560C" w:rsidRDefault="005E19A1">
            <w:r>
              <w:rPr>
                <w:sz w:val="20"/>
              </w:rPr>
              <w:t>0.30–0.55 (mass basis)</w:t>
            </w:r>
          </w:p>
        </w:tc>
        <w:tc>
          <w:tcPr>
            <w:tcW w:w="1728" w:type="dxa"/>
          </w:tcPr>
          <w:p w14:paraId="4E5C7880" w14:textId="77777777" w:rsidR="00A3560C" w:rsidRDefault="005E19A1">
            <w:r>
              <w:rPr>
                <w:sz w:val="20"/>
              </w:rPr>
              <w:t>workability, porosity &amp; shrinkage</w:t>
            </w:r>
          </w:p>
        </w:tc>
        <w:tc>
          <w:tcPr>
            <w:tcW w:w="1728" w:type="dxa"/>
          </w:tcPr>
          <w:p w14:paraId="4C87AC7A" w14:textId="77777777" w:rsidR="00A3560C" w:rsidRDefault="005E19A1">
            <w:r>
              <w:rPr>
                <w:sz w:val="20"/>
              </w:rPr>
              <w:t xml:space="preserve">workability–durability </w:t>
            </w:r>
            <w:r>
              <w:rPr>
                <w:sz w:val="20"/>
              </w:rPr>
              <w:t>trade-off</w:t>
            </w:r>
          </w:p>
        </w:tc>
        <w:tc>
          <w:tcPr>
            <w:tcW w:w="1728" w:type="dxa"/>
          </w:tcPr>
          <w:p w14:paraId="0BF0A654" w14:textId="77777777" w:rsidR="00A3560C" w:rsidRDefault="005E19A1">
            <w:r>
              <w:rPr>
                <w:sz w:val="20"/>
              </w:rPr>
              <w:t>optimize packing; curing; admixtures</w:t>
            </w:r>
          </w:p>
        </w:tc>
      </w:tr>
      <w:tr w:rsidR="00A3560C" w14:paraId="30A86E63" w14:textId="77777777" w:rsidTr="00D25023">
        <w:tc>
          <w:tcPr>
            <w:tcW w:w="1728" w:type="dxa"/>
          </w:tcPr>
          <w:p w14:paraId="1C171626" w14:textId="77777777" w:rsidR="00A3560C" w:rsidRDefault="005E19A1">
            <w:r>
              <w:rPr>
                <w:sz w:val="20"/>
              </w:rPr>
              <w:t>Curing temperature</w:t>
            </w:r>
          </w:p>
        </w:tc>
        <w:tc>
          <w:tcPr>
            <w:tcW w:w="1728" w:type="dxa"/>
          </w:tcPr>
          <w:p w14:paraId="3CB98081" w14:textId="77777777" w:rsidR="00A3560C" w:rsidRDefault="005E19A1">
            <w:r>
              <w:rPr>
                <w:sz w:val="20"/>
              </w:rPr>
              <w:t>20–80°C (system-dependent)</w:t>
            </w:r>
          </w:p>
        </w:tc>
        <w:tc>
          <w:tcPr>
            <w:tcW w:w="1728" w:type="dxa"/>
          </w:tcPr>
          <w:p w14:paraId="3383A064" w14:textId="77777777" w:rsidR="00A3560C" w:rsidRDefault="005E19A1">
            <w:r>
              <w:rPr>
                <w:sz w:val="20"/>
              </w:rPr>
              <w:t>reaction kinetics</w:t>
            </w:r>
          </w:p>
        </w:tc>
        <w:tc>
          <w:tcPr>
            <w:tcW w:w="1728" w:type="dxa"/>
          </w:tcPr>
          <w:p w14:paraId="5BACF9C3" w14:textId="77777777" w:rsidR="00A3560C" w:rsidRDefault="005E19A1">
            <w:r>
              <w:rPr>
                <w:sz w:val="20"/>
              </w:rPr>
              <w:t>thermal cracking; practicality</w:t>
            </w:r>
          </w:p>
        </w:tc>
        <w:tc>
          <w:tcPr>
            <w:tcW w:w="1728" w:type="dxa"/>
          </w:tcPr>
          <w:p w14:paraId="15F69B17" w14:textId="77777777" w:rsidR="00A3560C" w:rsidRDefault="005E19A1">
            <w:r>
              <w:rPr>
                <w:sz w:val="20"/>
              </w:rPr>
              <w:t>prefer ambient designs when possible</w:t>
            </w:r>
          </w:p>
        </w:tc>
      </w:tr>
      <w:tr w:rsidR="00A3560C" w14:paraId="60E3F3C3" w14:textId="77777777" w:rsidTr="00D25023">
        <w:tc>
          <w:tcPr>
            <w:tcW w:w="1728" w:type="dxa"/>
          </w:tcPr>
          <w:p w14:paraId="489FAC2C" w14:textId="77777777" w:rsidR="00A3560C" w:rsidRDefault="005E19A1">
            <w:r>
              <w:rPr>
                <w:sz w:val="20"/>
              </w:rPr>
              <w:t>Pre-treatment intensity</w:t>
            </w:r>
          </w:p>
        </w:tc>
        <w:tc>
          <w:tcPr>
            <w:tcW w:w="1728" w:type="dxa"/>
          </w:tcPr>
          <w:p w14:paraId="309CF684" w14:textId="77777777" w:rsidR="00A3560C" w:rsidRDefault="005E19A1">
            <w:r>
              <w:rPr>
                <w:sz w:val="20"/>
              </w:rPr>
              <w:t>none → washing/carbonation</w:t>
            </w:r>
          </w:p>
        </w:tc>
        <w:tc>
          <w:tcPr>
            <w:tcW w:w="1728" w:type="dxa"/>
          </w:tcPr>
          <w:p w14:paraId="10A9FA53" w14:textId="77777777" w:rsidR="00A3560C" w:rsidRDefault="005E19A1">
            <w:r>
              <w:rPr>
                <w:sz w:val="20"/>
              </w:rPr>
              <w:t>reactivity &amp; stability</w:t>
            </w:r>
          </w:p>
        </w:tc>
        <w:tc>
          <w:tcPr>
            <w:tcW w:w="1728" w:type="dxa"/>
          </w:tcPr>
          <w:p w14:paraId="63F509DB" w14:textId="77777777" w:rsidR="00A3560C" w:rsidRDefault="005E19A1">
            <w:r>
              <w:rPr>
                <w:sz w:val="20"/>
              </w:rPr>
              <w:t>c</w:t>
            </w:r>
            <w:r>
              <w:rPr>
                <w:sz w:val="20"/>
              </w:rPr>
              <w:t>ost &amp; complexity</w:t>
            </w:r>
          </w:p>
        </w:tc>
        <w:tc>
          <w:tcPr>
            <w:tcW w:w="1728" w:type="dxa"/>
          </w:tcPr>
          <w:p w14:paraId="4A88103E" w14:textId="77777777" w:rsidR="00A3560C" w:rsidRDefault="005E19A1">
            <w:r>
              <w:rPr>
                <w:sz w:val="20"/>
              </w:rPr>
              <w:t>target the dominant risk</w:t>
            </w:r>
          </w:p>
        </w:tc>
      </w:tr>
    </w:tbl>
    <w:p w14:paraId="240B667E" w14:textId="77777777" w:rsidR="00A3560C" w:rsidRPr="00CA58D7" w:rsidRDefault="005E19A1" w:rsidP="00CA58D7">
      <w:pPr>
        <w:pStyle w:val="Heading1"/>
        <w:spacing w:before="0"/>
        <w:rPr>
          <w:rFonts w:ascii="Times New Roman" w:eastAsia="Times New Roman" w:hAnsi="Times New Roman"/>
          <w:color w:val="000000" w:themeColor="text1"/>
          <w:sz w:val="24"/>
          <w:szCs w:val="24"/>
        </w:rPr>
      </w:pPr>
      <w:r w:rsidRPr="00CA58D7">
        <w:rPr>
          <w:rFonts w:ascii="Times New Roman" w:eastAsia="Times New Roman" w:hAnsi="Times New Roman"/>
          <w:color w:val="000000" w:themeColor="text1"/>
          <w:sz w:val="24"/>
          <w:szCs w:val="24"/>
        </w:rPr>
        <w:t>4. Engineering performance and durability in service conditions</w:t>
      </w:r>
    </w:p>
    <w:p w14:paraId="6467C3C4" w14:textId="77777777" w:rsidR="009C65CD" w:rsidRDefault="005E19A1" w:rsidP="00250DD8">
      <w:pPr>
        <w:spacing w:after="0"/>
        <w:ind w:firstLineChars="200" w:firstLine="440"/>
        <w:jc w:val="both"/>
      </w:pPr>
      <w:r>
        <w:t>Service-life oriented interpretation. Editors often expect a review to connect laboratory metrics to anticipated field performance. A practical appro</w:t>
      </w:r>
      <w:r>
        <w:t>ach is to interpret results through simplified service-life concepts: define the governing transport process (carbonation, chloride diffusion/migration, sulfate ingress), identify the controlling material parameter (effective diffusion coefficient, carbona</w:t>
      </w:r>
      <w:r>
        <w:t>tion coefficient, permeability/</w:t>
      </w:r>
      <w:proofErr w:type="spellStart"/>
      <w:r>
        <w:t>sorptivity</w:t>
      </w:r>
      <w:proofErr w:type="spellEnd"/>
      <w:r>
        <w:t xml:space="preserve">), and then discuss how waste-derived binder chemistry and curing shift that parameter relative to OPC baselines. Where </w:t>
      </w:r>
      <w:r>
        <w:lastRenderedPageBreak/>
        <w:t xml:space="preserve">data are limited, it is appropriate to recommend conservative design measures—such as stricter </w:t>
      </w:r>
      <w:r>
        <w:t>curing, increased cover, or crack-width limits—until long-term evidence becomes available. This helps practitioners use the review as a basis for risk-informed decisions rather than as a catalogue of isolated studies.</w:t>
      </w:r>
    </w:p>
    <w:p w14:paraId="7BCE27CB" w14:textId="77777777" w:rsidR="009C65CD" w:rsidRDefault="005E19A1" w:rsidP="00250DD8">
      <w:pPr>
        <w:spacing w:after="0"/>
        <w:ind w:firstLineChars="200" w:firstLine="440"/>
        <w:jc w:val="both"/>
      </w:pPr>
      <w:r>
        <w:t>For civil engineering adoption, durabi</w:t>
      </w:r>
      <w:r>
        <w:t>lity must be evaluated under realistic service conditions rather than ideal laboratory curing alone. Key exposure actions include chloride ingress in marine and de-icing environments, carbonation under drying and fluctuating humidity, sulfate attack, acidi</w:t>
      </w:r>
      <w:r>
        <w:t>c waters in wastewater infrastructure, and freeze–thaw cycling in cold regions. Because waste-derived binders can differ substantially in pore structure, alkalinity buffering and binding capacity, the same exposure class may lead to different dominant dete</w:t>
      </w:r>
      <w:r>
        <w:t>rioration mechanisms compared with OPC systems. Consequently, performance-based testing and conservative curing/cover specifications are essential before large-scale deployment.</w:t>
      </w:r>
    </w:p>
    <w:p w14:paraId="2ED97EAC" w14:textId="77777777" w:rsidR="00D25023" w:rsidRPr="00D25023" w:rsidRDefault="005E19A1" w:rsidP="00D25023">
      <w:pPr>
        <w:spacing w:after="0"/>
        <w:ind w:firstLineChars="200" w:firstLine="440"/>
        <w:jc w:val="both"/>
        <w:rPr>
          <w:rFonts w:eastAsia="SimSun"/>
          <w:lang w:eastAsia="zh-CN"/>
        </w:rPr>
      </w:pPr>
      <w:r>
        <w:t xml:space="preserve">For a cross-system comparison, Table 3 summarizes indicative performance and </w:t>
      </w:r>
      <w:r>
        <w:t>durability tendencies across major waste-derived cementitious systems, providing a practical starting point for structural and exposure-class design before project-specific testing.</w:t>
      </w:r>
    </w:p>
    <w:p w14:paraId="68DD63EC" w14:textId="77777777" w:rsidR="00D25023" w:rsidRPr="006C666E" w:rsidRDefault="005E19A1" w:rsidP="00D25023">
      <w:pPr>
        <w:spacing w:after="0"/>
        <w:jc w:val="both"/>
        <w:rPr>
          <w:rFonts w:eastAsia="SimSun"/>
          <w:b/>
          <w:bCs/>
          <w:sz w:val="20"/>
          <w:lang w:eastAsia="zh-CN"/>
        </w:rPr>
      </w:pPr>
      <w:r w:rsidRPr="006C666E">
        <w:rPr>
          <w:b/>
          <w:bCs/>
          <w:sz w:val="20"/>
        </w:rPr>
        <w:t xml:space="preserve">Table 3. </w:t>
      </w:r>
    </w:p>
    <w:p w14:paraId="104F53F7" w14:textId="77777777" w:rsidR="00A3560C" w:rsidRPr="006C666E" w:rsidRDefault="005E19A1" w:rsidP="00D25023">
      <w:pPr>
        <w:spacing w:after="0"/>
        <w:jc w:val="both"/>
        <w:rPr>
          <w:b/>
          <w:bCs/>
        </w:rPr>
      </w:pPr>
      <w:r w:rsidRPr="006C666E">
        <w:rPr>
          <w:b/>
          <w:bCs/>
          <w:sz w:val="20"/>
        </w:rPr>
        <w:t xml:space="preserve">Indicative performance and durability tendencies across major </w:t>
      </w:r>
      <w:r w:rsidRPr="006C666E">
        <w:rPr>
          <w:b/>
          <w:bCs/>
          <w:sz w:val="20"/>
        </w:rPr>
        <w:t>waste-derived cementitious systems (indicative trends; project-specific testing required).</w:t>
      </w:r>
    </w:p>
    <w:tbl>
      <w:tblPr>
        <w:tblW w:w="0" w:type="auto"/>
        <w:tblBorders>
          <w:top w:val="single" w:sz="4" w:space="0" w:color="auto"/>
          <w:bottom w:val="single" w:sz="4" w:space="0" w:color="auto"/>
        </w:tblBorders>
        <w:tblLook w:val="04A0" w:firstRow="1" w:lastRow="0" w:firstColumn="1" w:lastColumn="0" w:noHBand="0" w:noVBand="1"/>
      </w:tblPr>
      <w:tblGrid>
        <w:gridCol w:w="1674"/>
        <w:gridCol w:w="1654"/>
        <w:gridCol w:w="1617"/>
        <w:gridCol w:w="2006"/>
        <w:gridCol w:w="1905"/>
      </w:tblGrid>
      <w:tr w:rsidR="00A3560C" w14:paraId="593791AD" w14:textId="77777777" w:rsidTr="00D25023">
        <w:tc>
          <w:tcPr>
            <w:tcW w:w="1728" w:type="dxa"/>
            <w:tcBorders>
              <w:bottom w:val="single" w:sz="4" w:space="0" w:color="auto"/>
            </w:tcBorders>
          </w:tcPr>
          <w:p w14:paraId="4E54EE8A" w14:textId="77777777" w:rsidR="00A3560C" w:rsidRDefault="005E19A1">
            <w:pPr>
              <w:jc w:val="center"/>
            </w:pPr>
            <w:r>
              <w:rPr>
                <w:b/>
                <w:sz w:val="20"/>
              </w:rPr>
              <w:t>System type</w:t>
            </w:r>
          </w:p>
        </w:tc>
        <w:tc>
          <w:tcPr>
            <w:tcW w:w="1728" w:type="dxa"/>
            <w:tcBorders>
              <w:bottom w:val="single" w:sz="4" w:space="0" w:color="auto"/>
            </w:tcBorders>
          </w:tcPr>
          <w:p w14:paraId="2B500CBC" w14:textId="77777777" w:rsidR="00A3560C" w:rsidRDefault="005E19A1">
            <w:pPr>
              <w:jc w:val="center"/>
            </w:pPr>
            <w:r>
              <w:rPr>
                <w:b/>
                <w:sz w:val="20"/>
              </w:rPr>
              <w:t>Strength development</w:t>
            </w:r>
          </w:p>
        </w:tc>
        <w:tc>
          <w:tcPr>
            <w:tcW w:w="1728" w:type="dxa"/>
            <w:tcBorders>
              <w:bottom w:val="single" w:sz="4" w:space="0" w:color="auto"/>
            </w:tcBorders>
          </w:tcPr>
          <w:p w14:paraId="390551A7" w14:textId="77777777" w:rsidR="00A3560C" w:rsidRDefault="005E19A1">
            <w:pPr>
              <w:jc w:val="center"/>
            </w:pPr>
            <w:r>
              <w:rPr>
                <w:b/>
                <w:sz w:val="20"/>
              </w:rPr>
              <w:t>Shrinkage tendency</w:t>
            </w:r>
          </w:p>
        </w:tc>
        <w:tc>
          <w:tcPr>
            <w:tcW w:w="1728" w:type="dxa"/>
            <w:tcBorders>
              <w:bottom w:val="single" w:sz="4" w:space="0" w:color="auto"/>
            </w:tcBorders>
          </w:tcPr>
          <w:p w14:paraId="1C1A46D7" w14:textId="77777777" w:rsidR="00A3560C" w:rsidRDefault="005E19A1">
            <w:pPr>
              <w:jc w:val="center"/>
            </w:pPr>
            <w:r>
              <w:rPr>
                <w:b/>
                <w:sz w:val="20"/>
              </w:rPr>
              <w:t>Transport/durability trend</w:t>
            </w:r>
          </w:p>
        </w:tc>
        <w:tc>
          <w:tcPr>
            <w:tcW w:w="1728" w:type="dxa"/>
            <w:tcBorders>
              <w:bottom w:val="single" w:sz="4" w:space="0" w:color="auto"/>
            </w:tcBorders>
          </w:tcPr>
          <w:p w14:paraId="371C7169" w14:textId="77777777" w:rsidR="00A3560C" w:rsidRDefault="005E19A1">
            <w:pPr>
              <w:jc w:val="center"/>
            </w:pPr>
            <w:r>
              <w:rPr>
                <w:b/>
                <w:sz w:val="20"/>
              </w:rPr>
              <w:t>Key notes</w:t>
            </w:r>
          </w:p>
        </w:tc>
      </w:tr>
      <w:tr w:rsidR="00A3560C" w14:paraId="7227B910" w14:textId="77777777" w:rsidTr="00D25023">
        <w:tc>
          <w:tcPr>
            <w:tcW w:w="1728" w:type="dxa"/>
            <w:tcBorders>
              <w:top w:val="single" w:sz="4" w:space="0" w:color="auto"/>
            </w:tcBorders>
          </w:tcPr>
          <w:p w14:paraId="43DC6D18" w14:textId="77777777" w:rsidR="00A3560C" w:rsidRDefault="005E19A1">
            <w:r>
              <w:rPr>
                <w:sz w:val="20"/>
              </w:rPr>
              <w:t>High-SCM OPC blends</w:t>
            </w:r>
          </w:p>
        </w:tc>
        <w:tc>
          <w:tcPr>
            <w:tcW w:w="1728" w:type="dxa"/>
            <w:tcBorders>
              <w:top w:val="single" w:sz="4" w:space="0" w:color="auto"/>
            </w:tcBorders>
          </w:tcPr>
          <w:p w14:paraId="7A5203FD" w14:textId="77777777" w:rsidR="00A3560C" w:rsidRDefault="005E19A1">
            <w:r>
              <w:rPr>
                <w:sz w:val="20"/>
              </w:rPr>
              <w:t>moderate; depends on SCM</w:t>
            </w:r>
          </w:p>
        </w:tc>
        <w:tc>
          <w:tcPr>
            <w:tcW w:w="1728" w:type="dxa"/>
            <w:tcBorders>
              <w:top w:val="single" w:sz="4" w:space="0" w:color="auto"/>
            </w:tcBorders>
          </w:tcPr>
          <w:p w14:paraId="376FEBAF" w14:textId="77777777" w:rsidR="00A3560C" w:rsidRDefault="005E19A1">
            <w:r>
              <w:rPr>
                <w:sz w:val="20"/>
              </w:rPr>
              <w:t>low–moderate</w:t>
            </w:r>
          </w:p>
        </w:tc>
        <w:tc>
          <w:tcPr>
            <w:tcW w:w="1728" w:type="dxa"/>
            <w:tcBorders>
              <w:top w:val="single" w:sz="4" w:space="0" w:color="auto"/>
            </w:tcBorders>
          </w:tcPr>
          <w:p w14:paraId="5BB16C45" w14:textId="77777777" w:rsidR="00A3560C" w:rsidRDefault="005E19A1">
            <w:r>
              <w:rPr>
                <w:sz w:val="20"/>
              </w:rPr>
              <w:t>low permeability;</w:t>
            </w:r>
            <w:r>
              <w:rPr>
                <w:sz w:val="20"/>
              </w:rPr>
              <w:t xml:space="preserve"> good chloride resistance</w:t>
            </w:r>
          </w:p>
        </w:tc>
        <w:tc>
          <w:tcPr>
            <w:tcW w:w="1728" w:type="dxa"/>
            <w:tcBorders>
              <w:top w:val="single" w:sz="4" w:space="0" w:color="auto"/>
            </w:tcBorders>
          </w:tcPr>
          <w:p w14:paraId="409368C9" w14:textId="77777777" w:rsidR="00A3560C" w:rsidRDefault="005E19A1">
            <w:r>
              <w:rPr>
                <w:sz w:val="20"/>
              </w:rPr>
              <w:t>standards mature for FA/slag</w:t>
            </w:r>
          </w:p>
        </w:tc>
      </w:tr>
      <w:tr w:rsidR="00A3560C" w14:paraId="30D38C9C" w14:textId="77777777" w:rsidTr="00D25023">
        <w:tc>
          <w:tcPr>
            <w:tcW w:w="1728" w:type="dxa"/>
          </w:tcPr>
          <w:p w14:paraId="78F3970A" w14:textId="77777777" w:rsidR="00A3560C" w:rsidRDefault="005E19A1">
            <w:r>
              <w:rPr>
                <w:sz w:val="20"/>
              </w:rPr>
              <w:t>LC3-type binders</w:t>
            </w:r>
          </w:p>
        </w:tc>
        <w:tc>
          <w:tcPr>
            <w:tcW w:w="1728" w:type="dxa"/>
          </w:tcPr>
          <w:p w14:paraId="33F66121" w14:textId="77777777" w:rsidR="00A3560C" w:rsidRDefault="005E19A1">
            <w:r>
              <w:rPr>
                <w:sz w:val="20"/>
              </w:rPr>
              <w:t>good early strength</w:t>
            </w:r>
          </w:p>
        </w:tc>
        <w:tc>
          <w:tcPr>
            <w:tcW w:w="1728" w:type="dxa"/>
          </w:tcPr>
          <w:p w14:paraId="0DF90AA1" w14:textId="77777777" w:rsidR="00A3560C" w:rsidRDefault="005E19A1">
            <w:r>
              <w:rPr>
                <w:sz w:val="20"/>
              </w:rPr>
              <w:t>moderate</w:t>
            </w:r>
          </w:p>
        </w:tc>
        <w:tc>
          <w:tcPr>
            <w:tcW w:w="1728" w:type="dxa"/>
          </w:tcPr>
          <w:p w14:paraId="26197B96" w14:textId="77777777" w:rsidR="00A3560C" w:rsidRDefault="005E19A1">
            <w:r>
              <w:rPr>
                <w:sz w:val="20"/>
              </w:rPr>
              <w:t>refined pores; robust</w:t>
            </w:r>
          </w:p>
        </w:tc>
        <w:tc>
          <w:tcPr>
            <w:tcW w:w="1728" w:type="dxa"/>
          </w:tcPr>
          <w:p w14:paraId="3AA6ECB4" w14:textId="77777777" w:rsidR="00A3560C" w:rsidRDefault="005E19A1">
            <w:r>
              <w:rPr>
                <w:sz w:val="20"/>
              </w:rPr>
              <w:t>calcined clay quality critical</w:t>
            </w:r>
          </w:p>
        </w:tc>
      </w:tr>
      <w:tr w:rsidR="00A3560C" w14:paraId="6EACAF99" w14:textId="77777777" w:rsidTr="00D25023">
        <w:tc>
          <w:tcPr>
            <w:tcW w:w="1728" w:type="dxa"/>
          </w:tcPr>
          <w:p w14:paraId="3EC600A2" w14:textId="77777777" w:rsidR="00A3560C" w:rsidRDefault="005E19A1">
            <w:r>
              <w:rPr>
                <w:sz w:val="20"/>
              </w:rPr>
              <w:t>Slag-rich AAM</w:t>
            </w:r>
          </w:p>
        </w:tc>
        <w:tc>
          <w:tcPr>
            <w:tcW w:w="1728" w:type="dxa"/>
          </w:tcPr>
          <w:p w14:paraId="4D131706" w14:textId="77777777" w:rsidR="00A3560C" w:rsidRDefault="005E19A1">
            <w:r>
              <w:rPr>
                <w:sz w:val="20"/>
              </w:rPr>
              <w:t>fast; high early strength</w:t>
            </w:r>
          </w:p>
        </w:tc>
        <w:tc>
          <w:tcPr>
            <w:tcW w:w="1728" w:type="dxa"/>
          </w:tcPr>
          <w:p w14:paraId="706728A7" w14:textId="77777777" w:rsidR="00A3560C" w:rsidRDefault="005E19A1">
            <w:r>
              <w:rPr>
                <w:sz w:val="20"/>
              </w:rPr>
              <w:t>moderate–high</w:t>
            </w:r>
          </w:p>
        </w:tc>
        <w:tc>
          <w:tcPr>
            <w:tcW w:w="1728" w:type="dxa"/>
          </w:tcPr>
          <w:p w14:paraId="408F88F4" w14:textId="77777777" w:rsidR="00A3560C" w:rsidRDefault="005E19A1">
            <w:r>
              <w:rPr>
                <w:sz w:val="20"/>
              </w:rPr>
              <w:t xml:space="preserve">low chloride diffusivity; carbonation </w:t>
            </w:r>
            <w:r>
              <w:rPr>
                <w:sz w:val="20"/>
              </w:rPr>
              <w:t>sensitivity to curing</w:t>
            </w:r>
          </w:p>
        </w:tc>
        <w:tc>
          <w:tcPr>
            <w:tcW w:w="1728" w:type="dxa"/>
          </w:tcPr>
          <w:p w14:paraId="5D85BCE6" w14:textId="77777777" w:rsidR="00A3560C" w:rsidRDefault="005E19A1">
            <w:r>
              <w:rPr>
                <w:sz w:val="20"/>
              </w:rPr>
              <w:t>activator &amp; curing critical for RC durability</w:t>
            </w:r>
          </w:p>
        </w:tc>
      </w:tr>
      <w:tr w:rsidR="00A3560C" w14:paraId="5AA9044A" w14:textId="77777777" w:rsidTr="00D25023">
        <w:tc>
          <w:tcPr>
            <w:tcW w:w="1728" w:type="dxa"/>
          </w:tcPr>
          <w:p w14:paraId="71D97DEF" w14:textId="77777777" w:rsidR="00A3560C" w:rsidRDefault="005E19A1">
            <w:r>
              <w:rPr>
                <w:sz w:val="20"/>
              </w:rPr>
              <w:t>FA/metakaolin AAM</w:t>
            </w:r>
          </w:p>
        </w:tc>
        <w:tc>
          <w:tcPr>
            <w:tcW w:w="1728" w:type="dxa"/>
          </w:tcPr>
          <w:p w14:paraId="3FC135AE" w14:textId="77777777" w:rsidR="00A3560C" w:rsidRDefault="005E19A1">
            <w:r>
              <w:rPr>
                <w:sz w:val="20"/>
              </w:rPr>
              <w:t>slower unless optimized</w:t>
            </w:r>
          </w:p>
        </w:tc>
        <w:tc>
          <w:tcPr>
            <w:tcW w:w="1728" w:type="dxa"/>
          </w:tcPr>
          <w:p w14:paraId="723537CA" w14:textId="77777777" w:rsidR="00A3560C" w:rsidRDefault="005E19A1">
            <w:r>
              <w:rPr>
                <w:sz w:val="20"/>
              </w:rPr>
              <w:t>high (drying shrinkage common)</w:t>
            </w:r>
          </w:p>
        </w:tc>
        <w:tc>
          <w:tcPr>
            <w:tcW w:w="1728" w:type="dxa"/>
          </w:tcPr>
          <w:p w14:paraId="7EAA2994" w14:textId="77777777" w:rsidR="00A3560C" w:rsidRDefault="005E19A1">
            <w:r>
              <w:rPr>
                <w:sz w:val="20"/>
              </w:rPr>
              <w:t>excellent acid resistance; carbonation/leaching must be checked</w:t>
            </w:r>
          </w:p>
        </w:tc>
        <w:tc>
          <w:tcPr>
            <w:tcW w:w="1728" w:type="dxa"/>
          </w:tcPr>
          <w:p w14:paraId="610A13DE" w14:textId="77777777" w:rsidR="00A3560C" w:rsidRDefault="005E19A1">
            <w:r>
              <w:rPr>
                <w:sz w:val="20"/>
              </w:rPr>
              <w:t>field curing strategy needed</w:t>
            </w:r>
          </w:p>
        </w:tc>
      </w:tr>
      <w:tr w:rsidR="00A3560C" w14:paraId="1F6F1EFC" w14:textId="77777777" w:rsidTr="00D25023">
        <w:tc>
          <w:tcPr>
            <w:tcW w:w="1728" w:type="dxa"/>
          </w:tcPr>
          <w:p w14:paraId="21166027" w14:textId="77777777" w:rsidR="00A3560C" w:rsidRDefault="005E19A1">
            <w:r>
              <w:rPr>
                <w:sz w:val="20"/>
              </w:rPr>
              <w:t>Hazardous-waste enca</w:t>
            </w:r>
            <w:r>
              <w:rPr>
                <w:sz w:val="20"/>
              </w:rPr>
              <w:t>psulation AAM</w:t>
            </w:r>
          </w:p>
        </w:tc>
        <w:tc>
          <w:tcPr>
            <w:tcW w:w="1728" w:type="dxa"/>
          </w:tcPr>
          <w:p w14:paraId="727386C4" w14:textId="77777777" w:rsidR="00A3560C" w:rsidRDefault="005E19A1">
            <w:r>
              <w:rPr>
                <w:sz w:val="20"/>
              </w:rPr>
              <w:t>case-specific</w:t>
            </w:r>
          </w:p>
        </w:tc>
        <w:tc>
          <w:tcPr>
            <w:tcW w:w="1728" w:type="dxa"/>
          </w:tcPr>
          <w:p w14:paraId="5505FBCC" w14:textId="77777777" w:rsidR="00A3560C" w:rsidRDefault="005E19A1">
            <w:r>
              <w:rPr>
                <w:sz w:val="20"/>
              </w:rPr>
              <w:t>case-specific</w:t>
            </w:r>
          </w:p>
        </w:tc>
        <w:tc>
          <w:tcPr>
            <w:tcW w:w="1728" w:type="dxa"/>
          </w:tcPr>
          <w:p w14:paraId="61999ED8" w14:textId="77777777" w:rsidR="00A3560C" w:rsidRDefault="005E19A1">
            <w:r>
              <w:rPr>
                <w:sz w:val="20"/>
              </w:rPr>
              <w:t>leaching control primary</w:t>
            </w:r>
          </w:p>
        </w:tc>
        <w:tc>
          <w:tcPr>
            <w:tcW w:w="1728" w:type="dxa"/>
          </w:tcPr>
          <w:p w14:paraId="5D6FA739" w14:textId="77777777" w:rsidR="00A3560C" w:rsidRDefault="005E19A1">
            <w:r>
              <w:rPr>
                <w:sz w:val="20"/>
              </w:rPr>
              <w:t>test under carbonation/cracking</w:t>
            </w:r>
          </w:p>
        </w:tc>
      </w:tr>
    </w:tbl>
    <w:p w14:paraId="050464E5" w14:textId="77777777" w:rsidR="00A3560C" w:rsidRDefault="005E19A1" w:rsidP="00CA58D7">
      <w:pPr>
        <w:pStyle w:val="Heading1"/>
        <w:spacing w:before="0"/>
      </w:pPr>
      <w:r w:rsidRPr="00CA58D7">
        <w:rPr>
          <w:rFonts w:ascii="Times New Roman" w:eastAsia="Times New Roman" w:hAnsi="Times New Roman"/>
          <w:color w:val="000000" w:themeColor="text1"/>
          <w:sz w:val="24"/>
          <w:szCs w:val="24"/>
        </w:rPr>
        <w:t>5. Research gaps and outlook for civil engineering adoption</w:t>
      </w:r>
    </w:p>
    <w:p w14:paraId="6B9CF4E6" w14:textId="77777777" w:rsidR="00250DD8" w:rsidRDefault="005E19A1" w:rsidP="00250DD8">
      <w:pPr>
        <w:spacing w:after="0"/>
        <w:ind w:firstLineChars="200" w:firstLine="440"/>
        <w:jc w:val="both"/>
        <w:rPr>
          <w:rFonts w:eastAsia="SimSun"/>
          <w:lang w:eastAsia="zh-CN"/>
        </w:rPr>
      </w:pPr>
      <w:r>
        <w:t>Implementation roadmap for authors and practitioners. In addition to fundamental research, a pra</w:t>
      </w:r>
      <w:r>
        <w:t>ctical path to deployment involves documenting feedstock provenance, establishing a minimum testing package, and defining acceptance limits that are realistic for industrial variability. For example, a project specification might require routine XRF checks</w:t>
      </w:r>
      <w:r>
        <w:t xml:space="preserve"> of key oxides, fineness or BET surface area limits, and a rapid reactivity proxy (e.g., calorimetry peak position </w:t>
      </w:r>
      <w:r>
        <w:lastRenderedPageBreak/>
        <w:t>or strength at a fixed curing regime). Durability qualification can then be staged: initial screening using rapid transport proxies, followed</w:t>
      </w:r>
      <w:r>
        <w:t xml:space="preserve"> by longer-term verification tests for the targeted exposure class. Finally, environmental safety should be addressed explicitly for wastes with potential contaminants by including leaching tests at representative curing ages.</w:t>
      </w:r>
      <w:r w:rsidR="00250DD8">
        <w:t xml:space="preserve"> </w:t>
      </w:r>
    </w:p>
    <w:p w14:paraId="149F5346" w14:textId="52ED1073" w:rsidR="009C65CD" w:rsidRDefault="005E19A1" w:rsidP="00250DD8">
      <w:pPr>
        <w:spacing w:after="0"/>
        <w:ind w:firstLineChars="200" w:firstLine="440"/>
        <w:jc w:val="both"/>
      </w:pPr>
      <w:r>
        <w:t xml:space="preserve">For the manuscript itself, </w:t>
      </w:r>
      <w:r>
        <w:t>presenting this staged approach as a coherent narrative can satisfy the expectation of a continuous review format: chemistry and processing determine reaction products and pore structure; pore structure and deformation control determine cracking and transp</w:t>
      </w:r>
      <w:r>
        <w:t>ort; cracking and transport determine durability and service life; and all steps must be verified through performance-based testing and quality assurance.</w:t>
      </w:r>
    </w:p>
    <w:p w14:paraId="3F4A731B" w14:textId="77777777" w:rsidR="009C65CD" w:rsidRDefault="005E19A1" w:rsidP="00250DD8">
      <w:pPr>
        <w:spacing w:after="0"/>
        <w:ind w:firstLineChars="200" w:firstLine="440"/>
        <w:jc w:val="both"/>
      </w:pPr>
      <w:r>
        <w:t>Looking forward, research should aim to reduce uncertainty at the interfaces between waste management</w:t>
      </w:r>
      <w:r>
        <w:t>, binder chemistry and structural design practice. Priority directions include establishing robust acceptance criteria for variable wastes, developing mix-design tools that quantify uncertainty, standardizing durability test protocols for AAM and hybrid bi</w:t>
      </w:r>
      <w:r>
        <w:t>nders, and integrating environmental safety and life-cycle performance into specifications that engineers can apply in procurement and quality control.</w:t>
      </w:r>
    </w:p>
    <w:p w14:paraId="262EA202" w14:textId="77777777" w:rsidR="00A3560C" w:rsidRDefault="005E19A1" w:rsidP="007E6ABC">
      <w:pPr>
        <w:spacing w:after="0"/>
        <w:ind w:firstLineChars="200" w:firstLine="440"/>
        <w:jc w:val="both"/>
      </w:pPr>
      <w:r>
        <w:t>Despite substantial progress, several barriers constrain rapid civil engineering adoption of solid-waste</w:t>
      </w:r>
      <w:r>
        <w:t>-derived binders. (1) Feedstock variability and supply security. Waste streams evolve with industrial processes and energy transitions. Engineering adoption requires classification, blending strategies, and supply-chain QA/QC capable of delivering consiste</w:t>
      </w:r>
      <w:r>
        <w:t>nt performance across projects [6,17]. (2) Standardization and design integration. Many test methods were developed for OPC chemistry and may not translate directly to AAMs (e.g., pore solution alkalinity, carbonation mechanisms, curing sensitivity). Harmo</w:t>
      </w:r>
      <w:r>
        <w:t>nized, performance-based specifications are needed, supported by inter-laboratory validation and field trials [36]. (3) Cracking, shrinkage, and durability modeling. Early-age cracking and long-term shrinkage remain key risks for several AAM systems. Futur</w:t>
      </w:r>
      <w:r>
        <w:t xml:space="preserve">e models should couple reaction kinetics, moisture transport, and fracture mechanics to predict crack development and its impact on transport, corrosion initiation, and leaching. Data-driven shrinkage models provide a starting point but must be calibrated </w:t>
      </w:r>
      <w:r>
        <w:t>for local materials and curing environments [19,31]. (4) Activator footprint, safety, and constructability. Liquid alkaline activators introduce handling risks, while commercial silicates can dominate environmental impacts. One-part activation routes and w</w:t>
      </w:r>
      <w:r>
        <w:t>aste-derived activators are promising, but require robust control over composition, dissolution behavior, and setting [18,27,32]. (5) Demonstration at scale. Full-scale structural demonstrations under realistic curing and exposure remain limited for many e</w:t>
      </w:r>
      <w:r>
        <w:t xml:space="preserve">merging wastes (red mud, </w:t>
      </w:r>
      <w:proofErr w:type="spellStart"/>
      <w:r>
        <w:t>phosphogypsum</w:t>
      </w:r>
      <w:proofErr w:type="spellEnd"/>
      <w:r>
        <w:t xml:space="preserve"> blends, MSWI residues, heterogeneous demolition fines). The next step is to establish performance envelopes and acceptance criteria aligned with structural codes and durability design practice. Overall, the pathway to</w:t>
      </w:r>
      <w:r>
        <w:t xml:space="preserve"> implementation is increasingly clear: (</w:t>
      </w:r>
      <w:proofErr w:type="spellStart"/>
      <w:r>
        <w:t>i</w:t>
      </w:r>
      <w:proofErr w:type="spellEnd"/>
      <w:r>
        <w:t>) quantify feedstock reactivity and contaminants; (ii) select binder chemistry based on precursor composition and exposure needs; (iii) control cracking via mix design and curing; and (iv) validate durability throug</w:t>
      </w:r>
      <w:r>
        <w:t>h transport, carbonation, and leaching tests in both uncracked and cracked states.</w:t>
      </w:r>
    </w:p>
    <w:p w14:paraId="327017B2" w14:textId="77777777" w:rsidR="006C666E" w:rsidRDefault="006C666E" w:rsidP="007E6ABC">
      <w:pPr>
        <w:spacing w:after="0"/>
        <w:ind w:firstLineChars="200" w:firstLine="440"/>
        <w:jc w:val="both"/>
      </w:pPr>
    </w:p>
    <w:p w14:paraId="2532F86D" w14:textId="77777777" w:rsidR="006C666E" w:rsidRPr="006C666E" w:rsidRDefault="006C666E" w:rsidP="006C666E">
      <w:pPr>
        <w:rPr>
          <w:rFonts w:ascii="Arial" w:hAnsi="Arial" w:cs="Arial"/>
          <w:b/>
          <w:bCs/>
          <w:lang w:val="en-GB" w:eastAsia="en-GB"/>
        </w:rPr>
      </w:pPr>
      <w:r w:rsidRPr="006C666E">
        <w:rPr>
          <w:rFonts w:ascii="Arial" w:hAnsi="Arial" w:cs="Arial"/>
          <w:b/>
          <w:bCs/>
          <w:lang w:val="en-GB" w:eastAsia="en-GB"/>
        </w:rPr>
        <w:t>COMPETING INTERESTS DISCLAIMER:</w:t>
      </w:r>
    </w:p>
    <w:p w14:paraId="2F713AC6" w14:textId="77777777" w:rsidR="006C666E" w:rsidRPr="006C666E" w:rsidRDefault="006C666E" w:rsidP="006C666E">
      <w:pPr>
        <w:rPr>
          <w:rFonts w:ascii="Calibri" w:hAnsi="Calibri" w:cs="Times New Roman"/>
          <w:lang w:val="en-GB" w:eastAsia="en-GB"/>
        </w:rPr>
      </w:pPr>
      <w:r w:rsidRPr="006C666E">
        <w:rPr>
          <w:rFonts w:ascii="Arial" w:hAnsi="Arial" w:cs="Arial"/>
          <w:lang w:val="en-GB" w:eastAsia="en-GB"/>
        </w:rPr>
        <w:lastRenderedPageBreak/>
        <w:t>Authors have declared that they have no known competing financial interests OR non-financial interests OR personal relationships that could have appeared to influence the work reported in this paper.</w:t>
      </w:r>
    </w:p>
    <w:p w14:paraId="58183DA8" w14:textId="77777777" w:rsidR="006C666E" w:rsidRDefault="006C666E" w:rsidP="007E6ABC">
      <w:pPr>
        <w:spacing w:after="0"/>
        <w:ind w:firstLineChars="200" w:firstLine="440"/>
        <w:jc w:val="both"/>
      </w:pPr>
    </w:p>
    <w:p w14:paraId="660A0057" w14:textId="77777777" w:rsidR="00A3560C" w:rsidRPr="00CA58D7" w:rsidRDefault="005E19A1" w:rsidP="00CA58D7">
      <w:pPr>
        <w:pStyle w:val="Heading1"/>
        <w:spacing w:before="0"/>
        <w:rPr>
          <w:rFonts w:ascii="Times New Roman" w:eastAsia="Times New Roman" w:hAnsi="Times New Roman"/>
          <w:color w:val="000000" w:themeColor="text1"/>
          <w:sz w:val="24"/>
          <w:szCs w:val="24"/>
        </w:rPr>
      </w:pPr>
      <w:r w:rsidRPr="00CA58D7">
        <w:rPr>
          <w:rFonts w:ascii="Times New Roman" w:eastAsia="Times New Roman" w:hAnsi="Times New Roman"/>
          <w:color w:val="000000" w:themeColor="text1"/>
          <w:sz w:val="24"/>
          <w:szCs w:val="24"/>
        </w:rPr>
        <w:t>References</w:t>
      </w:r>
    </w:p>
    <w:p w14:paraId="28BBECBD" w14:textId="77777777" w:rsidR="00A3560C" w:rsidRDefault="005E19A1" w:rsidP="007E6ABC">
      <w:pPr>
        <w:spacing w:after="0"/>
        <w:jc w:val="both"/>
      </w:pPr>
      <w:r>
        <w:t xml:space="preserve">[1] Provis JL. Alkali-activated materials. </w:t>
      </w:r>
      <w:proofErr w:type="spellStart"/>
      <w:r>
        <w:t>Cem</w:t>
      </w:r>
      <w:proofErr w:type="spellEnd"/>
      <w:r>
        <w:t xml:space="preserve"> </w:t>
      </w:r>
      <w:proofErr w:type="spellStart"/>
      <w:r>
        <w:t>Concr</w:t>
      </w:r>
      <w:proofErr w:type="spellEnd"/>
      <w:r>
        <w:t xml:space="preserve"> Res. </w:t>
      </w:r>
      <w:proofErr w:type="gramStart"/>
      <w:r>
        <w:t>2018;114:40</w:t>
      </w:r>
      <w:proofErr w:type="gramEnd"/>
      <w:r>
        <w:t xml:space="preserve">–48. </w:t>
      </w:r>
      <w:proofErr w:type="gramStart"/>
      <w:r>
        <w:t>doi:10.1016/j.cemconres</w:t>
      </w:r>
      <w:proofErr w:type="gramEnd"/>
      <w:r>
        <w:t>.2017.02.009.</w:t>
      </w:r>
    </w:p>
    <w:p w14:paraId="4C75CE0D" w14:textId="77777777" w:rsidR="00A3560C" w:rsidRDefault="005E19A1" w:rsidP="007E6ABC">
      <w:pPr>
        <w:spacing w:after="0"/>
        <w:jc w:val="both"/>
      </w:pPr>
      <w:r>
        <w:t>[2] Provis JL, Bernal SA. Geopolymers and related alkali-activated materi</w:t>
      </w:r>
      <w:r>
        <w:t xml:space="preserve">als. Annual Review of Materials Research. </w:t>
      </w:r>
      <w:proofErr w:type="gramStart"/>
      <w:r>
        <w:t>2014;44:299</w:t>
      </w:r>
      <w:proofErr w:type="gramEnd"/>
      <w:r>
        <w:t>–327. doi:10.1146/annurev-matsci-070813-113515.</w:t>
      </w:r>
    </w:p>
    <w:p w14:paraId="5E6E95D3" w14:textId="77777777" w:rsidR="00A3560C" w:rsidRDefault="005E19A1" w:rsidP="007E6ABC">
      <w:pPr>
        <w:spacing w:after="0"/>
        <w:jc w:val="both"/>
      </w:pPr>
      <w:r>
        <w:t xml:space="preserve">[3] Provis JL, Palomo A, Shi C. Advances in understanding alkali-activated materials. </w:t>
      </w:r>
      <w:proofErr w:type="spellStart"/>
      <w:r>
        <w:t>Cem</w:t>
      </w:r>
      <w:proofErr w:type="spellEnd"/>
      <w:r>
        <w:t xml:space="preserve"> </w:t>
      </w:r>
      <w:proofErr w:type="spellStart"/>
      <w:r>
        <w:t>Concr</w:t>
      </w:r>
      <w:proofErr w:type="spellEnd"/>
      <w:r>
        <w:t xml:space="preserve"> Res. </w:t>
      </w:r>
      <w:proofErr w:type="gramStart"/>
      <w:r>
        <w:t>2015;78:110</w:t>
      </w:r>
      <w:proofErr w:type="gramEnd"/>
      <w:r>
        <w:t xml:space="preserve">–125. </w:t>
      </w:r>
      <w:proofErr w:type="gramStart"/>
      <w:r>
        <w:t>doi:10.1016/j.cemconres</w:t>
      </w:r>
      <w:proofErr w:type="gramEnd"/>
      <w:r>
        <w:t>.2015.04.013.</w:t>
      </w:r>
    </w:p>
    <w:p w14:paraId="537695F8" w14:textId="77777777" w:rsidR="00A3560C" w:rsidRDefault="005E19A1" w:rsidP="007E6ABC">
      <w:pPr>
        <w:spacing w:after="0"/>
        <w:jc w:val="both"/>
      </w:pPr>
      <w:r>
        <w:t xml:space="preserve">[4] </w:t>
      </w:r>
      <w:proofErr w:type="spellStart"/>
      <w:r>
        <w:t>Duxson</w:t>
      </w:r>
      <w:proofErr w:type="spellEnd"/>
      <w:r>
        <w:t xml:space="preserve"> P, Fernández-Jiménez A, Provis JL, Lukey GC, Palomo A, van Deventer JSJ. Geopolymer technology: the current state of the art. J Mater Sci. </w:t>
      </w:r>
      <w:proofErr w:type="gramStart"/>
      <w:r>
        <w:t>2007;42:2917</w:t>
      </w:r>
      <w:proofErr w:type="gramEnd"/>
      <w:r>
        <w:t>–2933. doi:10.1007/s10853-006-0637-z.</w:t>
      </w:r>
    </w:p>
    <w:p w14:paraId="07642E87" w14:textId="77777777" w:rsidR="00A3560C" w:rsidRDefault="005E19A1" w:rsidP="007E6ABC">
      <w:pPr>
        <w:spacing w:after="0"/>
        <w:jc w:val="both"/>
      </w:pPr>
      <w:r>
        <w:t>[5] van Jaarsveld JGS, van Deventer JSJ, Lorenzen L. The</w:t>
      </w:r>
      <w:r>
        <w:t xml:space="preserve"> potential use of </w:t>
      </w:r>
      <w:proofErr w:type="spellStart"/>
      <w:r>
        <w:t>geopolymeric</w:t>
      </w:r>
      <w:proofErr w:type="spellEnd"/>
      <w:r>
        <w:t xml:space="preserve"> materials to </w:t>
      </w:r>
      <w:proofErr w:type="spellStart"/>
      <w:r>
        <w:t>immobilise</w:t>
      </w:r>
      <w:proofErr w:type="spellEnd"/>
      <w:r>
        <w:t xml:space="preserve"> toxic metals: Part I. Theory and applications. Minerals Engineering. </w:t>
      </w:r>
      <w:proofErr w:type="gramStart"/>
      <w:r>
        <w:t>1997;10:659</w:t>
      </w:r>
      <w:proofErr w:type="gramEnd"/>
      <w:r>
        <w:t>–669. doi:10.1016/S0892-6875(97)00046-0.</w:t>
      </w:r>
    </w:p>
    <w:p w14:paraId="2959A5F2" w14:textId="77777777" w:rsidR="00A3560C" w:rsidRDefault="005E19A1" w:rsidP="007E6ABC">
      <w:pPr>
        <w:spacing w:after="0"/>
        <w:jc w:val="both"/>
      </w:pPr>
      <w:r>
        <w:t xml:space="preserve">[6] Shi C, Qian J. High performance cementing materials from industrial slags—A </w:t>
      </w:r>
      <w:r>
        <w:t xml:space="preserve">review. </w:t>
      </w:r>
      <w:proofErr w:type="spellStart"/>
      <w:r>
        <w:t>Resour</w:t>
      </w:r>
      <w:proofErr w:type="spellEnd"/>
      <w:r>
        <w:t xml:space="preserve"> </w:t>
      </w:r>
      <w:proofErr w:type="spellStart"/>
      <w:r>
        <w:t>Conserv</w:t>
      </w:r>
      <w:proofErr w:type="spellEnd"/>
      <w:r>
        <w:t xml:space="preserve"> </w:t>
      </w:r>
      <w:proofErr w:type="spellStart"/>
      <w:r>
        <w:t>Recycl</w:t>
      </w:r>
      <w:proofErr w:type="spellEnd"/>
      <w:r>
        <w:t xml:space="preserve">. </w:t>
      </w:r>
      <w:proofErr w:type="gramStart"/>
      <w:r>
        <w:t>2000;29:195</w:t>
      </w:r>
      <w:proofErr w:type="gramEnd"/>
      <w:r>
        <w:t>–207. doi:10.1016/S0921-3449(99)00060-9.</w:t>
      </w:r>
    </w:p>
    <w:p w14:paraId="6F3FF187" w14:textId="77777777" w:rsidR="00A3560C" w:rsidRDefault="005E19A1" w:rsidP="007E6ABC">
      <w:pPr>
        <w:spacing w:after="0"/>
        <w:jc w:val="both"/>
      </w:pPr>
      <w:r>
        <w:t xml:space="preserve">[7] Scrivener KL, Martirena F, Bishnoi S, Maity S. Calcined clay limestone cements (LC3). </w:t>
      </w:r>
      <w:proofErr w:type="spellStart"/>
      <w:r>
        <w:t>Cem</w:t>
      </w:r>
      <w:proofErr w:type="spellEnd"/>
      <w:r>
        <w:t xml:space="preserve"> </w:t>
      </w:r>
      <w:proofErr w:type="spellStart"/>
      <w:r>
        <w:t>Concr</w:t>
      </w:r>
      <w:proofErr w:type="spellEnd"/>
      <w:r>
        <w:t xml:space="preserve"> Res. </w:t>
      </w:r>
      <w:proofErr w:type="gramStart"/>
      <w:r>
        <w:t>2018;114:49</w:t>
      </w:r>
      <w:proofErr w:type="gramEnd"/>
      <w:r>
        <w:t xml:space="preserve">–56. </w:t>
      </w:r>
      <w:proofErr w:type="gramStart"/>
      <w:r>
        <w:t>doi:10.1016/j.cemconres</w:t>
      </w:r>
      <w:proofErr w:type="gramEnd"/>
      <w:r>
        <w:t>.2017.08.017.</w:t>
      </w:r>
    </w:p>
    <w:p w14:paraId="0321C63A" w14:textId="77777777" w:rsidR="00A3560C" w:rsidRDefault="005E19A1" w:rsidP="007E6ABC">
      <w:pPr>
        <w:spacing w:after="0"/>
        <w:jc w:val="both"/>
      </w:pPr>
      <w:r>
        <w:t xml:space="preserve">[8] Bernal SA, </w:t>
      </w:r>
      <w:r>
        <w:t>Provis JL. Durability of alkali-activated materials: Progress and perspectives. J Am Ceram Soc. 2014;97(4):997–1008. doi:10.1111/jace.12831.</w:t>
      </w:r>
    </w:p>
    <w:p w14:paraId="41BE4E0D" w14:textId="77777777" w:rsidR="00A3560C" w:rsidRDefault="005E19A1" w:rsidP="007E6ABC">
      <w:pPr>
        <w:spacing w:after="0"/>
        <w:jc w:val="both"/>
      </w:pPr>
      <w:r>
        <w:t xml:space="preserve">[9] </w:t>
      </w:r>
      <w:proofErr w:type="spellStart"/>
      <w:r>
        <w:t>Bakharev</w:t>
      </w:r>
      <w:proofErr w:type="spellEnd"/>
      <w:r>
        <w:t xml:space="preserve"> T. Resistance of geopolymer materials to acid attack. </w:t>
      </w:r>
      <w:proofErr w:type="spellStart"/>
      <w:r>
        <w:t>Cem</w:t>
      </w:r>
      <w:proofErr w:type="spellEnd"/>
      <w:r>
        <w:t xml:space="preserve"> </w:t>
      </w:r>
      <w:proofErr w:type="spellStart"/>
      <w:r>
        <w:t>Concr</w:t>
      </w:r>
      <w:proofErr w:type="spellEnd"/>
      <w:r>
        <w:t xml:space="preserve"> Res. 2005;35(4):658–670. </w:t>
      </w:r>
      <w:proofErr w:type="gramStart"/>
      <w:r>
        <w:t>doi:10.1016/j</w:t>
      </w:r>
      <w:r>
        <w:t>.cemconres</w:t>
      </w:r>
      <w:proofErr w:type="gramEnd"/>
      <w:r>
        <w:t>.2004.06.005.</w:t>
      </w:r>
    </w:p>
    <w:p w14:paraId="3CC51E4B" w14:textId="77777777" w:rsidR="00A3560C" w:rsidRDefault="005E19A1" w:rsidP="007E6ABC">
      <w:pPr>
        <w:spacing w:after="0"/>
        <w:jc w:val="both"/>
      </w:pPr>
      <w:r>
        <w:t xml:space="preserve">[10] Galiano YL, Pereira CF, Vale J. Stabilization/solidification of a municipal solid waste incineration residue using fly ash-based geopolymers. J Hazard Mater. 2011;185(1):373–381. </w:t>
      </w:r>
      <w:proofErr w:type="gramStart"/>
      <w:r>
        <w:t>doi:10.1016/j.jhazmat</w:t>
      </w:r>
      <w:proofErr w:type="gramEnd"/>
      <w:r>
        <w:t>.2010.08.127.</w:t>
      </w:r>
    </w:p>
    <w:p w14:paraId="7127FE5B" w14:textId="77777777" w:rsidR="00A3560C" w:rsidRDefault="005E19A1" w:rsidP="007E6ABC">
      <w:pPr>
        <w:spacing w:after="0"/>
        <w:jc w:val="both"/>
      </w:pPr>
      <w:r>
        <w:t>[11] Lancello</w:t>
      </w:r>
      <w:r>
        <w:t xml:space="preserve">tti I, </w:t>
      </w:r>
      <w:proofErr w:type="spellStart"/>
      <w:r>
        <w:t>Kamseu</w:t>
      </w:r>
      <w:proofErr w:type="spellEnd"/>
      <w:r>
        <w:t xml:space="preserve"> E, </w:t>
      </w:r>
      <w:proofErr w:type="spellStart"/>
      <w:r>
        <w:t>Michelazzi</w:t>
      </w:r>
      <w:proofErr w:type="spellEnd"/>
      <w:r>
        <w:t xml:space="preserve"> M, Barbieri L. Chemical stability of geopolymers containing municipal solid waste incinerator fly ash. Waste Manag. 2010;30(4):673–679. </w:t>
      </w:r>
      <w:proofErr w:type="gramStart"/>
      <w:r>
        <w:t>doi:10.1016/j.wasman</w:t>
      </w:r>
      <w:proofErr w:type="gramEnd"/>
      <w:r>
        <w:t>.2009.09.032.</w:t>
      </w:r>
    </w:p>
    <w:p w14:paraId="2655E478" w14:textId="77777777" w:rsidR="00A3560C" w:rsidRDefault="005E19A1" w:rsidP="007E6ABC">
      <w:pPr>
        <w:spacing w:after="0"/>
        <w:jc w:val="both"/>
      </w:pPr>
      <w:r>
        <w:t>[12] Song Q, Guo MZ, Wang L, Ling T-C. Use of steel slag a</w:t>
      </w:r>
      <w:r>
        <w:t xml:space="preserve">s sustainable construction materials: A review of accelerated carbonation treatment. </w:t>
      </w:r>
      <w:proofErr w:type="spellStart"/>
      <w:r>
        <w:t>Resour</w:t>
      </w:r>
      <w:proofErr w:type="spellEnd"/>
      <w:r>
        <w:t xml:space="preserve"> </w:t>
      </w:r>
      <w:proofErr w:type="spellStart"/>
      <w:r>
        <w:t>Conserv</w:t>
      </w:r>
      <w:proofErr w:type="spellEnd"/>
      <w:r>
        <w:t xml:space="preserve"> </w:t>
      </w:r>
      <w:proofErr w:type="spellStart"/>
      <w:r>
        <w:t>Recycl</w:t>
      </w:r>
      <w:proofErr w:type="spellEnd"/>
      <w:r>
        <w:t xml:space="preserve">. </w:t>
      </w:r>
      <w:proofErr w:type="gramStart"/>
      <w:r>
        <w:t>2021;173:105740</w:t>
      </w:r>
      <w:proofErr w:type="gramEnd"/>
      <w:r>
        <w:t xml:space="preserve">. </w:t>
      </w:r>
      <w:proofErr w:type="gramStart"/>
      <w:r>
        <w:t>doi:10.1016/j.resconrec</w:t>
      </w:r>
      <w:proofErr w:type="gramEnd"/>
      <w:r>
        <w:t>.2021.105740.</w:t>
      </w:r>
    </w:p>
    <w:p w14:paraId="482A895D" w14:textId="77777777" w:rsidR="00A3560C" w:rsidRDefault="005E19A1" w:rsidP="007E6ABC">
      <w:pPr>
        <w:spacing w:after="0"/>
        <w:jc w:val="both"/>
      </w:pPr>
      <w:r>
        <w:t>[13] Kumar A, Saravanan TJ, Bisht K, Kabeer KISA. A review on the utilization of red mud for t</w:t>
      </w:r>
      <w:r>
        <w:t xml:space="preserve">he production of geopolymer and alkali activated concrete. </w:t>
      </w:r>
      <w:proofErr w:type="spellStart"/>
      <w:r>
        <w:t>Constr</w:t>
      </w:r>
      <w:proofErr w:type="spellEnd"/>
      <w:r>
        <w:t xml:space="preserve"> Build Mater. </w:t>
      </w:r>
      <w:proofErr w:type="gramStart"/>
      <w:r>
        <w:t>2021;302:124170</w:t>
      </w:r>
      <w:proofErr w:type="gramEnd"/>
      <w:r>
        <w:t xml:space="preserve">. </w:t>
      </w:r>
      <w:proofErr w:type="gramStart"/>
      <w:r>
        <w:t>doi:10.1016/j.conbuildmat</w:t>
      </w:r>
      <w:proofErr w:type="gramEnd"/>
      <w:r>
        <w:t>.2021.124170.</w:t>
      </w:r>
    </w:p>
    <w:p w14:paraId="22E4905A" w14:textId="77777777" w:rsidR="00A3560C" w:rsidRDefault="005E19A1" w:rsidP="007E6ABC">
      <w:pPr>
        <w:spacing w:after="0"/>
        <w:jc w:val="both"/>
      </w:pPr>
      <w:r>
        <w:t xml:space="preserve">[14] Murali G, Azab M. Recent research in utilization of </w:t>
      </w:r>
      <w:proofErr w:type="spellStart"/>
      <w:r>
        <w:t>phosphogypsum</w:t>
      </w:r>
      <w:proofErr w:type="spellEnd"/>
      <w:r>
        <w:t xml:space="preserve"> as building materials: Review. J Mater Res Technol</w:t>
      </w:r>
      <w:r>
        <w:t xml:space="preserve">. </w:t>
      </w:r>
      <w:proofErr w:type="gramStart"/>
      <w:r>
        <w:t>2023;25:960</w:t>
      </w:r>
      <w:proofErr w:type="gramEnd"/>
      <w:r>
        <w:t xml:space="preserve">–987. </w:t>
      </w:r>
      <w:proofErr w:type="gramStart"/>
      <w:r>
        <w:t>doi:10.1016/j.jmrt</w:t>
      </w:r>
      <w:proofErr w:type="gramEnd"/>
      <w:r>
        <w:t>.2023.05.272.</w:t>
      </w:r>
    </w:p>
    <w:p w14:paraId="35827ED3" w14:textId="77777777" w:rsidR="00A3560C" w:rsidRDefault="005E19A1" w:rsidP="007E6ABC">
      <w:pPr>
        <w:spacing w:after="0"/>
        <w:jc w:val="both"/>
      </w:pPr>
      <w:r>
        <w:t xml:space="preserve">[15] Siddika A, Mamun MAA, Alyousef R, et al. State-of-the-art-review on rice husk ash: A supplementary cementitious material in concrete. Journal of King Saud University – Engineering Sciences. </w:t>
      </w:r>
      <w:proofErr w:type="gramStart"/>
      <w:r>
        <w:t>2021;33:29</w:t>
      </w:r>
      <w:r>
        <w:t>4</w:t>
      </w:r>
      <w:proofErr w:type="gramEnd"/>
      <w:r>
        <w:t xml:space="preserve">–307. </w:t>
      </w:r>
      <w:proofErr w:type="gramStart"/>
      <w:r>
        <w:t>doi:10.1016/j.jksues</w:t>
      </w:r>
      <w:proofErr w:type="gramEnd"/>
      <w:r>
        <w:t>.2020.10.006.</w:t>
      </w:r>
    </w:p>
    <w:p w14:paraId="6A482BFB" w14:textId="77777777" w:rsidR="00A3560C" w:rsidRDefault="005E19A1" w:rsidP="007E6ABC">
      <w:pPr>
        <w:spacing w:after="0"/>
        <w:jc w:val="both"/>
      </w:pPr>
      <w:r>
        <w:lastRenderedPageBreak/>
        <w:t xml:space="preserve">[16] Federico LM, Chidiac SE. Waste glass as a supplementary cementitious material in concrete – Critical review of treatment methods. </w:t>
      </w:r>
      <w:proofErr w:type="spellStart"/>
      <w:r>
        <w:t>Cem</w:t>
      </w:r>
      <w:proofErr w:type="spellEnd"/>
      <w:r>
        <w:t xml:space="preserve"> </w:t>
      </w:r>
      <w:proofErr w:type="spellStart"/>
      <w:r>
        <w:t>Concr</w:t>
      </w:r>
      <w:proofErr w:type="spellEnd"/>
      <w:r>
        <w:t xml:space="preserve"> Compos. 2009;31(8):606–610. </w:t>
      </w:r>
      <w:proofErr w:type="gramStart"/>
      <w:r>
        <w:t>doi:10.1016/j.cemconcomp</w:t>
      </w:r>
      <w:proofErr w:type="gramEnd"/>
      <w:r>
        <w:t>.2009.02.001.</w:t>
      </w:r>
    </w:p>
    <w:p w14:paraId="6DCC3963" w14:textId="77777777" w:rsidR="00A3560C" w:rsidRDefault="005E19A1" w:rsidP="007E6ABC">
      <w:pPr>
        <w:spacing w:after="0"/>
        <w:jc w:val="both"/>
      </w:pPr>
      <w:r>
        <w:t xml:space="preserve">[17] Pappu A, Saxena M, </w:t>
      </w:r>
      <w:proofErr w:type="spellStart"/>
      <w:r>
        <w:t>Asolekar</w:t>
      </w:r>
      <w:proofErr w:type="spellEnd"/>
      <w:r>
        <w:t xml:space="preserve"> SR. Solid wastes generation in India and their recycling potential in building materials. Build Environ. 2007;42(6):2311–2320. </w:t>
      </w:r>
      <w:proofErr w:type="gramStart"/>
      <w:r>
        <w:t>doi:10.1016/j.buildenv</w:t>
      </w:r>
      <w:proofErr w:type="gramEnd"/>
      <w:r>
        <w:t>.2006.04.015.</w:t>
      </w:r>
    </w:p>
    <w:p w14:paraId="4EC278CF" w14:textId="77777777" w:rsidR="00A3560C" w:rsidRDefault="005E19A1" w:rsidP="007E6ABC">
      <w:pPr>
        <w:spacing w:after="0"/>
        <w:jc w:val="both"/>
      </w:pPr>
      <w:r>
        <w:t xml:space="preserve">[18] </w:t>
      </w:r>
      <w:proofErr w:type="spellStart"/>
      <w:r>
        <w:t>Askarian</w:t>
      </w:r>
      <w:proofErr w:type="spellEnd"/>
      <w:r>
        <w:t xml:space="preserve"> M, Tao Z, Samali B, Adam G, Shuaibu R. Mix composition and </w:t>
      </w:r>
      <w:proofErr w:type="spellStart"/>
      <w:r>
        <w:t>characterisation</w:t>
      </w:r>
      <w:proofErr w:type="spellEnd"/>
      <w:r>
        <w:t xml:space="preserve"> of one-part geopolymers with different activators. </w:t>
      </w:r>
      <w:proofErr w:type="spellStart"/>
      <w:r>
        <w:t>Constr</w:t>
      </w:r>
      <w:proofErr w:type="spellEnd"/>
      <w:r>
        <w:t xml:space="preserve"> Build Mater. </w:t>
      </w:r>
      <w:proofErr w:type="gramStart"/>
      <w:r>
        <w:t>2019;225:526</w:t>
      </w:r>
      <w:proofErr w:type="gramEnd"/>
      <w:r>
        <w:t xml:space="preserve">–537. </w:t>
      </w:r>
      <w:proofErr w:type="gramStart"/>
      <w:r>
        <w:t>doi:10.1016/j.conbuildmat</w:t>
      </w:r>
      <w:proofErr w:type="gramEnd"/>
      <w:r>
        <w:t>.2019.07.083.</w:t>
      </w:r>
    </w:p>
    <w:p w14:paraId="15A18221" w14:textId="77777777" w:rsidR="00A3560C" w:rsidRDefault="005E19A1" w:rsidP="007E6ABC">
      <w:pPr>
        <w:spacing w:after="0"/>
        <w:jc w:val="both"/>
      </w:pPr>
      <w:r>
        <w:t xml:space="preserve">[19] Cartwright C, </w:t>
      </w:r>
      <w:proofErr w:type="spellStart"/>
      <w:r>
        <w:t>Rajabipour</w:t>
      </w:r>
      <w:proofErr w:type="spellEnd"/>
      <w:r>
        <w:t xml:space="preserve"> F, </w:t>
      </w:r>
      <w:proofErr w:type="spellStart"/>
      <w:r>
        <w:t>Radlińska</w:t>
      </w:r>
      <w:proofErr w:type="spellEnd"/>
      <w:r>
        <w:t xml:space="preserve"> A. Shrin</w:t>
      </w:r>
      <w:r>
        <w:t>kage characteristics of alkali-activated slag cements. Journal of Materials in Civil Engineering. 2015;27(7):04014244. doi:10.1061/(ASCE)MT.1943-5533.0001058.</w:t>
      </w:r>
    </w:p>
    <w:p w14:paraId="7009F929" w14:textId="77777777" w:rsidR="00A3560C" w:rsidRPr="00CF19E6" w:rsidRDefault="005E19A1" w:rsidP="007E6ABC">
      <w:pPr>
        <w:spacing w:after="0"/>
        <w:jc w:val="both"/>
        <w:rPr>
          <w:rFonts w:eastAsia="SimSun"/>
          <w:color w:val="EE0000"/>
          <w:lang w:eastAsia="zh-CN"/>
        </w:rPr>
      </w:pPr>
      <w:r>
        <w:t>[20]</w:t>
      </w:r>
      <w:bookmarkStart w:id="1" w:name="OLE_LINK1"/>
      <w:r w:rsidR="005A248B" w:rsidRPr="005A248B">
        <w:rPr>
          <w:rFonts w:ascii="Microsoft YaHei" w:eastAsia="Microsoft YaHei" w:hAnsi="Microsoft YaHei" w:hint="eastAsia"/>
          <w:color w:val="666666"/>
          <w:sz w:val="18"/>
          <w:szCs w:val="18"/>
          <w:shd w:val="clear" w:color="auto" w:fill="FFFFFF"/>
        </w:rPr>
        <w:t xml:space="preserve"> </w:t>
      </w:r>
      <w:r w:rsidR="002925B9" w:rsidRPr="002925B9">
        <w:t xml:space="preserve">Ismail I, Bernal SA, Provis JL, et al. Modification of phase evolution in alkali-activated blast furnace slag by the incorporation of fly ash. </w:t>
      </w:r>
      <w:proofErr w:type="spellStart"/>
      <w:r w:rsidR="002925B9" w:rsidRPr="002925B9">
        <w:t>Cem</w:t>
      </w:r>
      <w:proofErr w:type="spellEnd"/>
      <w:r w:rsidR="002925B9" w:rsidRPr="002925B9">
        <w:t xml:space="preserve"> </w:t>
      </w:r>
      <w:proofErr w:type="spellStart"/>
      <w:r w:rsidR="002925B9" w:rsidRPr="002925B9">
        <w:t>Concr</w:t>
      </w:r>
      <w:proofErr w:type="spellEnd"/>
      <w:r w:rsidR="002925B9" w:rsidRPr="002925B9">
        <w:t xml:space="preserve"> Compos. </w:t>
      </w:r>
      <w:proofErr w:type="gramStart"/>
      <w:r w:rsidR="002925B9" w:rsidRPr="002925B9">
        <w:t>2014;45:125</w:t>
      </w:r>
      <w:proofErr w:type="gramEnd"/>
      <w:r w:rsidR="002925B9" w:rsidRPr="002925B9">
        <w:t xml:space="preserve">–135. </w:t>
      </w:r>
      <w:proofErr w:type="gramStart"/>
      <w:r w:rsidR="002925B9" w:rsidRPr="002925B9">
        <w:t>doi:10.1016/j.cemconcomp</w:t>
      </w:r>
      <w:proofErr w:type="gramEnd"/>
      <w:r w:rsidR="002925B9" w:rsidRPr="002925B9">
        <w:t>.2013.09.006</w:t>
      </w:r>
      <w:r w:rsidR="00CF19E6">
        <w:rPr>
          <w:rFonts w:eastAsia="SimSun" w:hint="eastAsia"/>
          <w:lang w:eastAsia="zh-CN"/>
        </w:rPr>
        <w:t>.</w:t>
      </w:r>
    </w:p>
    <w:bookmarkEnd w:id="1"/>
    <w:p w14:paraId="49A89D8B" w14:textId="77777777" w:rsidR="00A3560C" w:rsidRDefault="005E19A1" w:rsidP="007E6ABC">
      <w:pPr>
        <w:spacing w:after="0"/>
        <w:jc w:val="both"/>
      </w:pPr>
      <w:r>
        <w:t xml:space="preserve">[21] Brough AR, Atkinson A. Sodium silicate-based, alkali-activated slag mortars: Part I. Strength, hydration and microstructure. </w:t>
      </w:r>
      <w:proofErr w:type="spellStart"/>
      <w:r>
        <w:t>Ce</w:t>
      </w:r>
      <w:r>
        <w:t>m</w:t>
      </w:r>
      <w:proofErr w:type="spellEnd"/>
      <w:r>
        <w:t xml:space="preserve"> </w:t>
      </w:r>
      <w:proofErr w:type="spellStart"/>
      <w:r>
        <w:t>Concr</w:t>
      </w:r>
      <w:proofErr w:type="spellEnd"/>
      <w:r>
        <w:t xml:space="preserve"> Res. 2002;32(6):865–879. doi:10.1016/S0008-8846(02)00717-2.</w:t>
      </w:r>
    </w:p>
    <w:p w14:paraId="64B0BCE1" w14:textId="77777777" w:rsidR="00A3560C" w:rsidRPr="002925B9" w:rsidRDefault="005E19A1" w:rsidP="007E6ABC">
      <w:pPr>
        <w:spacing w:after="0"/>
        <w:jc w:val="both"/>
      </w:pPr>
      <w:r w:rsidRPr="002925B9">
        <w:t xml:space="preserve">[22] </w:t>
      </w:r>
      <w:r w:rsidR="002925B9" w:rsidRPr="002925B9">
        <w:t xml:space="preserve">Brough AR, Holloway M, Sykes J, Atkinson A. Sodium silicate-based alkali-activated slag mortars: Part II. The retarding effect of additions of sodium chloride or malic acid. </w:t>
      </w:r>
      <w:proofErr w:type="spellStart"/>
      <w:r w:rsidR="002925B9" w:rsidRPr="002925B9">
        <w:t>Cem</w:t>
      </w:r>
      <w:proofErr w:type="spellEnd"/>
      <w:r w:rsidR="002925B9" w:rsidRPr="002925B9">
        <w:t xml:space="preserve"> </w:t>
      </w:r>
      <w:proofErr w:type="spellStart"/>
      <w:r w:rsidR="002925B9" w:rsidRPr="002925B9">
        <w:t>Concr</w:t>
      </w:r>
      <w:proofErr w:type="spellEnd"/>
      <w:r w:rsidR="002925B9" w:rsidRPr="002925B9">
        <w:t xml:space="preserve"> Res. 2000;30(9):1375–1379.</w:t>
      </w:r>
      <w:r w:rsidR="00CF19E6" w:rsidRPr="00CF19E6">
        <w:rPr>
          <w:rFonts w:ascii="PingFangSC-Regular" w:hAnsi="PingFangSC-Regular"/>
          <w:color w:val="222222"/>
          <w:sz w:val="21"/>
          <w:szCs w:val="21"/>
          <w:shd w:val="clear" w:color="auto" w:fill="FBFBFB"/>
        </w:rPr>
        <w:t xml:space="preserve"> </w:t>
      </w:r>
      <w:r w:rsidR="00CF19E6">
        <w:t>doi</w:t>
      </w:r>
      <w:r w:rsidR="00CF19E6" w:rsidRPr="00CF19E6">
        <w:t>:10.1016/S0008-8846(00)00356-2.</w:t>
      </w:r>
    </w:p>
    <w:p w14:paraId="6B4AE657" w14:textId="77777777" w:rsidR="00A3560C" w:rsidRDefault="005E19A1" w:rsidP="007E6ABC">
      <w:pPr>
        <w:spacing w:after="0"/>
        <w:jc w:val="both"/>
      </w:pPr>
      <w:r>
        <w:t xml:space="preserve">[23] </w:t>
      </w:r>
      <w:proofErr w:type="spellStart"/>
      <w:r>
        <w:t>Bakharev</w:t>
      </w:r>
      <w:proofErr w:type="spellEnd"/>
      <w:r>
        <w:t xml:space="preserve"> T, </w:t>
      </w:r>
      <w:proofErr w:type="spellStart"/>
      <w:r>
        <w:t>Sanjayan</w:t>
      </w:r>
      <w:proofErr w:type="spellEnd"/>
      <w:r>
        <w:t xml:space="preserve"> JG, Cheng YB. Resistance of alkali-activated slag concrete to carbonation. </w:t>
      </w:r>
      <w:proofErr w:type="spellStart"/>
      <w:r>
        <w:t>Cem</w:t>
      </w:r>
      <w:proofErr w:type="spellEnd"/>
      <w:r>
        <w:t xml:space="preserve"> </w:t>
      </w:r>
      <w:proofErr w:type="spellStart"/>
      <w:r>
        <w:t>Concr</w:t>
      </w:r>
      <w:proofErr w:type="spellEnd"/>
      <w:r>
        <w:t xml:space="preserve"> Res. 2001;31(9):1277–1283. doi:10.1016/S0008-8846(01)00574-9.</w:t>
      </w:r>
    </w:p>
    <w:p w14:paraId="3373994F" w14:textId="77777777" w:rsidR="00A3560C" w:rsidRDefault="005E19A1" w:rsidP="007E6ABC">
      <w:pPr>
        <w:spacing w:after="0"/>
        <w:jc w:val="both"/>
      </w:pPr>
      <w:r>
        <w:t xml:space="preserve">[24] </w:t>
      </w:r>
      <w:proofErr w:type="spellStart"/>
      <w:r>
        <w:t>Komkova</w:t>
      </w:r>
      <w:proofErr w:type="spellEnd"/>
      <w:r>
        <w:t xml:space="preserve"> A, </w:t>
      </w:r>
      <w:proofErr w:type="spellStart"/>
      <w:r>
        <w:t>Habe</w:t>
      </w:r>
      <w:r>
        <w:t>rt</w:t>
      </w:r>
      <w:proofErr w:type="spellEnd"/>
      <w:r>
        <w:t xml:space="preserve"> G. Environmental impact assessment of alkali-activated materials: Examining impacts of variability in constituent production processes and transportation. </w:t>
      </w:r>
      <w:proofErr w:type="spellStart"/>
      <w:r>
        <w:t>Constr</w:t>
      </w:r>
      <w:proofErr w:type="spellEnd"/>
      <w:r>
        <w:t xml:space="preserve"> Build Mater. </w:t>
      </w:r>
      <w:proofErr w:type="gramStart"/>
      <w:r>
        <w:t>2023;363:129032</w:t>
      </w:r>
      <w:proofErr w:type="gramEnd"/>
      <w:r>
        <w:t xml:space="preserve">. </w:t>
      </w:r>
      <w:proofErr w:type="gramStart"/>
      <w:r>
        <w:t>doi:10.1016/j.conbuildmat</w:t>
      </w:r>
      <w:proofErr w:type="gramEnd"/>
      <w:r>
        <w:t>.2022.129032.</w:t>
      </w:r>
    </w:p>
    <w:p w14:paraId="74CD2F5B" w14:textId="77777777" w:rsidR="00A3560C" w:rsidRPr="002925B9" w:rsidRDefault="005E19A1" w:rsidP="007E6ABC">
      <w:pPr>
        <w:spacing w:after="0"/>
        <w:jc w:val="both"/>
      </w:pPr>
      <w:r w:rsidRPr="002925B9">
        <w:t xml:space="preserve">[25] </w:t>
      </w:r>
      <w:r w:rsidR="002925B9" w:rsidRPr="002925B9">
        <w:t xml:space="preserve">Dang LC, Khabbaz H, Ni BJ. Improving engineering characteristics of expansive soils using industry waste as a sustainable application for reuse of bagasse ash. </w:t>
      </w:r>
      <w:proofErr w:type="spellStart"/>
      <w:r w:rsidR="002925B9" w:rsidRPr="002925B9">
        <w:t>Transp</w:t>
      </w:r>
      <w:proofErr w:type="spellEnd"/>
      <w:r w:rsidR="002925B9" w:rsidRPr="002925B9">
        <w:t xml:space="preserve"> Geotech. </w:t>
      </w:r>
      <w:proofErr w:type="gramStart"/>
      <w:r w:rsidR="002925B9" w:rsidRPr="002925B9">
        <w:t>2021;31:100637</w:t>
      </w:r>
      <w:proofErr w:type="gramEnd"/>
      <w:r w:rsidR="002925B9" w:rsidRPr="002925B9">
        <w:t>.</w:t>
      </w:r>
    </w:p>
    <w:p w14:paraId="7E9EB715" w14:textId="77777777" w:rsidR="00A3560C" w:rsidRPr="002925B9" w:rsidRDefault="005E19A1" w:rsidP="007E6ABC">
      <w:pPr>
        <w:spacing w:after="0"/>
        <w:jc w:val="both"/>
      </w:pPr>
      <w:r w:rsidRPr="002925B9">
        <w:t xml:space="preserve">[26] </w:t>
      </w:r>
      <w:proofErr w:type="spellStart"/>
      <w:r w:rsidR="002925B9" w:rsidRPr="002925B9">
        <w:t>Nikravan</w:t>
      </w:r>
      <w:proofErr w:type="spellEnd"/>
      <w:r w:rsidR="002925B9" w:rsidRPr="002925B9">
        <w:t xml:space="preserve"> M, Firdous R, Stephan D. Life cycle assessment of alkali-activated materials: a systematic literature review. Low-Carbon Mater Green Constr. 2023;1(1):1–24. doi:10.1007/s44242-023-00014-6.</w:t>
      </w:r>
    </w:p>
    <w:p w14:paraId="29E298BE" w14:textId="77777777" w:rsidR="00A3560C" w:rsidRDefault="005E19A1" w:rsidP="007E6ABC">
      <w:pPr>
        <w:spacing w:after="0"/>
        <w:jc w:val="both"/>
      </w:pPr>
      <w:r>
        <w:t xml:space="preserve">[27] </w:t>
      </w:r>
      <w:proofErr w:type="spellStart"/>
      <w:r>
        <w:t>Lamaa</w:t>
      </w:r>
      <w:proofErr w:type="spellEnd"/>
      <w:r>
        <w:t xml:space="preserve"> G, et al. Carbonation of alkali-activated materials: A review. Materials. 2023;16(8):3086. doi:10.3390/ma16083086.</w:t>
      </w:r>
    </w:p>
    <w:p w14:paraId="750A6B17" w14:textId="77777777" w:rsidR="00A3560C" w:rsidRPr="002925B9" w:rsidRDefault="005E19A1" w:rsidP="007E6ABC">
      <w:pPr>
        <w:spacing w:after="0"/>
        <w:jc w:val="both"/>
      </w:pPr>
      <w:r w:rsidRPr="002925B9">
        <w:t xml:space="preserve">[28] </w:t>
      </w:r>
      <w:r w:rsidR="002925B9" w:rsidRPr="002925B9">
        <w:t xml:space="preserve">Coppola L, </w:t>
      </w:r>
      <w:proofErr w:type="spellStart"/>
      <w:r w:rsidR="002925B9" w:rsidRPr="002925B9">
        <w:t>Coffetti</w:t>
      </w:r>
      <w:proofErr w:type="spellEnd"/>
      <w:r w:rsidR="002925B9" w:rsidRPr="002925B9">
        <w:t xml:space="preserve"> D, </w:t>
      </w:r>
      <w:proofErr w:type="spellStart"/>
      <w:r w:rsidR="002925B9" w:rsidRPr="002925B9">
        <w:t>Crotti</w:t>
      </w:r>
      <w:proofErr w:type="spellEnd"/>
      <w:r w:rsidR="002925B9" w:rsidRPr="002925B9">
        <w:t xml:space="preserve"> E, et al. The durability of one-part alkali-activated slag-based mortars in different environments. Sustainability. 2020;12(9):3561. doi:10.3390/su12093561.</w:t>
      </w:r>
    </w:p>
    <w:p w14:paraId="2BBB48CB" w14:textId="77777777" w:rsidR="00A3560C" w:rsidRDefault="005E19A1" w:rsidP="007E6ABC">
      <w:pPr>
        <w:spacing w:after="0"/>
        <w:jc w:val="both"/>
      </w:pPr>
      <w:r>
        <w:t xml:space="preserve">[29] </w:t>
      </w:r>
      <w:r w:rsidR="002925B9" w:rsidRPr="002925B9">
        <w:t>Chen W, Brouwers HJH. The hydration of slag, part 1: reaction models for alkali-activated slag. J Mater Sci. 2007;42(2):428–443. doi:10.1007/s10853-006-0873-2.</w:t>
      </w:r>
    </w:p>
    <w:p w14:paraId="4AE45BE7" w14:textId="77777777" w:rsidR="00A3560C" w:rsidRDefault="005E19A1" w:rsidP="007E6ABC">
      <w:pPr>
        <w:spacing w:after="0"/>
        <w:jc w:val="both"/>
      </w:pPr>
      <w:r>
        <w:t xml:space="preserve">[30] </w:t>
      </w:r>
      <w:proofErr w:type="spellStart"/>
      <w:r>
        <w:t>Elzeadani</w:t>
      </w:r>
      <w:proofErr w:type="spellEnd"/>
      <w:r>
        <w:t xml:space="preserve"> M, </w:t>
      </w:r>
      <w:proofErr w:type="spellStart"/>
      <w:r>
        <w:t>Bompa</w:t>
      </w:r>
      <w:proofErr w:type="spellEnd"/>
      <w:r>
        <w:t xml:space="preserve"> DV, </w:t>
      </w:r>
      <w:proofErr w:type="spellStart"/>
      <w:r>
        <w:t>Elghazouli</w:t>
      </w:r>
      <w:proofErr w:type="spellEnd"/>
      <w:r>
        <w:t xml:space="preserve"> AY. One part alkali activated materials: A state-of-the-art review. J Build Eng. </w:t>
      </w:r>
      <w:proofErr w:type="gramStart"/>
      <w:r>
        <w:t>2022;57:104871</w:t>
      </w:r>
      <w:proofErr w:type="gramEnd"/>
      <w:r>
        <w:t xml:space="preserve">. </w:t>
      </w:r>
      <w:proofErr w:type="gramStart"/>
      <w:r>
        <w:t>doi:10.1016/j.jobe</w:t>
      </w:r>
      <w:proofErr w:type="gramEnd"/>
      <w:r>
        <w:t>.2022.104</w:t>
      </w:r>
      <w:r>
        <w:t>871.</w:t>
      </w:r>
    </w:p>
    <w:p w14:paraId="35A683B0" w14:textId="77777777" w:rsidR="00A3560C" w:rsidRDefault="005E19A1" w:rsidP="007E6ABC">
      <w:pPr>
        <w:spacing w:after="0"/>
        <w:jc w:val="both"/>
      </w:pPr>
      <w:r>
        <w:t>[31] Qin Y, et al. One-Part Alkali-Activated Materials: State of the Art and Perspectives. Polymers. 2022;14(22):5046. doi:10.3390/polym14225046.</w:t>
      </w:r>
    </w:p>
    <w:p w14:paraId="5016B773" w14:textId="77777777" w:rsidR="00A3560C" w:rsidRDefault="005E19A1" w:rsidP="007E6ABC">
      <w:pPr>
        <w:spacing w:after="0"/>
        <w:jc w:val="both"/>
      </w:pPr>
      <w:r>
        <w:t xml:space="preserve">[32] </w:t>
      </w:r>
      <w:proofErr w:type="spellStart"/>
      <w:r>
        <w:t>Majdoubi</w:t>
      </w:r>
      <w:proofErr w:type="spellEnd"/>
      <w:r>
        <w:t xml:space="preserve"> H, </w:t>
      </w:r>
      <w:proofErr w:type="spellStart"/>
      <w:r>
        <w:t>Makhlouf</w:t>
      </w:r>
      <w:proofErr w:type="spellEnd"/>
      <w:r>
        <w:t xml:space="preserve"> R, </w:t>
      </w:r>
      <w:proofErr w:type="spellStart"/>
      <w:r>
        <w:t>Haddaji</w:t>
      </w:r>
      <w:proofErr w:type="spellEnd"/>
      <w:r>
        <w:t xml:space="preserve"> Y, </w:t>
      </w:r>
      <w:proofErr w:type="spellStart"/>
      <w:r>
        <w:t>Nadi</w:t>
      </w:r>
      <w:proofErr w:type="spellEnd"/>
      <w:r>
        <w:t xml:space="preserve"> M, Mansouri S, </w:t>
      </w:r>
      <w:proofErr w:type="spellStart"/>
      <w:r>
        <w:t>Semllal</w:t>
      </w:r>
      <w:proofErr w:type="spellEnd"/>
      <w:r>
        <w:t xml:space="preserve"> N, </w:t>
      </w:r>
      <w:proofErr w:type="spellStart"/>
      <w:r>
        <w:t>Oumam</w:t>
      </w:r>
      <w:proofErr w:type="spellEnd"/>
      <w:r>
        <w:t xml:space="preserve"> M, Manoun B, </w:t>
      </w:r>
      <w:proofErr w:type="spellStart"/>
      <w:r>
        <w:t>Alami</w:t>
      </w:r>
      <w:proofErr w:type="spellEnd"/>
      <w:r>
        <w:t xml:space="preserve"> J, </w:t>
      </w:r>
      <w:proofErr w:type="spellStart"/>
      <w:r>
        <w:t>Hannac</w:t>
      </w:r>
      <w:r>
        <w:t>he</w:t>
      </w:r>
      <w:proofErr w:type="spellEnd"/>
      <w:r>
        <w:t xml:space="preserve"> H, </w:t>
      </w:r>
      <w:proofErr w:type="spellStart"/>
      <w:r>
        <w:t>Tamraoui</w:t>
      </w:r>
      <w:proofErr w:type="spellEnd"/>
      <w:r>
        <w:t xml:space="preserve"> Y. Valorization of </w:t>
      </w:r>
      <w:proofErr w:type="spellStart"/>
      <w:r>
        <w:t>phosphogypsum</w:t>
      </w:r>
      <w:proofErr w:type="spellEnd"/>
      <w:r>
        <w:t xml:space="preserve"> waste through acid </w:t>
      </w:r>
      <w:r>
        <w:lastRenderedPageBreak/>
        <w:t xml:space="preserve">geopolymer technology: synthesis, characterization, and environmental assessment. </w:t>
      </w:r>
      <w:proofErr w:type="spellStart"/>
      <w:r>
        <w:t>Constr</w:t>
      </w:r>
      <w:proofErr w:type="spellEnd"/>
      <w:r>
        <w:t xml:space="preserve"> Build Mater. </w:t>
      </w:r>
      <w:proofErr w:type="gramStart"/>
      <w:r>
        <w:t>2023;371:130710</w:t>
      </w:r>
      <w:proofErr w:type="gramEnd"/>
      <w:r>
        <w:t xml:space="preserve">. </w:t>
      </w:r>
      <w:proofErr w:type="gramStart"/>
      <w:r>
        <w:t>doi:10.1016/j.conbuildmat</w:t>
      </w:r>
      <w:proofErr w:type="gramEnd"/>
      <w:r>
        <w:t>.2023.130710.</w:t>
      </w:r>
    </w:p>
    <w:p w14:paraId="12889FAE" w14:textId="77777777" w:rsidR="00A3560C" w:rsidRDefault="005E19A1" w:rsidP="007E6ABC">
      <w:pPr>
        <w:spacing w:after="0"/>
        <w:jc w:val="both"/>
      </w:pPr>
      <w:r>
        <w:t xml:space="preserve">[33] </w:t>
      </w:r>
      <w:r w:rsidR="008570BA" w:rsidRPr="008570BA">
        <w:t>European Committee for Standardization (CEN). EN 197-1:2011. Cement—Part 1: Composition, specifications and conformity criteria for common cements. Brussels: CEN; 2011.</w:t>
      </w:r>
    </w:p>
    <w:p w14:paraId="1E629514" w14:textId="77777777" w:rsidR="00A3560C" w:rsidRPr="00CF19E6" w:rsidRDefault="005E19A1" w:rsidP="007E6ABC">
      <w:pPr>
        <w:spacing w:after="0"/>
        <w:jc w:val="both"/>
        <w:rPr>
          <w:rFonts w:eastAsia="SimSun"/>
          <w:lang w:eastAsia="zh-CN"/>
        </w:rPr>
      </w:pPr>
      <w:r>
        <w:t xml:space="preserve">[34] </w:t>
      </w:r>
      <w:r w:rsidR="008570BA" w:rsidRPr="008570BA">
        <w:t xml:space="preserve">Fédération </w:t>
      </w:r>
      <w:proofErr w:type="spellStart"/>
      <w:r w:rsidR="008570BA" w:rsidRPr="008570BA">
        <w:t>internationale</w:t>
      </w:r>
      <w:proofErr w:type="spellEnd"/>
      <w:r w:rsidR="008570BA" w:rsidRPr="008570BA">
        <w:t xml:space="preserve"> du </w:t>
      </w:r>
      <w:proofErr w:type="spellStart"/>
      <w:r w:rsidR="008570BA" w:rsidRPr="008570BA">
        <w:t>béton</w:t>
      </w:r>
      <w:proofErr w:type="spellEnd"/>
      <w:r w:rsidR="008570BA" w:rsidRPr="008570BA">
        <w:t xml:space="preserve"> (fib). fib Model Code for Concrete Structures 2010. Lausanne: fib; 2013</w:t>
      </w:r>
      <w:r w:rsidR="00CF19E6">
        <w:rPr>
          <w:rFonts w:eastAsia="SimSun" w:hint="eastAsia"/>
          <w:lang w:eastAsia="zh-CN"/>
        </w:rPr>
        <w:t>.</w:t>
      </w:r>
    </w:p>
    <w:p w14:paraId="46FDE2F4" w14:textId="77777777" w:rsidR="00A3560C" w:rsidRDefault="005E19A1" w:rsidP="007E6ABC">
      <w:pPr>
        <w:spacing w:after="0"/>
        <w:jc w:val="both"/>
      </w:pPr>
      <w:r>
        <w:t xml:space="preserve">[35] </w:t>
      </w:r>
      <w:r w:rsidR="008570BA" w:rsidRPr="008570BA">
        <w:t>ASTM International. ASTM C989/C989M-24. Standard Specification for Slag Cement for Use in Concrete and Mortars. West Conshohocken, PA: ASTM International; 2024.</w:t>
      </w:r>
    </w:p>
    <w:p w14:paraId="14F87772" w14:textId="77777777" w:rsidR="00A3560C" w:rsidRDefault="005E19A1" w:rsidP="007E6ABC">
      <w:pPr>
        <w:spacing w:after="0"/>
        <w:jc w:val="both"/>
      </w:pPr>
      <w:r>
        <w:t xml:space="preserve">[36] </w:t>
      </w:r>
      <w:r w:rsidR="008570BA" w:rsidRPr="008570BA">
        <w:t>Provis JL, van Deventer JSJ, editors. Alkali Activated Materials: State-of-the-Art Report, RILEM TC 224-AAM. RILEM State-of-the-Art Reports, Vol 13. Dordrecht: Springer; 2014. doi:10.1007/978-94-007-7672-2.</w:t>
      </w:r>
    </w:p>
    <w:sectPr w:rsidR="00A3560C" w:rsidSect="0003461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3ED850" w14:textId="77777777" w:rsidR="005E19A1" w:rsidRDefault="005E19A1" w:rsidP="003F2565">
      <w:pPr>
        <w:spacing w:after="0" w:line="240" w:lineRule="auto"/>
      </w:pPr>
      <w:r>
        <w:separator/>
      </w:r>
    </w:p>
  </w:endnote>
  <w:endnote w:type="continuationSeparator" w:id="0">
    <w:p w14:paraId="47C12B0A" w14:textId="77777777" w:rsidR="005E19A1" w:rsidRDefault="005E19A1" w:rsidP="003F2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PingFangSC-Regula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F6D68" w14:textId="77777777" w:rsidR="003F2565" w:rsidRDefault="003F25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33B6A" w14:textId="77777777" w:rsidR="003F2565" w:rsidRDefault="003F25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8EF8E" w14:textId="77777777" w:rsidR="003F2565" w:rsidRDefault="003F25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93BC3B" w14:textId="77777777" w:rsidR="005E19A1" w:rsidRDefault="005E19A1" w:rsidP="003F2565">
      <w:pPr>
        <w:spacing w:after="0" w:line="240" w:lineRule="auto"/>
      </w:pPr>
      <w:r>
        <w:separator/>
      </w:r>
    </w:p>
  </w:footnote>
  <w:footnote w:type="continuationSeparator" w:id="0">
    <w:p w14:paraId="0A9BD182" w14:textId="77777777" w:rsidR="005E19A1" w:rsidRDefault="005E19A1" w:rsidP="003F25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3705C" w14:textId="15094D1B" w:rsidR="003F2565" w:rsidRDefault="003F2565">
    <w:pPr>
      <w:pStyle w:val="Header"/>
    </w:pPr>
    <w:r>
      <w:rPr>
        <w:noProof/>
      </w:rPr>
      <w:pict w14:anchorId="4E4DAD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47.25pt;height:61.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9F15E" w14:textId="4E799929" w:rsidR="003F2565" w:rsidRDefault="003F2565">
    <w:pPr>
      <w:pStyle w:val="Header"/>
    </w:pPr>
    <w:r>
      <w:rPr>
        <w:noProof/>
      </w:rPr>
      <w:pict w14:anchorId="022487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47.25pt;height:61.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EB496" w14:textId="0F4592E1" w:rsidR="003F2565" w:rsidRDefault="003F2565">
    <w:pPr>
      <w:pStyle w:val="Header"/>
    </w:pPr>
    <w:r>
      <w:rPr>
        <w:noProof/>
      </w:rPr>
      <w:pict w14:anchorId="32B971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47.25pt;height:61.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bordersDoNotSurroundHeader/>
  <w:bordersDoNotSurroundFooter/>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2857"/>
    <w:rsid w:val="00034616"/>
    <w:rsid w:val="0006063C"/>
    <w:rsid w:val="000A4DBA"/>
    <w:rsid w:val="000E46D3"/>
    <w:rsid w:val="0015074B"/>
    <w:rsid w:val="0019376D"/>
    <w:rsid w:val="001B43A1"/>
    <w:rsid w:val="00250DD8"/>
    <w:rsid w:val="002925B9"/>
    <w:rsid w:val="0029639D"/>
    <w:rsid w:val="00326F90"/>
    <w:rsid w:val="003F2565"/>
    <w:rsid w:val="00402B78"/>
    <w:rsid w:val="004924C4"/>
    <w:rsid w:val="004C2761"/>
    <w:rsid w:val="00555034"/>
    <w:rsid w:val="005A248B"/>
    <w:rsid w:val="005E19A1"/>
    <w:rsid w:val="00636C39"/>
    <w:rsid w:val="006C666E"/>
    <w:rsid w:val="007A2CC6"/>
    <w:rsid w:val="007E6ABC"/>
    <w:rsid w:val="008570BA"/>
    <w:rsid w:val="008965DF"/>
    <w:rsid w:val="009C65CD"/>
    <w:rsid w:val="00A3560C"/>
    <w:rsid w:val="00A90C17"/>
    <w:rsid w:val="00AA1D8D"/>
    <w:rsid w:val="00B47730"/>
    <w:rsid w:val="00CA58D7"/>
    <w:rsid w:val="00CB0664"/>
    <w:rsid w:val="00CF19E6"/>
    <w:rsid w:val="00D25023"/>
    <w:rsid w:val="00E129DB"/>
    <w:rsid w:val="00E31E80"/>
    <w:rsid w:val="00E568C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01391EA"/>
  <w14:defaultImageDpi w14:val="300"/>
  <w15:docId w15:val="{53F2587E-40B0-43CE-84B7-76DBCC937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Times New Roman" w:eastAsia="Times New Roman" w:hAnsi="Times New Roman"/>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7A2CC6"/>
    <w:rPr>
      <w:color w:val="0000FF" w:themeColor="hyperlink"/>
      <w:u w:val="single"/>
    </w:rPr>
  </w:style>
  <w:style w:type="character" w:styleId="UnresolvedMention">
    <w:name w:val="Unresolved Mention"/>
    <w:basedOn w:val="DefaultParagraphFont"/>
    <w:uiPriority w:val="99"/>
    <w:semiHidden/>
    <w:unhideWhenUsed/>
    <w:rsid w:val="007A2C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782EC-DAC5-4E74-998A-7AC577154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11</Pages>
  <Words>4891</Words>
  <Characters>27880</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32706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1084</cp:lastModifiedBy>
  <cp:revision>22</cp:revision>
  <dcterms:created xsi:type="dcterms:W3CDTF">2013-12-23T23:15:00Z</dcterms:created>
  <dcterms:modified xsi:type="dcterms:W3CDTF">2026-02-05T09:39:00Z</dcterms:modified>
  <cp:category/>
</cp:coreProperties>
</file>