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2CDC5" w14:textId="77777777" w:rsidR="00A846B5" w:rsidRDefault="00A846B5" w:rsidP="00A65FDA">
      <w:pPr>
        <w:spacing w:line="276" w:lineRule="auto"/>
        <w:jc w:val="center"/>
        <w:rPr>
          <w:rFonts w:ascii="Times New Roman" w:hAnsi="Times New Roman" w:cs="Times New Roman"/>
          <w:b/>
          <w:bCs/>
          <w:sz w:val="32"/>
          <w:szCs w:val="32"/>
        </w:rPr>
      </w:pPr>
      <w:r w:rsidRPr="00A846B5">
        <w:rPr>
          <w:rFonts w:ascii="Times New Roman" w:hAnsi="Times New Roman" w:cs="Times New Roman"/>
          <w:b/>
          <w:bCs/>
          <w:sz w:val="32"/>
          <w:szCs w:val="32"/>
        </w:rPr>
        <w:t>Original Research Article</w:t>
      </w:r>
    </w:p>
    <w:p w14:paraId="6F67FA0B" w14:textId="2F7E731C" w:rsidR="0073516B" w:rsidRDefault="0073516B" w:rsidP="00A65FDA">
      <w:pPr>
        <w:spacing w:line="276" w:lineRule="auto"/>
        <w:jc w:val="center"/>
        <w:rPr>
          <w:rFonts w:ascii="Times New Roman" w:hAnsi="Times New Roman" w:cs="Times New Roman"/>
          <w:b/>
          <w:bCs/>
          <w:sz w:val="32"/>
          <w:szCs w:val="32"/>
        </w:rPr>
      </w:pPr>
      <w:r w:rsidRPr="0002650F">
        <w:rPr>
          <w:rFonts w:ascii="Times New Roman" w:hAnsi="Times New Roman" w:cs="Times New Roman"/>
          <w:b/>
          <w:bCs/>
          <w:sz w:val="32"/>
          <w:szCs w:val="32"/>
        </w:rPr>
        <w:t>Digital Payment</w:t>
      </w:r>
      <w:r w:rsidR="00A0104E" w:rsidRPr="0002650F">
        <w:rPr>
          <w:rFonts w:ascii="Times New Roman" w:hAnsi="Times New Roman" w:cs="Times New Roman"/>
          <w:b/>
          <w:bCs/>
          <w:sz w:val="32"/>
          <w:szCs w:val="32"/>
        </w:rPr>
        <w:t>s</w:t>
      </w:r>
      <w:r w:rsidRPr="0002650F">
        <w:rPr>
          <w:rFonts w:ascii="Times New Roman" w:hAnsi="Times New Roman" w:cs="Times New Roman"/>
          <w:b/>
          <w:bCs/>
          <w:sz w:val="32"/>
          <w:szCs w:val="32"/>
        </w:rPr>
        <w:t xml:space="preserve"> and </w:t>
      </w:r>
      <w:r w:rsidR="00982DA7" w:rsidRPr="0002650F">
        <w:rPr>
          <w:rFonts w:ascii="Times New Roman" w:hAnsi="Times New Roman" w:cs="Times New Roman"/>
          <w:b/>
          <w:bCs/>
          <w:sz w:val="32"/>
          <w:szCs w:val="32"/>
        </w:rPr>
        <w:t xml:space="preserve">Inflation Dynamics </w:t>
      </w:r>
      <w:r w:rsidR="00FE3A89" w:rsidRPr="0002650F">
        <w:rPr>
          <w:rFonts w:ascii="Times New Roman" w:hAnsi="Times New Roman" w:cs="Times New Roman"/>
          <w:b/>
          <w:bCs/>
          <w:sz w:val="32"/>
          <w:szCs w:val="32"/>
        </w:rPr>
        <w:t>in Nigeria</w:t>
      </w:r>
    </w:p>
    <w:p w14:paraId="14FC300B" w14:textId="77777777" w:rsidR="003861DF" w:rsidRDefault="003861DF" w:rsidP="00A65FDA">
      <w:pPr>
        <w:spacing w:line="276" w:lineRule="auto"/>
        <w:jc w:val="center"/>
        <w:rPr>
          <w:rFonts w:ascii="Times New Roman" w:hAnsi="Times New Roman" w:cs="Times New Roman"/>
          <w:b/>
          <w:bCs/>
          <w:sz w:val="32"/>
          <w:szCs w:val="32"/>
        </w:rPr>
      </w:pPr>
    </w:p>
    <w:p w14:paraId="02F064CC" w14:textId="77777777" w:rsidR="0073516B" w:rsidRPr="0002650F" w:rsidRDefault="0073516B" w:rsidP="00A65FDA">
      <w:pPr>
        <w:spacing w:line="276" w:lineRule="auto"/>
        <w:jc w:val="center"/>
        <w:rPr>
          <w:rFonts w:ascii="Times New Roman" w:hAnsi="Times New Roman" w:cs="Times New Roman"/>
          <w:b/>
          <w:bCs/>
        </w:rPr>
      </w:pPr>
      <w:bookmarkStart w:id="0" w:name="_GoBack"/>
      <w:bookmarkEnd w:id="0"/>
    </w:p>
    <w:p w14:paraId="134DD988" w14:textId="77777777" w:rsidR="0073516B" w:rsidRPr="0002650F" w:rsidRDefault="0073516B" w:rsidP="00A65FDA">
      <w:pPr>
        <w:spacing w:line="276" w:lineRule="auto"/>
        <w:jc w:val="center"/>
        <w:rPr>
          <w:rFonts w:ascii="Times New Roman" w:hAnsi="Times New Roman" w:cs="Times New Roman"/>
          <w:b/>
          <w:bCs/>
        </w:rPr>
      </w:pPr>
      <w:r w:rsidRPr="0002650F">
        <w:rPr>
          <w:rFonts w:ascii="Times New Roman" w:hAnsi="Times New Roman" w:cs="Times New Roman"/>
          <w:b/>
          <w:bCs/>
        </w:rPr>
        <w:t>Abstract</w:t>
      </w:r>
    </w:p>
    <w:p w14:paraId="69737E45" w14:textId="7BD129B9" w:rsidR="0073516B" w:rsidRPr="0002650F" w:rsidRDefault="00F56A8F" w:rsidP="00F56A8F">
      <w:pPr>
        <w:spacing w:line="276" w:lineRule="auto"/>
        <w:jc w:val="both"/>
        <w:rPr>
          <w:rFonts w:ascii="Times New Roman" w:hAnsi="Times New Roman" w:cs="Times New Roman"/>
        </w:rPr>
      </w:pPr>
      <w:r w:rsidRPr="0002650F">
        <w:rPr>
          <w:rFonts w:ascii="Times New Roman" w:hAnsi="Times New Roman" w:cs="Times New Roman"/>
        </w:rPr>
        <w:t xml:space="preserve">Acknowledging the increasing significance of digital payment transformations in </w:t>
      </w:r>
      <w:r w:rsidR="0002650F">
        <w:rPr>
          <w:rFonts w:ascii="Times New Roman" w:hAnsi="Times New Roman" w:cs="Times New Roman"/>
        </w:rPr>
        <w:t xml:space="preserve">determining </w:t>
      </w:r>
      <w:r w:rsidRPr="0002650F">
        <w:rPr>
          <w:rFonts w:ascii="Times New Roman" w:hAnsi="Times New Roman" w:cs="Times New Roman"/>
        </w:rPr>
        <w:t>price stability, as well as their interaction with monetary policy and economic efficiency within a rapidly evolving financial landscape</w:t>
      </w:r>
      <w:r w:rsidR="0002650F">
        <w:rPr>
          <w:rFonts w:ascii="Times New Roman" w:hAnsi="Times New Roman" w:cs="Times New Roman"/>
        </w:rPr>
        <w:t xml:space="preserve"> like Nigeria. T</w:t>
      </w:r>
      <w:r w:rsidRPr="0002650F">
        <w:rPr>
          <w:rFonts w:ascii="Times New Roman" w:hAnsi="Times New Roman" w:cs="Times New Roman"/>
        </w:rPr>
        <w:t>his study investigates both the short-run and long-run relationships between digital payment systems and inflation dynamics in Nigeria</w:t>
      </w:r>
      <w:r w:rsidR="00AC2401">
        <w:rPr>
          <w:rFonts w:ascii="Times New Roman" w:hAnsi="Times New Roman" w:cs="Times New Roman"/>
        </w:rPr>
        <w:t xml:space="preserve">. </w:t>
      </w:r>
      <w:r w:rsidR="00AC2401" w:rsidRPr="0002650F">
        <w:rPr>
          <w:rFonts w:ascii="Times New Roman" w:hAnsi="Times New Roman" w:cs="Times New Roman"/>
        </w:rPr>
        <w:t>Employing the Autoregressive Distributed Lag (ARDL) modeling framework</w:t>
      </w:r>
      <w:r w:rsidRPr="0002650F">
        <w:rPr>
          <w:rFonts w:ascii="Times New Roman" w:hAnsi="Times New Roman" w:cs="Times New Roman"/>
        </w:rPr>
        <w:t>. The analysis incorporates key macroeconomic variables, namely the total value of digital payment transactions, money supply, output, and the monetary policy rate, using monthly data spanning the period from January 2012 to June 2024. The results of the bounds testing procedure reveal the existence of a long-run relationship between inflation and the explanatory variables. The findings indicate that digital payment systems contribute to inflationary pressures in both the short and long run, primarily by enhancing transaction efficiency and potentially increasing the velocity of money. In addition, the results are consistent with theoretical expectations, confirming that money supply and the monetary policy rate remain central instruments for managing inflationary pressures. Based on these empirical insights, the study advances policy recommendations aimed at harnessing the growth of digital payment systems to strengthen inflation control, promote financial inclusion, and improve overall economic efficiency. In particular, policymakers are encouraged to leverage the expansion of digital payment infrastructure to enhance monetary policy transmission and improve inflation management. The continued development of digital payment systems can also support more effective monitoring and regulation of the money supply, thereby enabling more precise and responsive policy interventions.</w:t>
      </w:r>
    </w:p>
    <w:p w14:paraId="0EC0024C" w14:textId="77777777" w:rsidR="0073516B" w:rsidRPr="0002650F" w:rsidRDefault="0073516B" w:rsidP="00A65FDA">
      <w:pPr>
        <w:spacing w:line="276" w:lineRule="auto"/>
        <w:jc w:val="both"/>
        <w:rPr>
          <w:rFonts w:ascii="Times New Roman" w:hAnsi="Times New Roman" w:cs="Times New Roman"/>
        </w:rPr>
      </w:pPr>
    </w:p>
    <w:p w14:paraId="7724E04B" w14:textId="77777777" w:rsidR="0073516B" w:rsidRPr="0002650F" w:rsidRDefault="0073516B" w:rsidP="00A65FDA">
      <w:pPr>
        <w:spacing w:line="276" w:lineRule="auto"/>
        <w:jc w:val="both"/>
        <w:rPr>
          <w:rFonts w:ascii="Times New Roman" w:hAnsi="Times New Roman" w:cs="Times New Roman"/>
        </w:rPr>
      </w:pPr>
    </w:p>
    <w:p w14:paraId="23140D75" w14:textId="77777777" w:rsidR="0073516B" w:rsidRDefault="0073516B" w:rsidP="00A65FDA">
      <w:pPr>
        <w:spacing w:line="276" w:lineRule="auto"/>
        <w:jc w:val="both"/>
        <w:rPr>
          <w:rFonts w:ascii="Times New Roman" w:hAnsi="Times New Roman" w:cs="Times New Roman"/>
        </w:rPr>
      </w:pPr>
      <w:r w:rsidRPr="0002650F">
        <w:rPr>
          <w:rFonts w:ascii="Times New Roman" w:hAnsi="Times New Roman" w:cs="Times New Roman"/>
          <w:b/>
          <w:bCs/>
        </w:rPr>
        <w:t>Keywords:</w:t>
      </w:r>
      <w:r w:rsidRPr="0002650F">
        <w:rPr>
          <w:rFonts w:ascii="Times New Roman" w:hAnsi="Times New Roman" w:cs="Times New Roman"/>
        </w:rPr>
        <w:t xml:space="preserve"> Digital payment systems, Inflation, Money Supply, Monetary Policy, Economic Efficiency</w:t>
      </w:r>
      <w:r w:rsidRPr="0002650F">
        <w:rPr>
          <w:rFonts w:ascii="Times New Roman" w:hAnsi="Times New Roman" w:cs="Times New Roman"/>
        </w:rPr>
        <w:br/>
      </w:r>
      <w:r w:rsidRPr="0002650F">
        <w:rPr>
          <w:rFonts w:ascii="Times New Roman" w:hAnsi="Times New Roman" w:cs="Times New Roman"/>
          <w:b/>
          <w:bCs/>
        </w:rPr>
        <w:t>JEL Classification Code:</w:t>
      </w:r>
      <w:r w:rsidRPr="0002650F">
        <w:rPr>
          <w:rFonts w:ascii="Times New Roman" w:hAnsi="Times New Roman" w:cs="Times New Roman"/>
        </w:rPr>
        <w:t xml:space="preserve"> E31, E52, E58, O33, E42</w:t>
      </w:r>
    </w:p>
    <w:p w14:paraId="331E92E8" w14:textId="77777777" w:rsidR="000326D4" w:rsidRDefault="000326D4" w:rsidP="00A65FDA">
      <w:pPr>
        <w:spacing w:line="276" w:lineRule="auto"/>
        <w:jc w:val="both"/>
        <w:rPr>
          <w:rFonts w:ascii="Times New Roman" w:hAnsi="Times New Roman" w:cs="Times New Roman"/>
        </w:rPr>
      </w:pPr>
    </w:p>
    <w:p w14:paraId="234F64B0" w14:textId="77777777" w:rsidR="000326D4" w:rsidRDefault="000326D4" w:rsidP="00A65FDA">
      <w:pPr>
        <w:spacing w:line="276" w:lineRule="auto"/>
        <w:jc w:val="both"/>
        <w:rPr>
          <w:rFonts w:ascii="Times New Roman" w:hAnsi="Times New Roman" w:cs="Times New Roman"/>
        </w:rPr>
      </w:pPr>
    </w:p>
    <w:p w14:paraId="38E80C8F" w14:textId="77777777" w:rsidR="000326D4" w:rsidRDefault="000326D4" w:rsidP="00A65FDA">
      <w:pPr>
        <w:spacing w:line="276" w:lineRule="auto"/>
        <w:jc w:val="both"/>
        <w:rPr>
          <w:rFonts w:ascii="Times New Roman" w:hAnsi="Times New Roman" w:cs="Times New Roman"/>
        </w:rPr>
      </w:pPr>
    </w:p>
    <w:p w14:paraId="7D732DDE" w14:textId="77777777" w:rsidR="000326D4" w:rsidRDefault="000326D4" w:rsidP="00A65FDA">
      <w:pPr>
        <w:spacing w:line="276" w:lineRule="auto"/>
        <w:jc w:val="both"/>
        <w:rPr>
          <w:rFonts w:ascii="Times New Roman" w:hAnsi="Times New Roman" w:cs="Times New Roman"/>
        </w:rPr>
      </w:pPr>
    </w:p>
    <w:p w14:paraId="53550C95" w14:textId="164CFD1D" w:rsidR="0073516B" w:rsidRPr="0002650F" w:rsidRDefault="0073516B" w:rsidP="00A65FDA">
      <w:pPr>
        <w:spacing w:line="276" w:lineRule="auto"/>
        <w:rPr>
          <w:rFonts w:ascii="Times New Roman" w:hAnsi="Times New Roman" w:cs="Times New Roman"/>
          <w:b/>
          <w:bCs/>
          <w:color w:val="C00000"/>
        </w:rPr>
      </w:pPr>
      <w:r w:rsidRPr="0002650F">
        <w:rPr>
          <w:rFonts w:ascii="Times New Roman" w:hAnsi="Times New Roman" w:cs="Times New Roman"/>
          <w:b/>
          <w:bCs/>
          <w:color w:val="C00000"/>
        </w:rPr>
        <w:t>1.</w:t>
      </w:r>
      <w:r w:rsidR="002128FA" w:rsidRPr="0002650F">
        <w:rPr>
          <w:rFonts w:ascii="Times New Roman" w:hAnsi="Times New Roman" w:cs="Times New Roman"/>
          <w:b/>
          <w:bCs/>
          <w:color w:val="C00000"/>
        </w:rPr>
        <w:t>0</w:t>
      </w:r>
      <w:r w:rsidRPr="0002650F">
        <w:rPr>
          <w:rFonts w:ascii="Times New Roman" w:hAnsi="Times New Roman" w:cs="Times New Roman"/>
          <w:b/>
          <w:bCs/>
          <w:color w:val="C00000"/>
        </w:rPr>
        <w:t xml:space="preserve"> Introduction</w:t>
      </w:r>
    </w:p>
    <w:p w14:paraId="7D417709" w14:textId="09BC2F1F" w:rsidR="00F56A8F" w:rsidRPr="0002650F" w:rsidRDefault="00F56A8F" w:rsidP="00F56A8F">
      <w:pPr>
        <w:spacing w:before="100" w:beforeAutospacing="1" w:after="0" w:line="276" w:lineRule="auto"/>
        <w:jc w:val="both"/>
        <w:rPr>
          <w:rFonts w:ascii="Times New Roman" w:eastAsia="Times New Roman" w:hAnsi="Times New Roman" w:cs="Times New Roman"/>
          <w:kern w:val="0"/>
          <w14:ligatures w14:val="none"/>
        </w:rPr>
      </w:pPr>
      <w:r w:rsidRPr="0002650F">
        <w:rPr>
          <w:rFonts w:ascii="Times New Roman" w:eastAsia="Times New Roman" w:hAnsi="Times New Roman" w:cs="Times New Roman"/>
          <w:kern w:val="0"/>
          <w14:ligatures w14:val="none"/>
        </w:rPr>
        <w:t>Digital payment systems offer substantial benefits while simultaneously posing notable challenges and risks to price stability. On the one hand, they enhance financial inclusion, foster competitiveness, and improve transaction efficiency (</w:t>
      </w:r>
      <w:proofErr w:type="spellStart"/>
      <w:r w:rsidRPr="0002650F">
        <w:rPr>
          <w:rFonts w:ascii="Times New Roman" w:eastAsia="Times New Roman" w:hAnsi="Times New Roman" w:cs="Times New Roman"/>
          <w:kern w:val="0"/>
          <w14:ligatures w14:val="none"/>
        </w:rPr>
        <w:t>Putrevu</w:t>
      </w:r>
      <w:proofErr w:type="spellEnd"/>
      <w:r w:rsidRPr="0002650F">
        <w:rPr>
          <w:rFonts w:ascii="Times New Roman" w:eastAsia="Times New Roman" w:hAnsi="Times New Roman" w:cs="Times New Roman"/>
          <w:kern w:val="0"/>
          <w14:ligatures w14:val="none"/>
        </w:rPr>
        <w:t xml:space="preserve"> &amp; </w:t>
      </w:r>
      <w:proofErr w:type="spellStart"/>
      <w:r w:rsidRPr="0002650F">
        <w:rPr>
          <w:rFonts w:ascii="Times New Roman" w:eastAsia="Times New Roman" w:hAnsi="Times New Roman" w:cs="Times New Roman"/>
          <w:kern w:val="0"/>
          <w14:ligatures w14:val="none"/>
        </w:rPr>
        <w:t>Mertzanis</w:t>
      </w:r>
      <w:proofErr w:type="spellEnd"/>
      <w:r w:rsidRPr="0002650F">
        <w:rPr>
          <w:rFonts w:ascii="Times New Roman" w:eastAsia="Times New Roman" w:hAnsi="Times New Roman" w:cs="Times New Roman"/>
          <w:kern w:val="0"/>
          <w14:ligatures w14:val="none"/>
        </w:rPr>
        <w:t>, 2023). On the other hand, their rapid diffusion has made them an integral feature of modern economies, fundamentally transforming how transactions are conducted. Beyond gains in consumer convenience and business efficiency, the widespread adoption of digital payment instruments has important implications for key macroeconomic variables, particularly price stability and the conduct of monetary policy.</w:t>
      </w:r>
      <w:r w:rsidR="0002650F" w:rsidRPr="0002650F">
        <w:rPr>
          <w:rFonts w:ascii="Times New Roman" w:eastAsia="Times New Roman" w:hAnsi="Times New Roman" w:cs="Times New Roman"/>
          <w:kern w:val="0"/>
          <w14:ligatures w14:val="none"/>
        </w:rPr>
        <w:t xml:space="preserve"> </w:t>
      </w:r>
      <w:r w:rsidRPr="0002650F">
        <w:rPr>
          <w:rFonts w:ascii="Times New Roman" w:eastAsia="Times New Roman" w:hAnsi="Times New Roman" w:cs="Times New Roman"/>
          <w:kern w:val="0"/>
          <w14:ligatures w14:val="none"/>
        </w:rPr>
        <w:t>As digital payment instruments such as mobile wallets, electronic money, and cryptocurrencies gain prominence, their influence on inflation dynamics and monetary policy transmission has attracted growing attention from economists and policymakers. These systems are reshaping the financial ecosystem and raising critical questions about their implications for long-term economic stability. Despite their increasing prevalence, however, the specific channels through which digital payment systems affect price stability remain insufficiently explored. Traditional macroeconomic models often struggle to capture the dynamic and evolving nature of digital transactions, resulting in limited clarity regarding their effects on inflation and the effectiveness of monetary policy.</w:t>
      </w:r>
    </w:p>
    <w:p w14:paraId="05262AA5" w14:textId="77777777" w:rsidR="00F56A8F" w:rsidRPr="0002650F" w:rsidRDefault="00F56A8F" w:rsidP="00F56A8F">
      <w:pPr>
        <w:spacing w:before="100" w:beforeAutospacing="1" w:after="0" w:line="276" w:lineRule="auto"/>
        <w:jc w:val="both"/>
        <w:rPr>
          <w:rFonts w:ascii="Times New Roman" w:eastAsia="Times New Roman" w:hAnsi="Times New Roman" w:cs="Times New Roman"/>
          <w:kern w:val="0"/>
          <w14:ligatures w14:val="none"/>
        </w:rPr>
      </w:pPr>
      <w:r w:rsidRPr="0002650F">
        <w:rPr>
          <w:rFonts w:ascii="Times New Roman" w:eastAsia="Times New Roman" w:hAnsi="Times New Roman" w:cs="Times New Roman"/>
          <w:kern w:val="0"/>
          <w14:ligatures w14:val="none"/>
        </w:rPr>
        <w:t>Existing empirical research has largely emphasized the operational advantages of digital payments, including efficiency gains and expanded financial inclusion. In contrast, relatively little attention has been devoted to their macroeconomic consequences, particularly their influence on inflationary trends and broader economic stability across different economic contexts. Evidence from advanced economies suggests that digitalization may exert deflationary pressures through enhanced efficiency and heightened competition (</w:t>
      </w:r>
      <w:proofErr w:type="spellStart"/>
      <w:r w:rsidRPr="0002650F">
        <w:rPr>
          <w:rFonts w:ascii="Times New Roman" w:eastAsia="Times New Roman" w:hAnsi="Times New Roman" w:cs="Times New Roman"/>
          <w:kern w:val="0"/>
          <w14:ligatures w14:val="none"/>
        </w:rPr>
        <w:t>Emara</w:t>
      </w:r>
      <w:proofErr w:type="spellEnd"/>
      <w:r w:rsidRPr="0002650F">
        <w:rPr>
          <w:rFonts w:ascii="Times New Roman" w:eastAsia="Times New Roman" w:hAnsi="Times New Roman" w:cs="Times New Roman"/>
          <w:kern w:val="0"/>
          <w14:ligatures w14:val="none"/>
        </w:rPr>
        <w:t xml:space="preserve"> &amp; </w:t>
      </w:r>
      <w:proofErr w:type="spellStart"/>
      <w:r w:rsidRPr="0002650F">
        <w:rPr>
          <w:rFonts w:ascii="Times New Roman" w:eastAsia="Times New Roman" w:hAnsi="Times New Roman" w:cs="Times New Roman"/>
          <w:kern w:val="0"/>
          <w14:ligatures w14:val="none"/>
        </w:rPr>
        <w:t>Zecheru</w:t>
      </w:r>
      <w:proofErr w:type="spellEnd"/>
      <w:r w:rsidRPr="0002650F">
        <w:rPr>
          <w:rFonts w:ascii="Times New Roman" w:eastAsia="Times New Roman" w:hAnsi="Times New Roman" w:cs="Times New Roman"/>
          <w:kern w:val="0"/>
          <w14:ligatures w14:val="none"/>
        </w:rPr>
        <w:t>, 2022). Conversely, studies in emerging markets point to a more nuanced and complex relationship, with digital payment adoption potentially contributing to both improved inflation control and increased economic volatility (</w:t>
      </w:r>
      <w:proofErr w:type="spellStart"/>
      <w:r w:rsidRPr="0002650F">
        <w:rPr>
          <w:rFonts w:ascii="Times New Roman" w:eastAsia="Times New Roman" w:hAnsi="Times New Roman" w:cs="Times New Roman"/>
          <w:kern w:val="0"/>
          <w14:ligatures w14:val="none"/>
        </w:rPr>
        <w:t>Sudrajad</w:t>
      </w:r>
      <w:proofErr w:type="spellEnd"/>
      <w:r w:rsidRPr="0002650F">
        <w:rPr>
          <w:rFonts w:ascii="Times New Roman" w:eastAsia="Times New Roman" w:hAnsi="Times New Roman" w:cs="Times New Roman"/>
          <w:kern w:val="0"/>
          <w14:ligatures w14:val="none"/>
        </w:rPr>
        <w:t xml:space="preserve"> et al., 2023).</w:t>
      </w:r>
    </w:p>
    <w:p w14:paraId="12979C29" w14:textId="553808B1" w:rsidR="00F56A8F" w:rsidRPr="0002650F" w:rsidRDefault="00F56A8F" w:rsidP="00F56A8F">
      <w:pPr>
        <w:spacing w:before="100" w:beforeAutospacing="1" w:after="0" w:line="276" w:lineRule="auto"/>
        <w:jc w:val="both"/>
        <w:rPr>
          <w:rFonts w:ascii="Times New Roman" w:eastAsia="Times New Roman" w:hAnsi="Times New Roman" w:cs="Times New Roman"/>
          <w:kern w:val="0"/>
          <w14:ligatures w14:val="none"/>
        </w:rPr>
      </w:pPr>
      <w:r w:rsidRPr="0002650F">
        <w:rPr>
          <w:rFonts w:ascii="Times New Roman" w:eastAsia="Times New Roman" w:hAnsi="Times New Roman" w:cs="Times New Roman"/>
          <w:kern w:val="0"/>
          <w14:ligatures w14:val="none"/>
        </w:rPr>
        <w:t>The literature remains particularly sparse with respect to developing economies, especially in Africa, where the interaction between digital payment systems and price stability is underexplored. For instance, evidence from Indonesia indicates that digital payment adoption can have mixed effects on monetary indicators, including money velocity and inflation rates (Hermawan et al., 2024). Comparable empirical studies in African economies, and Nigeria in particular, are limited, leaving a significant gap in the literature. Nigeria provides a compelling case for analysis given its rapid adoption of digital payment technologies alongside persistent structural and macroeconomic challenges. Understanding how digital payment</w:t>
      </w:r>
      <w:r w:rsidR="00FB5C3F">
        <w:rPr>
          <w:rFonts w:ascii="Times New Roman" w:eastAsia="Times New Roman" w:hAnsi="Times New Roman" w:cs="Times New Roman"/>
          <w:kern w:val="0"/>
          <w14:ligatures w14:val="none"/>
        </w:rPr>
        <w:t>s</w:t>
      </w:r>
      <w:r w:rsidRPr="0002650F">
        <w:rPr>
          <w:rFonts w:ascii="Times New Roman" w:eastAsia="Times New Roman" w:hAnsi="Times New Roman" w:cs="Times New Roman"/>
          <w:kern w:val="0"/>
          <w14:ligatures w14:val="none"/>
        </w:rPr>
        <w:t xml:space="preserve"> interact with inflation dynamics in this context can offer valuable insights for policy design within Nigeria and the broader West African subregion.</w:t>
      </w:r>
    </w:p>
    <w:p w14:paraId="28F3D9C7" w14:textId="5C7C94D8" w:rsidR="00F56A8F" w:rsidRPr="0002650F" w:rsidRDefault="00F56A8F" w:rsidP="00F56A8F">
      <w:pPr>
        <w:spacing w:before="100" w:beforeAutospacing="1" w:after="0" w:line="276" w:lineRule="auto"/>
        <w:jc w:val="both"/>
        <w:rPr>
          <w:rFonts w:ascii="Times New Roman" w:eastAsia="Times New Roman" w:hAnsi="Times New Roman" w:cs="Times New Roman"/>
          <w:kern w:val="0"/>
          <w14:ligatures w14:val="none"/>
        </w:rPr>
      </w:pPr>
      <w:r w:rsidRPr="0002650F">
        <w:rPr>
          <w:rFonts w:ascii="Times New Roman" w:eastAsia="Times New Roman" w:hAnsi="Times New Roman" w:cs="Times New Roman"/>
          <w:kern w:val="0"/>
          <w14:ligatures w14:val="none"/>
        </w:rPr>
        <w:lastRenderedPageBreak/>
        <w:t>Looking ahead, continued advancements in digital payment technologies are expected to enhance convenience, facilitate cross-border transactions, and enable continuous, time-unrestricted exchanges. Such developments may further reduce reliance on physical currency, with some projections suggesting the possible disappearance of cash by the 2050s (Teker et al., 2022). Against this backdrop, this study aims to examine the impact of digital payment on price stability in Nigeria, with particular emphasis on their implications for inflation dynamics and monetary policy transmission. By providing a comprehensive empirical assessment, the study seeks to bridge existing research gaps and contribute to a clearer understanding of the role of digital payments in economic stability.</w:t>
      </w:r>
    </w:p>
    <w:p w14:paraId="755AB241" w14:textId="77777777" w:rsidR="00F56A8F" w:rsidRPr="0002650F" w:rsidRDefault="00F56A8F" w:rsidP="00F56A8F">
      <w:pPr>
        <w:spacing w:before="100" w:beforeAutospacing="1" w:after="0" w:line="276" w:lineRule="auto"/>
        <w:jc w:val="both"/>
        <w:rPr>
          <w:rFonts w:ascii="Times New Roman" w:eastAsia="Times New Roman" w:hAnsi="Times New Roman" w:cs="Times New Roman"/>
          <w:kern w:val="0"/>
          <w14:ligatures w14:val="none"/>
        </w:rPr>
      </w:pPr>
      <w:r w:rsidRPr="0002650F">
        <w:rPr>
          <w:rFonts w:ascii="Times New Roman" w:eastAsia="Times New Roman" w:hAnsi="Times New Roman" w:cs="Times New Roman"/>
          <w:kern w:val="0"/>
          <w14:ligatures w14:val="none"/>
        </w:rPr>
        <w:t>The findings of this study are intended to inform the Central Bank of Nigeria, policymakers, and other stakeholders on how digital payment strategies can be optimized to support price stability, sustainable growth, and financial inclusion. The remainder of the paper is organized as follows: Section 1 introduces the study; Section 2 reviews the relevant literature and identifies research gaps; Section 3 outlines the methodology; Section 4 presents and discusses the empirical results; and Section 5 concludes with policy implications and recommendations.</w:t>
      </w:r>
    </w:p>
    <w:p w14:paraId="2A26BE77" w14:textId="20AF04DF" w:rsidR="00141B66" w:rsidRPr="0002650F" w:rsidRDefault="00141B66" w:rsidP="00F56A8F">
      <w:pPr>
        <w:spacing w:before="100" w:beforeAutospacing="1" w:after="0" w:line="276" w:lineRule="auto"/>
        <w:jc w:val="both"/>
        <w:rPr>
          <w:rFonts w:ascii="Times New Roman" w:eastAsia="Times New Roman" w:hAnsi="Times New Roman" w:cs="Times New Roman"/>
          <w:b/>
          <w:bCs/>
          <w:color w:val="C00000"/>
          <w:kern w:val="0"/>
          <w14:ligatures w14:val="none"/>
        </w:rPr>
      </w:pPr>
      <w:r w:rsidRPr="0002650F">
        <w:rPr>
          <w:rFonts w:ascii="Times New Roman" w:eastAsia="Times New Roman" w:hAnsi="Times New Roman" w:cs="Times New Roman"/>
          <w:b/>
          <w:bCs/>
          <w:color w:val="C00000"/>
          <w:kern w:val="0"/>
          <w14:ligatures w14:val="none"/>
        </w:rPr>
        <w:t>2.</w:t>
      </w:r>
      <w:r w:rsidR="002128FA" w:rsidRPr="0002650F">
        <w:rPr>
          <w:rFonts w:ascii="Times New Roman" w:eastAsia="Times New Roman" w:hAnsi="Times New Roman" w:cs="Times New Roman"/>
          <w:b/>
          <w:bCs/>
          <w:color w:val="C00000"/>
          <w:kern w:val="0"/>
          <w14:ligatures w14:val="none"/>
        </w:rPr>
        <w:t>0</w:t>
      </w:r>
      <w:r w:rsidRPr="0002650F">
        <w:rPr>
          <w:rFonts w:ascii="Times New Roman" w:eastAsia="Times New Roman" w:hAnsi="Times New Roman" w:cs="Times New Roman"/>
          <w:b/>
          <w:bCs/>
          <w:color w:val="C00000"/>
          <w:kern w:val="0"/>
          <w14:ligatures w14:val="none"/>
        </w:rPr>
        <w:t xml:space="preserve"> Review of Related Literature</w:t>
      </w:r>
    </w:p>
    <w:p w14:paraId="240A5951" w14:textId="4EFFD032" w:rsidR="0073516B" w:rsidRPr="0002650F" w:rsidRDefault="002128FA" w:rsidP="00141B66">
      <w:pPr>
        <w:spacing w:after="0" w:line="276" w:lineRule="auto"/>
        <w:rPr>
          <w:rFonts w:ascii="Times New Roman" w:hAnsi="Times New Roman" w:cs="Times New Roman"/>
          <w:b/>
          <w:bCs/>
          <w:color w:val="C00000"/>
        </w:rPr>
      </w:pPr>
      <w:r w:rsidRPr="0002650F">
        <w:rPr>
          <w:rFonts w:ascii="Times New Roman" w:hAnsi="Times New Roman" w:cs="Times New Roman"/>
          <w:b/>
          <w:bCs/>
          <w:color w:val="C00000"/>
        </w:rPr>
        <w:t xml:space="preserve">2.1 </w:t>
      </w:r>
      <w:r w:rsidR="00141B66" w:rsidRPr="0002650F">
        <w:rPr>
          <w:rFonts w:ascii="Times New Roman" w:hAnsi="Times New Roman" w:cs="Times New Roman"/>
          <w:b/>
          <w:bCs/>
          <w:color w:val="C00000"/>
        </w:rPr>
        <w:t xml:space="preserve">Theoretical </w:t>
      </w:r>
      <w:r w:rsidR="0073516B" w:rsidRPr="0002650F">
        <w:rPr>
          <w:rFonts w:ascii="Times New Roman" w:hAnsi="Times New Roman" w:cs="Times New Roman"/>
          <w:b/>
          <w:bCs/>
          <w:color w:val="C00000"/>
        </w:rPr>
        <w:t>Literature</w:t>
      </w:r>
    </w:p>
    <w:p w14:paraId="28759B4D" w14:textId="35AF9BBB" w:rsidR="001234F8" w:rsidRPr="0002650F" w:rsidRDefault="00561CFB" w:rsidP="00A65FDA">
      <w:pPr>
        <w:spacing w:line="276" w:lineRule="auto"/>
        <w:jc w:val="both"/>
        <w:rPr>
          <w:rFonts w:ascii="Times New Roman" w:hAnsi="Times New Roman" w:cs="Times New Roman"/>
        </w:rPr>
      </w:pPr>
      <w:r w:rsidRPr="0002650F">
        <w:rPr>
          <w:rFonts w:ascii="Times New Roman" w:hAnsi="Times New Roman" w:cs="Times New Roman"/>
        </w:rPr>
        <w:t>Several economic theories provide useful frameworks for explaining the relationship between digital payment systems and price stability. The Quantity Theory of Money emphasizes the role of money velocity in determining price levels, suggesting that changes in payment technologies, such as the adoption of digital payment systems, can influence price stability by altering the speed at which money circulates and, consequently, the interaction between money supply and demand. The ongoing transformation of the payments landscape has been accompanied by a decline in cash usage, as settlement systems in most economies increasingly rely on digital and electronic transactions. This shift has reduced the volume of physical cash in circulation and has important implications for monetary policy transmission mechanisms.</w:t>
      </w:r>
    </w:p>
    <w:p w14:paraId="0BD52833" w14:textId="3213C471" w:rsidR="00561CFB" w:rsidRPr="0002650F" w:rsidRDefault="00561CFB" w:rsidP="00561CFB">
      <w:pPr>
        <w:spacing w:line="276" w:lineRule="auto"/>
        <w:jc w:val="both"/>
        <w:rPr>
          <w:rFonts w:ascii="Times New Roman" w:hAnsi="Times New Roman" w:cs="Times New Roman"/>
        </w:rPr>
      </w:pPr>
      <w:r w:rsidRPr="0002650F">
        <w:rPr>
          <w:rFonts w:ascii="Times New Roman" w:hAnsi="Times New Roman" w:cs="Times New Roman"/>
        </w:rPr>
        <w:t>The Keynesian theoretical framework further highlights the role of digital payment systems in shaping aggregate demand, arguing that improvements in transaction efficiency can help moderate inflationary pressures. In a similar vein, Transaction Cost Theory posits that digital payment instruments lower transaction costs, thereby enhancing market efficiency and transparency, which can contribute to greater price stability. From a Keynesian perspective, electronic money (e-money) also serves as a critical channel for strengthening monetary policy transmission by improving banking efficiency, reducing intermediation costs, expanding access to credit, and increasing the pass-through of policy rates to lending rates. These mechanisms collectively enhance the effectiveness of monetary policy, particularly in economies or regions characterized by limited financial inclusion.</w:t>
      </w:r>
    </w:p>
    <w:p w14:paraId="11C9D5D2" w14:textId="0B73ED7E" w:rsidR="00561CFB" w:rsidRPr="0002650F" w:rsidRDefault="00561CFB" w:rsidP="00561CFB">
      <w:pPr>
        <w:spacing w:line="276" w:lineRule="auto"/>
        <w:jc w:val="both"/>
        <w:rPr>
          <w:rFonts w:ascii="Times New Roman" w:hAnsi="Times New Roman" w:cs="Times New Roman"/>
        </w:rPr>
      </w:pPr>
      <w:r w:rsidRPr="0002650F">
        <w:rPr>
          <w:rFonts w:ascii="Times New Roman" w:hAnsi="Times New Roman" w:cs="Times New Roman"/>
        </w:rPr>
        <w:t xml:space="preserve">Nonetheless, the widespread adoption of e-money introduces new complexities into the monetary system, including potential shifts in the velocity of money and evolving payment system dynamics. </w:t>
      </w:r>
      <w:r w:rsidRPr="0002650F">
        <w:rPr>
          <w:rFonts w:ascii="Times New Roman" w:hAnsi="Times New Roman" w:cs="Times New Roman"/>
        </w:rPr>
        <w:lastRenderedPageBreak/>
        <w:t>Such challenges are more fully explored within New Keynesian models, which examine how structural changes in financial intermediation and payment technologies may modify the channels through which central bank policies are transmitted to the real economy.</w:t>
      </w:r>
    </w:p>
    <w:p w14:paraId="29A5CAEF" w14:textId="59258521" w:rsidR="00141B66" w:rsidRPr="0002650F" w:rsidRDefault="002128FA" w:rsidP="00141B66">
      <w:pPr>
        <w:spacing w:line="276" w:lineRule="auto"/>
        <w:rPr>
          <w:rFonts w:ascii="Times New Roman" w:hAnsi="Times New Roman" w:cs="Times New Roman"/>
          <w:b/>
          <w:bCs/>
          <w:color w:val="C00000"/>
        </w:rPr>
      </w:pPr>
      <w:r w:rsidRPr="0002650F">
        <w:rPr>
          <w:rFonts w:ascii="Times New Roman" w:hAnsi="Times New Roman" w:cs="Times New Roman"/>
          <w:b/>
          <w:bCs/>
          <w:color w:val="C00000"/>
        </w:rPr>
        <w:t xml:space="preserve">2.2 </w:t>
      </w:r>
      <w:r w:rsidR="00141B66" w:rsidRPr="0002650F">
        <w:rPr>
          <w:rFonts w:ascii="Times New Roman" w:hAnsi="Times New Roman" w:cs="Times New Roman"/>
          <w:b/>
          <w:bCs/>
          <w:color w:val="C00000"/>
        </w:rPr>
        <w:t>Empirical Literature</w:t>
      </w:r>
    </w:p>
    <w:p w14:paraId="2FE05D87" w14:textId="5372724F" w:rsidR="00FC46A7" w:rsidRPr="00FC46A7" w:rsidRDefault="000428B2" w:rsidP="00FC46A7">
      <w:pPr>
        <w:spacing w:line="276" w:lineRule="auto"/>
        <w:jc w:val="both"/>
        <w:rPr>
          <w:rFonts w:ascii="Times New Roman" w:hAnsi="Times New Roman" w:cs="Times New Roman"/>
          <w:b/>
          <w:bCs/>
          <w:color w:val="EE0000"/>
        </w:rPr>
      </w:pPr>
      <w:r>
        <w:rPr>
          <w:rFonts w:ascii="Times New Roman" w:hAnsi="Times New Roman" w:cs="Times New Roman"/>
          <w:b/>
          <w:bCs/>
          <w:color w:val="EE0000"/>
        </w:rPr>
        <w:t xml:space="preserve">2.2.1 </w:t>
      </w:r>
      <w:r w:rsidR="00110B7A">
        <w:rPr>
          <w:rFonts w:ascii="Times New Roman" w:hAnsi="Times New Roman" w:cs="Times New Roman"/>
          <w:b/>
          <w:bCs/>
          <w:color w:val="EE0000"/>
        </w:rPr>
        <w:t>D</w:t>
      </w:r>
      <w:r w:rsidR="00110B7A" w:rsidRPr="00FC46A7">
        <w:rPr>
          <w:rFonts w:ascii="Times New Roman" w:hAnsi="Times New Roman" w:cs="Times New Roman"/>
          <w:b/>
          <w:bCs/>
          <w:color w:val="EE0000"/>
        </w:rPr>
        <w:t xml:space="preserve">igital payment adoption </w:t>
      </w:r>
      <w:r w:rsidR="00FC46A7" w:rsidRPr="00FC46A7">
        <w:rPr>
          <w:rFonts w:ascii="Times New Roman" w:hAnsi="Times New Roman" w:cs="Times New Roman"/>
          <w:b/>
          <w:bCs/>
          <w:color w:val="EE0000"/>
        </w:rPr>
        <w:t xml:space="preserve">and </w:t>
      </w:r>
      <w:r w:rsidR="00110B7A">
        <w:rPr>
          <w:rFonts w:ascii="Times New Roman" w:hAnsi="Times New Roman" w:cs="Times New Roman"/>
          <w:b/>
          <w:bCs/>
          <w:color w:val="EE0000"/>
        </w:rPr>
        <w:t xml:space="preserve">consumer </w:t>
      </w:r>
      <w:r w:rsidR="00FC46A7" w:rsidRPr="00FC46A7">
        <w:rPr>
          <w:rFonts w:ascii="Times New Roman" w:hAnsi="Times New Roman" w:cs="Times New Roman"/>
          <w:b/>
          <w:bCs/>
          <w:color w:val="EE0000"/>
        </w:rPr>
        <w:t>Spending</w:t>
      </w:r>
    </w:p>
    <w:p w14:paraId="06143C67" w14:textId="6BCDF3FE" w:rsidR="00243C43" w:rsidRPr="0002650F" w:rsidRDefault="00243C43" w:rsidP="00A65FDA">
      <w:pPr>
        <w:spacing w:line="276" w:lineRule="auto"/>
        <w:jc w:val="both"/>
        <w:rPr>
          <w:rFonts w:ascii="Times New Roman" w:hAnsi="Times New Roman" w:cs="Times New Roman"/>
        </w:rPr>
      </w:pPr>
      <w:r w:rsidRPr="0002650F">
        <w:rPr>
          <w:rFonts w:ascii="Times New Roman" w:hAnsi="Times New Roman" w:cs="Times New Roman"/>
        </w:rPr>
        <w:t xml:space="preserve">Several empirical studies document the relationship between digital payment mechanisms and inflation dynamics. </w:t>
      </w:r>
      <w:r w:rsidR="00110B7A">
        <w:rPr>
          <w:rFonts w:ascii="Times New Roman" w:hAnsi="Times New Roman" w:cs="Times New Roman"/>
        </w:rPr>
        <w:t>But, b</w:t>
      </w:r>
      <w:r w:rsidRPr="0002650F">
        <w:rPr>
          <w:rFonts w:ascii="Times New Roman" w:hAnsi="Times New Roman" w:cs="Times New Roman"/>
        </w:rPr>
        <w:t xml:space="preserve">eyond their effects on price levels, digital payment systems have significantly shaped consumer spending behavior and aggregate demand. By reducing transaction frictions, these systems enhance payment efficiency and facilitate more frequent transactions, which may contribute to increased impulsive purchasing </w:t>
      </w:r>
      <w:proofErr w:type="spellStart"/>
      <w:r w:rsidRPr="0002650F">
        <w:rPr>
          <w:rFonts w:ascii="Times New Roman" w:hAnsi="Times New Roman" w:cs="Times New Roman"/>
        </w:rPr>
        <w:t>Bhoopathy</w:t>
      </w:r>
      <w:proofErr w:type="spellEnd"/>
      <w:r w:rsidRPr="0002650F">
        <w:rPr>
          <w:rFonts w:ascii="Times New Roman" w:hAnsi="Times New Roman" w:cs="Times New Roman"/>
        </w:rPr>
        <w:t xml:space="preserve"> &amp; </w:t>
      </w:r>
      <w:proofErr w:type="spellStart"/>
      <w:r w:rsidRPr="0002650F">
        <w:rPr>
          <w:rFonts w:ascii="Times New Roman" w:hAnsi="Times New Roman" w:cs="Times New Roman"/>
        </w:rPr>
        <w:t>Kanagaraj</w:t>
      </w:r>
      <w:proofErr w:type="spellEnd"/>
      <w:r w:rsidRPr="0002650F">
        <w:rPr>
          <w:rFonts w:ascii="Times New Roman" w:hAnsi="Times New Roman" w:cs="Times New Roman"/>
        </w:rPr>
        <w:t xml:space="preserve"> </w:t>
      </w:r>
      <w:r w:rsidR="00176541">
        <w:rPr>
          <w:rFonts w:ascii="Times New Roman" w:hAnsi="Times New Roman" w:cs="Times New Roman"/>
        </w:rPr>
        <w:t>(</w:t>
      </w:r>
      <w:r w:rsidRPr="0002650F">
        <w:rPr>
          <w:rFonts w:ascii="Times New Roman" w:hAnsi="Times New Roman" w:cs="Times New Roman"/>
        </w:rPr>
        <w:t>2023</w:t>
      </w:r>
      <w:r w:rsidR="00176541">
        <w:rPr>
          <w:rFonts w:ascii="Times New Roman" w:hAnsi="Times New Roman" w:cs="Times New Roman"/>
        </w:rPr>
        <w:t xml:space="preserve">); </w:t>
      </w:r>
      <w:r w:rsidRPr="0002650F">
        <w:rPr>
          <w:rFonts w:ascii="Times New Roman" w:hAnsi="Times New Roman" w:cs="Times New Roman"/>
        </w:rPr>
        <w:t xml:space="preserve">Lavanya &amp; Ankitha </w:t>
      </w:r>
      <w:r w:rsidR="00176541">
        <w:rPr>
          <w:rFonts w:ascii="Times New Roman" w:hAnsi="Times New Roman" w:cs="Times New Roman"/>
        </w:rPr>
        <w:t>(</w:t>
      </w:r>
      <w:r w:rsidRPr="0002650F">
        <w:rPr>
          <w:rFonts w:ascii="Times New Roman" w:hAnsi="Times New Roman" w:cs="Times New Roman"/>
        </w:rPr>
        <w:t>2022). Concurrently, the convenience of digital payments has accelerated the expansion of online commerce and impulse consumption, while also promoting greater financial awareness and more prudent spending through real-time expenditure tracking and budgeting features (</w:t>
      </w:r>
      <w:proofErr w:type="spellStart"/>
      <w:r w:rsidRPr="0002650F">
        <w:rPr>
          <w:rFonts w:ascii="Times New Roman" w:hAnsi="Times New Roman" w:cs="Times New Roman"/>
        </w:rPr>
        <w:t>Akshay</w:t>
      </w:r>
      <w:proofErr w:type="spellEnd"/>
      <w:r w:rsidRPr="0002650F">
        <w:rPr>
          <w:rFonts w:ascii="Times New Roman" w:hAnsi="Times New Roman" w:cs="Times New Roman"/>
        </w:rPr>
        <w:t xml:space="preserve">, 2024; </w:t>
      </w:r>
      <w:proofErr w:type="spellStart"/>
      <w:r w:rsidRPr="0002650F">
        <w:rPr>
          <w:rFonts w:ascii="Times New Roman" w:hAnsi="Times New Roman" w:cs="Times New Roman"/>
        </w:rPr>
        <w:t>Bhoopathy</w:t>
      </w:r>
      <w:proofErr w:type="spellEnd"/>
      <w:r w:rsidRPr="0002650F">
        <w:rPr>
          <w:rFonts w:ascii="Times New Roman" w:hAnsi="Times New Roman" w:cs="Times New Roman"/>
        </w:rPr>
        <w:t xml:space="preserve"> &amp; </w:t>
      </w:r>
      <w:proofErr w:type="spellStart"/>
      <w:r w:rsidRPr="0002650F">
        <w:rPr>
          <w:rFonts w:ascii="Times New Roman" w:hAnsi="Times New Roman" w:cs="Times New Roman"/>
        </w:rPr>
        <w:t>Kanagaraj</w:t>
      </w:r>
      <w:proofErr w:type="spellEnd"/>
      <w:r w:rsidRPr="0002650F">
        <w:rPr>
          <w:rFonts w:ascii="Times New Roman" w:hAnsi="Times New Roman" w:cs="Times New Roman"/>
        </w:rPr>
        <w:t>, 2023).</w:t>
      </w:r>
    </w:p>
    <w:p w14:paraId="30F8B2CD" w14:textId="3DEEFFA0" w:rsidR="00A65FDA" w:rsidRDefault="00243C43" w:rsidP="00A65FDA">
      <w:pPr>
        <w:spacing w:line="276" w:lineRule="auto"/>
        <w:jc w:val="both"/>
        <w:rPr>
          <w:rFonts w:ascii="Times New Roman" w:hAnsi="Times New Roman" w:cs="Times New Roman"/>
        </w:rPr>
      </w:pPr>
      <w:r w:rsidRPr="0002650F">
        <w:rPr>
          <w:rFonts w:ascii="Times New Roman" w:hAnsi="Times New Roman" w:cs="Times New Roman"/>
        </w:rPr>
        <w:t>Evidence from China demonstrates that the adoption of digital payment has a statistically significant and positive effect on consumer demand, with particularly strong impacts observed in the eastern and western regions and more pronounced effects in rural areas than in urban settings (Zhou, 2022). Notwithstanding these advantages, the widespread diffusion of digital payment technologies raises important concerns related to data privacy and cybersecurity vulnerabilities (</w:t>
      </w:r>
      <w:proofErr w:type="spellStart"/>
      <w:r w:rsidRPr="0002650F">
        <w:rPr>
          <w:rFonts w:ascii="Times New Roman" w:hAnsi="Times New Roman" w:cs="Times New Roman"/>
        </w:rPr>
        <w:t>Bhoopathy</w:t>
      </w:r>
      <w:proofErr w:type="spellEnd"/>
      <w:r w:rsidRPr="0002650F">
        <w:rPr>
          <w:rFonts w:ascii="Times New Roman" w:hAnsi="Times New Roman" w:cs="Times New Roman"/>
        </w:rPr>
        <w:t xml:space="preserve"> &amp; </w:t>
      </w:r>
      <w:proofErr w:type="spellStart"/>
      <w:r w:rsidRPr="0002650F">
        <w:rPr>
          <w:rFonts w:ascii="Times New Roman" w:hAnsi="Times New Roman" w:cs="Times New Roman"/>
        </w:rPr>
        <w:t>Kanagaraj</w:t>
      </w:r>
      <w:proofErr w:type="spellEnd"/>
      <w:r w:rsidRPr="0002650F">
        <w:rPr>
          <w:rFonts w:ascii="Times New Roman" w:hAnsi="Times New Roman" w:cs="Times New Roman"/>
        </w:rPr>
        <w:t>, 2023). Overall, the existing literature indicates that digital payments play a pivotal role in stimulating household consumption and fostering sustainable economic development, a contribution that became especially prominent during the COVID-19 pandemic (Zhou, 2022).</w:t>
      </w:r>
    </w:p>
    <w:p w14:paraId="155933AE" w14:textId="6D98908D" w:rsidR="00FC46A7" w:rsidRPr="00FC46A7" w:rsidRDefault="000428B2" w:rsidP="00FC46A7">
      <w:pPr>
        <w:spacing w:line="276" w:lineRule="auto"/>
        <w:jc w:val="both"/>
        <w:rPr>
          <w:rFonts w:ascii="Times New Roman" w:hAnsi="Times New Roman" w:cs="Times New Roman"/>
          <w:b/>
          <w:bCs/>
          <w:color w:val="EE0000"/>
        </w:rPr>
      </w:pPr>
      <w:r>
        <w:rPr>
          <w:rFonts w:ascii="Times New Roman" w:hAnsi="Times New Roman" w:cs="Times New Roman"/>
          <w:b/>
          <w:bCs/>
          <w:color w:val="EE0000"/>
        </w:rPr>
        <w:t xml:space="preserve">2.2.2 </w:t>
      </w:r>
      <w:r w:rsidR="00FC46A7" w:rsidRPr="00FC46A7">
        <w:rPr>
          <w:rFonts w:ascii="Times New Roman" w:hAnsi="Times New Roman" w:cs="Times New Roman"/>
          <w:b/>
          <w:bCs/>
          <w:color w:val="EE0000"/>
        </w:rPr>
        <w:t>Digital Payments &amp; Inflation Dynamics</w:t>
      </w:r>
    </w:p>
    <w:p w14:paraId="2ABAD226" w14:textId="4FCAF095" w:rsidR="00D836E6" w:rsidRPr="00D836E6" w:rsidRDefault="00D836E6" w:rsidP="00D836E6">
      <w:pPr>
        <w:spacing w:line="276" w:lineRule="auto"/>
        <w:jc w:val="both"/>
        <w:rPr>
          <w:rFonts w:ascii="Times New Roman" w:hAnsi="Times New Roman" w:cs="Times New Roman"/>
        </w:rPr>
      </w:pPr>
      <w:r w:rsidRPr="00D836E6">
        <w:rPr>
          <w:rFonts w:ascii="Times New Roman" w:hAnsi="Times New Roman" w:cs="Times New Roman"/>
        </w:rPr>
        <w:t>Empirical evidence from a panel of 20 emerging economies covering the period 2015–2023 demonstrates that the adoption of advanced digital payment systems exerts a statistically significant influence on inflation dynamics</w:t>
      </w:r>
      <w:r w:rsidR="005728D9">
        <w:rPr>
          <w:rFonts w:ascii="Times New Roman" w:hAnsi="Times New Roman" w:cs="Times New Roman"/>
        </w:rPr>
        <w:t xml:space="preserve">, </w:t>
      </w:r>
      <w:r w:rsidR="005728D9" w:rsidRPr="00D836E6">
        <w:rPr>
          <w:rFonts w:ascii="Times New Roman" w:hAnsi="Times New Roman" w:cs="Times New Roman"/>
        </w:rPr>
        <w:t>Clara &amp; Citra</w:t>
      </w:r>
      <w:r w:rsidR="005728D9">
        <w:rPr>
          <w:rFonts w:ascii="Times New Roman" w:hAnsi="Times New Roman" w:cs="Times New Roman"/>
        </w:rPr>
        <w:t xml:space="preserve"> (</w:t>
      </w:r>
      <w:r w:rsidR="005728D9" w:rsidRPr="00D836E6">
        <w:rPr>
          <w:rFonts w:ascii="Times New Roman" w:hAnsi="Times New Roman" w:cs="Times New Roman"/>
        </w:rPr>
        <w:t>2025).</w:t>
      </w:r>
      <w:r w:rsidR="008542A8">
        <w:rPr>
          <w:rFonts w:ascii="Times New Roman" w:hAnsi="Times New Roman" w:cs="Times New Roman"/>
        </w:rPr>
        <w:t xml:space="preserve"> </w:t>
      </w:r>
      <w:r w:rsidRPr="00D836E6">
        <w:rPr>
          <w:rFonts w:ascii="Times New Roman" w:hAnsi="Times New Roman" w:cs="Times New Roman"/>
        </w:rPr>
        <w:t>The findings indicate that rapid digital payment adoption amplifies inflationary responses to demand and price shocks. This effect is particularly pronounced in economies with relatively underdeveloped financial systems, where the expansion of digital payments is associated with heightened inflation volatility</w:t>
      </w:r>
      <w:r w:rsidR="00FB3CD9">
        <w:rPr>
          <w:rFonts w:ascii="Times New Roman" w:hAnsi="Times New Roman" w:cs="Times New Roman"/>
        </w:rPr>
        <w:t>.</w:t>
      </w:r>
      <w:r w:rsidRPr="00D836E6">
        <w:rPr>
          <w:rFonts w:ascii="Times New Roman" w:hAnsi="Times New Roman" w:cs="Times New Roman"/>
        </w:rPr>
        <w:t xml:space="preserve"> </w:t>
      </w:r>
    </w:p>
    <w:p w14:paraId="55013D5E" w14:textId="4D095CCD" w:rsidR="00D836E6" w:rsidRDefault="00D836E6" w:rsidP="00D836E6">
      <w:pPr>
        <w:spacing w:line="276" w:lineRule="auto"/>
        <w:jc w:val="both"/>
        <w:rPr>
          <w:rFonts w:ascii="Times New Roman" w:hAnsi="Times New Roman" w:cs="Times New Roman"/>
        </w:rPr>
      </w:pPr>
      <w:r w:rsidRPr="00D836E6">
        <w:rPr>
          <w:rFonts w:ascii="Times New Roman" w:hAnsi="Times New Roman" w:cs="Times New Roman"/>
        </w:rPr>
        <w:t xml:space="preserve">Consistent with these findings, </w:t>
      </w:r>
      <w:proofErr w:type="spellStart"/>
      <w:r w:rsidRPr="00D836E6">
        <w:rPr>
          <w:rFonts w:ascii="Times New Roman" w:hAnsi="Times New Roman" w:cs="Times New Roman"/>
        </w:rPr>
        <w:t>Syafi’i</w:t>
      </w:r>
      <w:proofErr w:type="spellEnd"/>
      <w:r w:rsidRPr="00D836E6">
        <w:rPr>
          <w:rFonts w:ascii="Times New Roman" w:hAnsi="Times New Roman" w:cs="Times New Roman"/>
        </w:rPr>
        <w:t xml:space="preserve"> (2025) investigates the impact of digital payment adoption on inflation behavior in emerging markets using a dynamic panel econometric framework. The study establishes that higher digital payment penetration, including mobile wallets and electronic payment platforms, significantly affects inflation dynamics. Specifically, increased reliance on digital payment instruments accelerates the transmission of demand and price shocks to inflation, thereby reinforcing the sensitivity of inflation to changes in aggregate economic conditions.</w:t>
      </w:r>
    </w:p>
    <w:p w14:paraId="7A4AAB59" w14:textId="1C95DD9A" w:rsidR="0017474E" w:rsidRPr="00F84C58" w:rsidRDefault="00FB3CD9" w:rsidP="0017474E">
      <w:pPr>
        <w:spacing w:line="276" w:lineRule="auto"/>
        <w:jc w:val="both"/>
        <w:rPr>
          <w:rFonts w:ascii="Times New Roman" w:hAnsi="Times New Roman" w:cs="Times New Roman"/>
        </w:rPr>
      </w:pPr>
      <w:r w:rsidRPr="00F84C58">
        <w:rPr>
          <w:rFonts w:ascii="Times New Roman" w:hAnsi="Times New Roman" w:cs="Times New Roman"/>
        </w:rPr>
        <w:lastRenderedPageBreak/>
        <w:t>Studies like Balázs et al.</w:t>
      </w:r>
      <w:r w:rsidR="00F84C58" w:rsidRPr="00F84C58">
        <w:rPr>
          <w:rFonts w:ascii="Times New Roman" w:hAnsi="Times New Roman" w:cs="Times New Roman"/>
        </w:rPr>
        <w:t xml:space="preserve"> (</w:t>
      </w:r>
      <w:r w:rsidRPr="00F84C58">
        <w:rPr>
          <w:rFonts w:ascii="Times New Roman" w:hAnsi="Times New Roman" w:cs="Times New Roman"/>
        </w:rPr>
        <w:t xml:space="preserve">2019) and </w:t>
      </w:r>
      <w:proofErr w:type="spellStart"/>
      <w:r w:rsidRPr="00F84C58">
        <w:rPr>
          <w:rFonts w:ascii="Times New Roman" w:hAnsi="Times New Roman" w:cs="Times New Roman"/>
        </w:rPr>
        <w:t>Emara</w:t>
      </w:r>
      <w:proofErr w:type="spellEnd"/>
      <w:r w:rsidRPr="00F84C58">
        <w:rPr>
          <w:rFonts w:ascii="Times New Roman" w:hAnsi="Times New Roman" w:cs="Times New Roman"/>
        </w:rPr>
        <w:t xml:space="preserve"> &amp; </w:t>
      </w:r>
      <w:proofErr w:type="spellStart"/>
      <w:r w:rsidRPr="00F84C58">
        <w:rPr>
          <w:rFonts w:ascii="Times New Roman" w:hAnsi="Times New Roman" w:cs="Times New Roman"/>
        </w:rPr>
        <w:t>Zecheru</w:t>
      </w:r>
      <w:proofErr w:type="spellEnd"/>
      <w:r w:rsidRPr="00F84C58">
        <w:rPr>
          <w:rFonts w:ascii="Times New Roman" w:hAnsi="Times New Roman" w:cs="Times New Roman"/>
        </w:rPr>
        <w:t xml:space="preserve"> (2022)</w:t>
      </w:r>
      <w:r w:rsidR="0017474E" w:rsidRPr="00F84C58">
        <w:rPr>
          <w:rFonts w:ascii="Times New Roman" w:hAnsi="Times New Roman" w:cs="Times New Roman"/>
        </w:rPr>
        <w:t xml:space="preserve"> have examined the impact of digitalization on inflation rates across economies. These studies indicate that digitalization has a statistically significant negative effect on inflation in the short run, primarily through cost and competition channels</w:t>
      </w:r>
      <w:r w:rsidR="00F84C58" w:rsidRPr="00F84C58">
        <w:rPr>
          <w:rFonts w:ascii="Times New Roman" w:hAnsi="Times New Roman" w:cs="Times New Roman"/>
        </w:rPr>
        <w:t>.</w:t>
      </w:r>
      <w:r w:rsidR="0017474E" w:rsidRPr="00F84C58">
        <w:rPr>
          <w:rFonts w:ascii="Times New Roman" w:hAnsi="Times New Roman" w:cs="Times New Roman"/>
        </w:rPr>
        <w:t xml:space="preserve"> This deflationary effect is non-linear, with digital infrastructure and production factors having the strongest impact</w:t>
      </w:r>
      <w:r w:rsidR="00F84C58">
        <w:rPr>
          <w:rFonts w:ascii="Times New Roman" w:hAnsi="Times New Roman" w:cs="Times New Roman"/>
        </w:rPr>
        <w:t>.</w:t>
      </w:r>
      <w:r w:rsidR="0017474E" w:rsidRPr="00F84C58">
        <w:rPr>
          <w:rFonts w:ascii="Times New Roman" w:hAnsi="Times New Roman" w:cs="Times New Roman"/>
        </w:rPr>
        <w:t xml:space="preserve"> Comparing emerging markets with advanced economies, the deflationary effects of digitalization</w:t>
      </w:r>
      <w:r w:rsidR="00F84C58" w:rsidRPr="00F84C58">
        <w:rPr>
          <w:rFonts w:ascii="Times New Roman" w:hAnsi="Times New Roman" w:cs="Times New Roman"/>
        </w:rPr>
        <w:t xml:space="preserve"> of payment</w:t>
      </w:r>
      <w:r w:rsidR="0017474E" w:rsidRPr="00F84C58">
        <w:rPr>
          <w:rFonts w:ascii="Times New Roman" w:hAnsi="Times New Roman" w:cs="Times New Roman"/>
        </w:rPr>
        <w:t xml:space="preserve"> on inflation in emerging economies are generally smaller but can be reinforced by investments in human capital and improved governance </w:t>
      </w:r>
      <w:proofErr w:type="spellStart"/>
      <w:r w:rsidR="0017474E" w:rsidRPr="00F84C58">
        <w:rPr>
          <w:rFonts w:ascii="Times New Roman" w:hAnsi="Times New Roman" w:cs="Times New Roman"/>
        </w:rPr>
        <w:t>Emara</w:t>
      </w:r>
      <w:proofErr w:type="spellEnd"/>
      <w:r w:rsidR="0017474E" w:rsidRPr="00F84C58">
        <w:rPr>
          <w:rFonts w:ascii="Times New Roman" w:hAnsi="Times New Roman" w:cs="Times New Roman"/>
        </w:rPr>
        <w:t xml:space="preserve"> &amp; </w:t>
      </w:r>
      <w:proofErr w:type="spellStart"/>
      <w:r w:rsidR="0017474E" w:rsidRPr="00F84C58">
        <w:rPr>
          <w:rFonts w:ascii="Times New Roman" w:hAnsi="Times New Roman" w:cs="Times New Roman"/>
        </w:rPr>
        <w:t>Zecheru</w:t>
      </w:r>
      <w:proofErr w:type="spellEnd"/>
      <w:r w:rsidR="00F84C58" w:rsidRPr="00F84C58">
        <w:rPr>
          <w:rFonts w:ascii="Times New Roman" w:hAnsi="Times New Roman" w:cs="Times New Roman"/>
        </w:rPr>
        <w:t xml:space="preserve"> (</w:t>
      </w:r>
      <w:r w:rsidR="0017474E" w:rsidRPr="00F84C58">
        <w:rPr>
          <w:rFonts w:ascii="Times New Roman" w:hAnsi="Times New Roman" w:cs="Times New Roman"/>
        </w:rPr>
        <w:t xml:space="preserve">2024). </w:t>
      </w:r>
      <w:proofErr w:type="spellStart"/>
      <w:r w:rsidR="0017474E" w:rsidRPr="00F84C58">
        <w:rPr>
          <w:rFonts w:ascii="Times New Roman" w:hAnsi="Times New Roman" w:cs="Times New Roman"/>
        </w:rPr>
        <w:t>Tarantang</w:t>
      </w:r>
      <w:proofErr w:type="spellEnd"/>
      <w:r w:rsidR="0017474E" w:rsidRPr="00F84C58">
        <w:rPr>
          <w:rFonts w:ascii="Times New Roman" w:hAnsi="Times New Roman" w:cs="Times New Roman"/>
        </w:rPr>
        <w:t xml:space="preserve"> et al., (2019) stipulate that, while digital payment systems offer advantages over cash, they do not eliminate its existence but can actually help minimize inflation risks associated with excessive cash circulation. </w:t>
      </w:r>
    </w:p>
    <w:p w14:paraId="0F6E98D1" w14:textId="008750B4" w:rsidR="00D836E6" w:rsidRPr="008542A8" w:rsidRDefault="000428B2" w:rsidP="00243C43">
      <w:pPr>
        <w:spacing w:line="276" w:lineRule="auto"/>
        <w:jc w:val="both"/>
        <w:rPr>
          <w:rFonts w:ascii="Times New Roman" w:hAnsi="Times New Roman" w:cs="Times New Roman"/>
          <w:b/>
          <w:bCs/>
          <w:color w:val="EE0000"/>
        </w:rPr>
      </w:pPr>
      <w:r>
        <w:rPr>
          <w:rFonts w:ascii="Times New Roman" w:hAnsi="Times New Roman" w:cs="Times New Roman"/>
          <w:b/>
          <w:bCs/>
          <w:color w:val="EE0000"/>
        </w:rPr>
        <w:t xml:space="preserve">2.2.3 </w:t>
      </w:r>
      <w:r w:rsidR="00DE68CF">
        <w:rPr>
          <w:rFonts w:ascii="Times New Roman" w:hAnsi="Times New Roman" w:cs="Times New Roman"/>
          <w:b/>
          <w:bCs/>
          <w:color w:val="EE0000"/>
        </w:rPr>
        <w:t xml:space="preserve">Digital </w:t>
      </w:r>
      <w:r w:rsidR="008542A8" w:rsidRPr="008542A8">
        <w:rPr>
          <w:rFonts w:ascii="Times New Roman" w:hAnsi="Times New Roman" w:cs="Times New Roman"/>
          <w:b/>
          <w:bCs/>
          <w:color w:val="EE0000"/>
        </w:rPr>
        <w:t>Payment</w:t>
      </w:r>
      <w:r w:rsidR="00DE68CF">
        <w:rPr>
          <w:rFonts w:ascii="Times New Roman" w:hAnsi="Times New Roman" w:cs="Times New Roman"/>
          <w:b/>
          <w:bCs/>
          <w:color w:val="EE0000"/>
        </w:rPr>
        <w:t>s</w:t>
      </w:r>
      <w:r w:rsidR="00F84C58">
        <w:rPr>
          <w:rFonts w:ascii="Times New Roman" w:hAnsi="Times New Roman" w:cs="Times New Roman"/>
          <w:b/>
          <w:bCs/>
          <w:color w:val="EE0000"/>
        </w:rPr>
        <w:t xml:space="preserve"> Development</w:t>
      </w:r>
      <w:r w:rsidR="00B86E72">
        <w:rPr>
          <w:rFonts w:ascii="Times New Roman" w:hAnsi="Times New Roman" w:cs="Times New Roman"/>
          <w:b/>
          <w:bCs/>
          <w:color w:val="EE0000"/>
        </w:rPr>
        <w:t xml:space="preserve">, </w:t>
      </w:r>
      <w:r w:rsidR="0017474E">
        <w:rPr>
          <w:rFonts w:ascii="Times New Roman" w:hAnsi="Times New Roman" w:cs="Times New Roman"/>
          <w:b/>
          <w:bCs/>
          <w:color w:val="EE0000"/>
        </w:rPr>
        <w:t>Monetary Policy Transmission</w:t>
      </w:r>
      <w:r w:rsidR="00B86E72">
        <w:rPr>
          <w:rFonts w:ascii="Times New Roman" w:hAnsi="Times New Roman" w:cs="Times New Roman"/>
          <w:b/>
          <w:bCs/>
          <w:color w:val="EE0000"/>
        </w:rPr>
        <w:t>, and Economic Stability</w:t>
      </w:r>
    </w:p>
    <w:p w14:paraId="1A4667CC" w14:textId="41124853" w:rsidR="00243C43" w:rsidRPr="00B86E72" w:rsidRDefault="00243C43" w:rsidP="00243C43">
      <w:pPr>
        <w:spacing w:line="276" w:lineRule="auto"/>
        <w:jc w:val="both"/>
        <w:rPr>
          <w:rFonts w:ascii="Times New Roman" w:hAnsi="Times New Roman" w:cs="Times New Roman"/>
        </w:rPr>
      </w:pPr>
      <w:r w:rsidRPr="00B86E72">
        <w:rPr>
          <w:rFonts w:ascii="Times New Roman" w:hAnsi="Times New Roman" w:cs="Times New Roman"/>
        </w:rPr>
        <w:t xml:space="preserve">A </w:t>
      </w:r>
      <w:r w:rsidR="00B86E72" w:rsidRPr="00B86E72">
        <w:rPr>
          <w:rFonts w:ascii="Times New Roman" w:hAnsi="Times New Roman" w:cs="Times New Roman"/>
        </w:rPr>
        <w:t>persistent</w:t>
      </w:r>
      <w:r w:rsidRPr="00B86E72">
        <w:rPr>
          <w:rFonts w:ascii="Times New Roman" w:hAnsi="Times New Roman" w:cs="Times New Roman"/>
        </w:rPr>
        <w:t xml:space="preserve"> theme in the literature is the dual effect of digital payment systems on key macroeconomic parameters, particularly monetary policy transmission and economic stability. Digital payment systems exert a significant influence on the velocity of money and price stability. Empirical evidence suggests that innovations in payment technologies can accelerate the circulation of money over extended periods</w:t>
      </w:r>
      <w:r w:rsidR="00B86E72" w:rsidRPr="00B86E72">
        <w:rPr>
          <w:rFonts w:ascii="Times New Roman" w:hAnsi="Times New Roman" w:cs="Times New Roman"/>
        </w:rPr>
        <w:t>,</w:t>
      </w:r>
      <w:r w:rsidRPr="00B86E72">
        <w:rPr>
          <w:rFonts w:ascii="Times New Roman" w:hAnsi="Times New Roman" w:cs="Times New Roman"/>
        </w:rPr>
        <w:t xml:space="preserve"> </w:t>
      </w:r>
      <w:proofErr w:type="spellStart"/>
      <w:r w:rsidRPr="00B86E72">
        <w:rPr>
          <w:rFonts w:ascii="Times New Roman" w:hAnsi="Times New Roman" w:cs="Times New Roman"/>
        </w:rPr>
        <w:t>Huljannah</w:t>
      </w:r>
      <w:proofErr w:type="spellEnd"/>
      <w:r w:rsidRPr="00B86E72">
        <w:rPr>
          <w:rFonts w:ascii="Times New Roman" w:hAnsi="Times New Roman" w:cs="Times New Roman"/>
        </w:rPr>
        <w:t xml:space="preserve"> &amp; </w:t>
      </w:r>
      <w:proofErr w:type="spellStart"/>
      <w:r w:rsidRPr="00B86E72">
        <w:rPr>
          <w:rFonts w:ascii="Times New Roman" w:hAnsi="Times New Roman" w:cs="Times New Roman"/>
        </w:rPr>
        <w:t>Satria</w:t>
      </w:r>
      <w:proofErr w:type="spellEnd"/>
      <w:r w:rsidRPr="00B86E72">
        <w:rPr>
          <w:rFonts w:ascii="Times New Roman" w:hAnsi="Times New Roman" w:cs="Times New Roman"/>
        </w:rPr>
        <w:t xml:space="preserve"> </w:t>
      </w:r>
      <w:r w:rsidR="00B86E72" w:rsidRPr="00B86E72">
        <w:rPr>
          <w:rFonts w:ascii="Times New Roman" w:hAnsi="Times New Roman" w:cs="Times New Roman"/>
        </w:rPr>
        <w:t>(</w:t>
      </w:r>
      <w:r w:rsidRPr="00B86E72">
        <w:rPr>
          <w:rFonts w:ascii="Times New Roman" w:hAnsi="Times New Roman" w:cs="Times New Roman"/>
        </w:rPr>
        <w:t>2021). However, the relationship between payment efficiency and money velocity is not linear and depends on the scale of such innovations relative to overall monetary expansion</w:t>
      </w:r>
      <w:r w:rsidR="00B86E72" w:rsidRPr="00B86E72">
        <w:rPr>
          <w:rFonts w:ascii="Times New Roman" w:hAnsi="Times New Roman" w:cs="Times New Roman"/>
        </w:rPr>
        <w:t>,</w:t>
      </w:r>
      <w:r w:rsidRPr="00B86E72">
        <w:rPr>
          <w:rFonts w:ascii="Times New Roman" w:hAnsi="Times New Roman" w:cs="Times New Roman"/>
        </w:rPr>
        <w:t xml:space="preserve"> </w:t>
      </w:r>
      <w:proofErr w:type="spellStart"/>
      <w:r w:rsidRPr="00B86E72">
        <w:rPr>
          <w:rFonts w:ascii="Times New Roman" w:hAnsi="Times New Roman" w:cs="Times New Roman"/>
        </w:rPr>
        <w:t>Padrini</w:t>
      </w:r>
      <w:proofErr w:type="spellEnd"/>
      <w:r w:rsidRPr="00B86E72">
        <w:rPr>
          <w:rFonts w:ascii="Times New Roman" w:hAnsi="Times New Roman" w:cs="Times New Roman"/>
        </w:rPr>
        <w:t xml:space="preserve"> </w:t>
      </w:r>
      <w:r w:rsidR="00B86E72" w:rsidRPr="00B86E72">
        <w:rPr>
          <w:rFonts w:ascii="Times New Roman" w:hAnsi="Times New Roman" w:cs="Times New Roman"/>
        </w:rPr>
        <w:t>(</w:t>
      </w:r>
      <w:r w:rsidRPr="00B86E72">
        <w:rPr>
          <w:rFonts w:ascii="Times New Roman" w:hAnsi="Times New Roman" w:cs="Times New Roman"/>
        </w:rPr>
        <w:t>1997).</w:t>
      </w:r>
    </w:p>
    <w:p w14:paraId="6DAAAD47" w14:textId="447AD0C7" w:rsidR="00F84C58" w:rsidRPr="00B86E72" w:rsidRDefault="00243C43" w:rsidP="0017474E">
      <w:pPr>
        <w:spacing w:line="276" w:lineRule="auto"/>
        <w:jc w:val="both"/>
        <w:rPr>
          <w:rFonts w:ascii="Times New Roman" w:hAnsi="Times New Roman" w:cs="Times New Roman"/>
        </w:rPr>
      </w:pPr>
      <w:r w:rsidRPr="00B86E72">
        <w:rPr>
          <w:rFonts w:ascii="Times New Roman" w:hAnsi="Times New Roman" w:cs="Times New Roman"/>
        </w:rPr>
        <w:t>Evidence from Indonesia indicates that a 10</w:t>
      </w:r>
      <w:r w:rsidR="00B86E72" w:rsidRPr="00B86E72">
        <w:rPr>
          <w:rFonts w:ascii="Times New Roman" w:hAnsi="Times New Roman" w:cs="Times New Roman"/>
        </w:rPr>
        <w:t xml:space="preserve"> percent</w:t>
      </w:r>
      <w:r w:rsidRPr="00B86E72">
        <w:rPr>
          <w:rFonts w:ascii="Times New Roman" w:hAnsi="Times New Roman" w:cs="Times New Roman"/>
        </w:rPr>
        <w:t xml:space="preserve"> reduction in money velocity</w:t>
      </w:r>
      <w:r w:rsidR="0017474E" w:rsidRPr="00B86E72">
        <w:rPr>
          <w:rFonts w:ascii="Times New Roman" w:hAnsi="Times New Roman" w:cs="Times New Roman"/>
        </w:rPr>
        <w:t xml:space="preserve">, </w:t>
      </w:r>
      <w:r w:rsidRPr="00B86E72">
        <w:rPr>
          <w:rFonts w:ascii="Times New Roman" w:hAnsi="Times New Roman" w:cs="Times New Roman"/>
        </w:rPr>
        <w:t>potentially enabled by the adoption of digital currencies</w:t>
      </w:r>
      <w:r w:rsidR="0017474E" w:rsidRPr="00B86E72">
        <w:rPr>
          <w:rFonts w:ascii="Times New Roman" w:hAnsi="Times New Roman" w:cs="Times New Roman"/>
        </w:rPr>
        <w:t xml:space="preserve">, </w:t>
      </w:r>
      <w:r w:rsidRPr="00B86E72">
        <w:rPr>
          <w:rFonts w:ascii="Times New Roman" w:hAnsi="Times New Roman" w:cs="Times New Roman"/>
        </w:rPr>
        <w:t>could lead to a 1</w:t>
      </w:r>
      <w:r w:rsidR="00B86E72" w:rsidRPr="00B86E72">
        <w:rPr>
          <w:rFonts w:ascii="Times New Roman" w:hAnsi="Times New Roman" w:cs="Times New Roman"/>
        </w:rPr>
        <w:t xml:space="preserve"> percent</w:t>
      </w:r>
      <w:r w:rsidRPr="00B86E72">
        <w:rPr>
          <w:rFonts w:ascii="Times New Roman" w:hAnsi="Times New Roman" w:cs="Times New Roman"/>
        </w:rPr>
        <w:t xml:space="preserve"> decline in inflation (Hermawan et al., 2024). Moreover, simulations of a central bank digital currency (CBDC) that lowers money velocity by 5</w:t>
      </w:r>
      <w:r w:rsidR="00B86E72" w:rsidRPr="00B86E72">
        <w:rPr>
          <w:rFonts w:ascii="Times New Roman" w:hAnsi="Times New Roman" w:cs="Times New Roman"/>
        </w:rPr>
        <w:t xml:space="preserve"> percent </w:t>
      </w:r>
      <w:r w:rsidRPr="00B86E72">
        <w:rPr>
          <w:rFonts w:ascii="Times New Roman" w:hAnsi="Times New Roman" w:cs="Times New Roman"/>
        </w:rPr>
        <w:t>suggest potential macroeconomic gains, including a 0.8</w:t>
      </w:r>
      <w:r w:rsidR="00B86E72" w:rsidRPr="00B86E72">
        <w:rPr>
          <w:rFonts w:ascii="Times New Roman" w:hAnsi="Times New Roman" w:cs="Times New Roman"/>
        </w:rPr>
        <w:t xml:space="preserve"> percent </w:t>
      </w:r>
      <w:r w:rsidRPr="00B86E72">
        <w:rPr>
          <w:rFonts w:ascii="Times New Roman" w:hAnsi="Times New Roman" w:cs="Times New Roman"/>
        </w:rPr>
        <w:t>increase in GDP and a 0.8</w:t>
      </w:r>
      <w:r w:rsidR="00B86E72" w:rsidRPr="00B86E72">
        <w:rPr>
          <w:rFonts w:ascii="Times New Roman" w:hAnsi="Times New Roman" w:cs="Times New Roman"/>
        </w:rPr>
        <w:t xml:space="preserve"> percent </w:t>
      </w:r>
      <w:r w:rsidRPr="00B86E72">
        <w:rPr>
          <w:rFonts w:ascii="Times New Roman" w:hAnsi="Times New Roman" w:cs="Times New Roman"/>
        </w:rPr>
        <w:t>reduction in inflation (Hermawan et al., 2024). In addition, non-cash payment instruments, such as electronic money and credit cards, have been shown to significantly affect the money supply (M1) and interest rates, with e-money transactions exerting a negative effect on interest rates, while credit card transactions are associated with positive interest rate effects</w:t>
      </w:r>
      <w:r w:rsidR="00B86E72" w:rsidRPr="00B86E72">
        <w:rPr>
          <w:rFonts w:ascii="Times New Roman" w:hAnsi="Times New Roman" w:cs="Times New Roman"/>
        </w:rPr>
        <w:t>,</w:t>
      </w:r>
      <w:r w:rsidRPr="00B86E72">
        <w:rPr>
          <w:rFonts w:ascii="Times New Roman" w:hAnsi="Times New Roman" w:cs="Times New Roman"/>
        </w:rPr>
        <w:t xml:space="preserve"> </w:t>
      </w:r>
      <w:proofErr w:type="spellStart"/>
      <w:r w:rsidRPr="00B86E72">
        <w:rPr>
          <w:rFonts w:ascii="Times New Roman" w:hAnsi="Times New Roman" w:cs="Times New Roman"/>
        </w:rPr>
        <w:t>Lintangsari</w:t>
      </w:r>
      <w:proofErr w:type="spellEnd"/>
      <w:r w:rsidRPr="00B86E72">
        <w:rPr>
          <w:rFonts w:ascii="Times New Roman" w:hAnsi="Times New Roman" w:cs="Times New Roman"/>
        </w:rPr>
        <w:t xml:space="preserve"> et al. </w:t>
      </w:r>
      <w:r w:rsidR="00B86E72" w:rsidRPr="00B86E72">
        <w:rPr>
          <w:rFonts w:ascii="Times New Roman" w:hAnsi="Times New Roman" w:cs="Times New Roman"/>
        </w:rPr>
        <w:t>(</w:t>
      </w:r>
      <w:r w:rsidRPr="00B86E72">
        <w:rPr>
          <w:rFonts w:ascii="Times New Roman" w:hAnsi="Times New Roman" w:cs="Times New Roman"/>
        </w:rPr>
        <w:t xml:space="preserve">2018). </w:t>
      </w:r>
    </w:p>
    <w:p w14:paraId="204F4715" w14:textId="1C66AED2" w:rsidR="00F84C58" w:rsidRPr="000428B2" w:rsidRDefault="00F84C58" w:rsidP="0017474E">
      <w:pPr>
        <w:spacing w:line="276" w:lineRule="auto"/>
        <w:jc w:val="both"/>
        <w:rPr>
          <w:rFonts w:ascii="Times New Roman" w:hAnsi="Times New Roman" w:cs="Times New Roman"/>
        </w:rPr>
      </w:pPr>
      <w:r w:rsidRPr="00B86E72">
        <w:rPr>
          <w:rFonts w:ascii="Times New Roman" w:hAnsi="Times New Roman" w:cs="Times New Roman"/>
        </w:rPr>
        <w:t xml:space="preserve">With respect to monetary policy transmission, developments in digital payment systems play a significant role in strengthening transmission mechanisms. Empirical evidence suggests that fintech components, including mobile and internet technologies as well as digital currencies, are strong predictors of money demand (Mumtaz &amp; Smith, 2020). The introduction of central bank digital currencies (CBDCs) may also affect the money multiplier and the effective lower bound on interest rates, potentially leading to an initial tightening of monetary conditions (Christensen, 2022). </w:t>
      </w:r>
      <w:r w:rsidRPr="000428B2">
        <w:rPr>
          <w:rFonts w:ascii="Times New Roman" w:hAnsi="Times New Roman" w:cs="Times New Roman"/>
        </w:rPr>
        <w:t>Nevertheless, the magnitude and direction of these effects depend critically on the specific design features and implementation modalities of CBDCs (</w:t>
      </w:r>
      <w:proofErr w:type="spellStart"/>
      <w:r w:rsidRPr="000428B2">
        <w:rPr>
          <w:rFonts w:ascii="Times New Roman" w:hAnsi="Times New Roman" w:cs="Times New Roman"/>
        </w:rPr>
        <w:t>Beniak</w:t>
      </w:r>
      <w:proofErr w:type="spellEnd"/>
      <w:r w:rsidRPr="000428B2">
        <w:rPr>
          <w:rFonts w:ascii="Times New Roman" w:hAnsi="Times New Roman" w:cs="Times New Roman"/>
        </w:rPr>
        <w:t>, 2019).</w:t>
      </w:r>
    </w:p>
    <w:p w14:paraId="5AAA91BF" w14:textId="3842B36A" w:rsidR="0073516B" w:rsidRPr="000428B2" w:rsidRDefault="009757A1" w:rsidP="003F770C">
      <w:pPr>
        <w:spacing w:line="276" w:lineRule="auto"/>
        <w:jc w:val="both"/>
        <w:rPr>
          <w:rFonts w:ascii="Times New Roman" w:hAnsi="Times New Roman" w:cs="Times New Roman"/>
        </w:rPr>
      </w:pPr>
      <w:r w:rsidRPr="000428B2">
        <w:rPr>
          <w:rFonts w:ascii="Times New Roman" w:hAnsi="Times New Roman" w:cs="Times New Roman"/>
        </w:rPr>
        <w:t xml:space="preserve">On the contrary, </w:t>
      </w:r>
      <w:r w:rsidR="0073516B" w:rsidRPr="000428B2">
        <w:rPr>
          <w:rFonts w:ascii="Times New Roman" w:hAnsi="Times New Roman" w:cs="Times New Roman"/>
        </w:rPr>
        <w:t>the adoption of digital payment systems and central bank digital currencies (CBDCs)</w:t>
      </w:r>
      <w:r w:rsidRPr="000428B2">
        <w:rPr>
          <w:rFonts w:ascii="Times New Roman" w:hAnsi="Times New Roman" w:cs="Times New Roman"/>
        </w:rPr>
        <w:t>,</w:t>
      </w:r>
      <w:r w:rsidR="0073516B" w:rsidRPr="000428B2">
        <w:rPr>
          <w:rFonts w:ascii="Times New Roman" w:hAnsi="Times New Roman" w:cs="Times New Roman"/>
        </w:rPr>
        <w:t xml:space="preserve"> </w:t>
      </w:r>
      <w:r w:rsidRPr="000428B2">
        <w:rPr>
          <w:rFonts w:ascii="Times New Roman" w:hAnsi="Times New Roman" w:cs="Times New Roman"/>
        </w:rPr>
        <w:t>which are a form of ‘electronic money’, may</w:t>
      </w:r>
      <w:r w:rsidR="0073516B" w:rsidRPr="000428B2">
        <w:rPr>
          <w:rFonts w:ascii="Times New Roman" w:hAnsi="Times New Roman" w:cs="Times New Roman"/>
        </w:rPr>
        <w:t xml:space="preserve"> </w:t>
      </w:r>
      <w:r w:rsidRPr="000428B2">
        <w:rPr>
          <w:rFonts w:ascii="Times New Roman" w:hAnsi="Times New Roman" w:cs="Times New Roman"/>
        </w:rPr>
        <w:t xml:space="preserve">have </w:t>
      </w:r>
      <w:r w:rsidR="0073516B" w:rsidRPr="000428B2">
        <w:rPr>
          <w:rFonts w:ascii="Times New Roman" w:hAnsi="Times New Roman" w:cs="Times New Roman"/>
        </w:rPr>
        <w:t xml:space="preserve">significant implications for monetary policy and inflation targeting. While digital payments can increase efficiency, they may also pose </w:t>
      </w:r>
      <w:r w:rsidR="0073516B" w:rsidRPr="000428B2">
        <w:rPr>
          <w:rFonts w:ascii="Times New Roman" w:hAnsi="Times New Roman" w:cs="Times New Roman"/>
        </w:rPr>
        <w:lastRenderedPageBreak/>
        <w:t>challenges to financial stability and monetary policy transmission</w:t>
      </w:r>
      <w:r w:rsidR="000428B2">
        <w:rPr>
          <w:rFonts w:ascii="Times New Roman" w:hAnsi="Times New Roman" w:cs="Times New Roman"/>
        </w:rPr>
        <w:t>,</w:t>
      </w:r>
      <w:r w:rsidR="0073516B" w:rsidRPr="000428B2">
        <w:rPr>
          <w:rFonts w:ascii="Times New Roman" w:hAnsi="Times New Roman" w:cs="Times New Roman"/>
        </w:rPr>
        <w:t xml:space="preserve"> </w:t>
      </w:r>
      <w:proofErr w:type="spellStart"/>
      <w:r w:rsidR="0073516B" w:rsidRPr="000428B2">
        <w:rPr>
          <w:rFonts w:ascii="Times New Roman" w:hAnsi="Times New Roman" w:cs="Times New Roman"/>
        </w:rPr>
        <w:t>Beniak</w:t>
      </w:r>
      <w:proofErr w:type="spellEnd"/>
      <w:r w:rsidR="0073516B" w:rsidRPr="000428B2">
        <w:rPr>
          <w:rFonts w:ascii="Times New Roman" w:hAnsi="Times New Roman" w:cs="Times New Roman"/>
        </w:rPr>
        <w:t xml:space="preserve"> </w:t>
      </w:r>
      <w:r w:rsidR="000428B2">
        <w:rPr>
          <w:rFonts w:ascii="Times New Roman" w:hAnsi="Times New Roman" w:cs="Times New Roman"/>
        </w:rPr>
        <w:t>(</w:t>
      </w:r>
      <w:r w:rsidR="0073516B" w:rsidRPr="000428B2">
        <w:rPr>
          <w:rFonts w:ascii="Times New Roman" w:hAnsi="Times New Roman" w:cs="Times New Roman"/>
        </w:rPr>
        <w:t>2019). The effectiveness of CBDCs depends on various factors, including payment ecosystem characteristics, user familiarity with digital methods, and trust in authorities (</w:t>
      </w:r>
      <w:proofErr w:type="spellStart"/>
      <w:r w:rsidR="0073516B" w:rsidRPr="000428B2">
        <w:rPr>
          <w:rFonts w:ascii="Times New Roman" w:hAnsi="Times New Roman" w:cs="Times New Roman"/>
        </w:rPr>
        <w:t>Digiammaria</w:t>
      </w:r>
      <w:proofErr w:type="spellEnd"/>
      <w:r w:rsidR="0073516B" w:rsidRPr="000428B2">
        <w:rPr>
          <w:rFonts w:ascii="Times New Roman" w:hAnsi="Times New Roman" w:cs="Times New Roman"/>
        </w:rPr>
        <w:t xml:space="preserve"> et al., 2023).</w:t>
      </w:r>
      <w:r w:rsidRPr="000428B2">
        <w:rPr>
          <w:rFonts w:ascii="Times New Roman" w:hAnsi="Times New Roman" w:cs="Times New Roman"/>
        </w:rPr>
        <w:t xml:space="preserve"> </w:t>
      </w:r>
      <w:r w:rsidR="0073516B" w:rsidRPr="000428B2">
        <w:rPr>
          <w:rFonts w:ascii="Times New Roman" w:hAnsi="Times New Roman" w:cs="Times New Roman"/>
        </w:rPr>
        <w:t>Central banks are likely to retain their monopoly on issuing the generally accepted medium of exchange, ensuring monetary policy remains effective. However, the success of inflation targeting regimes in emerging economies is closely tied to central bank credibility, transparency, and independence</w:t>
      </w:r>
      <w:r w:rsidR="000428B2">
        <w:rPr>
          <w:rFonts w:ascii="Times New Roman" w:hAnsi="Times New Roman" w:cs="Times New Roman"/>
        </w:rPr>
        <w:t xml:space="preserve">, </w:t>
      </w:r>
      <w:proofErr w:type="spellStart"/>
      <w:r w:rsidR="0073516B" w:rsidRPr="000428B2">
        <w:rPr>
          <w:rFonts w:ascii="Times New Roman" w:hAnsi="Times New Roman" w:cs="Times New Roman"/>
        </w:rPr>
        <w:t>Aguir</w:t>
      </w:r>
      <w:proofErr w:type="spellEnd"/>
      <w:r w:rsidR="0073516B" w:rsidRPr="000428B2">
        <w:rPr>
          <w:rFonts w:ascii="Times New Roman" w:hAnsi="Times New Roman" w:cs="Times New Roman"/>
        </w:rPr>
        <w:t xml:space="preserve"> </w:t>
      </w:r>
      <w:r w:rsidR="000428B2">
        <w:rPr>
          <w:rFonts w:ascii="Times New Roman" w:hAnsi="Times New Roman" w:cs="Times New Roman"/>
        </w:rPr>
        <w:t>(</w:t>
      </w:r>
      <w:r w:rsidR="0073516B" w:rsidRPr="000428B2">
        <w:rPr>
          <w:rFonts w:ascii="Times New Roman" w:hAnsi="Times New Roman" w:cs="Times New Roman"/>
        </w:rPr>
        <w:t>2018). These factors are prerequisites for achieving inflation targets and maintaining effective monetary policy in the face of evolving payment systems.</w:t>
      </w:r>
    </w:p>
    <w:p w14:paraId="5CA64339" w14:textId="27D65594" w:rsidR="0073516B" w:rsidRPr="000428B2" w:rsidRDefault="0073516B" w:rsidP="00A65FDA">
      <w:pPr>
        <w:spacing w:line="276" w:lineRule="auto"/>
        <w:jc w:val="both"/>
        <w:rPr>
          <w:rFonts w:ascii="Times New Roman" w:hAnsi="Times New Roman" w:cs="Times New Roman"/>
        </w:rPr>
      </w:pPr>
      <w:r w:rsidRPr="000428B2">
        <w:rPr>
          <w:rFonts w:ascii="Times New Roman" w:hAnsi="Times New Roman" w:cs="Times New Roman"/>
        </w:rPr>
        <w:t xml:space="preserve">Recent studies </w:t>
      </w:r>
      <w:r w:rsidR="009757A1" w:rsidRPr="000428B2">
        <w:rPr>
          <w:rFonts w:ascii="Times New Roman" w:hAnsi="Times New Roman" w:cs="Times New Roman"/>
        </w:rPr>
        <w:t xml:space="preserve">that have examined the relationship between </w:t>
      </w:r>
      <w:r w:rsidRPr="000428B2">
        <w:rPr>
          <w:rFonts w:ascii="Times New Roman" w:hAnsi="Times New Roman" w:cs="Times New Roman"/>
        </w:rPr>
        <w:t xml:space="preserve">digital payment adoption </w:t>
      </w:r>
      <w:r w:rsidR="009757A1" w:rsidRPr="000428B2">
        <w:rPr>
          <w:rFonts w:ascii="Times New Roman" w:hAnsi="Times New Roman" w:cs="Times New Roman"/>
        </w:rPr>
        <w:t>and</w:t>
      </w:r>
      <w:r w:rsidRPr="000428B2">
        <w:rPr>
          <w:rFonts w:ascii="Times New Roman" w:hAnsi="Times New Roman" w:cs="Times New Roman"/>
        </w:rPr>
        <w:t xml:space="preserve"> economic stability </w:t>
      </w:r>
      <w:r w:rsidR="009757A1" w:rsidRPr="000428B2">
        <w:rPr>
          <w:rFonts w:ascii="Times New Roman" w:hAnsi="Times New Roman" w:cs="Times New Roman"/>
        </w:rPr>
        <w:t xml:space="preserve">are </w:t>
      </w:r>
      <w:proofErr w:type="spellStart"/>
      <w:r w:rsidRPr="000428B2">
        <w:rPr>
          <w:rFonts w:ascii="Times New Roman" w:hAnsi="Times New Roman" w:cs="Times New Roman"/>
        </w:rPr>
        <w:t>Sudrajad</w:t>
      </w:r>
      <w:proofErr w:type="spellEnd"/>
      <w:r w:rsidRPr="000428B2">
        <w:rPr>
          <w:rFonts w:ascii="Times New Roman" w:hAnsi="Times New Roman" w:cs="Times New Roman"/>
        </w:rPr>
        <w:t xml:space="preserve"> et al. (2023)</w:t>
      </w:r>
      <w:r w:rsidR="009757A1" w:rsidRPr="000428B2">
        <w:rPr>
          <w:rFonts w:ascii="Times New Roman" w:hAnsi="Times New Roman" w:cs="Times New Roman"/>
        </w:rPr>
        <w:t>,</w:t>
      </w:r>
      <w:r w:rsidRPr="000428B2">
        <w:rPr>
          <w:rFonts w:ascii="Times New Roman" w:hAnsi="Times New Roman" w:cs="Times New Roman"/>
        </w:rPr>
        <w:t xml:space="preserve"> </w:t>
      </w:r>
      <w:r w:rsidR="009757A1" w:rsidRPr="000428B2">
        <w:rPr>
          <w:rFonts w:ascii="Times New Roman" w:hAnsi="Times New Roman" w:cs="Times New Roman"/>
        </w:rPr>
        <w:t xml:space="preserve">who </w:t>
      </w:r>
      <w:r w:rsidRPr="000428B2">
        <w:rPr>
          <w:rFonts w:ascii="Times New Roman" w:hAnsi="Times New Roman" w:cs="Times New Roman"/>
        </w:rPr>
        <w:t>found that electronic money positively affects exchange rate volatility and inflation in Indonesia</w:t>
      </w:r>
      <w:r w:rsidR="007F02E7" w:rsidRPr="000428B2">
        <w:rPr>
          <w:rFonts w:ascii="Times New Roman" w:hAnsi="Times New Roman" w:cs="Times New Roman"/>
        </w:rPr>
        <w:t xml:space="preserve">, and </w:t>
      </w:r>
      <w:r w:rsidRPr="000428B2">
        <w:rPr>
          <w:rFonts w:ascii="Times New Roman" w:hAnsi="Times New Roman" w:cs="Times New Roman"/>
        </w:rPr>
        <w:t>Gopalan &amp; Rajan (2022)</w:t>
      </w:r>
      <w:r w:rsidR="007F02E7" w:rsidRPr="000428B2">
        <w:rPr>
          <w:rFonts w:ascii="Times New Roman" w:hAnsi="Times New Roman" w:cs="Times New Roman"/>
        </w:rPr>
        <w:t>,</w:t>
      </w:r>
      <w:r w:rsidRPr="000428B2">
        <w:rPr>
          <w:rFonts w:ascii="Times New Roman" w:hAnsi="Times New Roman" w:cs="Times New Roman"/>
        </w:rPr>
        <w:t xml:space="preserve"> </w:t>
      </w:r>
      <w:r w:rsidR="007F02E7" w:rsidRPr="000428B2">
        <w:rPr>
          <w:rFonts w:ascii="Times New Roman" w:hAnsi="Times New Roman" w:cs="Times New Roman"/>
        </w:rPr>
        <w:t xml:space="preserve">who </w:t>
      </w:r>
      <w:r w:rsidRPr="000428B2">
        <w:rPr>
          <w:rFonts w:ascii="Times New Roman" w:hAnsi="Times New Roman" w:cs="Times New Roman"/>
        </w:rPr>
        <w:t xml:space="preserve">observed that digital financial inclusion exacerbates output volatility in emerging economies with low banking concentration. However, Arango-Arango &amp; Suárez-Ariza (2019) provided evidence that digital payments adoption reduces cash demand, although overall cash demand continues to grow due to economic factors and trends in large denomination banknotes. </w:t>
      </w:r>
      <w:proofErr w:type="spellStart"/>
      <w:r w:rsidRPr="000428B2">
        <w:rPr>
          <w:rFonts w:ascii="Times New Roman" w:hAnsi="Times New Roman" w:cs="Times New Roman"/>
        </w:rPr>
        <w:t>Kasri</w:t>
      </w:r>
      <w:proofErr w:type="spellEnd"/>
      <w:r w:rsidRPr="000428B2">
        <w:rPr>
          <w:rFonts w:ascii="Times New Roman" w:hAnsi="Times New Roman" w:cs="Times New Roman"/>
        </w:rPr>
        <w:t xml:space="preserve"> et al. (2022) discovered a long-run relationship between digital payment transactions and banking stability in Indonesia, with a positive short-run impact. Interestingly, they found no significant causality between digital payments and Islamic banking stability. These studies collectively suggest that while digital payment adoption can influence economic stability, the effects are complex and may vary depending on the specific economic context and banking system structure</w:t>
      </w:r>
      <w:r w:rsidR="007F02E7" w:rsidRPr="000428B2">
        <w:rPr>
          <w:rFonts w:ascii="Times New Roman" w:hAnsi="Times New Roman" w:cs="Times New Roman"/>
        </w:rPr>
        <w:t xml:space="preserve"> established in an economy</w:t>
      </w:r>
      <w:r w:rsidRPr="000428B2">
        <w:rPr>
          <w:rFonts w:ascii="Times New Roman" w:hAnsi="Times New Roman" w:cs="Times New Roman"/>
        </w:rPr>
        <w:t>.</w:t>
      </w:r>
    </w:p>
    <w:p w14:paraId="5632DAAF" w14:textId="0D502653" w:rsidR="00895D5C" w:rsidRPr="0002650F" w:rsidRDefault="008E385F" w:rsidP="00A65FDA">
      <w:pPr>
        <w:spacing w:line="276" w:lineRule="auto"/>
        <w:jc w:val="both"/>
        <w:rPr>
          <w:rFonts w:ascii="Times New Roman" w:hAnsi="Times New Roman" w:cs="Times New Roman"/>
        </w:rPr>
      </w:pPr>
      <w:r w:rsidRPr="000428B2">
        <w:rPr>
          <w:rFonts w:ascii="Times New Roman" w:hAnsi="Times New Roman" w:cs="Times New Roman"/>
        </w:rPr>
        <w:t xml:space="preserve">Considering the merits and demerits of the developments in the </w:t>
      </w:r>
      <w:r w:rsidR="0073516B" w:rsidRPr="000428B2">
        <w:rPr>
          <w:rFonts w:ascii="Times New Roman" w:hAnsi="Times New Roman" w:cs="Times New Roman"/>
        </w:rPr>
        <w:t>Digital payment systems</w:t>
      </w:r>
      <w:r w:rsidRPr="000428B2">
        <w:rPr>
          <w:rFonts w:ascii="Times New Roman" w:hAnsi="Times New Roman" w:cs="Times New Roman"/>
        </w:rPr>
        <w:t xml:space="preserve">, the innovations </w:t>
      </w:r>
      <w:r w:rsidR="0073516B" w:rsidRPr="000428B2">
        <w:rPr>
          <w:rFonts w:ascii="Times New Roman" w:hAnsi="Times New Roman" w:cs="Times New Roman"/>
        </w:rPr>
        <w:t xml:space="preserve">are transforming the financial ecosystem, offering advantages like efficiency and convenience while posing challenges such as liquidity risks Bhuvaneshwari et al. </w:t>
      </w:r>
      <w:r w:rsidR="000428B2">
        <w:rPr>
          <w:rFonts w:ascii="Times New Roman" w:hAnsi="Times New Roman" w:cs="Times New Roman"/>
        </w:rPr>
        <w:t>(</w:t>
      </w:r>
      <w:r w:rsidR="0073516B" w:rsidRPr="000428B2">
        <w:rPr>
          <w:rFonts w:ascii="Times New Roman" w:hAnsi="Times New Roman" w:cs="Times New Roman"/>
        </w:rPr>
        <w:t xml:space="preserve">2024; Mustafa, </w:t>
      </w:r>
      <w:r w:rsidR="000428B2">
        <w:rPr>
          <w:rFonts w:ascii="Times New Roman" w:hAnsi="Times New Roman" w:cs="Times New Roman"/>
        </w:rPr>
        <w:t>(</w:t>
      </w:r>
      <w:r w:rsidR="0073516B" w:rsidRPr="000428B2">
        <w:rPr>
          <w:rFonts w:ascii="Times New Roman" w:hAnsi="Times New Roman" w:cs="Times New Roman"/>
        </w:rPr>
        <w:t xml:space="preserve">2024). These systems are reshaping consumer behavior and business dynamics in various sectors, including goods and e-commerce Bhuvaneshwari et al., </w:t>
      </w:r>
      <w:r w:rsidR="000428B2">
        <w:rPr>
          <w:rFonts w:ascii="Times New Roman" w:hAnsi="Times New Roman" w:cs="Times New Roman"/>
        </w:rPr>
        <w:t>(</w:t>
      </w:r>
      <w:r w:rsidR="0073516B" w:rsidRPr="000428B2">
        <w:rPr>
          <w:rFonts w:ascii="Times New Roman" w:hAnsi="Times New Roman" w:cs="Times New Roman"/>
        </w:rPr>
        <w:t>2024</w:t>
      </w:r>
      <w:r w:rsidR="000428B2">
        <w:rPr>
          <w:rFonts w:ascii="Times New Roman" w:hAnsi="Times New Roman" w:cs="Times New Roman"/>
        </w:rPr>
        <w:t>)</w:t>
      </w:r>
      <w:r w:rsidR="0073516B" w:rsidRPr="000428B2">
        <w:rPr>
          <w:rFonts w:ascii="Times New Roman" w:hAnsi="Times New Roman" w:cs="Times New Roman"/>
        </w:rPr>
        <w:t xml:space="preserve">; Suat Teker et al., </w:t>
      </w:r>
      <w:r w:rsidR="000428B2">
        <w:rPr>
          <w:rFonts w:ascii="Times New Roman" w:hAnsi="Times New Roman" w:cs="Times New Roman"/>
        </w:rPr>
        <w:t>(</w:t>
      </w:r>
      <w:r w:rsidR="0073516B" w:rsidRPr="000428B2">
        <w:rPr>
          <w:rFonts w:ascii="Times New Roman" w:hAnsi="Times New Roman" w:cs="Times New Roman"/>
        </w:rPr>
        <w:t xml:space="preserve">2022). While digital payments can initially create short-term instability, robust capital adequacy ratios can enhance long-term banking sector resilience (Mustafa, 2024). The adoption of digital payments is expected to drive growth, create new opportunities, and potentially include unbanked populations (Teker et al. </w:t>
      </w:r>
      <w:r w:rsidR="000428B2">
        <w:rPr>
          <w:rFonts w:ascii="Times New Roman" w:hAnsi="Times New Roman" w:cs="Times New Roman"/>
        </w:rPr>
        <w:t>(</w:t>
      </w:r>
      <w:r w:rsidR="0073516B" w:rsidRPr="000428B2">
        <w:rPr>
          <w:rFonts w:ascii="Times New Roman" w:hAnsi="Times New Roman" w:cs="Times New Roman"/>
        </w:rPr>
        <w:t>2022). However, the transition to a cashless economy may impact inflation and wealth distribution (</w:t>
      </w:r>
      <w:proofErr w:type="spellStart"/>
      <w:r w:rsidR="0073516B" w:rsidRPr="000428B2">
        <w:rPr>
          <w:rFonts w:ascii="Times New Roman" w:hAnsi="Times New Roman" w:cs="Times New Roman"/>
        </w:rPr>
        <w:t>Tarantang</w:t>
      </w:r>
      <w:proofErr w:type="spellEnd"/>
      <w:r w:rsidR="0073516B" w:rsidRPr="000428B2">
        <w:rPr>
          <w:rFonts w:ascii="Times New Roman" w:hAnsi="Times New Roman" w:cs="Times New Roman"/>
        </w:rPr>
        <w:t xml:space="preserve"> et al. </w:t>
      </w:r>
      <w:r w:rsidR="00F232D7">
        <w:rPr>
          <w:rFonts w:ascii="Times New Roman" w:hAnsi="Times New Roman" w:cs="Times New Roman"/>
        </w:rPr>
        <w:t>(</w:t>
      </w:r>
      <w:r w:rsidR="0073516B" w:rsidRPr="000428B2">
        <w:rPr>
          <w:rFonts w:ascii="Times New Roman" w:hAnsi="Times New Roman" w:cs="Times New Roman"/>
        </w:rPr>
        <w:t>2019</w:t>
      </w:r>
      <w:r w:rsidR="00F232D7">
        <w:rPr>
          <w:rFonts w:ascii="Times New Roman" w:hAnsi="Times New Roman" w:cs="Times New Roman"/>
        </w:rPr>
        <w:t xml:space="preserve">) and </w:t>
      </w:r>
      <w:r w:rsidR="0073516B" w:rsidRPr="000428B2">
        <w:rPr>
          <w:rFonts w:ascii="Times New Roman" w:hAnsi="Times New Roman" w:cs="Times New Roman"/>
        </w:rPr>
        <w:t xml:space="preserve">Teker et al., </w:t>
      </w:r>
      <w:r w:rsidR="00F232D7">
        <w:rPr>
          <w:rFonts w:ascii="Times New Roman" w:hAnsi="Times New Roman" w:cs="Times New Roman"/>
        </w:rPr>
        <w:t>(</w:t>
      </w:r>
      <w:r w:rsidR="0073516B" w:rsidRPr="000428B2">
        <w:rPr>
          <w:rFonts w:ascii="Times New Roman" w:hAnsi="Times New Roman" w:cs="Times New Roman"/>
        </w:rPr>
        <w:t>2022).</w:t>
      </w:r>
    </w:p>
    <w:p w14:paraId="007C5CCB" w14:textId="77777777" w:rsidR="00141B66" w:rsidRPr="0002650F" w:rsidRDefault="00141B66" w:rsidP="00141B66">
      <w:pPr>
        <w:spacing w:line="276" w:lineRule="auto"/>
        <w:jc w:val="both"/>
        <w:rPr>
          <w:rFonts w:ascii="Times New Roman" w:hAnsi="Times New Roman" w:cs="Times New Roman"/>
        </w:rPr>
      </w:pPr>
      <w:r w:rsidRPr="0002650F">
        <w:rPr>
          <w:rFonts w:ascii="Times New Roman" w:hAnsi="Times New Roman" w:cs="Times New Roman"/>
        </w:rPr>
        <w:t>In summary, the existing literature presents divergent perspectives on digital payment systems. While several studies highlight their benefits in enhancing transaction efficiency and stimulating economic demand, others draw attention to potential risks, including financial instability and regulatory challenges. A notable limitation of the current body of research is the insufficient examination of both short- and long-run dynamics in the relationships among key macroeconomic variables. This gap constrains the generalizability of existing findings, as analyses focused solely on short-term effects may fail to capture the evolving nature of digital payment systems and their broader macroeconomic implications over time.</w:t>
      </w:r>
    </w:p>
    <w:p w14:paraId="3175ED28" w14:textId="5191580C" w:rsidR="00141B66" w:rsidRDefault="00141B66" w:rsidP="00141B66">
      <w:pPr>
        <w:spacing w:line="276" w:lineRule="auto"/>
        <w:jc w:val="both"/>
        <w:rPr>
          <w:rFonts w:ascii="Times New Roman" w:hAnsi="Times New Roman" w:cs="Times New Roman"/>
        </w:rPr>
      </w:pPr>
      <w:r w:rsidRPr="0002650F">
        <w:rPr>
          <w:rFonts w:ascii="Times New Roman" w:hAnsi="Times New Roman" w:cs="Times New Roman"/>
        </w:rPr>
        <w:lastRenderedPageBreak/>
        <w:t xml:space="preserve">Against this backdrop, the present study seeks to examine the long-run impact of digital payment systems on economic stability and monetary policy in an emerging market context within the West African region, </w:t>
      </w:r>
      <w:r w:rsidR="002128FA" w:rsidRPr="0002650F">
        <w:rPr>
          <w:rFonts w:ascii="Times New Roman" w:hAnsi="Times New Roman" w:cs="Times New Roman"/>
        </w:rPr>
        <w:t>to inform</w:t>
      </w:r>
      <w:r w:rsidRPr="0002650F">
        <w:rPr>
          <w:rFonts w:ascii="Times New Roman" w:hAnsi="Times New Roman" w:cs="Times New Roman"/>
        </w:rPr>
        <w:t xml:space="preserve"> the development of more inclusive and equitable financial systems. To address the identified gap in the literature, this paper adopts the Autoregressive Distributed Lag (ARDL) methodology, consistent with the approaches employed by </w:t>
      </w:r>
      <w:proofErr w:type="spellStart"/>
      <w:r w:rsidRPr="0002650F">
        <w:rPr>
          <w:rFonts w:ascii="Times New Roman" w:hAnsi="Times New Roman" w:cs="Times New Roman"/>
        </w:rPr>
        <w:t>Gatawa</w:t>
      </w:r>
      <w:proofErr w:type="spellEnd"/>
      <w:r w:rsidRPr="0002650F">
        <w:rPr>
          <w:rFonts w:ascii="Times New Roman" w:hAnsi="Times New Roman" w:cs="Times New Roman"/>
        </w:rPr>
        <w:t xml:space="preserve"> and Lawal (2017) and </w:t>
      </w:r>
      <w:proofErr w:type="spellStart"/>
      <w:r w:rsidRPr="0002650F">
        <w:rPr>
          <w:rFonts w:ascii="Times New Roman" w:hAnsi="Times New Roman" w:cs="Times New Roman"/>
        </w:rPr>
        <w:t>Oyelami</w:t>
      </w:r>
      <w:proofErr w:type="spellEnd"/>
      <w:r w:rsidRPr="0002650F">
        <w:rPr>
          <w:rFonts w:ascii="Times New Roman" w:hAnsi="Times New Roman" w:cs="Times New Roman"/>
        </w:rPr>
        <w:t xml:space="preserve"> and </w:t>
      </w:r>
      <w:proofErr w:type="spellStart"/>
      <w:r w:rsidRPr="0002650F">
        <w:rPr>
          <w:rFonts w:ascii="Times New Roman" w:hAnsi="Times New Roman" w:cs="Times New Roman"/>
        </w:rPr>
        <w:t>Alege</w:t>
      </w:r>
      <w:proofErr w:type="spellEnd"/>
      <w:r w:rsidRPr="0002650F">
        <w:rPr>
          <w:rFonts w:ascii="Times New Roman" w:hAnsi="Times New Roman" w:cs="Times New Roman"/>
        </w:rPr>
        <w:t xml:space="preserve"> (2018). The ARDL framework enables the simultaneous estimation of both short- and long-run relationships between inflation, electronic transactions, and other control variables, thereby providing a more comprehensive understanding of the dynamics underpinning digital payment systems and macroeconomic outcomes.</w:t>
      </w:r>
    </w:p>
    <w:p w14:paraId="75A98C8C" w14:textId="79E0AC7D" w:rsidR="0073516B" w:rsidRPr="0002650F" w:rsidRDefault="0073516B" w:rsidP="000428B2">
      <w:pPr>
        <w:spacing w:line="276" w:lineRule="auto"/>
        <w:jc w:val="both"/>
        <w:rPr>
          <w:rFonts w:ascii="Times New Roman" w:hAnsi="Times New Roman" w:cs="Times New Roman"/>
          <w:b/>
          <w:bCs/>
          <w:color w:val="C00000"/>
        </w:rPr>
      </w:pPr>
      <w:r w:rsidRPr="0002650F">
        <w:rPr>
          <w:rFonts w:ascii="Times New Roman" w:hAnsi="Times New Roman" w:cs="Times New Roman"/>
          <w:b/>
          <w:bCs/>
          <w:color w:val="C00000"/>
        </w:rPr>
        <w:t>3.</w:t>
      </w:r>
      <w:r w:rsidR="002128FA" w:rsidRPr="0002650F">
        <w:rPr>
          <w:rFonts w:ascii="Times New Roman" w:hAnsi="Times New Roman" w:cs="Times New Roman"/>
          <w:b/>
          <w:bCs/>
          <w:color w:val="C00000"/>
        </w:rPr>
        <w:t>0</w:t>
      </w:r>
      <w:r w:rsidRPr="0002650F">
        <w:rPr>
          <w:rFonts w:ascii="Times New Roman" w:hAnsi="Times New Roman" w:cs="Times New Roman"/>
          <w:b/>
          <w:bCs/>
          <w:color w:val="C00000"/>
        </w:rPr>
        <w:t xml:space="preserve"> </w:t>
      </w:r>
      <w:r w:rsidR="00C759A0" w:rsidRPr="0002650F">
        <w:rPr>
          <w:rFonts w:ascii="Times New Roman" w:hAnsi="Times New Roman" w:cs="Times New Roman"/>
          <w:b/>
          <w:bCs/>
          <w:color w:val="C00000"/>
        </w:rPr>
        <w:t xml:space="preserve">Data and </w:t>
      </w:r>
      <w:r w:rsidRPr="0002650F">
        <w:rPr>
          <w:rFonts w:ascii="Times New Roman" w:hAnsi="Times New Roman" w:cs="Times New Roman"/>
          <w:b/>
          <w:bCs/>
          <w:color w:val="C00000"/>
        </w:rPr>
        <w:t>Methodology</w:t>
      </w:r>
    </w:p>
    <w:p w14:paraId="0481DB30" w14:textId="08117098" w:rsidR="0073516B" w:rsidRPr="0002650F" w:rsidRDefault="0073516B" w:rsidP="00A65FDA">
      <w:pPr>
        <w:spacing w:line="276" w:lineRule="auto"/>
        <w:jc w:val="both"/>
        <w:rPr>
          <w:rFonts w:ascii="Times New Roman" w:hAnsi="Times New Roman" w:cs="Times New Roman"/>
          <w:b/>
          <w:bCs/>
          <w:color w:val="C00000"/>
        </w:rPr>
      </w:pPr>
      <w:r w:rsidRPr="0002650F">
        <w:rPr>
          <w:rFonts w:ascii="Times New Roman" w:hAnsi="Times New Roman" w:cs="Times New Roman"/>
        </w:rPr>
        <w:t>This study adopts a quantitative research design to investigate the relationship between digital payment</w:t>
      </w:r>
      <w:r w:rsidR="00DE68CF">
        <w:rPr>
          <w:rFonts w:ascii="Times New Roman" w:hAnsi="Times New Roman" w:cs="Times New Roman"/>
        </w:rPr>
        <w:t>s</w:t>
      </w:r>
      <w:r w:rsidRPr="0002650F">
        <w:rPr>
          <w:rFonts w:ascii="Times New Roman" w:hAnsi="Times New Roman" w:cs="Times New Roman"/>
        </w:rPr>
        <w:t xml:space="preserve"> and price stability in Nigeria. The theoretical framework draws from the Quantity Theory of Money, Keynesian Theory, and Transaction Cost Theory, all of which infers that digital payment systems can influence price stability through mechanisms such as the velocity of money, transaction efficiency, and aggregate demand. According to the Quantity Theory of Money, increased adoption of digital payment systems is expected to affect the velocity of money, thereby influencing inflation and price stability. Keynesian Theory posits that improved transaction efficiency, facilitated by digital payments, can stabilize aggregate demand and reduce inflationary pressures. Similarly, Transaction Cost Theory indicates that reducing transaction costs through digital payments enhances market efficiency, which in turn may contribute to price stability.</w:t>
      </w:r>
    </w:p>
    <w:p w14:paraId="5104CF0E" w14:textId="323BCB86" w:rsidR="00C759A0" w:rsidRPr="0002650F" w:rsidRDefault="002128FA" w:rsidP="00A65FDA">
      <w:pPr>
        <w:spacing w:line="276" w:lineRule="auto"/>
        <w:jc w:val="both"/>
        <w:rPr>
          <w:rFonts w:ascii="Times New Roman" w:hAnsi="Times New Roman" w:cs="Times New Roman"/>
          <w:b/>
          <w:bCs/>
          <w:color w:val="C00000"/>
        </w:rPr>
      </w:pPr>
      <w:r w:rsidRPr="0002650F">
        <w:rPr>
          <w:rFonts w:ascii="Times New Roman" w:hAnsi="Times New Roman" w:cs="Times New Roman"/>
          <w:b/>
          <w:bCs/>
          <w:color w:val="C00000"/>
        </w:rPr>
        <w:t xml:space="preserve">3.1 </w:t>
      </w:r>
      <w:r w:rsidR="00C759A0" w:rsidRPr="0002650F">
        <w:rPr>
          <w:rFonts w:ascii="Times New Roman" w:hAnsi="Times New Roman" w:cs="Times New Roman"/>
          <w:b/>
          <w:bCs/>
          <w:color w:val="C00000"/>
        </w:rPr>
        <w:t>Data</w:t>
      </w:r>
    </w:p>
    <w:p w14:paraId="5AD8372E" w14:textId="64F81DB1" w:rsidR="00C33767" w:rsidRPr="0002650F" w:rsidRDefault="00C33767" w:rsidP="00C33767">
      <w:pPr>
        <w:spacing w:line="276" w:lineRule="auto"/>
        <w:jc w:val="both"/>
        <w:rPr>
          <w:rFonts w:ascii="Times New Roman" w:hAnsi="Times New Roman" w:cs="Times New Roman"/>
        </w:rPr>
      </w:pPr>
      <w:r w:rsidRPr="0002650F">
        <w:rPr>
          <w:rFonts w:ascii="Times New Roman" w:hAnsi="Times New Roman" w:cs="Times New Roman"/>
        </w:rPr>
        <w:t>To empirically examine the theoretical propositions underpinning this study, secondary monthly data obtained from the Central Bank of Nigeria (CBN) database are employed, covering the period from 2012M1 to 2024M6. The dependent variable is the Headline Consumer Price Index (HCPI), which serves as a proxy</w:t>
      </w:r>
      <w:r w:rsidR="000326D4">
        <w:rPr>
          <w:rFonts w:ascii="Times New Roman" w:hAnsi="Times New Roman" w:cs="Times New Roman"/>
        </w:rPr>
        <w:t xml:space="preserve"> measure</w:t>
      </w:r>
      <w:r w:rsidRPr="0002650F">
        <w:rPr>
          <w:rFonts w:ascii="Times New Roman" w:hAnsi="Times New Roman" w:cs="Times New Roman"/>
        </w:rPr>
        <w:t xml:space="preserve"> for inflation, consistent with the approaches adopted by Sasaki et al. (2022) and Ajayi et al. (2025). The key explanatory variable, </w:t>
      </w:r>
      <w:proofErr w:type="spellStart"/>
      <w:r w:rsidRPr="0002650F">
        <w:rPr>
          <w:rFonts w:ascii="Times New Roman" w:hAnsi="Times New Roman" w:cs="Times New Roman"/>
        </w:rPr>
        <w:t>etranz</w:t>
      </w:r>
      <w:proofErr w:type="spellEnd"/>
      <w:r w:rsidRPr="0002650F">
        <w:rPr>
          <w:rFonts w:ascii="Times New Roman" w:hAnsi="Times New Roman" w:cs="Times New Roman"/>
        </w:rPr>
        <w:t>, captures the scale of digital payment systems and is measured using the total value of electronic and digital transactions, including automated teller machine (ATM) transactions, point-of-sale (POS) payments, internet transfers, mobile money transfers, and electronic bills. Additional control variables are incorporated to account for other macroeconomic influences on price stability. These include broad money supply (M3), real gross domestic product (RGDP), and the monetary policy rate (MPR). The inclusion of the monetary policy rate allows the model to capture the role of monetary policy stance and other macroeconomic conditions that may affect inflation dynamics.</w:t>
      </w:r>
    </w:p>
    <w:p w14:paraId="6957176C" w14:textId="5CF1671E" w:rsidR="00C759A0" w:rsidRPr="0002650F" w:rsidRDefault="007B56D0" w:rsidP="00C33767">
      <w:pPr>
        <w:spacing w:line="276" w:lineRule="auto"/>
        <w:jc w:val="both"/>
        <w:rPr>
          <w:rFonts w:ascii="Times New Roman" w:hAnsi="Times New Roman" w:cs="Times New Roman"/>
          <w:b/>
          <w:bCs/>
          <w:color w:val="C00000"/>
        </w:rPr>
      </w:pPr>
      <w:r w:rsidRPr="0002650F">
        <w:rPr>
          <w:rFonts w:ascii="Times New Roman" w:hAnsi="Times New Roman" w:cs="Times New Roman"/>
          <w:b/>
          <w:bCs/>
          <w:color w:val="C00000"/>
        </w:rPr>
        <w:t xml:space="preserve">3.2 </w:t>
      </w:r>
      <w:r w:rsidR="00C759A0" w:rsidRPr="0002650F">
        <w:rPr>
          <w:rFonts w:ascii="Times New Roman" w:hAnsi="Times New Roman" w:cs="Times New Roman"/>
          <w:b/>
          <w:bCs/>
          <w:color w:val="C00000"/>
        </w:rPr>
        <w:t>Model Specification</w:t>
      </w:r>
    </w:p>
    <w:p w14:paraId="4700B66C" w14:textId="31E33F17" w:rsidR="00C759A0" w:rsidRPr="0002650F" w:rsidRDefault="0073516B" w:rsidP="00A65FDA">
      <w:pPr>
        <w:spacing w:line="276" w:lineRule="auto"/>
        <w:jc w:val="both"/>
        <w:rPr>
          <w:rFonts w:ascii="Times New Roman" w:hAnsi="Times New Roman" w:cs="Times New Roman"/>
        </w:rPr>
      </w:pPr>
      <w:r w:rsidRPr="0002650F">
        <w:rPr>
          <w:rFonts w:ascii="Times New Roman" w:hAnsi="Times New Roman" w:cs="Times New Roman"/>
        </w:rPr>
        <w:t xml:space="preserve">The study therefore employs the Autoregressive Distributed Lag (ARDL) model to analyze both short-term and long-term relationships between digital payment systems and price stability. This </w:t>
      </w:r>
      <w:r w:rsidRPr="0002650F">
        <w:rPr>
          <w:rFonts w:ascii="Times New Roman" w:hAnsi="Times New Roman" w:cs="Times New Roman"/>
        </w:rPr>
        <w:lastRenderedPageBreak/>
        <w:t xml:space="preserve">model is particularly suited due to its ability to handle both stationary and non-stationary data, which is common in time-series analysis of emerging markets. </w:t>
      </w:r>
    </w:p>
    <w:p w14:paraId="4A3E82BE" w14:textId="6EB4352F" w:rsidR="00C759A0" w:rsidRPr="00C759A0" w:rsidRDefault="00C759A0" w:rsidP="00A30834">
      <w:pPr>
        <w:spacing w:line="240" w:lineRule="auto"/>
        <w:jc w:val="both"/>
        <w:rPr>
          <w:rFonts w:ascii="Times New Roman" w:hAnsi="Times New Roman" w:cs="Times New Roman"/>
        </w:rPr>
      </w:pPr>
      <w:r w:rsidRPr="0002650F">
        <w:rPr>
          <w:rFonts w:ascii="Times New Roman" w:hAnsi="Times New Roman" w:cs="Times New Roman"/>
        </w:rPr>
        <w:t>W</w:t>
      </w:r>
      <w:r w:rsidRPr="00C759A0">
        <w:rPr>
          <w:rFonts w:ascii="Times New Roman" w:hAnsi="Times New Roman" w:cs="Times New Roman"/>
        </w:rPr>
        <w:t>e</w:t>
      </w:r>
      <w:r w:rsidRPr="0002650F">
        <w:rPr>
          <w:rFonts w:ascii="Times New Roman" w:hAnsi="Times New Roman" w:cs="Times New Roman"/>
        </w:rPr>
        <w:t xml:space="preserve"> </w:t>
      </w:r>
      <w:r w:rsidRPr="00C759A0">
        <w:rPr>
          <w:rFonts w:ascii="Times New Roman" w:hAnsi="Times New Roman" w:cs="Times New Roman"/>
        </w:rPr>
        <w:t xml:space="preserve">express </w:t>
      </w:r>
      <w:r w:rsidRPr="00C759A0">
        <w:rPr>
          <w:rFonts w:ascii="Times New Roman" w:hAnsi="Times New Roman" w:cs="Times New Roman"/>
          <w:b/>
          <w:bCs/>
        </w:rPr>
        <w:t>the functional equation</w:t>
      </w:r>
      <w:r w:rsidRPr="00C759A0">
        <w:rPr>
          <w:rFonts w:ascii="Times New Roman" w:hAnsi="Times New Roman" w:cs="Times New Roman"/>
        </w:rPr>
        <w:t xml:space="preserve"> of our model as written below:</w:t>
      </w:r>
    </w:p>
    <w:p w14:paraId="5B2A9F25" w14:textId="579DBCCD" w:rsidR="00C759A0" w:rsidRPr="0002650F" w:rsidRDefault="00A30834" w:rsidP="00A30834">
      <w:pPr>
        <w:spacing w:line="240" w:lineRule="auto"/>
        <w:jc w:val="both"/>
        <w:rPr>
          <w:rFonts w:ascii="Times New Roman" w:hAnsi="Times New Roman" w:cs="Times New Roman"/>
        </w:rPr>
      </w:pPr>
      <w:proofErr w:type="spellStart"/>
      <w:r w:rsidRPr="0002650F">
        <w:rPr>
          <w:rFonts w:ascii="Times New Roman" w:hAnsi="Times New Roman" w:cs="Times New Roman"/>
        </w:rPr>
        <w:t>log</w:t>
      </w:r>
      <w:r w:rsidR="00657305" w:rsidRPr="0002650F">
        <w:rPr>
          <w:rFonts w:ascii="Times New Roman" w:hAnsi="Times New Roman" w:cs="Times New Roman"/>
        </w:rPr>
        <w:t>hcpi</w:t>
      </w:r>
      <w:proofErr w:type="spellEnd"/>
      <w:r w:rsidR="00C759A0" w:rsidRPr="00C759A0">
        <w:rPr>
          <w:rFonts w:ascii="Times New Roman" w:hAnsi="Times New Roman" w:cs="Times New Roman"/>
        </w:rPr>
        <w:t xml:space="preserve">= </w:t>
      </w:r>
      <w:proofErr w:type="gramStart"/>
      <w:r w:rsidR="00C759A0" w:rsidRPr="00C759A0">
        <w:rPr>
          <w:rFonts w:ascii="Times New Roman" w:hAnsi="Times New Roman" w:cs="Times New Roman"/>
        </w:rPr>
        <w:t>f(</w:t>
      </w:r>
      <w:proofErr w:type="spellStart"/>
      <w:proofErr w:type="gramEnd"/>
      <w:r w:rsidRPr="0002650F">
        <w:rPr>
          <w:rFonts w:ascii="Times New Roman" w:hAnsi="Times New Roman" w:cs="Times New Roman"/>
        </w:rPr>
        <w:t>log</w:t>
      </w:r>
      <w:r w:rsidR="00657305" w:rsidRPr="0002650F">
        <w:rPr>
          <w:rFonts w:ascii="Times New Roman" w:hAnsi="Times New Roman" w:cs="Times New Roman"/>
        </w:rPr>
        <w:t>e</w:t>
      </w:r>
      <w:r w:rsidRPr="0002650F">
        <w:rPr>
          <w:rFonts w:ascii="Times New Roman" w:hAnsi="Times New Roman" w:cs="Times New Roman"/>
        </w:rPr>
        <w:t>tranz</w:t>
      </w:r>
      <w:proofErr w:type="spellEnd"/>
      <w:r w:rsidRPr="0002650F">
        <w:rPr>
          <w:rFonts w:ascii="Times New Roman" w:hAnsi="Times New Roman" w:cs="Times New Roman"/>
        </w:rPr>
        <w:t xml:space="preserve">, </w:t>
      </w:r>
      <w:proofErr w:type="spellStart"/>
      <w:r w:rsidRPr="0002650F">
        <w:rPr>
          <w:rFonts w:ascii="Times New Roman" w:hAnsi="Times New Roman" w:cs="Times New Roman"/>
        </w:rPr>
        <w:t>log</w:t>
      </w:r>
      <w:r w:rsidR="00657305" w:rsidRPr="0002650F">
        <w:rPr>
          <w:rFonts w:ascii="Times New Roman" w:hAnsi="Times New Roman" w:cs="Times New Roman"/>
        </w:rPr>
        <w:t>r</w:t>
      </w:r>
      <w:r w:rsidRPr="0002650F">
        <w:rPr>
          <w:rFonts w:ascii="Times New Roman" w:hAnsi="Times New Roman" w:cs="Times New Roman"/>
        </w:rPr>
        <w:t>gdp</w:t>
      </w:r>
      <w:proofErr w:type="spellEnd"/>
      <w:r w:rsidRPr="0002650F">
        <w:rPr>
          <w:rFonts w:ascii="Times New Roman" w:hAnsi="Times New Roman" w:cs="Times New Roman"/>
        </w:rPr>
        <w:t>, log</w:t>
      </w:r>
      <w:r w:rsidR="00657305" w:rsidRPr="0002650F">
        <w:rPr>
          <w:rFonts w:ascii="Times New Roman" w:hAnsi="Times New Roman" w:cs="Times New Roman"/>
        </w:rPr>
        <w:t>m</w:t>
      </w:r>
      <w:r w:rsidRPr="0002650F">
        <w:rPr>
          <w:rFonts w:ascii="Times New Roman" w:hAnsi="Times New Roman" w:cs="Times New Roman"/>
        </w:rPr>
        <w:t>3</w:t>
      </w:r>
      <w:r w:rsidR="00C759A0" w:rsidRPr="00C759A0">
        <w:rPr>
          <w:rFonts w:ascii="Times New Roman" w:hAnsi="Times New Roman" w:cs="Times New Roman"/>
        </w:rPr>
        <w:t xml:space="preserve">, </w:t>
      </w:r>
      <w:proofErr w:type="spellStart"/>
      <w:r w:rsidR="00657305" w:rsidRPr="0002650F">
        <w:rPr>
          <w:rFonts w:ascii="Times New Roman" w:hAnsi="Times New Roman" w:cs="Times New Roman"/>
        </w:rPr>
        <w:t>mpr</w:t>
      </w:r>
      <w:proofErr w:type="spellEnd"/>
      <w:r w:rsidR="00C759A0" w:rsidRPr="00C759A0">
        <w:rPr>
          <w:rFonts w:ascii="Times New Roman" w:hAnsi="Times New Roman" w:cs="Times New Roman"/>
        </w:rPr>
        <w:t>)</w:t>
      </w:r>
      <w:r w:rsidR="00E75877" w:rsidRPr="0002650F">
        <w:rPr>
          <w:rFonts w:ascii="Times New Roman" w:hAnsi="Times New Roman" w:cs="Times New Roman"/>
        </w:rPr>
        <w:t xml:space="preserve"> </w:t>
      </w:r>
      <w:r w:rsidRPr="0002650F">
        <w:rPr>
          <w:rFonts w:ascii="Times New Roman" w:hAnsi="Times New Roman" w:cs="Times New Roman"/>
        </w:rPr>
        <w:t>………………………………………………</w:t>
      </w:r>
      <w:r w:rsidR="001F0AE2" w:rsidRPr="0002650F">
        <w:rPr>
          <w:rFonts w:ascii="Times New Roman" w:hAnsi="Times New Roman" w:cs="Times New Roman"/>
        </w:rPr>
        <w:t>(</w:t>
      </w:r>
      <w:r w:rsidRPr="0002650F">
        <w:rPr>
          <w:rFonts w:ascii="Times New Roman" w:hAnsi="Times New Roman" w:cs="Times New Roman"/>
        </w:rPr>
        <w:t>1</w:t>
      </w:r>
      <w:r w:rsidR="001F0AE2" w:rsidRPr="0002650F">
        <w:rPr>
          <w:rFonts w:ascii="Times New Roman" w:hAnsi="Times New Roman" w:cs="Times New Roman"/>
        </w:rPr>
        <w:t>)</w:t>
      </w:r>
    </w:p>
    <w:p w14:paraId="6B0E61F6" w14:textId="4D11A128" w:rsidR="00A30834" w:rsidRPr="00C759A0" w:rsidRDefault="00A30834" w:rsidP="00A30834">
      <w:pPr>
        <w:spacing w:line="276" w:lineRule="auto"/>
        <w:jc w:val="both"/>
        <w:rPr>
          <w:rFonts w:ascii="Times New Roman" w:hAnsi="Times New Roman" w:cs="Times New Roman"/>
        </w:rPr>
      </w:pPr>
      <w:r w:rsidRPr="00C759A0">
        <w:rPr>
          <w:rFonts w:ascii="Times New Roman" w:hAnsi="Times New Roman" w:cs="Times New Roman"/>
        </w:rPr>
        <w:t xml:space="preserve">The estimable </w:t>
      </w:r>
      <w:r w:rsidRPr="00C759A0">
        <w:rPr>
          <w:rFonts w:ascii="Times New Roman" w:hAnsi="Times New Roman" w:cs="Times New Roman"/>
          <w:b/>
          <w:bCs/>
        </w:rPr>
        <w:t>function is derived</w:t>
      </w:r>
      <w:r w:rsidRPr="00C759A0">
        <w:rPr>
          <w:rFonts w:ascii="Times New Roman" w:hAnsi="Times New Roman" w:cs="Times New Roman"/>
        </w:rPr>
        <w:t xml:space="preserve"> from equation (</w:t>
      </w:r>
      <w:r w:rsidRPr="0002650F">
        <w:rPr>
          <w:rFonts w:ascii="Times New Roman" w:hAnsi="Times New Roman" w:cs="Times New Roman"/>
        </w:rPr>
        <w:t>1</w:t>
      </w:r>
      <w:r w:rsidRPr="00C759A0">
        <w:rPr>
          <w:rFonts w:ascii="Times New Roman" w:hAnsi="Times New Roman" w:cs="Times New Roman"/>
        </w:rPr>
        <w:t>) and expressed as:</w:t>
      </w:r>
    </w:p>
    <w:p w14:paraId="0CB7E4A7" w14:textId="76050C01" w:rsidR="00A30834" w:rsidRPr="0002650F" w:rsidRDefault="00746124" w:rsidP="00A30834">
      <w:pPr>
        <w:spacing w:line="276" w:lineRule="auto"/>
        <w:jc w:val="both"/>
        <w:rPr>
          <w:rFonts w:ascii="Times New Roman" w:hAnsi="Times New Roman" w:cs="Times New Roman"/>
        </w:rPr>
      </w:pPr>
      <m:oMath>
        <m:r>
          <w:rPr>
            <w:rFonts w:ascii="Cambria Math" w:hAnsi="Cambria Math" w:cs="Times New Roman"/>
          </w:rPr>
          <m:t>loghcpi=</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logetran</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r>
          <w:rPr>
            <w:rFonts w:ascii="Cambria Math" w:hAnsi="Cambria Math" w:cs="Times New Roman"/>
          </w:rPr>
          <m:t>logrgd</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3</m:t>
            </m:r>
          </m:sub>
        </m:sSub>
        <m:r>
          <w:rPr>
            <w:rFonts w:ascii="Cambria Math" w:hAnsi="Cambria Math" w:cs="Times New Roman"/>
          </w:rPr>
          <m:t>logm</m:t>
        </m:r>
        <m:sSub>
          <m:sSubPr>
            <m:ctrlPr>
              <w:rPr>
                <w:rFonts w:ascii="Cambria Math" w:hAnsi="Cambria Math" w:cs="Times New Roman"/>
                <w:i/>
              </w:rPr>
            </m:ctrlPr>
          </m:sSubPr>
          <m:e>
            <m:r>
              <w:rPr>
                <w:rFonts w:ascii="Cambria Math" w:hAnsi="Cambria Math" w:cs="Times New Roman"/>
              </w:rPr>
              <m:t>3</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4</m:t>
            </m:r>
          </m:sub>
        </m:sSub>
        <m:r>
          <w:rPr>
            <w:rFonts w:ascii="Cambria Math" w:hAnsi="Cambria Math" w:cs="Times New Roman"/>
          </w:rPr>
          <m:t>mp</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 xml:space="preserve"> </m:t>
        </m:r>
      </m:oMath>
      <w:r w:rsidR="00E75877" w:rsidRPr="0002650F">
        <w:rPr>
          <w:rFonts w:ascii="Times New Roman" w:eastAsiaTheme="minorEastAsia" w:hAnsi="Times New Roman" w:cs="Times New Roman"/>
        </w:rPr>
        <w:t>……………</w:t>
      </w:r>
      <w:proofErr w:type="gramStart"/>
      <w:r w:rsidR="00E75877" w:rsidRPr="0002650F">
        <w:rPr>
          <w:rFonts w:ascii="Times New Roman" w:eastAsiaTheme="minorEastAsia" w:hAnsi="Times New Roman" w:cs="Times New Roman"/>
        </w:rPr>
        <w:t>…(</w:t>
      </w:r>
      <w:proofErr w:type="gramEnd"/>
      <w:r w:rsidR="00E75877" w:rsidRPr="0002650F">
        <w:rPr>
          <w:rFonts w:ascii="Times New Roman" w:eastAsiaTheme="minorEastAsia" w:hAnsi="Times New Roman" w:cs="Times New Roman"/>
        </w:rPr>
        <w:t>2)</w:t>
      </w:r>
    </w:p>
    <w:p w14:paraId="5FE06ED9" w14:textId="5FD59993" w:rsidR="00C759A0" w:rsidRPr="0002650F" w:rsidRDefault="00C759A0" w:rsidP="00E75877">
      <w:pPr>
        <w:spacing w:line="276" w:lineRule="auto"/>
        <w:jc w:val="both"/>
        <w:rPr>
          <w:rFonts w:ascii="Times New Roman" w:hAnsi="Times New Roman" w:cs="Times New Roman"/>
        </w:rPr>
      </w:pPr>
      <w:r w:rsidRPr="00C759A0">
        <w:rPr>
          <w:rFonts w:ascii="Times New Roman" w:hAnsi="Times New Roman" w:cs="Times New Roman"/>
        </w:rPr>
        <w:t>Which is the long-run equilibrium relationship amongst the variables, while the coefficients</w:t>
      </w:r>
      <w:r w:rsidR="00E75877" w:rsidRPr="0002650F">
        <w:rPr>
          <w:rFonts w:ascii="Times New Roman" w:hAnsi="Times New Roman" w:cs="Times New Roman"/>
        </w:rPr>
        <w:t xml:space="preserve"> represent the </w:t>
      </w:r>
      <w:r w:rsidR="00E75877" w:rsidRPr="00C759A0">
        <w:rPr>
          <w:rFonts w:ascii="Times New Roman" w:hAnsi="Times New Roman" w:cs="Times New Roman"/>
        </w:rPr>
        <w:t>elasticity of the variables with respect to the dependent variable</w:t>
      </w:r>
      <w:r w:rsidR="00E75877" w:rsidRPr="0002650F">
        <w:rPr>
          <w:rFonts w:ascii="Times New Roman" w:hAnsi="Times New Roman" w:cs="Times New Roman"/>
        </w:rPr>
        <w:t>.</w:t>
      </w:r>
      <w:r w:rsidR="00E75877" w:rsidRPr="00C759A0">
        <w:rPr>
          <w:rFonts w:ascii="Times New Roman" w:hAnsi="Times New Roman" w:cs="Times New Roman"/>
        </w:rPr>
        <w:t xml:space="preserve"> </w:t>
      </w:r>
    </w:p>
    <w:p w14:paraId="6B699FF8" w14:textId="768EC8DE" w:rsidR="00E75877" w:rsidRPr="00E75877" w:rsidRDefault="00E75877" w:rsidP="009F5912">
      <w:pPr>
        <w:spacing w:line="276" w:lineRule="auto"/>
        <w:rPr>
          <w:rFonts w:ascii="Times New Roman" w:hAnsi="Times New Roman" w:cs="Times New Roman"/>
          <w:b/>
          <w:bCs/>
        </w:rPr>
      </w:pPr>
      <w:r w:rsidRPr="00E75877">
        <w:rPr>
          <w:rFonts w:ascii="Times New Roman" w:hAnsi="Times New Roman" w:cs="Times New Roman"/>
          <w:b/>
          <w:bCs/>
        </w:rPr>
        <w:t>Autoregressive Distributed Lag (ARDL) Methodology</w:t>
      </w:r>
    </w:p>
    <w:p w14:paraId="48C1DD7E" w14:textId="1284115E" w:rsidR="009F5912" w:rsidRPr="0002650F" w:rsidRDefault="00E75877" w:rsidP="009F5912">
      <w:pPr>
        <w:spacing w:line="276" w:lineRule="auto"/>
        <w:jc w:val="both"/>
        <w:rPr>
          <w:rFonts w:ascii="Times New Roman" w:hAnsi="Times New Roman" w:cs="Times New Roman"/>
        </w:rPr>
      </w:pPr>
      <w:r w:rsidRPr="00E75877">
        <w:rPr>
          <w:rFonts w:ascii="Times New Roman" w:hAnsi="Times New Roman" w:cs="Times New Roman"/>
        </w:rPr>
        <w:t xml:space="preserve">This paper employed the Autoregressive </w:t>
      </w:r>
      <w:r w:rsidR="008D5915" w:rsidRPr="0002650F">
        <w:rPr>
          <w:rFonts w:ascii="Times New Roman" w:hAnsi="Times New Roman" w:cs="Times New Roman"/>
        </w:rPr>
        <w:t>Distributed</w:t>
      </w:r>
      <w:r w:rsidRPr="00E75877">
        <w:rPr>
          <w:rFonts w:ascii="Times New Roman" w:hAnsi="Times New Roman" w:cs="Times New Roman"/>
        </w:rPr>
        <w:t xml:space="preserve"> Lag (ARDL) bounds test approach</w:t>
      </w:r>
      <w:r w:rsidR="009F5912" w:rsidRPr="0002650F">
        <w:rPr>
          <w:rFonts w:ascii="Times New Roman" w:hAnsi="Times New Roman" w:cs="Times New Roman"/>
        </w:rPr>
        <w:t xml:space="preserve"> </w:t>
      </w:r>
      <w:r w:rsidRPr="00E75877">
        <w:rPr>
          <w:rFonts w:ascii="Times New Roman" w:hAnsi="Times New Roman" w:cs="Times New Roman"/>
        </w:rPr>
        <w:t xml:space="preserve">developed by </w:t>
      </w:r>
      <w:proofErr w:type="spellStart"/>
      <w:r w:rsidRPr="00E75877">
        <w:rPr>
          <w:rFonts w:ascii="Times New Roman" w:hAnsi="Times New Roman" w:cs="Times New Roman"/>
        </w:rPr>
        <w:t>Pesaran</w:t>
      </w:r>
      <w:proofErr w:type="spellEnd"/>
      <w:r w:rsidRPr="00E75877">
        <w:rPr>
          <w:rFonts w:ascii="Times New Roman" w:hAnsi="Times New Roman" w:cs="Times New Roman"/>
        </w:rPr>
        <w:t>, Shin</w:t>
      </w:r>
      <w:r w:rsidR="005E2D61" w:rsidRPr="0002650F">
        <w:rPr>
          <w:rFonts w:ascii="Times New Roman" w:hAnsi="Times New Roman" w:cs="Times New Roman"/>
        </w:rPr>
        <w:t>,</w:t>
      </w:r>
      <w:r w:rsidRPr="00E75877">
        <w:rPr>
          <w:rFonts w:ascii="Times New Roman" w:hAnsi="Times New Roman" w:cs="Times New Roman"/>
        </w:rPr>
        <w:t xml:space="preserve"> and Smith</w:t>
      </w:r>
      <w:r w:rsidR="005E2D61" w:rsidRPr="0002650F">
        <w:rPr>
          <w:rFonts w:ascii="Times New Roman" w:hAnsi="Times New Roman" w:cs="Times New Roman"/>
        </w:rPr>
        <w:t xml:space="preserve"> (</w:t>
      </w:r>
      <w:r w:rsidRPr="00E75877">
        <w:rPr>
          <w:rFonts w:ascii="Times New Roman" w:hAnsi="Times New Roman" w:cs="Times New Roman"/>
        </w:rPr>
        <w:t>2001) on equation (</w:t>
      </w:r>
      <w:r w:rsidR="009F5912" w:rsidRPr="0002650F">
        <w:rPr>
          <w:rFonts w:ascii="Times New Roman" w:hAnsi="Times New Roman" w:cs="Times New Roman"/>
        </w:rPr>
        <w:t>2</w:t>
      </w:r>
      <w:r w:rsidRPr="00E75877">
        <w:rPr>
          <w:rFonts w:ascii="Times New Roman" w:hAnsi="Times New Roman" w:cs="Times New Roman"/>
        </w:rPr>
        <w:t>) to test the existence of</w:t>
      </w:r>
      <w:r w:rsidR="009F5912" w:rsidRPr="0002650F">
        <w:rPr>
          <w:rFonts w:ascii="Times New Roman" w:hAnsi="Times New Roman" w:cs="Times New Roman"/>
        </w:rPr>
        <w:t xml:space="preserve"> </w:t>
      </w:r>
      <w:r w:rsidRPr="0002650F">
        <w:rPr>
          <w:rFonts w:ascii="Times New Roman" w:hAnsi="Times New Roman" w:cs="Times New Roman"/>
        </w:rPr>
        <w:t>cointegration of the variables.</w:t>
      </w:r>
    </w:p>
    <w:p w14:paraId="21DD4C1C" w14:textId="505B08BC" w:rsidR="00E75877" w:rsidRPr="00C759A0" w:rsidRDefault="00E75877" w:rsidP="009F5912">
      <w:pPr>
        <w:spacing w:line="276" w:lineRule="auto"/>
        <w:jc w:val="both"/>
        <w:rPr>
          <w:rFonts w:ascii="Times New Roman" w:hAnsi="Times New Roman" w:cs="Times New Roman"/>
        </w:rPr>
      </w:pPr>
      <w:r w:rsidRPr="0002650F">
        <w:rPr>
          <w:rFonts w:ascii="Times New Roman" w:hAnsi="Times New Roman" w:cs="Times New Roman"/>
        </w:rPr>
        <w:t>The ARDL specification is expressed below:</w:t>
      </w:r>
    </w:p>
    <w:p w14:paraId="1009B0E2" w14:textId="6F3EFC97" w:rsidR="000E2C15" w:rsidRPr="0002650F" w:rsidRDefault="00A2050F" w:rsidP="000E2C15">
      <w:pPr>
        <w:spacing w:line="276" w:lineRule="auto"/>
        <w:jc w:val="both"/>
        <w:rPr>
          <w:rFonts w:ascii="Times New Roman" w:eastAsiaTheme="minorEastAsia" w:hAnsi="Times New Roman" w:cs="Times New Roman"/>
        </w:rPr>
      </w:pPr>
      <m:oMath>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hcpi</m:t>
            </m:r>
          </m:e>
          <m:sub>
            <m:r>
              <w:rPr>
                <w:rFonts w:ascii="Cambria Math" w:hAnsi="Cambria Math" w:cs="Times New Roman"/>
              </w:rPr>
              <m:t xml:space="preserve"> t  </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1i</m:t>
                    </m:r>
                  </m:sub>
                </m:sSub>
                <m:r>
                  <w:rPr>
                    <w:rFonts w:ascii="Cambria Math" w:hAnsi="Cambria Math" w:cs="Times New Roman"/>
                  </w:rPr>
                  <m:t>∆loghcpi</m:t>
                </m:r>
              </m:e>
              <m:sub>
                <m:r>
                  <w:rPr>
                    <w:rFonts w:ascii="Cambria Math" w:hAnsi="Cambria Math" w:cs="Times New Roman"/>
                  </w:rPr>
                  <m:t>t-0</m:t>
                </m:r>
              </m:sub>
            </m:sSub>
          </m:e>
        </m:nary>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i=0</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e>
                  <m:sub>
                    <m:r>
                      <w:rPr>
                        <w:rFonts w:ascii="Cambria Math" w:hAnsi="Cambria Math" w:cs="Times New Roman"/>
                      </w:rPr>
                      <m:t>i</m:t>
                    </m:r>
                  </m:sub>
                </m:sSub>
                <m:r>
                  <w:rPr>
                    <w:rFonts w:ascii="Cambria Math" w:hAnsi="Cambria Math" w:cs="Times New Roman"/>
                  </w:rPr>
                  <m:t>∆logetranz</m:t>
                </m:r>
              </m:e>
              <m:sub>
                <m:r>
                  <w:rPr>
                    <w:rFonts w:ascii="Cambria Math" w:hAnsi="Cambria Math" w:cs="Times New Roman"/>
                  </w:rPr>
                  <m:t>t-0</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3i</m:t>
                        </m:r>
                      </m:sub>
                    </m:sSub>
                    <m:r>
                      <w:rPr>
                        <w:rFonts w:ascii="Cambria Math" w:hAnsi="Cambria Math" w:cs="Times New Roman"/>
                      </w:rPr>
                      <m:t>∆logrgdp</m:t>
                    </m:r>
                  </m:e>
                  <m:sub>
                    <m:r>
                      <w:rPr>
                        <w:rFonts w:ascii="Cambria Math" w:hAnsi="Cambria Math" w:cs="Times New Roman"/>
                      </w:rPr>
                      <m:t>t-0</m:t>
                    </m:r>
                  </m:sub>
                </m:sSub>
              </m:e>
            </m:nary>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4i</m:t>
                        </m:r>
                      </m:sub>
                    </m:sSub>
                    <m:r>
                      <w:rPr>
                        <w:rFonts w:ascii="Cambria Math" w:hAnsi="Cambria Math" w:cs="Times New Roman"/>
                      </w:rPr>
                      <m:t>∆logm3</m:t>
                    </m:r>
                  </m:e>
                  <m:sub>
                    <m:r>
                      <w:rPr>
                        <w:rFonts w:ascii="Cambria Math" w:hAnsi="Cambria Math" w:cs="Times New Roman"/>
                      </w:rPr>
                      <m:t>t-0</m:t>
                    </m:r>
                  </m:sub>
                </m:sSub>
              </m:e>
            </m:nary>
          </m:e>
        </m:nary>
      </m:oMath>
      <w:r w:rsidR="00FA7D85" w:rsidRPr="0002650F">
        <w:rPr>
          <w:rFonts w:ascii="Times New Roman" w:eastAsiaTheme="minorEastAsia" w:hAnsi="Times New Roman" w:cs="Times New Roman"/>
        </w:rPr>
        <w:t xml:space="preserve"> + </w:t>
      </w:r>
      <m:oMath>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5i</m:t>
                    </m:r>
                  </m:sub>
                </m:sSub>
                <m:r>
                  <w:rPr>
                    <w:rFonts w:ascii="Cambria Math" w:hAnsi="Cambria Math" w:cs="Times New Roman"/>
                  </w:rPr>
                  <m:t>∆mpr</m:t>
                </m:r>
              </m:e>
              <m:sub>
                <m:r>
                  <w:rPr>
                    <w:rFonts w:ascii="Cambria Math" w:hAnsi="Cambria Math" w:cs="Times New Roman"/>
                  </w:rPr>
                  <m:t>t-0</m:t>
                </m:r>
              </m:sub>
            </m:sSub>
          </m:e>
        </m:nary>
      </m:oMath>
      <w:r w:rsidR="00FA7D85" w:rsidRPr="0002650F">
        <w:rPr>
          <w:rFonts w:ascii="Times New Roman" w:eastAsiaTheme="minorEastAsia" w:hAnsi="Times New Roman" w:cs="Times New Roman"/>
        </w:rPr>
        <w:t xml:space="preserve"> </w:t>
      </w:r>
      <w:r w:rsidR="000E2C15" w:rsidRPr="00A30834">
        <w:rPr>
          <w:rFonts w:ascii="Times New Roman" w:hAnsi="Times New Roman" w:cs="Times New Roman"/>
        </w:rPr>
        <w:t>+</w:t>
      </w:r>
      <w:r w:rsidR="00B1418E" w:rsidRPr="0002650F">
        <w:rPr>
          <w:rFonts w:ascii="Times New Roman" w:hAnsi="Times New Roman" w:cs="Times New Roman"/>
        </w:rPr>
        <w:t xml:space="preserve"> </w:t>
      </w:r>
      <m:oMath>
        <m:sSub>
          <m:sSubPr>
            <m:ctrlPr>
              <w:rPr>
                <w:rFonts w:ascii="Cambria Math" w:hAnsi="Cambria Math" w:cs="Times New Roman"/>
                <w:i/>
              </w:rPr>
            </m:ctrlPr>
          </m:sSubPr>
          <m:e>
            <m:sSub>
              <m:sSubPr>
                <m:ctrlPr>
                  <w:rPr>
                    <w:rFonts w:ascii="Cambria Math" w:hAnsi="Cambria Math" w:cs="Times New Roman"/>
                    <w:i/>
                  </w:rPr>
                </m:ctrlPr>
              </m:sSubPr>
              <m:e>
                <m:r>
                  <m:rPr>
                    <m:sty m:val="p"/>
                  </m:rPr>
                  <w:rPr>
                    <w:rFonts w:ascii="Cambria Math" w:eastAsiaTheme="minorEastAsia" w:hAnsi="Cambria Math" w:cs="Times New Roman"/>
                  </w:rPr>
                  <m:t xml:space="preserve"> </m:t>
                </m:r>
                <m:r>
                  <m:rPr>
                    <m:sty m:val="p"/>
                  </m:rPr>
                  <w:rPr>
                    <w:rFonts w:ascii="Cambria Math" w:hAnsi="Cambria Math" w:cs="Times New Roman"/>
                  </w:rPr>
                  <m:t>β</m:t>
                </m:r>
              </m:e>
              <m:sub>
                <m:r>
                  <w:rPr>
                    <w:rFonts w:ascii="Cambria Math" w:hAnsi="Cambria Math" w:cs="Times New Roman"/>
                  </w:rPr>
                  <m:t>1</m:t>
                </m:r>
              </m:sub>
            </m:sSub>
            <m:r>
              <w:rPr>
                <w:rFonts w:ascii="Cambria Math" w:hAnsi="Cambria Math" w:cs="Times New Roman"/>
              </w:rPr>
              <m:t>loghcpi</m:t>
            </m:r>
          </m:e>
          <m:sub>
            <m:r>
              <w:rPr>
                <w:rFonts w:ascii="Cambria Math" w:hAnsi="Cambria Math" w:cs="Times New Roman"/>
              </w:rPr>
              <m:t>t-1</m:t>
            </m:r>
          </m:sub>
        </m:sSub>
      </m:oMath>
      <w:r w:rsidR="000E2C15" w:rsidRPr="00A30834">
        <w:rPr>
          <w:rFonts w:ascii="Times New Roman" w:hAnsi="Times New Roman" w:cs="Times New Roman"/>
        </w:rPr>
        <w:t>+</w:t>
      </w:r>
      <m:oMath>
        <m:sSub>
          <m:sSubPr>
            <m:ctrlPr>
              <w:rPr>
                <w:rFonts w:ascii="Cambria Math" w:hAnsi="Cambria Math" w:cs="Times New Roman"/>
                <w:i/>
              </w:rPr>
            </m:ctrlPr>
          </m:sSubPr>
          <m:e>
            <m:sSub>
              <m:sSubPr>
                <m:ctrlPr>
                  <w:rPr>
                    <w:rFonts w:ascii="Cambria Math" w:hAnsi="Cambria Math" w:cs="Times New Roman"/>
                    <w:i/>
                  </w:rPr>
                </m:ctrlPr>
              </m:sSubPr>
              <m:e>
                <m:r>
                  <m:rPr>
                    <m:sty m:val="p"/>
                  </m:rPr>
                  <w:rPr>
                    <w:rFonts w:ascii="Cambria Math" w:eastAsiaTheme="minorEastAsia" w:hAnsi="Cambria Math" w:cs="Times New Roman"/>
                  </w:rPr>
                  <m:t xml:space="preserve"> </m:t>
                </m:r>
                <m:r>
                  <m:rPr>
                    <m:sty m:val="p"/>
                  </m:rPr>
                  <w:rPr>
                    <w:rFonts w:ascii="Cambria Math" w:hAnsi="Cambria Math" w:cs="Times New Roman"/>
                  </w:rPr>
                  <m:t>β</m:t>
                </m:r>
              </m:e>
              <m:sub>
                <m:r>
                  <w:rPr>
                    <w:rFonts w:ascii="Cambria Math" w:hAnsi="Cambria Math" w:cs="Times New Roman"/>
                  </w:rPr>
                  <m:t>2</m:t>
                </m:r>
              </m:sub>
            </m:sSub>
            <m:r>
              <w:rPr>
                <w:rFonts w:ascii="Cambria Math" w:hAnsi="Cambria Math" w:cs="Times New Roman"/>
              </w:rPr>
              <m:t>logetranz</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m:rPr>
                    <m:sty m:val="p"/>
                  </m:rPr>
                  <w:rPr>
                    <w:rFonts w:ascii="Cambria Math" w:eastAsiaTheme="minorEastAsia" w:hAnsi="Cambria Math" w:cs="Times New Roman"/>
                  </w:rPr>
                  <m:t xml:space="preserve"> </m:t>
                </m:r>
                <m:r>
                  <m:rPr>
                    <m:sty m:val="p"/>
                  </m:rPr>
                  <w:rPr>
                    <w:rFonts w:ascii="Cambria Math" w:hAnsi="Cambria Math" w:cs="Times New Roman"/>
                  </w:rPr>
                  <m:t>β</m:t>
                </m:r>
              </m:e>
              <m:sub>
                <m:r>
                  <w:rPr>
                    <w:rFonts w:ascii="Cambria Math" w:hAnsi="Cambria Math" w:cs="Times New Roman"/>
                  </w:rPr>
                  <m:t>3</m:t>
                </m:r>
              </m:sub>
            </m:sSub>
            <m:r>
              <w:rPr>
                <w:rFonts w:ascii="Cambria Math" w:hAnsi="Cambria Math" w:cs="Times New Roman"/>
              </w:rPr>
              <m:t>logrgdp</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m:rPr>
                    <m:sty m:val="p"/>
                  </m:rPr>
                  <w:rPr>
                    <w:rFonts w:ascii="Cambria Math" w:eastAsiaTheme="minorEastAsia" w:hAnsi="Cambria Math" w:cs="Times New Roman"/>
                  </w:rPr>
                  <m:t xml:space="preserve"> </m:t>
                </m:r>
                <m:r>
                  <m:rPr>
                    <m:sty m:val="p"/>
                  </m:rPr>
                  <w:rPr>
                    <w:rFonts w:ascii="Cambria Math" w:hAnsi="Cambria Math" w:cs="Times New Roman"/>
                  </w:rPr>
                  <m:t>β</m:t>
                </m:r>
              </m:e>
              <m:sub>
                <m:r>
                  <w:rPr>
                    <w:rFonts w:ascii="Cambria Math" w:hAnsi="Cambria Math" w:cs="Times New Roman"/>
                  </w:rPr>
                  <m:t>4</m:t>
                </m:r>
              </m:sub>
            </m:sSub>
            <m:r>
              <w:rPr>
                <w:rFonts w:ascii="Cambria Math" w:hAnsi="Cambria Math" w:cs="Times New Roman"/>
              </w:rPr>
              <m:t>logm3</m:t>
            </m:r>
          </m:e>
          <m:sub>
            <m:r>
              <w:rPr>
                <w:rFonts w:ascii="Cambria Math" w:hAnsi="Cambria Math" w:cs="Times New Roman"/>
              </w:rPr>
              <m:t>t-1</m:t>
            </m:r>
          </m:sub>
        </m:sSub>
        <m:r>
          <w:rPr>
            <w:rFonts w:ascii="Cambria Math" w:hAnsi="Cambria Math" w:cs="Times New Roman"/>
          </w:rPr>
          <m:t xml:space="preserve">+ </m:t>
        </m:r>
        <m:sSub>
          <m:sSubPr>
            <m:ctrlPr>
              <w:rPr>
                <w:rFonts w:ascii="Cambria Math" w:hAnsi="Cambria Math" w:cs="Times New Roman"/>
                <w:i/>
              </w:rPr>
            </m:ctrlPr>
          </m:sSubPr>
          <m:e>
            <m:sSub>
              <m:sSubPr>
                <m:ctrlPr>
                  <w:rPr>
                    <w:rFonts w:ascii="Cambria Math" w:hAnsi="Cambria Math" w:cs="Times New Roman"/>
                    <w:i/>
                  </w:rPr>
                </m:ctrlPr>
              </m:sSubPr>
              <m:e>
                <m:r>
                  <m:rPr>
                    <m:sty m:val="p"/>
                  </m:rPr>
                  <w:rPr>
                    <w:rFonts w:ascii="Cambria Math" w:eastAsiaTheme="minorEastAsia" w:hAnsi="Cambria Math" w:cs="Times New Roman"/>
                  </w:rPr>
                  <m:t xml:space="preserve"> </m:t>
                </m:r>
                <m:r>
                  <m:rPr>
                    <m:sty m:val="p"/>
                  </m:rPr>
                  <w:rPr>
                    <w:rFonts w:ascii="Cambria Math" w:hAnsi="Cambria Math" w:cs="Times New Roman"/>
                  </w:rPr>
                  <m:t>β</m:t>
                </m:r>
              </m:e>
              <m:sub>
                <m:r>
                  <w:rPr>
                    <w:rFonts w:ascii="Cambria Math" w:hAnsi="Cambria Math" w:cs="Times New Roman"/>
                  </w:rPr>
                  <m:t>5</m:t>
                </m:r>
              </m:sub>
            </m:sSub>
            <m:r>
              <w:rPr>
                <w:rFonts w:ascii="Cambria Math" w:hAnsi="Cambria Math" w:cs="Times New Roman"/>
              </w:rPr>
              <m:t>mpr</m:t>
            </m:r>
          </m:e>
          <m:sub>
            <m:r>
              <w:rPr>
                <w:rFonts w:ascii="Cambria Math" w:hAnsi="Cambria Math" w:cs="Times New Roman"/>
              </w:rPr>
              <m:t>t-1</m:t>
            </m:r>
          </m:sub>
        </m:sSub>
        <m:r>
          <w:rPr>
            <w:rFonts w:ascii="Cambria Math" w:hAnsi="Cambria Math" w:cs="Times New Roman"/>
          </w:rPr>
          <m:t xml:space="preserve"> + </m:t>
        </m:r>
        <m:sSub>
          <m:sSubPr>
            <m:ctrlPr>
              <w:rPr>
                <w:rFonts w:ascii="Cambria Math" w:hAnsi="Cambria Math" w:cs="Times New Roman"/>
                <w:i/>
              </w:rPr>
            </m:ctrlPr>
          </m:sSubPr>
          <m:e>
            <m:r>
              <m:rPr>
                <m:sty m:val="p"/>
              </m:rPr>
              <w:rPr>
                <w:rFonts w:ascii="Cambria Math" w:eastAsiaTheme="minorEastAsia" w:hAnsi="Cambria Math" w:cs="Times New Roman"/>
              </w:rPr>
              <m:t xml:space="preserve"> ε</m:t>
            </m:r>
          </m:e>
          <m:sub>
            <m:r>
              <w:rPr>
                <w:rFonts w:ascii="Cambria Math" w:hAnsi="Cambria Math" w:cs="Times New Roman"/>
              </w:rPr>
              <m:t>t</m:t>
            </m:r>
          </m:sub>
        </m:sSub>
        <m:r>
          <w:rPr>
            <w:rFonts w:ascii="Cambria Math" w:hAnsi="Cambria Math" w:cs="Times New Roman"/>
          </w:rPr>
          <m:t xml:space="preserve">    </m:t>
        </m:r>
      </m:oMath>
      <w:r w:rsidR="00CC21B9" w:rsidRPr="0002650F">
        <w:rPr>
          <w:rFonts w:ascii="Times New Roman" w:eastAsiaTheme="minorEastAsia" w:hAnsi="Times New Roman" w:cs="Times New Roman"/>
        </w:rPr>
        <w:t>………………………………………………………………(3)</w:t>
      </w:r>
    </w:p>
    <w:p w14:paraId="322B2D5E" w14:textId="4A749471" w:rsidR="00A30834" w:rsidRPr="00A30834" w:rsidRDefault="00A30834" w:rsidP="00B71B1C">
      <w:pPr>
        <w:spacing w:after="0" w:line="276" w:lineRule="auto"/>
        <w:jc w:val="both"/>
        <w:rPr>
          <w:rFonts w:ascii="Times New Roman" w:hAnsi="Times New Roman" w:cs="Times New Roman"/>
          <w:color w:val="000000" w:themeColor="text1"/>
        </w:rPr>
      </w:pPr>
      <w:r w:rsidRPr="00A30834">
        <w:rPr>
          <w:rFonts w:ascii="Times New Roman" w:hAnsi="Times New Roman" w:cs="Times New Roman"/>
          <w:color w:val="000000" w:themeColor="text1"/>
        </w:rPr>
        <w:t>Where; α0</w:t>
      </w:r>
      <w:r w:rsidR="00B71B1C" w:rsidRPr="0002650F">
        <w:rPr>
          <w:rFonts w:ascii="Times New Roman" w:hAnsi="Times New Roman" w:cs="Times New Roman"/>
          <w:color w:val="000000" w:themeColor="text1"/>
        </w:rPr>
        <w:t xml:space="preserve"> </w:t>
      </w:r>
      <w:r w:rsidRPr="00A30834">
        <w:rPr>
          <w:rFonts w:ascii="Times New Roman" w:hAnsi="Times New Roman" w:cs="Times New Roman"/>
          <w:color w:val="000000" w:themeColor="text1"/>
        </w:rPr>
        <w:t>…………intercept,</w:t>
      </w:r>
    </w:p>
    <w:p w14:paraId="3D784C5C" w14:textId="525355D9" w:rsidR="00A30834" w:rsidRPr="00A30834" w:rsidRDefault="00A30834" w:rsidP="00B71B1C">
      <w:pPr>
        <w:spacing w:after="0" w:line="276" w:lineRule="auto"/>
        <w:jc w:val="both"/>
        <w:rPr>
          <w:rFonts w:ascii="Times New Roman" w:hAnsi="Times New Roman" w:cs="Times New Roman"/>
          <w:color w:val="000000" w:themeColor="text1"/>
        </w:rPr>
      </w:pPr>
      <w:r w:rsidRPr="00A30834">
        <w:rPr>
          <w:rFonts w:ascii="Times New Roman" w:hAnsi="Times New Roman" w:cs="Times New Roman"/>
          <w:color w:val="000000" w:themeColor="text1"/>
        </w:rPr>
        <w:t>β1-β</w:t>
      </w:r>
      <w:proofErr w:type="gramStart"/>
      <w:r w:rsidR="00B71B1C" w:rsidRPr="0002650F">
        <w:rPr>
          <w:rFonts w:ascii="Times New Roman" w:hAnsi="Times New Roman" w:cs="Times New Roman"/>
          <w:color w:val="000000" w:themeColor="text1"/>
        </w:rPr>
        <w:t>5</w:t>
      </w:r>
      <w:r w:rsidRPr="00A30834">
        <w:rPr>
          <w:rFonts w:ascii="Times New Roman" w:hAnsi="Times New Roman" w:cs="Times New Roman"/>
          <w:color w:val="000000" w:themeColor="text1"/>
        </w:rPr>
        <w:t>,…</w:t>
      </w:r>
      <w:proofErr w:type="gramEnd"/>
      <w:r w:rsidRPr="00A30834">
        <w:rPr>
          <w:rFonts w:ascii="Times New Roman" w:hAnsi="Times New Roman" w:cs="Times New Roman"/>
          <w:color w:val="000000" w:themeColor="text1"/>
        </w:rPr>
        <w:t>……………long run multipliers;</w:t>
      </w:r>
    </w:p>
    <w:p w14:paraId="04516528" w14:textId="5DE62497" w:rsidR="00A30834" w:rsidRPr="0002650F" w:rsidRDefault="00A30834" w:rsidP="00B71B1C">
      <w:pPr>
        <w:spacing w:after="0"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 xml:space="preserve">and;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 xml:space="preserve"> ε</m:t>
            </m:r>
          </m:e>
          <m:sub>
            <m:r>
              <w:rPr>
                <w:rFonts w:ascii="Cambria Math" w:hAnsi="Cambria Math" w:cs="Times New Roman"/>
                <w:color w:val="000000" w:themeColor="text1"/>
              </w:rPr>
              <m:t>t</m:t>
            </m:r>
          </m:sub>
        </m:sSub>
      </m:oMath>
      <w:r w:rsidRPr="0002650F">
        <w:rPr>
          <w:rFonts w:ascii="Times New Roman" w:hAnsi="Times New Roman" w:cs="Times New Roman"/>
          <w:color w:val="000000" w:themeColor="text1"/>
        </w:rPr>
        <w:t>…………</w:t>
      </w:r>
      <w:proofErr w:type="gramStart"/>
      <w:r w:rsidRPr="0002650F">
        <w:rPr>
          <w:rFonts w:ascii="Times New Roman" w:hAnsi="Times New Roman" w:cs="Times New Roman"/>
          <w:color w:val="000000" w:themeColor="text1"/>
        </w:rPr>
        <w:t>…..</w:t>
      </w:r>
      <w:proofErr w:type="gramEnd"/>
      <w:r w:rsidRPr="0002650F">
        <w:rPr>
          <w:rFonts w:ascii="Times New Roman" w:hAnsi="Times New Roman" w:cs="Times New Roman"/>
          <w:color w:val="000000" w:themeColor="text1"/>
        </w:rPr>
        <w:t>disturbance term.</w:t>
      </w:r>
    </w:p>
    <w:p w14:paraId="5C8ACC68" w14:textId="77777777" w:rsidR="003D27E1" w:rsidRPr="0002650F" w:rsidRDefault="003D27E1" w:rsidP="00A65FDA">
      <w:pPr>
        <w:spacing w:line="276" w:lineRule="auto"/>
        <w:jc w:val="both"/>
        <w:rPr>
          <w:rFonts w:ascii="Times New Roman" w:hAnsi="Times New Roman" w:cs="Times New Roman"/>
          <w:color w:val="000000" w:themeColor="text1"/>
        </w:rPr>
      </w:pPr>
    </w:p>
    <w:p w14:paraId="3EC2EE12" w14:textId="4577DFE2" w:rsidR="003D27E1" w:rsidRPr="003D27E1" w:rsidRDefault="003D27E1" w:rsidP="003D27E1">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 xml:space="preserve">To </w:t>
      </w:r>
      <w:r w:rsidRPr="003D27E1">
        <w:rPr>
          <w:rFonts w:ascii="Times New Roman" w:hAnsi="Times New Roman" w:cs="Times New Roman"/>
          <w:color w:val="000000" w:themeColor="text1"/>
        </w:rPr>
        <w:t>determine whether there is a long-term</w:t>
      </w:r>
      <w:r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relationship between the variables</w:t>
      </w:r>
      <w:r w:rsidR="00B71B1C" w:rsidRPr="0002650F">
        <w:rPr>
          <w:rFonts w:ascii="Times New Roman" w:hAnsi="Times New Roman" w:cs="Times New Roman"/>
          <w:color w:val="000000" w:themeColor="text1"/>
        </w:rPr>
        <w:t xml:space="preserve"> following </w:t>
      </w:r>
      <w:proofErr w:type="spellStart"/>
      <w:r w:rsidR="00B71B1C" w:rsidRPr="003D27E1">
        <w:rPr>
          <w:rFonts w:ascii="Times New Roman" w:hAnsi="Times New Roman" w:cs="Times New Roman"/>
          <w:color w:val="000000" w:themeColor="text1"/>
        </w:rPr>
        <w:t>Pesaran</w:t>
      </w:r>
      <w:proofErr w:type="spellEnd"/>
      <w:r w:rsidR="00B71B1C" w:rsidRPr="003D27E1">
        <w:rPr>
          <w:rFonts w:ascii="Times New Roman" w:hAnsi="Times New Roman" w:cs="Times New Roman"/>
          <w:color w:val="000000" w:themeColor="text1"/>
        </w:rPr>
        <w:t xml:space="preserve">, </w:t>
      </w:r>
      <w:r w:rsidR="00B71B1C" w:rsidRPr="0002650F">
        <w:rPr>
          <w:rFonts w:ascii="Times New Roman" w:hAnsi="Times New Roman" w:cs="Times New Roman"/>
          <w:color w:val="000000" w:themeColor="text1"/>
        </w:rPr>
        <w:t>Shin</w:t>
      </w:r>
      <w:r w:rsidR="00B71B1C" w:rsidRPr="003D27E1">
        <w:rPr>
          <w:rFonts w:ascii="Times New Roman" w:hAnsi="Times New Roman" w:cs="Times New Roman"/>
          <w:color w:val="000000" w:themeColor="text1"/>
        </w:rPr>
        <w:t>, and Smith</w:t>
      </w:r>
      <w:r w:rsidR="00657305" w:rsidRPr="0002650F">
        <w:rPr>
          <w:rFonts w:ascii="Times New Roman" w:hAnsi="Times New Roman" w:cs="Times New Roman"/>
          <w:color w:val="000000" w:themeColor="text1"/>
        </w:rPr>
        <w:t xml:space="preserve"> (</w:t>
      </w:r>
      <w:r w:rsidR="00B71B1C" w:rsidRPr="003D27E1">
        <w:rPr>
          <w:rFonts w:ascii="Times New Roman" w:hAnsi="Times New Roman" w:cs="Times New Roman"/>
          <w:color w:val="000000" w:themeColor="text1"/>
        </w:rPr>
        <w:t>2001</w:t>
      </w:r>
      <w:r w:rsidR="00657305" w:rsidRPr="0002650F">
        <w:rPr>
          <w:rFonts w:ascii="Times New Roman" w:hAnsi="Times New Roman" w:cs="Times New Roman"/>
          <w:color w:val="000000" w:themeColor="text1"/>
        </w:rPr>
        <w:t>)</w:t>
      </w:r>
      <w:r w:rsidRPr="0002650F">
        <w:rPr>
          <w:rFonts w:ascii="Times New Roman" w:hAnsi="Times New Roman" w:cs="Times New Roman"/>
          <w:color w:val="000000" w:themeColor="text1"/>
        </w:rPr>
        <w:t xml:space="preserve">, we consider the </w:t>
      </w:r>
      <w:r w:rsidRPr="003D27E1">
        <w:rPr>
          <w:rFonts w:ascii="Times New Roman" w:hAnsi="Times New Roman" w:cs="Times New Roman"/>
          <w:color w:val="000000" w:themeColor="text1"/>
        </w:rPr>
        <w:t>"F-test" of the joint significance of the</w:t>
      </w:r>
      <w:r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 xml:space="preserve">coefficients. </w:t>
      </w:r>
      <w:r w:rsidR="00B71B1C" w:rsidRPr="0002650F">
        <w:rPr>
          <w:rFonts w:ascii="Times New Roman" w:hAnsi="Times New Roman" w:cs="Times New Roman"/>
          <w:color w:val="000000" w:themeColor="text1"/>
        </w:rPr>
        <w:t>T</w:t>
      </w:r>
      <w:r w:rsidRPr="003D27E1">
        <w:rPr>
          <w:rFonts w:ascii="Times New Roman" w:hAnsi="Times New Roman" w:cs="Times New Roman"/>
          <w:color w:val="000000" w:themeColor="text1"/>
        </w:rPr>
        <w:t>he F-test is a test of</w:t>
      </w:r>
      <w:r w:rsidRPr="0002650F">
        <w:rPr>
          <w:rFonts w:ascii="Times New Roman" w:hAnsi="Times New Roman" w:cs="Times New Roman"/>
          <w:color w:val="000000" w:themeColor="text1"/>
        </w:rPr>
        <w:t xml:space="preserve"> </w:t>
      </w:r>
      <w:r w:rsidR="00BB58C9" w:rsidRPr="0002650F">
        <w:rPr>
          <w:rFonts w:ascii="Times New Roman" w:hAnsi="Times New Roman" w:cs="Times New Roman"/>
          <w:color w:val="000000" w:themeColor="text1"/>
        </w:rPr>
        <w:t xml:space="preserve">a </w:t>
      </w:r>
      <w:r w:rsidRPr="003D27E1">
        <w:rPr>
          <w:rFonts w:ascii="Times New Roman" w:hAnsi="Times New Roman" w:cs="Times New Roman"/>
          <w:color w:val="000000" w:themeColor="text1"/>
        </w:rPr>
        <w:t>hypothesis where the alternative shows the presence of cointegration, and the null reflects no</w:t>
      </w:r>
      <w:r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 xml:space="preserve">cointegration among variables. </w:t>
      </w:r>
      <w:r w:rsidRPr="0002650F">
        <w:rPr>
          <w:rFonts w:ascii="Times New Roman" w:hAnsi="Times New Roman" w:cs="Times New Roman"/>
          <w:color w:val="000000" w:themeColor="text1"/>
        </w:rPr>
        <w:t>The condition is that t</w:t>
      </w:r>
      <w:r w:rsidRPr="003D27E1">
        <w:rPr>
          <w:rFonts w:ascii="Times New Roman" w:hAnsi="Times New Roman" w:cs="Times New Roman"/>
          <w:color w:val="000000" w:themeColor="text1"/>
        </w:rPr>
        <w:t xml:space="preserve">he alternative hypothesis is accepted if the </w:t>
      </w:r>
      <w:r w:rsidR="00BB58C9" w:rsidRPr="0002650F">
        <w:rPr>
          <w:rFonts w:ascii="Times New Roman" w:hAnsi="Times New Roman" w:cs="Times New Roman"/>
          <w:color w:val="000000" w:themeColor="text1"/>
        </w:rPr>
        <w:t>F-statistic</w:t>
      </w:r>
      <w:r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 xml:space="preserve">exceeds the upper bound. In contrast, if the </w:t>
      </w:r>
      <w:r w:rsidR="00BB58C9" w:rsidRPr="0002650F">
        <w:rPr>
          <w:rFonts w:ascii="Times New Roman" w:hAnsi="Times New Roman" w:cs="Times New Roman"/>
          <w:color w:val="000000" w:themeColor="text1"/>
        </w:rPr>
        <w:t>F-statistic</w:t>
      </w:r>
      <w:r w:rsidRPr="003D27E1">
        <w:rPr>
          <w:rFonts w:ascii="Times New Roman" w:hAnsi="Times New Roman" w:cs="Times New Roman"/>
          <w:color w:val="000000" w:themeColor="text1"/>
        </w:rPr>
        <w:t xml:space="preserve"> is between the upper and lower</w:t>
      </w:r>
      <w:r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bounds, the result is regarded as inconclusive</w:t>
      </w:r>
      <w:r w:rsidR="00BB58C9" w:rsidRPr="0002650F">
        <w:rPr>
          <w:rFonts w:ascii="Times New Roman" w:hAnsi="Times New Roman" w:cs="Times New Roman"/>
          <w:color w:val="000000" w:themeColor="text1"/>
        </w:rPr>
        <w:t>,</w:t>
      </w:r>
      <w:r w:rsidRPr="003D27E1">
        <w:rPr>
          <w:rFonts w:ascii="Times New Roman" w:hAnsi="Times New Roman" w:cs="Times New Roman"/>
          <w:color w:val="000000" w:themeColor="text1"/>
        </w:rPr>
        <w:t xml:space="preserve"> and the null hypothesis of no cointegration is</w:t>
      </w:r>
      <w:r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accepted.</w:t>
      </w:r>
      <w:r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 xml:space="preserve">Once long-run cointegration is established, the error correction model is </w:t>
      </w:r>
      <w:r w:rsidR="00B71B1C" w:rsidRPr="0002650F">
        <w:rPr>
          <w:rFonts w:ascii="Times New Roman" w:hAnsi="Times New Roman" w:cs="Times New Roman"/>
          <w:color w:val="000000" w:themeColor="text1"/>
        </w:rPr>
        <w:t xml:space="preserve">estimated </w:t>
      </w:r>
      <w:r w:rsidRPr="003D27E1">
        <w:rPr>
          <w:rFonts w:ascii="Times New Roman" w:hAnsi="Times New Roman" w:cs="Times New Roman"/>
          <w:color w:val="000000" w:themeColor="text1"/>
        </w:rPr>
        <w:t>to derive</w:t>
      </w:r>
      <w:r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 xml:space="preserve">the </w:t>
      </w:r>
      <w:r w:rsidR="00BB58C9" w:rsidRPr="0002650F">
        <w:rPr>
          <w:rFonts w:ascii="Times New Roman" w:hAnsi="Times New Roman" w:cs="Times New Roman"/>
          <w:color w:val="000000" w:themeColor="text1"/>
        </w:rPr>
        <w:t>short-run</w:t>
      </w:r>
      <w:r w:rsidRPr="003D27E1">
        <w:rPr>
          <w:rFonts w:ascii="Times New Roman" w:hAnsi="Times New Roman" w:cs="Times New Roman"/>
          <w:color w:val="000000" w:themeColor="text1"/>
        </w:rPr>
        <w:t xml:space="preserve"> dynamics and </w:t>
      </w:r>
      <w:r w:rsidR="00BB58C9" w:rsidRPr="0002650F">
        <w:rPr>
          <w:rFonts w:ascii="Times New Roman" w:hAnsi="Times New Roman" w:cs="Times New Roman"/>
          <w:color w:val="000000" w:themeColor="text1"/>
        </w:rPr>
        <w:t>long-run</w:t>
      </w:r>
      <w:r w:rsidRPr="003D27E1">
        <w:rPr>
          <w:rFonts w:ascii="Times New Roman" w:hAnsi="Times New Roman" w:cs="Times New Roman"/>
          <w:color w:val="000000" w:themeColor="text1"/>
        </w:rPr>
        <w:t xml:space="preserve"> adjustment parameter. The specified error correction</w:t>
      </w:r>
      <w:r w:rsidR="00BB58C9"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model is as follows:</w:t>
      </w:r>
    </w:p>
    <w:p w14:paraId="6D00BBFB" w14:textId="02D96096" w:rsidR="003D27E1" w:rsidRPr="0002650F" w:rsidRDefault="00B71B1C" w:rsidP="003D27E1">
      <w:pPr>
        <w:spacing w:line="276" w:lineRule="auto"/>
        <w:rPr>
          <w:rFonts w:ascii="Times New Roman" w:eastAsiaTheme="minorEastAsia" w:hAnsi="Times New Roman" w:cs="Times New Roman"/>
        </w:rPr>
      </w:pPr>
      <m:oMath>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hcpi</m:t>
            </m:r>
          </m:e>
          <m:sub>
            <m:r>
              <w:rPr>
                <w:rFonts w:ascii="Cambria Math" w:hAnsi="Cambria Math" w:cs="Times New Roman"/>
              </w:rPr>
              <m:t xml:space="preserve"> t  </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1i</m:t>
                    </m:r>
                  </m:sub>
                </m:sSub>
                <m:r>
                  <w:rPr>
                    <w:rFonts w:ascii="Cambria Math" w:hAnsi="Cambria Math" w:cs="Times New Roman"/>
                  </w:rPr>
                  <m:t>∆loghcpi</m:t>
                </m:r>
              </m:e>
              <m:sub>
                <m:r>
                  <w:rPr>
                    <w:rFonts w:ascii="Cambria Math" w:hAnsi="Cambria Math" w:cs="Times New Roman"/>
                  </w:rPr>
                  <m:t>t-i</m:t>
                </m:r>
              </m:sub>
            </m:sSub>
          </m:e>
        </m:nary>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i=0</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2i</m:t>
                        </m:r>
                      </m:sub>
                    </m:sSub>
                  </m:e>
                  <m:sub>
                    <m:r>
                      <w:rPr>
                        <w:rFonts w:ascii="Cambria Math" w:hAnsi="Cambria Math" w:cs="Times New Roman"/>
                      </w:rPr>
                      <m:t xml:space="preserve"> </m:t>
                    </m:r>
                  </m:sub>
                </m:sSub>
                <m:r>
                  <w:rPr>
                    <w:rFonts w:ascii="Cambria Math" w:hAnsi="Cambria Math" w:cs="Times New Roman"/>
                  </w:rPr>
                  <m:t>∆logetranz</m:t>
                </m:r>
              </m:e>
              <m:sub>
                <m:r>
                  <w:rPr>
                    <w:rFonts w:ascii="Cambria Math" w:hAnsi="Cambria Math" w:cs="Times New Roman"/>
                  </w:rPr>
                  <m:t>t-i</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i=0</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3i</m:t>
                        </m:r>
                      </m:sub>
                    </m:sSub>
                    <m:r>
                      <w:rPr>
                        <w:rFonts w:ascii="Cambria Math" w:hAnsi="Cambria Math" w:cs="Times New Roman"/>
                      </w:rPr>
                      <m:t>∆logrgdp</m:t>
                    </m:r>
                  </m:e>
                  <m:sub>
                    <m:r>
                      <w:rPr>
                        <w:rFonts w:ascii="Cambria Math" w:hAnsi="Cambria Math" w:cs="Times New Roman"/>
                      </w:rPr>
                      <m:t>t-i</m:t>
                    </m:r>
                  </m:sub>
                </m:sSub>
              </m:e>
            </m:nary>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4i</m:t>
                        </m:r>
                      </m:sub>
                    </m:sSub>
                    <m:r>
                      <w:rPr>
                        <w:rFonts w:ascii="Cambria Math" w:hAnsi="Cambria Math" w:cs="Times New Roman"/>
                      </w:rPr>
                      <m:t>∆logm3</m:t>
                    </m:r>
                  </m:e>
                  <m:sub>
                    <m:r>
                      <w:rPr>
                        <w:rFonts w:ascii="Cambria Math" w:hAnsi="Cambria Math" w:cs="Times New Roman"/>
                      </w:rPr>
                      <m:t>t-i</m:t>
                    </m:r>
                  </m:sub>
                </m:sSub>
              </m:e>
            </m:nary>
          </m:e>
        </m:nary>
      </m:oMath>
      <w:r w:rsidR="003D27E1" w:rsidRPr="0002650F">
        <w:rPr>
          <w:rFonts w:ascii="Times New Roman" w:eastAsiaTheme="minorEastAsia" w:hAnsi="Times New Roman" w:cs="Times New Roman"/>
        </w:rPr>
        <w:t xml:space="preserve"> + </w:t>
      </w:r>
      <m:oMath>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5i</m:t>
                    </m:r>
                  </m:sub>
                </m:sSub>
                <m:r>
                  <w:rPr>
                    <w:rFonts w:ascii="Cambria Math" w:hAnsi="Cambria Math" w:cs="Times New Roman"/>
                  </w:rPr>
                  <m:t>∆mpr</m:t>
                </m:r>
              </m:e>
              <m:sub>
                <m:r>
                  <w:rPr>
                    <w:rFonts w:ascii="Cambria Math" w:hAnsi="Cambria Math" w:cs="Times New Roman"/>
                  </w:rPr>
                  <m:t>t-i</m:t>
                </m:r>
              </m:sub>
            </m:sSub>
          </m:e>
        </m:nary>
      </m:oMath>
      <w:r w:rsidR="003D27E1" w:rsidRPr="0002650F">
        <w:rPr>
          <w:rFonts w:ascii="Times New Roman" w:eastAsiaTheme="minorEastAsia" w:hAnsi="Times New Roman" w:cs="Times New Roman"/>
        </w:rPr>
        <w:t xml:space="preserve"> </w:t>
      </w:r>
      <w:r w:rsidR="003D27E1" w:rsidRPr="00A30834">
        <w:rPr>
          <w:rFonts w:ascii="Times New Roman" w:hAnsi="Times New Roman" w:cs="Times New Roman"/>
        </w:rPr>
        <w:t>+</w:t>
      </w:r>
      <m:oMath>
        <m:r>
          <w:rPr>
            <w:rFonts w:ascii="Cambria Math" w:hAnsi="Cambria Math" w:cs="Times New Roman"/>
          </w:rPr>
          <m:t xml:space="preserve"> </m:t>
        </m:r>
        <m:sSub>
          <m:sSubPr>
            <m:ctrlPr>
              <w:rPr>
                <w:rFonts w:ascii="Cambria Math" w:hAnsi="Cambria Math" w:cs="Times New Roman"/>
                <w:i/>
              </w:rPr>
            </m:ctrlPr>
          </m:sSubPr>
          <m:e>
            <m:r>
              <m:rPr>
                <m:sty m:val="p"/>
              </m:rPr>
              <w:rPr>
                <w:rFonts w:ascii="Cambria Math" w:eastAsiaTheme="minorEastAsia" w:hAnsi="Cambria Math" w:cs="Times New Roman"/>
              </w:rPr>
              <m:t xml:space="preserve"> </m:t>
            </m:r>
            <m:r>
              <m:rPr>
                <m:sty m:val="p"/>
              </m:rPr>
              <w:rPr>
                <w:rFonts w:ascii="Cambria Math" w:hAnsi="Cambria Math" w:cs="Times New Roman"/>
                <w:color w:val="196B24" w:themeColor="accent3"/>
              </w:rPr>
              <m:t>θecm</m:t>
            </m:r>
          </m:e>
          <m:sub>
            <m:r>
              <w:rPr>
                <w:rFonts w:ascii="Cambria Math" w:hAnsi="Cambria Math" w:cs="Times New Roman"/>
              </w:rPr>
              <m:t>t-1</m:t>
            </m:r>
          </m:sub>
        </m:sSub>
        <m:r>
          <w:rPr>
            <w:rFonts w:ascii="Cambria Math" w:hAnsi="Cambria Math" w:cs="Times New Roman"/>
          </w:rPr>
          <m:t xml:space="preserve">+ </m:t>
        </m:r>
        <m:sSub>
          <m:sSubPr>
            <m:ctrlPr>
              <w:rPr>
                <w:rFonts w:ascii="Cambria Math" w:hAnsi="Cambria Math" w:cs="Times New Roman"/>
                <w:i/>
              </w:rPr>
            </m:ctrlPr>
          </m:sSubPr>
          <m:e>
            <m:r>
              <m:rPr>
                <m:sty m:val="p"/>
              </m:rPr>
              <w:rPr>
                <w:rFonts w:ascii="Cambria Math" w:eastAsiaTheme="minorEastAsia" w:hAnsi="Cambria Math" w:cs="Times New Roman"/>
              </w:rPr>
              <m:t xml:space="preserve"> ε</m:t>
            </m:r>
          </m:e>
          <m:sub>
            <m:r>
              <w:rPr>
                <w:rFonts w:ascii="Cambria Math" w:hAnsi="Cambria Math" w:cs="Times New Roman"/>
              </w:rPr>
              <m:t>t</m:t>
            </m:r>
          </m:sub>
        </m:sSub>
        <m:r>
          <w:rPr>
            <w:rFonts w:ascii="Cambria Math" w:hAnsi="Cambria Math" w:cs="Times New Roman"/>
          </w:rPr>
          <m:t xml:space="preserve"> </m:t>
        </m:r>
      </m:oMath>
      <w:r w:rsidR="003D27E1" w:rsidRPr="0002650F">
        <w:rPr>
          <w:rFonts w:ascii="Times New Roman" w:eastAsiaTheme="minorEastAsia" w:hAnsi="Times New Roman" w:cs="Times New Roman"/>
        </w:rPr>
        <w:t>…</w:t>
      </w:r>
      <w:r w:rsidR="00BB58C9" w:rsidRPr="0002650F">
        <w:rPr>
          <w:rFonts w:ascii="Times New Roman" w:eastAsiaTheme="minorEastAsia" w:hAnsi="Times New Roman" w:cs="Times New Roman"/>
        </w:rPr>
        <w:t>………………………</w:t>
      </w:r>
      <w:proofErr w:type="gramStart"/>
      <w:r w:rsidR="00BB58C9" w:rsidRPr="0002650F">
        <w:rPr>
          <w:rFonts w:ascii="Times New Roman" w:eastAsiaTheme="minorEastAsia" w:hAnsi="Times New Roman" w:cs="Times New Roman"/>
        </w:rPr>
        <w:t>…..</w:t>
      </w:r>
      <w:proofErr w:type="gramEnd"/>
      <w:r w:rsidR="00BB58C9" w:rsidRPr="0002650F">
        <w:rPr>
          <w:rFonts w:ascii="Times New Roman" w:eastAsiaTheme="minorEastAsia" w:hAnsi="Times New Roman" w:cs="Times New Roman"/>
        </w:rPr>
        <w:t>(4)</w:t>
      </w:r>
    </w:p>
    <w:p w14:paraId="1EFFEE1D" w14:textId="77777777" w:rsidR="00FE182A" w:rsidRPr="0002650F" w:rsidRDefault="00FE182A" w:rsidP="003D27E1">
      <w:pPr>
        <w:spacing w:line="276" w:lineRule="auto"/>
        <w:rPr>
          <w:rFonts w:ascii="Times New Roman" w:hAnsi="Times New Roman" w:cs="Times New Roman"/>
          <w:color w:val="000000" w:themeColor="text1"/>
        </w:rPr>
      </w:pPr>
    </w:p>
    <w:p w14:paraId="02EDBFE9" w14:textId="1FDDE752" w:rsidR="003D27E1" w:rsidRPr="0002650F" w:rsidRDefault="000278A0" w:rsidP="003D27E1">
      <w:pPr>
        <w:spacing w:line="276" w:lineRule="auto"/>
        <w:rPr>
          <w:rFonts w:ascii="Times New Roman" w:hAnsi="Times New Roman" w:cs="Times New Roman"/>
          <w:color w:val="000000" w:themeColor="text1"/>
        </w:rPr>
      </w:pPr>
      <w:r w:rsidRPr="0002650F">
        <w:rPr>
          <w:rFonts w:ascii="Times New Roman" w:hAnsi="Times New Roman" w:cs="Times New Roman"/>
          <w:color w:val="000000" w:themeColor="text1"/>
        </w:rPr>
        <w:lastRenderedPageBreak/>
        <w:t xml:space="preserve">Where </w:t>
      </w:r>
      <m:oMath>
        <m:r>
          <m:rPr>
            <m:sty m:val="p"/>
          </m:rPr>
          <w:rPr>
            <w:rFonts w:ascii="Cambria Math" w:hAnsi="Cambria Math" w:cs="Times New Roman"/>
            <w:color w:val="000000" w:themeColor="text1"/>
          </w:rPr>
          <m:t>∆</m:t>
        </m:r>
      </m:oMath>
      <w:r w:rsidRPr="0002650F">
        <w:rPr>
          <w:rFonts w:ascii="Times New Roman" w:hAnsi="Times New Roman" w:cs="Times New Roman"/>
          <w:color w:val="000000" w:themeColor="text1"/>
        </w:rPr>
        <w:t xml:space="preserve"> denotes the first difference operators,</w:t>
      </w:r>
      <w:r w:rsidR="003D27E1" w:rsidRPr="003D27E1">
        <w:rPr>
          <w:rFonts w:ascii="Times New Roman" w:hAnsi="Times New Roman" w:cs="Times New Roman"/>
          <w:color w:val="000000" w:themeColor="text1"/>
        </w:rPr>
        <w:t xml:space="preserve"> α0 signifies the intercept</w:t>
      </w:r>
      <w:r w:rsidRPr="0002650F">
        <w:rPr>
          <w:rFonts w:ascii="Times New Roman" w:hAnsi="Times New Roman" w:cs="Times New Roman"/>
          <w:color w:val="000000" w:themeColor="text1"/>
        </w:rPr>
        <w:t>,</w:t>
      </w:r>
      <w:r w:rsidR="003D27E1" w:rsidRPr="003D27E1">
        <w:rPr>
          <w:rFonts w:ascii="Times New Roman" w:hAnsi="Times New Roman" w:cs="Times New Roman"/>
          <w:color w:val="000000" w:themeColor="text1"/>
        </w:rPr>
        <w:t xml:space="preserve"> and</w:t>
      </w:r>
      <w:r w:rsidRPr="0002650F">
        <w:rPr>
          <w:rFonts w:ascii="Times New Roman" w:hAnsi="Times New Roman" w:cs="Times New Roman"/>
          <w:color w:val="000000" w:themeColor="text1"/>
        </w:rPr>
        <w:t xml:space="preserve"> </w:t>
      </w:r>
      <w:r w:rsidR="003D27E1" w:rsidRPr="003D27E1">
        <w:rPr>
          <w:rFonts w:ascii="Times New Roman" w:hAnsi="Times New Roman" w:cs="Times New Roman"/>
          <w:color w:val="000000" w:themeColor="text1"/>
        </w:rPr>
        <w:t>α1-α6</w:t>
      </w:r>
      <w:r w:rsidRPr="0002650F">
        <w:rPr>
          <w:rFonts w:ascii="Times New Roman" w:hAnsi="Times New Roman" w:cs="Times New Roman"/>
          <w:color w:val="000000" w:themeColor="text1"/>
        </w:rPr>
        <w:t xml:space="preserve"> are the short-run dynamic coefficients of the model. </w:t>
      </w:r>
      <w:r w:rsidR="003D27E1" w:rsidRPr="0002650F">
        <w:rPr>
          <w:rFonts w:ascii="Times New Roman" w:hAnsi="Times New Roman" w:cs="Times New Roman"/>
          <w:color w:val="000000" w:themeColor="text1"/>
        </w:rPr>
        <w:t>while θ</w:t>
      </w:r>
      <w:r w:rsidRPr="0002650F">
        <w:rPr>
          <w:rFonts w:ascii="Times New Roman" w:hAnsi="Times New Roman" w:cs="Times New Roman"/>
          <w:color w:val="000000" w:themeColor="text1"/>
        </w:rPr>
        <w:t xml:space="preserve"> captures the rate of </w:t>
      </w:r>
      <w:r w:rsidR="003D27E1" w:rsidRPr="0002650F">
        <w:rPr>
          <w:rFonts w:ascii="Times New Roman" w:hAnsi="Times New Roman" w:cs="Times New Roman"/>
          <w:color w:val="000000" w:themeColor="text1"/>
        </w:rPr>
        <w:t>equilibrium adjustment.</w:t>
      </w:r>
    </w:p>
    <w:p w14:paraId="6250EB4D" w14:textId="065DE978" w:rsidR="000E3B80" w:rsidRPr="0002650F" w:rsidRDefault="0073516B" w:rsidP="000E3B80">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This ARDL methodology allows the study to empirically assess how digital payment systems affect price stability in Nigeria, in line with the theoretical framework that suggests digital payments can influence infl</w:t>
      </w:r>
      <w:r w:rsidR="000E3B80" w:rsidRPr="0002650F">
        <w:rPr>
          <w:rFonts w:ascii="Times New Roman" w:hAnsi="Times New Roman" w:cs="Times New Roman"/>
          <w:color w:val="000000" w:themeColor="text1"/>
        </w:rPr>
        <w:t>ation dynamics through enhanced transaction efficiency, reduced costs, and changes in money velocity. The ARDL model will test for cointegration, providing insights into both short-term fluctuations and long-term effects.</w:t>
      </w:r>
    </w:p>
    <w:p w14:paraId="555FE68D" w14:textId="6536BA44" w:rsidR="000E3B80" w:rsidRPr="0002650F" w:rsidRDefault="000E3B80" w:rsidP="000E3B80">
      <w:pPr>
        <w:spacing w:line="276" w:lineRule="auto"/>
        <w:jc w:val="both"/>
        <w:rPr>
          <w:rFonts w:ascii="Times New Roman" w:hAnsi="Times New Roman" w:cs="Times New Roman"/>
          <w:b/>
          <w:bCs/>
          <w:color w:val="000000" w:themeColor="text1"/>
        </w:rPr>
      </w:pPr>
      <w:r w:rsidRPr="0002650F">
        <w:rPr>
          <w:rFonts w:ascii="Times New Roman" w:hAnsi="Times New Roman" w:cs="Times New Roman"/>
          <w:b/>
          <w:bCs/>
          <w:color w:val="000000" w:themeColor="text1"/>
        </w:rPr>
        <w:t>Table1: Variables Used in the</w:t>
      </w:r>
      <w:r w:rsidR="00A374FA" w:rsidRPr="0002650F">
        <w:rPr>
          <w:rFonts w:ascii="Times New Roman" w:hAnsi="Times New Roman" w:cs="Times New Roman"/>
          <w:b/>
          <w:bCs/>
          <w:color w:val="000000" w:themeColor="text1"/>
        </w:rPr>
        <w:t xml:space="preserve"> </w:t>
      </w:r>
      <w:r w:rsidRPr="0002650F">
        <w:rPr>
          <w:rFonts w:ascii="Times New Roman" w:hAnsi="Times New Roman" w:cs="Times New Roman"/>
          <w:b/>
          <w:bCs/>
          <w:color w:val="000000" w:themeColor="text1"/>
        </w:rPr>
        <w:t xml:space="preserve">Model and </w:t>
      </w:r>
      <w:proofErr w:type="spellStart"/>
      <w:r w:rsidRPr="0002650F">
        <w:rPr>
          <w:rFonts w:ascii="Times New Roman" w:hAnsi="Times New Roman" w:cs="Times New Roman"/>
          <w:b/>
          <w:bCs/>
          <w:color w:val="000000" w:themeColor="text1"/>
        </w:rPr>
        <w:t>APriori</w:t>
      </w:r>
      <w:proofErr w:type="spellEnd"/>
      <w:r w:rsidRPr="0002650F">
        <w:rPr>
          <w:rFonts w:ascii="Times New Roman" w:hAnsi="Times New Roman" w:cs="Times New Roman"/>
          <w:b/>
          <w:bCs/>
          <w:color w:val="000000" w:themeColor="text1"/>
        </w:rPr>
        <w:t xml:space="preserve"> Expectations</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980"/>
        <w:gridCol w:w="1650"/>
        <w:gridCol w:w="1590"/>
      </w:tblGrid>
      <w:tr w:rsidR="000F0DB5" w:rsidRPr="0002650F" w14:paraId="79F28C6C" w14:textId="77777777" w:rsidTr="000F0DB5">
        <w:tc>
          <w:tcPr>
            <w:tcW w:w="4225" w:type="dxa"/>
            <w:shd w:val="clear" w:color="auto" w:fill="E8E8E8" w:themeFill="background2"/>
          </w:tcPr>
          <w:p w14:paraId="1BCBBF8D" w14:textId="54AC3F92" w:rsidR="000E3B80" w:rsidRPr="0002650F" w:rsidRDefault="000E3B80" w:rsidP="000F0DB5">
            <w:pPr>
              <w:spacing w:line="276" w:lineRule="auto"/>
              <w:jc w:val="center"/>
              <w:rPr>
                <w:rFonts w:ascii="Times New Roman" w:hAnsi="Times New Roman" w:cs="Times New Roman"/>
                <w:color w:val="000000" w:themeColor="text1"/>
              </w:rPr>
            </w:pPr>
            <w:r w:rsidRPr="0002650F">
              <w:rPr>
                <w:rFonts w:ascii="Times New Roman" w:hAnsi="Times New Roman" w:cs="Times New Roman"/>
                <w:color w:val="000000" w:themeColor="text1"/>
              </w:rPr>
              <w:t>Variables</w:t>
            </w:r>
          </w:p>
        </w:tc>
        <w:tc>
          <w:tcPr>
            <w:tcW w:w="1980" w:type="dxa"/>
            <w:shd w:val="clear" w:color="auto" w:fill="E8E8E8" w:themeFill="background2"/>
          </w:tcPr>
          <w:p w14:paraId="72803A18" w14:textId="25E4145B" w:rsidR="000E3B80" w:rsidRPr="0002650F" w:rsidRDefault="000E3B80" w:rsidP="000F0DB5">
            <w:pPr>
              <w:spacing w:line="276" w:lineRule="auto"/>
              <w:jc w:val="center"/>
              <w:rPr>
                <w:rFonts w:ascii="Times New Roman" w:hAnsi="Times New Roman" w:cs="Times New Roman"/>
                <w:color w:val="000000" w:themeColor="text1"/>
              </w:rPr>
            </w:pPr>
            <w:r w:rsidRPr="0002650F">
              <w:rPr>
                <w:rFonts w:ascii="Times New Roman" w:hAnsi="Times New Roman" w:cs="Times New Roman"/>
                <w:color w:val="000000" w:themeColor="text1"/>
              </w:rPr>
              <w:t>Variable notations</w:t>
            </w:r>
          </w:p>
        </w:tc>
        <w:tc>
          <w:tcPr>
            <w:tcW w:w="1650" w:type="dxa"/>
            <w:shd w:val="clear" w:color="auto" w:fill="E8E8E8" w:themeFill="background2"/>
          </w:tcPr>
          <w:p w14:paraId="3C419B90" w14:textId="55E8480E" w:rsidR="000E3B80" w:rsidRPr="0002650F" w:rsidRDefault="000E3B80" w:rsidP="000F0DB5">
            <w:pPr>
              <w:spacing w:line="276" w:lineRule="auto"/>
              <w:jc w:val="center"/>
              <w:rPr>
                <w:rFonts w:ascii="Times New Roman" w:hAnsi="Times New Roman" w:cs="Times New Roman"/>
                <w:color w:val="000000" w:themeColor="text1"/>
              </w:rPr>
            </w:pPr>
            <w:r w:rsidRPr="0002650F">
              <w:rPr>
                <w:rFonts w:ascii="Times New Roman" w:hAnsi="Times New Roman" w:cs="Times New Roman"/>
                <w:color w:val="000000" w:themeColor="text1"/>
              </w:rPr>
              <w:t>Measurement</w:t>
            </w:r>
          </w:p>
        </w:tc>
        <w:tc>
          <w:tcPr>
            <w:tcW w:w="1590" w:type="dxa"/>
            <w:shd w:val="clear" w:color="auto" w:fill="E8E8E8" w:themeFill="background2"/>
          </w:tcPr>
          <w:p w14:paraId="3BF9AC12" w14:textId="0C1DA53F" w:rsidR="000E3B80" w:rsidRPr="0002650F" w:rsidRDefault="000E3B80" w:rsidP="000F0DB5">
            <w:pPr>
              <w:spacing w:line="276" w:lineRule="auto"/>
              <w:jc w:val="center"/>
              <w:rPr>
                <w:rFonts w:ascii="Times New Roman" w:hAnsi="Times New Roman" w:cs="Times New Roman"/>
                <w:color w:val="000000" w:themeColor="text1"/>
              </w:rPr>
            </w:pPr>
            <w:r w:rsidRPr="0002650F">
              <w:rPr>
                <w:rFonts w:ascii="Times New Roman" w:hAnsi="Times New Roman" w:cs="Times New Roman"/>
                <w:color w:val="000000" w:themeColor="text1"/>
              </w:rPr>
              <w:t>A prior Expect</w:t>
            </w:r>
          </w:p>
        </w:tc>
      </w:tr>
      <w:tr w:rsidR="000E3B80" w:rsidRPr="0002650F" w14:paraId="7C4CDFE1" w14:textId="77777777" w:rsidTr="000F0DB5">
        <w:tc>
          <w:tcPr>
            <w:tcW w:w="4225" w:type="dxa"/>
          </w:tcPr>
          <w:p w14:paraId="4004BF63" w14:textId="7A191D33"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Log of the total value of digital/electronic mode of payment</w:t>
            </w:r>
            <w:r w:rsidR="00B65807" w:rsidRPr="0002650F">
              <w:rPr>
                <w:rFonts w:ascii="Times New Roman" w:hAnsi="Times New Roman" w:cs="Times New Roman"/>
                <w:color w:val="000000" w:themeColor="text1"/>
              </w:rPr>
              <w:t>s</w:t>
            </w:r>
          </w:p>
        </w:tc>
        <w:tc>
          <w:tcPr>
            <w:tcW w:w="1980" w:type="dxa"/>
          </w:tcPr>
          <w:p w14:paraId="112F0C83" w14:textId="2E9D42DB" w:rsidR="000E3B80" w:rsidRPr="0002650F" w:rsidRDefault="00A374FA" w:rsidP="00A65FDA">
            <w:pPr>
              <w:spacing w:line="276" w:lineRule="auto"/>
              <w:jc w:val="both"/>
              <w:rPr>
                <w:rFonts w:ascii="Times New Roman" w:hAnsi="Times New Roman" w:cs="Times New Roman"/>
                <w:color w:val="000000" w:themeColor="text1"/>
              </w:rPr>
            </w:pPr>
            <w:proofErr w:type="spellStart"/>
            <w:r w:rsidRPr="0002650F">
              <w:rPr>
                <w:rFonts w:ascii="Times New Roman" w:hAnsi="Times New Roman" w:cs="Times New Roman"/>
                <w:color w:val="000000" w:themeColor="text1"/>
              </w:rPr>
              <w:t>log</w:t>
            </w:r>
            <w:r w:rsidR="00657305" w:rsidRPr="0002650F">
              <w:rPr>
                <w:rFonts w:ascii="Times New Roman" w:hAnsi="Times New Roman" w:cs="Times New Roman"/>
                <w:color w:val="000000" w:themeColor="text1"/>
              </w:rPr>
              <w:t>e</w:t>
            </w:r>
            <w:r w:rsidRPr="0002650F">
              <w:rPr>
                <w:rFonts w:ascii="Times New Roman" w:hAnsi="Times New Roman" w:cs="Times New Roman"/>
                <w:color w:val="000000" w:themeColor="text1"/>
              </w:rPr>
              <w:t>tranz</w:t>
            </w:r>
            <w:proofErr w:type="spellEnd"/>
          </w:p>
        </w:tc>
        <w:tc>
          <w:tcPr>
            <w:tcW w:w="1650" w:type="dxa"/>
          </w:tcPr>
          <w:p w14:paraId="54FFC55F" w14:textId="175E4424"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Absolute</w:t>
            </w:r>
          </w:p>
        </w:tc>
        <w:tc>
          <w:tcPr>
            <w:tcW w:w="1590" w:type="dxa"/>
          </w:tcPr>
          <w:p w14:paraId="7343A7CC" w14:textId="602AF589"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w:t>
            </w:r>
            <w:proofErr w:type="spellStart"/>
            <w:r w:rsidRPr="0002650F">
              <w:rPr>
                <w:rFonts w:ascii="Times New Roman" w:hAnsi="Times New Roman" w:cs="Times New Roman"/>
                <w:color w:val="000000" w:themeColor="text1"/>
              </w:rPr>
              <w:t>ve</w:t>
            </w:r>
            <w:proofErr w:type="spellEnd"/>
          </w:p>
        </w:tc>
      </w:tr>
      <w:tr w:rsidR="000E3B80" w:rsidRPr="0002650F" w14:paraId="3484058D" w14:textId="77777777" w:rsidTr="000F0DB5">
        <w:tc>
          <w:tcPr>
            <w:tcW w:w="4225" w:type="dxa"/>
          </w:tcPr>
          <w:p w14:paraId="2C35B193" w14:textId="3CD48307"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Log of Real Gross Domestic Product</w:t>
            </w:r>
          </w:p>
        </w:tc>
        <w:tc>
          <w:tcPr>
            <w:tcW w:w="1980" w:type="dxa"/>
          </w:tcPr>
          <w:p w14:paraId="22EA318A" w14:textId="32EC0FDE" w:rsidR="000E3B80" w:rsidRPr="0002650F" w:rsidRDefault="00A374FA" w:rsidP="00A65FDA">
            <w:pPr>
              <w:spacing w:line="276" w:lineRule="auto"/>
              <w:jc w:val="both"/>
              <w:rPr>
                <w:rFonts w:ascii="Times New Roman" w:hAnsi="Times New Roman" w:cs="Times New Roman"/>
                <w:color w:val="000000" w:themeColor="text1"/>
              </w:rPr>
            </w:pPr>
            <w:proofErr w:type="spellStart"/>
            <w:r w:rsidRPr="0002650F">
              <w:rPr>
                <w:rFonts w:ascii="Times New Roman" w:hAnsi="Times New Roman" w:cs="Times New Roman"/>
                <w:color w:val="000000" w:themeColor="text1"/>
              </w:rPr>
              <w:t>log</w:t>
            </w:r>
            <w:r w:rsidR="00657305" w:rsidRPr="0002650F">
              <w:rPr>
                <w:rFonts w:ascii="Times New Roman" w:hAnsi="Times New Roman" w:cs="Times New Roman"/>
                <w:color w:val="000000" w:themeColor="text1"/>
              </w:rPr>
              <w:t>r</w:t>
            </w:r>
            <w:r w:rsidRPr="0002650F">
              <w:rPr>
                <w:rFonts w:ascii="Times New Roman" w:hAnsi="Times New Roman" w:cs="Times New Roman"/>
                <w:color w:val="000000" w:themeColor="text1"/>
              </w:rPr>
              <w:t>GDP</w:t>
            </w:r>
            <w:proofErr w:type="spellEnd"/>
          </w:p>
        </w:tc>
        <w:tc>
          <w:tcPr>
            <w:tcW w:w="1650" w:type="dxa"/>
          </w:tcPr>
          <w:p w14:paraId="0D7B4C82" w14:textId="31AE7699"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Absolute</w:t>
            </w:r>
          </w:p>
        </w:tc>
        <w:tc>
          <w:tcPr>
            <w:tcW w:w="1590" w:type="dxa"/>
          </w:tcPr>
          <w:p w14:paraId="4E32D4BE" w14:textId="063917F8"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w:t>
            </w:r>
            <w:proofErr w:type="spellStart"/>
            <w:r w:rsidRPr="0002650F">
              <w:rPr>
                <w:rFonts w:ascii="Times New Roman" w:hAnsi="Times New Roman" w:cs="Times New Roman"/>
                <w:color w:val="000000" w:themeColor="text1"/>
              </w:rPr>
              <w:t>ve</w:t>
            </w:r>
            <w:proofErr w:type="spellEnd"/>
          </w:p>
        </w:tc>
      </w:tr>
      <w:tr w:rsidR="000E3B80" w:rsidRPr="0002650F" w14:paraId="7C3B4867" w14:textId="77777777" w:rsidTr="000F0DB5">
        <w:tc>
          <w:tcPr>
            <w:tcW w:w="4225" w:type="dxa"/>
          </w:tcPr>
          <w:p w14:paraId="47D5CC49" w14:textId="323F0E8C"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Log of Money supply (</w:t>
            </w:r>
            <w:r w:rsidR="00657305" w:rsidRPr="0002650F">
              <w:rPr>
                <w:rFonts w:ascii="Times New Roman" w:hAnsi="Times New Roman" w:cs="Times New Roman"/>
                <w:color w:val="000000" w:themeColor="text1"/>
              </w:rPr>
              <w:t>M</w:t>
            </w:r>
            <w:r w:rsidRPr="0002650F">
              <w:rPr>
                <w:rFonts w:ascii="Times New Roman" w:hAnsi="Times New Roman" w:cs="Times New Roman"/>
                <w:color w:val="000000" w:themeColor="text1"/>
              </w:rPr>
              <w:t>3)</w:t>
            </w:r>
          </w:p>
        </w:tc>
        <w:tc>
          <w:tcPr>
            <w:tcW w:w="1980" w:type="dxa"/>
          </w:tcPr>
          <w:p w14:paraId="700AF318" w14:textId="4372201B"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log</w:t>
            </w:r>
            <w:r w:rsidR="00657305" w:rsidRPr="0002650F">
              <w:rPr>
                <w:rFonts w:ascii="Times New Roman" w:hAnsi="Times New Roman" w:cs="Times New Roman"/>
                <w:color w:val="000000" w:themeColor="text1"/>
              </w:rPr>
              <w:t>m</w:t>
            </w:r>
            <w:r w:rsidRPr="0002650F">
              <w:rPr>
                <w:rFonts w:ascii="Times New Roman" w:hAnsi="Times New Roman" w:cs="Times New Roman"/>
                <w:color w:val="000000" w:themeColor="text1"/>
              </w:rPr>
              <w:t>3</w:t>
            </w:r>
          </w:p>
        </w:tc>
        <w:tc>
          <w:tcPr>
            <w:tcW w:w="1650" w:type="dxa"/>
          </w:tcPr>
          <w:p w14:paraId="6F1CD31B" w14:textId="15A139E5"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Absolute</w:t>
            </w:r>
          </w:p>
        </w:tc>
        <w:tc>
          <w:tcPr>
            <w:tcW w:w="1590" w:type="dxa"/>
          </w:tcPr>
          <w:p w14:paraId="3FDBA885" w14:textId="1BA8F237"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w:t>
            </w:r>
            <w:proofErr w:type="spellStart"/>
            <w:r w:rsidRPr="0002650F">
              <w:rPr>
                <w:rFonts w:ascii="Times New Roman" w:hAnsi="Times New Roman" w:cs="Times New Roman"/>
                <w:color w:val="000000" w:themeColor="text1"/>
              </w:rPr>
              <w:t>ve</w:t>
            </w:r>
            <w:proofErr w:type="spellEnd"/>
          </w:p>
        </w:tc>
      </w:tr>
      <w:tr w:rsidR="000E3B80" w:rsidRPr="0002650F" w14:paraId="0E2EB9E9" w14:textId="77777777" w:rsidTr="000F0DB5">
        <w:tc>
          <w:tcPr>
            <w:tcW w:w="4225" w:type="dxa"/>
          </w:tcPr>
          <w:p w14:paraId="0955A02A" w14:textId="7252E507"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 xml:space="preserve">Monetary Policy Rate </w:t>
            </w:r>
          </w:p>
        </w:tc>
        <w:tc>
          <w:tcPr>
            <w:tcW w:w="1980" w:type="dxa"/>
          </w:tcPr>
          <w:p w14:paraId="34EE31C4" w14:textId="49BE1844" w:rsidR="000E3B80" w:rsidRPr="0002650F" w:rsidRDefault="00657305" w:rsidP="00A65FDA">
            <w:pPr>
              <w:spacing w:line="276" w:lineRule="auto"/>
              <w:jc w:val="both"/>
              <w:rPr>
                <w:rFonts w:ascii="Times New Roman" w:hAnsi="Times New Roman" w:cs="Times New Roman"/>
                <w:color w:val="000000" w:themeColor="text1"/>
              </w:rPr>
            </w:pPr>
            <w:proofErr w:type="spellStart"/>
            <w:r w:rsidRPr="0002650F">
              <w:rPr>
                <w:rFonts w:ascii="Times New Roman" w:hAnsi="Times New Roman" w:cs="Times New Roman"/>
                <w:color w:val="000000" w:themeColor="text1"/>
              </w:rPr>
              <w:t>mpr</w:t>
            </w:r>
            <w:proofErr w:type="spellEnd"/>
          </w:p>
        </w:tc>
        <w:tc>
          <w:tcPr>
            <w:tcW w:w="1650" w:type="dxa"/>
          </w:tcPr>
          <w:p w14:paraId="30F8031F" w14:textId="4B50C328"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Percentage</w:t>
            </w:r>
          </w:p>
        </w:tc>
        <w:tc>
          <w:tcPr>
            <w:tcW w:w="1590" w:type="dxa"/>
          </w:tcPr>
          <w:p w14:paraId="359C8AB6" w14:textId="40FB5D5A"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w:t>
            </w:r>
            <w:proofErr w:type="spellStart"/>
            <w:r w:rsidRPr="0002650F">
              <w:rPr>
                <w:rFonts w:ascii="Times New Roman" w:hAnsi="Times New Roman" w:cs="Times New Roman"/>
                <w:color w:val="000000" w:themeColor="text1"/>
              </w:rPr>
              <w:t>ve</w:t>
            </w:r>
            <w:proofErr w:type="spellEnd"/>
          </w:p>
        </w:tc>
      </w:tr>
    </w:tbl>
    <w:p w14:paraId="77D8913A" w14:textId="550DAE29" w:rsidR="0073516B" w:rsidRPr="0002650F" w:rsidRDefault="000E3B80" w:rsidP="00A65FDA">
      <w:pPr>
        <w:spacing w:line="276" w:lineRule="auto"/>
        <w:jc w:val="both"/>
        <w:rPr>
          <w:rFonts w:ascii="Times New Roman" w:hAnsi="Times New Roman" w:cs="Times New Roman"/>
        </w:rPr>
      </w:pPr>
      <w:r w:rsidRPr="0002650F">
        <w:rPr>
          <w:rFonts w:ascii="Times New Roman" w:hAnsi="Times New Roman" w:cs="Times New Roman"/>
          <w:color w:val="000000" w:themeColor="text1"/>
        </w:rPr>
        <w:t xml:space="preserve"> </w:t>
      </w:r>
    </w:p>
    <w:p w14:paraId="4A4868B0" w14:textId="07A5EC50" w:rsidR="0073516B" w:rsidRPr="0002650F" w:rsidRDefault="0073516B" w:rsidP="00A65FDA">
      <w:pPr>
        <w:spacing w:line="276" w:lineRule="auto"/>
        <w:jc w:val="both"/>
        <w:rPr>
          <w:rFonts w:ascii="Times New Roman" w:hAnsi="Times New Roman" w:cs="Times New Roman"/>
          <w:b/>
          <w:bCs/>
          <w:color w:val="C00000"/>
        </w:rPr>
      </w:pPr>
      <w:r w:rsidRPr="0002650F">
        <w:rPr>
          <w:rFonts w:ascii="Times New Roman" w:hAnsi="Times New Roman" w:cs="Times New Roman"/>
          <w:b/>
          <w:bCs/>
          <w:color w:val="C00000"/>
        </w:rPr>
        <w:t>4.</w:t>
      </w:r>
      <w:r w:rsidR="007B56D0" w:rsidRPr="0002650F">
        <w:rPr>
          <w:rFonts w:ascii="Times New Roman" w:hAnsi="Times New Roman" w:cs="Times New Roman"/>
          <w:b/>
          <w:bCs/>
          <w:color w:val="C00000"/>
        </w:rPr>
        <w:t>0</w:t>
      </w:r>
      <w:r w:rsidRPr="0002650F">
        <w:rPr>
          <w:rFonts w:ascii="Times New Roman" w:hAnsi="Times New Roman" w:cs="Times New Roman"/>
          <w:b/>
          <w:bCs/>
          <w:color w:val="C00000"/>
        </w:rPr>
        <w:t xml:space="preserve"> Results</w:t>
      </w:r>
      <w:r w:rsidR="000E3B80" w:rsidRPr="0002650F">
        <w:rPr>
          <w:rFonts w:ascii="Times New Roman" w:hAnsi="Times New Roman" w:cs="Times New Roman"/>
          <w:b/>
          <w:bCs/>
          <w:color w:val="C00000"/>
        </w:rPr>
        <w:t xml:space="preserve"> and Discussion</w:t>
      </w:r>
    </w:p>
    <w:p w14:paraId="6951815F" w14:textId="21810727" w:rsidR="0073516B" w:rsidRPr="0002650F" w:rsidRDefault="00500930" w:rsidP="00A65FDA">
      <w:pPr>
        <w:spacing w:line="276" w:lineRule="auto"/>
        <w:jc w:val="both"/>
        <w:rPr>
          <w:rFonts w:ascii="Times New Roman" w:hAnsi="Times New Roman" w:cs="Times New Roman"/>
          <w:b/>
          <w:bCs/>
          <w:color w:val="C00000"/>
        </w:rPr>
      </w:pPr>
      <w:r w:rsidRPr="0002650F">
        <w:rPr>
          <w:rFonts w:ascii="Times New Roman" w:hAnsi="Times New Roman" w:cs="Times New Roman"/>
          <w:b/>
          <w:bCs/>
          <w:color w:val="C00000"/>
        </w:rPr>
        <w:t xml:space="preserve">Table 2: </w:t>
      </w:r>
      <w:r w:rsidR="0073516B" w:rsidRPr="0002650F">
        <w:rPr>
          <w:rFonts w:ascii="Times New Roman" w:hAnsi="Times New Roman" w:cs="Times New Roman"/>
          <w:b/>
          <w:bCs/>
          <w:color w:val="C00000"/>
        </w:rPr>
        <w:t>Unit Root Test</w:t>
      </w:r>
      <w:r w:rsidR="00AC7266" w:rsidRPr="0002650F">
        <w:rPr>
          <w:rFonts w:ascii="Times New Roman" w:hAnsi="Times New Roman" w:cs="Times New Roman"/>
          <w:b/>
          <w:bCs/>
          <w:color w:val="C00000"/>
        </w:rPr>
        <w:t xml:space="preserve"> (Augmented Dickey-Fuller)</w:t>
      </w:r>
    </w:p>
    <w:tbl>
      <w:tblPr>
        <w:tblW w:w="8970" w:type="dxa"/>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310"/>
        <w:gridCol w:w="2340"/>
        <w:gridCol w:w="2160"/>
        <w:gridCol w:w="2160"/>
      </w:tblGrid>
      <w:tr w:rsidR="00AC7266" w:rsidRPr="0002650F" w14:paraId="51CA871B" w14:textId="77777777" w:rsidTr="00AC7266">
        <w:trPr>
          <w:trHeight w:val="204"/>
        </w:trPr>
        <w:tc>
          <w:tcPr>
            <w:tcW w:w="2310" w:type="dxa"/>
            <w:tcBorders>
              <w:top w:val="single" w:sz="4" w:space="0" w:color="auto"/>
              <w:bottom w:val="single" w:sz="4" w:space="0" w:color="auto"/>
            </w:tcBorders>
            <w:vAlign w:val="bottom"/>
          </w:tcPr>
          <w:p w14:paraId="76DD015C" w14:textId="77777777" w:rsidR="00AC7266" w:rsidRPr="0002650F" w:rsidRDefault="00AC7266" w:rsidP="00AC7266">
            <w:pPr>
              <w:autoSpaceDE w:val="0"/>
              <w:autoSpaceDN w:val="0"/>
              <w:adjustRightInd w:val="0"/>
              <w:spacing w:after="0" w:line="276" w:lineRule="auto"/>
              <w:jc w:val="center"/>
              <w:rPr>
                <w:rFonts w:ascii="Times New Roman" w:hAnsi="Times New Roman" w:cs="Times New Roman"/>
                <w:color w:val="000000"/>
                <w:kern w:val="0"/>
              </w:rPr>
            </w:pPr>
            <w:r w:rsidRPr="0002650F">
              <w:rPr>
                <w:rFonts w:ascii="Times New Roman" w:hAnsi="Times New Roman" w:cs="Times New Roman"/>
                <w:color w:val="000000"/>
                <w:kern w:val="0"/>
              </w:rPr>
              <w:t>Variables</w:t>
            </w:r>
          </w:p>
        </w:tc>
        <w:tc>
          <w:tcPr>
            <w:tcW w:w="2340" w:type="dxa"/>
            <w:tcBorders>
              <w:top w:val="single" w:sz="4" w:space="0" w:color="auto"/>
              <w:bottom w:val="single" w:sz="4" w:space="0" w:color="auto"/>
            </w:tcBorders>
            <w:vAlign w:val="bottom"/>
          </w:tcPr>
          <w:p w14:paraId="288E6A2B" w14:textId="77777777" w:rsidR="00AC7266" w:rsidRPr="0002650F" w:rsidRDefault="00AC7266" w:rsidP="00AC7266">
            <w:pPr>
              <w:autoSpaceDE w:val="0"/>
              <w:autoSpaceDN w:val="0"/>
              <w:adjustRightInd w:val="0"/>
              <w:spacing w:after="0" w:line="276" w:lineRule="auto"/>
              <w:jc w:val="center"/>
              <w:rPr>
                <w:rFonts w:ascii="Times New Roman" w:hAnsi="Times New Roman" w:cs="Times New Roman"/>
                <w:color w:val="000000"/>
                <w:kern w:val="0"/>
              </w:rPr>
            </w:pPr>
            <w:r w:rsidRPr="0002650F">
              <w:rPr>
                <w:rFonts w:ascii="Times New Roman" w:hAnsi="Times New Roman" w:cs="Times New Roman"/>
                <w:color w:val="000000"/>
                <w:kern w:val="0"/>
              </w:rPr>
              <w:t>Critical t-Statistic</w:t>
            </w:r>
          </w:p>
        </w:tc>
        <w:tc>
          <w:tcPr>
            <w:tcW w:w="2160" w:type="dxa"/>
            <w:tcBorders>
              <w:top w:val="single" w:sz="4" w:space="0" w:color="auto"/>
              <w:bottom w:val="single" w:sz="4" w:space="0" w:color="auto"/>
            </w:tcBorders>
            <w:vAlign w:val="bottom"/>
          </w:tcPr>
          <w:p w14:paraId="7A8BC225" w14:textId="041D00CB" w:rsidR="00AC7266" w:rsidRPr="0002650F" w:rsidRDefault="00AC7266" w:rsidP="00AC7266">
            <w:pPr>
              <w:autoSpaceDE w:val="0"/>
              <w:autoSpaceDN w:val="0"/>
              <w:adjustRightInd w:val="0"/>
              <w:spacing w:after="0" w:line="276" w:lineRule="auto"/>
              <w:jc w:val="center"/>
              <w:rPr>
                <w:rFonts w:ascii="Times New Roman" w:hAnsi="Times New Roman" w:cs="Times New Roman"/>
                <w:color w:val="000000"/>
                <w:kern w:val="0"/>
              </w:rPr>
            </w:pPr>
            <w:r w:rsidRPr="0002650F">
              <w:rPr>
                <w:rFonts w:ascii="Times New Roman" w:hAnsi="Times New Roman" w:cs="Times New Roman"/>
                <w:color w:val="000000"/>
                <w:kern w:val="0"/>
              </w:rPr>
              <w:t>Prob.</w:t>
            </w:r>
            <w:r w:rsidR="00157FEA" w:rsidRPr="0002650F">
              <w:rPr>
                <w:rFonts w:ascii="Times New Roman" w:hAnsi="Times New Roman" w:cs="Times New Roman"/>
                <w:noProof/>
                <w:color w:val="000000"/>
                <w:kern w:val="0"/>
              </w:rPr>
              <w:drawing>
                <wp:inline distT="0" distB="0" distL="0" distR="0" wp14:anchorId="0378E621" wp14:editId="194195D0">
                  <wp:extent cx="699770" cy="142875"/>
                  <wp:effectExtent l="0" t="0" r="5080" b="9525"/>
                  <wp:docPr id="874681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9770" cy="142875"/>
                          </a:xfrm>
                          <a:prstGeom prst="rect">
                            <a:avLst/>
                          </a:prstGeom>
                          <a:noFill/>
                          <a:ln>
                            <a:noFill/>
                          </a:ln>
                        </pic:spPr>
                      </pic:pic>
                    </a:graphicData>
                  </a:graphic>
                </wp:inline>
              </w:drawing>
            </w:r>
          </w:p>
        </w:tc>
        <w:tc>
          <w:tcPr>
            <w:tcW w:w="2160" w:type="dxa"/>
            <w:tcBorders>
              <w:top w:val="single" w:sz="4" w:space="0" w:color="auto"/>
              <w:bottom w:val="single" w:sz="4" w:space="0" w:color="auto"/>
            </w:tcBorders>
            <w:vAlign w:val="bottom"/>
          </w:tcPr>
          <w:p w14:paraId="5EA3ED11" w14:textId="77777777" w:rsidR="00AC7266" w:rsidRPr="0002650F" w:rsidRDefault="00AC7266" w:rsidP="00AC7266">
            <w:pPr>
              <w:autoSpaceDE w:val="0"/>
              <w:autoSpaceDN w:val="0"/>
              <w:adjustRightInd w:val="0"/>
              <w:spacing w:after="0" w:line="276" w:lineRule="auto"/>
              <w:jc w:val="center"/>
              <w:rPr>
                <w:rFonts w:ascii="Times New Roman" w:hAnsi="Times New Roman" w:cs="Times New Roman"/>
                <w:color w:val="000000"/>
                <w:kern w:val="0"/>
              </w:rPr>
            </w:pPr>
            <w:r w:rsidRPr="0002650F">
              <w:rPr>
                <w:rFonts w:ascii="Times New Roman" w:hAnsi="Times New Roman" w:cs="Times New Roman"/>
                <w:color w:val="000000"/>
                <w:kern w:val="0"/>
              </w:rPr>
              <w:t>Order of Integration</w:t>
            </w:r>
          </w:p>
        </w:tc>
      </w:tr>
      <w:tr w:rsidR="00AC7266" w:rsidRPr="0002650F" w14:paraId="49A1C078" w14:textId="77777777" w:rsidTr="00AC7266">
        <w:trPr>
          <w:trHeight w:val="204"/>
        </w:trPr>
        <w:tc>
          <w:tcPr>
            <w:tcW w:w="2310" w:type="dxa"/>
            <w:tcBorders>
              <w:top w:val="single" w:sz="4" w:space="0" w:color="auto"/>
            </w:tcBorders>
            <w:vAlign w:val="bottom"/>
          </w:tcPr>
          <w:p w14:paraId="61AE0028" w14:textId="61B2D5C4"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spellStart"/>
            <w:r w:rsidRPr="0002650F">
              <w:rPr>
                <w:rFonts w:ascii="Times New Roman" w:hAnsi="Times New Roman" w:cs="Times New Roman"/>
                <w:color w:val="000000" w:themeColor="text1"/>
                <w:kern w:val="0"/>
              </w:rPr>
              <w:t>log</w:t>
            </w:r>
            <w:r w:rsidR="00657305" w:rsidRPr="0002650F">
              <w:rPr>
                <w:rFonts w:ascii="Times New Roman" w:hAnsi="Times New Roman" w:cs="Times New Roman"/>
                <w:color w:val="000000" w:themeColor="text1"/>
                <w:kern w:val="0"/>
              </w:rPr>
              <w:t>hcpi</w:t>
            </w:r>
            <w:proofErr w:type="spellEnd"/>
          </w:p>
        </w:tc>
        <w:tc>
          <w:tcPr>
            <w:tcW w:w="2340" w:type="dxa"/>
            <w:tcBorders>
              <w:top w:val="single" w:sz="4" w:space="0" w:color="auto"/>
            </w:tcBorders>
            <w:vAlign w:val="bottom"/>
          </w:tcPr>
          <w:p w14:paraId="66DAAC93" w14:textId="3C4B0CA0" w:rsidR="00AC7266" w:rsidRPr="0002650F" w:rsidRDefault="00657305"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kern w:val="0"/>
              </w:rPr>
              <w:t>-3.547622</w:t>
            </w:r>
          </w:p>
        </w:tc>
        <w:tc>
          <w:tcPr>
            <w:tcW w:w="2160" w:type="dxa"/>
            <w:tcBorders>
              <w:top w:val="single" w:sz="4" w:space="0" w:color="auto"/>
            </w:tcBorders>
            <w:vAlign w:val="bottom"/>
          </w:tcPr>
          <w:p w14:paraId="6E1B78D0" w14:textId="716742F8"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 0.00</w:t>
            </w:r>
            <w:r w:rsidR="00657305" w:rsidRPr="0002650F">
              <w:rPr>
                <w:rFonts w:ascii="Times New Roman" w:hAnsi="Times New Roman" w:cs="Times New Roman"/>
                <w:color w:val="000000" w:themeColor="text1"/>
              </w:rPr>
              <w:t>8</w:t>
            </w:r>
            <w:r w:rsidRPr="0002650F">
              <w:rPr>
                <w:rFonts w:ascii="Times New Roman" w:hAnsi="Times New Roman" w:cs="Times New Roman"/>
                <w:color w:val="000000" w:themeColor="text1"/>
              </w:rPr>
              <w:t>0</w:t>
            </w:r>
          </w:p>
        </w:tc>
        <w:tc>
          <w:tcPr>
            <w:tcW w:w="2160" w:type="dxa"/>
            <w:tcBorders>
              <w:top w:val="single" w:sz="4" w:space="0" w:color="auto"/>
            </w:tcBorders>
            <w:vAlign w:val="bottom"/>
          </w:tcPr>
          <w:p w14:paraId="2EF6B59B" w14:textId="7376BC92"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gramStart"/>
            <w:r w:rsidRPr="0002650F">
              <w:rPr>
                <w:rFonts w:ascii="Times New Roman" w:hAnsi="Times New Roman" w:cs="Times New Roman"/>
                <w:color w:val="000000" w:themeColor="text1"/>
                <w:kern w:val="0"/>
              </w:rPr>
              <w:t>I(</w:t>
            </w:r>
            <w:proofErr w:type="gramEnd"/>
            <w:r w:rsidRPr="0002650F">
              <w:rPr>
                <w:rFonts w:ascii="Times New Roman" w:hAnsi="Times New Roman" w:cs="Times New Roman"/>
                <w:color w:val="000000" w:themeColor="text1"/>
                <w:kern w:val="0"/>
              </w:rPr>
              <w:t>1)</w:t>
            </w:r>
          </w:p>
        </w:tc>
      </w:tr>
      <w:tr w:rsidR="00AC7266" w:rsidRPr="0002650F" w14:paraId="2FA106B3" w14:textId="77777777" w:rsidTr="00AC7266">
        <w:trPr>
          <w:trHeight w:val="204"/>
        </w:trPr>
        <w:tc>
          <w:tcPr>
            <w:tcW w:w="2310" w:type="dxa"/>
            <w:vAlign w:val="bottom"/>
          </w:tcPr>
          <w:p w14:paraId="5D61882B" w14:textId="68BE648D"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spellStart"/>
            <w:r w:rsidRPr="0002650F">
              <w:rPr>
                <w:rFonts w:ascii="Times New Roman" w:hAnsi="Times New Roman" w:cs="Times New Roman"/>
                <w:color w:val="000000" w:themeColor="text1"/>
                <w:kern w:val="0"/>
              </w:rPr>
              <w:t>log</w:t>
            </w:r>
            <w:r w:rsidR="00657305" w:rsidRPr="0002650F">
              <w:rPr>
                <w:rFonts w:ascii="Times New Roman" w:hAnsi="Times New Roman" w:cs="Times New Roman"/>
                <w:color w:val="000000" w:themeColor="text1"/>
                <w:kern w:val="0"/>
              </w:rPr>
              <w:t>e</w:t>
            </w:r>
            <w:r w:rsidRPr="0002650F">
              <w:rPr>
                <w:rFonts w:ascii="Times New Roman" w:hAnsi="Times New Roman" w:cs="Times New Roman"/>
                <w:color w:val="000000" w:themeColor="text1"/>
                <w:kern w:val="0"/>
              </w:rPr>
              <w:t>tranz</w:t>
            </w:r>
            <w:proofErr w:type="spellEnd"/>
          </w:p>
        </w:tc>
        <w:tc>
          <w:tcPr>
            <w:tcW w:w="2340" w:type="dxa"/>
            <w:vAlign w:val="bottom"/>
          </w:tcPr>
          <w:p w14:paraId="1CE79D62" w14:textId="27C7C7DF"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-1</w:t>
            </w:r>
            <w:r w:rsidR="00FE182A" w:rsidRPr="0002650F">
              <w:rPr>
                <w:rFonts w:ascii="Times New Roman" w:hAnsi="Times New Roman" w:cs="Times New Roman"/>
                <w:color w:val="000000" w:themeColor="text1"/>
              </w:rPr>
              <w:t>2.04193</w:t>
            </w:r>
          </w:p>
        </w:tc>
        <w:tc>
          <w:tcPr>
            <w:tcW w:w="2160" w:type="dxa"/>
            <w:vAlign w:val="bottom"/>
          </w:tcPr>
          <w:p w14:paraId="7C8D6AE1" w14:textId="31B03A5E"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 0.0000</w:t>
            </w:r>
          </w:p>
        </w:tc>
        <w:tc>
          <w:tcPr>
            <w:tcW w:w="2160" w:type="dxa"/>
            <w:vAlign w:val="bottom"/>
          </w:tcPr>
          <w:p w14:paraId="584A2602" w14:textId="2AD61589"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gramStart"/>
            <w:r w:rsidRPr="0002650F">
              <w:rPr>
                <w:rFonts w:ascii="Times New Roman" w:hAnsi="Times New Roman" w:cs="Times New Roman"/>
                <w:color w:val="000000" w:themeColor="text1"/>
                <w:kern w:val="0"/>
              </w:rPr>
              <w:t>I(</w:t>
            </w:r>
            <w:proofErr w:type="gramEnd"/>
            <w:r w:rsidR="00157FEA" w:rsidRPr="0002650F">
              <w:rPr>
                <w:rFonts w:ascii="Times New Roman" w:hAnsi="Times New Roman" w:cs="Times New Roman"/>
                <w:color w:val="000000" w:themeColor="text1"/>
                <w:kern w:val="0"/>
              </w:rPr>
              <w:t>0</w:t>
            </w:r>
            <w:r w:rsidRPr="0002650F">
              <w:rPr>
                <w:rFonts w:ascii="Times New Roman" w:hAnsi="Times New Roman" w:cs="Times New Roman"/>
                <w:color w:val="000000" w:themeColor="text1"/>
                <w:kern w:val="0"/>
              </w:rPr>
              <w:t>)</w:t>
            </w:r>
          </w:p>
        </w:tc>
      </w:tr>
      <w:tr w:rsidR="00AC7266" w:rsidRPr="0002650F" w14:paraId="0E336B54" w14:textId="77777777" w:rsidTr="00AC7266">
        <w:trPr>
          <w:trHeight w:val="204"/>
        </w:trPr>
        <w:tc>
          <w:tcPr>
            <w:tcW w:w="2310" w:type="dxa"/>
            <w:vAlign w:val="bottom"/>
          </w:tcPr>
          <w:p w14:paraId="4F8AD10D" w14:textId="6BE2C002"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spellStart"/>
            <w:r w:rsidRPr="0002650F">
              <w:rPr>
                <w:rFonts w:ascii="Times New Roman" w:hAnsi="Times New Roman" w:cs="Times New Roman"/>
                <w:color w:val="000000" w:themeColor="text1"/>
                <w:kern w:val="0"/>
              </w:rPr>
              <w:t>log</w:t>
            </w:r>
            <w:r w:rsidR="00657305" w:rsidRPr="0002650F">
              <w:rPr>
                <w:rFonts w:ascii="Times New Roman" w:hAnsi="Times New Roman" w:cs="Times New Roman"/>
                <w:color w:val="000000" w:themeColor="text1"/>
                <w:kern w:val="0"/>
              </w:rPr>
              <w:t>r</w:t>
            </w:r>
            <w:r w:rsidRPr="0002650F">
              <w:rPr>
                <w:rFonts w:ascii="Times New Roman" w:hAnsi="Times New Roman" w:cs="Times New Roman"/>
                <w:color w:val="000000" w:themeColor="text1"/>
                <w:kern w:val="0"/>
              </w:rPr>
              <w:t>gdp</w:t>
            </w:r>
            <w:proofErr w:type="spellEnd"/>
          </w:p>
        </w:tc>
        <w:tc>
          <w:tcPr>
            <w:tcW w:w="2340" w:type="dxa"/>
            <w:vAlign w:val="bottom"/>
          </w:tcPr>
          <w:p w14:paraId="010A1B81" w14:textId="5550B824"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w:t>
            </w:r>
            <w:r w:rsidR="00157FEA" w:rsidRPr="0002650F">
              <w:rPr>
                <w:rFonts w:ascii="Times New Roman" w:hAnsi="Times New Roman" w:cs="Times New Roman"/>
                <w:color w:val="000000" w:themeColor="text1"/>
              </w:rPr>
              <w:t>16.11146</w:t>
            </w:r>
          </w:p>
        </w:tc>
        <w:tc>
          <w:tcPr>
            <w:tcW w:w="2160" w:type="dxa"/>
            <w:vAlign w:val="bottom"/>
          </w:tcPr>
          <w:p w14:paraId="7BCDE75F" w14:textId="594E7425"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 0.0000</w:t>
            </w:r>
          </w:p>
        </w:tc>
        <w:tc>
          <w:tcPr>
            <w:tcW w:w="2160" w:type="dxa"/>
            <w:vAlign w:val="bottom"/>
          </w:tcPr>
          <w:p w14:paraId="25321A9B" w14:textId="20DF7191"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gramStart"/>
            <w:r w:rsidRPr="0002650F">
              <w:rPr>
                <w:rFonts w:ascii="Times New Roman" w:hAnsi="Times New Roman" w:cs="Times New Roman"/>
                <w:color w:val="000000" w:themeColor="text1"/>
                <w:kern w:val="0"/>
              </w:rPr>
              <w:t>I(</w:t>
            </w:r>
            <w:proofErr w:type="gramEnd"/>
            <w:r w:rsidR="00157FEA" w:rsidRPr="0002650F">
              <w:rPr>
                <w:rFonts w:ascii="Times New Roman" w:hAnsi="Times New Roman" w:cs="Times New Roman"/>
                <w:color w:val="000000" w:themeColor="text1"/>
                <w:kern w:val="0"/>
              </w:rPr>
              <w:t>1</w:t>
            </w:r>
            <w:r w:rsidRPr="0002650F">
              <w:rPr>
                <w:rFonts w:ascii="Times New Roman" w:hAnsi="Times New Roman" w:cs="Times New Roman"/>
                <w:color w:val="000000" w:themeColor="text1"/>
                <w:kern w:val="0"/>
              </w:rPr>
              <w:t>)</w:t>
            </w:r>
          </w:p>
        </w:tc>
      </w:tr>
      <w:tr w:rsidR="00AC7266" w:rsidRPr="0002650F" w14:paraId="46934AA9" w14:textId="77777777" w:rsidTr="00AC7266">
        <w:trPr>
          <w:trHeight w:val="204"/>
        </w:trPr>
        <w:tc>
          <w:tcPr>
            <w:tcW w:w="2310" w:type="dxa"/>
            <w:vAlign w:val="bottom"/>
          </w:tcPr>
          <w:p w14:paraId="65A91FC6" w14:textId="40FF8748"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kern w:val="0"/>
              </w:rPr>
              <w:t>log</w:t>
            </w:r>
            <w:r w:rsidR="00657305" w:rsidRPr="0002650F">
              <w:rPr>
                <w:rFonts w:ascii="Times New Roman" w:hAnsi="Times New Roman" w:cs="Times New Roman"/>
                <w:color w:val="000000" w:themeColor="text1"/>
                <w:kern w:val="0"/>
              </w:rPr>
              <w:t>m</w:t>
            </w:r>
            <w:r w:rsidRPr="0002650F">
              <w:rPr>
                <w:rFonts w:ascii="Times New Roman" w:hAnsi="Times New Roman" w:cs="Times New Roman"/>
                <w:color w:val="000000" w:themeColor="text1"/>
                <w:kern w:val="0"/>
              </w:rPr>
              <w:t>3</w:t>
            </w:r>
          </w:p>
        </w:tc>
        <w:tc>
          <w:tcPr>
            <w:tcW w:w="2340" w:type="dxa"/>
            <w:vAlign w:val="bottom"/>
          </w:tcPr>
          <w:p w14:paraId="1A9661C1" w14:textId="36AA28E4"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w:t>
            </w:r>
            <w:r w:rsidR="00FE182A" w:rsidRPr="0002650F">
              <w:rPr>
                <w:rFonts w:ascii="Times New Roman" w:hAnsi="Times New Roman" w:cs="Times New Roman"/>
                <w:color w:val="000000" w:themeColor="text1"/>
              </w:rPr>
              <w:t>12.28979</w:t>
            </w:r>
          </w:p>
        </w:tc>
        <w:tc>
          <w:tcPr>
            <w:tcW w:w="2160" w:type="dxa"/>
            <w:vAlign w:val="bottom"/>
          </w:tcPr>
          <w:p w14:paraId="1630EFA0" w14:textId="7D230DEA"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0.0000</w:t>
            </w:r>
          </w:p>
        </w:tc>
        <w:tc>
          <w:tcPr>
            <w:tcW w:w="2160" w:type="dxa"/>
            <w:vAlign w:val="bottom"/>
          </w:tcPr>
          <w:p w14:paraId="6E657DAD" w14:textId="52435B31"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gramStart"/>
            <w:r w:rsidRPr="0002650F">
              <w:rPr>
                <w:rFonts w:ascii="Times New Roman" w:hAnsi="Times New Roman" w:cs="Times New Roman"/>
                <w:color w:val="000000" w:themeColor="text1"/>
                <w:kern w:val="0"/>
              </w:rPr>
              <w:t>I(</w:t>
            </w:r>
            <w:proofErr w:type="gramEnd"/>
            <w:r w:rsidRPr="0002650F">
              <w:rPr>
                <w:rFonts w:ascii="Times New Roman" w:hAnsi="Times New Roman" w:cs="Times New Roman"/>
                <w:color w:val="000000" w:themeColor="text1"/>
                <w:kern w:val="0"/>
              </w:rPr>
              <w:t>1)</w:t>
            </w:r>
          </w:p>
        </w:tc>
      </w:tr>
      <w:tr w:rsidR="00AC7266" w:rsidRPr="0002650F" w14:paraId="0CADF729" w14:textId="77777777" w:rsidTr="00AC7266">
        <w:trPr>
          <w:trHeight w:val="204"/>
        </w:trPr>
        <w:tc>
          <w:tcPr>
            <w:tcW w:w="2310" w:type="dxa"/>
            <w:vAlign w:val="bottom"/>
          </w:tcPr>
          <w:p w14:paraId="1BA41621" w14:textId="3690D1FC" w:rsidR="00AC7266" w:rsidRPr="0002650F" w:rsidRDefault="00657305"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spellStart"/>
            <w:r w:rsidRPr="0002650F">
              <w:rPr>
                <w:rFonts w:ascii="Times New Roman" w:hAnsi="Times New Roman" w:cs="Times New Roman"/>
                <w:color w:val="000000" w:themeColor="text1"/>
                <w:kern w:val="0"/>
              </w:rPr>
              <w:t>mpr</w:t>
            </w:r>
            <w:proofErr w:type="spellEnd"/>
          </w:p>
        </w:tc>
        <w:tc>
          <w:tcPr>
            <w:tcW w:w="2340" w:type="dxa"/>
            <w:vAlign w:val="bottom"/>
          </w:tcPr>
          <w:p w14:paraId="53F5DCEC" w14:textId="10E5DAF5"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-10.27262</w:t>
            </w:r>
          </w:p>
        </w:tc>
        <w:tc>
          <w:tcPr>
            <w:tcW w:w="2160" w:type="dxa"/>
            <w:vAlign w:val="bottom"/>
          </w:tcPr>
          <w:p w14:paraId="1A293A6E" w14:textId="331A9861"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0.0000</w:t>
            </w:r>
          </w:p>
        </w:tc>
        <w:tc>
          <w:tcPr>
            <w:tcW w:w="2160" w:type="dxa"/>
            <w:vAlign w:val="bottom"/>
          </w:tcPr>
          <w:p w14:paraId="3AB35418" w14:textId="2D333871"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gramStart"/>
            <w:r w:rsidRPr="0002650F">
              <w:rPr>
                <w:rFonts w:ascii="Times New Roman" w:hAnsi="Times New Roman" w:cs="Times New Roman"/>
                <w:color w:val="000000" w:themeColor="text1"/>
                <w:kern w:val="0"/>
              </w:rPr>
              <w:t>I(</w:t>
            </w:r>
            <w:proofErr w:type="gramEnd"/>
            <w:r w:rsidRPr="0002650F">
              <w:rPr>
                <w:rFonts w:ascii="Times New Roman" w:hAnsi="Times New Roman" w:cs="Times New Roman"/>
                <w:color w:val="000000" w:themeColor="text1"/>
                <w:kern w:val="0"/>
              </w:rPr>
              <w:t>1)</w:t>
            </w:r>
          </w:p>
        </w:tc>
      </w:tr>
    </w:tbl>
    <w:p w14:paraId="08EF9C97" w14:textId="77777777" w:rsidR="0073516B" w:rsidRPr="0002650F" w:rsidRDefault="0073516B" w:rsidP="00A65FDA">
      <w:pPr>
        <w:spacing w:line="276" w:lineRule="auto"/>
        <w:rPr>
          <w:rFonts w:ascii="Times New Roman" w:hAnsi="Times New Roman" w:cs="Times New Roman"/>
        </w:rPr>
      </w:pPr>
    </w:p>
    <w:p w14:paraId="6B570546" w14:textId="216ADED5" w:rsidR="0073516B" w:rsidRPr="0002650F" w:rsidRDefault="0073516B" w:rsidP="00A65FDA">
      <w:pPr>
        <w:spacing w:line="276" w:lineRule="auto"/>
        <w:jc w:val="both"/>
        <w:rPr>
          <w:rFonts w:ascii="Times New Roman" w:hAnsi="Times New Roman" w:cs="Times New Roman"/>
        </w:rPr>
      </w:pPr>
      <w:r w:rsidRPr="0002650F">
        <w:rPr>
          <w:rFonts w:ascii="Times New Roman" w:hAnsi="Times New Roman" w:cs="Times New Roman"/>
        </w:rPr>
        <w:t>The unit root test results using the Augmented Dickey-Fuller (ADF) test show mixed orders of integration among the variables.</w:t>
      </w:r>
      <w:r w:rsidR="00A3301C" w:rsidRPr="0002650F">
        <w:rPr>
          <w:rFonts w:ascii="Times New Roman" w:hAnsi="Times New Roman" w:cs="Times New Roman"/>
        </w:rPr>
        <w:t xml:space="preserve"> Log of headline Composite Index (HCPI), total value of electronic </w:t>
      </w:r>
      <w:r w:rsidR="00500930" w:rsidRPr="0002650F">
        <w:rPr>
          <w:rFonts w:ascii="Times New Roman" w:hAnsi="Times New Roman" w:cs="Times New Roman"/>
        </w:rPr>
        <w:t>transactions</w:t>
      </w:r>
      <w:r w:rsidR="00A3301C" w:rsidRPr="0002650F">
        <w:rPr>
          <w:rFonts w:ascii="Times New Roman" w:hAnsi="Times New Roman" w:cs="Times New Roman"/>
        </w:rPr>
        <w:t xml:space="preserve"> (</w:t>
      </w:r>
      <w:proofErr w:type="spellStart"/>
      <w:r w:rsidR="00C33767" w:rsidRPr="0002650F">
        <w:rPr>
          <w:rFonts w:ascii="Times New Roman" w:hAnsi="Times New Roman" w:cs="Times New Roman"/>
        </w:rPr>
        <w:t>e</w:t>
      </w:r>
      <w:r w:rsidR="00A3301C" w:rsidRPr="0002650F">
        <w:rPr>
          <w:rFonts w:ascii="Times New Roman" w:hAnsi="Times New Roman" w:cs="Times New Roman"/>
        </w:rPr>
        <w:t>tranz</w:t>
      </w:r>
      <w:proofErr w:type="spellEnd"/>
      <w:r w:rsidR="00A3301C" w:rsidRPr="0002650F">
        <w:rPr>
          <w:rFonts w:ascii="Times New Roman" w:hAnsi="Times New Roman" w:cs="Times New Roman"/>
        </w:rPr>
        <w:t>), log of broader money (M3)</w:t>
      </w:r>
      <w:r w:rsidR="00CF5240" w:rsidRPr="0002650F">
        <w:rPr>
          <w:rFonts w:ascii="Times New Roman" w:hAnsi="Times New Roman" w:cs="Times New Roman"/>
        </w:rPr>
        <w:t>,</w:t>
      </w:r>
      <w:r w:rsidR="00A3301C" w:rsidRPr="0002650F">
        <w:rPr>
          <w:rFonts w:ascii="Times New Roman" w:hAnsi="Times New Roman" w:cs="Times New Roman"/>
        </w:rPr>
        <w:t xml:space="preserve"> and Monetary Policy Rate (MPR) are all </w:t>
      </w:r>
      <w:r w:rsidRPr="0002650F">
        <w:rPr>
          <w:rFonts w:ascii="Times New Roman" w:hAnsi="Times New Roman" w:cs="Times New Roman"/>
        </w:rPr>
        <w:t xml:space="preserve">stationary after first differencing, indicating they are integrated of order one, </w:t>
      </w:r>
      <w:proofErr w:type="gramStart"/>
      <w:r w:rsidRPr="0002650F">
        <w:rPr>
          <w:rFonts w:ascii="Times New Roman" w:hAnsi="Times New Roman" w:cs="Times New Roman"/>
        </w:rPr>
        <w:t>I(</w:t>
      </w:r>
      <w:proofErr w:type="gramEnd"/>
      <w:r w:rsidRPr="0002650F">
        <w:rPr>
          <w:rFonts w:ascii="Times New Roman" w:hAnsi="Times New Roman" w:cs="Times New Roman"/>
        </w:rPr>
        <w:t xml:space="preserve">1). </w:t>
      </w:r>
      <w:r w:rsidR="00A3301C" w:rsidRPr="0002650F">
        <w:rPr>
          <w:rFonts w:ascii="Times New Roman" w:hAnsi="Times New Roman" w:cs="Times New Roman"/>
        </w:rPr>
        <w:t xml:space="preserve">However, </w:t>
      </w:r>
      <w:r w:rsidR="00CF5240" w:rsidRPr="0002650F">
        <w:rPr>
          <w:rFonts w:ascii="Times New Roman" w:hAnsi="Times New Roman" w:cs="Times New Roman"/>
        </w:rPr>
        <w:t xml:space="preserve">the </w:t>
      </w:r>
      <w:r w:rsidR="00A3301C" w:rsidRPr="0002650F">
        <w:rPr>
          <w:rFonts w:ascii="Times New Roman" w:hAnsi="Times New Roman" w:cs="Times New Roman"/>
        </w:rPr>
        <w:t>log of Real GDP (</w:t>
      </w:r>
      <w:proofErr w:type="spellStart"/>
      <w:r w:rsidR="00A3301C" w:rsidRPr="0002650F">
        <w:rPr>
          <w:rFonts w:ascii="Times New Roman" w:hAnsi="Times New Roman" w:cs="Times New Roman"/>
        </w:rPr>
        <w:t>Rgdp</w:t>
      </w:r>
      <w:proofErr w:type="spellEnd"/>
      <w:r w:rsidR="00A3301C" w:rsidRPr="0002650F">
        <w:rPr>
          <w:rFonts w:ascii="Times New Roman" w:hAnsi="Times New Roman" w:cs="Times New Roman"/>
        </w:rPr>
        <w:t>) is</w:t>
      </w:r>
      <w:r w:rsidRPr="0002650F">
        <w:rPr>
          <w:rFonts w:ascii="Times New Roman" w:hAnsi="Times New Roman" w:cs="Times New Roman"/>
        </w:rPr>
        <w:t xml:space="preserve"> stationary at levels, making </w:t>
      </w:r>
      <w:r w:rsidR="00A3301C" w:rsidRPr="0002650F">
        <w:rPr>
          <w:rFonts w:ascii="Times New Roman" w:hAnsi="Times New Roman" w:cs="Times New Roman"/>
        </w:rPr>
        <w:t>it</w:t>
      </w:r>
      <w:r w:rsidRPr="0002650F">
        <w:rPr>
          <w:rFonts w:ascii="Times New Roman" w:hAnsi="Times New Roman" w:cs="Times New Roman"/>
        </w:rPr>
        <w:t xml:space="preserve"> </w:t>
      </w:r>
      <w:proofErr w:type="gramStart"/>
      <w:r w:rsidRPr="0002650F">
        <w:rPr>
          <w:rFonts w:ascii="Times New Roman" w:hAnsi="Times New Roman" w:cs="Times New Roman"/>
        </w:rPr>
        <w:t>I(</w:t>
      </w:r>
      <w:proofErr w:type="gramEnd"/>
      <w:r w:rsidRPr="0002650F">
        <w:rPr>
          <w:rFonts w:ascii="Times New Roman" w:hAnsi="Times New Roman" w:cs="Times New Roman"/>
        </w:rPr>
        <w:t>0).</w:t>
      </w:r>
      <w:r w:rsidR="00A3301C" w:rsidRPr="0002650F">
        <w:rPr>
          <w:rFonts w:ascii="Times New Roman" w:hAnsi="Times New Roman" w:cs="Times New Roman"/>
        </w:rPr>
        <w:t xml:space="preserve"> </w:t>
      </w:r>
      <w:r w:rsidRPr="0002650F">
        <w:rPr>
          <w:rFonts w:ascii="Times New Roman" w:hAnsi="Times New Roman" w:cs="Times New Roman"/>
        </w:rPr>
        <w:t>These results suggest a mix</w:t>
      </w:r>
      <w:r w:rsidR="0057749E" w:rsidRPr="0002650F">
        <w:rPr>
          <w:rFonts w:ascii="Times New Roman" w:hAnsi="Times New Roman" w:cs="Times New Roman"/>
        </w:rPr>
        <w:t>ed</w:t>
      </w:r>
      <w:r w:rsidRPr="0002650F">
        <w:rPr>
          <w:rFonts w:ascii="Times New Roman" w:hAnsi="Times New Roman" w:cs="Times New Roman"/>
        </w:rPr>
        <w:t xml:space="preserve"> </w:t>
      </w:r>
      <w:r w:rsidR="00A3301C" w:rsidRPr="0002650F">
        <w:rPr>
          <w:rFonts w:ascii="Times New Roman" w:hAnsi="Times New Roman" w:cs="Times New Roman"/>
        </w:rPr>
        <w:t xml:space="preserve">order of integration </w:t>
      </w:r>
      <w:r w:rsidR="00CF5240" w:rsidRPr="0002650F">
        <w:rPr>
          <w:rFonts w:ascii="Times New Roman" w:hAnsi="Times New Roman" w:cs="Times New Roman"/>
        </w:rPr>
        <w:t>among</w:t>
      </w:r>
      <w:r w:rsidR="00A3301C" w:rsidRPr="0002650F">
        <w:rPr>
          <w:rFonts w:ascii="Times New Roman" w:hAnsi="Times New Roman" w:cs="Times New Roman"/>
        </w:rPr>
        <w:t xml:space="preserve"> the v</w:t>
      </w:r>
      <w:r w:rsidRPr="0002650F">
        <w:rPr>
          <w:rFonts w:ascii="Times New Roman" w:hAnsi="Times New Roman" w:cs="Times New Roman"/>
        </w:rPr>
        <w:t xml:space="preserve">ariables, which will influence the appropriate econometric modeling approach, particularly in addressing potential cointegration among variables with different orders of integration. The confirmation that the series are a mixture of </w:t>
      </w:r>
      <w:proofErr w:type="gramStart"/>
      <w:r w:rsidRPr="0002650F">
        <w:rPr>
          <w:rFonts w:ascii="Times New Roman" w:hAnsi="Times New Roman" w:cs="Times New Roman"/>
        </w:rPr>
        <w:t>I(</w:t>
      </w:r>
      <w:proofErr w:type="gramEnd"/>
      <w:r w:rsidRPr="0002650F">
        <w:rPr>
          <w:rFonts w:ascii="Times New Roman" w:hAnsi="Times New Roman" w:cs="Times New Roman"/>
        </w:rPr>
        <w:t xml:space="preserve">0), </w:t>
      </w:r>
      <w:r w:rsidR="00500930" w:rsidRPr="0002650F">
        <w:rPr>
          <w:rFonts w:ascii="Times New Roman" w:hAnsi="Times New Roman" w:cs="Times New Roman"/>
        </w:rPr>
        <w:t xml:space="preserve">and </w:t>
      </w:r>
      <w:r w:rsidRPr="0002650F">
        <w:rPr>
          <w:rFonts w:ascii="Times New Roman" w:hAnsi="Times New Roman" w:cs="Times New Roman"/>
        </w:rPr>
        <w:t xml:space="preserve">I(1), provides the rationale for performing the ARDL bounds test </w:t>
      </w:r>
      <w:r w:rsidR="00CF5240" w:rsidRPr="0002650F">
        <w:rPr>
          <w:rFonts w:ascii="Times New Roman" w:hAnsi="Times New Roman" w:cs="Times New Roman"/>
        </w:rPr>
        <w:t>for</w:t>
      </w:r>
      <w:r w:rsidRPr="0002650F">
        <w:rPr>
          <w:rFonts w:ascii="Times New Roman" w:hAnsi="Times New Roman" w:cs="Times New Roman"/>
        </w:rPr>
        <w:t xml:space="preserve"> cointegration. </w:t>
      </w:r>
    </w:p>
    <w:p w14:paraId="02DE52A6" w14:textId="018C78D8" w:rsidR="0073516B" w:rsidRPr="0002650F" w:rsidRDefault="007B56D0" w:rsidP="00A65FDA">
      <w:pPr>
        <w:spacing w:line="276" w:lineRule="auto"/>
        <w:jc w:val="both"/>
        <w:rPr>
          <w:rFonts w:ascii="Times New Roman" w:hAnsi="Times New Roman" w:cs="Times New Roman"/>
          <w:b/>
          <w:bCs/>
          <w:color w:val="C00000"/>
        </w:rPr>
      </w:pPr>
      <w:r w:rsidRPr="0002650F">
        <w:rPr>
          <w:rFonts w:ascii="Times New Roman" w:hAnsi="Times New Roman" w:cs="Times New Roman"/>
          <w:b/>
          <w:bCs/>
          <w:color w:val="C00000"/>
        </w:rPr>
        <w:t xml:space="preserve">4.1 </w:t>
      </w:r>
      <w:r w:rsidR="0073516B" w:rsidRPr="0002650F">
        <w:rPr>
          <w:rFonts w:ascii="Times New Roman" w:hAnsi="Times New Roman" w:cs="Times New Roman"/>
          <w:b/>
          <w:bCs/>
          <w:color w:val="C00000"/>
        </w:rPr>
        <w:t xml:space="preserve">ARDL Bounds Test </w:t>
      </w:r>
      <w:r w:rsidR="0065588B" w:rsidRPr="0002650F">
        <w:rPr>
          <w:rFonts w:ascii="Times New Roman" w:hAnsi="Times New Roman" w:cs="Times New Roman"/>
          <w:b/>
          <w:bCs/>
          <w:color w:val="C00000"/>
        </w:rPr>
        <w:t>for</w:t>
      </w:r>
      <w:r w:rsidR="0073516B" w:rsidRPr="0002650F">
        <w:rPr>
          <w:rFonts w:ascii="Times New Roman" w:hAnsi="Times New Roman" w:cs="Times New Roman"/>
          <w:b/>
          <w:bCs/>
          <w:color w:val="C00000"/>
        </w:rPr>
        <w:t xml:space="preserve"> Cointegration</w:t>
      </w:r>
    </w:p>
    <w:p w14:paraId="11098A92" w14:textId="77777777" w:rsidR="007B56D0" w:rsidRPr="0002650F" w:rsidRDefault="007B56D0" w:rsidP="007B56D0">
      <w:pPr>
        <w:spacing w:line="276" w:lineRule="auto"/>
        <w:jc w:val="both"/>
        <w:rPr>
          <w:rFonts w:ascii="Times New Roman" w:hAnsi="Times New Roman" w:cs="Times New Roman"/>
        </w:rPr>
      </w:pPr>
      <w:r w:rsidRPr="0002650F">
        <w:rPr>
          <w:rFonts w:ascii="Times New Roman" w:hAnsi="Times New Roman" w:cs="Times New Roman"/>
        </w:rPr>
        <w:lastRenderedPageBreak/>
        <w:t xml:space="preserve">The ARDL bounds test results, with an F-statistic of 5.447531, suggest there is cointegration among the variables under consideration, as the test statistic is above the critical values for both </w:t>
      </w:r>
      <w:proofErr w:type="gramStart"/>
      <w:r w:rsidRPr="0002650F">
        <w:rPr>
          <w:rFonts w:ascii="Times New Roman" w:hAnsi="Times New Roman" w:cs="Times New Roman"/>
        </w:rPr>
        <w:t>I(</w:t>
      </w:r>
      <w:proofErr w:type="gramEnd"/>
      <w:r w:rsidRPr="0002650F">
        <w:rPr>
          <w:rFonts w:ascii="Times New Roman" w:hAnsi="Times New Roman" w:cs="Times New Roman"/>
        </w:rPr>
        <w:t xml:space="preserve">0) and I(1) at all significance levels. This implies that there is a long-run equilibrium relationship among the variables in the model. From an economic perspective, this result suggests that the variables move together in the long run, meaning that changes in one variable are directly associated with changes in the others over time. </w:t>
      </w:r>
    </w:p>
    <w:p w14:paraId="7D95F783" w14:textId="355BC0CE" w:rsidR="0053098A" w:rsidRPr="0002650F" w:rsidRDefault="0053098A" w:rsidP="0053098A">
      <w:pPr>
        <w:spacing w:line="276" w:lineRule="auto"/>
        <w:jc w:val="both"/>
        <w:rPr>
          <w:rFonts w:ascii="Times New Roman" w:hAnsi="Times New Roman" w:cs="Times New Roman"/>
          <w:b/>
          <w:bCs/>
          <w:color w:val="C00000"/>
        </w:rPr>
      </w:pPr>
      <w:r w:rsidRPr="0002650F">
        <w:rPr>
          <w:rFonts w:ascii="Times New Roman" w:hAnsi="Times New Roman" w:cs="Times New Roman"/>
          <w:b/>
          <w:bCs/>
          <w:color w:val="C00000"/>
        </w:rPr>
        <w:t>Table 3: Result of the Wald ARDL Bounds Test for Cointegration</w:t>
      </w:r>
    </w:p>
    <w:p w14:paraId="681D587E" w14:textId="603E5543" w:rsidR="00956D0D" w:rsidRPr="0002650F" w:rsidRDefault="0053098A" w:rsidP="00A65FDA">
      <w:pPr>
        <w:spacing w:line="276" w:lineRule="auto"/>
        <w:jc w:val="both"/>
        <w:rPr>
          <w:rFonts w:ascii="Times New Roman" w:hAnsi="Times New Roman" w:cs="Times New Roman"/>
        </w:rPr>
      </w:pPr>
      <w:r w:rsidRPr="0002650F">
        <w:rPr>
          <w:rFonts w:ascii="Times New Roman" w:hAnsi="Times New Roman" w:cs="Times New Roman"/>
          <w:b/>
          <w:bCs/>
          <w:color w:val="C00000"/>
        </w:rPr>
        <w:t xml:space="preserve"> </w:t>
      </w:r>
      <w:r w:rsidR="00956D0D" w:rsidRPr="0002650F">
        <w:rPr>
          <w:rFonts w:ascii="Times New Roman" w:hAnsi="Times New Roman" w:cs="Times New Roman"/>
          <w:noProof/>
        </w:rPr>
        <w:drawing>
          <wp:inline distT="0" distB="0" distL="0" distR="0" wp14:anchorId="52CE7D85" wp14:editId="56B2349A">
            <wp:extent cx="4000706" cy="2273417"/>
            <wp:effectExtent l="0" t="0" r="0" b="0"/>
            <wp:docPr id="545061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61157" name=""/>
                    <pic:cNvPicPr/>
                  </pic:nvPicPr>
                  <pic:blipFill>
                    <a:blip r:embed="rId8"/>
                    <a:stretch>
                      <a:fillRect/>
                    </a:stretch>
                  </pic:blipFill>
                  <pic:spPr>
                    <a:xfrm>
                      <a:off x="0" y="0"/>
                      <a:ext cx="4000706" cy="2273417"/>
                    </a:xfrm>
                    <a:prstGeom prst="rect">
                      <a:avLst/>
                    </a:prstGeom>
                  </pic:spPr>
                </pic:pic>
              </a:graphicData>
            </a:graphic>
          </wp:inline>
        </w:drawing>
      </w:r>
    </w:p>
    <w:p w14:paraId="4E6FD12C" w14:textId="2BEA9E8A" w:rsidR="006F1C70" w:rsidRPr="0002650F" w:rsidRDefault="0073516B" w:rsidP="00A65FDA">
      <w:pPr>
        <w:spacing w:line="276" w:lineRule="auto"/>
        <w:jc w:val="both"/>
        <w:rPr>
          <w:rFonts w:ascii="Times New Roman" w:hAnsi="Times New Roman" w:cs="Times New Roman"/>
          <w:b/>
          <w:bCs/>
          <w:color w:val="BF4E14" w:themeColor="accent2" w:themeShade="BF"/>
        </w:rPr>
      </w:pPr>
      <w:r w:rsidRPr="0002650F">
        <w:rPr>
          <w:rFonts w:ascii="Times New Roman" w:hAnsi="Times New Roman" w:cs="Times New Roman"/>
          <w:color w:val="C00000"/>
          <w:kern w:val="0"/>
        </w:rPr>
        <w:br/>
      </w:r>
      <w:r w:rsidR="007B56D0" w:rsidRPr="0002650F">
        <w:rPr>
          <w:rFonts w:ascii="Times New Roman" w:hAnsi="Times New Roman" w:cs="Times New Roman"/>
          <w:b/>
          <w:bCs/>
          <w:color w:val="C00000"/>
        </w:rPr>
        <w:t xml:space="preserve">4.2 </w:t>
      </w:r>
      <w:r w:rsidR="006F1C70" w:rsidRPr="0002650F">
        <w:rPr>
          <w:rFonts w:ascii="Times New Roman" w:hAnsi="Times New Roman" w:cs="Times New Roman"/>
          <w:b/>
          <w:bCs/>
          <w:color w:val="C00000"/>
        </w:rPr>
        <w:t xml:space="preserve">Results of Long-Run </w:t>
      </w:r>
      <w:r w:rsidR="006F1C70" w:rsidRPr="0002650F">
        <w:rPr>
          <w:rFonts w:ascii="Times New Roman" w:hAnsi="Times New Roman" w:cs="Times New Roman"/>
          <w:b/>
          <w:bCs/>
          <w:color w:val="BF4E14" w:themeColor="accent2" w:themeShade="BF"/>
        </w:rPr>
        <w:t>Regression Estimate (Dynamics of Price Stability)</w:t>
      </w:r>
    </w:p>
    <w:p w14:paraId="129E82DD" w14:textId="08F41366" w:rsidR="00D14D82" w:rsidRPr="0002650F" w:rsidRDefault="0053098A" w:rsidP="00A65FDA">
      <w:pPr>
        <w:spacing w:line="276" w:lineRule="auto"/>
        <w:jc w:val="both"/>
        <w:rPr>
          <w:rFonts w:ascii="Times New Roman" w:hAnsi="Times New Roman" w:cs="Times New Roman"/>
        </w:rPr>
      </w:pPr>
      <w:r w:rsidRPr="0002650F">
        <w:rPr>
          <w:rFonts w:ascii="Times New Roman" w:hAnsi="Times New Roman" w:cs="Times New Roman"/>
        </w:rPr>
        <w:t>From</w:t>
      </w:r>
      <w:r w:rsidR="006F1C70" w:rsidRPr="0002650F">
        <w:rPr>
          <w:rFonts w:ascii="Times New Roman" w:hAnsi="Times New Roman" w:cs="Times New Roman"/>
        </w:rPr>
        <w:t xml:space="preserve"> the ARDL estimation result presented in Table 4, the coefficient of </w:t>
      </w:r>
      <w:r w:rsidRPr="0002650F">
        <w:rPr>
          <w:rFonts w:ascii="Times New Roman" w:hAnsi="Times New Roman" w:cs="Times New Roman"/>
        </w:rPr>
        <w:t xml:space="preserve">total </w:t>
      </w:r>
      <w:r w:rsidR="000326D4">
        <w:rPr>
          <w:rFonts w:ascii="Times New Roman" w:hAnsi="Times New Roman" w:cs="Times New Roman"/>
        </w:rPr>
        <w:t xml:space="preserve">value of </w:t>
      </w:r>
      <w:r w:rsidRPr="0002650F">
        <w:rPr>
          <w:rFonts w:ascii="Times New Roman" w:hAnsi="Times New Roman" w:cs="Times New Roman"/>
        </w:rPr>
        <w:t>electronic tr</w:t>
      </w:r>
      <w:r w:rsidR="000326D4">
        <w:rPr>
          <w:rFonts w:ascii="Times New Roman" w:hAnsi="Times New Roman" w:cs="Times New Roman"/>
        </w:rPr>
        <w:t>ansactions</w:t>
      </w:r>
      <w:r w:rsidRPr="0002650F">
        <w:rPr>
          <w:rFonts w:ascii="Times New Roman" w:hAnsi="Times New Roman" w:cs="Times New Roman"/>
        </w:rPr>
        <w:t xml:space="preserve"> (</w:t>
      </w:r>
      <w:proofErr w:type="spellStart"/>
      <w:r w:rsidRPr="0002650F">
        <w:rPr>
          <w:rFonts w:ascii="Times New Roman" w:hAnsi="Times New Roman" w:cs="Times New Roman"/>
        </w:rPr>
        <w:t>etranz</w:t>
      </w:r>
      <w:proofErr w:type="spellEnd"/>
      <w:r w:rsidRPr="0002650F">
        <w:rPr>
          <w:rFonts w:ascii="Times New Roman" w:hAnsi="Times New Roman" w:cs="Times New Roman"/>
        </w:rPr>
        <w:t xml:space="preserve">) </w:t>
      </w:r>
      <w:r w:rsidR="006F1C70" w:rsidRPr="0002650F">
        <w:rPr>
          <w:rFonts w:ascii="Times New Roman" w:hAnsi="Times New Roman" w:cs="Times New Roman"/>
        </w:rPr>
        <w:t xml:space="preserve">showed a </w:t>
      </w:r>
      <w:r w:rsidR="00D23540" w:rsidRPr="0002650F">
        <w:rPr>
          <w:rFonts w:ascii="Times New Roman" w:hAnsi="Times New Roman" w:cs="Times New Roman"/>
        </w:rPr>
        <w:t xml:space="preserve">positive </w:t>
      </w:r>
      <w:r w:rsidR="00A30E0F" w:rsidRPr="0002650F">
        <w:rPr>
          <w:rFonts w:ascii="Times New Roman" w:hAnsi="Times New Roman" w:cs="Times New Roman"/>
        </w:rPr>
        <w:t>sign (0.</w:t>
      </w:r>
      <w:r w:rsidR="00D23540" w:rsidRPr="0002650F">
        <w:rPr>
          <w:rFonts w:ascii="Times New Roman" w:hAnsi="Times New Roman" w:cs="Times New Roman"/>
        </w:rPr>
        <w:t>196754</w:t>
      </w:r>
      <w:r w:rsidR="00A30E0F" w:rsidRPr="0002650F">
        <w:rPr>
          <w:rFonts w:ascii="Times New Roman" w:hAnsi="Times New Roman" w:cs="Times New Roman"/>
        </w:rPr>
        <w:t>)</w:t>
      </w:r>
      <w:r w:rsidR="00D23540" w:rsidRPr="0002650F">
        <w:rPr>
          <w:rFonts w:ascii="Times New Roman" w:hAnsi="Times New Roman" w:cs="Times New Roman"/>
        </w:rPr>
        <w:t xml:space="preserve">, but not </w:t>
      </w:r>
      <w:r w:rsidR="00A30E0F" w:rsidRPr="0002650F">
        <w:rPr>
          <w:rFonts w:ascii="Times New Roman" w:hAnsi="Times New Roman" w:cs="Times New Roman"/>
        </w:rPr>
        <w:t xml:space="preserve">statistically significant, implying that </w:t>
      </w:r>
      <w:r w:rsidR="00DE5C69" w:rsidRPr="0002650F">
        <w:rPr>
          <w:rFonts w:ascii="Times New Roman" w:hAnsi="Times New Roman" w:cs="Times New Roman"/>
        </w:rPr>
        <w:t>the value</w:t>
      </w:r>
      <w:r w:rsidR="00D23540" w:rsidRPr="0002650F">
        <w:rPr>
          <w:rFonts w:ascii="Times New Roman" w:hAnsi="Times New Roman" w:cs="Times New Roman"/>
        </w:rPr>
        <w:t xml:space="preserve"> of digital transactions in the economy does not </w:t>
      </w:r>
      <w:r w:rsidR="00D14D82" w:rsidRPr="0002650F">
        <w:rPr>
          <w:rFonts w:ascii="Times New Roman" w:hAnsi="Times New Roman" w:cs="Times New Roman"/>
        </w:rPr>
        <w:t xml:space="preserve">significantly </w:t>
      </w:r>
      <w:r w:rsidR="00D23540" w:rsidRPr="0002650F">
        <w:rPr>
          <w:rFonts w:ascii="Times New Roman" w:hAnsi="Times New Roman" w:cs="Times New Roman"/>
        </w:rPr>
        <w:t>reduce inflation</w:t>
      </w:r>
      <w:r w:rsidR="00D14D82" w:rsidRPr="0002650F">
        <w:rPr>
          <w:rFonts w:ascii="Times New Roman" w:hAnsi="Times New Roman" w:cs="Times New Roman"/>
        </w:rPr>
        <w:t>,</w:t>
      </w:r>
      <w:r w:rsidR="00D23540" w:rsidRPr="0002650F">
        <w:rPr>
          <w:rFonts w:ascii="Times New Roman" w:hAnsi="Times New Roman" w:cs="Times New Roman"/>
        </w:rPr>
        <w:t xml:space="preserve"> </w:t>
      </w:r>
      <w:r w:rsidR="00463F82">
        <w:rPr>
          <w:rFonts w:ascii="Times New Roman" w:hAnsi="Times New Roman" w:cs="Times New Roman"/>
        </w:rPr>
        <w:t xml:space="preserve">rather its adds to the inflationary tendencies </w:t>
      </w:r>
      <w:r w:rsidR="00D23540" w:rsidRPr="0002650F">
        <w:rPr>
          <w:rFonts w:ascii="Times New Roman" w:hAnsi="Times New Roman" w:cs="Times New Roman"/>
        </w:rPr>
        <w:t>just as physical money supply does</w:t>
      </w:r>
      <w:r w:rsidR="009F7C34" w:rsidRPr="0002650F">
        <w:rPr>
          <w:rFonts w:ascii="Times New Roman" w:hAnsi="Times New Roman" w:cs="Times New Roman"/>
        </w:rPr>
        <w:t>,</w:t>
      </w:r>
      <w:r w:rsidR="006B0D62" w:rsidRPr="0002650F">
        <w:rPr>
          <w:rFonts w:ascii="Times New Roman" w:hAnsi="Times New Roman" w:cs="Times New Roman"/>
        </w:rPr>
        <w:t xml:space="preserve"> as this met our a</w:t>
      </w:r>
      <w:r w:rsidR="008E7D7F" w:rsidRPr="0002650F">
        <w:rPr>
          <w:rFonts w:ascii="Times New Roman" w:hAnsi="Times New Roman" w:cs="Times New Roman"/>
        </w:rPr>
        <w:t xml:space="preserve"> priori</w:t>
      </w:r>
      <w:r w:rsidR="006B0D62" w:rsidRPr="0002650F">
        <w:rPr>
          <w:rFonts w:ascii="Times New Roman" w:hAnsi="Times New Roman" w:cs="Times New Roman"/>
        </w:rPr>
        <w:t xml:space="preserve"> expectation</w:t>
      </w:r>
      <w:r w:rsidR="00D23540" w:rsidRPr="0002650F">
        <w:rPr>
          <w:rFonts w:ascii="Times New Roman" w:hAnsi="Times New Roman" w:cs="Times New Roman"/>
        </w:rPr>
        <w:t xml:space="preserve">. Electronic transactions are electronic money (e-money) and </w:t>
      </w:r>
      <w:r w:rsidR="000326D4">
        <w:rPr>
          <w:rFonts w:ascii="Times New Roman" w:hAnsi="Times New Roman" w:cs="Times New Roman"/>
        </w:rPr>
        <w:t xml:space="preserve">a </w:t>
      </w:r>
      <w:r w:rsidR="00D23540" w:rsidRPr="0002650F">
        <w:rPr>
          <w:rFonts w:ascii="Times New Roman" w:hAnsi="Times New Roman" w:cs="Times New Roman"/>
        </w:rPr>
        <w:t>represent</w:t>
      </w:r>
      <w:r w:rsidR="000326D4">
        <w:rPr>
          <w:rFonts w:ascii="Times New Roman" w:hAnsi="Times New Roman" w:cs="Times New Roman"/>
        </w:rPr>
        <w:t xml:space="preserve">ation of </w:t>
      </w:r>
      <w:r w:rsidR="00D23540" w:rsidRPr="0002650F">
        <w:rPr>
          <w:rFonts w:ascii="Times New Roman" w:hAnsi="Times New Roman" w:cs="Times New Roman"/>
        </w:rPr>
        <w:t>components</w:t>
      </w:r>
      <w:r w:rsidR="000326D4">
        <w:rPr>
          <w:rFonts w:ascii="Times New Roman" w:hAnsi="Times New Roman" w:cs="Times New Roman"/>
        </w:rPr>
        <w:t xml:space="preserve"> in</w:t>
      </w:r>
      <w:r w:rsidR="00D23540" w:rsidRPr="0002650F">
        <w:rPr>
          <w:rFonts w:ascii="Times New Roman" w:hAnsi="Times New Roman" w:cs="Times New Roman"/>
        </w:rPr>
        <w:t xml:space="preserve"> </w:t>
      </w:r>
      <w:r w:rsidR="00DE5C69" w:rsidRPr="0002650F">
        <w:rPr>
          <w:rFonts w:ascii="Times New Roman" w:hAnsi="Times New Roman" w:cs="Times New Roman"/>
        </w:rPr>
        <w:t>the aggregat</w:t>
      </w:r>
      <w:r w:rsidR="000326D4">
        <w:rPr>
          <w:rFonts w:ascii="Times New Roman" w:hAnsi="Times New Roman" w:cs="Times New Roman"/>
        </w:rPr>
        <w:t xml:space="preserve">ion of </w:t>
      </w:r>
      <w:r w:rsidR="00D23540" w:rsidRPr="0002650F">
        <w:rPr>
          <w:rFonts w:ascii="Times New Roman" w:hAnsi="Times New Roman" w:cs="Times New Roman"/>
        </w:rPr>
        <w:t>money supply</w:t>
      </w:r>
      <w:r w:rsidR="00DE5C69" w:rsidRPr="0002650F">
        <w:rPr>
          <w:rFonts w:ascii="Times New Roman" w:hAnsi="Times New Roman" w:cs="Times New Roman"/>
        </w:rPr>
        <w:t xml:space="preserve"> in the economy</w:t>
      </w:r>
      <w:r w:rsidR="00D23540" w:rsidRPr="0002650F">
        <w:rPr>
          <w:rFonts w:ascii="Times New Roman" w:hAnsi="Times New Roman" w:cs="Times New Roman"/>
        </w:rPr>
        <w:t>.</w:t>
      </w:r>
      <w:r w:rsidR="00DE5C69" w:rsidRPr="0002650F">
        <w:rPr>
          <w:rFonts w:ascii="Times New Roman" w:hAnsi="Times New Roman" w:cs="Times New Roman"/>
        </w:rPr>
        <w:t xml:space="preserve"> The result also followed Milton Friedman’s postulation that money supply is the primary determinant of </w:t>
      </w:r>
      <w:r w:rsidR="002E16E1" w:rsidRPr="0002650F">
        <w:rPr>
          <w:rFonts w:ascii="Times New Roman" w:hAnsi="Times New Roman" w:cs="Times New Roman"/>
        </w:rPr>
        <w:t>long-term</w:t>
      </w:r>
      <w:r w:rsidR="00DE5C69" w:rsidRPr="0002650F">
        <w:rPr>
          <w:rFonts w:ascii="Times New Roman" w:hAnsi="Times New Roman" w:cs="Times New Roman"/>
        </w:rPr>
        <w:t xml:space="preserve"> price levels in a typical economy.</w:t>
      </w:r>
      <w:r w:rsidR="00D14D82" w:rsidRPr="0002650F">
        <w:rPr>
          <w:rFonts w:ascii="Times New Roman" w:hAnsi="Times New Roman" w:cs="Times New Roman"/>
        </w:rPr>
        <w:t xml:space="preserve"> This result implies that digital transactions</w:t>
      </w:r>
      <w:r w:rsidR="000326D4">
        <w:rPr>
          <w:rFonts w:ascii="Times New Roman" w:hAnsi="Times New Roman" w:cs="Times New Roman"/>
        </w:rPr>
        <w:t xml:space="preserve"> </w:t>
      </w:r>
      <w:r w:rsidR="00D14D82" w:rsidRPr="0002650F">
        <w:rPr>
          <w:rFonts w:ascii="Times New Roman" w:hAnsi="Times New Roman" w:cs="Times New Roman"/>
        </w:rPr>
        <w:t>in the long term are a major driver of inflation</w:t>
      </w:r>
      <w:r w:rsidR="000326D4">
        <w:rPr>
          <w:rFonts w:ascii="Times New Roman" w:hAnsi="Times New Roman" w:cs="Times New Roman"/>
        </w:rPr>
        <w:t xml:space="preserve"> as </w:t>
      </w:r>
      <w:r w:rsidR="00463F82">
        <w:rPr>
          <w:rFonts w:ascii="Times New Roman" w:hAnsi="Times New Roman" w:cs="Times New Roman"/>
        </w:rPr>
        <w:t>it</w:t>
      </w:r>
      <w:r w:rsidR="000326D4">
        <w:rPr>
          <w:rFonts w:ascii="Times New Roman" w:hAnsi="Times New Roman" w:cs="Times New Roman"/>
        </w:rPr>
        <w:t xml:space="preserve"> increases inflationary pressure</w:t>
      </w:r>
      <w:r w:rsidR="00D14D82" w:rsidRPr="0002650F">
        <w:rPr>
          <w:rFonts w:ascii="Times New Roman" w:hAnsi="Times New Roman" w:cs="Times New Roman"/>
        </w:rPr>
        <w:t xml:space="preserve">. While the growth of digital financial systems is important, it may not immediately affect inflationary pressures (Belke &amp; Beretta, 2020). Other structural factors, such as monetary policy or fiscal </w:t>
      </w:r>
      <w:r w:rsidR="008112C6" w:rsidRPr="0002650F">
        <w:rPr>
          <w:rFonts w:ascii="Times New Roman" w:hAnsi="Times New Roman" w:cs="Times New Roman"/>
        </w:rPr>
        <w:t>policy</w:t>
      </w:r>
      <w:r w:rsidR="00D14D82" w:rsidRPr="0002650F">
        <w:rPr>
          <w:rFonts w:ascii="Times New Roman" w:hAnsi="Times New Roman" w:cs="Times New Roman"/>
        </w:rPr>
        <w:t>, are likely more influential in determining inflation</w:t>
      </w:r>
      <w:r w:rsidR="008112C6" w:rsidRPr="0002650F">
        <w:rPr>
          <w:rFonts w:ascii="Times New Roman" w:hAnsi="Times New Roman" w:cs="Times New Roman"/>
        </w:rPr>
        <w:t>.</w:t>
      </w:r>
    </w:p>
    <w:p w14:paraId="3733892A" w14:textId="77777777" w:rsidR="00C45D24" w:rsidRPr="0002650F" w:rsidRDefault="00C45D24" w:rsidP="00C45D24">
      <w:pPr>
        <w:spacing w:line="276" w:lineRule="auto"/>
        <w:jc w:val="both"/>
        <w:rPr>
          <w:rFonts w:ascii="Times New Roman" w:hAnsi="Times New Roman" w:cs="Times New Roman"/>
          <w:b/>
          <w:bCs/>
        </w:rPr>
      </w:pPr>
      <w:r w:rsidRPr="0002650F">
        <w:rPr>
          <w:rFonts w:ascii="Times New Roman" w:hAnsi="Times New Roman" w:cs="Times New Roman"/>
          <w:b/>
          <w:bCs/>
        </w:rPr>
        <w:t>Table 4: Result of the Long Run Coefficient ARDL</w:t>
      </w:r>
    </w:p>
    <w:p w14:paraId="2178F351" w14:textId="77777777" w:rsidR="008112C6" w:rsidRPr="0002650F" w:rsidRDefault="00D23540" w:rsidP="00A65FDA">
      <w:pPr>
        <w:spacing w:line="276" w:lineRule="auto"/>
        <w:jc w:val="both"/>
        <w:rPr>
          <w:rFonts w:ascii="Times New Roman" w:hAnsi="Times New Roman" w:cs="Times New Roman"/>
          <w:color w:val="C00000"/>
        </w:rPr>
      </w:pPr>
      <w:r w:rsidRPr="0002650F">
        <w:rPr>
          <w:rFonts w:ascii="Times New Roman" w:hAnsi="Times New Roman" w:cs="Times New Roman"/>
          <w:b/>
          <w:bCs/>
          <w:noProof/>
        </w:rPr>
        <w:lastRenderedPageBreak/>
        <w:drawing>
          <wp:inline distT="0" distB="0" distL="0" distR="0" wp14:anchorId="7E9D5A79" wp14:editId="75A4C0FA">
            <wp:extent cx="5748793" cy="2381250"/>
            <wp:effectExtent l="0" t="0" r="4445" b="0"/>
            <wp:docPr id="1493861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71970" name=""/>
                    <pic:cNvPicPr/>
                  </pic:nvPicPr>
                  <pic:blipFill>
                    <a:blip r:embed="rId9"/>
                    <a:stretch>
                      <a:fillRect/>
                    </a:stretch>
                  </pic:blipFill>
                  <pic:spPr>
                    <a:xfrm>
                      <a:off x="0" y="0"/>
                      <a:ext cx="5750103" cy="2381793"/>
                    </a:xfrm>
                    <a:prstGeom prst="rect">
                      <a:avLst/>
                    </a:prstGeom>
                  </pic:spPr>
                </pic:pic>
              </a:graphicData>
            </a:graphic>
          </wp:inline>
        </w:drawing>
      </w:r>
    </w:p>
    <w:p w14:paraId="08619E87" w14:textId="144C9660" w:rsidR="008112C6" w:rsidRPr="0002650F" w:rsidRDefault="008112C6" w:rsidP="00A65FDA">
      <w:pPr>
        <w:spacing w:line="276" w:lineRule="auto"/>
        <w:jc w:val="both"/>
        <w:rPr>
          <w:rFonts w:ascii="Times New Roman" w:hAnsi="Times New Roman" w:cs="Times New Roman"/>
        </w:rPr>
      </w:pPr>
      <w:r w:rsidRPr="0002650F">
        <w:rPr>
          <w:rFonts w:ascii="Times New Roman" w:hAnsi="Times New Roman" w:cs="Times New Roman"/>
        </w:rPr>
        <w:t xml:space="preserve">Similarly, </w:t>
      </w:r>
      <w:r w:rsidR="009F7C34" w:rsidRPr="0002650F">
        <w:rPr>
          <w:rFonts w:ascii="Times New Roman" w:hAnsi="Times New Roman" w:cs="Times New Roman"/>
        </w:rPr>
        <w:t xml:space="preserve">the broader money supply (M3) theoretically has a strong relationship with price stability, with a higher coefficient (4.018162), though not statistically significant, arising from </w:t>
      </w:r>
      <w:r w:rsidR="006B0D62" w:rsidRPr="0002650F">
        <w:rPr>
          <w:rFonts w:ascii="Times New Roman" w:hAnsi="Times New Roman" w:cs="Times New Roman"/>
        </w:rPr>
        <w:t xml:space="preserve">structural issues. The result suggests that an increase in the money supply leads to </w:t>
      </w:r>
      <w:r w:rsidR="009F7C34" w:rsidRPr="0002650F">
        <w:rPr>
          <w:rFonts w:ascii="Times New Roman" w:hAnsi="Times New Roman" w:cs="Times New Roman"/>
        </w:rPr>
        <w:t>higher inflation, thereby affecting the stability of the prices of goods and services</w:t>
      </w:r>
      <w:r w:rsidR="006B0D62" w:rsidRPr="0002650F">
        <w:rPr>
          <w:rFonts w:ascii="Times New Roman" w:hAnsi="Times New Roman" w:cs="Times New Roman"/>
        </w:rPr>
        <w:t>. Similarly, this result supports the Quantity Theory of Money, which posits that an increase in money supply, all else being equal, leads to higher inflation (Friedman, 1963). This finding implies that controlling the money supply is crucial for managing inflation, particularly in economies where monetary expansion can quickly translate into price increases</w:t>
      </w:r>
      <w:r w:rsidR="009F7C34" w:rsidRPr="0002650F">
        <w:rPr>
          <w:rFonts w:ascii="Times New Roman" w:hAnsi="Times New Roman" w:cs="Times New Roman"/>
        </w:rPr>
        <w:t>.</w:t>
      </w:r>
      <w:r w:rsidR="00565E9D" w:rsidRPr="0002650F">
        <w:rPr>
          <w:rFonts w:ascii="Times New Roman" w:hAnsi="Times New Roman" w:cs="Times New Roman"/>
        </w:rPr>
        <w:t xml:space="preserve"> </w:t>
      </w:r>
    </w:p>
    <w:p w14:paraId="538571FA" w14:textId="499AAE81" w:rsidR="00524F9F" w:rsidRPr="0002650F" w:rsidRDefault="00524F9F" w:rsidP="00A65FDA">
      <w:pPr>
        <w:spacing w:line="276" w:lineRule="auto"/>
        <w:jc w:val="both"/>
        <w:rPr>
          <w:rFonts w:ascii="Times New Roman" w:hAnsi="Times New Roman" w:cs="Times New Roman"/>
        </w:rPr>
      </w:pPr>
      <w:r w:rsidRPr="0002650F">
        <w:rPr>
          <w:rFonts w:ascii="Times New Roman" w:hAnsi="Times New Roman" w:cs="Times New Roman"/>
        </w:rPr>
        <w:t xml:space="preserve">Real GDP </w:t>
      </w:r>
      <w:r w:rsidR="0073516B" w:rsidRPr="0002650F">
        <w:rPr>
          <w:rFonts w:ascii="Times New Roman" w:hAnsi="Times New Roman" w:cs="Times New Roman"/>
        </w:rPr>
        <w:t xml:space="preserve">has a </w:t>
      </w:r>
      <w:r w:rsidRPr="0002650F">
        <w:rPr>
          <w:rFonts w:ascii="Times New Roman" w:hAnsi="Times New Roman" w:cs="Times New Roman"/>
        </w:rPr>
        <w:t xml:space="preserve">negative </w:t>
      </w:r>
      <w:r w:rsidR="0073516B" w:rsidRPr="0002650F">
        <w:rPr>
          <w:rFonts w:ascii="Times New Roman" w:hAnsi="Times New Roman" w:cs="Times New Roman"/>
        </w:rPr>
        <w:t xml:space="preserve">relationship with inflation, with a coefficient of </w:t>
      </w:r>
      <w:r w:rsidRPr="0002650F">
        <w:rPr>
          <w:rFonts w:ascii="Times New Roman" w:hAnsi="Times New Roman" w:cs="Times New Roman"/>
        </w:rPr>
        <w:t>-4.639016</w:t>
      </w:r>
      <w:r w:rsidR="0073516B" w:rsidRPr="0002650F">
        <w:rPr>
          <w:rFonts w:ascii="Times New Roman" w:hAnsi="Times New Roman" w:cs="Times New Roman"/>
        </w:rPr>
        <w:t xml:space="preserve">. </w:t>
      </w:r>
      <w:r w:rsidRPr="0002650F">
        <w:rPr>
          <w:rFonts w:ascii="Times New Roman" w:hAnsi="Times New Roman" w:cs="Times New Roman"/>
        </w:rPr>
        <w:t xml:space="preserve">However, this is contrary to the economic theory. Theoretically, when GDP grows rapidly, especially beyond an economy’s productive capacity, aggregate demand begins to increase, consequently pushing prices upward. The result </w:t>
      </w:r>
      <w:r w:rsidR="00C45D24" w:rsidRPr="0002650F">
        <w:rPr>
          <w:rFonts w:ascii="Times New Roman" w:hAnsi="Times New Roman" w:cs="Times New Roman"/>
        </w:rPr>
        <w:t xml:space="preserve">suggests that when the economy is operating within its potential </w:t>
      </w:r>
      <w:proofErr w:type="spellStart"/>
      <w:r w:rsidR="00C45D24" w:rsidRPr="0002650F">
        <w:rPr>
          <w:rFonts w:ascii="Times New Roman" w:hAnsi="Times New Roman" w:cs="Times New Roman"/>
        </w:rPr>
        <w:t>i.e</w:t>
      </w:r>
      <w:proofErr w:type="spellEnd"/>
      <w:r w:rsidR="00C45D24" w:rsidRPr="0002650F">
        <w:rPr>
          <w:rFonts w:ascii="Times New Roman" w:hAnsi="Times New Roman" w:cs="Times New Roman"/>
        </w:rPr>
        <w:t xml:space="preserve"> </w:t>
      </w:r>
      <w:r w:rsidR="008E7D7F" w:rsidRPr="0002650F">
        <w:rPr>
          <w:rFonts w:ascii="Times New Roman" w:hAnsi="Times New Roman" w:cs="Times New Roman"/>
        </w:rPr>
        <w:t>increase</w:t>
      </w:r>
      <w:r w:rsidR="00C45D24" w:rsidRPr="0002650F">
        <w:rPr>
          <w:rFonts w:ascii="Times New Roman" w:hAnsi="Times New Roman" w:cs="Times New Roman"/>
        </w:rPr>
        <w:t xml:space="preserve"> in GDP, </w:t>
      </w:r>
      <w:r w:rsidRPr="0002650F">
        <w:rPr>
          <w:rFonts w:ascii="Times New Roman" w:hAnsi="Times New Roman" w:cs="Times New Roman"/>
        </w:rPr>
        <w:t xml:space="preserve">it does not </w:t>
      </w:r>
      <w:r w:rsidR="00873326" w:rsidRPr="0002650F">
        <w:rPr>
          <w:rFonts w:ascii="Times New Roman" w:hAnsi="Times New Roman" w:cs="Times New Roman"/>
        </w:rPr>
        <w:t>impact inflation</w:t>
      </w:r>
      <w:r w:rsidR="00C45D24" w:rsidRPr="0002650F">
        <w:rPr>
          <w:rFonts w:ascii="Times New Roman" w:hAnsi="Times New Roman" w:cs="Times New Roman"/>
        </w:rPr>
        <w:t xml:space="preserve"> in the case of Nigeria. This could be attributable to the sector contributing to the growth of the economy. The sector may not drive so much aggregate demand, leading to an increase in wages, as supported by the Phillips curve hypothesis.</w:t>
      </w:r>
    </w:p>
    <w:p w14:paraId="3D31A814" w14:textId="01FD0C0C" w:rsidR="00D2166C" w:rsidRPr="0002650F" w:rsidRDefault="0073516B" w:rsidP="00A65FDA">
      <w:pPr>
        <w:spacing w:line="276" w:lineRule="auto"/>
        <w:jc w:val="both"/>
        <w:rPr>
          <w:rFonts w:ascii="Times New Roman" w:hAnsi="Times New Roman" w:cs="Times New Roman"/>
        </w:rPr>
      </w:pPr>
      <w:r w:rsidRPr="0002650F">
        <w:rPr>
          <w:rFonts w:ascii="Times New Roman" w:hAnsi="Times New Roman" w:cs="Times New Roman"/>
        </w:rPr>
        <w:t xml:space="preserve">The coefficient for MPR is </w:t>
      </w:r>
      <w:r w:rsidR="00D2166C" w:rsidRPr="0002650F">
        <w:rPr>
          <w:rFonts w:ascii="Times New Roman" w:hAnsi="Times New Roman" w:cs="Times New Roman"/>
        </w:rPr>
        <w:t>negative</w:t>
      </w:r>
      <w:r w:rsidRPr="0002650F">
        <w:rPr>
          <w:rFonts w:ascii="Times New Roman" w:hAnsi="Times New Roman" w:cs="Times New Roman"/>
        </w:rPr>
        <w:t xml:space="preserve"> </w:t>
      </w:r>
      <w:r w:rsidR="00D2166C" w:rsidRPr="0002650F">
        <w:rPr>
          <w:rFonts w:ascii="Times New Roman" w:hAnsi="Times New Roman" w:cs="Times New Roman"/>
        </w:rPr>
        <w:t xml:space="preserve">(-0.017833) </w:t>
      </w:r>
      <w:r w:rsidRPr="0002650F">
        <w:rPr>
          <w:rFonts w:ascii="Times New Roman" w:hAnsi="Times New Roman" w:cs="Times New Roman"/>
        </w:rPr>
        <w:t xml:space="preserve">but statistically insignificant, suggesting that changes in the monetary policy rate do have a significant direct effect on inflation in this model. This </w:t>
      </w:r>
      <w:r w:rsidR="00D2166C" w:rsidRPr="0002650F">
        <w:rPr>
          <w:rFonts w:ascii="Times New Roman" w:hAnsi="Times New Roman" w:cs="Times New Roman"/>
        </w:rPr>
        <w:t>indicates</w:t>
      </w:r>
      <w:r w:rsidRPr="0002650F">
        <w:rPr>
          <w:rFonts w:ascii="Times New Roman" w:hAnsi="Times New Roman" w:cs="Times New Roman"/>
        </w:rPr>
        <w:t xml:space="preserve"> that the monetary policy rate </w:t>
      </w:r>
      <w:r w:rsidR="00D2166C" w:rsidRPr="0002650F">
        <w:rPr>
          <w:rFonts w:ascii="Times New Roman" w:hAnsi="Times New Roman" w:cs="Times New Roman"/>
        </w:rPr>
        <w:t xml:space="preserve">is </w:t>
      </w:r>
      <w:r w:rsidRPr="0002650F">
        <w:rPr>
          <w:rFonts w:ascii="Times New Roman" w:hAnsi="Times New Roman" w:cs="Times New Roman"/>
        </w:rPr>
        <w:t xml:space="preserve">effective in influencing inflation in the short term, possibly due to </w:t>
      </w:r>
      <w:r w:rsidR="00D2166C" w:rsidRPr="0002650F">
        <w:rPr>
          <w:rFonts w:ascii="Times New Roman" w:hAnsi="Times New Roman" w:cs="Times New Roman"/>
        </w:rPr>
        <w:t>effective</w:t>
      </w:r>
      <w:r w:rsidRPr="0002650F">
        <w:rPr>
          <w:rFonts w:ascii="Times New Roman" w:hAnsi="Times New Roman" w:cs="Times New Roman"/>
        </w:rPr>
        <w:t xml:space="preserve"> policy transmission </w:t>
      </w:r>
      <w:r w:rsidR="00D2166C" w:rsidRPr="0002650F">
        <w:rPr>
          <w:rFonts w:ascii="Times New Roman" w:hAnsi="Times New Roman" w:cs="Times New Roman"/>
        </w:rPr>
        <w:t>channels within sectors of the economy. As the ‘anchor rate’ goes up, inflation is supposed to head south and stabilize.</w:t>
      </w:r>
    </w:p>
    <w:p w14:paraId="0AFE44E5" w14:textId="30279294" w:rsidR="00DC4FB6" w:rsidRPr="0002650F" w:rsidRDefault="00DC4FB6" w:rsidP="00DC4FB6">
      <w:pPr>
        <w:spacing w:line="276" w:lineRule="auto"/>
        <w:jc w:val="both"/>
        <w:rPr>
          <w:rFonts w:ascii="Times New Roman" w:hAnsi="Times New Roman" w:cs="Times New Roman"/>
        </w:rPr>
      </w:pPr>
      <w:r w:rsidRPr="0002650F">
        <w:rPr>
          <w:rFonts w:ascii="Times New Roman" w:hAnsi="Times New Roman" w:cs="Times New Roman"/>
        </w:rPr>
        <w:t xml:space="preserve">Meanwhile, the F-statistic figure in the bounds test reflects the long-run relationship among variables based on whether it is greater or lower than the threshold. The result in Table 4 shows that the F-statistic (5.447531) is greater than the lower and upper bounds, showing the overall significance of the model in both the short and the long-run and indicating a long-run relationship among the variables even at 1% level. </w:t>
      </w:r>
    </w:p>
    <w:p w14:paraId="62D792D2" w14:textId="20DB3E89" w:rsidR="0053098A" w:rsidRPr="0002650F" w:rsidRDefault="007B56D0" w:rsidP="00A65FDA">
      <w:pPr>
        <w:spacing w:line="276" w:lineRule="auto"/>
        <w:jc w:val="both"/>
        <w:rPr>
          <w:rFonts w:ascii="Times New Roman" w:hAnsi="Times New Roman" w:cs="Times New Roman"/>
          <w:b/>
          <w:bCs/>
          <w:color w:val="C00000"/>
        </w:rPr>
      </w:pPr>
      <w:r w:rsidRPr="0002650F">
        <w:rPr>
          <w:rFonts w:ascii="Times New Roman" w:hAnsi="Times New Roman" w:cs="Times New Roman"/>
          <w:b/>
          <w:bCs/>
          <w:color w:val="C00000"/>
        </w:rPr>
        <w:t xml:space="preserve">4.3 </w:t>
      </w:r>
      <w:r w:rsidR="0053098A" w:rsidRPr="0002650F">
        <w:rPr>
          <w:rFonts w:ascii="Times New Roman" w:hAnsi="Times New Roman" w:cs="Times New Roman"/>
          <w:b/>
          <w:bCs/>
          <w:color w:val="C00000"/>
        </w:rPr>
        <w:t>ARDL</w:t>
      </w:r>
      <w:r w:rsidR="008C07B2" w:rsidRPr="0002650F">
        <w:rPr>
          <w:rFonts w:ascii="Times New Roman" w:hAnsi="Times New Roman" w:cs="Times New Roman"/>
          <w:b/>
          <w:bCs/>
          <w:color w:val="C00000"/>
        </w:rPr>
        <w:t xml:space="preserve"> </w:t>
      </w:r>
      <w:r w:rsidR="0053098A" w:rsidRPr="0002650F">
        <w:rPr>
          <w:rFonts w:ascii="Times New Roman" w:hAnsi="Times New Roman" w:cs="Times New Roman"/>
          <w:b/>
          <w:bCs/>
          <w:color w:val="C00000"/>
        </w:rPr>
        <w:t>Error</w:t>
      </w:r>
      <w:r w:rsidR="008C07B2" w:rsidRPr="0002650F">
        <w:rPr>
          <w:rFonts w:ascii="Times New Roman" w:hAnsi="Times New Roman" w:cs="Times New Roman"/>
          <w:b/>
          <w:bCs/>
          <w:color w:val="C00000"/>
        </w:rPr>
        <w:t xml:space="preserve"> </w:t>
      </w:r>
      <w:r w:rsidR="0053098A" w:rsidRPr="0002650F">
        <w:rPr>
          <w:rFonts w:ascii="Times New Roman" w:hAnsi="Times New Roman" w:cs="Times New Roman"/>
          <w:b/>
          <w:bCs/>
          <w:color w:val="C00000"/>
        </w:rPr>
        <w:t>Correction Regression</w:t>
      </w:r>
    </w:p>
    <w:p w14:paraId="1D5AB893" w14:textId="3C67A04A" w:rsidR="008C07B2" w:rsidRPr="0002650F" w:rsidRDefault="0053098A" w:rsidP="00A65FDA">
      <w:pPr>
        <w:spacing w:line="276" w:lineRule="auto"/>
        <w:jc w:val="both"/>
        <w:rPr>
          <w:rFonts w:ascii="Times New Roman" w:hAnsi="Times New Roman" w:cs="Times New Roman"/>
        </w:rPr>
      </w:pPr>
      <w:r w:rsidRPr="0002650F">
        <w:rPr>
          <w:rFonts w:ascii="Times New Roman" w:hAnsi="Times New Roman" w:cs="Times New Roman"/>
        </w:rPr>
        <w:lastRenderedPageBreak/>
        <w:t>The short-run dynamic parameters were obtained by estimating an error correction model associated with the long-run estimates. The ARDL Error Correction Regression result in Table 5 showed the coefficient of the ECM to be</w:t>
      </w:r>
      <w:r w:rsidR="008C07B2" w:rsidRPr="0002650F">
        <w:rPr>
          <w:rFonts w:ascii="Times New Roman" w:hAnsi="Times New Roman" w:cs="Times New Roman"/>
        </w:rPr>
        <w:t xml:space="preserve"> (</w:t>
      </w:r>
      <w:r w:rsidRPr="0002650F">
        <w:rPr>
          <w:rFonts w:ascii="Times New Roman" w:hAnsi="Times New Roman" w:cs="Times New Roman"/>
        </w:rPr>
        <w:t>-</w:t>
      </w:r>
      <w:bookmarkStart w:id="1" w:name="_Hlk220341300"/>
      <w:r w:rsidR="008C07B2" w:rsidRPr="0002650F">
        <w:rPr>
          <w:rFonts w:ascii="Times New Roman" w:hAnsi="Times New Roman" w:cs="Times New Roman"/>
        </w:rPr>
        <w:t>0.00119</w:t>
      </w:r>
      <w:bookmarkEnd w:id="1"/>
      <w:r w:rsidR="008C07B2" w:rsidRPr="0002650F">
        <w:rPr>
          <w:rFonts w:ascii="Times New Roman" w:hAnsi="Times New Roman" w:cs="Times New Roman"/>
        </w:rPr>
        <w:t>)</w:t>
      </w:r>
      <w:r w:rsidRPr="0002650F">
        <w:rPr>
          <w:rFonts w:ascii="Times New Roman" w:hAnsi="Times New Roman" w:cs="Times New Roman"/>
        </w:rPr>
        <w:t xml:space="preserve">. This is negative and highly significant at 1 per cent. The coefficient is consistent and fulfils the condition of the error correction term. The error correction term represents the speed of adjustment from the initial level of disequilibrium to a long–term equilibrium path. This </w:t>
      </w:r>
      <w:r w:rsidR="008C07B2" w:rsidRPr="0002650F">
        <w:rPr>
          <w:rFonts w:ascii="Times New Roman" w:hAnsi="Times New Roman" w:cs="Times New Roman"/>
        </w:rPr>
        <w:t>implies</w:t>
      </w:r>
      <w:r w:rsidRPr="0002650F">
        <w:rPr>
          <w:rFonts w:ascii="Times New Roman" w:hAnsi="Times New Roman" w:cs="Times New Roman"/>
        </w:rPr>
        <w:t xml:space="preserve"> that the disequilibrium of </w:t>
      </w:r>
      <w:r w:rsidR="008C07B2" w:rsidRPr="0002650F">
        <w:rPr>
          <w:rFonts w:ascii="Times New Roman" w:hAnsi="Times New Roman" w:cs="Times New Roman"/>
        </w:rPr>
        <w:t>inflation proxied (</w:t>
      </w:r>
      <w:proofErr w:type="spellStart"/>
      <w:r w:rsidR="008C07B2" w:rsidRPr="0002650F">
        <w:rPr>
          <w:rFonts w:ascii="Times New Roman" w:hAnsi="Times New Roman" w:cs="Times New Roman"/>
        </w:rPr>
        <w:t>hcpi</w:t>
      </w:r>
      <w:proofErr w:type="spellEnd"/>
      <w:r w:rsidRPr="0002650F">
        <w:rPr>
          <w:rFonts w:ascii="Times New Roman" w:hAnsi="Times New Roman" w:cs="Times New Roman"/>
        </w:rPr>
        <w:t xml:space="preserve">) resulting from a shock in the preceding </w:t>
      </w:r>
      <w:r w:rsidR="008C07B2" w:rsidRPr="0002650F">
        <w:rPr>
          <w:rFonts w:ascii="Times New Roman" w:hAnsi="Times New Roman" w:cs="Times New Roman"/>
        </w:rPr>
        <w:t>month</w:t>
      </w:r>
      <w:r w:rsidRPr="0002650F">
        <w:rPr>
          <w:rFonts w:ascii="Times New Roman" w:hAnsi="Times New Roman" w:cs="Times New Roman"/>
        </w:rPr>
        <w:t xml:space="preserve"> would be corrected by </w:t>
      </w:r>
      <w:r w:rsidR="008C07B2" w:rsidRPr="0002650F">
        <w:rPr>
          <w:rFonts w:ascii="Times New Roman" w:hAnsi="Times New Roman" w:cs="Times New Roman"/>
        </w:rPr>
        <w:t>0.12</w:t>
      </w:r>
      <w:r w:rsidRPr="0002650F">
        <w:rPr>
          <w:rFonts w:ascii="Times New Roman" w:hAnsi="Times New Roman" w:cs="Times New Roman"/>
        </w:rPr>
        <w:t xml:space="preserve"> per cent in the following quarter to attain </w:t>
      </w:r>
      <w:r w:rsidR="008C07B2" w:rsidRPr="0002650F">
        <w:rPr>
          <w:rFonts w:ascii="Times New Roman" w:hAnsi="Times New Roman" w:cs="Times New Roman"/>
        </w:rPr>
        <w:t xml:space="preserve">the </w:t>
      </w:r>
      <w:r w:rsidRPr="0002650F">
        <w:rPr>
          <w:rFonts w:ascii="Times New Roman" w:hAnsi="Times New Roman" w:cs="Times New Roman"/>
        </w:rPr>
        <w:t xml:space="preserve">equilibrium level in the long run. </w:t>
      </w:r>
    </w:p>
    <w:p w14:paraId="6ABE4776" w14:textId="4E2576D6" w:rsidR="00956D0D" w:rsidRPr="0002650F" w:rsidRDefault="0053098A" w:rsidP="00A65FDA">
      <w:pPr>
        <w:spacing w:line="276" w:lineRule="auto"/>
        <w:jc w:val="both"/>
        <w:rPr>
          <w:rFonts w:ascii="Times New Roman" w:hAnsi="Times New Roman" w:cs="Times New Roman"/>
          <w:b/>
          <w:bCs/>
        </w:rPr>
      </w:pPr>
      <w:r w:rsidRPr="0002650F">
        <w:rPr>
          <w:rFonts w:ascii="Times New Roman" w:hAnsi="Times New Roman" w:cs="Times New Roman"/>
          <w:b/>
          <w:bCs/>
        </w:rPr>
        <w:t>Table</w:t>
      </w:r>
      <w:r w:rsidR="008E7D7F" w:rsidRPr="0002650F">
        <w:rPr>
          <w:rFonts w:ascii="Times New Roman" w:hAnsi="Times New Roman" w:cs="Times New Roman"/>
          <w:b/>
          <w:bCs/>
        </w:rPr>
        <w:t xml:space="preserve"> </w:t>
      </w:r>
      <w:r w:rsidRPr="0002650F">
        <w:rPr>
          <w:rFonts w:ascii="Times New Roman" w:hAnsi="Times New Roman" w:cs="Times New Roman"/>
          <w:b/>
          <w:bCs/>
        </w:rPr>
        <w:t>5:</w:t>
      </w:r>
      <w:r w:rsidR="008C07B2" w:rsidRPr="0002650F">
        <w:rPr>
          <w:rFonts w:ascii="Times New Roman" w:hAnsi="Times New Roman" w:cs="Times New Roman"/>
          <w:b/>
          <w:bCs/>
        </w:rPr>
        <w:t xml:space="preserve"> </w:t>
      </w:r>
      <w:r w:rsidRPr="0002650F">
        <w:rPr>
          <w:rFonts w:ascii="Times New Roman" w:hAnsi="Times New Roman" w:cs="Times New Roman"/>
          <w:b/>
          <w:bCs/>
        </w:rPr>
        <w:t>Error</w:t>
      </w:r>
      <w:r w:rsidR="008C07B2" w:rsidRPr="0002650F">
        <w:rPr>
          <w:rFonts w:ascii="Times New Roman" w:hAnsi="Times New Roman" w:cs="Times New Roman"/>
          <w:b/>
          <w:bCs/>
        </w:rPr>
        <w:t xml:space="preserve"> </w:t>
      </w:r>
      <w:r w:rsidRPr="0002650F">
        <w:rPr>
          <w:rFonts w:ascii="Times New Roman" w:hAnsi="Times New Roman" w:cs="Times New Roman"/>
          <w:b/>
          <w:bCs/>
        </w:rPr>
        <w:t>Correction</w:t>
      </w:r>
      <w:r w:rsidR="008C07B2" w:rsidRPr="0002650F">
        <w:rPr>
          <w:rFonts w:ascii="Times New Roman" w:hAnsi="Times New Roman" w:cs="Times New Roman"/>
          <w:b/>
          <w:bCs/>
        </w:rPr>
        <w:t xml:space="preserve"> </w:t>
      </w:r>
      <w:r w:rsidRPr="0002650F">
        <w:rPr>
          <w:rFonts w:ascii="Times New Roman" w:hAnsi="Times New Roman" w:cs="Times New Roman"/>
          <w:b/>
          <w:bCs/>
        </w:rPr>
        <w:t>Estimates</w:t>
      </w:r>
      <w:r w:rsidR="008C07B2" w:rsidRPr="0002650F">
        <w:rPr>
          <w:rFonts w:ascii="Times New Roman" w:hAnsi="Times New Roman" w:cs="Times New Roman"/>
          <w:b/>
          <w:bCs/>
        </w:rPr>
        <w:t xml:space="preserve"> </w:t>
      </w:r>
      <w:r w:rsidRPr="0002650F">
        <w:rPr>
          <w:rFonts w:ascii="Times New Roman" w:hAnsi="Times New Roman" w:cs="Times New Roman"/>
          <w:b/>
          <w:bCs/>
        </w:rPr>
        <w:t>of</w:t>
      </w:r>
      <w:r w:rsidR="008C07B2" w:rsidRPr="0002650F">
        <w:rPr>
          <w:rFonts w:ascii="Times New Roman" w:hAnsi="Times New Roman" w:cs="Times New Roman"/>
          <w:b/>
          <w:bCs/>
        </w:rPr>
        <w:t xml:space="preserve"> </w:t>
      </w:r>
      <w:r w:rsidRPr="0002650F">
        <w:rPr>
          <w:rFonts w:ascii="Times New Roman" w:hAnsi="Times New Roman" w:cs="Times New Roman"/>
          <w:b/>
          <w:bCs/>
        </w:rPr>
        <w:t>the</w:t>
      </w:r>
      <w:r w:rsidR="008C07B2" w:rsidRPr="0002650F">
        <w:rPr>
          <w:rFonts w:ascii="Times New Roman" w:hAnsi="Times New Roman" w:cs="Times New Roman"/>
          <w:b/>
          <w:bCs/>
        </w:rPr>
        <w:t xml:space="preserve"> </w:t>
      </w:r>
      <w:r w:rsidRPr="0002650F">
        <w:rPr>
          <w:rFonts w:ascii="Times New Roman" w:hAnsi="Times New Roman" w:cs="Times New Roman"/>
          <w:b/>
          <w:bCs/>
        </w:rPr>
        <w:t>ARDL</w:t>
      </w:r>
      <w:r w:rsidR="008C07B2" w:rsidRPr="0002650F">
        <w:rPr>
          <w:rFonts w:ascii="Times New Roman" w:hAnsi="Times New Roman" w:cs="Times New Roman"/>
          <w:b/>
          <w:bCs/>
        </w:rPr>
        <w:t xml:space="preserve"> </w:t>
      </w:r>
      <w:r w:rsidRPr="0002650F">
        <w:rPr>
          <w:rFonts w:ascii="Times New Roman" w:hAnsi="Times New Roman" w:cs="Times New Roman"/>
          <w:b/>
          <w:bCs/>
        </w:rPr>
        <w:t>Model</w:t>
      </w:r>
    </w:p>
    <w:p w14:paraId="5CB5E56D" w14:textId="7FE3A5E0" w:rsidR="00956D0D" w:rsidRPr="0002650F" w:rsidRDefault="00956D0D" w:rsidP="00A65FDA">
      <w:pPr>
        <w:spacing w:line="276" w:lineRule="auto"/>
        <w:jc w:val="both"/>
        <w:rPr>
          <w:rFonts w:ascii="Times New Roman" w:hAnsi="Times New Roman" w:cs="Times New Roman"/>
          <w:b/>
          <w:bCs/>
        </w:rPr>
      </w:pPr>
      <w:r w:rsidRPr="0002650F">
        <w:rPr>
          <w:rFonts w:ascii="Times New Roman" w:hAnsi="Times New Roman" w:cs="Times New Roman"/>
          <w:b/>
          <w:bCs/>
          <w:noProof/>
        </w:rPr>
        <w:drawing>
          <wp:inline distT="0" distB="0" distL="0" distR="0" wp14:anchorId="5B5F7769" wp14:editId="7874ECDB">
            <wp:extent cx="3702240" cy="3219615"/>
            <wp:effectExtent l="0" t="0" r="0" b="0"/>
            <wp:docPr id="1921933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33257" name=""/>
                    <pic:cNvPicPr/>
                  </pic:nvPicPr>
                  <pic:blipFill>
                    <a:blip r:embed="rId10"/>
                    <a:stretch>
                      <a:fillRect/>
                    </a:stretch>
                  </pic:blipFill>
                  <pic:spPr>
                    <a:xfrm>
                      <a:off x="0" y="0"/>
                      <a:ext cx="3702240" cy="3219615"/>
                    </a:xfrm>
                    <a:prstGeom prst="rect">
                      <a:avLst/>
                    </a:prstGeom>
                  </pic:spPr>
                </pic:pic>
              </a:graphicData>
            </a:graphic>
          </wp:inline>
        </w:drawing>
      </w:r>
    </w:p>
    <w:p w14:paraId="52A2D14F" w14:textId="208B6CE9" w:rsidR="00F46ABB" w:rsidRPr="0002650F" w:rsidRDefault="007B56D0" w:rsidP="00A65FDA">
      <w:pPr>
        <w:spacing w:line="276" w:lineRule="auto"/>
        <w:ind w:left="720" w:hanging="720"/>
        <w:jc w:val="both"/>
        <w:rPr>
          <w:rFonts w:ascii="Times New Roman" w:hAnsi="Times New Roman" w:cs="Times New Roman"/>
          <w:b/>
          <w:bCs/>
          <w:color w:val="C00000"/>
        </w:rPr>
      </w:pPr>
      <w:r w:rsidRPr="0002650F">
        <w:rPr>
          <w:rFonts w:ascii="Times New Roman" w:hAnsi="Times New Roman" w:cs="Times New Roman"/>
          <w:b/>
          <w:bCs/>
          <w:color w:val="C00000"/>
        </w:rPr>
        <w:t xml:space="preserve">4.4 </w:t>
      </w:r>
      <w:r w:rsidR="00F46ABB" w:rsidRPr="0002650F">
        <w:rPr>
          <w:rFonts w:ascii="Times New Roman" w:hAnsi="Times New Roman" w:cs="Times New Roman"/>
          <w:b/>
          <w:bCs/>
          <w:color w:val="C00000"/>
        </w:rPr>
        <w:t>Model Diagnostic (Post estimation Test)</w:t>
      </w:r>
    </w:p>
    <w:p w14:paraId="0CE462E2" w14:textId="77777777" w:rsidR="008E7D7F" w:rsidRPr="0002650F" w:rsidRDefault="0089212C" w:rsidP="00A65FDA">
      <w:pPr>
        <w:spacing w:line="276" w:lineRule="auto"/>
        <w:ind w:left="720" w:hanging="720"/>
        <w:jc w:val="both"/>
        <w:rPr>
          <w:rFonts w:ascii="Times New Roman" w:hAnsi="Times New Roman" w:cs="Times New Roman"/>
          <w:b/>
          <w:bCs/>
        </w:rPr>
      </w:pPr>
      <w:r w:rsidRPr="0002650F">
        <w:rPr>
          <w:rFonts w:ascii="Times New Roman" w:hAnsi="Times New Roman" w:cs="Times New Roman"/>
          <w:b/>
          <w:bCs/>
        </w:rPr>
        <w:t xml:space="preserve">Model Stability Test </w:t>
      </w:r>
    </w:p>
    <w:p w14:paraId="5E02DF03" w14:textId="77777777" w:rsidR="0017103C" w:rsidRDefault="00B45A60" w:rsidP="00561CFB">
      <w:pPr>
        <w:spacing w:line="276" w:lineRule="auto"/>
        <w:ind w:hanging="720"/>
        <w:jc w:val="both"/>
        <w:rPr>
          <w:rFonts w:ascii="Times New Roman" w:hAnsi="Times New Roman" w:cs="Times New Roman"/>
        </w:rPr>
      </w:pPr>
      <w:r w:rsidRPr="0002650F">
        <w:rPr>
          <w:rFonts w:ascii="Times New Roman" w:hAnsi="Times New Roman" w:cs="Times New Roman"/>
        </w:rPr>
        <w:t xml:space="preserve">            </w:t>
      </w:r>
      <w:r w:rsidR="00561CFB" w:rsidRPr="0002650F">
        <w:rPr>
          <w:rFonts w:ascii="Times New Roman" w:hAnsi="Times New Roman" w:cs="Times New Roman"/>
        </w:rPr>
        <w:t>To capture short-run dynamics while ensuring consistency with the estimated long-run parameters, the stability of the long-run coefficients was employed as the basis for constructing the error-correction term. Accordingly, the cumulative sum (CUSUM) and cumulative sum of squares (CUSUMSQ) tests developed by Brown et al. (1975) were applied to assess the structural stability of the model. The graphical plots of the CUSUM and CUSUMSQ statistics indicate that both remain within the 10 percent critical bounds throughout the sample period, thereby confirming the stability of the model’s coefficients and the reliability of the estimated results.</w:t>
      </w:r>
    </w:p>
    <w:p w14:paraId="51132CA4" w14:textId="10794276" w:rsidR="00603D73" w:rsidRDefault="00B9309D" w:rsidP="00603D73">
      <w:pPr>
        <w:spacing w:line="276" w:lineRule="auto"/>
        <w:ind w:hanging="720"/>
        <w:jc w:val="both"/>
        <w:rPr>
          <w:rFonts w:ascii="Times New Roman" w:hAnsi="Times New Roman" w:cs="Times New Roman"/>
        </w:rPr>
      </w:pPr>
      <w:r>
        <w:rPr>
          <w:rFonts w:ascii="Times New Roman" w:hAnsi="Times New Roman" w:cs="Times New Roman"/>
        </w:rPr>
        <w:t xml:space="preserve">Fig 1. </w:t>
      </w:r>
      <w:r w:rsidR="00603D73">
        <w:rPr>
          <w:rFonts w:ascii="Times New Roman" w:hAnsi="Times New Roman" w:cs="Times New Roman"/>
        </w:rPr>
        <w:t>C</w:t>
      </w:r>
      <w:r w:rsidR="00603D73" w:rsidRPr="0002650F">
        <w:rPr>
          <w:rFonts w:ascii="Times New Roman" w:hAnsi="Times New Roman" w:cs="Times New Roman"/>
        </w:rPr>
        <w:t>umulative sum</w:t>
      </w:r>
      <w:r w:rsidR="00603D73">
        <w:rPr>
          <w:rFonts w:ascii="Times New Roman" w:hAnsi="Times New Roman" w:cs="Times New Roman"/>
        </w:rPr>
        <w:t xml:space="preserve"> </w:t>
      </w:r>
      <w:r w:rsidR="00603D73" w:rsidRPr="0002650F">
        <w:rPr>
          <w:rFonts w:ascii="Times New Roman" w:hAnsi="Times New Roman" w:cs="Times New Roman"/>
        </w:rPr>
        <w:t>(CUSU</w:t>
      </w:r>
      <w:r w:rsidR="00603D73">
        <w:rPr>
          <w:rFonts w:ascii="Times New Roman" w:hAnsi="Times New Roman" w:cs="Times New Roman"/>
        </w:rPr>
        <w:t>M</w:t>
      </w:r>
      <w:r w:rsidR="00603D73" w:rsidRPr="0002650F">
        <w:rPr>
          <w:rFonts w:ascii="Times New Roman" w:hAnsi="Times New Roman" w:cs="Times New Roman"/>
        </w:rPr>
        <w:t>) tests</w:t>
      </w:r>
    </w:p>
    <w:p w14:paraId="2D0F153A" w14:textId="4DA6CC32" w:rsidR="00B9309D" w:rsidRDefault="00B9309D" w:rsidP="00561CFB">
      <w:pPr>
        <w:spacing w:line="276" w:lineRule="auto"/>
        <w:ind w:hanging="720"/>
        <w:jc w:val="both"/>
        <w:rPr>
          <w:rFonts w:ascii="Times New Roman" w:hAnsi="Times New Roman" w:cs="Times New Roman"/>
        </w:rPr>
      </w:pPr>
    </w:p>
    <w:p w14:paraId="1F159013" w14:textId="17ACDF65" w:rsidR="00574126" w:rsidRDefault="00574126" w:rsidP="0017103C">
      <w:pPr>
        <w:spacing w:line="276" w:lineRule="auto"/>
        <w:ind w:firstLine="90"/>
        <w:jc w:val="both"/>
        <w:rPr>
          <w:rFonts w:ascii="Times New Roman" w:hAnsi="Times New Roman" w:cs="Times New Roman"/>
          <w:b/>
          <w:bCs/>
        </w:rPr>
      </w:pPr>
      <w:r w:rsidRPr="0002650F">
        <w:rPr>
          <w:rFonts w:ascii="Times New Roman" w:hAnsi="Times New Roman" w:cs="Times New Roman"/>
          <w:noProof/>
          <w:bdr w:val="single" w:sz="4" w:space="0" w:color="auto"/>
        </w:rPr>
        <w:lastRenderedPageBreak/>
        <w:drawing>
          <wp:inline distT="0" distB="0" distL="0" distR="0" wp14:anchorId="35CB1538" wp14:editId="53848BD9">
            <wp:extent cx="5807122" cy="3382010"/>
            <wp:effectExtent l="0" t="0" r="3175" b="8890"/>
            <wp:docPr id="5531829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2917" cy="3391209"/>
                    </a:xfrm>
                    <a:prstGeom prst="rect">
                      <a:avLst/>
                    </a:prstGeom>
                    <a:noFill/>
                    <a:ln>
                      <a:noFill/>
                    </a:ln>
                  </pic:spPr>
                </pic:pic>
              </a:graphicData>
            </a:graphic>
          </wp:inline>
        </w:drawing>
      </w:r>
    </w:p>
    <w:p w14:paraId="7E46DD27" w14:textId="77777777" w:rsidR="00B9309D" w:rsidRDefault="00B9309D" w:rsidP="0017103C">
      <w:pPr>
        <w:spacing w:line="276" w:lineRule="auto"/>
        <w:ind w:firstLine="90"/>
        <w:jc w:val="both"/>
        <w:rPr>
          <w:rFonts w:ascii="Times New Roman" w:hAnsi="Times New Roman" w:cs="Times New Roman"/>
          <w:b/>
          <w:bCs/>
        </w:rPr>
      </w:pPr>
    </w:p>
    <w:p w14:paraId="14ADE3D5" w14:textId="77777777" w:rsidR="00B9309D" w:rsidRDefault="00B9309D" w:rsidP="0017103C">
      <w:pPr>
        <w:spacing w:line="276" w:lineRule="auto"/>
        <w:ind w:firstLine="90"/>
        <w:jc w:val="both"/>
        <w:rPr>
          <w:rFonts w:ascii="Times New Roman" w:hAnsi="Times New Roman" w:cs="Times New Roman"/>
          <w:b/>
          <w:bCs/>
        </w:rPr>
      </w:pPr>
    </w:p>
    <w:p w14:paraId="174DDDB2" w14:textId="77777777" w:rsidR="00B9309D" w:rsidRDefault="00B9309D" w:rsidP="0017103C">
      <w:pPr>
        <w:spacing w:line="276" w:lineRule="auto"/>
        <w:ind w:firstLine="90"/>
        <w:jc w:val="both"/>
        <w:rPr>
          <w:rFonts w:ascii="Times New Roman" w:hAnsi="Times New Roman" w:cs="Times New Roman"/>
          <w:b/>
          <w:bCs/>
        </w:rPr>
      </w:pPr>
    </w:p>
    <w:p w14:paraId="7BC91D4C" w14:textId="77777777" w:rsidR="00B9309D" w:rsidRDefault="00B9309D" w:rsidP="0017103C">
      <w:pPr>
        <w:spacing w:line="276" w:lineRule="auto"/>
        <w:ind w:firstLine="90"/>
        <w:jc w:val="both"/>
        <w:rPr>
          <w:rFonts w:ascii="Times New Roman" w:hAnsi="Times New Roman" w:cs="Times New Roman"/>
          <w:b/>
          <w:bCs/>
        </w:rPr>
      </w:pPr>
    </w:p>
    <w:p w14:paraId="61A2E6F1" w14:textId="77777777" w:rsidR="00B9309D" w:rsidRDefault="00B9309D" w:rsidP="0017103C">
      <w:pPr>
        <w:spacing w:line="276" w:lineRule="auto"/>
        <w:ind w:firstLine="90"/>
        <w:jc w:val="both"/>
        <w:rPr>
          <w:rFonts w:ascii="Times New Roman" w:hAnsi="Times New Roman" w:cs="Times New Roman"/>
          <w:b/>
          <w:bCs/>
        </w:rPr>
      </w:pPr>
    </w:p>
    <w:p w14:paraId="4C8B2237" w14:textId="77777777" w:rsidR="00B9309D" w:rsidRDefault="00B9309D" w:rsidP="0017103C">
      <w:pPr>
        <w:spacing w:line="276" w:lineRule="auto"/>
        <w:ind w:firstLine="90"/>
        <w:jc w:val="both"/>
        <w:rPr>
          <w:rFonts w:ascii="Times New Roman" w:hAnsi="Times New Roman" w:cs="Times New Roman"/>
          <w:b/>
          <w:bCs/>
        </w:rPr>
      </w:pPr>
    </w:p>
    <w:p w14:paraId="457735DA" w14:textId="77777777" w:rsidR="00B9309D" w:rsidRDefault="00B9309D" w:rsidP="0017103C">
      <w:pPr>
        <w:spacing w:line="276" w:lineRule="auto"/>
        <w:ind w:firstLine="90"/>
        <w:jc w:val="both"/>
        <w:rPr>
          <w:rFonts w:ascii="Times New Roman" w:hAnsi="Times New Roman" w:cs="Times New Roman"/>
          <w:b/>
          <w:bCs/>
        </w:rPr>
      </w:pPr>
    </w:p>
    <w:p w14:paraId="56DDB89C" w14:textId="77777777" w:rsidR="00B9309D" w:rsidRDefault="00B9309D" w:rsidP="0017103C">
      <w:pPr>
        <w:spacing w:line="276" w:lineRule="auto"/>
        <w:ind w:firstLine="90"/>
        <w:jc w:val="both"/>
        <w:rPr>
          <w:rFonts w:ascii="Times New Roman" w:hAnsi="Times New Roman" w:cs="Times New Roman"/>
          <w:b/>
          <w:bCs/>
        </w:rPr>
      </w:pPr>
    </w:p>
    <w:p w14:paraId="12F46E89" w14:textId="4641457A" w:rsidR="00603D73" w:rsidRDefault="00B9309D" w:rsidP="00603D73">
      <w:pPr>
        <w:spacing w:line="276" w:lineRule="auto"/>
        <w:ind w:hanging="720"/>
        <w:jc w:val="both"/>
        <w:rPr>
          <w:rFonts w:ascii="Times New Roman" w:hAnsi="Times New Roman" w:cs="Times New Roman"/>
        </w:rPr>
      </w:pPr>
      <w:r>
        <w:rPr>
          <w:rFonts w:ascii="Times New Roman" w:hAnsi="Times New Roman" w:cs="Times New Roman"/>
          <w:b/>
          <w:bCs/>
        </w:rPr>
        <w:t>Fig 2.</w:t>
      </w:r>
      <w:r w:rsidR="00603D73" w:rsidRPr="00603D73">
        <w:rPr>
          <w:rFonts w:ascii="Times New Roman" w:hAnsi="Times New Roman" w:cs="Times New Roman"/>
        </w:rPr>
        <w:t xml:space="preserve"> </w:t>
      </w:r>
      <w:r w:rsidR="00603D73">
        <w:rPr>
          <w:rFonts w:ascii="Times New Roman" w:hAnsi="Times New Roman" w:cs="Times New Roman"/>
        </w:rPr>
        <w:t>C</w:t>
      </w:r>
      <w:r w:rsidR="00603D73" w:rsidRPr="0002650F">
        <w:rPr>
          <w:rFonts w:ascii="Times New Roman" w:hAnsi="Times New Roman" w:cs="Times New Roman"/>
        </w:rPr>
        <w:t>umulative sum of squares (CUSUMSQ) tests</w:t>
      </w:r>
    </w:p>
    <w:p w14:paraId="05967479" w14:textId="1B520DED" w:rsidR="00B9309D" w:rsidRPr="0002650F" w:rsidRDefault="00B9309D" w:rsidP="0017103C">
      <w:pPr>
        <w:spacing w:line="276" w:lineRule="auto"/>
        <w:ind w:firstLine="90"/>
        <w:jc w:val="both"/>
        <w:rPr>
          <w:rFonts w:ascii="Times New Roman" w:hAnsi="Times New Roman" w:cs="Times New Roman"/>
          <w:b/>
          <w:bCs/>
        </w:rPr>
      </w:pPr>
    </w:p>
    <w:p w14:paraId="03FAAD91" w14:textId="697880A9" w:rsidR="00574126" w:rsidRPr="0002650F" w:rsidRDefault="00574126" w:rsidP="007B1554">
      <w:pPr>
        <w:spacing w:line="276" w:lineRule="auto"/>
        <w:ind w:left="720" w:right="450" w:hanging="720"/>
        <w:jc w:val="both"/>
        <w:rPr>
          <w:rFonts w:ascii="Times New Roman" w:hAnsi="Times New Roman" w:cs="Times New Roman"/>
          <w:b/>
          <w:bCs/>
        </w:rPr>
      </w:pPr>
      <w:r w:rsidRPr="0002650F">
        <w:rPr>
          <w:rFonts w:ascii="Times New Roman" w:hAnsi="Times New Roman" w:cs="Times New Roman"/>
          <w:noProof/>
          <w:bdr w:val="single" w:sz="4" w:space="0" w:color="auto"/>
        </w:rPr>
        <w:lastRenderedPageBreak/>
        <w:drawing>
          <wp:inline distT="0" distB="0" distL="0" distR="0" wp14:anchorId="4EECC1FD" wp14:editId="626F0E84">
            <wp:extent cx="5875361" cy="3383915"/>
            <wp:effectExtent l="0" t="0" r="0" b="6985"/>
            <wp:docPr id="17300554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1185" cy="3387270"/>
                    </a:xfrm>
                    <a:prstGeom prst="rect">
                      <a:avLst/>
                    </a:prstGeom>
                    <a:noFill/>
                    <a:ln>
                      <a:noFill/>
                    </a:ln>
                  </pic:spPr>
                </pic:pic>
              </a:graphicData>
            </a:graphic>
          </wp:inline>
        </w:drawing>
      </w:r>
    </w:p>
    <w:p w14:paraId="1FDDFCB9" w14:textId="77777777" w:rsidR="00574126" w:rsidRPr="0002650F" w:rsidRDefault="00574126" w:rsidP="00A65FDA">
      <w:pPr>
        <w:spacing w:line="276" w:lineRule="auto"/>
        <w:ind w:left="720" w:hanging="720"/>
        <w:jc w:val="both"/>
        <w:rPr>
          <w:rFonts w:ascii="Times New Roman" w:hAnsi="Times New Roman" w:cs="Times New Roman"/>
          <w:b/>
          <w:bCs/>
        </w:rPr>
      </w:pPr>
    </w:p>
    <w:p w14:paraId="65E75B3A" w14:textId="75E78C3E" w:rsidR="00574126" w:rsidRPr="0002650F" w:rsidRDefault="00574126" w:rsidP="00A65FDA">
      <w:pPr>
        <w:spacing w:line="276" w:lineRule="auto"/>
        <w:ind w:left="720" w:hanging="720"/>
        <w:jc w:val="both"/>
        <w:rPr>
          <w:rFonts w:ascii="Times New Roman" w:hAnsi="Times New Roman" w:cs="Times New Roman"/>
          <w:b/>
          <w:bCs/>
        </w:rPr>
      </w:pPr>
    </w:p>
    <w:p w14:paraId="416E4B1A" w14:textId="6E866977" w:rsidR="00B0525D" w:rsidRPr="0002650F" w:rsidRDefault="00B45A60" w:rsidP="00B45A60">
      <w:pPr>
        <w:spacing w:line="276" w:lineRule="auto"/>
        <w:ind w:hanging="720"/>
        <w:jc w:val="both"/>
        <w:rPr>
          <w:rFonts w:ascii="Times New Roman" w:hAnsi="Times New Roman" w:cs="Times New Roman"/>
          <w:b/>
          <w:bCs/>
          <w:color w:val="0D0D0D" w:themeColor="text1" w:themeTint="F2"/>
        </w:rPr>
      </w:pPr>
      <w:r w:rsidRPr="0002650F">
        <w:rPr>
          <w:rFonts w:ascii="Times New Roman" w:hAnsi="Times New Roman" w:cs="Times New Roman"/>
        </w:rPr>
        <w:t xml:space="preserve">            </w:t>
      </w:r>
      <w:r w:rsidR="00B0525D" w:rsidRPr="0002650F">
        <w:rPr>
          <w:rFonts w:ascii="Times New Roman" w:hAnsi="Times New Roman" w:cs="Times New Roman"/>
          <w:b/>
          <w:bCs/>
        </w:rPr>
        <w:t xml:space="preserve">            </w:t>
      </w:r>
      <w:r w:rsidR="00B0525D" w:rsidRPr="0002650F">
        <w:rPr>
          <w:rFonts w:ascii="Times New Roman" w:hAnsi="Times New Roman" w:cs="Times New Roman"/>
          <w:b/>
          <w:bCs/>
          <w:color w:val="0D0D0D" w:themeColor="text1" w:themeTint="F2"/>
        </w:rPr>
        <w:t>Residual Diagnostic Test (Serial Correlation and Heteroskedasticity)</w:t>
      </w:r>
    </w:p>
    <w:p w14:paraId="4B5127BA" w14:textId="6BF8539B" w:rsidR="007B1554" w:rsidRDefault="007B1554" w:rsidP="007B1554">
      <w:pPr>
        <w:spacing w:line="276" w:lineRule="auto"/>
        <w:ind w:hanging="720"/>
        <w:jc w:val="both"/>
        <w:rPr>
          <w:rFonts w:ascii="Times New Roman" w:hAnsi="Times New Roman" w:cs="Times New Roman"/>
        </w:rPr>
      </w:pPr>
      <w:r w:rsidRPr="0002650F">
        <w:rPr>
          <w:rFonts w:ascii="Times New Roman" w:hAnsi="Times New Roman" w:cs="Times New Roman"/>
        </w:rPr>
        <w:t xml:space="preserve">            The result below shows that the model is devoid of autocorrelations and heteroscedasticity, as the F-statistic is not significant at 0.55 and 0.24 critical values; therefore, the null is rejected.</w:t>
      </w:r>
    </w:p>
    <w:p w14:paraId="4FF11C41" w14:textId="1CDD967B" w:rsidR="00A819C7" w:rsidRPr="0002650F" w:rsidRDefault="00A819C7" w:rsidP="007B1554">
      <w:pPr>
        <w:spacing w:line="276" w:lineRule="auto"/>
        <w:ind w:hanging="720"/>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6</w:t>
      </w:r>
      <w:r w:rsidR="002D451F">
        <w:rPr>
          <w:rFonts w:ascii="Times New Roman" w:hAnsi="Times New Roman" w:cs="Times New Roman"/>
        </w:rPr>
        <w:t xml:space="preserve"> </w:t>
      </w:r>
      <w:r w:rsidR="002D451F" w:rsidRPr="002D451F">
        <w:rPr>
          <w:rFonts w:ascii="Times New Roman" w:hAnsi="Times New Roman" w:cs="Times New Roman"/>
        </w:rPr>
        <w:t xml:space="preserve"> </w:t>
      </w:r>
      <w:r w:rsidR="002D451F" w:rsidRPr="002D451F">
        <w:rPr>
          <w:rFonts w:ascii="Times New Roman" w:hAnsi="Times New Roman" w:cs="Times New Roman"/>
          <w:bCs/>
          <w:color w:val="0D0D0D" w:themeColor="text1" w:themeTint="F2"/>
        </w:rPr>
        <w:t>Residual</w:t>
      </w:r>
      <w:proofErr w:type="gramEnd"/>
      <w:r w:rsidR="002D451F" w:rsidRPr="002D451F">
        <w:rPr>
          <w:rFonts w:ascii="Times New Roman" w:hAnsi="Times New Roman" w:cs="Times New Roman"/>
          <w:bCs/>
          <w:color w:val="0D0D0D" w:themeColor="text1" w:themeTint="F2"/>
        </w:rPr>
        <w:t xml:space="preserve"> Diagnostic Test result for</w:t>
      </w:r>
      <w:r w:rsidR="002D451F">
        <w:rPr>
          <w:rFonts w:ascii="Times New Roman" w:hAnsi="Times New Roman" w:cs="Times New Roman"/>
          <w:b/>
          <w:bCs/>
          <w:color w:val="0D0D0D" w:themeColor="text1" w:themeTint="F2"/>
        </w:rPr>
        <w:t xml:space="preserve"> </w:t>
      </w:r>
      <w:r w:rsidR="002D451F" w:rsidRPr="0002650F">
        <w:rPr>
          <w:rFonts w:ascii="Times New Roman" w:hAnsi="Times New Roman" w:cs="Times New Roman"/>
        </w:rPr>
        <w:t>autocorrelations and heteroscedasticity</w:t>
      </w:r>
    </w:p>
    <w:p w14:paraId="25F89068" w14:textId="220B3389" w:rsidR="00574126" w:rsidRPr="0002650F" w:rsidRDefault="00B0525D" w:rsidP="00A65FDA">
      <w:pPr>
        <w:spacing w:line="276" w:lineRule="auto"/>
        <w:ind w:left="720" w:hanging="720"/>
        <w:jc w:val="both"/>
        <w:rPr>
          <w:rFonts w:ascii="Times New Roman" w:hAnsi="Times New Roman" w:cs="Times New Roman"/>
          <w:b/>
          <w:bCs/>
        </w:rPr>
      </w:pPr>
      <w:r w:rsidRPr="0002650F">
        <w:rPr>
          <w:rFonts w:ascii="Times New Roman" w:hAnsi="Times New Roman" w:cs="Times New Roman"/>
          <w:b/>
          <w:bCs/>
          <w:noProof/>
        </w:rPr>
        <w:drawing>
          <wp:inline distT="0" distB="0" distL="0" distR="0" wp14:anchorId="22C4DD12" wp14:editId="4432A832">
            <wp:extent cx="3797495" cy="1835244"/>
            <wp:effectExtent l="0" t="0" r="0" b="0"/>
            <wp:docPr id="834929012" name="Picture 1" descr="A screenshot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29012" name="Picture 1" descr="A screenshot of a test&#10;&#10;AI-generated content may be incorrect."/>
                    <pic:cNvPicPr/>
                  </pic:nvPicPr>
                  <pic:blipFill>
                    <a:blip r:embed="rId13"/>
                    <a:stretch>
                      <a:fillRect/>
                    </a:stretch>
                  </pic:blipFill>
                  <pic:spPr>
                    <a:xfrm>
                      <a:off x="0" y="0"/>
                      <a:ext cx="3797495" cy="1835244"/>
                    </a:xfrm>
                    <a:prstGeom prst="rect">
                      <a:avLst/>
                    </a:prstGeom>
                  </pic:spPr>
                </pic:pic>
              </a:graphicData>
            </a:graphic>
          </wp:inline>
        </w:drawing>
      </w:r>
    </w:p>
    <w:p w14:paraId="64589F3E" w14:textId="79FAAFCE" w:rsidR="00B0525D" w:rsidRDefault="00B0525D" w:rsidP="00A65FDA">
      <w:pPr>
        <w:spacing w:line="276" w:lineRule="auto"/>
        <w:ind w:left="720" w:hanging="720"/>
        <w:jc w:val="both"/>
        <w:rPr>
          <w:rFonts w:ascii="Times New Roman" w:hAnsi="Times New Roman" w:cs="Times New Roman"/>
          <w:b/>
          <w:bCs/>
        </w:rPr>
      </w:pPr>
      <w:r w:rsidRPr="0002650F">
        <w:rPr>
          <w:rFonts w:ascii="Times New Roman" w:hAnsi="Times New Roman" w:cs="Times New Roman"/>
          <w:b/>
          <w:bCs/>
          <w:noProof/>
        </w:rPr>
        <w:lastRenderedPageBreak/>
        <w:drawing>
          <wp:inline distT="0" distB="0" distL="0" distR="0" wp14:anchorId="2137744A" wp14:editId="2707CD7C">
            <wp:extent cx="3944203" cy="1968500"/>
            <wp:effectExtent l="0" t="0" r="0" b="0"/>
            <wp:docPr id="1889663412" name="Picture 1" descr="A screenshot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63412" name="Picture 1" descr="A screenshot of a test&#10;&#10;AI-generated content may be incorrect."/>
                    <pic:cNvPicPr/>
                  </pic:nvPicPr>
                  <pic:blipFill>
                    <a:blip r:embed="rId14"/>
                    <a:stretch>
                      <a:fillRect/>
                    </a:stretch>
                  </pic:blipFill>
                  <pic:spPr>
                    <a:xfrm>
                      <a:off x="0" y="0"/>
                      <a:ext cx="3945774" cy="1969284"/>
                    </a:xfrm>
                    <a:prstGeom prst="rect">
                      <a:avLst/>
                    </a:prstGeom>
                  </pic:spPr>
                </pic:pic>
              </a:graphicData>
            </a:graphic>
          </wp:inline>
        </w:drawing>
      </w:r>
    </w:p>
    <w:p w14:paraId="76310C06" w14:textId="0D653834" w:rsidR="00A819C7" w:rsidRPr="0002650F" w:rsidRDefault="00A819C7" w:rsidP="00A65FDA">
      <w:pPr>
        <w:spacing w:line="276" w:lineRule="auto"/>
        <w:ind w:left="720" w:hanging="720"/>
        <w:jc w:val="both"/>
        <w:rPr>
          <w:rFonts w:ascii="Times New Roman" w:hAnsi="Times New Roman" w:cs="Times New Roman"/>
          <w:b/>
          <w:bCs/>
        </w:rPr>
      </w:pPr>
      <w:r>
        <w:rPr>
          <w:rFonts w:ascii="Times New Roman" w:hAnsi="Times New Roman" w:cs="Times New Roman"/>
          <w:b/>
          <w:bCs/>
        </w:rPr>
        <w:t>Table 7.</w:t>
      </w:r>
      <w:r w:rsidR="002D451F">
        <w:rPr>
          <w:rFonts w:ascii="Times New Roman" w:hAnsi="Times New Roman" w:cs="Times New Roman"/>
          <w:b/>
          <w:bCs/>
        </w:rPr>
        <w:t xml:space="preserve"> </w:t>
      </w:r>
      <w:r w:rsidR="002D451F" w:rsidRPr="0002650F">
        <w:rPr>
          <w:rFonts w:ascii="Times New Roman" w:hAnsi="Times New Roman" w:cs="Times New Roman"/>
        </w:rPr>
        <w:t>Autoregressive Distributed Lag (ARDL)</w:t>
      </w:r>
    </w:p>
    <w:p w14:paraId="659447E8" w14:textId="793C5444" w:rsidR="0073516B" w:rsidRPr="0002650F" w:rsidRDefault="007B56D0" w:rsidP="00A65FDA">
      <w:pPr>
        <w:spacing w:line="276" w:lineRule="auto"/>
        <w:ind w:left="720" w:hanging="720"/>
        <w:jc w:val="both"/>
        <w:rPr>
          <w:rFonts w:ascii="Times New Roman" w:hAnsi="Times New Roman" w:cs="Times New Roman"/>
          <w:b/>
          <w:bCs/>
          <w:color w:val="BF4E14" w:themeColor="accent2" w:themeShade="BF"/>
        </w:rPr>
      </w:pPr>
      <w:r w:rsidRPr="0002650F">
        <w:rPr>
          <w:rFonts w:ascii="Times New Roman" w:hAnsi="Times New Roman" w:cs="Times New Roman"/>
          <w:b/>
          <w:bCs/>
          <w:color w:val="BF4E14" w:themeColor="accent2" w:themeShade="BF"/>
        </w:rPr>
        <w:t xml:space="preserve">5.0 </w:t>
      </w:r>
      <w:r w:rsidR="0073516B" w:rsidRPr="0002650F">
        <w:rPr>
          <w:rFonts w:ascii="Times New Roman" w:hAnsi="Times New Roman" w:cs="Times New Roman"/>
          <w:b/>
          <w:bCs/>
          <w:color w:val="BF4E14" w:themeColor="accent2" w:themeShade="BF"/>
        </w:rPr>
        <w:t>Conclusion</w:t>
      </w:r>
    </w:p>
    <w:p w14:paraId="4AE1CDDB" w14:textId="36A93F79" w:rsidR="000C365D" w:rsidRPr="0002650F" w:rsidRDefault="000C365D" w:rsidP="000C365D">
      <w:pPr>
        <w:spacing w:line="276" w:lineRule="auto"/>
        <w:jc w:val="both"/>
        <w:rPr>
          <w:rFonts w:ascii="Times New Roman" w:hAnsi="Times New Roman" w:cs="Times New Roman"/>
        </w:rPr>
      </w:pPr>
      <w:r w:rsidRPr="0002650F">
        <w:rPr>
          <w:rFonts w:ascii="Times New Roman" w:hAnsi="Times New Roman" w:cs="Times New Roman"/>
        </w:rPr>
        <w:t xml:space="preserve">This study employs the Autoregressive Distributed Lag (ARDL) methodology to examine the relationship between digital payments </w:t>
      </w:r>
      <w:r w:rsidR="00C33767" w:rsidRPr="0002650F">
        <w:rPr>
          <w:rFonts w:ascii="Times New Roman" w:hAnsi="Times New Roman" w:cs="Times New Roman"/>
        </w:rPr>
        <w:t>and inflation dynamics</w:t>
      </w:r>
      <w:r w:rsidRPr="0002650F">
        <w:rPr>
          <w:rFonts w:ascii="Times New Roman" w:hAnsi="Times New Roman" w:cs="Times New Roman"/>
        </w:rPr>
        <w:t xml:space="preserve"> in Nigeria, using monthly data spanning from 2012</w:t>
      </w:r>
      <w:r w:rsidR="00C33767" w:rsidRPr="0002650F">
        <w:rPr>
          <w:rFonts w:ascii="Times New Roman" w:hAnsi="Times New Roman" w:cs="Times New Roman"/>
        </w:rPr>
        <w:t>M1</w:t>
      </w:r>
      <w:r w:rsidRPr="0002650F">
        <w:rPr>
          <w:rFonts w:ascii="Times New Roman" w:hAnsi="Times New Roman" w:cs="Times New Roman"/>
        </w:rPr>
        <w:t xml:space="preserve"> to 2024</w:t>
      </w:r>
      <w:r w:rsidR="00C33767" w:rsidRPr="0002650F">
        <w:rPr>
          <w:rFonts w:ascii="Times New Roman" w:hAnsi="Times New Roman" w:cs="Times New Roman"/>
        </w:rPr>
        <w:t>M6</w:t>
      </w:r>
      <w:r w:rsidRPr="0002650F">
        <w:rPr>
          <w:rFonts w:ascii="Times New Roman" w:hAnsi="Times New Roman" w:cs="Times New Roman"/>
        </w:rPr>
        <w:t xml:space="preserve">. The analysis also incorporates key macroeconomic control variables, namely money supply, output, and the monetary policy rate, to provide a comprehensive assessment of inflation dynamics over the study period. The results of the bounds testing procedure reveal strong evidence of a long-run relationship between inflation and the explanatory variables. Empirical findings indicate that inflation in Nigeria is persistently and significantly driven by the money supply, which exists in multiple forms, including cash and electronic money. This underscores the critical role of aggregate money supply in </w:t>
      </w:r>
      <w:r w:rsidR="00C33767" w:rsidRPr="0002650F">
        <w:rPr>
          <w:rFonts w:ascii="Times New Roman" w:hAnsi="Times New Roman" w:cs="Times New Roman"/>
        </w:rPr>
        <w:t>determining</w:t>
      </w:r>
      <w:r w:rsidRPr="0002650F">
        <w:rPr>
          <w:rFonts w:ascii="Times New Roman" w:hAnsi="Times New Roman" w:cs="Times New Roman"/>
        </w:rPr>
        <w:t xml:space="preserve"> both current and past inflationary outcomes, thereby lending </w:t>
      </w:r>
      <w:r w:rsidR="00463F82">
        <w:rPr>
          <w:rFonts w:ascii="Times New Roman" w:hAnsi="Times New Roman" w:cs="Times New Roman"/>
        </w:rPr>
        <w:t>theoretical</w:t>
      </w:r>
      <w:r w:rsidRPr="0002650F">
        <w:rPr>
          <w:rFonts w:ascii="Times New Roman" w:hAnsi="Times New Roman" w:cs="Times New Roman"/>
        </w:rPr>
        <w:t xml:space="preserve"> support to the Quantity Theory of Money. The results further suggest that while digital payment systems may exert a direct influence on inflation, their more salient effect operates through the broader monetary environment. By enabling faster and more efficient transactions, digital payments may increase the velocity of money, with implications for price stability. In contrast, output growth appears not to exert significant pressure on inflation, a result that may reflect underlying structural imbalances within the economy.</w:t>
      </w:r>
    </w:p>
    <w:p w14:paraId="32B2C602" w14:textId="6FA91AD9" w:rsidR="000C365D" w:rsidRPr="0002650F" w:rsidRDefault="000C365D" w:rsidP="000C365D">
      <w:pPr>
        <w:spacing w:line="276" w:lineRule="auto"/>
        <w:jc w:val="both"/>
        <w:rPr>
          <w:rFonts w:ascii="Times New Roman" w:hAnsi="Times New Roman" w:cs="Times New Roman"/>
        </w:rPr>
      </w:pPr>
      <w:r w:rsidRPr="0002650F">
        <w:rPr>
          <w:rFonts w:ascii="Times New Roman" w:hAnsi="Times New Roman" w:cs="Times New Roman"/>
        </w:rPr>
        <w:t>The findings also show that changes in the monetary policy rate have a significant effect on inflation, indicating that the policy rate remains an effective tool for achieving price stability in the short run. This effectiveness may be attributed to relatively functional monetary policy transmission channels across sectors of the economy. Overall, the results highlight the importance of effectively managing monetary aggregates and anchoring inflation expectations to achieve long-term price stability.</w:t>
      </w:r>
    </w:p>
    <w:p w14:paraId="31A8B2A5" w14:textId="63363D18" w:rsidR="0073516B" w:rsidRDefault="000C365D" w:rsidP="000C365D">
      <w:pPr>
        <w:spacing w:line="276" w:lineRule="auto"/>
        <w:jc w:val="both"/>
        <w:rPr>
          <w:rFonts w:ascii="Times New Roman" w:hAnsi="Times New Roman" w:cs="Times New Roman"/>
        </w:rPr>
      </w:pPr>
      <w:r w:rsidRPr="0002650F">
        <w:rPr>
          <w:rFonts w:ascii="Times New Roman" w:hAnsi="Times New Roman" w:cs="Times New Roman"/>
        </w:rPr>
        <w:t xml:space="preserve">Based on these findings, several policy recommendations emerge. First, policymakers should prioritize strategies that ensure effective control of the money supply to mitigate inflationary pressures. Strengthening the monetary policy framework to better anchor inflation expectations would contribute to macroeconomic stability. Second, timely and preemptive policy interventions are essential, given the strong persistence of inflation and the significant influence of past inflation </w:t>
      </w:r>
      <w:r w:rsidRPr="0002650F">
        <w:rPr>
          <w:rFonts w:ascii="Times New Roman" w:hAnsi="Times New Roman" w:cs="Times New Roman"/>
        </w:rPr>
        <w:lastRenderedPageBreak/>
        <w:t>on current outcomes. Third, policymakers should leverage the expansion of digital payment systems to enhance monetary policy transmission and improve inflation management. The growth of digital payments can facilitate improved monitoring and regulation of money supply, allowing for more precise policy responses. Finally, central banks should promote wider adoption of digital payment platforms to enhance economic efficiency, reduce transaction costs, and foster financial inclusion, all of which can indirectly support price stability. Nonetheless, the inflationary implications of rapid technological innovation in payment systems should be carefully monitored to prevent unintended macroeconomic consequences.</w:t>
      </w:r>
    </w:p>
    <w:p w14:paraId="50BDD863" w14:textId="77777777" w:rsidR="008F6A9F" w:rsidRDefault="008F6A9F" w:rsidP="000C365D">
      <w:pPr>
        <w:spacing w:line="276" w:lineRule="auto"/>
        <w:jc w:val="both"/>
        <w:rPr>
          <w:rFonts w:ascii="Times New Roman" w:hAnsi="Times New Roman" w:cs="Times New Roman"/>
        </w:rPr>
      </w:pPr>
    </w:p>
    <w:p w14:paraId="33763631" w14:textId="77777777" w:rsidR="008F6A9F" w:rsidRPr="008F6A9F" w:rsidRDefault="008F6A9F" w:rsidP="008F6A9F">
      <w:pPr>
        <w:spacing w:after="200" w:line="276" w:lineRule="auto"/>
        <w:jc w:val="both"/>
        <w:outlineLvl w:val="0"/>
        <w:rPr>
          <w:rFonts w:ascii="Arial" w:eastAsia="Times New Roman" w:hAnsi="Arial" w:cs="Arial"/>
          <w:kern w:val="0"/>
          <w:sz w:val="22"/>
          <w:szCs w:val="22"/>
          <w:lang w:val="en-GB" w:eastAsia="en-GB"/>
          <w14:ligatures w14:val="none"/>
        </w:rPr>
      </w:pPr>
      <w:r w:rsidRPr="008F6A9F">
        <w:rPr>
          <w:rFonts w:ascii="Arial" w:eastAsia="Times New Roman" w:hAnsi="Arial" w:cs="Arial"/>
          <w:b/>
          <w:bCs/>
          <w:kern w:val="0"/>
          <w:sz w:val="22"/>
          <w:szCs w:val="22"/>
          <w:lang w:val="en-GB" w:eastAsia="en-GB"/>
          <w14:ligatures w14:val="none"/>
        </w:rPr>
        <w:t>COMPETING INTERESTS DISCLAIMER:</w:t>
      </w:r>
    </w:p>
    <w:p w14:paraId="5909C513" w14:textId="77777777" w:rsidR="008F6A9F" w:rsidRPr="008F6A9F" w:rsidRDefault="008F6A9F" w:rsidP="008F6A9F">
      <w:pPr>
        <w:spacing w:after="200" w:line="276" w:lineRule="auto"/>
        <w:rPr>
          <w:rFonts w:ascii="Calibri" w:eastAsia="Times New Roman" w:hAnsi="Calibri" w:cs="Times New Roman"/>
          <w:kern w:val="0"/>
          <w:sz w:val="22"/>
          <w:szCs w:val="22"/>
          <w:lang w:val="en-GB" w:eastAsia="en-GB"/>
          <w14:ligatures w14:val="none"/>
        </w:rPr>
      </w:pPr>
      <w:r w:rsidRPr="008F6A9F">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5E8D970" w14:textId="77777777" w:rsidR="008F6A9F" w:rsidRPr="0002650F" w:rsidRDefault="008F6A9F" w:rsidP="000C365D">
      <w:pPr>
        <w:spacing w:line="276" w:lineRule="auto"/>
        <w:jc w:val="both"/>
        <w:rPr>
          <w:rFonts w:ascii="Times New Roman" w:hAnsi="Times New Roman" w:cs="Times New Roman"/>
        </w:rPr>
      </w:pPr>
    </w:p>
    <w:p w14:paraId="2FDA22E2" w14:textId="77777777" w:rsidR="0073516B" w:rsidRPr="0002650F" w:rsidRDefault="0073516B" w:rsidP="00A65FDA">
      <w:pPr>
        <w:spacing w:line="276" w:lineRule="auto"/>
        <w:rPr>
          <w:rFonts w:ascii="Times New Roman" w:hAnsi="Times New Roman" w:cs="Times New Roman"/>
        </w:rPr>
      </w:pPr>
    </w:p>
    <w:p w14:paraId="5E7901C1" w14:textId="77777777" w:rsidR="0073516B" w:rsidRPr="0002650F" w:rsidRDefault="0073516B" w:rsidP="00A65FDA">
      <w:pPr>
        <w:spacing w:line="276" w:lineRule="auto"/>
        <w:jc w:val="center"/>
        <w:rPr>
          <w:rFonts w:ascii="Times New Roman" w:hAnsi="Times New Roman" w:cs="Times New Roman"/>
          <w:b/>
          <w:bCs/>
        </w:rPr>
      </w:pPr>
      <w:r w:rsidRPr="0002650F">
        <w:rPr>
          <w:rFonts w:ascii="Times New Roman" w:hAnsi="Times New Roman" w:cs="Times New Roman"/>
          <w:b/>
          <w:bCs/>
        </w:rPr>
        <w:t>References</w:t>
      </w:r>
    </w:p>
    <w:p w14:paraId="63453828" w14:textId="77777777" w:rsidR="0073516B" w:rsidRPr="0002650F" w:rsidRDefault="0073516B" w:rsidP="00A65FDA">
      <w:pPr>
        <w:spacing w:line="276" w:lineRule="auto"/>
        <w:ind w:left="720" w:hanging="720"/>
        <w:jc w:val="both"/>
        <w:rPr>
          <w:rFonts w:ascii="Times New Roman" w:hAnsi="Times New Roman" w:cs="Times New Roman"/>
        </w:rPr>
      </w:pPr>
      <w:proofErr w:type="spellStart"/>
      <w:r w:rsidRPr="0002650F">
        <w:rPr>
          <w:rFonts w:ascii="Times New Roman" w:hAnsi="Times New Roman" w:cs="Times New Roman"/>
        </w:rPr>
        <w:t>Aguir</w:t>
      </w:r>
      <w:proofErr w:type="spellEnd"/>
      <w:r w:rsidRPr="0002650F">
        <w:rPr>
          <w:rFonts w:ascii="Times New Roman" w:hAnsi="Times New Roman" w:cs="Times New Roman"/>
        </w:rPr>
        <w:t>, A. (2018). Central bank credibility, independence, and monetary policy. </w:t>
      </w:r>
      <w:r w:rsidRPr="0002650F">
        <w:rPr>
          <w:rFonts w:ascii="Times New Roman" w:hAnsi="Times New Roman" w:cs="Times New Roman"/>
          <w:i/>
          <w:iCs/>
        </w:rPr>
        <w:t>Journal of Central Banking Theory and Practice</w:t>
      </w:r>
      <w:r w:rsidRPr="0002650F">
        <w:rPr>
          <w:rFonts w:ascii="Times New Roman" w:hAnsi="Times New Roman" w:cs="Times New Roman"/>
        </w:rPr>
        <w:t>, </w:t>
      </w:r>
      <w:r w:rsidRPr="0002650F">
        <w:rPr>
          <w:rFonts w:ascii="Times New Roman" w:hAnsi="Times New Roman" w:cs="Times New Roman"/>
          <w:i/>
          <w:iCs/>
        </w:rPr>
        <w:t>7</w:t>
      </w:r>
      <w:r w:rsidRPr="0002650F">
        <w:rPr>
          <w:rFonts w:ascii="Times New Roman" w:hAnsi="Times New Roman" w:cs="Times New Roman"/>
        </w:rPr>
        <w:t xml:space="preserve">(3), 91–110. </w:t>
      </w:r>
      <w:hyperlink r:id="rId15" w:history="1">
        <w:r w:rsidRPr="0002650F">
          <w:rPr>
            <w:rStyle w:val="Hyperlink"/>
            <w:rFonts w:ascii="Times New Roman" w:hAnsi="Times New Roman" w:cs="Times New Roman"/>
          </w:rPr>
          <w:t>https://doi.org/10.2478/jcbtp-2018-0025</w:t>
        </w:r>
      </w:hyperlink>
    </w:p>
    <w:p w14:paraId="5744258C" w14:textId="59D454A1" w:rsidR="00561CFB" w:rsidRPr="0002650F" w:rsidRDefault="00561CF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Ajayi et al. (2025): Published in the International Journal of Latest Technology in Engineering, Management &amp; Applied Science, this study investigates the effect of inflation on the financial performance of consumer goods companies in Nigeria</w:t>
      </w:r>
    </w:p>
    <w:p w14:paraId="718837B6"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lang w:val="pt-BR"/>
        </w:rPr>
        <w:t>Arango-Arango, C. A., &amp; Suárez-Ariza, N. F. (2019). </w:t>
      </w:r>
      <w:r w:rsidRPr="0002650F">
        <w:rPr>
          <w:rFonts w:ascii="Times New Roman" w:hAnsi="Times New Roman" w:cs="Times New Roman"/>
          <w:i/>
          <w:iCs/>
        </w:rPr>
        <w:t>Digital payments adoption and the demand for cash: New international evidence</w:t>
      </w:r>
      <w:r w:rsidRPr="0002650F">
        <w:rPr>
          <w:rFonts w:ascii="Times New Roman" w:hAnsi="Times New Roman" w:cs="Times New Roman"/>
        </w:rPr>
        <w:t>. Banco de la República.</w:t>
      </w:r>
    </w:p>
    <w:p w14:paraId="11CE3183"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Ball, L. (1994). What Determinants of Inflation? In Inflation and Unemployment: Theory and Cross-National Evidence (pp. 155-193). MIT Press.</w:t>
      </w:r>
    </w:p>
    <w:p w14:paraId="2E4E33C0"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Belke, A., &amp; Beretta, E. (2020). From cash to central bank digital currencies and cryptocurrencies: a balancing act between modernity and monetary stability. </w:t>
      </w:r>
      <w:r w:rsidRPr="0002650F">
        <w:rPr>
          <w:rFonts w:ascii="Times New Roman" w:hAnsi="Times New Roman" w:cs="Times New Roman"/>
          <w:i/>
          <w:iCs/>
        </w:rPr>
        <w:t>Journal of Economic Studies</w:t>
      </w:r>
      <w:r w:rsidRPr="0002650F">
        <w:rPr>
          <w:rFonts w:ascii="Times New Roman" w:hAnsi="Times New Roman" w:cs="Times New Roman"/>
        </w:rPr>
        <w:t>, </w:t>
      </w:r>
      <w:r w:rsidRPr="0002650F">
        <w:rPr>
          <w:rFonts w:ascii="Times New Roman" w:hAnsi="Times New Roman" w:cs="Times New Roman"/>
          <w:i/>
          <w:iCs/>
        </w:rPr>
        <w:t>47</w:t>
      </w:r>
      <w:r w:rsidRPr="0002650F">
        <w:rPr>
          <w:rFonts w:ascii="Times New Roman" w:hAnsi="Times New Roman" w:cs="Times New Roman"/>
        </w:rPr>
        <w:t>(4), 911-938.</w:t>
      </w:r>
    </w:p>
    <w:p w14:paraId="09241955" w14:textId="77777777" w:rsidR="0073516B" w:rsidRPr="0002650F" w:rsidRDefault="0073516B" w:rsidP="00A65FDA">
      <w:pPr>
        <w:spacing w:line="276" w:lineRule="auto"/>
        <w:ind w:left="720" w:hanging="720"/>
        <w:jc w:val="both"/>
        <w:rPr>
          <w:rFonts w:ascii="Times New Roman" w:hAnsi="Times New Roman" w:cs="Times New Roman"/>
        </w:rPr>
      </w:pPr>
      <w:proofErr w:type="spellStart"/>
      <w:r w:rsidRPr="0002650F">
        <w:rPr>
          <w:rFonts w:ascii="Times New Roman" w:hAnsi="Times New Roman" w:cs="Times New Roman"/>
        </w:rPr>
        <w:t>Beniak</w:t>
      </w:r>
      <w:proofErr w:type="spellEnd"/>
      <w:r w:rsidRPr="0002650F">
        <w:rPr>
          <w:rFonts w:ascii="Times New Roman" w:hAnsi="Times New Roman" w:cs="Times New Roman"/>
        </w:rPr>
        <w:t>, P. (2019). Central bank digital currency and monetary policy: a literature review.</w:t>
      </w:r>
    </w:p>
    <w:p w14:paraId="48EC776B"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 xml:space="preserve">Bernanke, B. S., &amp; Blinder, A. S. (1992). The Federal Funds Rate and the Channels of Monetary Transmission. </w:t>
      </w:r>
      <w:r w:rsidRPr="0002650F">
        <w:rPr>
          <w:rFonts w:ascii="Times New Roman" w:hAnsi="Times New Roman" w:cs="Times New Roman"/>
          <w:i/>
          <w:iCs/>
        </w:rPr>
        <w:t>The American Economic Review, 82</w:t>
      </w:r>
      <w:r w:rsidRPr="0002650F">
        <w:rPr>
          <w:rFonts w:ascii="Times New Roman" w:hAnsi="Times New Roman" w:cs="Times New Roman"/>
        </w:rPr>
        <w:t>(4), 901-921.</w:t>
      </w:r>
    </w:p>
    <w:p w14:paraId="32AE1DC9" w14:textId="77777777" w:rsidR="0073516B" w:rsidRPr="0002650F" w:rsidRDefault="0073516B" w:rsidP="00A65FDA">
      <w:pPr>
        <w:spacing w:line="276" w:lineRule="auto"/>
        <w:ind w:left="720" w:hanging="720"/>
        <w:jc w:val="both"/>
        <w:rPr>
          <w:rFonts w:ascii="Times New Roman" w:hAnsi="Times New Roman" w:cs="Times New Roman"/>
        </w:rPr>
      </w:pPr>
      <w:proofErr w:type="spellStart"/>
      <w:r w:rsidRPr="0002650F">
        <w:rPr>
          <w:rFonts w:ascii="Times New Roman" w:hAnsi="Times New Roman" w:cs="Times New Roman"/>
        </w:rPr>
        <w:t>Bhoopathy</w:t>
      </w:r>
      <w:proofErr w:type="spellEnd"/>
      <w:r w:rsidRPr="0002650F">
        <w:rPr>
          <w:rFonts w:ascii="Times New Roman" w:hAnsi="Times New Roman" w:cs="Times New Roman"/>
        </w:rPr>
        <w:t>, P. K. (2023). The impact of digital payments on consumer spending habits. </w:t>
      </w:r>
      <w:proofErr w:type="spellStart"/>
      <w:r w:rsidRPr="0002650F">
        <w:rPr>
          <w:rFonts w:ascii="Times New Roman" w:hAnsi="Times New Roman" w:cs="Times New Roman"/>
          <w:i/>
          <w:iCs/>
        </w:rPr>
        <w:t>Tuijin</w:t>
      </w:r>
      <w:proofErr w:type="spellEnd"/>
      <w:r w:rsidRPr="0002650F">
        <w:rPr>
          <w:rFonts w:ascii="Times New Roman" w:hAnsi="Times New Roman" w:cs="Times New Roman"/>
          <w:i/>
          <w:iCs/>
        </w:rPr>
        <w:t xml:space="preserve"> </w:t>
      </w:r>
      <w:proofErr w:type="spellStart"/>
      <w:r w:rsidRPr="0002650F">
        <w:rPr>
          <w:rFonts w:ascii="Times New Roman" w:hAnsi="Times New Roman" w:cs="Times New Roman"/>
          <w:i/>
          <w:iCs/>
        </w:rPr>
        <w:t>Jishu</w:t>
      </w:r>
      <w:proofErr w:type="spellEnd"/>
      <w:r w:rsidRPr="0002650F">
        <w:rPr>
          <w:rFonts w:ascii="Times New Roman" w:hAnsi="Times New Roman" w:cs="Times New Roman"/>
        </w:rPr>
        <w:t>, </w:t>
      </w:r>
      <w:r w:rsidRPr="0002650F">
        <w:rPr>
          <w:rFonts w:ascii="Times New Roman" w:hAnsi="Times New Roman" w:cs="Times New Roman"/>
          <w:i/>
          <w:iCs/>
        </w:rPr>
        <w:t>44</w:t>
      </w:r>
      <w:r w:rsidRPr="0002650F">
        <w:rPr>
          <w:rFonts w:ascii="Times New Roman" w:hAnsi="Times New Roman" w:cs="Times New Roman"/>
        </w:rPr>
        <w:t xml:space="preserve">(4), 5373–5380. </w:t>
      </w:r>
      <w:hyperlink r:id="rId16" w:history="1">
        <w:r w:rsidRPr="0002650F">
          <w:rPr>
            <w:rStyle w:val="Hyperlink"/>
            <w:rFonts w:ascii="Times New Roman" w:hAnsi="Times New Roman" w:cs="Times New Roman"/>
          </w:rPr>
          <w:t>https://doi.org/10.52783/tjjpt.v44.i4.1896</w:t>
        </w:r>
      </w:hyperlink>
    </w:p>
    <w:p w14:paraId="5CB980A9"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lastRenderedPageBreak/>
        <w:t xml:space="preserve">Bhuvaneshwari. M, Abinaya Shri. D, </w:t>
      </w:r>
      <w:proofErr w:type="gramStart"/>
      <w:r w:rsidRPr="0002650F">
        <w:rPr>
          <w:rFonts w:ascii="Times New Roman" w:hAnsi="Times New Roman" w:cs="Times New Roman"/>
        </w:rPr>
        <w:t>Ashwini .S</w:t>
      </w:r>
      <w:proofErr w:type="gramEnd"/>
      <w:r w:rsidRPr="0002650F">
        <w:rPr>
          <w:rFonts w:ascii="Times New Roman" w:hAnsi="Times New Roman" w:cs="Times New Roman"/>
        </w:rPr>
        <w:t xml:space="preserve"> (2024). Impact of digital payment system on the goods sector. </w:t>
      </w:r>
      <w:r w:rsidRPr="0002650F">
        <w:rPr>
          <w:rFonts w:ascii="Times New Roman" w:hAnsi="Times New Roman" w:cs="Times New Roman"/>
          <w:i/>
          <w:iCs/>
        </w:rPr>
        <w:t xml:space="preserve">International Journal </w:t>
      </w:r>
      <w:proofErr w:type="gramStart"/>
      <w:r w:rsidRPr="0002650F">
        <w:rPr>
          <w:rFonts w:ascii="Times New Roman" w:hAnsi="Times New Roman" w:cs="Times New Roman"/>
          <w:i/>
          <w:iCs/>
        </w:rPr>
        <w:t>For</w:t>
      </w:r>
      <w:proofErr w:type="gramEnd"/>
      <w:r w:rsidRPr="0002650F">
        <w:rPr>
          <w:rFonts w:ascii="Times New Roman" w:hAnsi="Times New Roman" w:cs="Times New Roman"/>
          <w:i/>
          <w:iCs/>
        </w:rPr>
        <w:t xml:space="preserve"> Multidisciplinary Research</w:t>
      </w:r>
      <w:r w:rsidRPr="0002650F">
        <w:rPr>
          <w:rFonts w:ascii="Times New Roman" w:hAnsi="Times New Roman" w:cs="Times New Roman"/>
        </w:rPr>
        <w:t>, </w:t>
      </w:r>
      <w:r w:rsidRPr="0002650F">
        <w:rPr>
          <w:rFonts w:ascii="Times New Roman" w:hAnsi="Times New Roman" w:cs="Times New Roman"/>
          <w:i/>
          <w:iCs/>
        </w:rPr>
        <w:t>6</w:t>
      </w:r>
      <w:r w:rsidRPr="0002650F">
        <w:rPr>
          <w:rFonts w:ascii="Times New Roman" w:hAnsi="Times New Roman" w:cs="Times New Roman"/>
        </w:rPr>
        <w:t xml:space="preserve">(3). </w:t>
      </w:r>
      <w:hyperlink r:id="rId17" w:history="1">
        <w:r w:rsidRPr="0002650F">
          <w:rPr>
            <w:rStyle w:val="Hyperlink"/>
            <w:rFonts w:ascii="Times New Roman" w:hAnsi="Times New Roman" w:cs="Times New Roman"/>
          </w:rPr>
          <w:t>https://doi.org/10.36948/ijfmr.2024.v06i03.21658</w:t>
        </w:r>
      </w:hyperlink>
    </w:p>
    <w:p w14:paraId="5389A8A9"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Christensen, L.L. (2022). Digital cash, the conduct of monetary policy and the monetary transmission mechanism. DISCUSSION PAPER</w:t>
      </w:r>
    </w:p>
    <w:p w14:paraId="6318505B" w14:textId="77777777" w:rsidR="0073516B" w:rsidRDefault="0073516B" w:rsidP="00A65FDA">
      <w:pPr>
        <w:spacing w:line="276" w:lineRule="auto"/>
        <w:ind w:left="720" w:hanging="720"/>
        <w:jc w:val="both"/>
      </w:pPr>
      <w:proofErr w:type="spellStart"/>
      <w:r w:rsidRPr="0002650F">
        <w:rPr>
          <w:rFonts w:ascii="Times New Roman" w:hAnsi="Times New Roman" w:cs="Times New Roman"/>
        </w:rPr>
        <w:t>Csonto</w:t>
      </w:r>
      <w:proofErr w:type="spellEnd"/>
      <w:r w:rsidRPr="0002650F">
        <w:rPr>
          <w:rFonts w:ascii="Times New Roman" w:hAnsi="Times New Roman" w:cs="Times New Roman"/>
        </w:rPr>
        <w:t>, B., Huang, Y., &amp; Tovar Mora, C. (2019). Is digitalization driving domestic inflation? </w:t>
      </w:r>
      <w:r w:rsidRPr="0002650F">
        <w:rPr>
          <w:rFonts w:ascii="Times New Roman" w:hAnsi="Times New Roman" w:cs="Times New Roman"/>
          <w:i/>
          <w:iCs/>
        </w:rPr>
        <w:t>IMF Working Papers</w:t>
      </w:r>
      <w:r w:rsidRPr="0002650F">
        <w:rPr>
          <w:rFonts w:ascii="Times New Roman" w:hAnsi="Times New Roman" w:cs="Times New Roman"/>
        </w:rPr>
        <w:t>, </w:t>
      </w:r>
      <w:r w:rsidRPr="0002650F">
        <w:rPr>
          <w:rFonts w:ascii="Times New Roman" w:hAnsi="Times New Roman" w:cs="Times New Roman"/>
          <w:i/>
          <w:iCs/>
        </w:rPr>
        <w:t>19</w:t>
      </w:r>
      <w:r w:rsidRPr="0002650F">
        <w:rPr>
          <w:rFonts w:ascii="Times New Roman" w:hAnsi="Times New Roman" w:cs="Times New Roman"/>
        </w:rPr>
        <w:t xml:space="preserve">(271). </w:t>
      </w:r>
      <w:hyperlink r:id="rId18" w:history="1">
        <w:r w:rsidRPr="0002650F">
          <w:rPr>
            <w:rStyle w:val="Hyperlink"/>
            <w:rFonts w:ascii="Times New Roman" w:hAnsi="Times New Roman" w:cs="Times New Roman"/>
          </w:rPr>
          <w:t>https://doi.org/10.5089/9781513519944.001</w:t>
        </w:r>
      </w:hyperlink>
    </w:p>
    <w:p w14:paraId="5A6E7A23" w14:textId="719DEABF" w:rsidR="00824B8D" w:rsidRPr="00824B8D" w:rsidRDefault="00824B8D" w:rsidP="002E6D52">
      <w:pPr>
        <w:spacing w:line="276" w:lineRule="auto"/>
        <w:ind w:left="720" w:hanging="720"/>
        <w:jc w:val="both"/>
        <w:rPr>
          <w:rFonts w:ascii="Times New Roman" w:hAnsi="Times New Roman" w:cs="Times New Roman"/>
        </w:rPr>
      </w:pPr>
      <w:r w:rsidRPr="00824B8D">
        <w:rPr>
          <w:rFonts w:ascii="Times New Roman" w:hAnsi="Times New Roman" w:cs="Times New Roman"/>
        </w:rPr>
        <w:t xml:space="preserve">Clara F. and Citra R. (2025). The Impact of Digital Payments on Inflation in G20 Countries. Contemporary studies in </w:t>
      </w:r>
      <w:r>
        <w:rPr>
          <w:rFonts w:ascii="Times New Roman" w:hAnsi="Times New Roman" w:cs="Times New Roman"/>
        </w:rPr>
        <w:t>economics</w:t>
      </w:r>
      <w:r w:rsidRPr="00824B8D">
        <w:rPr>
          <w:rFonts w:ascii="Times New Roman" w:hAnsi="Times New Roman" w:cs="Times New Roman"/>
        </w:rPr>
        <w:t>, finance</w:t>
      </w:r>
      <w:r>
        <w:rPr>
          <w:rFonts w:ascii="Times New Roman" w:hAnsi="Times New Roman" w:cs="Times New Roman"/>
        </w:rPr>
        <w:t>,</w:t>
      </w:r>
      <w:r w:rsidRPr="00824B8D">
        <w:rPr>
          <w:rFonts w:ascii="Times New Roman" w:hAnsi="Times New Roman" w:cs="Times New Roman"/>
        </w:rPr>
        <w:t xml:space="preserve"> and banking. Current issues vol. 4 no. 4 (2025)</w:t>
      </w:r>
    </w:p>
    <w:p w14:paraId="36CFA1A7"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 xml:space="preserve">Emara, N., &amp; </w:t>
      </w:r>
      <w:proofErr w:type="spellStart"/>
      <w:r w:rsidRPr="0002650F">
        <w:rPr>
          <w:rFonts w:ascii="Times New Roman" w:hAnsi="Times New Roman" w:cs="Times New Roman"/>
        </w:rPr>
        <w:t>Zecheru</w:t>
      </w:r>
      <w:proofErr w:type="spellEnd"/>
      <w:r w:rsidRPr="0002650F">
        <w:rPr>
          <w:rFonts w:ascii="Times New Roman" w:hAnsi="Times New Roman" w:cs="Times New Roman"/>
        </w:rPr>
        <w:t>, D. (2022). Is the impact of digitization on domestic inflation non-linear? The case of emerging markets. </w:t>
      </w:r>
      <w:r w:rsidRPr="0002650F">
        <w:rPr>
          <w:rFonts w:ascii="Times New Roman" w:hAnsi="Times New Roman" w:cs="Times New Roman"/>
          <w:i/>
          <w:iCs/>
        </w:rPr>
        <w:t>SSRN Electronic Journal</w:t>
      </w:r>
      <w:r w:rsidRPr="0002650F">
        <w:rPr>
          <w:rFonts w:ascii="Times New Roman" w:hAnsi="Times New Roman" w:cs="Times New Roman"/>
        </w:rPr>
        <w:t xml:space="preserve">. </w:t>
      </w:r>
      <w:hyperlink r:id="rId19" w:history="1">
        <w:r w:rsidRPr="0002650F">
          <w:rPr>
            <w:rStyle w:val="Hyperlink"/>
            <w:rFonts w:ascii="Times New Roman" w:hAnsi="Times New Roman" w:cs="Times New Roman"/>
          </w:rPr>
          <w:t>https://doi.org/10.2139/ssrn.4062337</w:t>
        </w:r>
      </w:hyperlink>
    </w:p>
    <w:p w14:paraId="56796167"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 xml:space="preserve">Emara, N., &amp; </w:t>
      </w:r>
      <w:proofErr w:type="spellStart"/>
      <w:r w:rsidRPr="0002650F">
        <w:rPr>
          <w:rFonts w:ascii="Times New Roman" w:hAnsi="Times New Roman" w:cs="Times New Roman"/>
        </w:rPr>
        <w:t>Zecheru</w:t>
      </w:r>
      <w:proofErr w:type="spellEnd"/>
      <w:r w:rsidRPr="0002650F">
        <w:rPr>
          <w:rFonts w:ascii="Times New Roman" w:hAnsi="Times New Roman" w:cs="Times New Roman"/>
        </w:rPr>
        <w:t>, D. (2024). Asymmetric threshold effects of digitization on inflation in emerging markets. </w:t>
      </w:r>
      <w:r w:rsidRPr="0002650F">
        <w:rPr>
          <w:rFonts w:ascii="Times New Roman" w:hAnsi="Times New Roman" w:cs="Times New Roman"/>
          <w:i/>
          <w:iCs/>
        </w:rPr>
        <w:t>Financial Innovation</w:t>
      </w:r>
      <w:r w:rsidRPr="0002650F">
        <w:rPr>
          <w:rFonts w:ascii="Times New Roman" w:hAnsi="Times New Roman" w:cs="Times New Roman"/>
        </w:rPr>
        <w:t>, </w:t>
      </w:r>
      <w:r w:rsidRPr="0002650F">
        <w:rPr>
          <w:rFonts w:ascii="Times New Roman" w:hAnsi="Times New Roman" w:cs="Times New Roman"/>
          <w:i/>
          <w:iCs/>
        </w:rPr>
        <w:t>10</w:t>
      </w:r>
      <w:r w:rsidRPr="0002650F">
        <w:rPr>
          <w:rFonts w:ascii="Times New Roman" w:hAnsi="Times New Roman" w:cs="Times New Roman"/>
        </w:rPr>
        <w:t xml:space="preserve">(1). </w:t>
      </w:r>
      <w:hyperlink r:id="rId20" w:history="1">
        <w:r w:rsidRPr="0002650F">
          <w:rPr>
            <w:rStyle w:val="Hyperlink"/>
            <w:rFonts w:ascii="Times New Roman" w:hAnsi="Times New Roman" w:cs="Times New Roman"/>
          </w:rPr>
          <w:t>https://doi.org/10.1186/s40854-023-00545-8</w:t>
        </w:r>
      </w:hyperlink>
    </w:p>
    <w:p w14:paraId="099A8F2D"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 xml:space="preserve">Friedman, M. (1963). </w:t>
      </w:r>
      <w:r w:rsidRPr="0002650F">
        <w:rPr>
          <w:rFonts w:ascii="Times New Roman" w:hAnsi="Times New Roman" w:cs="Times New Roman"/>
          <w:i/>
          <w:iCs/>
        </w:rPr>
        <w:t>Inflation: Causes and Consequences</w:t>
      </w:r>
      <w:r w:rsidRPr="0002650F">
        <w:rPr>
          <w:rFonts w:ascii="Times New Roman" w:hAnsi="Times New Roman" w:cs="Times New Roman"/>
        </w:rPr>
        <w:t xml:space="preserve">. In </w:t>
      </w:r>
      <w:r w:rsidRPr="0002650F">
        <w:rPr>
          <w:rFonts w:ascii="Times New Roman" w:hAnsi="Times New Roman" w:cs="Times New Roman"/>
          <w:i/>
          <w:iCs/>
        </w:rPr>
        <w:t>The Economics of the Recovery Program</w:t>
      </w:r>
      <w:r w:rsidRPr="0002650F">
        <w:rPr>
          <w:rFonts w:ascii="Times New Roman" w:hAnsi="Times New Roman" w:cs="Times New Roman"/>
        </w:rPr>
        <w:t xml:space="preserve"> (pp. 35-65). </w:t>
      </w:r>
      <w:r w:rsidRPr="0002650F">
        <w:rPr>
          <w:rFonts w:ascii="Times New Roman" w:hAnsi="Times New Roman" w:cs="Times New Roman"/>
          <w:i/>
          <w:iCs/>
        </w:rPr>
        <w:t>The American Economic Review, 53</w:t>
      </w:r>
      <w:r w:rsidRPr="0002650F">
        <w:rPr>
          <w:rFonts w:ascii="Times New Roman" w:hAnsi="Times New Roman" w:cs="Times New Roman"/>
        </w:rPr>
        <w:t>(1), 59-73.</w:t>
      </w:r>
    </w:p>
    <w:p w14:paraId="09737443"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Gao, J. (2024). The Impact of Digital Currency Policies on International Trade and Investment. </w:t>
      </w:r>
      <w:r w:rsidRPr="0002650F">
        <w:rPr>
          <w:rFonts w:ascii="Times New Roman" w:hAnsi="Times New Roman" w:cs="Times New Roman"/>
          <w:i/>
          <w:iCs/>
        </w:rPr>
        <w:t>Advances in Economics, Management and Political Sciences</w:t>
      </w:r>
      <w:r w:rsidRPr="0002650F">
        <w:rPr>
          <w:rFonts w:ascii="Times New Roman" w:hAnsi="Times New Roman" w:cs="Times New Roman"/>
        </w:rPr>
        <w:t xml:space="preserve">. </w:t>
      </w:r>
      <w:hyperlink r:id="rId21" w:history="1">
        <w:r w:rsidRPr="0002650F">
          <w:rPr>
            <w:rStyle w:val="Hyperlink"/>
            <w:rFonts w:ascii="Times New Roman" w:hAnsi="Times New Roman" w:cs="Times New Roman"/>
          </w:rPr>
          <w:t>https://doi.org/10.54254/2754-1169/89/20241905</w:t>
        </w:r>
      </w:hyperlink>
    </w:p>
    <w:p w14:paraId="2D3FE9AF"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 xml:space="preserve">Genberg, H. (2020). Digital Transformation: Some Implications </w:t>
      </w:r>
      <w:proofErr w:type="gramStart"/>
      <w:r w:rsidRPr="0002650F">
        <w:rPr>
          <w:rFonts w:ascii="Times New Roman" w:hAnsi="Times New Roman" w:cs="Times New Roman"/>
        </w:rPr>
        <w:t>For</w:t>
      </w:r>
      <w:proofErr w:type="gramEnd"/>
      <w:r w:rsidRPr="0002650F">
        <w:rPr>
          <w:rFonts w:ascii="Times New Roman" w:hAnsi="Times New Roman" w:cs="Times New Roman"/>
        </w:rPr>
        <w:t xml:space="preserve"> Financial And Macroeconomic Stability. ADBI Working Paper Series</w:t>
      </w:r>
    </w:p>
    <w:p w14:paraId="07F4B306"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Gopalan, S., &amp; Rajan, R. S. (2022). Does digital financial inclusion moderate or exacerbate output volatility? </w:t>
      </w:r>
      <w:r w:rsidRPr="0002650F">
        <w:rPr>
          <w:rFonts w:ascii="Times New Roman" w:hAnsi="Times New Roman" w:cs="Times New Roman"/>
          <w:i/>
          <w:iCs/>
        </w:rPr>
        <w:t>Applied Economics Letters</w:t>
      </w:r>
      <w:r w:rsidRPr="0002650F">
        <w:rPr>
          <w:rFonts w:ascii="Times New Roman" w:hAnsi="Times New Roman" w:cs="Times New Roman"/>
        </w:rPr>
        <w:t>, </w:t>
      </w:r>
      <w:r w:rsidRPr="0002650F">
        <w:rPr>
          <w:rFonts w:ascii="Times New Roman" w:hAnsi="Times New Roman" w:cs="Times New Roman"/>
          <w:i/>
          <w:iCs/>
        </w:rPr>
        <w:t>29</w:t>
      </w:r>
      <w:r w:rsidRPr="0002650F">
        <w:rPr>
          <w:rFonts w:ascii="Times New Roman" w:hAnsi="Times New Roman" w:cs="Times New Roman"/>
        </w:rPr>
        <w:t xml:space="preserve">(19), 1804–1809. </w:t>
      </w:r>
      <w:hyperlink r:id="rId22" w:history="1">
        <w:r w:rsidRPr="0002650F">
          <w:rPr>
            <w:rStyle w:val="Hyperlink"/>
            <w:rFonts w:ascii="Times New Roman" w:hAnsi="Times New Roman" w:cs="Times New Roman"/>
          </w:rPr>
          <w:t>https://doi.org/10.1080/13504851.2021.1963400</w:t>
        </w:r>
      </w:hyperlink>
    </w:p>
    <w:p w14:paraId="5184957E"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 xml:space="preserve">Hermawan, D., Lie, D., </w:t>
      </w:r>
      <w:proofErr w:type="spellStart"/>
      <w:r w:rsidRPr="0002650F">
        <w:rPr>
          <w:rFonts w:ascii="Times New Roman" w:hAnsi="Times New Roman" w:cs="Times New Roman"/>
        </w:rPr>
        <w:t>Sasongko</w:t>
      </w:r>
      <w:proofErr w:type="spellEnd"/>
      <w:r w:rsidRPr="0002650F">
        <w:rPr>
          <w:rFonts w:ascii="Times New Roman" w:hAnsi="Times New Roman" w:cs="Times New Roman"/>
        </w:rPr>
        <w:t xml:space="preserve">, A., &amp; </w:t>
      </w:r>
      <w:proofErr w:type="spellStart"/>
      <w:r w:rsidRPr="0002650F">
        <w:rPr>
          <w:rFonts w:ascii="Times New Roman" w:hAnsi="Times New Roman" w:cs="Times New Roman"/>
        </w:rPr>
        <w:t>Yusan</w:t>
      </w:r>
      <w:proofErr w:type="spellEnd"/>
      <w:r w:rsidRPr="0002650F">
        <w:rPr>
          <w:rFonts w:ascii="Times New Roman" w:hAnsi="Times New Roman" w:cs="Times New Roman"/>
        </w:rPr>
        <w:t>, R. I. (2024). Money velocity, digital currency and inflation dynamics in Indonesia. </w:t>
      </w:r>
      <w:r w:rsidRPr="0002650F">
        <w:rPr>
          <w:rFonts w:ascii="Times New Roman" w:hAnsi="Times New Roman" w:cs="Times New Roman"/>
          <w:i/>
          <w:iCs/>
        </w:rPr>
        <w:t>Bulletin of Indonesian Economic Studies</w:t>
      </w:r>
      <w:r w:rsidRPr="0002650F">
        <w:rPr>
          <w:rFonts w:ascii="Times New Roman" w:hAnsi="Times New Roman" w:cs="Times New Roman"/>
        </w:rPr>
        <w:t>, </w:t>
      </w:r>
      <w:r w:rsidRPr="0002650F">
        <w:rPr>
          <w:rFonts w:ascii="Times New Roman" w:hAnsi="Times New Roman" w:cs="Times New Roman"/>
          <w:i/>
          <w:iCs/>
        </w:rPr>
        <w:t>60</w:t>
      </w:r>
      <w:r w:rsidRPr="0002650F">
        <w:rPr>
          <w:rFonts w:ascii="Times New Roman" w:hAnsi="Times New Roman" w:cs="Times New Roman"/>
        </w:rPr>
        <w:t xml:space="preserve">(3), 305–345. </w:t>
      </w:r>
      <w:hyperlink r:id="rId23" w:history="1">
        <w:r w:rsidRPr="0002650F">
          <w:rPr>
            <w:rStyle w:val="Hyperlink"/>
            <w:rFonts w:ascii="Times New Roman" w:hAnsi="Times New Roman" w:cs="Times New Roman"/>
          </w:rPr>
          <w:t>https://doi.org/10.1080/00074918.2024.2398347</w:t>
        </w:r>
      </w:hyperlink>
    </w:p>
    <w:p w14:paraId="6667D1F8" w14:textId="77777777" w:rsidR="0073516B" w:rsidRPr="0002650F" w:rsidRDefault="0073516B" w:rsidP="00A65FDA">
      <w:pPr>
        <w:spacing w:line="276" w:lineRule="auto"/>
        <w:ind w:left="720" w:hanging="720"/>
        <w:jc w:val="both"/>
        <w:rPr>
          <w:rFonts w:ascii="Times New Roman" w:hAnsi="Times New Roman" w:cs="Times New Roman"/>
          <w:lang w:val="fr-FR"/>
        </w:rPr>
      </w:pPr>
      <w:proofErr w:type="spellStart"/>
      <w:r w:rsidRPr="0002650F">
        <w:rPr>
          <w:rFonts w:ascii="Times New Roman" w:hAnsi="Times New Roman" w:cs="Times New Roman"/>
        </w:rPr>
        <w:t>Huljannah</w:t>
      </w:r>
      <w:proofErr w:type="spellEnd"/>
      <w:r w:rsidRPr="0002650F">
        <w:rPr>
          <w:rFonts w:ascii="Times New Roman" w:hAnsi="Times New Roman" w:cs="Times New Roman"/>
        </w:rPr>
        <w:t xml:space="preserve">, M., &amp; Satria, D. (2021). </w:t>
      </w:r>
      <w:proofErr w:type="spellStart"/>
      <w:r w:rsidRPr="0002650F">
        <w:rPr>
          <w:rFonts w:ascii="Times New Roman" w:hAnsi="Times New Roman" w:cs="Times New Roman"/>
        </w:rPr>
        <w:t>Kemajuan</w:t>
      </w:r>
      <w:proofErr w:type="spellEnd"/>
      <w:r w:rsidRPr="0002650F">
        <w:rPr>
          <w:rFonts w:ascii="Times New Roman" w:hAnsi="Times New Roman" w:cs="Times New Roman"/>
        </w:rPr>
        <w:t xml:space="preserve"> </w:t>
      </w:r>
      <w:proofErr w:type="spellStart"/>
      <w:r w:rsidRPr="0002650F">
        <w:rPr>
          <w:rFonts w:ascii="Times New Roman" w:hAnsi="Times New Roman" w:cs="Times New Roman"/>
        </w:rPr>
        <w:t>Teknologi</w:t>
      </w:r>
      <w:proofErr w:type="spellEnd"/>
      <w:r w:rsidRPr="0002650F">
        <w:rPr>
          <w:rFonts w:ascii="Times New Roman" w:hAnsi="Times New Roman" w:cs="Times New Roman"/>
        </w:rPr>
        <w:t xml:space="preserve"> Dan </w:t>
      </w:r>
      <w:proofErr w:type="spellStart"/>
      <w:r w:rsidRPr="0002650F">
        <w:rPr>
          <w:rFonts w:ascii="Times New Roman" w:hAnsi="Times New Roman" w:cs="Times New Roman"/>
        </w:rPr>
        <w:t>Kecepatan</w:t>
      </w:r>
      <w:proofErr w:type="spellEnd"/>
      <w:r w:rsidRPr="0002650F">
        <w:rPr>
          <w:rFonts w:ascii="Times New Roman" w:hAnsi="Times New Roman" w:cs="Times New Roman"/>
        </w:rPr>
        <w:t xml:space="preserve"> Perputaran Uang: Studi Kasus Indonesia. </w:t>
      </w:r>
      <w:proofErr w:type="spellStart"/>
      <w:proofErr w:type="gramStart"/>
      <w:r w:rsidRPr="0002650F">
        <w:rPr>
          <w:rFonts w:ascii="Times New Roman" w:hAnsi="Times New Roman" w:cs="Times New Roman"/>
          <w:i/>
          <w:iCs/>
          <w:lang w:val="fr-FR"/>
        </w:rPr>
        <w:t>Ecosains</w:t>
      </w:r>
      <w:proofErr w:type="spellEnd"/>
      <w:r w:rsidRPr="0002650F">
        <w:rPr>
          <w:rFonts w:ascii="Times New Roman" w:hAnsi="Times New Roman" w:cs="Times New Roman"/>
          <w:i/>
          <w:iCs/>
          <w:lang w:val="fr-FR"/>
        </w:rPr>
        <w:t>:</w:t>
      </w:r>
      <w:proofErr w:type="gramEnd"/>
      <w:r w:rsidRPr="0002650F">
        <w:rPr>
          <w:rFonts w:ascii="Times New Roman" w:hAnsi="Times New Roman" w:cs="Times New Roman"/>
          <w:i/>
          <w:iCs/>
          <w:lang w:val="fr-FR"/>
        </w:rPr>
        <w:t xml:space="preserve"> </w:t>
      </w:r>
      <w:proofErr w:type="spellStart"/>
      <w:r w:rsidRPr="0002650F">
        <w:rPr>
          <w:rFonts w:ascii="Times New Roman" w:hAnsi="Times New Roman" w:cs="Times New Roman"/>
          <w:i/>
          <w:iCs/>
          <w:lang w:val="fr-FR"/>
        </w:rPr>
        <w:t>Jurnal</w:t>
      </w:r>
      <w:proofErr w:type="spellEnd"/>
      <w:r w:rsidRPr="0002650F">
        <w:rPr>
          <w:rFonts w:ascii="Times New Roman" w:hAnsi="Times New Roman" w:cs="Times New Roman"/>
          <w:i/>
          <w:iCs/>
          <w:lang w:val="fr-FR"/>
        </w:rPr>
        <w:t xml:space="preserve"> </w:t>
      </w:r>
      <w:proofErr w:type="spellStart"/>
      <w:r w:rsidRPr="0002650F">
        <w:rPr>
          <w:rFonts w:ascii="Times New Roman" w:hAnsi="Times New Roman" w:cs="Times New Roman"/>
          <w:i/>
          <w:iCs/>
          <w:lang w:val="fr-FR"/>
        </w:rPr>
        <w:t>Ilmiah</w:t>
      </w:r>
      <w:proofErr w:type="spellEnd"/>
      <w:r w:rsidRPr="0002650F">
        <w:rPr>
          <w:rFonts w:ascii="Times New Roman" w:hAnsi="Times New Roman" w:cs="Times New Roman"/>
          <w:i/>
          <w:iCs/>
          <w:lang w:val="fr-FR"/>
        </w:rPr>
        <w:t xml:space="preserve"> </w:t>
      </w:r>
      <w:proofErr w:type="spellStart"/>
      <w:r w:rsidRPr="0002650F">
        <w:rPr>
          <w:rFonts w:ascii="Times New Roman" w:hAnsi="Times New Roman" w:cs="Times New Roman"/>
          <w:i/>
          <w:iCs/>
          <w:lang w:val="fr-FR"/>
        </w:rPr>
        <w:t>Ekonomi</w:t>
      </w:r>
      <w:proofErr w:type="spellEnd"/>
      <w:r w:rsidRPr="0002650F">
        <w:rPr>
          <w:rFonts w:ascii="Times New Roman" w:hAnsi="Times New Roman" w:cs="Times New Roman"/>
          <w:i/>
          <w:iCs/>
          <w:lang w:val="fr-FR"/>
        </w:rPr>
        <w:t xml:space="preserve"> Dan Pembangunan</w:t>
      </w:r>
      <w:r w:rsidRPr="0002650F">
        <w:rPr>
          <w:rFonts w:ascii="Times New Roman" w:hAnsi="Times New Roman" w:cs="Times New Roman"/>
          <w:lang w:val="fr-FR"/>
        </w:rPr>
        <w:t>, </w:t>
      </w:r>
      <w:r w:rsidRPr="0002650F">
        <w:rPr>
          <w:rFonts w:ascii="Times New Roman" w:hAnsi="Times New Roman" w:cs="Times New Roman"/>
          <w:i/>
          <w:iCs/>
          <w:lang w:val="fr-FR"/>
        </w:rPr>
        <w:t>10</w:t>
      </w:r>
      <w:r w:rsidRPr="0002650F">
        <w:rPr>
          <w:rFonts w:ascii="Times New Roman" w:hAnsi="Times New Roman" w:cs="Times New Roman"/>
          <w:lang w:val="fr-FR"/>
        </w:rPr>
        <w:t xml:space="preserve">(1), 15. </w:t>
      </w:r>
      <w:hyperlink r:id="rId24" w:history="1">
        <w:r w:rsidRPr="0002650F">
          <w:rPr>
            <w:rStyle w:val="Hyperlink"/>
            <w:rFonts w:ascii="Times New Roman" w:hAnsi="Times New Roman" w:cs="Times New Roman"/>
            <w:lang w:val="fr-FR"/>
          </w:rPr>
          <w:t>https://doi.org/10.24036/ecosains.11313657.00</w:t>
        </w:r>
      </w:hyperlink>
    </w:p>
    <w:p w14:paraId="37EF1712" w14:textId="77777777" w:rsidR="0073516B" w:rsidRPr="0002650F" w:rsidRDefault="0073516B" w:rsidP="00A65FDA">
      <w:pPr>
        <w:spacing w:line="276" w:lineRule="auto"/>
        <w:ind w:left="720" w:hanging="720"/>
        <w:jc w:val="both"/>
        <w:rPr>
          <w:rFonts w:ascii="Times New Roman" w:hAnsi="Times New Roman" w:cs="Times New Roman"/>
          <w:lang w:val="pt-BR"/>
        </w:rPr>
      </w:pPr>
      <w:r w:rsidRPr="0002650F">
        <w:rPr>
          <w:rFonts w:ascii="Times New Roman" w:hAnsi="Times New Roman" w:cs="Times New Roman"/>
          <w:lang w:val="it-IT"/>
        </w:rPr>
        <w:lastRenderedPageBreak/>
        <w:t xml:space="preserve">Kasri, R. A., Indrastomo, B. S., Hendranastiti, N. D., &amp; Prasetyo, M. B. (2022). </w:t>
      </w:r>
      <w:r w:rsidRPr="0002650F">
        <w:rPr>
          <w:rFonts w:ascii="Times New Roman" w:hAnsi="Times New Roman" w:cs="Times New Roman"/>
        </w:rPr>
        <w:t>Digital payment and banking stability in emerging economy with dual banking system. </w:t>
      </w:r>
      <w:r w:rsidRPr="0002650F">
        <w:rPr>
          <w:rFonts w:ascii="Times New Roman" w:hAnsi="Times New Roman" w:cs="Times New Roman"/>
          <w:i/>
          <w:iCs/>
          <w:lang w:val="pt-BR"/>
        </w:rPr>
        <w:t>Heliyon</w:t>
      </w:r>
      <w:r w:rsidRPr="0002650F">
        <w:rPr>
          <w:rFonts w:ascii="Times New Roman" w:hAnsi="Times New Roman" w:cs="Times New Roman"/>
          <w:lang w:val="pt-BR"/>
        </w:rPr>
        <w:t>, </w:t>
      </w:r>
      <w:r w:rsidRPr="0002650F">
        <w:rPr>
          <w:rFonts w:ascii="Times New Roman" w:hAnsi="Times New Roman" w:cs="Times New Roman"/>
          <w:i/>
          <w:iCs/>
          <w:lang w:val="pt-BR"/>
        </w:rPr>
        <w:t>8</w:t>
      </w:r>
      <w:r w:rsidRPr="0002650F">
        <w:rPr>
          <w:rFonts w:ascii="Times New Roman" w:hAnsi="Times New Roman" w:cs="Times New Roman"/>
          <w:lang w:val="pt-BR"/>
        </w:rPr>
        <w:t xml:space="preserve">(11), e11198. </w:t>
      </w:r>
      <w:hyperlink r:id="rId25" w:history="1">
        <w:r w:rsidRPr="0002650F">
          <w:rPr>
            <w:rStyle w:val="Hyperlink"/>
            <w:rFonts w:ascii="Times New Roman" w:hAnsi="Times New Roman" w:cs="Times New Roman"/>
            <w:lang w:val="pt-BR"/>
          </w:rPr>
          <w:t>https://doi.org/10.1016/j.heliyon.2022.e11198</w:t>
        </w:r>
      </w:hyperlink>
    </w:p>
    <w:p w14:paraId="6A54F0AB" w14:textId="77777777" w:rsidR="0073516B" w:rsidRPr="0002650F" w:rsidRDefault="0073516B" w:rsidP="00A65FDA">
      <w:pPr>
        <w:spacing w:line="276" w:lineRule="auto"/>
        <w:ind w:left="720" w:hanging="720"/>
        <w:jc w:val="both"/>
        <w:rPr>
          <w:rFonts w:ascii="Times New Roman" w:hAnsi="Times New Roman" w:cs="Times New Roman"/>
          <w:lang w:val="it-IT"/>
        </w:rPr>
      </w:pPr>
      <w:r w:rsidRPr="0002650F">
        <w:rPr>
          <w:rFonts w:ascii="Times New Roman" w:hAnsi="Times New Roman" w:cs="Times New Roman"/>
          <w:lang w:val="pt-BR"/>
        </w:rPr>
        <w:t xml:space="preserve">Khando, K., Islam, M. S., &amp; Gao, S. (2022). </w:t>
      </w:r>
      <w:r w:rsidRPr="0002650F">
        <w:rPr>
          <w:rFonts w:ascii="Times New Roman" w:hAnsi="Times New Roman" w:cs="Times New Roman"/>
        </w:rPr>
        <w:t>The emerging technologies of digital payments and associated challenges: A systematic literature review. </w:t>
      </w:r>
      <w:r w:rsidRPr="0002650F">
        <w:rPr>
          <w:rFonts w:ascii="Times New Roman" w:hAnsi="Times New Roman" w:cs="Times New Roman"/>
          <w:i/>
          <w:iCs/>
          <w:lang w:val="it-IT"/>
        </w:rPr>
        <w:t>Future Internet</w:t>
      </w:r>
      <w:r w:rsidRPr="0002650F">
        <w:rPr>
          <w:rFonts w:ascii="Times New Roman" w:hAnsi="Times New Roman" w:cs="Times New Roman"/>
          <w:lang w:val="it-IT"/>
        </w:rPr>
        <w:t>, </w:t>
      </w:r>
      <w:r w:rsidRPr="0002650F">
        <w:rPr>
          <w:rFonts w:ascii="Times New Roman" w:hAnsi="Times New Roman" w:cs="Times New Roman"/>
          <w:i/>
          <w:iCs/>
          <w:lang w:val="it-IT"/>
        </w:rPr>
        <w:t>15</w:t>
      </w:r>
      <w:r w:rsidRPr="0002650F">
        <w:rPr>
          <w:rFonts w:ascii="Times New Roman" w:hAnsi="Times New Roman" w:cs="Times New Roman"/>
          <w:lang w:val="it-IT"/>
        </w:rPr>
        <w:t xml:space="preserve">(1), 21. </w:t>
      </w:r>
      <w:hyperlink r:id="rId26" w:history="1">
        <w:r w:rsidRPr="0002650F">
          <w:rPr>
            <w:rStyle w:val="Hyperlink"/>
            <w:rFonts w:ascii="Times New Roman" w:hAnsi="Times New Roman" w:cs="Times New Roman"/>
            <w:lang w:val="it-IT"/>
          </w:rPr>
          <w:t>https://doi.org/10.3390/fi15010021</w:t>
        </w:r>
      </w:hyperlink>
    </w:p>
    <w:p w14:paraId="57A1B5DF"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lang w:val="it-IT"/>
        </w:rPr>
        <w:t>Lintangsari, N. N., Hidayati, N., Purnamasari, Y., Carolina, H., &amp; Ramadhan, W. F. (2018). Analisis Pengaruh Instrumen Pembayaran Non-Tunai Terhadap Stabilitas Sistem Keuangan Di Indonesia. </w:t>
      </w:r>
      <w:r w:rsidRPr="0002650F">
        <w:rPr>
          <w:rFonts w:ascii="Times New Roman" w:hAnsi="Times New Roman" w:cs="Times New Roman"/>
          <w:i/>
          <w:iCs/>
          <w:lang w:val="it-IT"/>
        </w:rPr>
        <w:t>Jurnal Dinamika Ekonomi Pembangunan</w:t>
      </w:r>
      <w:r w:rsidRPr="0002650F">
        <w:rPr>
          <w:rFonts w:ascii="Times New Roman" w:hAnsi="Times New Roman" w:cs="Times New Roman"/>
          <w:lang w:val="it-IT"/>
        </w:rPr>
        <w:t>, </w:t>
      </w:r>
      <w:r w:rsidRPr="0002650F">
        <w:rPr>
          <w:rFonts w:ascii="Times New Roman" w:hAnsi="Times New Roman" w:cs="Times New Roman"/>
          <w:i/>
          <w:iCs/>
          <w:lang w:val="it-IT"/>
        </w:rPr>
        <w:t>1</w:t>
      </w:r>
      <w:r w:rsidRPr="0002650F">
        <w:rPr>
          <w:rFonts w:ascii="Times New Roman" w:hAnsi="Times New Roman" w:cs="Times New Roman"/>
          <w:lang w:val="it-IT"/>
        </w:rPr>
        <w:t xml:space="preserve">(1), 47. </w:t>
      </w:r>
      <w:hyperlink r:id="rId27" w:history="1">
        <w:r w:rsidRPr="0002650F">
          <w:rPr>
            <w:rStyle w:val="Hyperlink"/>
            <w:rFonts w:ascii="Times New Roman" w:hAnsi="Times New Roman" w:cs="Times New Roman"/>
          </w:rPr>
          <w:t>https://doi.org/10.14710/jdep.1.1.47-62</w:t>
        </w:r>
      </w:hyperlink>
    </w:p>
    <w:p w14:paraId="71CB1F79"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Mishkin, F. S. (1992). The Economics of Money, Banking, and Financial Markets (3rd ed.). HarperCollins.</w:t>
      </w:r>
    </w:p>
    <w:p w14:paraId="188361A4"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Mumtaz, M. Z., &amp; Smith, Z. A. (2020). Empirical examination of the role of fintech in monetary policy. </w:t>
      </w:r>
      <w:r w:rsidRPr="0002650F">
        <w:rPr>
          <w:rFonts w:ascii="Times New Roman" w:hAnsi="Times New Roman" w:cs="Times New Roman"/>
          <w:i/>
          <w:iCs/>
        </w:rPr>
        <w:t>Pacific Economic Review</w:t>
      </w:r>
      <w:r w:rsidRPr="0002650F">
        <w:rPr>
          <w:rFonts w:ascii="Times New Roman" w:hAnsi="Times New Roman" w:cs="Times New Roman"/>
        </w:rPr>
        <w:t>, </w:t>
      </w:r>
      <w:r w:rsidRPr="0002650F">
        <w:rPr>
          <w:rFonts w:ascii="Times New Roman" w:hAnsi="Times New Roman" w:cs="Times New Roman"/>
          <w:i/>
          <w:iCs/>
        </w:rPr>
        <w:t>25</w:t>
      </w:r>
      <w:r w:rsidRPr="0002650F">
        <w:rPr>
          <w:rFonts w:ascii="Times New Roman" w:hAnsi="Times New Roman" w:cs="Times New Roman"/>
        </w:rPr>
        <w:t xml:space="preserve">(5), 620–640. </w:t>
      </w:r>
      <w:hyperlink r:id="rId28" w:history="1">
        <w:r w:rsidRPr="0002650F">
          <w:rPr>
            <w:rStyle w:val="Hyperlink"/>
            <w:rFonts w:ascii="Times New Roman" w:hAnsi="Times New Roman" w:cs="Times New Roman"/>
          </w:rPr>
          <w:t>https://doi.org/10.1111/1468-0106.12319</w:t>
        </w:r>
      </w:hyperlink>
    </w:p>
    <w:p w14:paraId="03458DA6"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Mustafa, J.A. (2024). From innovation to stability: Evaluating the ripple influence of digital payment systems and capital adequacy ratio on a bank’s Z-score. </w:t>
      </w:r>
      <w:r w:rsidRPr="0002650F">
        <w:rPr>
          <w:rFonts w:ascii="Times New Roman" w:hAnsi="Times New Roman" w:cs="Times New Roman"/>
          <w:i/>
          <w:iCs/>
        </w:rPr>
        <w:t>Banks and Bank Systems</w:t>
      </w:r>
      <w:r w:rsidRPr="0002650F">
        <w:rPr>
          <w:rFonts w:ascii="Times New Roman" w:hAnsi="Times New Roman" w:cs="Times New Roman"/>
        </w:rPr>
        <w:t>, </w:t>
      </w:r>
      <w:r w:rsidRPr="0002650F">
        <w:rPr>
          <w:rFonts w:ascii="Times New Roman" w:hAnsi="Times New Roman" w:cs="Times New Roman"/>
          <w:i/>
          <w:iCs/>
        </w:rPr>
        <w:t>19</w:t>
      </w:r>
      <w:r w:rsidRPr="0002650F">
        <w:rPr>
          <w:rFonts w:ascii="Times New Roman" w:hAnsi="Times New Roman" w:cs="Times New Roman"/>
        </w:rPr>
        <w:t xml:space="preserve">(3), 67–79. </w:t>
      </w:r>
      <w:hyperlink r:id="rId29" w:history="1">
        <w:r w:rsidRPr="0002650F">
          <w:rPr>
            <w:rStyle w:val="Hyperlink"/>
            <w:rFonts w:ascii="Times New Roman" w:hAnsi="Times New Roman" w:cs="Times New Roman"/>
          </w:rPr>
          <w:t>https://doi.org/10.21511/bbs.19(3).2024.07</w:t>
        </w:r>
      </w:hyperlink>
    </w:p>
    <w:p w14:paraId="1E57CE35" w14:textId="77777777" w:rsidR="0073516B" w:rsidRPr="0002650F" w:rsidRDefault="0073516B" w:rsidP="00A65FDA">
      <w:pPr>
        <w:spacing w:line="276" w:lineRule="auto"/>
        <w:ind w:left="720" w:hanging="720"/>
        <w:jc w:val="both"/>
        <w:rPr>
          <w:rStyle w:val="Hyperlink"/>
          <w:rFonts w:ascii="Times New Roman" w:hAnsi="Times New Roman" w:cs="Times New Roman"/>
          <w:color w:val="000000" w:themeColor="text1"/>
          <w:u w:val="none"/>
        </w:rPr>
      </w:pPr>
      <w:proofErr w:type="spellStart"/>
      <w:r w:rsidRPr="0002650F">
        <w:rPr>
          <w:rFonts w:ascii="Times New Roman" w:hAnsi="Times New Roman" w:cs="Times New Roman"/>
          <w:color w:val="000000" w:themeColor="text1"/>
        </w:rPr>
        <w:t>Padrini</w:t>
      </w:r>
      <w:proofErr w:type="spellEnd"/>
      <w:r w:rsidRPr="0002650F">
        <w:rPr>
          <w:rFonts w:ascii="Times New Roman" w:hAnsi="Times New Roman" w:cs="Times New Roman"/>
          <w:color w:val="000000" w:themeColor="text1"/>
        </w:rPr>
        <w:t xml:space="preserve">, F. (1997). </w:t>
      </w:r>
      <w:hyperlink r:id="rId30" w:history="1">
        <w:r w:rsidRPr="0002650F">
          <w:rPr>
            <w:rStyle w:val="Hyperlink"/>
            <w:rFonts w:ascii="Times New Roman" w:hAnsi="Times New Roman" w:cs="Times New Roman"/>
            <w:color w:val="000000" w:themeColor="text1"/>
            <w:u w:val="none"/>
          </w:rPr>
          <w:t xml:space="preserve">Efficiency of the Payments System, Velocity </w:t>
        </w:r>
        <w:proofErr w:type="gramStart"/>
        <w:r w:rsidRPr="0002650F">
          <w:rPr>
            <w:rStyle w:val="Hyperlink"/>
            <w:rFonts w:ascii="Times New Roman" w:hAnsi="Times New Roman" w:cs="Times New Roman"/>
            <w:color w:val="000000" w:themeColor="text1"/>
            <w:u w:val="none"/>
          </w:rPr>
          <w:t>Of</w:t>
        </w:r>
        <w:proofErr w:type="gramEnd"/>
        <w:r w:rsidRPr="0002650F">
          <w:rPr>
            <w:rStyle w:val="Hyperlink"/>
            <w:rFonts w:ascii="Times New Roman" w:hAnsi="Times New Roman" w:cs="Times New Roman"/>
            <w:color w:val="000000" w:themeColor="text1"/>
            <w:u w:val="none"/>
          </w:rPr>
          <w:t xml:space="preserve"> Circulation Of Money, And Financial Markets</w:t>
        </w:r>
      </w:hyperlink>
      <w:r w:rsidRPr="0002650F">
        <w:rPr>
          <w:rFonts w:ascii="Times New Roman" w:hAnsi="Times New Roman" w:cs="Times New Roman"/>
          <w:color w:val="000000" w:themeColor="text1"/>
        </w:rPr>
        <w:t>. </w:t>
      </w:r>
      <w:hyperlink r:id="rId31" w:history="1">
        <w:r w:rsidRPr="0002650F">
          <w:rPr>
            <w:rStyle w:val="Hyperlink"/>
            <w:rFonts w:ascii="Times New Roman" w:hAnsi="Times New Roman" w:cs="Times New Roman"/>
            <w:color w:val="000000" w:themeColor="text1"/>
            <w:u w:val="none"/>
          </w:rPr>
          <w:t>Macroeconomics</w:t>
        </w:r>
      </w:hyperlink>
      <w:r w:rsidRPr="0002650F">
        <w:rPr>
          <w:rFonts w:ascii="Times New Roman" w:hAnsi="Times New Roman" w:cs="Times New Roman"/>
          <w:color w:val="000000" w:themeColor="text1"/>
        </w:rPr>
        <w:t> 9706004, University Library of Munich, Germany.</w:t>
      </w:r>
    </w:p>
    <w:p w14:paraId="298E83E0"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Phillips, A. W. (1958). The relation between unemployment and the rate of change of money wage rates in the United Kingdom, 1861–1957</w:t>
      </w:r>
      <w:r w:rsidRPr="0002650F">
        <w:rPr>
          <w:rFonts w:ascii="Times New Roman" w:hAnsi="Times New Roman" w:cs="Times New Roman"/>
          <w:vertAlign w:val="superscript"/>
        </w:rPr>
        <w:t>1</w:t>
      </w:r>
      <w:r w:rsidRPr="0002650F">
        <w:rPr>
          <w:rFonts w:ascii="Times New Roman" w:hAnsi="Times New Roman" w:cs="Times New Roman"/>
        </w:rPr>
        <w:t>. </w:t>
      </w:r>
      <w:r w:rsidRPr="0002650F">
        <w:rPr>
          <w:rFonts w:ascii="Times New Roman" w:hAnsi="Times New Roman" w:cs="Times New Roman"/>
          <w:i/>
          <w:iCs/>
        </w:rPr>
        <w:t>Economica</w:t>
      </w:r>
      <w:r w:rsidRPr="0002650F">
        <w:rPr>
          <w:rFonts w:ascii="Times New Roman" w:hAnsi="Times New Roman" w:cs="Times New Roman"/>
        </w:rPr>
        <w:t>, </w:t>
      </w:r>
      <w:r w:rsidRPr="0002650F">
        <w:rPr>
          <w:rFonts w:ascii="Times New Roman" w:hAnsi="Times New Roman" w:cs="Times New Roman"/>
          <w:i/>
          <w:iCs/>
        </w:rPr>
        <w:t>25</w:t>
      </w:r>
      <w:r w:rsidRPr="0002650F">
        <w:rPr>
          <w:rFonts w:ascii="Times New Roman" w:hAnsi="Times New Roman" w:cs="Times New Roman"/>
        </w:rPr>
        <w:t xml:space="preserve">(100), 283–299. </w:t>
      </w:r>
      <w:hyperlink r:id="rId32" w:history="1">
        <w:r w:rsidRPr="0002650F">
          <w:rPr>
            <w:rStyle w:val="Hyperlink"/>
            <w:rFonts w:ascii="Times New Roman" w:hAnsi="Times New Roman" w:cs="Times New Roman"/>
          </w:rPr>
          <w:t>https://doi.org/10.1111/j.1468-0335.1958.tb00003.x</w:t>
        </w:r>
      </w:hyperlink>
    </w:p>
    <w:p w14:paraId="5B65F0D4" w14:textId="77777777" w:rsidR="0073516B" w:rsidRPr="0002650F" w:rsidRDefault="0073516B" w:rsidP="00A65FDA">
      <w:pPr>
        <w:spacing w:line="276" w:lineRule="auto"/>
        <w:ind w:left="720" w:hanging="720"/>
        <w:jc w:val="both"/>
        <w:rPr>
          <w:rFonts w:ascii="Times New Roman" w:hAnsi="Times New Roman" w:cs="Times New Roman"/>
        </w:rPr>
      </w:pPr>
      <w:proofErr w:type="spellStart"/>
      <w:r w:rsidRPr="0002650F">
        <w:rPr>
          <w:rFonts w:ascii="Times New Roman" w:hAnsi="Times New Roman" w:cs="Times New Roman"/>
        </w:rPr>
        <w:t>Putrevu</w:t>
      </w:r>
      <w:proofErr w:type="spellEnd"/>
      <w:r w:rsidRPr="0002650F">
        <w:rPr>
          <w:rFonts w:ascii="Times New Roman" w:hAnsi="Times New Roman" w:cs="Times New Roman"/>
        </w:rPr>
        <w:t xml:space="preserve">, J., &amp; </w:t>
      </w:r>
      <w:proofErr w:type="spellStart"/>
      <w:r w:rsidRPr="0002650F">
        <w:rPr>
          <w:rFonts w:ascii="Times New Roman" w:hAnsi="Times New Roman" w:cs="Times New Roman"/>
        </w:rPr>
        <w:t>Mertzanis</w:t>
      </w:r>
      <w:proofErr w:type="spellEnd"/>
      <w:r w:rsidRPr="0002650F">
        <w:rPr>
          <w:rFonts w:ascii="Times New Roman" w:hAnsi="Times New Roman" w:cs="Times New Roman"/>
        </w:rPr>
        <w:t>, C. (2023). Adoption of digital payments in emerging economies: Challenges and policy responses. </w:t>
      </w:r>
      <w:r w:rsidRPr="0002650F">
        <w:rPr>
          <w:rFonts w:ascii="Times New Roman" w:hAnsi="Times New Roman" w:cs="Times New Roman"/>
          <w:i/>
          <w:iCs/>
        </w:rPr>
        <w:t>SSRN Electronic Journal</w:t>
      </w:r>
      <w:r w:rsidRPr="0002650F">
        <w:rPr>
          <w:rFonts w:ascii="Times New Roman" w:hAnsi="Times New Roman" w:cs="Times New Roman"/>
        </w:rPr>
        <w:t xml:space="preserve">. </w:t>
      </w:r>
      <w:hyperlink r:id="rId33" w:history="1">
        <w:r w:rsidRPr="0002650F">
          <w:rPr>
            <w:rStyle w:val="Hyperlink"/>
            <w:rFonts w:ascii="Times New Roman" w:hAnsi="Times New Roman" w:cs="Times New Roman"/>
          </w:rPr>
          <w:t>https://doi.org/10.2139/ssrn.4558978</w:t>
        </w:r>
      </w:hyperlink>
    </w:p>
    <w:p w14:paraId="70D4E7A7"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Schmitz, S. W. (2006). The political economy of institutional change in the payment system and monetary policy. </w:t>
      </w:r>
      <w:r w:rsidRPr="0002650F">
        <w:rPr>
          <w:rFonts w:ascii="Times New Roman" w:hAnsi="Times New Roman" w:cs="Times New Roman"/>
          <w:i/>
          <w:iCs/>
        </w:rPr>
        <w:t>SSRN Electronic Journal</w:t>
      </w:r>
      <w:r w:rsidRPr="0002650F">
        <w:rPr>
          <w:rFonts w:ascii="Times New Roman" w:hAnsi="Times New Roman" w:cs="Times New Roman"/>
        </w:rPr>
        <w:t xml:space="preserve">. </w:t>
      </w:r>
      <w:hyperlink r:id="rId34" w:history="1">
        <w:r w:rsidRPr="0002650F">
          <w:rPr>
            <w:rStyle w:val="Hyperlink"/>
            <w:rFonts w:ascii="Times New Roman" w:hAnsi="Times New Roman" w:cs="Times New Roman"/>
          </w:rPr>
          <w:t>https://doi.org/10.2139/ssrn.944404</w:t>
        </w:r>
      </w:hyperlink>
    </w:p>
    <w:p w14:paraId="32C7EE6D"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Setiawati, R. (2023). Integrated Digital Payment, Digital Marketing, and Pricing Perception for Decision Purchase of Fruits and Vegetables E-Commerce. </w:t>
      </w:r>
      <w:r w:rsidRPr="0002650F">
        <w:rPr>
          <w:rFonts w:ascii="Times New Roman" w:hAnsi="Times New Roman" w:cs="Times New Roman"/>
          <w:i/>
          <w:iCs/>
        </w:rPr>
        <w:t>E3S Web of Conferences</w:t>
      </w:r>
      <w:r w:rsidRPr="0002650F">
        <w:rPr>
          <w:rFonts w:ascii="Times New Roman" w:hAnsi="Times New Roman" w:cs="Times New Roman"/>
        </w:rPr>
        <w:t xml:space="preserve">. </w:t>
      </w:r>
      <w:hyperlink r:id="rId35" w:history="1">
        <w:r w:rsidRPr="0002650F">
          <w:rPr>
            <w:rStyle w:val="Hyperlink"/>
            <w:rFonts w:ascii="Times New Roman" w:hAnsi="Times New Roman" w:cs="Times New Roman"/>
          </w:rPr>
          <w:t>https://doi.org/10.1051/e3sconf/202342602125</w:t>
        </w:r>
      </w:hyperlink>
    </w:p>
    <w:p w14:paraId="3B128FB5" w14:textId="77777777" w:rsidR="0073516B" w:rsidRDefault="0073516B" w:rsidP="00A65FDA">
      <w:pPr>
        <w:spacing w:line="276" w:lineRule="auto"/>
        <w:ind w:left="720" w:hanging="720"/>
        <w:jc w:val="both"/>
      </w:pPr>
      <w:proofErr w:type="spellStart"/>
      <w:r w:rsidRPr="0002650F">
        <w:rPr>
          <w:rFonts w:ascii="Times New Roman" w:hAnsi="Times New Roman" w:cs="Times New Roman"/>
        </w:rPr>
        <w:t>Sudrajad</w:t>
      </w:r>
      <w:proofErr w:type="spellEnd"/>
      <w:r w:rsidRPr="0002650F">
        <w:rPr>
          <w:rFonts w:ascii="Times New Roman" w:hAnsi="Times New Roman" w:cs="Times New Roman"/>
        </w:rPr>
        <w:t xml:space="preserve">, O. Y., </w:t>
      </w:r>
      <w:proofErr w:type="spellStart"/>
      <w:r w:rsidRPr="0002650F">
        <w:rPr>
          <w:rFonts w:ascii="Times New Roman" w:hAnsi="Times New Roman" w:cs="Times New Roman"/>
        </w:rPr>
        <w:t>Wiryono</w:t>
      </w:r>
      <w:proofErr w:type="spellEnd"/>
      <w:r w:rsidRPr="0002650F">
        <w:rPr>
          <w:rFonts w:ascii="Times New Roman" w:hAnsi="Times New Roman" w:cs="Times New Roman"/>
        </w:rPr>
        <w:t xml:space="preserve">, S. K., Kitri, M. L., </w:t>
      </w:r>
      <w:proofErr w:type="spellStart"/>
      <w:r w:rsidRPr="0002650F">
        <w:rPr>
          <w:rFonts w:ascii="Times New Roman" w:hAnsi="Times New Roman" w:cs="Times New Roman"/>
        </w:rPr>
        <w:t>Rahadi</w:t>
      </w:r>
      <w:proofErr w:type="spellEnd"/>
      <w:r w:rsidRPr="0002650F">
        <w:rPr>
          <w:rFonts w:ascii="Times New Roman" w:hAnsi="Times New Roman" w:cs="Times New Roman"/>
        </w:rPr>
        <w:t xml:space="preserve">, R. A., Saputra, J., &amp; </w:t>
      </w:r>
      <w:proofErr w:type="spellStart"/>
      <w:r w:rsidRPr="0002650F">
        <w:rPr>
          <w:rFonts w:ascii="Times New Roman" w:hAnsi="Times New Roman" w:cs="Times New Roman"/>
        </w:rPr>
        <w:t>Adhinugroho</w:t>
      </w:r>
      <w:proofErr w:type="spellEnd"/>
      <w:r w:rsidRPr="0002650F">
        <w:rPr>
          <w:rFonts w:ascii="Times New Roman" w:hAnsi="Times New Roman" w:cs="Times New Roman"/>
        </w:rPr>
        <w:t>, T. (2023). Does financial digitalization affect macroeconomic stability in Indonesia? An application of the autoregressive distributed lag (ARDL) model. </w:t>
      </w:r>
      <w:r w:rsidRPr="0002650F">
        <w:rPr>
          <w:rFonts w:ascii="Times New Roman" w:hAnsi="Times New Roman" w:cs="Times New Roman"/>
          <w:i/>
          <w:iCs/>
        </w:rPr>
        <w:t>International Journal of Advanced and Applied Sciences</w:t>
      </w:r>
      <w:r w:rsidRPr="0002650F">
        <w:rPr>
          <w:rFonts w:ascii="Times New Roman" w:hAnsi="Times New Roman" w:cs="Times New Roman"/>
        </w:rPr>
        <w:t>, </w:t>
      </w:r>
      <w:r w:rsidRPr="0002650F">
        <w:rPr>
          <w:rFonts w:ascii="Times New Roman" w:hAnsi="Times New Roman" w:cs="Times New Roman"/>
          <w:i/>
          <w:iCs/>
        </w:rPr>
        <w:t>10</w:t>
      </w:r>
      <w:r w:rsidRPr="0002650F">
        <w:rPr>
          <w:rFonts w:ascii="Times New Roman" w:hAnsi="Times New Roman" w:cs="Times New Roman"/>
        </w:rPr>
        <w:t xml:space="preserve">(10), 46–54. </w:t>
      </w:r>
      <w:hyperlink r:id="rId36" w:history="1">
        <w:r w:rsidRPr="0002650F">
          <w:rPr>
            <w:rStyle w:val="Hyperlink"/>
            <w:rFonts w:ascii="Times New Roman" w:hAnsi="Times New Roman" w:cs="Times New Roman"/>
          </w:rPr>
          <w:t>https://doi.org/10.21833/ijaas.2023.10.005</w:t>
        </w:r>
      </w:hyperlink>
    </w:p>
    <w:p w14:paraId="0EC99B84" w14:textId="7DC6CCAC" w:rsidR="00D836E6" w:rsidRPr="00D836E6" w:rsidRDefault="00D836E6" w:rsidP="00D836E6">
      <w:pPr>
        <w:spacing w:line="276" w:lineRule="auto"/>
        <w:jc w:val="both"/>
        <w:rPr>
          <w:rFonts w:ascii="Times New Roman" w:hAnsi="Times New Roman" w:cs="Times New Roman"/>
        </w:rPr>
      </w:pPr>
      <w:r w:rsidRPr="00D836E6">
        <w:rPr>
          <w:rFonts w:ascii="Times New Roman" w:hAnsi="Times New Roman" w:cs="Times New Roman"/>
        </w:rPr>
        <w:lastRenderedPageBreak/>
        <w:t xml:space="preserve">Syafi’i, A. (2025). Econometric Analysis of Inflation Dynamics in Digital Payment </w:t>
      </w:r>
      <w:r>
        <w:rPr>
          <w:rFonts w:ascii="Times New Roman" w:hAnsi="Times New Roman" w:cs="Times New Roman"/>
        </w:rPr>
        <w:t xml:space="preserve">   </w:t>
      </w:r>
      <w:r w:rsidRPr="00D836E6">
        <w:rPr>
          <w:rFonts w:ascii="Times New Roman" w:hAnsi="Times New Roman" w:cs="Times New Roman"/>
        </w:rPr>
        <w:t xml:space="preserve">Ecosystems in </w:t>
      </w:r>
      <w:r>
        <w:rPr>
          <w:rFonts w:ascii="Times New Roman" w:hAnsi="Times New Roman" w:cs="Times New Roman"/>
        </w:rPr>
        <w:t xml:space="preserve">  </w:t>
      </w:r>
      <w:r w:rsidRPr="00D836E6">
        <w:rPr>
          <w:rFonts w:ascii="Times New Roman" w:hAnsi="Times New Roman" w:cs="Times New Roman"/>
        </w:rPr>
        <w:t xml:space="preserve">Emerging Markets. Journal of Applied </w:t>
      </w:r>
      <w:r>
        <w:rPr>
          <w:rFonts w:ascii="Times New Roman" w:hAnsi="Times New Roman" w:cs="Times New Roman"/>
        </w:rPr>
        <w:t>Econometrics</w:t>
      </w:r>
      <w:r w:rsidRPr="00D836E6">
        <w:rPr>
          <w:rFonts w:ascii="Times New Roman" w:hAnsi="Times New Roman" w:cs="Times New Roman"/>
        </w:rPr>
        <w:t xml:space="preserve">. </w:t>
      </w:r>
    </w:p>
    <w:p w14:paraId="521FF0DD" w14:textId="77777777" w:rsidR="0073516B" w:rsidRPr="0002650F" w:rsidRDefault="0073516B" w:rsidP="00A65FDA">
      <w:pPr>
        <w:spacing w:line="276" w:lineRule="auto"/>
        <w:ind w:left="720" w:hanging="720"/>
        <w:jc w:val="both"/>
        <w:rPr>
          <w:rFonts w:ascii="Times New Roman" w:hAnsi="Times New Roman" w:cs="Times New Roman"/>
        </w:rPr>
      </w:pPr>
      <w:proofErr w:type="spellStart"/>
      <w:r w:rsidRPr="00D836E6">
        <w:rPr>
          <w:rFonts w:ascii="Times New Roman" w:hAnsi="Times New Roman" w:cs="Times New Roman"/>
        </w:rPr>
        <w:t>Tarantang</w:t>
      </w:r>
      <w:proofErr w:type="spellEnd"/>
      <w:r w:rsidRPr="00D836E6">
        <w:rPr>
          <w:rFonts w:ascii="Times New Roman" w:hAnsi="Times New Roman" w:cs="Times New Roman"/>
        </w:rPr>
        <w:t xml:space="preserve">, J., </w:t>
      </w:r>
      <w:proofErr w:type="spellStart"/>
      <w:r w:rsidRPr="00D836E6">
        <w:rPr>
          <w:rFonts w:ascii="Times New Roman" w:hAnsi="Times New Roman" w:cs="Times New Roman"/>
        </w:rPr>
        <w:t>Awwaliyah</w:t>
      </w:r>
      <w:proofErr w:type="spellEnd"/>
      <w:r w:rsidRPr="00D836E6">
        <w:rPr>
          <w:rFonts w:ascii="Times New Roman" w:hAnsi="Times New Roman" w:cs="Times New Roman"/>
        </w:rPr>
        <w:t xml:space="preserve">, A., Astuti, M., &amp; Munawaroh, M. (2019). </w:t>
      </w:r>
      <w:r w:rsidRPr="0002650F">
        <w:rPr>
          <w:rFonts w:ascii="Times New Roman" w:hAnsi="Times New Roman" w:cs="Times New Roman"/>
          <w:lang w:val="it-IT"/>
        </w:rPr>
        <w:t>PERKEMBANGAN SISTEM PEMBAYARAN DIGITAL PADA ERA REVOLUSI INDUSTRI 4.0 DI INDONESIA. </w:t>
      </w:r>
      <w:r w:rsidRPr="0002650F">
        <w:rPr>
          <w:rFonts w:ascii="Times New Roman" w:hAnsi="Times New Roman" w:cs="Times New Roman"/>
          <w:i/>
          <w:iCs/>
        </w:rPr>
        <w:t>JURNAL AL-QARDH</w:t>
      </w:r>
      <w:r w:rsidRPr="0002650F">
        <w:rPr>
          <w:rFonts w:ascii="Times New Roman" w:hAnsi="Times New Roman" w:cs="Times New Roman"/>
        </w:rPr>
        <w:t>, </w:t>
      </w:r>
      <w:r w:rsidRPr="0002650F">
        <w:rPr>
          <w:rFonts w:ascii="Times New Roman" w:hAnsi="Times New Roman" w:cs="Times New Roman"/>
          <w:i/>
          <w:iCs/>
        </w:rPr>
        <w:t>4</w:t>
      </w:r>
      <w:r w:rsidRPr="0002650F">
        <w:rPr>
          <w:rFonts w:ascii="Times New Roman" w:hAnsi="Times New Roman" w:cs="Times New Roman"/>
        </w:rPr>
        <w:t xml:space="preserve">(1), 60–75. </w:t>
      </w:r>
      <w:hyperlink r:id="rId37" w:history="1">
        <w:r w:rsidRPr="0002650F">
          <w:rPr>
            <w:rStyle w:val="Hyperlink"/>
            <w:rFonts w:ascii="Times New Roman" w:hAnsi="Times New Roman" w:cs="Times New Roman"/>
          </w:rPr>
          <w:t>https://doi.org/10.23971/jaq.v4i1.1442</w:t>
        </w:r>
      </w:hyperlink>
    </w:p>
    <w:p w14:paraId="2E682D85" w14:textId="77777777" w:rsidR="0073516B" w:rsidRPr="0002650F" w:rsidRDefault="0073516B" w:rsidP="00A65FDA">
      <w:pPr>
        <w:spacing w:line="276" w:lineRule="auto"/>
        <w:ind w:left="720" w:hanging="720"/>
        <w:jc w:val="both"/>
        <w:rPr>
          <w:rFonts w:ascii="Times New Roman" w:hAnsi="Times New Roman" w:cs="Times New Roman"/>
          <w:lang w:val="pt-BR"/>
        </w:rPr>
      </w:pPr>
      <w:r w:rsidRPr="0002650F">
        <w:rPr>
          <w:rFonts w:ascii="Times New Roman" w:hAnsi="Times New Roman" w:cs="Times New Roman"/>
        </w:rPr>
        <w:t>Teker, S., Teker, D., &amp; Orman, I. (2022). Digital payment systems: A future outlook. </w:t>
      </w:r>
      <w:r w:rsidRPr="0002650F">
        <w:rPr>
          <w:rFonts w:ascii="Times New Roman" w:hAnsi="Times New Roman" w:cs="Times New Roman"/>
          <w:i/>
          <w:iCs/>
          <w:lang w:val="pt-BR"/>
        </w:rPr>
        <w:t>Pressacademia</w:t>
      </w:r>
      <w:r w:rsidRPr="0002650F">
        <w:rPr>
          <w:rFonts w:ascii="Times New Roman" w:hAnsi="Times New Roman" w:cs="Times New Roman"/>
          <w:lang w:val="pt-BR"/>
        </w:rPr>
        <w:t xml:space="preserve">. </w:t>
      </w:r>
      <w:hyperlink r:id="rId38" w:history="1">
        <w:r w:rsidRPr="0002650F">
          <w:rPr>
            <w:rStyle w:val="Hyperlink"/>
            <w:rFonts w:ascii="Times New Roman" w:hAnsi="Times New Roman" w:cs="Times New Roman"/>
            <w:lang w:val="pt-BR"/>
          </w:rPr>
          <w:t>https://doi.org/10.17261/pressacademia.2022.1613</w:t>
        </w:r>
      </w:hyperlink>
    </w:p>
    <w:p w14:paraId="6DA71BFC"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lang w:val="pt-BR"/>
        </w:rPr>
        <w:t xml:space="preserve">Valverde, S., &amp; Paso, R.L. (2005). </w:t>
      </w:r>
      <w:r w:rsidRPr="0002650F">
        <w:rPr>
          <w:rFonts w:ascii="Times New Roman" w:hAnsi="Times New Roman" w:cs="Times New Roman"/>
        </w:rPr>
        <w:t>Does the development of non-cash payments affect monetary policy transmission?</w:t>
      </w:r>
    </w:p>
    <w:p w14:paraId="3EE97621"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 xml:space="preserve">Vasyltsova, S., &amp; Hasiuk, M. (2023). </w:t>
      </w:r>
      <w:proofErr w:type="spellStart"/>
      <w:r w:rsidRPr="0002650F">
        <w:rPr>
          <w:rFonts w:ascii="Times New Roman" w:hAnsi="Times New Roman" w:cs="Times New Roman"/>
        </w:rPr>
        <w:t>Digitalisation</w:t>
      </w:r>
      <w:proofErr w:type="spellEnd"/>
      <w:r w:rsidRPr="0002650F">
        <w:rPr>
          <w:rFonts w:ascii="Times New Roman" w:hAnsi="Times New Roman" w:cs="Times New Roman"/>
        </w:rPr>
        <w:t xml:space="preserve"> of pricing methods to determine the optimal price. </w:t>
      </w:r>
      <w:r w:rsidRPr="0002650F">
        <w:rPr>
          <w:rFonts w:ascii="Times New Roman" w:hAnsi="Times New Roman" w:cs="Times New Roman"/>
          <w:i/>
          <w:iCs/>
        </w:rPr>
        <w:t>Bulletin of the National Technical University “Kharkiv Polytechnic Institute” (Economic Sciences)</w:t>
      </w:r>
      <w:r w:rsidRPr="0002650F">
        <w:rPr>
          <w:rFonts w:ascii="Times New Roman" w:hAnsi="Times New Roman" w:cs="Times New Roman"/>
        </w:rPr>
        <w:t>, </w:t>
      </w:r>
      <w:r w:rsidRPr="0002650F">
        <w:rPr>
          <w:rFonts w:ascii="Times New Roman" w:hAnsi="Times New Roman" w:cs="Times New Roman"/>
          <w:i/>
          <w:iCs/>
        </w:rPr>
        <w:t>5</w:t>
      </w:r>
      <w:r w:rsidRPr="0002650F">
        <w:rPr>
          <w:rFonts w:ascii="Times New Roman" w:hAnsi="Times New Roman" w:cs="Times New Roman"/>
        </w:rPr>
        <w:t xml:space="preserve">, 71–74. </w:t>
      </w:r>
      <w:hyperlink r:id="rId39" w:history="1">
        <w:r w:rsidRPr="0002650F">
          <w:rPr>
            <w:rStyle w:val="Hyperlink"/>
            <w:rFonts w:ascii="Times New Roman" w:hAnsi="Times New Roman" w:cs="Times New Roman"/>
          </w:rPr>
          <w:t>https://doi.org/10.20998/2519-4461.2023.5.71</w:t>
        </w:r>
      </w:hyperlink>
    </w:p>
    <w:p w14:paraId="1D6592E7"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Zhou, R. (2022). Sustainable economic development, digital payment, and consumer demand: Evidence from China. </w:t>
      </w:r>
      <w:r w:rsidRPr="0002650F">
        <w:rPr>
          <w:rFonts w:ascii="Times New Roman" w:hAnsi="Times New Roman" w:cs="Times New Roman"/>
          <w:i/>
          <w:iCs/>
        </w:rPr>
        <w:t>International Journal of Environmental Research and Public Health</w:t>
      </w:r>
      <w:r w:rsidRPr="0002650F">
        <w:rPr>
          <w:rFonts w:ascii="Times New Roman" w:hAnsi="Times New Roman" w:cs="Times New Roman"/>
        </w:rPr>
        <w:t>, </w:t>
      </w:r>
      <w:r w:rsidRPr="0002650F">
        <w:rPr>
          <w:rFonts w:ascii="Times New Roman" w:hAnsi="Times New Roman" w:cs="Times New Roman"/>
          <w:i/>
          <w:iCs/>
        </w:rPr>
        <w:t>19</w:t>
      </w:r>
      <w:r w:rsidRPr="0002650F">
        <w:rPr>
          <w:rFonts w:ascii="Times New Roman" w:hAnsi="Times New Roman" w:cs="Times New Roman"/>
        </w:rPr>
        <w:t xml:space="preserve">(14), 8819. </w:t>
      </w:r>
      <w:hyperlink r:id="rId40" w:history="1">
        <w:r w:rsidRPr="0002650F">
          <w:rPr>
            <w:rStyle w:val="Hyperlink"/>
            <w:rFonts w:ascii="Times New Roman" w:hAnsi="Times New Roman" w:cs="Times New Roman"/>
          </w:rPr>
          <w:t>https://doi.org/10.3390/ijerph19148819</w:t>
        </w:r>
      </w:hyperlink>
    </w:p>
    <w:p w14:paraId="5CC16342" w14:textId="77777777" w:rsidR="0073516B" w:rsidRPr="0002650F" w:rsidRDefault="0073516B" w:rsidP="00A65FDA">
      <w:pPr>
        <w:spacing w:line="276" w:lineRule="auto"/>
        <w:ind w:left="720" w:hanging="720"/>
        <w:jc w:val="both"/>
        <w:rPr>
          <w:rFonts w:ascii="Times New Roman" w:hAnsi="Times New Roman" w:cs="Times New Roman"/>
        </w:rPr>
      </w:pPr>
    </w:p>
    <w:sectPr w:rsidR="0073516B" w:rsidRPr="0002650F">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C1D60" w14:textId="77777777" w:rsidR="001056DB" w:rsidRDefault="001056DB" w:rsidP="006F1C70">
      <w:pPr>
        <w:spacing w:after="0" w:line="240" w:lineRule="auto"/>
      </w:pPr>
      <w:r>
        <w:separator/>
      </w:r>
    </w:p>
  </w:endnote>
  <w:endnote w:type="continuationSeparator" w:id="0">
    <w:p w14:paraId="07188AD1" w14:textId="77777777" w:rsidR="001056DB" w:rsidRDefault="001056DB" w:rsidP="006F1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ED22C" w14:textId="77777777" w:rsidR="00996A82" w:rsidRDefault="00996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7552621"/>
      <w:docPartObj>
        <w:docPartGallery w:val="Page Numbers (Bottom of Page)"/>
        <w:docPartUnique/>
      </w:docPartObj>
    </w:sdtPr>
    <w:sdtEndPr/>
    <w:sdtContent>
      <w:p w14:paraId="0C3A67B0" w14:textId="6A1E37A4" w:rsidR="006F1C70" w:rsidRDefault="006F1C70">
        <w:pPr>
          <w:pStyle w:val="Footer"/>
          <w:jc w:val="center"/>
        </w:pPr>
        <w:r>
          <w:fldChar w:fldCharType="begin"/>
        </w:r>
        <w:r>
          <w:instrText>PAGE   \* MERGEFORMAT</w:instrText>
        </w:r>
        <w:r>
          <w:fldChar w:fldCharType="separate"/>
        </w:r>
        <w:r>
          <w:rPr>
            <w:lang w:val="en-GB"/>
          </w:rPr>
          <w:t>2</w:t>
        </w:r>
        <w:r>
          <w:fldChar w:fldCharType="end"/>
        </w:r>
      </w:p>
    </w:sdtContent>
  </w:sdt>
  <w:p w14:paraId="6458C41B" w14:textId="77777777" w:rsidR="006F1C70" w:rsidRDefault="006F1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2C5D" w14:textId="77777777" w:rsidR="00996A82" w:rsidRDefault="00996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65102" w14:textId="77777777" w:rsidR="001056DB" w:rsidRDefault="001056DB" w:rsidP="006F1C70">
      <w:pPr>
        <w:spacing w:after="0" w:line="240" w:lineRule="auto"/>
      </w:pPr>
      <w:r>
        <w:separator/>
      </w:r>
    </w:p>
  </w:footnote>
  <w:footnote w:type="continuationSeparator" w:id="0">
    <w:p w14:paraId="2E1639DF" w14:textId="77777777" w:rsidR="001056DB" w:rsidRDefault="001056DB" w:rsidP="006F1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F93C0" w14:textId="66745796" w:rsidR="00996A82" w:rsidRDefault="00996A82">
    <w:pPr>
      <w:pStyle w:val="Header"/>
    </w:pPr>
    <w:r>
      <w:rPr>
        <w:noProof/>
      </w:rPr>
      <w:pict w14:anchorId="1BC81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3211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636E" w14:textId="58C8F9BE" w:rsidR="00996A82" w:rsidRDefault="00996A82">
    <w:pPr>
      <w:pStyle w:val="Header"/>
    </w:pPr>
    <w:r>
      <w:rPr>
        <w:noProof/>
      </w:rPr>
      <w:pict w14:anchorId="50DA1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3211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C0C0" w14:textId="500AFFD5" w:rsidR="00996A82" w:rsidRDefault="00996A82">
    <w:pPr>
      <w:pStyle w:val="Header"/>
    </w:pPr>
    <w:r>
      <w:rPr>
        <w:noProof/>
      </w:rPr>
      <w:pict w14:anchorId="6762B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3210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6C19"/>
    <w:multiLevelType w:val="multilevel"/>
    <w:tmpl w:val="9B50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C6BB2"/>
    <w:multiLevelType w:val="multilevel"/>
    <w:tmpl w:val="D86A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D1550"/>
    <w:multiLevelType w:val="multilevel"/>
    <w:tmpl w:val="AD0E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97BED"/>
    <w:multiLevelType w:val="multilevel"/>
    <w:tmpl w:val="1742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43D29"/>
    <w:multiLevelType w:val="multilevel"/>
    <w:tmpl w:val="0D9A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56873"/>
    <w:multiLevelType w:val="multilevel"/>
    <w:tmpl w:val="990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576AC"/>
    <w:multiLevelType w:val="multilevel"/>
    <w:tmpl w:val="EE6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C027F"/>
    <w:multiLevelType w:val="multilevel"/>
    <w:tmpl w:val="EFE2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96152"/>
    <w:multiLevelType w:val="multilevel"/>
    <w:tmpl w:val="97BA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1F4F71"/>
    <w:multiLevelType w:val="multilevel"/>
    <w:tmpl w:val="C54A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342AC1"/>
    <w:multiLevelType w:val="multilevel"/>
    <w:tmpl w:val="EBD0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433B6"/>
    <w:multiLevelType w:val="multilevel"/>
    <w:tmpl w:val="0158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FB4AFB"/>
    <w:multiLevelType w:val="multilevel"/>
    <w:tmpl w:val="961C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182E2B"/>
    <w:multiLevelType w:val="multilevel"/>
    <w:tmpl w:val="BB20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4"/>
  </w:num>
  <w:num w:numId="4">
    <w:abstractNumId w:val="5"/>
  </w:num>
  <w:num w:numId="5">
    <w:abstractNumId w:val="0"/>
  </w:num>
  <w:num w:numId="6">
    <w:abstractNumId w:val="13"/>
  </w:num>
  <w:num w:numId="7">
    <w:abstractNumId w:val="8"/>
  </w:num>
  <w:num w:numId="8">
    <w:abstractNumId w:val="6"/>
  </w:num>
  <w:num w:numId="9">
    <w:abstractNumId w:val="2"/>
  </w:num>
  <w:num w:numId="10">
    <w:abstractNumId w:val="1"/>
  </w:num>
  <w:num w:numId="11">
    <w:abstractNumId w:val="12"/>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GkmYGRpYWBgYWxko6SsGpxcWZ+XkgBYa1AK1mygksAAAA"/>
  </w:docVars>
  <w:rsids>
    <w:rsidRoot w:val="0073516B"/>
    <w:rsid w:val="00012F6F"/>
    <w:rsid w:val="00013EB8"/>
    <w:rsid w:val="0002650F"/>
    <w:rsid w:val="000278A0"/>
    <w:rsid w:val="00030361"/>
    <w:rsid w:val="000326D4"/>
    <w:rsid w:val="000428B2"/>
    <w:rsid w:val="00076BE5"/>
    <w:rsid w:val="000A245A"/>
    <w:rsid w:val="000C365D"/>
    <w:rsid w:val="000E2C15"/>
    <w:rsid w:val="000E3B80"/>
    <w:rsid w:val="000F0DB5"/>
    <w:rsid w:val="000F27BE"/>
    <w:rsid w:val="001056DB"/>
    <w:rsid w:val="00110B7A"/>
    <w:rsid w:val="001234F8"/>
    <w:rsid w:val="00141B66"/>
    <w:rsid w:val="00157FEA"/>
    <w:rsid w:val="001664A1"/>
    <w:rsid w:val="0017103C"/>
    <w:rsid w:val="0017474E"/>
    <w:rsid w:val="00176541"/>
    <w:rsid w:val="001A4B7D"/>
    <w:rsid w:val="001C2364"/>
    <w:rsid w:val="001F0AE2"/>
    <w:rsid w:val="00200F4C"/>
    <w:rsid w:val="00204B81"/>
    <w:rsid w:val="002128FA"/>
    <w:rsid w:val="00243C43"/>
    <w:rsid w:val="00247CB6"/>
    <w:rsid w:val="002854B9"/>
    <w:rsid w:val="002D3C45"/>
    <w:rsid w:val="002D451F"/>
    <w:rsid w:val="002E16E1"/>
    <w:rsid w:val="002E6D52"/>
    <w:rsid w:val="002F572B"/>
    <w:rsid w:val="00333DA4"/>
    <w:rsid w:val="00363275"/>
    <w:rsid w:val="003713D8"/>
    <w:rsid w:val="003861DF"/>
    <w:rsid w:val="003D27E1"/>
    <w:rsid w:val="003E4B8B"/>
    <w:rsid w:val="003F770C"/>
    <w:rsid w:val="003F7F27"/>
    <w:rsid w:val="00410092"/>
    <w:rsid w:val="00463F82"/>
    <w:rsid w:val="00500930"/>
    <w:rsid w:val="00512D0B"/>
    <w:rsid w:val="00524F9F"/>
    <w:rsid w:val="0053098A"/>
    <w:rsid w:val="00547E61"/>
    <w:rsid w:val="00552E44"/>
    <w:rsid w:val="00561CFB"/>
    <w:rsid w:val="00565E9D"/>
    <w:rsid w:val="005728D9"/>
    <w:rsid w:val="00574126"/>
    <w:rsid w:val="0057749E"/>
    <w:rsid w:val="00591178"/>
    <w:rsid w:val="005A266F"/>
    <w:rsid w:val="005A3C58"/>
    <w:rsid w:val="005E2D61"/>
    <w:rsid w:val="00603D73"/>
    <w:rsid w:val="00625B30"/>
    <w:rsid w:val="00632701"/>
    <w:rsid w:val="006332EB"/>
    <w:rsid w:val="0065588B"/>
    <w:rsid w:val="00657305"/>
    <w:rsid w:val="00665813"/>
    <w:rsid w:val="00665DF2"/>
    <w:rsid w:val="00674ABB"/>
    <w:rsid w:val="00675EF3"/>
    <w:rsid w:val="006B0D62"/>
    <w:rsid w:val="006F1C70"/>
    <w:rsid w:val="00711335"/>
    <w:rsid w:val="0073516B"/>
    <w:rsid w:val="00746124"/>
    <w:rsid w:val="007B1554"/>
    <w:rsid w:val="007B56D0"/>
    <w:rsid w:val="007F02E7"/>
    <w:rsid w:val="008017D4"/>
    <w:rsid w:val="00801E2A"/>
    <w:rsid w:val="008112C6"/>
    <w:rsid w:val="00815FD5"/>
    <w:rsid w:val="00824B8D"/>
    <w:rsid w:val="008542A8"/>
    <w:rsid w:val="00873326"/>
    <w:rsid w:val="00886ED4"/>
    <w:rsid w:val="0089212C"/>
    <w:rsid w:val="00895D5C"/>
    <w:rsid w:val="008B2957"/>
    <w:rsid w:val="008C07B2"/>
    <w:rsid w:val="008D5915"/>
    <w:rsid w:val="008E385F"/>
    <w:rsid w:val="008E7D7F"/>
    <w:rsid w:val="008F6A9F"/>
    <w:rsid w:val="009467A0"/>
    <w:rsid w:val="00956D0D"/>
    <w:rsid w:val="009757A1"/>
    <w:rsid w:val="00982DA7"/>
    <w:rsid w:val="0098560F"/>
    <w:rsid w:val="00993AE6"/>
    <w:rsid w:val="00996A82"/>
    <w:rsid w:val="009A6F41"/>
    <w:rsid w:val="009F5912"/>
    <w:rsid w:val="009F7C34"/>
    <w:rsid w:val="00A0104E"/>
    <w:rsid w:val="00A2050F"/>
    <w:rsid w:val="00A30834"/>
    <w:rsid w:val="00A30E0F"/>
    <w:rsid w:val="00A3301C"/>
    <w:rsid w:val="00A36A9A"/>
    <w:rsid w:val="00A374FA"/>
    <w:rsid w:val="00A65FDA"/>
    <w:rsid w:val="00A819C7"/>
    <w:rsid w:val="00A846B5"/>
    <w:rsid w:val="00AC2401"/>
    <w:rsid w:val="00AC7266"/>
    <w:rsid w:val="00AF1929"/>
    <w:rsid w:val="00B0525D"/>
    <w:rsid w:val="00B06B60"/>
    <w:rsid w:val="00B1418E"/>
    <w:rsid w:val="00B45A60"/>
    <w:rsid w:val="00B5156A"/>
    <w:rsid w:val="00B65807"/>
    <w:rsid w:val="00B71B1C"/>
    <w:rsid w:val="00B86E72"/>
    <w:rsid w:val="00B9309D"/>
    <w:rsid w:val="00BB4E1E"/>
    <w:rsid w:val="00BB58C9"/>
    <w:rsid w:val="00BC173A"/>
    <w:rsid w:val="00C03827"/>
    <w:rsid w:val="00C33767"/>
    <w:rsid w:val="00C45D24"/>
    <w:rsid w:val="00C759A0"/>
    <w:rsid w:val="00CC21B9"/>
    <w:rsid w:val="00CF40C9"/>
    <w:rsid w:val="00CF5240"/>
    <w:rsid w:val="00CF6186"/>
    <w:rsid w:val="00D00D4B"/>
    <w:rsid w:val="00D14D82"/>
    <w:rsid w:val="00D2166C"/>
    <w:rsid w:val="00D2252A"/>
    <w:rsid w:val="00D23540"/>
    <w:rsid w:val="00D325E2"/>
    <w:rsid w:val="00D6617B"/>
    <w:rsid w:val="00D836E6"/>
    <w:rsid w:val="00DA5652"/>
    <w:rsid w:val="00DC4FB6"/>
    <w:rsid w:val="00DD707D"/>
    <w:rsid w:val="00DE5C69"/>
    <w:rsid w:val="00DE68CF"/>
    <w:rsid w:val="00E040E4"/>
    <w:rsid w:val="00E529C2"/>
    <w:rsid w:val="00E75877"/>
    <w:rsid w:val="00E82B3B"/>
    <w:rsid w:val="00ED1440"/>
    <w:rsid w:val="00F02113"/>
    <w:rsid w:val="00F07FB6"/>
    <w:rsid w:val="00F1685A"/>
    <w:rsid w:val="00F2190A"/>
    <w:rsid w:val="00F232D7"/>
    <w:rsid w:val="00F46ABB"/>
    <w:rsid w:val="00F56A8F"/>
    <w:rsid w:val="00F62AFD"/>
    <w:rsid w:val="00F80DA4"/>
    <w:rsid w:val="00F84C58"/>
    <w:rsid w:val="00FA7D85"/>
    <w:rsid w:val="00FB3CD9"/>
    <w:rsid w:val="00FB5C3F"/>
    <w:rsid w:val="00FC46A7"/>
    <w:rsid w:val="00FC54F4"/>
    <w:rsid w:val="00FD484F"/>
    <w:rsid w:val="00FE182A"/>
    <w:rsid w:val="00FE3A89"/>
    <w:rsid w:val="00FF00C4"/>
    <w:rsid w:val="00FF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E07A4C"/>
  <w15:chartTrackingRefBased/>
  <w15:docId w15:val="{063D34F4-9591-42D1-B96C-6861728B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16B"/>
  </w:style>
  <w:style w:type="paragraph" w:styleId="Heading1">
    <w:name w:val="heading 1"/>
    <w:basedOn w:val="Normal"/>
    <w:next w:val="Normal"/>
    <w:link w:val="Heading1Char"/>
    <w:uiPriority w:val="9"/>
    <w:qFormat/>
    <w:rsid w:val="00735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16B"/>
    <w:rPr>
      <w:rFonts w:eastAsiaTheme="majorEastAsia" w:cstheme="majorBidi"/>
      <w:color w:val="272727" w:themeColor="text1" w:themeTint="D8"/>
    </w:rPr>
  </w:style>
  <w:style w:type="paragraph" w:styleId="Title">
    <w:name w:val="Title"/>
    <w:basedOn w:val="Normal"/>
    <w:next w:val="Normal"/>
    <w:link w:val="TitleChar"/>
    <w:uiPriority w:val="10"/>
    <w:qFormat/>
    <w:rsid w:val="00735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16B"/>
    <w:pPr>
      <w:spacing w:before="160"/>
      <w:jc w:val="center"/>
    </w:pPr>
    <w:rPr>
      <w:i/>
      <w:iCs/>
      <w:color w:val="404040" w:themeColor="text1" w:themeTint="BF"/>
    </w:rPr>
  </w:style>
  <w:style w:type="character" w:customStyle="1" w:styleId="QuoteChar">
    <w:name w:val="Quote Char"/>
    <w:basedOn w:val="DefaultParagraphFont"/>
    <w:link w:val="Quote"/>
    <w:uiPriority w:val="29"/>
    <w:rsid w:val="0073516B"/>
    <w:rPr>
      <w:i/>
      <w:iCs/>
      <w:color w:val="404040" w:themeColor="text1" w:themeTint="BF"/>
    </w:rPr>
  </w:style>
  <w:style w:type="paragraph" w:styleId="ListParagraph">
    <w:name w:val="List Paragraph"/>
    <w:basedOn w:val="Normal"/>
    <w:uiPriority w:val="34"/>
    <w:qFormat/>
    <w:rsid w:val="0073516B"/>
    <w:pPr>
      <w:ind w:left="720"/>
      <w:contextualSpacing/>
    </w:pPr>
  </w:style>
  <w:style w:type="character" w:styleId="IntenseEmphasis">
    <w:name w:val="Intense Emphasis"/>
    <w:basedOn w:val="DefaultParagraphFont"/>
    <w:uiPriority w:val="21"/>
    <w:qFormat/>
    <w:rsid w:val="0073516B"/>
    <w:rPr>
      <w:i/>
      <w:iCs/>
      <w:color w:val="0F4761" w:themeColor="accent1" w:themeShade="BF"/>
    </w:rPr>
  </w:style>
  <w:style w:type="paragraph" w:styleId="IntenseQuote">
    <w:name w:val="Intense Quote"/>
    <w:basedOn w:val="Normal"/>
    <w:next w:val="Normal"/>
    <w:link w:val="IntenseQuoteChar"/>
    <w:uiPriority w:val="30"/>
    <w:qFormat/>
    <w:rsid w:val="00735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16B"/>
    <w:rPr>
      <w:i/>
      <w:iCs/>
      <w:color w:val="0F4761" w:themeColor="accent1" w:themeShade="BF"/>
    </w:rPr>
  </w:style>
  <w:style w:type="character" w:styleId="IntenseReference">
    <w:name w:val="Intense Reference"/>
    <w:basedOn w:val="DefaultParagraphFont"/>
    <w:uiPriority w:val="32"/>
    <w:qFormat/>
    <w:rsid w:val="0073516B"/>
    <w:rPr>
      <w:b/>
      <w:bCs/>
      <w:smallCaps/>
      <w:color w:val="0F4761" w:themeColor="accent1" w:themeShade="BF"/>
      <w:spacing w:val="5"/>
    </w:rPr>
  </w:style>
  <w:style w:type="character" w:styleId="Hyperlink">
    <w:name w:val="Hyperlink"/>
    <w:basedOn w:val="DefaultParagraphFont"/>
    <w:uiPriority w:val="99"/>
    <w:unhideWhenUsed/>
    <w:rsid w:val="0073516B"/>
    <w:rPr>
      <w:color w:val="467886" w:themeColor="hyperlink"/>
      <w:u w:val="single"/>
    </w:rPr>
  </w:style>
  <w:style w:type="character" w:styleId="UnresolvedMention">
    <w:name w:val="Unresolved Mention"/>
    <w:basedOn w:val="DefaultParagraphFont"/>
    <w:uiPriority w:val="99"/>
    <w:semiHidden/>
    <w:unhideWhenUsed/>
    <w:rsid w:val="0073516B"/>
    <w:rPr>
      <w:color w:val="605E5C"/>
      <w:shd w:val="clear" w:color="auto" w:fill="E1DFDD"/>
    </w:rPr>
  </w:style>
  <w:style w:type="paragraph" w:styleId="Header">
    <w:name w:val="header"/>
    <w:basedOn w:val="Normal"/>
    <w:link w:val="HeaderChar"/>
    <w:uiPriority w:val="99"/>
    <w:unhideWhenUsed/>
    <w:rsid w:val="00735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16B"/>
  </w:style>
  <w:style w:type="paragraph" w:styleId="Footer">
    <w:name w:val="footer"/>
    <w:basedOn w:val="Normal"/>
    <w:link w:val="FooterChar"/>
    <w:uiPriority w:val="99"/>
    <w:unhideWhenUsed/>
    <w:rsid w:val="00735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16B"/>
  </w:style>
  <w:style w:type="character" w:styleId="PlaceholderText">
    <w:name w:val="Placeholder Text"/>
    <w:basedOn w:val="DefaultParagraphFont"/>
    <w:uiPriority w:val="99"/>
    <w:semiHidden/>
    <w:rsid w:val="00625B30"/>
    <w:rPr>
      <w:color w:val="666666"/>
    </w:rPr>
  </w:style>
  <w:style w:type="table" w:styleId="TableGrid">
    <w:name w:val="Table Grid"/>
    <w:basedOn w:val="TableNormal"/>
    <w:uiPriority w:val="39"/>
    <w:rsid w:val="000E3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1CFB"/>
    <w:rPr>
      <w:rFonts w:ascii="Times New Roman" w:hAnsi="Times New Roman" w:cs="Times New Roman"/>
    </w:rPr>
  </w:style>
  <w:style w:type="table" w:customStyle="1" w:styleId="TableGrid1">
    <w:name w:val="Table Grid1"/>
    <w:basedOn w:val="TableNormal"/>
    <w:next w:val="TableGrid"/>
    <w:uiPriority w:val="39"/>
    <w:rsid w:val="00BB4E1E"/>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5089/9781513519944.001" TargetMode="External"/><Relationship Id="rId26" Type="http://schemas.openxmlformats.org/officeDocument/2006/relationships/hyperlink" Target="https://doi.org/10.3390/fi15010021" TargetMode="External"/><Relationship Id="rId39" Type="http://schemas.openxmlformats.org/officeDocument/2006/relationships/hyperlink" Target="https://doi.org/10.20998/2519-4461.2023.5.71" TargetMode="External"/><Relationship Id="rId21" Type="http://schemas.openxmlformats.org/officeDocument/2006/relationships/hyperlink" Target="https://doi.org/10.54254/2754-1169/89/20241905" TargetMode="External"/><Relationship Id="rId34" Type="http://schemas.openxmlformats.org/officeDocument/2006/relationships/hyperlink" Target="https://doi.org/10.2139/ssrn.944404"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doi.org/10.52783/tjjpt.v44.i4.1896" TargetMode="External"/><Relationship Id="rId29" Type="http://schemas.openxmlformats.org/officeDocument/2006/relationships/hyperlink" Target="https://doi.org/10.21511/bbs.19(3).2024.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doi.org/10.24036/ecosains.11313657.00" TargetMode="External"/><Relationship Id="rId32" Type="http://schemas.openxmlformats.org/officeDocument/2006/relationships/hyperlink" Target="https://doi.org/10.1111/j.1468-0335.1958.tb00003.x" TargetMode="External"/><Relationship Id="rId37" Type="http://schemas.openxmlformats.org/officeDocument/2006/relationships/hyperlink" Target="https://doi.org/10.23971/jaq.v4i1.1442" TargetMode="External"/><Relationship Id="rId40" Type="http://schemas.openxmlformats.org/officeDocument/2006/relationships/hyperlink" Target="https://doi.org/10.3390/ijerph19148819"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478/jcbtp-2018-0025" TargetMode="External"/><Relationship Id="rId23" Type="http://schemas.openxmlformats.org/officeDocument/2006/relationships/hyperlink" Target="https://doi.org/10.1080/00074918.2024.2398347" TargetMode="External"/><Relationship Id="rId28" Type="http://schemas.openxmlformats.org/officeDocument/2006/relationships/hyperlink" Target="https://doi.org/10.1111/1468-0106.12319" TargetMode="External"/><Relationship Id="rId36" Type="http://schemas.openxmlformats.org/officeDocument/2006/relationships/hyperlink" Target="https://doi.org/10.21833/ijaas.2023.10.005" TargetMode="External"/><Relationship Id="rId10" Type="http://schemas.openxmlformats.org/officeDocument/2006/relationships/image" Target="media/image4.png"/><Relationship Id="rId19" Type="http://schemas.openxmlformats.org/officeDocument/2006/relationships/hyperlink" Target="https://doi.org/10.2139/ssrn.4062337" TargetMode="External"/><Relationship Id="rId31" Type="http://schemas.openxmlformats.org/officeDocument/2006/relationships/hyperlink" Target="https://ideas.repec.org/s/wpa/wuwpma.html"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80/13504851.2021.1963400" TargetMode="External"/><Relationship Id="rId27" Type="http://schemas.openxmlformats.org/officeDocument/2006/relationships/hyperlink" Target="https://doi.org/10.14710/jdep.1.1.47-62" TargetMode="External"/><Relationship Id="rId30" Type="http://schemas.openxmlformats.org/officeDocument/2006/relationships/hyperlink" Target="https://ideas.repec.org/p/wpa/wuwpma/9706004.html" TargetMode="External"/><Relationship Id="rId35" Type="http://schemas.openxmlformats.org/officeDocument/2006/relationships/hyperlink" Target="https://doi.org/10.1051/e3sconf/202342602125"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hyperlink" Target="https://doi.org/10.36948/ijfmr.2024.v06i03.21658" TargetMode="External"/><Relationship Id="rId25" Type="http://schemas.openxmlformats.org/officeDocument/2006/relationships/hyperlink" Target="https://doi.org/10.1016/j.heliyon.2022.e11198" TargetMode="External"/><Relationship Id="rId33" Type="http://schemas.openxmlformats.org/officeDocument/2006/relationships/hyperlink" Target="https://doi.org/10.2139/ssrn.4558978" TargetMode="External"/><Relationship Id="rId38" Type="http://schemas.openxmlformats.org/officeDocument/2006/relationships/hyperlink" Target="https://doi.org/10.17261/pressacademia.2022.1613" TargetMode="External"/><Relationship Id="rId46" Type="http://schemas.openxmlformats.org/officeDocument/2006/relationships/footer" Target="footer3.xml"/><Relationship Id="rId20" Type="http://schemas.openxmlformats.org/officeDocument/2006/relationships/hyperlink" Target="https://doi.org/10.1186/s40854-023-00545-8"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6684</Words>
  <Characters>38105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Kayode Johnson Ajayi</dc:creator>
  <cp:keywords/>
  <dc:description/>
  <cp:lastModifiedBy>SDI 1084</cp:lastModifiedBy>
  <cp:revision>14</cp:revision>
  <dcterms:created xsi:type="dcterms:W3CDTF">2026-01-30T17:12:00Z</dcterms:created>
  <dcterms:modified xsi:type="dcterms:W3CDTF">2026-01-31T09:54:00Z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4c264050-72b6-4325-bbf8-f24577e39f6a</vt:lpwstr>
  </property>
</Properties>
</file>