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450E8D" w14:textId="136DDF36" w:rsidR="00754C9A" w:rsidRDefault="00B64F01" w:rsidP="00441B6F">
      <w:pPr>
        <w:pStyle w:val="Title"/>
        <w:spacing w:after="0"/>
        <w:jc w:val="both"/>
        <w:rPr>
          <w:rFonts w:ascii="Calibri" w:hAnsi="Calibri" w:cs="Calibri"/>
          <w:sz w:val="22"/>
          <w:szCs w:val="22"/>
        </w:rPr>
      </w:pPr>
      <w:r>
        <w:rPr>
          <w:rFonts w:ascii="Calibri" w:hAnsi="Calibri" w:cs="Calibri"/>
          <w:sz w:val="22"/>
          <w:szCs w:val="22"/>
        </w:rPr>
        <w:t>Original research article</w:t>
      </w:r>
    </w:p>
    <w:p w14:paraId="63309B20" w14:textId="77777777" w:rsidR="00B64F01" w:rsidRDefault="00B64F01" w:rsidP="00441B6F">
      <w:pPr>
        <w:pStyle w:val="Title"/>
        <w:spacing w:after="0"/>
        <w:jc w:val="both"/>
        <w:rPr>
          <w:rFonts w:ascii="Arial" w:hAnsi="Arial" w:cs="Arial"/>
        </w:rPr>
      </w:pPr>
    </w:p>
    <w:p w14:paraId="4C4C1A94" w14:textId="4A09B17A" w:rsidR="00163BC4" w:rsidRPr="00163BC4" w:rsidRDefault="0057596F" w:rsidP="00441B6F">
      <w:pPr>
        <w:pStyle w:val="Author"/>
        <w:spacing w:line="240" w:lineRule="auto"/>
        <w:rPr>
          <w:rFonts w:ascii="Arial" w:hAnsi="Arial" w:cs="Arial"/>
          <w:bCs/>
          <w:iCs/>
          <w:kern w:val="28"/>
          <w:sz w:val="36"/>
        </w:rPr>
      </w:pPr>
      <w:r w:rsidRPr="0057596F">
        <w:rPr>
          <w:rFonts w:ascii="Arial" w:hAnsi="Arial" w:cs="Arial"/>
          <w:sz w:val="36"/>
          <w:szCs w:val="36"/>
        </w:rPr>
        <w:t>Managing the Digital Divide in Higher Education: A Benchmarking Analysis of Institutional Strategies in a Philippine</w:t>
      </w:r>
      <w:r w:rsidR="00FA0043">
        <w:rPr>
          <w:rFonts w:ascii="Arial" w:hAnsi="Arial" w:cs="Arial"/>
          <w:sz w:val="36"/>
          <w:szCs w:val="36"/>
        </w:rPr>
        <w:t xml:space="preserve"> </w:t>
      </w:r>
      <w:r w:rsidRPr="0057596F">
        <w:rPr>
          <w:rFonts w:ascii="Arial" w:hAnsi="Arial" w:cs="Arial"/>
          <w:sz w:val="36"/>
          <w:szCs w:val="36"/>
        </w:rPr>
        <w:t>Institution and Global Universities</w:t>
      </w:r>
    </w:p>
    <w:p w14:paraId="0F846381" w14:textId="10A4434E" w:rsidR="000A76B9" w:rsidRPr="00E30244" w:rsidRDefault="000A76B9" w:rsidP="00E30244">
      <w:pPr>
        <w:pStyle w:val="Affiliation"/>
        <w:spacing w:after="0" w:line="240" w:lineRule="auto"/>
        <w:rPr>
          <w:rFonts w:ascii="Arial" w:hAnsi="Arial" w:cs="Arial"/>
          <w:i/>
          <w:sz w:val="20"/>
          <w:szCs w:val="20"/>
        </w:rPr>
      </w:pPr>
    </w:p>
    <w:p w14:paraId="7B364992" w14:textId="77777777" w:rsidR="002C57D2" w:rsidRPr="00FB3A86" w:rsidRDefault="002C57D2" w:rsidP="00441B6F">
      <w:pPr>
        <w:pStyle w:val="Affiliation"/>
        <w:spacing w:after="0" w:line="240" w:lineRule="auto"/>
        <w:jc w:val="both"/>
        <w:rPr>
          <w:rFonts w:ascii="Arial" w:hAnsi="Arial" w:cs="Arial"/>
        </w:rPr>
      </w:pPr>
    </w:p>
    <w:p w14:paraId="6CB153F5" w14:textId="326297E9" w:rsidR="00B01FCD" w:rsidRPr="00FB3A86" w:rsidRDefault="00AD1E3F" w:rsidP="00441B6F">
      <w:pPr>
        <w:pStyle w:val="Copyright"/>
        <w:spacing w:after="0" w:line="240" w:lineRule="auto"/>
        <w:jc w:val="both"/>
        <w:rPr>
          <w:rFonts w:ascii="Arial" w:hAnsi="Arial" w:cs="Arial"/>
        </w:rPr>
        <w:sectPr w:rsidR="00B01FCD" w:rsidRPr="00FB3A86" w:rsidSect="008F69E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IN" w:eastAsia="en-IN"/>
        </w:rPr>
        <mc:AlternateContent>
          <mc:Choice Requires="wps">
            <w:drawing>
              <wp:inline distT="0" distB="0" distL="0" distR="0" wp14:anchorId="56746A15" wp14:editId="4B1694F3">
                <wp:extent cx="5303520" cy="635"/>
                <wp:effectExtent l="0" t="12700" r="5080" b="12065"/>
                <wp:docPr id="43314250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7AAA87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p>
    <w:p w14:paraId="08C18C2E" w14:textId="77777777" w:rsidR="00790ADA" w:rsidRDefault="00790ADA" w:rsidP="00441B6F">
      <w:pPr>
        <w:pStyle w:val="AbstHead"/>
        <w:spacing w:after="0"/>
        <w:jc w:val="both"/>
        <w:rPr>
          <w:rFonts w:ascii="Arial" w:hAnsi="Arial" w:cs="Arial"/>
        </w:rPr>
      </w:pPr>
    </w:p>
    <w:p w14:paraId="57943B5A" w14:textId="1BCDF799" w:rsidR="00E30244" w:rsidRDefault="00E30244" w:rsidP="00441B6F">
      <w:pPr>
        <w:pStyle w:val="AbstHead"/>
        <w:spacing w:after="0"/>
        <w:jc w:val="both"/>
        <w:rPr>
          <w:rFonts w:ascii="Arial" w:hAnsi="Arial" w:cs="Arial"/>
        </w:rPr>
      </w:pPr>
      <w:r w:rsidRPr="00FB3A86">
        <w:rPr>
          <w:rFonts w:ascii="Arial" w:hAnsi="Arial" w:cs="Arial"/>
        </w:rPr>
        <w:t>ABSTRACT</w:t>
      </w:r>
    </w:p>
    <w:p w14:paraId="30D373FA" w14:textId="77777777" w:rsidR="00E30244" w:rsidRPr="00FB3A86" w:rsidRDefault="00E30244"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77137AC" w14:textId="77777777" w:rsidTr="001E44FE">
        <w:tc>
          <w:tcPr>
            <w:tcW w:w="9576" w:type="dxa"/>
            <w:shd w:val="clear" w:color="auto" w:fill="F2F2F2"/>
          </w:tcPr>
          <w:p w14:paraId="7BB07973" w14:textId="77777777" w:rsidR="00B95F86" w:rsidRPr="00B95F86" w:rsidRDefault="00B95F86" w:rsidP="00B95F86">
            <w:pPr>
              <w:rPr>
                <w:rFonts w:ascii="Arial" w:hAnsi="Arial" w:cs="Arial"/>
                <w:sz w:val="20"/>
                <w:szCs w:val="20"/>
              </w:rPr>
            </w:pPr>
            <w:r w:rsidRPr="00B95F86">
              <w:rPr>
                <w:rFonts w:ascii="Arial" w:hAnsi="Arial" w:cs="Arial"/>
                <w:sz w:val="20"/>
                <w:szCs w:val="20"/>
              </w:rPr>
              <w:t>This study examined how higher education institutions addressed challenges related to the digital divide through their own management strategies. It compared a Philippine university’s approach with those of several well-known global universities. The research viewed digital inclusion mainly as a matter of governance and management, not just technology.</w:t>
            </w:r>
          </w:p>
          <w:p w14:paraId="3C301CAD" w14:textId="77777777" w:rsidR="00B95F86" w:rsidRPr="00B95F86" w:rsidRDefault="00B95F86" w:rsidP="00B95F86">
            <w:pPr>
              <w:rPr>
                <w:rFonts w:ascii="Arial" w:hAnsi="Arial" w:cs="Arial"/>
                <w:sz w:val="20"/>
                <w:szCs w:val="20"/>
              </w:rPr>
            </w:pPr>
            <w:r w:rsidRPr="00B95F86">
              <w:rPr>
                <w:rFonts w:ascii="Arial" w:hAnsi="Arial" w:cs="Arial"/>
                <w:sz w:val="20"/>
                <w:szCs w:val="20"/>
              </w:rPr>
              <w:t>The study used a qualitative comparative benchmarking approach, analyzing documents from global universities and a Philippine university in Northern Mindanao. Data was collected and analyzed in 2026. Four global universities were selected based on their Financial Times rankings, international accreditation, and publicly available documents. The Philippine university was selected for its regional context and its documented efforts to improve digital access and equity.</w:t>
            </w:r>
          </w:p>
          <w:p w14:paraId="1CC8E1E8" w14:textId="77777777" w:rsidR="00B95F86" w:rsidRPr="00B95F86" w:rsidRDefault="00B95F86" w:rsidP="00B95F86">
            <w:pPr>
              <w:rPr>
                <w:rFonts w:ascii="Arial" w:hAnsi="Arial" w:cs="Arial"/>
                <w:sz w:val="20"/>
                <w:szCs w:val="20"/>
              </w:rPr>
            </w:pPr>
            <w:r w:rsidRPr="00B95F86">
              <w:rPr>
                <w:rFonts w:ascii="Arial" w:hAnsi="Arial" w:cs="Arial"/>
                <w:sz w:val="20"/>
                <w:szCs w:val="20"/>
              </w:rPr>
              <w:t>The data came from sources like strategic plans, digital transformation statements, equity and inclusion policies, student support frameworks, and official communications. The analysis followed a structured qualitative approach, using comparative benchmarking and drawing on Institutional Theory and Equity and Access Theory.</w:t>
            </w:r>
          </w:p>
          <w:p w14:paraId="618F3894" w14:textId="77777777" w:rsidR="00B95F86" w:rsidRPr="00B95F86" w:rsidRDefault="00B95F86" w:rsidP="00B95F86">
            <w:pPr>
              <w:rPr>
                <w:rFonts w:ascii="Arial" w:hAnsi="Arial" w:cs="Arial"/>
                <w:sz w:val="20"/>
                <w:szCs w:val="20"/>
              </w:rPr>
            </w:pPr>
            <w:r w:rsidRPr="00B95F86">
              <w:rPr>
                <w:rFonts w:ascii="Arial" w:hAnsi="Arial" w:cs="Arial"/>
                <w:sz w:val="20"/>
                <w:szCs w:val="20"/>
              </w:rPr>
              <w:t>The study identified four main strategies: improving infrastructure for access, providing financial and resource support, building digital skills, and offering flexible or alternative ways to access resources. Universities worldwide adopted similar approaches, likely due to shared governance practices and pressures. The Philippine university used these strategies too, but on a smaller scale and with more focus on adapting to local needs and limited resources.</w:t>
            </w:r>
          </w:p>
          <w:p w14:paraId="35BB246D" w14:textId="5C4B2E6F" w:rsidR="00B95F86" w:rsidRPr="00B43556" w:rsidRDefault="00B95F86" w:rsidP="00B95F86">
            <w:r w:rsidRPr="00B95F86">
              <w:rPr>
                <w:rFonts w:ascii="Arial" w:hAnsi="Arial" w:cs="Arial"/>
                <w:sz w:val="20"/>
                <w:szCs w:val="20"/>
              </w:rPr>
              <w:t>In conclusion, the study found that managing the digital divide in higher education is mainly a governance and management issue. Although global universities often use similar strategies, achieving fairness depends on adapting these strategies to local contexts. Comparing with top global institutions can help universities in developing and middle-income countries, especially when they also focus on equity and local needs.</w:t>
            </w:r>
          </w:p>
        </w:tc>
      </w:tr>
    </w:tbl>
    <w:p w14:paraId="7D71A5A9" w14:textId="77777777" w:rsidR="00636EB2" w:rsidRPr="005F2A27" w:rsidRDefault="00636EB2" w:rsidP="00441B6F">
      <w:pPr>
        <w:pStyle w:val="Body"/>
        <w:spacing w:after="0"/>
        <w:rPr>
          <w:rFonts w:ascii="Arial" w:hAnsi="Arial" w:cs="Arial"/>
          <w:i/>
          <w:sz w:val="20"/>
          <w:szCs w:val="20"/>
        </w:rPr>
      </w:pPr>
    </w:p>
    <w:p w14:paraId="1E23BF9B" w14:textId="3197497D" w:rsidR="00505F06" w:rsidRPr="005F2A27" w:rsidRDefault="00A24E7E" w:rsidP="00441B6F">
      <w:pPr>
        <w:pStyle w:val="Body"/>
        <w:spacing w:after="0"/>
        <w:rPr>
          <w:rFonts w:ascii="Arial" w:hAnsi="Arial" w:cs="Arial"/>
          <w:i/>
          <w:iCs/>
          <w:sz w:val="20"/>
          <w:szCs w:val="20"/>
        </w:rPr>
      </w:pPr>
      <w:r w:rsidRPr="005F2A27">
        <w:rPr>
          <w:rFonts w:ascii="Arial" w:hAnsi="Arial" w:cs="Arial"/>
          <w:i/>
          <w:sz w:val="20"/>
          <w:szCs w:val="20"/>
        </w:rPr>
        <w:t xml:space="preserve">Keywords: </w:t>
      </w:r>
      <w:r w:rsidR="006D5A7C">
        <w:rPr>
          <w:rFonts w:ascii="Arial" w:hAnsi="Arial" w:cs="Arial"/>
          <w:i/>
          <w:iCs/>
          <w:sz w:val="20"/>
          <w:szCs w:val="20"/>
        </w:rPr>
        <w:t>Digital divide</w:t>
      </w:r>
      <w:r w:rsidR="00500E0E" w:rsidRPr="005F2A27">
        <w:rPr>
          <w:rFonts w:ascii="Arial" w:hAnsi="Arial" w:cs="Arial"/>
          <w:i/>
          <w:iCs/>
          <w:sz w:val="20"/>
          <w:szCs w:val="20"/>
        </w:rPr>
        <w:t xml:space="preserve">; </w:t>
      </w:r>
      <w:r w:rsidR="006D5A7C">
        <w:rPr>
          <w:rFonts w:ascii="Arial" w:hAnsi="Arial" w:cs="Arial"/>
          <w:i/>
          <w:iCs/>
          <w:sz w:val="20"/>
          <w:szCs w:val="20"/>
        </w:rPr>
        <w:t>higher education management</w:t>
      </w:r>
      <w:r w:rsidR="00500E0E" w:rsidRPr="005F2A27">
        <w:rPr>
          <w:rFonts w:ascii="Arial" w:hAnsi="Arial" w:cs="Arial"/>
          <w:i/>
          <w:iCs/>
          <w:sz w:val="20"/>
          <w:szCs w:val="20"/>
        </w:rPr>
        <w:t xml:space="preserve">; </w:t>
      </w:r>
      <w:r w:rsidR="006D5A7C">
        <w:rPr>
          <w:rFonts w:ascii="Arial" w:hAnsi="Arial" w:cs="Arial"/>
          <w:i/>
          <w:iCs/>
          <w:sz w:val="20"/>
          <w:szCs w:val="20"/>
        </w:rPr>
        <w:t>institutional strategies</w:t>
      </w:r>
      <w:r w:rsidR="00500E0E" w:rsidRPr="005F2A27">
        <w:rPr>
          <w:rFonts w:ascii="Arial" w:hAnsi="Arial" w:cs="Arial"/>
          <w:i/>
          <w:iCs/>
          <w:sz w:val="20"/>
          <w:szCs w:val="20"/>
        </w:rPr>
        <w:t xml:space="preserve">; institutional theory; </w:t>
      </w:r>
      <w:r w:rsidR="006D5A7C">
        <w:rPr>
          <w:rFonts w:ascii="Arial" w:hAnsi="Arial" w:cs="Arial"/>
          <w:i/>
          <w:iCs/>
          <w:sz w:val="20"/>
          <w:szCs w:val="20"/>
        </w:rPr>
        <w:t>equity and access</w:t>
      </w:r>
      <w:r w:rsidR="00500E0E" w:rsidRPr="005F2A27">
        <w:rPr>
          <w:rFonts w:ascii="Arial" w:hAnsi="Arial" w:cs="Arial"/>
          <w:i/>
          <w:iCs/>
          <w:sz w:val="20"/>
          <w:szCs w:val="20"/>
        </w:rPr>
        <w:t xml:space="preserve"> theory</w:t>
      </w:r>
    </w:p>
    <w:p w14:paraId="2E4EEEA5" w14:textId="77777777" w:rsidR="00500E0E" w:rsidRPr="00500E0E" w:rsidRDefault="00500E0E" w:rsidP="00441B6F">
      <w:pPr>
        <w:pStyle w:val="Body"/>
        <w:spacing w:after="0"/>
        <w:rPr>
          <w:rFonts w:ascii="Arial" w:hAnsi="Arial" w:cs="Arial"/>
          <w:i/>
          <w:iCs/>
        </w:rPr>
      </w:pPr>
    </w:p>
    <w:p w14:paraId="5C7A5BB9" w14:textId="21CC3342"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5D1DADCF" w14:textId="77777777" w:rsidR="00790ADA" w:rsidRPr="00FB3A86" w:rsidRDefault="00790ADA" w:rsidP="00441B6F">
      <w:pPr>
        <w:pStyle w:val="AbstHead"/>
        <w:spacing w:after="0"/>
        <w:jc w:val="both"/>
        <w:rPr>
          <w:rFonts w:ascii="Arial" w:hAnsi="Arial" w:cs="Arial"/>
        </w:rPr>
      </w:pPr>
    </w:p>
    <w:p w14:paraId="06E3BC16" w14:textId="77777777" w:rsidR="0057596F" w:rsidRPr="0057596F" w:rsidRDefault="0057596F" w:rsidP="0057596F">
      <w:pPr>
        <w:pStyle w:val="NormalWeb"/>
        <w:spacing w:before="0" w:beforeAutospacing="0" w:after="0" w:afterAutospacing="0"/>
        <w:rPr>
          <w:sz w:val="20"/>
          <w:szCs w:val="20"/>
        </w:rPr>
      </w:pPr>
      <w:r w:rsidRPr="0057596F">
        <w:rPr>
          <w:rFonts w:ascii="Arial" w:hAnsi="Arial" w:cs="Arial"/>
          <w:color w:val="000000"/>
          <w:sz w:val="20"/>
          <w:szCs w:val="20"/>
        </w:rPr>
        <w:t xml:space="preserve">The rapid digitalization of higher education has changed how universities approach teaching, student services, and governance. Universities worldwide are expected to use digital technologies to improve access, efficiency, and competitiveness (Zhong et al., 2023). However, this shift has also highlighted ongoing inequalities in access to technology and </w:t>
      </w:r>
      <w:r w:rsidRPr="0057596F">
        <w:rPr>
          <w:rFonts w:ascii="Arial" w:hAnsi="Arial" w:cs="Arial"/>
          <w:color w:val="000000"/>
          <w:sz w:val="20"/>
          <w:szCs w:val="20"/>
        </w:rPr>
        <w:lastRenderedPageBreak/>
        <w:t>skills, often called the "digital divide." Recent studies show that the digital divide is a major reason why some students leave higher education, as those without enough digital resources often struggle academically (Barragán Moreno &amp; Rincón, 2025). The divide now includes issues like infrastructure, digital literacy, and how well institutions build inclusive systems (Mikhailov et al., 2024). Because of this, university leaders need to make coordinated decisions about infrastructure and equity-focused policies to address the divide (World Benchmarking Alliance, 2023).</w:t>
      </w:r>
    </w:p>
    <w:p w14:paraId="69B35402" w14:textId="77777777" w:rsidR="0057596F" w:rsidRPr="0057596F" w:rsidRDefault="0057596F" w:rsidP="0057596F">
      <w:pPr>
        <w:pStyle w:val="NormalWeb"/>
        <w:spacing w:before="0" w:beforeAutospacing="0" w:after="0" w:afterAutospacing="0"/>
        <w:rPr>
          <w:sz w:val="20"/>
          <w:szCs w:val="20"/>
        </w:rPr>
      </w:pPr>
      <w:r w:rsidRPr="0057596F">
        <w:rPr>
          <w:rFonts w:ascii="Arial" w:hAnsi="Arial" w:cs="Arial"/>
          <w:color w:val="000000"/>
          <w:sz w:val="20"/>
          <w:szCs w:val="20"/>
        </w:rPr>
        <w:t>From a management perspective, universities face digital challenges as complex organizations influenced by global standards and competition. Many leading institutions now see the digital divide as a human rights issue, understanding that public policy and institutional strategy should promote social inclusion (Sanders, 2021). Their strategies often include centralized digital governance and financial support. Comparing these practices across top institutions helps show how universities put equity into practice while maintaining performance.</w:t>
      </w:r>
    </w:p>
    <w:p w14:paraId="1FAABD86" w14:textId="77777777" w:rsidR="0057596F" w:rsidRPr="0057596F" w:rsidRDefault="0057596F" w:rsidP="0057596F">
      <w:pPr>
        <w:pStyle w:val="NormalWeb"/>
        <w:spacing w:before="0" w:beforeAutospacing="0" w:after="0" w:afterAutospacing="0"/>
        <w:rPr>
          <w:sz w:val="20"/>
          <w:szCs w:val="20"/>
        </w:rPr>
      </w:pPr>
      <w:r w:rsidRPr="0057596F">
        <w:rPr>
          <w:rFonts w:ascii="Arial" w:hAnsi="Arial" w:cs="Arial"/>
          <w:color w:val="000000"/>
          <w:sz w:val="20"/>
          <w:szCs w:val="20"/>
        </w:rPr>
        <w:t>At the national and regional level, these issues are especially important in Southeast Asia, where higher education systems are shaped by ASEAN integration. ASEAN initiatives focus on regional mobility, harmonized qualifications, and digital connectivity to boost economic competitiveness and social inclusion (International Telecommunication Union, 2024). For universities in developing and middle-income ASEAN countries, meeting these regional goals brings both opportunities and challenges. Institutions are expected to reach global standards of digital readiness and inclusivity, even when resources and socio-economic conditions vary (Abd Rashid et al., 2025). As a result, managing the digital divide is not just a technical problem but also a strategic management challenge tied to institutional legitimacy, regional integration, and long-term sustainability (UNESCO, 2023).</w:t>
      </w:r>
    </w:p>
    <w:p w14:paraId="74358DA0" w14:textId="77777777" w:rsidR="0057596F" w:rsidRPr="0057596F" w:rsidRDefault="0057596F" w:rsidP="0057596F">
      <w:pPr>
        <w:pStyle w:val="NormalWeb"/>
        <w:spacing w:before="0" w:beforeAutospacing="0" w:after="0" w:afterAutospacing="0"/>
        <w:rPr>
          <w:sz w:val="20"/>
          <w:szCs w:val="20"/>
        </w:rPr>
      </w:pPr>
      <w:r w:rsidRPr="0057596F">
        <w:rPr>
          <w:rFonts w:ascii="Arial" w:hAnsi="Arial" w:cs="Arial"/>
          <w:color w:val="000000"/>
          <w:sz w:val="20"/>
          <w:szCs w:val="20"/>
        </w:rPr>
        <w:t>In this regional context, a private university in Northern Mindanao, Philippines, offers a useful local example for studying how universities handle digital divide issues. Located outside the main metropolitan areas, the university faces bigger gaps in digital infrastructure, household income, and access to technology (Sharp, 2024). At the same time, it is part of national and regional higher education networks and is influenced by ASEAN goals for digitalization, inclusion, and quality assurance (Xavier University, 2024). This makes the university a good case for understanding how local institutions respond to global and regional pressures through their own strategies, rather than relying only on technology fixes.</w:t>
      </w:r>
    </w:p>
    <w:p w14:paraId="45872C0F" w14:textId="77777777" w:rsidR="0057596F" w:rsidRPr="0057596F" w:rsidRDefault="0057596F" w:rsidP="0057596F">
      <w:pPr>
        <w:pStyle w:val="NormalWeb"/>
        <w:spacing w:before="0" w:beforeAutospacing="0" w:after="0" w:afterAutospacing="0"/>
        <w:rPr>
          <w:sz w:val="20"/>
          <w:szCs w:val="20"/>
        </w:rPr>
      </w:pPr>
      <w:r w:rsidRPr="0057596F">
        <w:rPr>
          <w:rFonts w:ascii="Arial" w:hAnsi="Arial" w:cs="Arial"/>
          <w:color w:val="000000"/>
          <w:sz w:val="20"/>
          <w:szCs w:val="20"/>
        </w:rPr>
        <w:t>To study these issues, this research uses Institutional Theory and Equity and Access Theory. Institutional Theory, especially the idea of "institutional isomorphism," explains why universities often choose similar digital inclusion strategies and governance structures when facing outside pressures like global rankings and expectations (DiMaggio &amp; Powell, 1983). Equity and Access Theory adds that decisions about infrastructure and skills development can either reduce or continue structural inequalities (Mikhailov et al., 2024).</w:t>
      </w:r>
    </w:p>
    <w:p w14:paraId="740BF5AA" w14:textId="30FE6E41" w:rsidR="00B01FCD" w:rsidRPr="0057596F" w:rsidRDefault="0057596F" w:rsidP="0057596F">
      <w:pPr>
        <w:pStyle w:val="NormalWeb"/>
        <w:spacing w:before="0" w:beforeAutospacing="0" w:after="0" w:afterAutospacing="0"/>
        <w:rPr>
          <w:sz w:val="20"/>
          <w:szCs w:val="20"/>
        </w:rPr>
      </w:pPr>
      <w:r w:rsidRPr="0057596F">
        <w:rPr>
          <w:rFonts w:ascii="Arial" w:hAnsi="Arial" w:cs="Arial"/>
          <w:color w:val="000000"/>
          <w:sz w:val="20"/>
          <w:szCs w:val="20"/>
        </w:rPr>
        <w:t>Based on these theories, the study uses a benchmarking approach. It selects well-known business schools that appear in international rankings, like those reviewed for research and institutional impact by the Financial Times (FT Business Education Research Insights, 2025). Using publicly available documents, the study compares how these global universities manage the digital divide with the Philippine case institution, focusing on management decisions and organizational policies instead of classroom practices.</w:t>
      </w:r>
    </w:p>
    <w:p w14:paraId="09DC836E" w14:textId="77777777" w:rsidR="00790ADA" w:rsidRPr="00FB3A86" w:rsidRDefault="00790ADA" w:rsidP="00441B6F">
      <w:pPr>
        <w:pStyle w:val="Body"/>
        <w:spacing w:after="0"/>
        <w:rPr>
          <w:rFonts w:ascii="Arial" w:hAnsi="Arial" w:cs="Arial"/>
        </w:rPr>
      </w:pPr>
    </w:p>
    <w:p w14:paraId="6BAAD26C" w14:textId="5D8B339C" w:rsidR="007F7B32" w:rsidRDefault="00902823" w:rsidP="00441B6F">
      <w:pPr>
        <w:pStyle w:val="AbstHead"/>
        <w:spacing w:after="0"/>
        <w:jc w:val="both"/>
        <w:rPr>
          <w:rFonts w:ascii="Arial" w:hAnsi="Arial" w:cs="Arial"/>
        </w:rPr>
      </w:pPr>
      <w:r>
        <w:rPr>
          <w:rFonts w:ascii="Arial" w:hAnsi="Arial" w:cs="Arial"/>
        </w:rPr>
        <w:t>2. m</w:t>
      </w:r>
      <w:r w:rsidR="00E33360">
        <w:rPr>
          <w:rFonts w:ascii="Arial" w:hAnsi="Arial" w:cs="Arial"/>
        </w:rPr>
        <w:t>ETHODOLOGY</w:t>
      </w:r>
    </w:p>
    <w:p w14:paraId="135773AC" w14:textId="77777777" w:rsidR="00790ADA" w:rsidRDefault="00790ADA" w:rsidP="00441B6F">
      <w:pPr>
        <w:pStyle w:val="AbstHead"/>
        <w:spacing w:after="0"/>
        <w:jc w:val="both"/>
        <w:rPr>
          <w:rFonts w:ascii="Arial" w:hAnsi="Arial" w:cs="Arial"/>
        </w:rPr>
      </w:pPr>
    </w:p>
    <w:p w14:paraId="400D5E0B" w14:textId="5C7FF406" w:rsidR="00674F58" w:rsidRDefault="00674F58" w:rsidP="00674F58">
      <w:pPr>
        <w:rPr>
          <w:rFonts w:ascii="Arial" w:hAnsi="Arial" w:cs="Arial"/>
          <w:b/>
          <w:bCs/>
          <w:color w:val="000000"/>
          <w:sz w:val="22"/>
          <w:szCs w:val="22"/>
        </w:rPr>
      </w:pPr>
      <w:r w:rsidRPr="00674F58">
        <w:rPr>
          <w:rFonts w:ascii="Arial" w:hAnsi="Arial" w:cs="Arial"/>
          <w:b/>
          <w:bCs/>
          <w:color w:val="000000"/>
          <w:sz w:val="22"/>
          <w:szCs w:val="22"/>
        </w:rPr>
        <w:t>2.1 Research Desig</w:t>
      </w:r>
      <w:r w:rsidR="00FC2F4F">
        <w:rPr>
          <w:rFonts w:ascii="Arial" w:hAnsi="Arial" w:cs="Arial"/>
          <w:b/>
          <w:bCs/>
          <w:color w:val="000000"/>
          <w:sz w:val="22"/>
          <w:szCs w:val="22"/>
        </w:rPr>
        <w:t>n</w:t>
      </w:r>
    </w:p>
    <w:p w14:paraId="7AAE46CE" w14:textId="77777777" w:rsidR="00FC2F4F" w:rsidRDefault="00FC2F4F" w:rsidP="00674F58"/>
    <w:p w14:paraId="041E3927" w14:textId="755D787B" w:rsidR="00674F58" w:rsidRPr="00FC2F4F" w:rsidRDefault="00FC2F4F" w:rsidP="00FC2F4F">
      <w:pPr>
        <w:pStyle w:val="NormalWeb"/>
        <w:spacing w:before="0" w:beforeAutospacing="0" w:after="0" w:afterAutospacing="0"/>
      </w:pPr>
      <w:r>
        <w:rPr>
          <w:rFonts w:ascii="Arial" w:hAnsi="Arial" w:cs="Arial"/>
          <w:color w:val="000000"/>
          <w:sz w:val="20"/>
          <w:szCs w:val="20"/>
        </w:rPr>
        <w:t>This study used a qualitative comparative benchmarking approach and document analysis to explore how universities address digital divide issues through their strategies, governance, and resource allocation. The focus was on institution-level strategies, not on teaching methods or individual learning results.</w:t>
      </w:r>
    </w:p>
    <w:p w14:paraId="6508D529" w14:textId="77777777" w:rsidR="00FC2F4F" w:rsidRPr="00674F58" w:rsidRDefault="00FC2F4F" w:rsidP="00674F58"/>
    <w:p w14:paraId="15C82466" w14:textId="78681CD9" w:rsidR="00674F58" w:rsidRDefault="00674F58" w:rsidP="00674F58">
      <w:pPr>
        <w:rPr>
          <w:rFonts w:ascii="Arial" w:hAnsi="Arial" w:cs="Arial"/>
          <w:b/>
          <w:bCs/>
          <w:color w:val="000000"/>
          <w:sz w:val="22"/>
          <w:szCs w:val="22"/>
        </w:rPr>
      </w:pPr>
      <w:r w:rsidRPr="00674F58">
        <w:rPr>
          <w:rFonts w:ascii="Arial" w:hAnsi="Arial" w:cs="Arial"/>
          <w:b/>
          <w:bCs/>
          <w:color w:val="000000"/>
          <w:sz w:val="22"/>
          <w:szCs w:val="22"/>
        </w:rPr>
        <w:t>2.2 Sampling Frame and Selection Criteri</w:t>
      </w:r>
      <w:r w:rsidR="00FC2F4F">
        <w:rPr>
          <w:rFonts w:ascii="Arial" w:hAnsi="Arial" w:cs="Arial"/>
          <w:b/>
          <w:bCs/>
          <w:color w:val="000000"/>
          <w:sz w:val="22"/>
          <w:szCs w:val="22"/>
        </w:rPr>
        <w:t>a</w:t>
      </w:r>
    </w:p>
    <w:p w14:paraId="46771704" w14:textId="77777777" w:rsidR="00FC2F4F" w:rsidRDefault="00FC2F4F" w:rsidP="00674F58"/>
    <w:p w14:paraId="068C1D1E" w14:textId="77777777" w:rsidR="00FC2F4F" w:rsidRDefault="00FC2F4F" w:rsidP="00FC2F4F">
      <w:pPr>
        <w:pStyle w:val="NormalWeb"/>
        <w:spacing w:before="0" w:beforeAutospacing="0" w:after="0" w:afterAutospacing="0"/>
      </w:pPr>
      <w:r>
        <w:rPr>
          <w:rFonts w:ascii="Arial" w:hAnsi="Arial" w:cs="Arial"/>
          <w:color w:val="000000"/>
          <w:sz w:val="20"/>
          <w:szCs w:val="20"/>
        </w:rPr>
        <w:t>A purposive benchmarking strategy was used to choose global universities for comparison (Patton, 2015). The selection was based on three main criteria:</w:t>
      </w:r>
    </w:p>
    <w:p w14:paraId="4845CA49" w14:textId="77777777" w:rsidR="00FC2F4F" w:rsidRDefault="00FC2F4F" w:rsidP="00FC2F4F">
      <w:pPr>
        <w:pStyle w:val="NormalWeb"/>
        <w:spacing w:before="0" w:beforeAutospacing="0" w:after="0" w:afterAutospacing="0"/>
      </w:pPr>
      <w:r>
        <w:rPr>
          <w:rFonts w:ascii="Arial" w:hAnsi="Arial" w:cs="Arial"/>
          <w:color w:val="000000"/>
          <w:sz w:val="20"/>
          <w:szCs w:val="20"/>
        </w:rPr>
        <w:t>(1) inclusion in the Financial Times (FT) business education rankings,</w:t>
      </w:r>
    </w:p>
    <w:p w14:paraId="386E29D0" w14:textId="77777777" w:rsidR="00FC2F4F" w:rsidRDefault="00FC2F4F" w:rsidP="00FC2F4F">
      <w:pPr>
        <w:pStyle w:val="NormalWeb"/>
        <w:spacing w:before="0" w:beforeAutospacing="0" w:after="0" w:afterAutospacing="0"/>
      </w:pPr>
      <w:r>
        <w:rPr>
          <w:rFonts w:ascii="Arial" w:hAnsi="Arial" w:cs="Arial"/>
          <w:color w:val="000000"/>
          <w:sz w:val="20"/>
          <w:szCs w:val="20"/>
        </w:rPr>
        <w:t>(2) international accreditation from AACSB or EQUIS, and</w:t>
      </w:r>
    </w:p>
    <w:p w14:paraId="7546DB7D" w14:textId="77777777" w:rsidR="00FC2F4F" w:rsidRDefault="00FC2F4F" w:rsidP="00FC2F4F">
      <w:pPr>
        <w:pStyle w:val="NormalWeb"/>
        <w:spacing w:before="0" w:beforeAutospacing="0" w:after="0" w:afterAutospacing="0"/>
      </w:pPr>
      <w:r>
        <w:rPr>
          <w:rFonts w:ascii="Arial" w:hAnsi="Arial" w:cs="Arial"/>
          <w:color w:val="000000"/>
          <w:sz w:val="20"/>
          <w:szCs w:val="20"/>
        </w:rPr>
        <w:t>(3) availability of institutional documents on digital access, inclusion, and strategy that are publicly accessible.</w:t>
      </w:r>
    </w:p>
    <w:p w14:paraId="6E733D07" w14:textId="74EEC229" w:rsidR="00FC2F4F" w:rsidRDefault="00FC2F4F" w:rsidP="00FC2F4F">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The local case institution was a private university in Northern Mindanao, Philippines. It was chosen for its regional context and because it had publicly available documents on digital access, student support, and institutional strategy.</w:t>
      </w:r>
    </w:p>
    <w:p w14:paraId="0940AD63" w14:textId="77777777" w:rsidR="00FC2F4F" w:rsidRPr="004F080F" w:rsidRDefault="00FC2F4F" w:rsidP="00FC2F4F">
      <w:pPr>
        <w:pStyle w:val="NormalWeb"/>
        <w:spacing w:before="0" w:beforeAutospacing="0" w:after="0" w:afterAutospacing="0"/>
        <w:rPr>
          <w:rFonts w:ascii="Arial" w:hAnsi="Arial" w:cs="Arial"/>
          <w:color w:val="000000"/>
          <w:sz w:val="20"/>
          <w:szCs w:val="20"/>
        </w:rPr>
      </w:pPr>
    </w:p>
    <w:p w14:paraId="3BB435FE" w14:textId="77777777" w:rsidR="004F080F" w:rsidRPr="004F080F" w:rsidRDefault="004F080F" w:rsidP="004F080F">
      <w:pPr>
        <w:pStyle w:val="Heading2"/>
        <w:spacing w:before="0"/>
        <w:rPr>
          <w:b/>
          <w:bCs/>
          <w:sz w:val="22"/>
          <w:szCs w:val="22"/>
        </w:rPr>
      </w:pPr>
      <w:r w:rsidRPr="004F080F">
        <w:rPr>
          <w:rFonts w:ascii="Arial" w:hAnsi="Arial" w:cs="Arial"/>
          <w:b/>
          <w:bCs/>
          <w:color w:val="000000"/>
          <w:sz w:val="22"/>
          <w:szCs w:val="22"/>
        </w:rPr>
        <w:t>2.3 Financial Times Business Education Rankings</w:t>
      </w:r>
    </w:p>
    <w:p w14:paraId="0B88269F" w14:textId="77777777" w:rsidR="004F080F" w:rsidRPr="004F080F" w:rsidRDefault="004F080F" w:rsidP="004F080F">
      <w:pPr>
        <w:rPr>
          <w:sz w:val="20"/>
          <w:szCs w:val="20"/>
        </w:rPr>
      </w:pPr>
    </w:p>
    <w:p w14:paraId="013E50F9" w14:textId="77777777" w:rsidR="004F080F" w:rsidRPr="004F080F" w:rsidRDefault="004F080F" w:rsidP="004F080F">
      <w:pPr>
        <w:pStyle w:val="NormalWeb"/>
        <w:spacing w:before="0" w:beforeAutospacing="0" w:after="0" w:afterAutospacing="0"/>
        <w:rPr>
          <w:sz w:val="20"/>
          <w:szCs w:val="20"/>
        </w:rPr>
      </w:pPr>
      <w:r w:rsidRPr="004F080F">
        <w:rPr>
          <w:rFonts w:ascii="Arial" w:hAnsi="Arial" w:cs="Arial"/>
          <w:color w:val="000000"/>
          <w:sz w:val="20"/>
          <w:szCs w:val="20"/>
        </w:rPr>
        <w:t>The Financial Times business education rankings served as the main source for identifying management-focused institutions with global recognition. These rankings use several criteria that focus on outcomes and features important to management education, such as alumni career progress, salary results, international mobility, research output, program internationalization, and institutional resources (Financial Times, n.d.).</w:t>
      </w:r>
    </w:p>
    <w:p w14:paraId="2E84C30D" w14:textId="16EF934F" w:rsidR="004F080F" w:rsidRDefault="004F080F" w:rsidP="004F080F">
      <w:pPr>
        <w:pStyle w:val="NormalWeb"/>
        <w:spacing w:before="0" w:beforeAutospacing="0" w:after="0" w:afterAutospacing="0"/>
        <w:rPr>
          <w:rFonts w:ascii="Arial" w:hAnsi="Arial" w:cs="Arial"/>
          <w:color w:val="000000"/>
          <w:sz w:val="20"/>
          <w:szCs w:val="20"/>
        </w:rPr>
      </w:pPr>
      <w:r w:rsidRPr="004F080F">
        <w:rPr>
          <w:rFonts w:ascii="Arial" w:hAnsi="Arial" w:cs="Arial"/>
          <w:color w:val="000000"/>
          <w:sz w:val="20"/>
          <w:szCs w:val="20"/>
        </w:rPr>
        <w:t>Only institutions with recognized international accreditation and standardized reporting can take part in the FT rankings. In this study, the FT rankings were used only to find management-focused institutions with global visibility, not to judge their quality or performance.</w:t>
      </w:r>
    </w:p>
    <w:p w14:paraId="18E8054A" w14:textId="77777777" w:rsidR="004F080F" w:rsidRDefault="004F080F" w:rsidP="004F080F">
      <w:pPr>
        <w:pStyle w:val="NormalWeb"/>
        <w:spacing w:before="0" w:beforeAutospacing="0" w:after="0" w:afterAutospacing="0"/>
        <w:rPr>
          <w:rFonts w:ascii="Arial" w:hAnsi="Arial" w:cs="Arial"/>
          <w:color w:val="000000"/>
          <w:sz w:val="20"/>
          <w:szCs w:val="20"/>
        </w:rPr>
      </w:pPr>
    </w:p>
    <w:p w14:paraId="212ED325" w14:textId="1AC7081C" w:rsidR="004F080F" w:rsidRDefault="004F080F" w:rsidP="004F080F">
      <w:pPr>
        <w:pStyle w:val="Heading2"/>
        <w:spacing w:before="0"/>
        <w:rPr>
          <w:rFonts w:ascii="Arial" w:hAnsi="Arial" w:cs="Arial"/>
          <w:b/>
          <w:bCs/>
          <w:color w:val="000000"/>
          <w:sz w:val="22"/>
          <w:szCs w:val="22"/>
        </w:rPr>
      </w:pPr>
      <w:r w:rsidRPr="004F080F">
        <w:rPr>
          <w:rFonts w:ascii="Arial" w:hAnsi="Arial" w:cs="Arial"/>
          <w:b/>
          <w:bCs/>
          <w:color w:val="000000"/>
          <w:sz w:val="22"/>
          <w:szCs w:val="22"/>
        </w:rPr>
        <w:t>2.4 Accreditation Criteria: AACSB and EQUI</w:t>
      </w:r>
      <w:r>
        <w:rPr>
          <w:rFonts w:ascii="Arial" w:hAnsi="Arial" w:cs="Arial"/>
          <w:b/>
          <w:bCs/>
          <w:color w:val="000000"/>
          <w:sz w:val="22"/>
          <w:szCs w:val="22"/>
        </w:rPr>
        <w:t>S</w:t>
      </w:r>
    </w:p>
    <w:p w14:paraId="5A37B16D" w14:textId="77777777" w:rsidR="004F080F" w:rsidRPr="004F080F" w:rsidRDefault="004F080F" w:rsidP="004F080F">
      <w:pPr>
        <w:rPr>
          <w:lang w:val="en-US"/>
        </w:rPr>
      </w:pPr>
    </w:p>
    <w:p w14:paraId="1C670371" w14:textId="77777777" w:rsidR="004F080F" w:rsidRDefault="004F080F" w:rsidP="004F080F">
      <w:pPr>
        <w:pStyle w:val="NormalWeb"/>
        <w:spacing w:before="0" w:beforeAutospacing="0" w:after="0" w:afterAutospacing="0"/>
      </w:pPr>
      <w:r>
        <w:rPr>
          <w:rFonts w:ascii="Arial" w:hAnsi="Arial" w:cs="Arial"/>
          <w:color w:val="000000"/>
          <w:sz w:val="20"/>
          <w:szCs w:val="20"/>
        </w:rPr>
        <w:t>Selected universities needed to have accreditation from AACSB or EQUIS to make sure they could be compared fairly.</w:t>
      </w:r>
    </w:p>
    <w:p w14:paraId="36FBC717" w14:textId="77777777" w:rsidR="004F080F" w:rsidRDefault="004F080F" w:rsidP="004F080F">
      <w:pPr>
        <w:pStyle w:val="NormalWeb"/>
        <w:spacing w:before="0" w:beforeAutospacing="0" w:after="0" w:afterAutospacing="0"/>
      </w:pPr>
      <w:r>
        <w:rPr>
          <w:rFonts w:ascii="Arial" w:hAnsi="Arial" w:cs="Arial"/>
          <w:color w:val="000000"/>
          <w:sz w:val="20"/>
          <w:szCs w:val="20"/>
        </w:rPr>
        <w:t>AACSB (Association to Advance Collegiate Schools of Business) is a global accrediting group that reviews business schools based on their mission, planning, learning standards, faculty, engagement, and ongoing improvement (Association to Advance Collegiate Schools of Business, n.d.). AACSB accreditation focuses on governance and strategic alignment, which makes it useful for comparing management programs.</w:t>
      </w:r>
    </w:p>
    <w:p w14:paraId="74118A4E" w14:textId="77777777" w:rsidR="004F080F" w:rsidRDefault="004F080F" w:rsidP="004F080F">
      <w:pPr>
        <w:pStyle w:val="NormalWeb"/>
        <w:spacing w:before="0" w:beforeAutospacing="0" w:after="0" w:afterAutospacing="0"/>
      </w:pPr>
      <w:r>
        <w:rPr>
          <w:rFonts w:ascii="Arial" w:hAnsi="Arial" w:cs="Arial"/>
          <w:color w:val="000000"/>
          <w:sz w:val="20"/>
          <w:szCs w:val="20"/>
        </w:rPr>
        <w:t>EQUIS (European Quality Improvement System), run by EFMD Global, reviews schools based on governance, strategy, programs, students, faculty, research, international focus, ethics, sustainability, and links to practice (European Foundation for Management and Development, 2025). EQUIS accreditation shows that a school is mature and has a clear strategy in global management education.</w:t>
      </w:r>
    </w:p>
    <w:p w14:paraId="254307F1" w14:textId="3ACA9A98" w:rsidR="004F080F" w:rsidRDefault="004F080F" w:rsidP="004F080F">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Accreditation helped make sure that the schools used for comparison followed similar rules for governance and quality.</w:t>
      </w:r>
    </w:p>
    <w:p w14:paraId="22C086DC" w14:textId="77777777" w:rsidR="004F080F" w:rsidRDefault="004F080F" w:rsidP="004F080F">
      <w:pPr>
        <w:pStyle w:val="NormalWeb"/>
        <w:spacing w:before="0" w:beforeAutospacing="0" w:after="0" w:afterAutospacing="0"/>
      </w:pPr>
    </w:p>
    <w:p w14:paraId="3F82D845" w14:textId="74DCDB6E" w:rsidR="004F080F" w:rsidRDefault="004F080F" w:rsidP="004F080F">
      <w:pPr>
        <w:pStyle w:val="Heading2"/>
        <w:spacing w:before="0"/>
        <w:rPr>
          <w:rFonts w:ascii="Arial" w:hAnsi="Arial" w:cs="Arial"/>
          <w:b/>
          <w:bCs/>
          <w:color w:val="000000"/>
          <w:sz w:val="22"/>
          <w:szCs w:val="22"/>
        </w:rPr>
      </w:pPr>
      <w:r w:rsidRPr="004F080F">
        <w:rPr>
          <w:rFonts w:ascii="Arial" w:hAnsi="Arial" w:cs="Arial"/>
          <w:b/>
          <w:bCs/>
          <w:color w:val="000000"/>
          <w:sz w:val="22"/>
          <w:szCs w:val="22"/>
        </w:rPr>
        <w:t>2.5 Publicly Accessible Document Criteri</w:t>
      </w:r>
      <w:r>
        <w:rPr>
          <w:rFonts w:ascii="Arial" w:hAnsi="Arial" w:cs="Arial"/>
          <w:b/>
          <w:bCs/>
          <w:color w:val="000000"/>
          <w:sz w:val="22"/>
          <w:szCs w:val="22"/>
        </w:rPr>
        <w:t>on</w:t>
      </w:r>
    </w:p>
    <w:p w14:paraId="5203CBE1" w14:textId="77777777" w:rsidR="004F080F" w:rsidRPr="004F080F" w:rsidRDefault="004F080F" w:rsidP="004F080F">
      <w:pPr>
        <w:rPr>
          <w:sz w:val="22"/>
          <w:szCs w:val="22"/>
          <w:lang w:val="en-US"/>
        </w:rPr>
      </w:pPr>
    </w:p>
    <w:p w14:paraId="7F6C518F" w14:textId="5ADF21B2" w:rsidR="004F080F" w:rsidRDefault="004F080F" w:rsidP="0046623F">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The study included only universities with accessible English-language documents, such as strategic plans, digital transformation statements, equity and inclusion policies, student support frameworks, and official communications. Document analysis was guided by established methods for using documents as primary qualitative data, especially when combining multiple document types to enhance credibility (Bowen, 2009)</w:t>
      </w:r>
      <w:r w:rsidR="0046623F">
        <w:rPr>
          <w:rFonts w:ascii="Arial" w:hAnsi="Arial" w:cs="Arial"/>
          <w:color w:val="000000"/>
          <w:sz w:val="20"/>
          <w:szCs w:val="20"/>
        </w:rPr>
        <w:t>.</w:t>
      </w:r>
    </w:p>
    <w:p w14:paraId="78CE7298" w14:textId="77777777" w:rsidR="0046623F" w:rsidRDefault="0046623F" w:rsidP="0046623F">
      <w:pPr>
        <w:pStyle w:val="NormalWeb"/>
        <w:spacing w:before="0" w:beforeAutospacing="0" w:after="0" w:afterAutospacing="0"/>
      </w:pPr>
    </w:p>
    <w:p w14:paraId="0D2168B5" w14:textId="77777777" w:rsidR="0046623F" w:rsidRDefault="004F080F" w:rsidP="0046623F">
      <w:pPr>
        <w:pStyle w:val="Heading2"/>
        <w:spacing w:before="0"/>
        <w:rPr>
          <w:rFonts w:ascii="Arial" w:hAnsi="Arial" w:cs="Arial"/>
          <w:b/>
          <w:bCs/>
          <w:color w:val="000000"/>
          <w:sz w:val="22"/>
          <w:szCs w:val="22"/>
        </w:rPr>
      </w:pPr>
      <w:r w:rsidRPr="0046623F">
        <w:rPr>
          <w:rFonts w:ascii="Arial" w:hAnsi="Arial" w:cs="Arial"/>
          <w:b/>
          <w:bCs/>
          <w:color w:val="000000"/>
          <w:sz w:val="22"/>
          <w:szCs w:val="22"/>
        </w:rPr>
        <w:lastRenderedPageBreak/>
        <w:t>2.6 Regional Representation Criterion</w:t>
      </w:r>
    </w:p>
    <w:p w14:paraId="54BA234E" w14:textId="77777777" w:rsidR="0046623F" w:rsidRDefault="0046623F" w:rsidP="0046623F">
      <w:pPr>
        <w:pStyle w:val="Heading2"/>
        <w:spacing w:before="0"/>
        <w:rPr>
          <w:rFonts w:ascii="Arial" w:hAnsi="Arial" w:cs="Arial"/>
          <w:b/>
          <w:bCs/>
          <w:color w:val="000000"/>
          <w:sz w:val="22"/>
          <w:szCs w:val="22"/>
        </w:rPr>
      </w:pPr>
    </w:p>
    <w:p w14:paraId="3B737665" w14:textId="29FC7250" w:rsidR="004F080F" w:rsidRPr="0046623F" w:rsidRDefault="004F080F" w:rsidP="0046623F">
      <w:pPr>
        <w:pStyle w:val="Heading2"/>
        <w:spacing w:before="0"/>
        <w:rPr>
          <w:b/>
          <w:bCs/>
        </w:rPr>
      </w:pPr>
      <w:r>
        <w:rPr>
          <w:rFonts w:ascii="Arial" w:hAnsi="Arial" w:cs="Arial"/>
          <w:color w:val="000000"/>
          <w:sz w:val="20"/>
          <w:szCs w:val="20"/>
        </w:rPr>
        <w:t>Regional representation was deliberately chosen to improve the analysis in the benchmarking exercise. Universities from North America, Europe, and Asia-Pacific were included because these areas are important in global management education and have many FT-ranked and internationally accredited business schools (OECD, n.d.; UNESCO, 2023). These regions also set key standards that influence practices in governance, digital transformation, and quality assurance.</w:t>
      </w:r>
    </w:p>
    <w:p w14:paraId="15815D1C" w14:textId="6FB7715F" w:rsidR="002F5A9D" w:rsidRDefault="004F080F" w:rsidP="0046623F">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Including several regions lets the study look at how global institutional pressures, such as accreditation standards, ranking participation, and professional norms, appear in different settings (DiMaggio &amp; Powell, 1983). Regional representation was added to help with comparing institutions, not to make the sample statistically representative.</w:t>
      </w:r>
    </w:p>
    <w:p w14:paraId="30DBF533" w14:textId="77777777" w:rsidR="0046623F" w:rsidRDefault="0046623F" w:rsidP="0046623F">
      <w:pPr>
        <w:pStyle w:val="NormalWeb"/>
        <w:spacing w:before="0" w:beforeAutospacing="0" w:after="0" w:afterAutospacing="0"/>
        <w:rPr>
          <w:rFonts w:ascii="Arial" w:hAnsi="Arial" w:cs="Arial"/>
          <w:color w:val="000000"/>
          <w:sz w:val="20"/>
          <w:szCs w:val="20"/>
        </w:rPr>
      </w:pPr>
    </w:p>
    <w:p w14:paraId="7630E5A5" w14:textId="77777777" w:rsidR="0046623F" w:rsidRDefault="0046623F" w:rsidP="0046623F">
      <w:pPr>
        <w:pStyle w:val="Heading2"/>
        <w:spacing w:before="0"/>
        <w:rPr>
          <w:rFonts w:ascii="Arial" w:hAnsi="Arial" w:cs="Arial"/>
          <w:b/>
          <w:bCs/>
          <w:color w:val="000000"/>
          <w:sz w:val="22"/>
          <w:szCs w:val="22"/>
        </w:rPr>
      </w:pPr>
      <w:r w:rsidRPr="0046623F">
        <w:rPr>
          <w:rFonts w:ascii="Arial" w:hAnsi="Arial" w:cs="Arial"/>
          <w:b/>
          <w:bCs/>
          <w:color w:val="000000"/>
          <w:sz w:val="22"/>
          <w:szCs w:val="22"/>
        </w:rPr>
        <w:t>2.7 Rationale for the Number of Benchmark Universities</w:t>
      </w:r>
    </w:p>
    <w:p w14:paraId="6D090214" w14:textId="77777777" w:rsidR="0046623F" w:rsidRDefault="0046623F" w:rsidP="0046623F">
      <w:pPr>
        <w:pStyle w:val="Heading2"/>
        <w:spacing w:before="0"/>
        <w:rPr>
          <w:rFonts w:ascii="Arial" w:hAnsi="Arial" w:cs="Arial"/>
          <w:b/>
          <w:bCs/>
          <w:color w:val="000000"/>
          <w:sz w:val="22"/>
          <w:szCs w:val="22"/>
        </w:rPr>
      </w:pPr>
    </w:p>
    <w:p w14:paraId="282430BE" w14:textId="77777777" w:rsidR="0046623F" w:rsidRDefault="0046623F" w:rsidP="0046623F">
      <w:pPr>
        <w:pStyle w:val="Heading2"/>
        <w:spacing w:before="0"/>
        <w:rPr>
          <w:b/>
          <w:bCs/>
          <w:sz w:val="36"/>
          <w:szCs w:val="36"/>
        </w:rPr>
      </w:pPr>
      <w:r>
        <w:rPr>
          <w:rFonts w:ascii="Arial" w:hAnsi="Arial" w:cs="Arial"/>
          <w:color w:val="000000"/>
          <w:sz w:val="20"/>
          <w:szCs w:val="20"/>
        </w:rPr>
        <w:t>The study limited the number of global benchmark universities to four. This choice was based on qualitative research methods, which value in-depth analysis and understanding of context over having a large or statistically representative sample (Lim, 2025). Recent qualitative researchers recommend flexible, purpose-driven sampling, suggesting that sample size should depend on the study’s scope, the quality of information, and the research goals, not on strict numerical guidelines (</w:t>
      </w:r>
      <w:proofErr w:type="spellStart"/>
      <w:r>
        <w:rPr>
          <w:rFonts w:ascii="Arial" w:hAnsi="Arial" w:cs="Arial"/>
          <w:color w:val="000000"/>
          <w:sz w:val="20"/>
          <w:szCs w:val="20"/>
        </w:rPr>
        <w:t>Bouncken</w:t>
      </w:r>
      <w:proofErr w:type="spellEnd"/>
      <w:r>
        <w:rPr>
          <w:rFonts w:ascii="Arial" w:hAnsi="Arial" w:cs="Arial"/>
          <w:color w:val="000000"/>
          <w:sz w:val="20"/>
          <w:szCs w:val="20"/>
        </w:rPr>
        <w:t xml:space="preserve"> et al., 2025). By selecting a small group of benchmark institutions, the study can compare their strategies in detail and avoid making shallow comparisons.</w:t>
      </w:r>
    </w:p>
    <w:p w14:paraId="170DBCF6" w14:textId="77777777" w:rsidR="0046623F" w:rsidRPr="0046623F" w:rsidRDefault="0046623F" w:rsidP="0046623F">
      <w:pPr>
        <w:pStyle w:val="Heading2"/>
        <w:spacing w:before="0"/>
        <w:rPr>
          <w:rFonts w:ascii="Arial" w:hAnsi="Arial" w:cs="Arial"/>
          <w:b/>
          <w:bCs/>
          <w:sz w:val="20"/>
          <w:szCs w:val="20"/>
        </w:rPr>
      </w:pPr>
    </w:p>
    <w:p w14:paraId="15B61A3C" w14:textId="77777777" w:rsidR="0046623F" w:rsidRDefault="0046623F" w:rsidP="0046623F">
      <w:pPr>
        <w:pStyle w:val="Heading2"/>
        <w:spacing w:before="0"/>
        <w:rPr>
          <w:rFonts w:ascii="Arial" w:hAnsi="Arial" w:cs="Arial"/>
          <w:b/>
          <w:bCs/>
          <w:color w:val="000000"/>
          <w:sz w:val="22"/>
          <w:szCs w:val="22"/>
        </w:rPr>
      </w:pPr>
      <w:r w:rsidRPr="0046623F">
        <w:rPr>
          <w:rFonts w:ascii="Arial" w:hAnsi="Arial" w:cs="Arial"/>
          <w:b/>
          <w:bCs/>
          <w:color w:val="000000"/>
          <w:sz w:val="22"/>
          <w:szCs w:val="22"/>
        </w:rPr>
        <w:t>2.8 Final Selection of Benchmark Universities</w:t>
      </w:r>
    </w:p>
    <w:p w14:paraId="4B7CD203" w14:textId="77777777" w:rsidR="0046623F" w:rsidRDefault="0046623F" w:rsidP="0046623F">
      <w:pPr>
        <w:pStyle w:val="Heading2"/>
        <w:spacing w:before="0"/>
        <w:rPr>
          <w:rFonts w:ascii="Arial" w:hAnsi="Arial" w:cs="Arial"/>
          <w:b/>
          <w:bCs/>
          <w:color w:val="000000"/>
          <w:sz w:val="22"/>
          <w:szCs w:val="22"/>
        </w:rPr>
      </w:pPr>
    </w:p>
    <w:p w14:paraId="7926B74C" w14:textId="55683156" w:rsidR="00095000" w:rsidRDefault="0046623F" w:rsidP="00095000">
      <w:pPr>
        <w:pStyle w:val="Heading2"/>
        <w:spacing w:before="0"/>
        <w:rPr>
          <w:rFonts w:ascii="Arial" w:hAnsi="Arial" w:cs="Arial"/>
          <w:color w:val="000000"/>
          <w:sz w:val="20"/>
          <w:szCs w:val="20"/>
        </w:rPr>
      </w:pPr>
      <w:r>
        <w:rPr>
          <w:rFonts w:ascii="Arial" w:hAnsi="Arial" w:cs="Arial"/>
          <w:color w:val="000000"/>
          <w:sz w:val="20"/>
          <w:szCs w:val="20"/>
        </w:rPr>
        <w:t>After applying all the inclusion criteria, four global benchmark universities were selected along with the Philippine case institution. These universities come from different regions and meet both FT ranking and accreditation standard</w:t>
      </w:r>
      <w:r w:rsidR="00095000">
        <w:rPr>
          <w:rFonts w:ascii="Arial" w:hAnsi="Arial" w:cs="Arial"/>
          <w:color w:val="000000"/>
          <w:sz w:val="20"/>
          <w:szCs w:val="20"/>
        </w:rPr>
        <w:t>s.</w:t>
      </w:r>
    </w:p>
    <w:p w14:paraId="07D9E6DC" w14:textId="77777777" w:rsidR="00095000" w:rsidRDefault="00095000" w:rsidP="00095000">
      <w:pPr>
        <w:rPr>
          <w:lang w:val="en-US"/>
        </w:rPr>
      </w:pPr>
    </w:p>
    <w:p w14:paraId="7786F908" w14:textId="5DE78A88" w:rsidR="00095000" w:rsidRPr="00095000" w:rsidRDefault="00095000" w:rsidP="00095000">
      <w:pPr>
        <w:jc w:val="center"/>
        <w:rPr>
          <w:rFonts w:ascii="Arial" w:hAnsi="Arial" w:cs="Arial"/>
          <w:sz w:val="20"/>
          <w:szCs w:val="20"/>
          <w:lang w:val="en-US"/>
        </w:rPr>
      </w:pPr>
      <w:r>
        <w:rPr>
          <w:rFonts w:ascii="Arial" w:hAnsi="Arial" w:cs="Arial"/>
          <w:b/>
          <w:bCs/>
          <w:color w:val="000000"/>
          <w:sz w:val="20"/>
          <w:szCs w:val="20"/>
        </w:rPr>
        <w:t>Table 1. Final Selection of Benchmark Universities</w:t>
      </w:r>
    </w:p>
    <w:p w14:paraId="7447160F" w14:textId="77777777" w:rsidR="0046623F" w:rsidRDefault="0046623F" w:rsidP="0046623F"/>
    <w:tbl>
      <w:tblPr>
        <w:tblW w:w="8208" w:type="dxa"/>
        <w:jc w:val="center"/>
        <w:tblBorders>
          <w:top w:val="single" w:sz="4" w:space="0" w:color="auto"/>
          <w:bottom w:val="single" w:sz="4" w:space="0" w:color="auto"/>
        </w:tblBorders>
        <w:tblLook w:val="01E0" w:firstRow="1" w:lastRow="1" w:firstColumn="1" w:lastColumn="1" w:noHBand="0" w:noVBand="0"/>
      </w:tblPr>
      <w:tblGrid>
        <w:gridCol w:w="2087"/>
        <w:gridCol w:w="1128"/>
        <w:gridCol w:w="1555"/>
        <w:gridCol w:w="1440"/>
        <w:gridCol w:w="1998"/>
      </w:tblGrid>
      <w:tr w:rsidR="00095000" w:rsidRPr="00BE2238" w14:paraId="052F9ADB" w14:textId="05DE140C" w:rsidTr="00095000">
        <w:trPr>
          <w:jc w:val="center"/>
        </w:trPr>
        <w:tc>
          <w:tcPr>
            <w:tcW w:w="2087" w:type="dxa"/>
            <w:tcBorders>
              <w:top w:val="single" w:sz="4" w:space="0" w:color="auto"/>
              <w:bottom w:val="single" w:sz="4" w:space="0" w:color="auto"/>
            </w:tcBorders>
            <w:vAlign w:val="center"/>
          </w:tcPr>
          <w:p w14:paraId="7C21693D" w14:textId="29C465E6" w:rsidR="00095000" w:rsidRPr="00BE2238" w:rsidRDefault="00095000" w:rsidP="00095000">
            <w:pPr>
              <w:jc w:val="both"/>
              <w:rPr>
                <w:rFonts w:ascii="Arial" w:hAnsi="Arial"/>
                <w:b/>
                <w:bCs/>
                <w:sz w:val="20"/>
                <w:szCs w:val="20"/>
              </w:rPr>
            </w:pPr>
            <w:r>
              <w:rPr>
                <w:rFonts w:ascii="Arial" w:hAnsi="Arial" w:cs="Arial"/>
                <w:b/>
                <w:bCs/>
                <w:color w:val="000000"/>
                <w:sz w:val="20"/>
                <w:szCs w:val="20"/>
              </w:rPr>
              <w:t>University</w:t>
            </w:r>
          </w:p>
        </w:tc>
        <w:tc>
          <w:tcPr>
            <w:tcW w:w="1128" w:type="dxa"/>
            <w:tcBorders>
              <w:top w:val="single" w:sz="4" w:space="0" w:color="auto"/>
              <w:bottom w:val="single" w:sz="4" w:space="0" w:color="auto"/>
            </w:tcBorders>
            <w:vAlign w:val="center"/>
          </w:tcPr>
          <w:p w14:paraId="28CF3F06" w14:textId="2076D9E6" w:rsidR="00095000" w:rsidRPr="00BE2238" w:rsidRDefault="00095000" w:rsidP="00095000">
            <w:pPr>
              <w:jc w:val="both"/>
              <w:rPr>
                <w:rFonts w:ascii="Arial" w:hAnsi="Arial"/>
                <w:b/>
                <w:bCs/>
                <w:sz w:val="20"/>
                <w:szCs w:val="20"/>
              </w:rPr>
            </w:pPr>
            <w:r>
              <w:rPr>
                <w:rFonts w:ascii="Arial" w:hAnsi="Arial" w:cs="Arial"/>
                <w:b/>
                <w:bCs/>
                <w:color w:val="000000"/>
                <w:sz w:val="20"/>
                <w:szCs w:val="20"/>
              </w:rPr>
              <w:t>Country</w:t>
            </w:r>
          </w:p>
        </w:tc>
        <w:tc>
          <w:tcPr>
            <w:tcW w:w="1555" w:type="dxa"/>
            <w:tcBorders>
              <w:top w:val="single" w:sz="4" w:space="0" w:color="auto"/>
              <w:bottom w:val="single" w:sz="4" w:space="0" w:color="auto"/>
            </w:tcBorders>
            <w:vAlign w:val="center"/>
          </w:tcPr>
          <w:p w14:paraId="31B19861" w14:textId="1E8DDF47" w:rsidR="00095000" w:rsidRPr="00BE2238" w:rsidRDefault="00095000" w:rsidP="00095000">
            <w:pPr>
              <w:jc w:val="both"/>
              <w:rPr>
                <w:rFonts w:ascii="Arial" w:hAnsi="Arial"/>
                <w:b/>
                <w:bCs/>
                <w:sz w:val="20"/>
                <w:szCs w:val="20"/>
              </w:rPr>
            </w:pPr>
            <w:r>
              <w:rPr>
                <w:rFonts w:ascii="Arial" w:hAnsi="Arial" w:cs="Arial"/>
                <w:b/>
                <w:bCs/>
                <w:color w:val="000000"/>
                <w:sz w:val="20"/>
                <w:szCs w:val="20"/>
              </w:rPr>
              <w:t>Region</w:t>
            </w:r>
          </w:p>
        </w:tc>
        <w:tc>
          <w:tcPr>
            <w:tcW w:w="1440" w:type="dxa"/>
            <w:tcBorders>
              <w:top w:val="single" w:sz="4" w:space="0" w:color="auto"/>
              <w:bottom w:val="single" w:sz="4" w:space="0" w:color="auto"/>
            </w:tcBorders>
            <w:vAlign w:val="center"/>
          </w:tcPr>
          <w:p w14:paraId="47A200E9" w14:textId="43BB70AC" w:rsidR="00095000" w:rsidRPr="00BE2238" w:rsidRDefault="00095000" w:rsidP="00095000">
            <w:pPr>
              <w:rPr>
                <w:rFonts w:ascii="Arial" w:hAnsi="Arial"/>
                <w:b/>
                <w:bCs/>
                <w:sz w:val="20"/>
                <w:szCs w:val="20"/>
              </w:rPr>
            </w:pPr>
            <w:r>
              <w:rPr>
                <w:rFonts w:ascii="Arial" w:hAnsi="Arial" w:cs="Arial"/>
                <w:b/>
                <w:bCs/>
                <w:color w:val="000000"/>
                <w:sz w:val="20"/>
                <w:szCs w:val="20"/>
              </w:rPr>
              <w:t>FT Rank</w:t>
            </w:r>
          </w:p>
        </w:tc>
        <w:tc>
          <w:tcPr>
            <w:tcW w:w="1998" w:type="dxa"/>
            <w:tcBorders>
              <w:top w:val="single" w:sz="4" w:space="0" w:color="auto"/>
              <w:bottom w:val="single" w:sz="4" w:space="0" w:color="auto"/>
            </w:tcBorders>
            <w:vAlign w:val="center"/>
          </w:tcPr>
          <w:p w14:paraId="33B3B91F" w14:textId="08DE5413" w:rsidR="00095000" w:rsidRPr="00BE2238" w:rsidRDefault="00095000" w:rsidP="00095000">
            <w:pPr>
              <w:jc w:val="both"/>
              <w:rPr>
                <w:rFonts w:ascii="Arial" w:hAnsi="Arial"/>
                <w:b/>
                <w:bCs/>
                <w:sz w:val="20"/>
                <w:szCs w:val="20"/>
              </w:rPr>
            </w:pPr>
            <w:r>
              <w:rPr>
                <w:rFonts w:ascii="Arial" w:hAnsi="Arial" w:cs="Arial"/>
                <w:b/>
                <w:bCs/>
                <w:color w:val="000000"/>
                <w:sz w:val="20"/>
                <w:szCs w:val="20"/>
              </w:rPr>
              <w:t>Accreditation</w:t>
            </w:r>
          </w:p>
        </w:tc>
      </w:tr>
      <w:tr w:rsidR="00095000" w:rsidRPr="00BE2238" w14:paraId="05EA40EA" w14:textId="10D1ACE9" w:rsidTr="00095000">
        <w:trPr>
          <w:trHeight w:val="773"/>
          <w:jc w:val="center"/>
        </w:trPr>
        <w:tc>
          <w:tcPr>
            <w:tcW w:w="2087" w:type="dxa"/>
            <w:tcBorders>
              <w:top w:val="single" w:sz="4" w:space="0" w:color="auto"/>
              <w:bottom w:val="single" w:sz="4" w:space="0" w:color="auto"/>
            </w:tcBorders>
            <w:vAlign w:val="center"/>
          </w:tcPr>
          <w:p w14:paraId="42B66DCD" w14:textId="08658E5B" w:rsidR="00095000" w:rsidRPr="00BE2238" w:rsidRDefault="00095000" w:rsidP="00095000">
            <w:pPr>
              <w:rPr>
                <w:rFonts w:ascii="Arial" w:hAnsi="Arial"/>
                <w:b/>
                <w:bCs/>
                <w:sz w:val="20"/>
                <w:szCs w:val="20"/>
              </w:rPr>
            </w:pPr>
            <w:r>
              <w:rPr>
                <w:rFonts w:ascii="Arial" w:hAnsi="Arial" w:cs="Arial"/>
                <w:color w:val="000000"/>
                <w:sz w:val="20"/>
                <w:szCs w:val="20"/>
              </w:rPr>
              <w:t>INSEAD</w:t>
            </w:r>
          </w:p>
        </w:tc>
        <w:tc>
          <w:tcPr>
            <w:tcW w:w="1128" w:type="dxa"/>
            <w:tcBorders>
              <w:top w:val="single" w:sz="4" w:space="0" w:color="auto"/>
              <w:bottom w:val="single" w:sz="4" w:space="0" w:color="auto"/>
            </w:tcBorders>
            <w:vAlign w:val="center"/>
          </w:tcPr>
          <w:p w14:paraId="68B17AAF" w14:textId="27E21A30" w:rsidR="00095000" w:rsidRPr="00BE2238" w:rsidRDefault="00095000" w:rsidP="00095000">
            <w:pPr>
              <w:rPr>
                <w:rFonts w:ascii="Arial" w:hAnsi="Arial"/>
                <w:b/>
                <w:bCs/>
                <w:sz w:val="20"/>
                <w:szCs w:val="20"/>
              </w:rPr>
            </w:pPr>
            <w:r>
              <w:rPr>
                <w:rFonts w:ascii="Arial" w:hAnsi="Arial" w:cs="Arial"/>
                <w:color w:val="000000"/>
                <w:sz w:val="20"/>
                <w:szCs w:val="20"/>
              </w:rPr>
              <w:t>France / Singapore</w:t>
            </w:r>
          </w:p>
        </w:tc>
        <w:tc>
          <w:tcPr>
            <w:tcW w:w="1555" w:type="dxa"/>
            <w:tcBorders>
              <w:top w:val="single" w:sz="4" w:space="0" w:color="auto"/>
              <w:bottom w:val="single" w:sz="4" w:space="0" w:color="auto"/>
            </w:tcBorders>
            <w:vAlign w:val="center"/>
          </w:tcPr>
          <w:p w14:paraId="7BBC67E2" w14:textId="281358F0" w:rsidR="00095000" w:rsidRPr="00BE2238" w:rsidRDefault="00095000" w:rsidP="00095000">
            <w:pPr>
              <w:rPr>
                <w:rFonts w:ascii="Arial" w:hAnsi="Arial"/>
                <w:b/>
                <w:bCs/>
                <w:sz w:val="20"/>
                <w:szCs w:val="20"/>
              </w:rPr>
            </w:pPr>
            <w:r>
              <w:rPr>
                <w:rFonts w:ascii="Arial" w:hAnsi="Arial" w:cs="Arial"/>
                <w:color w:val="000000"/>
                <w:sz w:val="20"/>
                <w:szCs w:val="20"/>
              </w:rPr>
              <w:t>Europe / Asia-Pacific</w:t>
            </w:r>
          </w:p>
        </w:tc>
        <w:tc>
          <w:tcPr>
            <w:tcW w:w="1440" w:type="dxa"/>
            <w:tcBorders>
              <w:top w:val="single" w:sz="4" w:space="0" w:color="auto"/>
              <w:bottom w:val="single" w:sz="4" w:space="0" w:color="auto"/>
            </w:tcBorders>
            <w:vAlign w:val="center"/>
          </w:tcPr>
          <w:p w14:paraId="685C7664" w14:textId="0947BD31" w:rsidR="00095000" w:rsidRPr="00BE2238" w:rsidRDefault="00095000" w:rsidP="00095000">
            <w:pPr>
              <w:rPr>
                <w:rFonts w:ascii="Arial" w:hAnsi="Arial" w:cs="Arial"/>
                <w:sz w:val="20"/>
                <w:szCs w:val="20"/>
              </w:rPr>
            </w:pPr>
            <w:r>
              <w:rPr>
                <w:rFonts w:ascii="Arial" w:hAnsi="Arial" w:cs="Arial"/>
                <w:color w:val="000000"/>
                <w:sz w:val="20"/>
                <w:szCs w:val="20"/>
              </w:rPr>
              <w:t>FT-ranked</w:t>
            </w:r>
          </w:p>
        </w:tc>
        <w:tc>
          <w:tcPr>
            <w:tcW w:w="1998" w:type="dxa"/>
            <w:tcBorders>
              <w:top w:val="single" w:sz="4" w:space="0" w:color="auto"/>
              <w:bottom w:val="single" w:sz="4" w:space="0" w:color="auto"/>
            </w:tcBorders>
            <w:vAlign w:val="center"/>
          </w:tcPr>
          <w:p w14:paraId="56E32788" w14:textId="2031B7A7" w:rsidR="00095000" w:rsidRPr="00BE2238" w:rsidRDefault="00095000" w:rsidP="00095000">
            <w:pPr>
              <w:rPr>
                <w:rFonts w:ascii="Arial" w:hAnsi="Arial" w:cs="Arial"/>
                <w:sz w:val="20"/>
                <w:szCs w:val="20"/>
              </w:rPr>
            </w:pPr>
            <w:r>
              <w:rPr>
                <w:rFonts w:ascii="Arial" w:hAnsi="Arial" w:cs="Arial"/>
                <w:color w:val="000000"/>
                <w:sz w:val="20"/>
                <w:szCs w:val="20"/>
              </w:rPr>
              <w:t>AACSB, EQUIS</w:t>
            </w:r>
          </w:p>
        </w:tc>
      </w:tr>
      <w:tr w:rsidR="00095000" w:rsidRPr="00BE2238" w14:paraId="6B66A969" w14:textId="637071C8" w:rsidTr="00095000">
        <w:trPr>
          <w:jc w:val="center"/>
        </w:trPr>
        <w:tc>
          <w:tcPr>
            <w:tcW w:w="2087" w:type="dxa"/>
            <w:tcBorders>
              <w:top w:val="single" w:sz="4" w:space="0" w:color="auto"/>
              <w:bottom w:val="single" w:sz="4" w:space="0" w:color="auto"/>
            </w:tcBorders>
            <w:vAlign w:val="center"/>
          </w:tcPr>
          <w:p w14:paraId="0D32ED4F" w14:textId="2E5F33A6" w:rsidR="00095000" w:rsidRPr="00BE2238" w:rsidRDefault="00095000" w:rsidP="00095000">
            <w:pPr>
              <w:rPr>
                <w:rFonts w:ascii="Arial" w:hAnsi="Arial" w:cs="Arial"/>
                <w:sz w:val="20"/>
                <w:szCs w:val="20"/>
              </w:rPr>
            </w:pPr>
            <w:r>
              <w:rPr>
                <w:rFonts w:ascii="Arial" w:hAnsi="Arial" w:cs="Arial"/>
                <w:color w:val="000000"/>
                <w:sz w:val="20"/>
                <w:szCs w:val="20"/>
              </w:rPr>
              <w:t>London Business School</w:t>
            </w:r>
          </w:p>
        </w:tc>
        <w:tc>
          <w:tcPr>
            <w:tcW w:w="1128" w:type="dxa"/>
            <w:tcBorders>
              <w:top w:val="single" w:sz="4" w:space="0" w:color="auto"/>
              <w:bottom w:val="single" w:sz="4" w:space="0" w:color="auto"/>
            </w:tcBorders>
            <w:vAlign w:val="center"/>
          </w:tcPr>
          <w:p w14:paraId="75C6A053" w14:textId="154D20B4" w:rsidR="00095000" w:rsidRPr="00BE2238" w:rsidRDefault="00095000" w:rsidP="00095000">
            <w:pPr>
              <w:rPr>
                <w:rFonts w:ascii="Arial" w:hAnsi="Arial" w:cs="Arial"/>
                <w:sz w:val="20"/>
                <w:szCs w:val="20"/>
              </w:rPr>
            </w:pPr>
            <w:r>
              <w:rPr>
                <w:rFonts w:ascii="Arial" w:hAnsi="Arial" w:cs="Arial"/>
                <w:color w:val="000000"/>
                <w:sz w:val="20"/>
                <w:szCs w:val="20"/>
              </w:rPr>
              <w:t>United Kingdom</w:t>
            </w:r>
          </w:p>
        </w:tc>
        <w:tc>
          <w:tcPr>
            <w:tcW w:w="1555" w:type="dxa"/>
            <w:tcBorders>
              <w:top w:val="single" w:sz="4" w:space="0" w:color="auto"/>
              <w:bottom w:val="single" w:sz="4" w:space="0" w:color="auto"/>
            </w:tcBorders>
            <w:vAlign w:val="center"/>
          </w:tcPr>
          <w:p w14:paraId="6F4CABC5" w14:textId="4AEC521C" w:rsidR="00095000" w:rsidRPr="00BE2238" w:rsidRDefault="00095000" w:rsidP="00095000">
            <w:pPr>
              <w:rPr>
                <w:rFonts w:ascii="Arial" w:hAnsi="Arial"/>
                <w:sz w:val="20"/>
                <w:szCs w:val="20"/>
              </w:rPr>
            </w:pPr>
            <w:r>
              <w:rPr>
                <w:rFonts w:ascii="Arial" w:hAnsi="Arial" w:cs="Arial"/>
                <w:color w:val="000000"/>
                <w:sz w:val="20"/>
                <w:szCs w:val="20"/>
              </w:rPr>
              <w:t>Europe</w:t>
            </w:r>
          </w:p>
        </w:tc>
        <w:tc>
          <w:tcPr>
            <w:tcW w:w="1440" w:type="dxa"/>
            <w:tcBorders>
              <w:top w:val="single" w:sz="4" w:space="0" w:color="auto"/>
              <w:bottom w:val="single" w:sz="4" w:space="0" w:color="auto"/>
            </w:tcBorders>
            <w:vAlign w:val="center"/>
          </w:tcPr>
          <w:p w14:paraId="5947E6A1" w14:textId="6716E944" w:rsidR="00095000" w:rsidRPr="00BE2238" w:rsidRDefault="00095000" w:rsidP="00095000">
            <w:pPr>
              <w:rPr>
                <w:rFonts w:ascii="Arial" w:hAnsi="Arial" w:cs="Arial"/>
                <w:sz w:val="20"/>
                <w:szCs w:val="20"/>
              </w:rPr>
            </w:pPr>
            <w:r>
              <w:rPr>
                <w:rFonts w:ascii="Arial" w:hAnsi="Arial" w:cs="Arial"/>
                <w:color w:val="000000"/>
                <w:sz w:val="20"/>
                <w:szCs w:val="20"/>
              </w:rPr>
              <w:t>FT-ranked</w:t>
            </w:r>
          </w:p>
        </w:tc>
        <w:tc>
          <w:tcPr>
            <w:tcW w:w="1998" w:type="dxa"/>
            <w:tcBorders>
              <w:top w:val="single" w:sz="4" w:space="0" w:color="auto"/>
              <w:bottom w:val="single" w:sz="4" w:space="0" w:color="auto"/>
            </w:tcBorders>
            <w:vAlign w:val="center"/>
          </w:tcPr>
          <w:p w14:paraId="6BC9FCA4" w14:textId="74FFC186" w:rsidR="00095000" w:rsidRPr="00BE2238" w:rsidRDefault="00095000" w:rsidP="00095000">
            <w:pPr>
              <w:rPr>
                <w:rFonts w:ascii="Arial" w:hAnsi="Arial" w:cs="Arial"/>
                <w:sz w:val="20"/>
                <w:szCs w:val="20"/>
              </w:rPr>
            </w:pPr>
            <w:r>
              <w:rPr>
                <w:rFonts w:ascii="Arial" w:hAnsi="Arial" w:cs="Arial"/>
                <w:color w:val="000000"/>
                <w:sz w:val="20"/>
                <w:szCs w:val="20"/>
              </w:rPr>
              <w:t>AACSB, EQUIS</w:t>
            </w:r>
          </w:p>
        </w:tc>
      </w:tr>
      <w:tr w:rsidR="00095000" w:rsidRPr="00BE2238" w14:paraId="29EFF8FE" w14:textId="77777777" w:rsidTr="00095000">
        <w:trPr>
          <w:jc w:val="center"/>
        </w:trPr>
        <w:tc>
          <w:tcPr>
            <w:tcW w:w="2087" w:type="dxa"/>
            <w:tcBorders>
              <w:top w:val="single" w:sz="4" w:space="0" w:color="auto"/>
              <w:bottom w:val="single" w:sz="4" w:space="0" w:color="auto"/>
            </w:tcBorders>
            <w:vAlign w:val="center"/>
          </w:tcPr>
          <w:p w14:paraId="6F8B5643" w14:textId="12B01A22" w:rsidR="00095000" w:rsidRPr="00BE2238" w:rsidRDefault="00095000" w:rsidP="00095000">
            <w:pPr>
              <w:rPr>
                <w:rFonts w:ascii="Arial" w:hAnsi="Arial" w:cs="Arial"/>
                <w:sz w:val="20"/>
                <w:szCs w:val="20"/>
              </w:rPr>
            </w:pPr>
            <w:r>
              <w:rPr>
                <w:rFonts w:ascii="Arial" w:hAnsi="Arial" w:cs="Arial"/>
                <w:color w:val="000000"/>
                <w:sz w:val="20"/>
                <w:szCs w:val="20"/>
              </w:rPr>
              <w:t>Wharton School, University of Pennsylvania</w:t>
            </w:r>
          </w:p>
        </w:tc>
        <w:tc>
          <w:tcPr>
            <w:tcW w:w="1128" w:type="dxa"/>
            <w:tcBorders>
              <w:top w:val="single" w:sz="4" w:space="0" w:color="auto"/>
              <w:bottom w:val="single" w:sz="4" w:space="0" w:color="auto"/>
            </w:tcBorders>
            <w:vAlign w:val="center"/>
          </w:tcPr>
          <w:p w14:paraId="4F793150" w14:textId="08E745C6" w:rsidR="00095000" w:rsidRPr="00BE2238" w:rsidRDefault="00095000" w:rsidP="00095000">
            <w:pPr>
              <w:rPr>
                <w:rFonts w:ascii="Arial" w:hAnsi="Arial" w:cs="Arial"/>
                <w:sz w:val="20"/>
                <w:szCs w:val="20"/>
              </w:rPr>
            </w:pPr>
            <w:r>
              <w:rPr>
                <w:rFonts w:ascii="Arial" w:hAnsi="Arial" w:cs="Arial"/>
                <w:color w:val="000000"/>
                <w:sz w:val="20"/>
                <w:szCs w:val="20"/>
              </w:rPr>
              <w:t>United States</w:t>
            </w:r>
          </w:p>
        </w:tc>
        <w:tc>
          <w:tcPr>
            <w:tcW w:w="1555" w:type="dxa"/>
            <w:tcBorders>
              <w:top w:val="single" w:sz="4" w:space="0" w:color="auto"/>
              <w:bottom w:val="single" w:sz="4" w:space="0" w:color="auto"/>
            </w:tcBorders>
            <w:vAlign w:val="center"/>
          </w:tcPr>
          <w:p w14:paraId="7765B655" w14:textId="2B6C71FB" w:rsidR="00095000" w:rsidRPr="00BE2238" w:rsidRDefault="00095000" w:rsidP="00095000">
            <w:pPr>
              <w:rPr>
                <w:rFonts w:ascii="Arial" w:hAnsi="Arial"/>
                <w:sz w:val="20"/>
                <w:szCs w:val="20"/>
              </w:rPr>
            </w:pPr>
            <w:r>
              <w:rPr>
                <w:rFonts w:ascii="Arial" w:hAnsi="Arial" w:cs="Arial"/>
                <w:color w:val="000000"/>
                <w:sz w:val="20"/>
                <w:szCs w:val="20"/>
              </w:rPr>
              <w:t>North America</w:t>
            </w:r>
          </w:p>
        </w:tc>
        <w:tc>
          <w:tcPr>
            <w:tcW w:w="1440" w:type="dxa"/>
            <w:tcBorders>
              <w:top w:val="single" w:sz="4" w:space="0" w:color="auto"/>
              <w:bottom w:val="single" w:sz="4" w:space="0" w:color="auto"/>
            </w:tcBorders>
            <w:vAlign w:val="center"/>
          </w:tcPr>
          <w:p w14:paraId="1410C6C7" w14:textId="7A5D74BC" w:rsidR="00095000" w:rsidRPr="00BE2238" w:rsidRDefault="00095000" w:rsidP="00095000">
            <w:pPr>
              <w:rPr>
                <w:rFonts w:ascii="Arial" w:hAnsi="Arial" w:cs="Arial"/>
                <w:sz w:val="20"/>
                <w:szCs w:val="20"/>
              </w:rPr>
            </w:pPr>
            <w:r>
              <w:rPr>
                <w:rFonts w:ascii="Arial" w:hAnsi="Arial" w:cs="Arial"/>
                <w:color w:val="000000"/>
                <w:sz w:val="20"/>
                <w:szCs w:val="20"/>
              </w:rPr>
              <w:t>FT-ranked</w:t>
            </w:r>
          </w:p>
        </w:tc>
        <w:tc>
          <w:tcPr>
            <w:tcW w:w="1998" w:type="dxa"/>
            <w:tcBorders>
              <w:top w:val="single" w:sz="4" w:space="0" w:color="auto"/>
              <w:bottom w:val="single" w:sz="4" w:space="0" w:color="auto"/>
            </w:tcBorders>
            <w:vAlign w:val="center"/>
          </w:tcPr>
          <w:p w14:paraId="62A68959" w14:textId="3306560C" w:rsidR="00095000" w:rsidRPr="00BE2238" w:rsidRDefault="00095000" w:rsidP="00095000">
            <w:pPr>
              <w:rPr>
                <w:rFonts w:ascii="Arial" w:hAnsi="Arial" w:cs="Arial"/>
                <w:sz w:val="20"/>
                <w:szCs w:val="20"/>
              </w:rPr>
            </w:pPr>
            <w:r>
              <w:rPr>
                <w:rFonts w:ascii="Arial" w:hAnsi="Arial" w:cs="Arial"/>
                <w:color w:val="000000"/>
                <w:sz w:val="20"/>
                <w:szCs w:val="20"/>
              </w:rPr>
              <w:t>AACSB</w:t>
            </w:r>
          </w:p>
        </w:tc>
      </w:tr>
      <w:tr w:rsidR="00095000" w:rsidRPr="00BE2238" w14:paraId="3074016C" w14:textId="77777777" w:rsidTr="00095000">
        <w:trPr>
          <w:jc w:val="center"/>
        </w:trPr>
        <w:tc>
          <w:tcPr>
            <w:tcW w:w="2087" w:type="dxa"/>
            <w:tcBorders>
              <w:top w:val="single" w:sz="4" w:space="0" w:color="auto"/>
            </w:tcBorders>
            <w:vAlign w:val="center"/>
          </w:tcPr>
          <w:p w14:paraId="7630040F" w14:textId="321741E4" w:rsidR="00095000" w:rsidRPr="00BE2238" w:rsidRDefault="00095000" w:rsidP="00095000">
            <w:pPr>
              <w:rPr>
                <w:rFonts w:ascii="Arial" w:hAnsi="Arial" w:cs="Arial"/>
                <w:sz w:val="20"/>
                <w:szCs w:val="20"/>
              </w:rPr>
            </w:pPr>
            <w:r>
              <w:rPr>
                <w:rFonts w:ascii="Arial" w:hAnsi="Arial" w:cs="Arial"/>
                <w:color w:val="000000"/>
                <w:sz w:val="20"/>
                <w:szCs w:val="20"/>
              </w:rPr>
              <w:t>NUS Business School</w:t>
            </w:r>
          </w:p>
        </w:tc>
        <w:tc>
          <w:tcPr>
            <w:tcW w:w="1128" w:type="dxa"/>
            <w:tcBorders>
              <w:top w:val="single" w:sz="4" w:space="0" w:color="auto"/>
            </w:tcBorders>
            <w:vAlign w:val="center"/>
          </w:tcPr>
          <w:p w14:paraId="2B18A0D9" w14:textId="4147966E" w:rsidR="00095000" w:rsidRPr="00BE2238" w:rsidRDefault="00095000" w:rsidP="00095000">
            <w:pPr>
              <w:rPr>
                <w:rFonts w:ascii="Arial" w:hAnsi="Arial" w:cs="Arial"/>
                <w:sz w:val="20"/>
                <w:szCs w:val="20"/>
              </w:rPr>
            </w:pPr>
            <w:r>
              <w:rPr>
                <w:rFonts w:ascii="Arial" w:hAnsi="Arial" w:cs="Arial"/>
                <w:color w:val="000000"/>
                <w:sz w:val="20"/>
                <w:szCs w:val="20"/>
              </w:rPr>
              <w:t>Singapore</w:t>
            </w:r>
          </w:p>
        </w:tc>
        <w:tc>
          <w:tcPr>
            <w:tcW w:w="1555" w:type="dxa"/>
            <w:tcBorders>
              <w:top w:val="single" w:sz="4" w:space="0" w:color="auto"/>
            </w:tcBorders>
            <w:vAlign w:val="center"/>
          </w:tcPr>
          <w:p w14:paraId="6ADF5FCC" w14:textId="7262C230" w:rsidR="00095000" w:rsidRPr="00BE2238" w:rsidRDefault="00095000" w:rsidP="00095000">
            <w:pPr>
              <w:rPr>
                <w:rFonts w:ascii="Arial" w:hAnsi="Arial"/>
                <w:sz w:val="20"/>
                <w:szCs w:val="20"/>
              </w:rPr>
            </w:pPr>
            <w:r>
              <w:rPr>
                <w:rFonts w:ascii="Arial" w:hAnsi="Arial" w:cs="Arial"/>
                <w:color w:val="000000"/>
                <w:sz w:val="20"/>
                <w:szCs w:val="20"/>
              </w:rPr>
              <w:t>Asia-Pacific</w:t>
            </w:r>
          </w:p>
        </w:tc>
        <w:tc>
          <w:tcPr>
            <w:tcW w:w="1440" w:type="dxa"/>
            <w:tcBorders>
              <w:top w:val="single" w:sz="4" w:space="0" w:color="auto"/>
            </w:tcBorders>
            <w:vAlign w:val="center"/>
          </w:tcPr>
          <w:p w14:paraId="166B1371" w14:textId="51C0AF89" w:rsidR="00095000" w:rsidRPr="00BE2238" w:rsidRDefault="00095000" w:rsidP="00095000">
            <w:pPr>
              <w:rPr>
                <w:rFonts w:ascii="Arial" w:hAnsi="Arial" w:cs="Arial"/>
                <w:sz w:val="20"/>
                <w:szCs w:val="20"/>
              </w:rPr>
            </w:pPr>
            <w:r>
              <w:rPr>
                <w:rFonts w:ascii="Arial" w:hAnsi="Arial" w:cs="Arial"/>
                <w:color w:val="000000"/>
                <w:sz w:val="20"/>
                <w:szCs w:val="20"/>
              </w:rPr>
              <w:t>FT-ranked</w:t>
            </w:r>
          </w:p>
        </w:tc>
        <w:tc>
          <w:tcPr>
            <w:tcW w:w="1998" w:type="dxa"/>
            <w:tcBorders>
              <w:top w:val="single" w:sz="4" w:space="0" w:color="auto"/>
            </w:tcBorders>
            <w:vAlign w:val="center"/>
          </w:tcPr>
          <w:p w14:paraId="24D592F8" w14:textId="18004E89" w:rsidR="00095000" w:rsidRPr="00BE2238" w:rsidRDefault="00095000" w:rsidP="00095000">
            <w:pPr>
              <w:rPr>
                <w:rFonts w:ascii="Arial" w:hAnsi="Arial" w:cs="Arial"/>
                <w:sz w:val="20"/>
                <w:szCs w:val="20"/>
              </w:rPr>
            </w:pPr>
            <w:r>
              <w:rPr>
                <w:rFonts w:ascii="Arial" w:hAnsi="Arial" w:cs="Arial"/>
                <w:color w:val="000000"/>
                <w:sz w:val="20"/>
                <w:szCs w:val="20"/>
              </w:rPr>
              <w:t>AACSB, EQUIS</w:t>
            </w:r>
          </w:p>
        </w:tc>
      </w:tr>
    </w:tbl>
    <w:p w14:paraId="40669338" w14:textId="2245FE66" w:rsidR="0046623F" w:rsidRPr="009A255A" w:rsidRDefault="0046623F" w:rsidP="0046623F">
      <w:pPr>
        <w:pStyle w:val="NormalWeb"/>
        <w:spacing w:before="0" w:beforeAutospacing="0" w:after="0" w:afterAutospacing="0"/>
        <w:rPr>
          <w:sz w:val="20"/>
          <w:szCs w:val="20"/>
        </w:rPr>
      </w:pPr>
    </w:p>
    <w:p w14:paraId="6D059159" w14:textId="30398D9C" w:rsidR="009A255A" w:rsidRDefault="009A255A" w:rsidP="009A255A">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Universities were selected based on their inclusion in the Financial Times (FT) business education rankings and their AACSB or EQUIS accreditation. The term “FT-ranked” means the university is present in the FT rankings, not its specific position, since FT rankings change by program and year. In this study, the FT rankings served only to select the sample.</w:t>
      </w:r>
    </w:p>
    <w:p w14:paraId="698BBFAF" w14:textId="02CA0CED" w:rsidR="009A255A" w:rsidRDefault="009A255A" w:rsidP="009A255A">
      <w:pPr>
        <w:pStyle w:val="NormalWeb"/>
        <w:spacing w:before="0" w:beforeAutospacing="0" w:after="0" w:afterAutospacing="0"/>
        <w:rPr>
          <w:rFonts w:ascii="Arial" w:hAnsi="Arial" w:cs="Arial"/>
          <w:color w:val="000000"/>
          <w:sz w:val="20"/>
          <w:szCs w:val="20"/>
        </w:rPr>
      </w:pPr>
    </w:p>
    <w:p w14:paraId="189B1BB7" w14:textId="62B39C11" w:rsidR="009A255A" w:rsidRDefault="009A255A" w:rsidP="009A255A">
      <w:pPr>
        <w:pStyle w:val="Heading2"/>
        <w:spacing w:before="0"/>
        <w:rPr>
          <w:rFonts w:ascii="Arial" w:hAnsi="Arial" w:cs="Arial"/>
          <w:b/>
          <w:bCs/>
          <w:color w:val="000000"/>
          <w:sz w:val="22"/>
          <w:szCs w:val="22"/>
        </w:rPr>
      </w:pPr>
      <w:r w:rsidRPr="009A255A">
        <w:rPr>
          <w:rFonts w:ascii="Arial" w:hAnsi="Arial" w:cs="Arial"/>
          <w:b/>
          <w:bCs/>
          <w:color w:val="000000"/>
          <w:sz w:val="22"/>
          <w:szCs w:val="22"/>
        </w:rPr>
        <w:lastRenderedPageBreak/>
        <w:t>2.9 Selection Flow Diagram</w:t>
      </w:r>
    </w:p>
    <w:p w14:paraId="707FA16E" w14:textId="5FD874F3" w:rsidR="009A255A" w:rsidRPr="009A255A" w:rsidRDefault="009A255A" w:rsidP="009A255A">
      <w:pPr>
        <w:pStyle w:val="Heading2"/>
        <w:spacing w:before="0"/>
        <w:rPr>
          <w:rFonts w:ascii="Arial" w:hAnsi="Arial" w:cs="Arial"/>
          <w:b/>
          <w:bCs/>
          <w:color w:val="000000" w:themeColor="text1"/>
          <w:sz w:val="22"/>
          <w:szCs w:val="22"/>
        </w:rPr>
      </w:pPr>
    </w:p>
    <w:p w14:paraId="3D057F3E" w14:textId="47B43502" w:rsidR="009A255A" w:rsidRPr="009A255A" w:rsidRDefault="009A255A" w:rsidP="009A255A">
      <w:pPr>
        <w:pStyle w:val="Heading2"/>
        <w:spacing w:before="0"/>
        <w:rPr>
          <w:b/>
          <w:bCs/>
          <w:color w:val="000000" w:themeColor="text1"/>
          <w:sz w:val="36"/>
          <w:szCs w:val="36"/>
        </w:rPr>
      </w:pPr>
      <w:r w:rsidRPr="009A255A">
        <w:rPr>
          <w:rFonts w:ascii="Arial" w:hAnsi="Arial" w:cs="Arial"/>
          <w:color w:val="000000" w:themeColor="text1"/>
          <w:sz w:val="20"/>
          <w:szCs w:val="20"/>
        </w:rPr>
        <w:t>The university selection process followed a clear, step-by-step approach, as shown in Figure 1. This method aligns with current qualitative research standards, which emphasize systematic sampling and clear documentation of case selection. Recent studies highlight that using clear selection logic and stepwise filtering in purposive qualitative research improves transparency, credibility, and analytical rigor (Dahal et al., 2024; Lim, 2025).</w:t>
      </w:r>
    </w:p>
    <w:p w14:paraId="3A4997B0" w14:textId="002AEAC8" w:rsidR="009A255A" w:rsidRDefault="009A255A" w:rsidP="009A255A">
      <w:pPr>
        <w:pStyle w:val="NormalWeb"/>
        <w:spacing w:before="0" w:beforeAutospacing="0" w:after="0" w:afterAutospacing="0"/>
        <w:rPr>
          <w:rFonts w:ascii="Arial" w:hAnsi="Arial" w:cs="Arial"/>
          <w:color w:val="000000" w:themeColor="text1"/>
          <w:sz w:val="20"/>
          <w:szCs w:val="20"/>
        </w:rPr>
      </w:pPr>
      <w:r w:rsidRPr="009A255A">
        <w:rPr>
          <w:rFonts w:ascii="Arial" w:hAnsi="Arial" w:cs="Arial"/>
          <w:color w:val="000000" w:themeColor="text1"/>
          <w:sz w:val="20"/>
          <w:szCs w:val="20"/>
        </w:rPr>
        <w:t>The selection began by identifying institutions from the Financial Times business education rankings. These were then filtered for AACSB or EQUIS accreditation and checked for publicly available documents on digital access and equity. To ensure diversity, a regional representation criterion was applied, leading to the final selection of four global benchmark universities and the Philippine case institution.</w:t>
      </w:r>
    </w:p>
    <w:p w14:paraId="5AE35B1F" w14:textId="77BD9DB5" w:rsidR="009A255A" w:rsidRDefault="009A255A" w:rsidP="009A255A">
      <w:pPr>
        <w:pStyle w:val="NormalWeb"/>
        <w:spacing w:before="0" w:beforeAutospacing="0" w:after="0" w:afterAutospacing="0"/>
        <w:rPr>
          <w:rFonts w:ascii="Arial" w:hAnsi="Arial" w:cs="Arial"/>
          <w:color w:val="000000" w:themeColor="text1"/>
          <w:sz w:val="20"/>
          <w:szCs w:val="20"/>
        </w:rPr>
      </w:pPr>
    </w:p>
    <w:p w14:paraId="0968BA6E" w14:textId="4058122E" w:rsidR="009A255A" w:rsidRDefault="00E83003" w:rsidP="009A255A">
      <w:pPr>
        <w:pStyle w:val="NormalWeb"/>
        <w:spacing w:before="0" w:beforeAutospacing="0" w:after="0" w:afterAutospacing="0"/>
        <w:rPr>
          <w:rFonts w:ascii="Arial" w:hAnsi="Arial" w:cs="Arial"/>
          <w:color w:val="000000" w:themeColor="text1"/>
          <w:sz w:val="20"/>
          <w:szCs w:val="20"/>
        </w:rPr>
      </w:pPr>
      <w:r w:rsidRPr="009A255A">
        <w:rPr>
          <w:noProof/>
          <w:color w:val="000000" w:themeColor="text1"/>
          <w:bdr w:val="none" w:sz="0" w:space="0" w:color="auto" w:frame="1"/>
          <w:lang w:val="en-IN" w:eastAsia="en-IN"/>
        </w:rPr>
        <w:drawing>
          <wp:anchor distT="0" distB="0" distL="114300" distR="114300" simplePos="0" relativeHeight="251658240" behindDoc="1" locked="0" layoutInCell="1" allowOverlap="1" wp14:anchorId="568CCBC3" wp14:editId="119D8459">
            <wp:simplePos x="0" y="0"/>
            <wp:positionH relativeFrom="margin">
              <wp:align>center</wp:align>
            </wp:positionH>
            <wp:positionV relativeFrom="page">
              <wp:posOffset>3728085</wp:posOffset>
            </wp:positionV>
            <wp:extent cx="3712210" cy="3648075"/>
            <wp:effectExtent l="0" t="0" r="2540" b="0"/>
            <wp:wrapNone/>
            <wp:docPr id="2033384768" name="Picture 2" descr="A diagram of a flow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384768" name="Picture 2" descr="A diagram of a flowchart&#10;&#10;AI-generated content may be incorrect."/>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5892" t="6943" r="6991" b="7424"/>
                    <a:stretch>
                      <a:fillRect/>
                    </a:stretch>
                  </pic:blipFill>
                  <pic:spPr bwMode="auto">
                    <a:xfrm>
                      <a:off x="0" y="0"/>
                      <a:ext cx="3712210" cy="3648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2A7F223" w14:textId="48C4A039" w:rsidR="009A255A" w:rsidRDefault="009A255A" w:rsidP="009A255A">
      <w:pPr>
        <w:pStyle w:val="NormalWeb"/>
        <w:spacing w:before="0" w:beforeAutospacing="0" w:after="0" w:afterAutospacing="0"/>
        <w:rPr>
          <w:rFonts w:ascii="Arial" w:hAnsi="Arial" w:cs="Arial"/>
          <w:color w:val="000000" w:themeColor="text1"/>
          <w:sz w:val="20"/>
          <w:szCs w:val="20"/>
        </w:rPr>
      </w:pPr>
    </w:p>
    <w:p w14:paraId="13D37168" w14:textId="0AB74FE4" w:rsidR="009A255A" w:rsidRDefault="009A255A" w:rsidP="009A255A">
      <w:pPr>
        <w:pStyle w:val="NormalWeb"/>
        <w:spacing w:before="0" w:beforeAutospacing="0" w:after="0" w:afterAutospacing="0"/>
        <w:rPr>
          <w:rFonts w:ascii="Arial" w:hAnsi="Arial" w:cs="Arial"/>
          <w:color w:val="000000" w:themeColor="text1"/>
          <w:sz w:val="20"/>
          <w:szCs w:val="20"/>
        </w:rPr>
      </w:pPr>
    </w:p>
    <w:p w14:paraId="35B87D2A" w14:textId="3CA58E20" w:rsidR="009A255A" w:rsidRDefault="009A255A" w:rsidP="009A255A">
      <w:pPr>
        <w:pStyle w:val="NormalWeb"/>
        <w:spacing w:before="0" w:beforeAutospacing="0" w:after="0" w:afterAutospacing="0"/>
        <w:rPr>
          <w:rFonts w:ascii="Arial" w:hAnsi="Arial" w:cs="Arial"/>
          <w:color w:val="000000" w:themeColor="text1"/>
          <w:sz w:val="20"/>
          <w:szCs w:val="20"/>
        </w:rPr>
      </w:pPr>
    </w:p>
    <w:p w14:paraId="16F4DCAE" w14:textId="3487FBA2" w:rsidR="009A255A" w:rsidRDefault="009A255A" w:rsidP="009A255A">
      <w:pPr>
        <w:pStyle w:val="NormalWeb"/>
        <w:spacing w:before="0" w:beforeAutospacing="0" w:after="0" w:afterAutospacing="0"/>
        <w:rPr>
          <w:rFonts w:ascii="Arial" w:hAnsi="Arial" w:cs="Arial"/>
          <w:color w:val="000000" w:themeColor="text1"/>
          <w:sz w:val="20"/>
          <w:szCs w:val="20"/>
        </w:rPr>
      </w:pPr>
    </w:p>
    <w:p w14:paraId="3A6DC773" w14:textId="4AC12E2D" w:rsidR="009A255A" w:rsidRDefault="009A255A" w:rsidP="009A255A">
      <w:pPr>
        <w:pStyle w:val="NormalWeb"/>
        <w:spacing w:before="0" w:beforeAutospacing="0" w:after="0" w:afterAutospacing="0"/>
        <w:rPr>
          <w:rFonts w:ascii="Arial" w:hAnsi="Arial" w:cs="Arial"/>
          <w:color w:val="000000" w:themeColor="text1"/>
          <w:sz w:val="20"/>
          <w:szCs w:val="20"/>
        </w:rPr>
      </w:pPr>
    </w:p>
    <w:p w14:paraId="56CCB8EF" w14:textId="799AD68F" w:rsidR="009A255A" w:rsidRDefault="009A255A" w:rsidP="009A255A">
      <w:pPr>
        <w:pStyle w:val="NormalWeb"/>
        <w:spacing w:before="0" w:beforeAutospacing="0" w:after="0" w:afterAutospacing="0"/>
        <w:rPr>
          <w:rFonts w:ascii="Arial" w:hAnsi="Arial" w:cs="Arial"/>
          <w:color w:val="000000" w:themeColor="text1"/>
          <w:sz w:val="20"/>
          <w:szCs w:val="20"/>
        </w:rPr>
      </w:pPr>
    </w:p>
    <w:p w14:paraId="09A1B5BE" w14:textId="1E6FFDB8" w:rsidR="009A255A" w:rsidRDefault="009A255A" w:rsidP="009A255A">
      <w:pPr>
        <w:pStyle w:val="NormalWeb"/>
        <w:spacing w:before="0" w:beforeAutospacing="0" w:after="0" w:afterAutospacing="0"/>
        <w:rPr>
          <w:rFonts w:ascii="Arial" w:hAnsi="Arial" w:cs="Arial"/>
          <w:color w:val="000000" w:themeColor="text1"/>
          <w:sz w:val="20"/>
          <w:szCs w:val="20"/>
        </w:rPr>
      </w:pPr>
    </w:p>
    <w:p w14:paraId="4966FD8E" w14:textId="66782B4A" w:rsidR="009A255A" w:rsidRDefault="009A255A" w:rsidP="009A255A">
      <w:pPr>
        <w:pStyle w:val="NormalWeb"/>
        <w:spacing w:before="0" w:beforeAutospacing="0" w:after="0" w:afterAutospacing="0"/>
        <w:rPr>
          <w:rFonts w:ascii="Arial" w:hAnsi="Arial" w:cs="Arial"/>
          <w:color w:val="000000" w:themeColor="text1"/>
          <w:sz w:val="20"/>
          <w:szCs w:val="20"/>
        </w:rPr>
      </w:pPr>
    </w:p>
    <w:p w14:paraId="2A378700" w14:textId="6CE3B707" w:rsidR="009A255A" w:rsidRDefault="009A255A" w:rsidP="009A255A">
      <w:pPr>
        <w:pStyle w:val="NormalWeb"/>
        <w:spacing w:before="0" w:beforeAutospacing="0" w:after="0" w:afterAutospacing="0"/>
        <w:rPr>
          <w:rFonts w:ascii="Arial" w:hAnsi="Arial" w:cs="Arial"/>
          <w:color w:val="000000" w:themeColor="text1"/>
          <w:sz w:val="20"/>
          <w:szCs w:val="20"/>
        </w:rPr>
      </w:pPr>
    </w:p>
    <w:p w14:paraId="52F87D6B" w14:textId="58E470C9" w:rsidR="009A255A" w:rsidRDefault="009A255A" w:rsidP="009A255A">
      <w:pPr>
        <w:pStyle w:val="NormalWeb"/>
        <w:spacing w:before="0" w:beforeAutospacing="0" w:after="0" w:afterAutospacing="0"/>
        <w:rPr>
          <w:rFonts w:ascii="Arial" w:hAnsi="Arial" w:cs="Arial"/>
          <w:color w:val="000000" w:themeColor="text1"/>
          <w:sz w:val="20"/>
          <w:szCs w:val="20"/>
        </w:rPr>
      </w:pPr>
    </w:p>
    <w:p w14:paraId="632EB5EE" w14:textId="77777777" w:rsidR="009A255A" w:rsidRDefault="009A255A" w:rsidP="009A255A">
      <w:pPr>
        <w:pStyle w:val="NormalWeb"/>
        <w:spacing w:before="0" w:beforeAutospacing="0" w:after="0" w:afterAutospacing="0"/>
        <w:rPr>
          <w:rFonts w:ascii="Arial" w:hAnsi="Arial" w:cs="Arial"/>
          <w:color w:val="000000" w:themeColor="text1"/>
          <w:sz w:val="20"/>
          <w:szCs w:val="20"/>
        </w:rPr>
      </w:pPr>
    </w:p>
    <w:p w14:paraId="165DDDAC" w14:textId="77777777" w:rsidR="009A255A" w:rsidRDefault="009A255A" w:rsidP="009A255A">
      <w:pPr>
        <w:pStyle w:val="NormalWeb"/>
        <w:spacing w:before="0" w:beforeAutospacing="0" w:after="0" w:afterAutospacing="0"/>
        <w:rPr>
          <w:rFonts w:ascii="Arial" w:hAnsi="Arial" w:cs="Arial"/>
          <w:color w:val="000000" w:themeColor="text1"/>
          <w:sz w:val="20"/>
          <w:szCs w:val="20"/>
        </w:rPr>
      </w:pPr>
    </w:p>
    <w:p w14:paraId="030A78DA" w14:textId="2E194BBF" w:rsidR="009A255A" w:rsidRDefault="009A255A" w:rsidP="009A255A">
      <w:pPr>
        <w:pStyle w:val="NormalWeb"/>
        <w:spacing w:before="0" w:beforeAutospacing="0" w:after="0" w:afterAutospacing="0"/>
        <w:rPr>
          <w:rFonts w:ascii="Arial" w:hAnsi="Arial" w:cs="Arial"/>
          <w:color w:val="000000" w:themeColor="text1"/>
          <w:sz w:val="20"/>
          <w:szCs w:val="20"/>
        </w:rPr>
      </w:pPr>
    </w:p>
    <w:p w14:paraId="5F061AD5" w14:textId="77777777" w:rsidR="009A255A" w:rsidRDefault="009A255A" w:rsidP="009A255A">
      <w:pPr>
        <w:pStyle w:val="NormalWeb"/>
        <w:spacing w:before="0" w:beforeAutospacing="0" w:after="0" w:afterAutospacing="0"/>
        <w:rPr>
          <w:rFonts w:ascii="Arial" w:hAnsi="Arial" w:cs="Arial"/>
          <w:color w:val="000000" w:themeColor="text1"/>
          <w:sz w:val="20"/>
          <w:szCs w:val="20"/>
        </w:rPr>
      </w:pPr>
    </w:p>
    <w:p w14:paraId="48D73C74" w14:textId="77777777" w:rsidR="009A255A" w:rsidRDefault="009A255A" w:rsidP="009A255A">
      <w:pPr>
        <w:pStyle w:val="NormalWeb"/>
        <w:spacing w:before="0" w:beforeAutospacing="0" w:after="0" w:afterAutospacing="0"/>
        <w:rPr>
          <w:rFonts w:ascii="Arial" w:hAnsi="Arial" w:cs="Arial"/>
          <w:color w:val="000000" w:themeColor="text1"/>
          <w:sz w:val="20"/>
          <w:szCs w:val="20"/>
        </w:rPr>
      </w:pPr>
    </w:p>
    <w:p w14:paraId="1178AA34" w14:textId="77777777" w:rsidR="009A255A" w:rsidRDefault="009A255A" w:rsidP="009A255A">
      <w:pPr>
        <w:pStyle w:val="NormalWeb"/>
        <w:spacing w:before="0" w:beforeAutospacing="0" w:after="0" w:afterAutospacing="0"/>
        <w:rPr>
          <w:rFonts w:ascii="Arial" w:hAnsi="Arial" w:cs="Arial"/>
          <w:color w:val="000000" w:themeColor="text1"/>
          <w:sz w:val="20"/>
          <w:szCs w:val="20"/>
        </w:rPr>
      </w:pPr>
    </w:p>
    <w:p w14:paraId="2638D977" w14:textId="77777777" w:rsidR="009A255A" w:rsidRDefault="009A255A" w:rsidP="009A255A">
      <w:pPr>
        <w:pStyle w:val="NormalWeb"/>
        <w:spacing w:before="0" w:beforeAutospacing="0" w:after="0" w:afterAutospacing="0"/>
        <w:rPr>
          <w:rFonts w:ascii="Arial" w:hAnsi="Arial" w:cs="Arial"/>
          <w:color w:val="000000" w:themeColor="text1"/>
          <w:sz w:val="20"/>
          <w:szCs w:val="20"/>
        </w:rPr>
      </w:pPr>
    </w:p>
    <w:p w14:paraId="3BC68AC8" w14:textId="77777777" w:rsidR="009A255A" w:rsidRDefault="009A255A" w:rsidP="009A255A">
      <w:pPr>
        <w:pStyle w:val="NormalWeb"/>
        <w:spacing w:before="0" w:beforeAutospacing="0" w:after="0" w:afterAutospacing="0"/>
        <w:rPr>
          <w:rFonts w:ascii="Arial" w:hAnsi="Arial" w:cs="Arial"/>
          <w:color w:val="000000" w:themeColor="text1"/>
          <w:sz w:val="20"/>
          <w:szCs w:val="20"/>
        </w:rPr>
      </w:pPr>
    </w:p>
    <w:p w14:paraId="6A832915" w14:textId="77777777" w:rsidR="009A255A" w:rsidRDefault="009A255A" w:rsidP="009A255A">
      <w:pPr>
        <w:pStyle w:val="NormalWeb"/>
        <w:spacing w:before="0" w:beforeAutospacing="0" w:after="0" w:afterAutospacing="0"/>
        <w:rPr>
          <w:rFonts w:ascii="Arial" w:hAnsi="Arial" w:cs="Arial"/>
          <w:color w:val="000000" w:themeColor="text1"/>
          <w:sz w:val="20"/>
          <w:szCs w:val="20"/>
        </w:rPr>
      </w:pPr>
    </w:p>
    <w:p w14:paraId="01FA4DBF" w14:textId="77777777" w:rsidR="009A255A" w:rsidRDefault="009A255A" w:rsidP="009A255A">
      <w:pPr>
        <w:pStyle w:val="NormalWeb"/>
        <w:spacing w:before="0" w:beforeAutospacing="0" w:after="0" w:afterAutospacing="0"/>
        <w:rPr>
          <w:rFonts w:ascii="Arial" w:hAnsi="Arial" w:cs="Arial"/>
          <w:color w:val="000000" w:themeColor="text1"/>
          <w:sz w:val="20"/>
          <w:szCs w:val="20"/>
        </w:rPr>
      </w:pPr>
    </w:p>
    <w:p w14:paraId="3310E927" w14:textId="4DF569CB" w:rsidR="009A255A" w:rsidRDefault="009A255A" w:rsidP="009A255A">
      <w:pPr>
        <w:pStyle w:val="NormalWeb"/>
        <w:spacing w:before="0" w:beforeAutospacing="0" w:after="0" w:afterAutospacing="0"/>
        <w:rPr>
          <w:rFonts w:ascii="Arial" w:hAnsi="Arial" w:cs="Arial"/>
          <w:color w:val="000000" w:themeColor="text1"/>
          <w:sz w:val="20"/>
          <w:szCs w:val="20"/>
        </w:rPr>
      </w:pPr>
    </w:p>
    <w:p w14:paraId="046B2C15" w14:textId="77777777" w:rsidR="00E30244" w:rsidRDefault="00E30244" w:rsidP="009A255A">
      <w:pPr>
        <w:pStyle w:val="NormalWeb"/>
        <w:spacing w:before="0" w:beforeAutospacing="0" w:after="0" w:afterAutospacing="0"/>
        <w:rPr>
          <w:rFonts w:ascii="Arial" w:hAnsi="Arial" w:cs="Arial"/>
          <w:color w:val="000000" w:themeColor="text1"/>
          <w:sz w:val="20"/>
          <w:szCs w:val="20"/>
        </w:rPr>
      </w:pPr>
    </w:p>
    <w:p w14:paraId="731CCC23" w14:textId="77777777" w:rsidR="00E30244" w:rsidRDefault="00E30244" w:rsidP="009A255A">
      <w:pPr>
        <w:pStyle w:val="NormalWeb"/>
        <w:spacing w:before="0" w:beforeAutospacing="0" w:after="0" w:afterAutospacing="0"/>
        <w:rPr>
          <w:rFonts w:ascii="Arial" w:hAnsi="Arial" w:cs="Arial"/>
          <w:color w:val="000000" w:themeColor="text1"/>
          <w:sz w:val="20"/>
          <w:szCs w:val="20"/>
        </w:rPr>
      </w:pPr>
    </w:p>
    <w:p w14:paraId="6921BC33" w14:textId="7A67BDC4" w:rsidR="009A255A" w:rsidRDefault="009A255A" w:rsidP="009A255A">
      <w:pPr>
        <w:pStyle w:val="NormalWeb"/>
        <w:spacing w:before="0" w:beforeAutospacing="0" w:after="0" w:afterAutospacing="0"/>
        <w:rPr>
          <w:rFonts w:ascii="Arial" w:hAnsi="Arial" w:cs="Arial"/>
          <w:color w:val="000000" w:themeColor="text1"/>
          <w:sz w:val="20"/>
          <w:szCs w:val="20"/>
        </w:rPr>
      </w:pPr>
    </w:p>
    <w:p w14:paraId="2F4A9CC3" w14:textId="706E8263" w:rsidR="00247A52" w:rsidRDefault="009A255A" w:rsidP="001957AA">
      <w:pPr>
        <w:pStyle w:val="NormalWeb"/>
        <w:spacing w:before="0" w:beforeAutospacing="0" w:after="0" w:afterAutospacing="0"/>
        <w:jc w:val="center"/>
        <w:rPr>
          <w:rFonts w:ascii="Arial" w:hAnsi="Arial" w:cs="Arial"/>
          <w:b/>
          <w:bCs/>
          <w:color w:val="000000"/>
          <w:sz w:val="20"/>
          <w:szCs w:val="20"/>
        </w:rPr>
      </w:pPr>
      <w:r>
        <w:rPr>
          <w:rFonts w:ascii="Arial" w:hAnsi="Arial" w:cs="Arial"/>
          <w:b/>
          <w:bCs/>
          <w:color w:val="000000"/>
          <w:sz w:val="20"/>
          <w:szCs w:val="20"/>
        </w:rPr>
        <w:t>Fig. 1. University Selection Flow Diagram</w:t>
      </w:r>
    </w:p>
    <w:p w14:paraId="10A714C9" w14:textId="2A72ECB9" w:rsidR="001957AA" w:rsidRPr="001957AA" w:rsidRDefault="001957AA" w:rsidP="001957AA">
      <w:pPr>
        <w:pStyle w:val="NormalWeb"/>
        <w:spacing w:before="0" w:beforeAutospacing="0" w:after="0" w:afterAutospacing="0"/>
        <w:jc w:val="center"/>
        <w:rPr>
          <w:rFonts w:ascii="Arial" w:hAnsi="Arial" w:cs="Arial"/>
          <w:b/>
          <w:bCs/>
          <w:color w:val="000000" w:themeColor="text1"/>
          <w:sz w:val="20"/>
          <w:szCs w:val="20"/>
        </w:rPr>
      </w:pPr>
    </w:p>
    <w:p w14:paraId="249F7D02" w14:textId="6FF1CA9F" w:rsidR="001957AA" w:rsidRDefault="001957AA" w:rsidP="001957AA">
      <w:pPr>
        <w:pStyle w:val="Heading2"/>
        <w:spacing w:before="0"/>
        <w:jc w:val="both"/>
        <w:rPr>
          <w:rFonts w:ascii="Arial" w:hAnsi="Arial" w:cs="Arial"/>
          <w:b/>
          <w:bCs/>
          <w:color w:val="000000" w:themeColor="text1"/>
          <w:sz w:val="22"/>
          <w:szCs w:val="22"/>
        </w:rPr>
      </w:pPr>
      <w:r w:rsidRPr="001957AA">
        <w:rPr>
          <w:rFonts w:ascii="Arial" w:hAnsi="Arial" w:cs="Arial"/>
          <w:b/>
          <w:bCs/>
          <w:color w:val="000000" w:themeColor="text1"/>
          <w:sz w:val="22"/>
          <w:szCs w:val="22"/>
        </w:rPr>
        <w:t>2.10 Analytical Framework</w:t>
      </w:r>
    </w:p>
    <w:p w14:paraId="34C7BE43" w14:textId="4EDE6879" w:rsidR="001957AA" w:rsidRDefault="001957AA" w:rsidP="001957AA">
      <w:pPr>
        <w:pStyle w:val="Heading2"/>
        <w:spacing w:before="0"/>
        <w:rPr>
          <w:rFonts w:ascii="Arial" w:hAnsi="Arial" w:cs="Arial"/>
          <w:b/>
          <w:bCs/>
          <w:color w:val="000000" w:themeColor="text1"/>
          <w:sz w:val="22"/>
          <w:szCs w:val="22"/>
        </w:rPr>
      </w:pPr>
    </w:p>
    <w:p w14:paraId="794B964D" w14:textId="1E6814D0" w:rsidR="001957AA" w:rsidRPr="001957AA" w:rsidRDefault="001957AA" w:rsidP="001957AA">
      <w:pPr>
        <w:pStyle w:val="Heading2"/>
        <w:spacing w:before="0"/>
        <w:rPr>
          <w:rFonts w:ascii="Arial" w:hAnsi="Arial" w:cs="Arial"/>
          <w:color w:val="000000" w:themeColor="text1"/>
          <w:sz w:val="20"/>
          <w:szCs w:val="20"/>
        </w:rPr>
      </w:pPr>
      <w:r w:rsidRPr="001957AA">
        <w:rPr>
          <w:rFonts w:ascii="Arial" w:hAnsi="Arial" w:cs="Arial"/>
          <w:color w:val="000000" w:themeColor="text1"/>
          <w:sz w:val="20"/>
          <w:szCs w:val="20"/>
        </w:rPr>
        <w:t>This study uses Institutional Theory and Equity and Access Theory to explore how universities create and explain their strategies for addressing digital divide issues. These frameworks help analyze both how institutions respond in similar ways and what their strategies mean for equity at the organizational level.</w:t>
      </w:r>
    </w:p>
    <w:p w14:paraId="40340344" w14:textId="2C795B09" w:rsidR="001957AA" w:rsidRPr="001957AA" w:rsidRDefault="001957AA" w:rsidP="001957AA">
      <w:pPr>
        <w:rPr>
          <w:rFonts w:ascii="Arial" w:hAnsi="Arial" w:cs="Arial"/>
          <w:color w:val="000000" w:themeColor="text1"/>
          <w:sz w:val="20"/>
          <w:szCs w:val="20"/>
          <w:lang w:val="en-US"/>
        </w:rPr>
      </w:pPr>
    </w:p>
    <w:p w14:paraId="0FC3B74E" w14:textId="147BF184" w:rsidR="001957AA" w:rsidRPr="001957AA" w:rsidRDefault="001957AA" w:rsidP="001957AA">
      <w:pPr>
        <w:pStyle w:val="Heading2"/>
        <w:spacing w:before="0"/>
        <w:jc w:val="both"/>
        <w:rPr>
          <w:b/>
          <w:bCs/>
          <w:color w:val="000000" w:themeColor="text1"/>
          <w:sz w:val="36"/>
          <w:szCs w:val="36"/>
        </w:rPr>
      </w:pPr>
      <w:r w:rsidRPr="001957AA">
        <w:rPr>
          <w:rFonts w:ascii="Arial" w:hAnsi="Arial" w:cs="Arial"/>
          <w:b/>
          <w:bCs/>
          <w:color w:val="000000" w:themeColor="text1"/>
          <w:sz w:val="20"/>
          <w:szCs w:val="20"/>
          <w:u w:val="single"/>
        </w:rPr>
        <w:t>2.10.1 Institutional Theory</w:t>
      </w:r>
    </w:p>
    <w:p w14:paraId="625BDECF" w14:textId="56A7C911" w:rsidR="001957AA" w:rsidRPr="001957AA" w:rsidRDefault="001957AA" w:rsidP="001957AA">
      <w:pPr>
        <w:rPr>
          <w:color w:val="000000" w:themeColor="text1"/>
        </w:rPr>
      </w:pPr>
    </w:p>
    <w:p w14:paraId="797FA33B" w14:textId="33414A1F" w:rsidR="001957AA" w:rsidRPr="001957AA" w:rsidRDefault="001957AA" w:rsidP="001957AA">
      <w:pPr>
        <w:pStyle w:val="NormalWeb"/>
        <w:spacing w:before="0" w:beforeAutospacing="0" w:after="0" w:afterAutospacing="0"/>
        <w:rPr>
          <w:color w:val="000000" w:themeColor="text1"/>
        </w:rPr>
      </w:pPr>
      <w:r w:rsidRPr="001957AA">
        <w:rPr>
          <w:rFonts w:ascii="Arial" w:hAnsi="Arial" w:cs="Arial"/>
          <w:color w:val="000000" w:themeColor="text1"/>
          <w:sz w:val="20"/>
          <w:szCs w:val="20"/>
        </w:rPr>
        <w:t xml:space="preserve">This study uses Institutional Theory to explain how organizations respond to external pressures to gain legitimacy and maintain credibility within their environments (DiMaggio &amp; Powell, 1983; Scott, 2020). The three types of institutional pressure considered are: normative pressures, which come from shared professional values, standards, and </w:t>
      </w:r>
      <w:r w:rsidRPr="001957AA">
        <w:rPr>
          <w:rFonts w:ascii="Arial" w:hAnsi="Arial" w:cs="Arial"/>
          <w:color w:val="000000" w:themeColor="text1"/>
          <w:sz w:val="20"/>
          <w:szCs w:val="20"/>
        </w:rPr>
        <w:lastRenderedPageBreak/>
        <w:t>expectations; mimetic pressures, which lead organizations to copy the practices of well-known or successful peers when facing uncertainty; and coercive pressures, which are tied to formal requirements like accreditation standards, regulatory rules, and participation in rankings.</w:t>
      </w:r>
    </w:p>
    <w:p w14:paraId="30A60E30" w14:textId="3D70066E" w:rsidR="001957AA" w:rsidRPr="001957AA" w:rsidRDefault="001957AA" w:rsidP="001957AA">
      <w:pPr>
        <w:pStyle w:val="NormalWeb"/>
        <w:spacing w:before="0" w:beforeAutospacing="0" w:after="0" w:afterAutospacing="0"/>
        <w:rPr>
          <w:color w:val="000000" w:themeColor="text1"/>
        </w:rPr>
      </w:pPr>
      <w:r w:rsidRPr="001957AA">
        <w:rPr>
          <w:rFonts w:ascii="Arial" w:hAnsi="Arial" w:cs="Arial"/>
          <w:color w:val="000000" w:themeColor="text1"/>
          <w:sz w:val="20"/>
          <w:szCs w:val="20"/>
        </w:rPr>
        <w:t xml:space="preserve">Recent research shows that these pressures are still very important in today’s higher education, especially as globalization, accountability, and digital change shape the field (Scott, 2020; </w:t>
      </w:r>
      <w:proofErr w:type="spellStart"/>
      <w:r w:rsidRPr="001957AA">
        <w:rPr>
          <w:rFonts w:ascii="Arial" w:hAnsi="Arial" w:cs="Arial"/>
          <w:color w:val="000000" w:themeColor="text1"/>
          <w:sz w:val="20"/>
          <w:szCs w:val="20"/>
        </w:rPr>
        <w:t>Krücken</w:t>
      </w:r>
      <w:proofErr w:type="spellEnd"/>
      <w:r w:rsidRPr="001957AA">
        <w:rPr>
          <w:rFonts w:ascii="Arial" w:hAnsi="Arial" w:cs="Arial"/>
          <w:color w:val="000000" w:themeColor="text1"/>
          <w:sz w:val="20"/>
          <w:szCs w:val="20"/>
        </w:rPr>
        <w:t xml:space="preserve"> et al., 2023). In this study, Institutional Theory helps explain why digital strategies at top universities are becoming more similar, even though they have different regional backgrounds and resources.</w:t>
      </w:r>
    </w:p>
    <w:p w14:paraId="6D7B15BC" w14:textId="77777777" w:rsidR="001957AA" w:rsidRPr="001957AA" w:rsidRDefault="001957AA" w:rsidP="001957AA">
      <w:pPr>
        <w:rPr>
          <w:color w:val="000000" w:themeColor="text1"/>
        </w:rPr>
      </w:pPr>
    </w:p>
    <w:p w14:paraId="25FDC662" w14:textId="77777777" w:rsidR="001957AA" w:rsidRPr="001957AA" w:rsidRDefault="001957AA" w:rsidP="001957AA">
      <w:pPr>
        <w:pStyle w:val="Heading2"/>
        <w:spacing w:before="0"/>
        <w:jc w:val="both"/>
        <w:rPr>
          <w:b/>
          <w:bCs/>
          <w:color w:val="000000" w:themeColor="text1"/>
        </w:rPr>
      </w:pPr>
      <w:r w:rsidRPr="001957AA">
        <w:rPr>
          <w:rFonts w:ascii="Arial" w:hAnsi="Arial" w:cs="Arial"/>
          <w:b/>
          <w:bCs/>
          <w:color w:val="000000" w:themeColor="text1"/>
          <w:sz w:val="20"/>
          <w:szCs w:val="20"/>
          <w:u w:val="single"/>
        </w:rPr>
        <w:t>2.10.2 Equity and Access Theory</w:t>
      </w:r>
    </w:p>
    <w:p w14:paraId="13B06576" w14:textId="77777777" w:rsidR="001957AA" w:rsidRPr="001957AA" w:rsidRDefault="001957AA" w:rsidP="001957AA">
      <w:pPr>
        <w:rPr>
          <w:color w:val="000000" w:themeColor="text1"/>
        </w:rPr>
      </w:pPr>
    </w:p>
    <w:p w14:paraId="71311AC2" w14:textId="77777777" w:rsidR="001957AA" w:rsidRPr="001957AA" w:rsidRDefault="001957AA" w:rsidP="001957AA">
      <w:pPr>
        <w:pStyle w:val="NormalWeb"/>
        <w:spacing w:before="0" w:beforeAutospacing="0" w:after="0" w:afterAutospacing="0"/>
        <w:rPr>
          <w:color w:val="000000" w:themeColor="text1"/>
        </w:rPr>
      </w:pPr>
      <w:r w:rsidRPr="001957AA">
        <w:rPr>
          <w:rFonts w:ascii="Arial" w:hAnsi="Arial" w:cs="Arial"/>
          <w:color w:val="000000" w:themeColor="text1"/>
          <w:sz w:val="20"/>
          <w:szCs w:val="20"/>
        </w:rPr>
        <w:t>Equity and Access Theory offers a way to understand how institutions deal with structural inequalities in access to resources and opportunities. Based on theories of justice and capability (Rawls, 1971; Sen, 1999), current equity frameworks stress that fair outcomes need different institutional responses instead of a one-size-fits-all approach (OECD, 2023).</w:t>
      </w:r>
    </w:p>
    <w:p w14:paraId="0624844C" w14:textId="12A2B2C2" w:rsidR="00683D46" w:rsidRDefault="001957AA" w:rsidP="00C06346">
      <w:pPr>
        <w:pStyle w:val="NormalWeb"/>
        <w:spacing w:before="0" w:beforeAutospacing="0" w:after="0" w:afterAutospacing="0"/>
        <w:rPr>
          <w:rFonts w:ascii="Arial" w:hAnsi="Arial" w:cs="Arial"/>
          <w:color w:val="000000" w:themeColor="text1"/>
          <w:sz w:val="20"/>
          <w:szCs w:val="20"/>
        </w:rPr>
      </w:pPr>
      <w:r w:rsidRPr="001957AA">
        <w:rPr>
          <w:rFonts w:ascii="Arial" w:hAnsi="Arial" w:cs="Arial"/>
          <w:color w:val="000000" w:themeColor="text1"/>
          <w:sz w:val="20"/>
          <w:szCs w:val="20"/>
        </w:rPr>
        <w:t>Recent policy and research show that digital inequality in higher education is not just about having access to technology. It also involves differences in skills, support from institutions, and meaningful participation (OECD, 2023; UNESCO, 2023; van Dijk, 2019). In this study, Equity and Access Theory is used to look at how institutional strategies like investing in infrastructure, providing financial support, developing digital skills, and offering flexible learning help address digital divide issues and encourage inclusive participation at the institutional leve</w:t>
      </w:r>
      <w:r w:rsidR="00E30244">
        <w:rPr>
          <w:rFonts w:ascii="Arial" w:hAnsi="Arial" w:cs="Arial"/>
          <w:color w:val="000000" w:themeColor="text1"/>
          <w:sz w:val="20"/>
          <w:szCs w:val="20"/>
        </w:rPr>
        <w:t>l</w:t>
      </w:r>
      <w:r w:rsidR="00C06346">
        <w:rPr>
          <w:rFonts w:ascii="Arial" w:hAnsi="Arial" w:cs="Arial"/>
          <w:color w:val="000000" w:themeColor="text1"/>
          <w:sz w:val="20"/>
          <w:szCs w:val="20"/>
        </w:rPr>
        <w:t>.</w:t>
      </w:r>
    </w:p>
    <w:p w14:paraId="3D84FD52" w14:textId="77777777" w:rsidR="00C06346" w:rsidRDefault="00C06346" w:rsidP="00C06346">
      <w:pPr>
        <w:pStyle w:val="NormalWeb"/>
        <w:spacing w:before="0" w:beforeAutospacing="0" w:after="0" w:afterAutospacing="0"/>
        <w:rPr>
          <w:rFonts w:ascii="Arial" w:hAnsi="Arial" w:cs="Arial"/>
          <w:color w:val="000000" w:themeColor="text1"/>
          <w:sz w:val="20"/>
          <w:szCs w:val="20"/>
        </w:rPr>
      </w:pPr>
    </w:p>
    <w:p w14:paraId="3FEF9B8E" w14:textId="77777777" w:rsidR="00C412D2" w:rsidRPr="00C412D2" w:rsidRDefault="00C412D2" w:rsidP="00C412D2">
      <w:pPr>
        <w:pStyle w:val="Heading2"/>
        <w:spacing w:before="0"/>
        <w:rPr>
          <w:b/>
          <w:bCs/>
          <w:sz w:val="36"/>
          <w:szCs w:val="36"/>
        </w:rPr>
      </w:pPr>
      <w:r w:rsidRPr="00C412D2">
        <w:rPr>
          <w:rFonts w:ascii="Arial" w:hAnsi="Arial" w:cs="Arial"/>
          <w:b/>
          <w:bCs/>
          <w:color w:val="000000"/>
          <w:sz w:val="22"/>
          <w:szCs w:val="22"/>
        </w:rPr>
        <w:t>2.11 Data Analysis Procedure</w:t>
      </w:r>
    </w:p>
    <w:p w14:paraId="662F664F" w14:textId="77777777" w:rsidR="00C412D2" w:rsidRPr="00C412D2" w:rsidRDefault="00C412D2" w:rsidP="00C412D2">
      <w:pPr>
        <w:rPr>
          <w:rFonts w:ascii="Arial" w:hAnsi="Arial" w:cs="Arial"/>
          <w:sz w:val="20"/>
          <w:szCs w:val="20"/>
        </w:rPr>
      </w:pPr>
    </w:p>
    <w:p w14:paraId="4374C8BB" w14:textId="77777777" w:rsidR="00C412D2" w:rsidRPr="00C412D2" w:rsidRDefault="00C412D2" w:rsidP="00C412D2">
      <w:pPr>
        <w:pStyle w:val="NormalWeb"/>
        <w:spacing w:before="0" w:beforeAutospacing="0" w:after="0" w:afterAutospacing="0"/>
        <w:rPr>
          <w:sz w:val="20"/>
          <w:szCs w:val="20"/>
        </w:rPr>
      </w:pPr>
      <w:r w:rsidRPr="00C412D2">
        <w:rPr>
          <w:rFonts w:ascii="Arial" w:hAnsi="Arial" w:cs="Arial"/>
          <w:color w:val="000000"/>
          <w:sz w:val="20"/>
          <w:szCs w:val="20"/>
        </w:rPr>
        <w:t>The study used a structured qualitative document analysis in four stages to explore how institutions address digital divide issues. The first stage involved reviewing each institution’s publicly available documents to understand their scope, priorities, and strategic focus.</w:t>
      </w:r>
    </w:p>
    <w:p w14:paraId="72457437" w14:textId="77777777" w:rsidR="00C412D2" w:rsidRPr="00C412D2" w:rsidRDefault="00C412D2" w:rsidP="00C412D2">
      <w:pPr>
        <w:pStyle w:val="NormalWeb"/>
        <w:spacing w:before="0" w:beforeAutospacing="0" w:after="0" w:afterAutospacing="0"/>
        <w:rPr>
          <w:sz w:val="20"/>
          <w:szCs w:val="20"/>
        </w:rPr>
      </w:pPr>
      <w:r w:rsidRPr="00C412D2">
        <w:rPr>
          <w:rFonts w:ascii="Arial" w:hAnsi="Arial" w:cs="Arial"/>
          <w:color w:val="000000"/>
          <w:sz w:val="20"/>
          <w:szCs w:val="20"/>
        </w:rPr>
        <w:t>In the second stage, an analytical framework was created using common equity and strategy themes from higher education and organizational research. These included infrastructure development, financial support, digital skills, governance, and access strategies.</w:t>
      </w:r>
    </w:p>
    <w:p w14:paraId="6D884A5A" w14:textId="77777777" w:rsidR="00C412D2" w:rsidRPr="00C412D2" w:rsidRDefault="00C412D2" w:rsidP="00C412D2">
      <w:pPr>
        <w:pStyle w:val="NormalWeb"/>
        <w:spacing w:before="0" w:beforeAutospacing="0" w:after="0" w:afterAutospacing="0"/>
        <w:rPr>
          <w:sz w:val="20"/>
          <w:szCs w:val="20"/>
        </w:rPr>
      </w:pPr>
      <w:r w:rsidRPr="00C412D2">
        <w:rPr>
          <w:rFonts w:ascii="Arial" w:hAnsi="Arial" w:cs="Arial"/>
          <w:color w:val="000000"/>
          <w:sz w:val="20"/>
          <w:szCs w:val="20"/>
        </w:rPr>
        <w:t>The third stage involved comparing cases across universities to find patterns, similarities, and differences in their strategies. This approach follows current qualitative research practices that stress systematic comparison and clear analysis (Lim, 2025).</w:t>
      </w:r>
    </w:p>
    <w:p w14:paraId="3702AD7E" w14:textId="443F2DE5" w:rsidR="00C412D2" w:rsidRDefault="00C412D2" w:rsidP="00C412D2">
      <w:pPr>
        <w:pStyle w:val="NormalWeb"/>
        <w:spacing w:before="0" w:beforeAutospacing="0" w:after="0" w:afterAutospacing="0"/>
        <w:rPr>
          <w:rFonts w:ascii="Arial" w:hAnsi="Arial" w:cs="Arial"/>
          <w:color w:val="000000"/>
          <w:sz w:val="20"/>
          <w:szCs w:val="20"/>
        </w:rPr>
      </w:pPr>
      <w:r w:rsidRPr="00C412D2">
        <w:rPr>
          <w:rFonts w:ascii="Arial" w:hAnsi="Arial" w:cs="Arial"/>
          <w:color w:val="000000"/>
          <w:sz w:val="20"/>
          <w:szCs w:val="20"/>
        </w:rPr>
        <w:t>Finally, the study used Institutional Theory and Equity and Access Theory to interpret the patterns found. This helped explain why strategies were similar and what they mean for digital inclusio</w:t>
      </w:r>
      <w:r>
        <w:rPr>
          <w:rFonts w:ascii="Arial" w:hAnsi="Arial" w:cs="Arial"/>
          <w:color w:val="000000"/>
          <w:sz w:val="20"/>
          <w:szCs w:val="20"/>
        </w:rPr>
        <w:t>n.</w:t>
      </w:r>
    </w:p>
    <w:p w14:paraId="02D68AE5" w14:textId="77777777" w:rsidR="00C412D2" w:rsidRPr="00C412D2" w:rsidRDefault="00C412D2" w:rsidP="00C412D2">
      <w:pPr>
        <w:pStyle w:val="NormalWeb"/>
        <w:spacing w:before="0" w:beforeAutospacing="0" w:after="0" w:afterAutospacing="0"/>
        <w:rPr>
          <w:sz w:val="20"/>
          <w:szCs w:val="20"/>
        </w:rPr>
      </w:pPr>
    </w:p>
    <w:p w14:paraId="5E6937E1" w14:textId="77777777" w:rsidR="00C412D2" w:rsidRDefault="00C412D2" w:rsidP="00C412D2">
      <w:pPr>
        <w:pStyle w:val="Heading2"/>
        <w:spacing w:before="0"/>
        <w:rPr>
          <w:b/>
          <w:bCs/>
        </w:rPr>
      </w:pPr>
      <w:r w:rsidRPr="00C412D2">
        <w:rPr>
          <w:rFonts w:ascii="Arial" w:hAnsi="Arial" w:cs="Arial"/>
          <w:b/>
          <w:bCs/>
          <w:color w:val="000000"/>
          <w:sz w:val="22"/>
          <w:szCs w:val="22"/>
        </w:rPr>
        <w:t>2.12 Formation of Institutional Strategy Clusters</w:t>
      </w:r>
    </w:p>
    <w:p w14:paraId="6510CECD" w14:textId="77777777" w:rsidR="00C412D2" w:rsidRPr="00C412D2" w:rsidRDefault="00C412D2" w:rsidP="00C412D2">
      <w:pPr>
        <w:pStyle w:val="Heading2"/>
        <w:spacing w:before="0"/>
        <w:rPr>
          <w:rFonts w:ascii="Arial" w:hAnsi="Arial" w:cs="Arial"/>
          <w:sz w:val="20"/>
          <w:szCs w:val="20"/>
        </w:rPr>
      </w:pPr>
    </w:p>
    <w:p w14:paraId="329169EB" w14:textId="24121733" w:rsidR="00C412D2" w:rsidRPr="00C412D2" w:rsidRDefault="00C412D2" w:rsidP="00C412D2">
      <w:pPr>
        <w:pStyle w:val="Heading2"/>
        <w:spacing w:before="0"/>
        <w:rPr>
          <w:sz w:val="20"/>
          <w:szCs w:val="20"/>
        </w:rPr>
      </w:pPr>
      <w:r w:rsidRPr="00C412D2">
        <w:rPr>
          <w:rFonts w:ascii="Arial" w:hAnsi="Arial" w:cs="Arial"/>
          <w:color w:val="000000"/>
          <w:sz w:val="20"/>
          <w:szCs w:val="20"/>
        </w:rPr>
        <w:t>In the cross-case analysis, individual codes were reviewed several times and grouped into broader analytical categories to compare institutions more systematically. These categories, called institutional strategy clusters, were not set in advance but developed from patterns that appeared repeatedly in the documents and were refined as we compared them.</w:t>
      </w:r>
    </w:p>
    <w:p w14:paraId="0F9917DE" w14:textId="77777777" w:rsidR="00C412D2" w:rsidRPr="00C412D2" w:rsidRDefault="00C412D2" w:rsidP="00C412D2">
      <w:pPr>
        <w:pStyle w:val="NormalWeb"/>
        <w:spacing w:before="0" w:beforeAutospacing="0" w:after="0" w:afterAutospacing="0"/>
        <w:rPr>
          <w:sz w:val="20"/>
          <w:szCs w:val="20"/>
        </w:rPr>
      </w:pPr>
      <w:r w:rsidRPr="00C412D2">
        <w:rPr>
          <w:rFonts w:ascii="Arial" w:hAnsi="Arial" w:cs="Arial"/>
          <w:color w:val="000000"/>
          <w:sz w:val="20"/>
          <w:szCs w:val="20"/>
        </w:rPr>
        <w:t>Four clusters emerged as distinct but related ways that institutions responded to digital divide issues:</w:t>
      </w:r>
    </w:p>
    <w:p w14:paraId="7F355BAA" w14:textId="77777777" w:rsidR="00C412D2" w:rsidRPr="00C412D2" w:rsidRDefault="00C412D2" w:rsidP="00C412D2">
      <w:pPr>
        <w:pStyle w:val="NormalWeb"/>
        <w:numPr>
          <w:ilvl w:val="0"/>
          <w:numId w:val="37"/>
        </w:numPr>
        <w:spacing w:before="0" w:beforeAutospacing="0" w:after="0" w:afterAutospacing="0"/>
        <w:textAlignment w:val="baseline"/>
        <w:rPr>
          <w:rFonts w:ascii="Arial" w:hAnsi="Arial" w:cs="Arial"/>
          <w:color w:val="000000"/>
          <w:sz w:val="20"/>
          <w:szCs w:val="20"/>
        </w:rPr>
      </w:pPr>
      <w:r w:rsidRPr="00C412D2">
        <w:rPr>
          <w:rFonts w:ascii="Arial" w:hAnsi="Arial" w:cs="Arial"/>
          <w:color w:val="000000"/>
          <w:sz w:val="20"/>
          <w:szCs w:val="20"/>
        </w:rPr>
        <w:t>Infrastructure-oriented access strategies,</w:t>
      </w:r>
    </w:p>
    <w:p w14:paraId="3D0A758E" w14:textId="77777777" w:rsidR="00C412D2" w:rsidRPr="00C412D2" w:rsidRDefault="00C412D2" w:rsidP="00C412D2">
      <w:pPr>
        <w:pStyle w:val="NormalWeb"/>
        <w:numPr>
          <w:ilvl w:val="0"/>
          <w:numId w:val="37"/>
        </w:numPr>
        <w:spacing w:before="0" w:beforeAutospacing="0" w:after="0" w:afterAutospacing="0"/>
        <w:textAlignment w:val="baseline"/>
        <w:rPr>
          <w:rFonts w:ascii="Arial" w:hAnsi="Arial" w:cs="Arial"/>
          <w:color w:val="000000"/>
          <w:sz w:val="20"/>
          <w:szCs w:val="20"/>
        </w:rPr>
      </w:pPr>
      <w:r w:rsidRPr="00C412D2">
        <w:rPr>
          <w:rFonts w:ascii="Arial" w:hAnsi="Arial" w:cs="Arial"/>
          <w:color w:val="000000"/>
          <w:sz w:val="20"/>
          <w:szCs w:val="20"/>
        </w:rPr>
        <w:t>Financial and resource support mechanisms,</w:t>
      </w:r>
    </w:p>
    <w:p w14:paraId="554C9889" w14:textId="77777777" w:rsidR="00C412D2" w:rsidRPr="00C412D2" w:rsidRDefault="00C412D2" w:rsidP="00C412D2">
      <w:pPr>
        <w:pStyle w:val="NormalWeb"/>
        <w:numPr>
          <w:ilvl w:val="0"/>
          <w:numId w:val="37"/>
        </w:numPr>
        <w:spacing w:before="0" w:beforeAutospacing="0" w:after="0" w:afterAutospacing="0"/>
        <w:textAlignment w:val="baseline"/>
        <w:rPr>
          <w:rFonts w:ascii="Arial" w:hAnsi="Arial" w:cs="Arial"/>
          <w:color w:val="000000"/>
          <w:sz w:val="20"/>
          <w:szCs w:val="20"/>
        </w:rPr>
      </w:pPr>
      <w:r w:rsidRPr="00C412D2">
        <w:rPr>
          <w:rFonts w:ascii="Arial" w:hAnsi="Arial" w:cs="Arial"/>
          <w:color w:val="000000"/>
          <w:sz w:val="20"/>
          <w:szCs w:val="20"/>
        </w:rPr>
        <w:t>Digital skills and capability development, and</w:t>
      </w:r>
    </w:p>
    <w:p w14:paraId="76849256" w14:textId="77777777" w:rsidR="00C412D2" w:rsidRPr="00C412D2" w:rsidRDefault="00C412D2" w:rsidP="00C412D2">
      <w:pPr>
        <w:pStyle w:val="NormalWeb"/>
        <w:numPr>
          <w:ilvl w:val="0"/>
          <w:numId w:val="37"/>
        </w:numPr>
        <w:spacing w:before="0" w:beforeAutospacing="0" w:after="0" w:afterAutospacing="0"/>
        <w:textAlignment w:val="baseline"/>
        <w:rPr>
          <w:rFonts w:ascii="Arial" w:hAnsi="Arial" w:cs="Arial"/>
          <w:color w:val="000000"/>
          <w:sz w:val="20"/>
          <w:szCs w:val="20"/>
        </w:rPr>
      </w:pPr>
      <w:r w:rsidRPr="00C412D2">
        <w:rPr>
          <w:rFonts w:ascii="Arial" w:hAnsi="Arial" w:cs="Arial"/>
          <w:color w:val="000000"/>
          <w:sz w:val="20"/>
          <w:szCs w:val="20"/>
        </w:rPr>
        <w:t>Flexible and alternative access pathways.</w:t>
      </w:r>
    </w:p>
    <w:p w14:paraId="280F350A" w14:textId="38E35FA8" w:rsidR="00C412D2" w:rsidRDefault="00C412D2" w:rsidP="00C40137">
      <w:pPr>
        <w:pStyle w:val="NormalWeb"/>
        <w:spacing w:before="0" w:beforeAutospacing="0" w:after="0" w:afterAutospacing="0"/>
        <w:rPr>
          <w:rFonts w:ascii="Arial" w:hAnsi="Arial" w:cs="Arial"/>
          <w:color w:val="000000"/>
          <w:sz w:val="20"/>
          <w:szCs w:val="20"/>
        </w:rPr>
      </w:pPr>
      <w:r w:rsidRPr="00C412D2">
        <w:rPr>
          <w:rFonts w:ascii="Arial" w:hAnsi="Arial" w:cs="Arial"/>
          <w:color w:val="000000"/>
          <w:sz w:val="20"/>
          <w:szCs w:val="20"/>
        </w:rPr>
        <w:t>These clusters were used to organize and present the results, not as strict theoretical categorie</w:t>
      </w:r>
      <w:r w:rsidR="00C40137">
        <w:rPr>
          <w:rFonts w:ascii="Arial" w:hAnsi="Arial" w:cs="Arial"/>
          <w:color w:val="000000"/>
          <w:sz w:val="20"/>
          <w:szCs w:val="20"/>
        </w:rPr>
        <w:t>s.</w:t>
      </w:r>
    </w:p>
    <w:p w14:paraId="6514CC18" w14:textId="77777777" w:rsidR="00C40137" w:rsidRDefault="00C40137" w:rsidP="00C40137">
      <w:pPr>
        <w:pStyle w:val="NormalWeb"/>
        <w:spacing w:before="0" w:beforeAutospacing="0" w:after="0" w:afterAutospacing="0"/>
        <w:rPr>
          <w:sz w:val="20"/>
          <w:szCs w:val="20"/>
        </w:rPr>
      </w:pPr>
    </w:p>
    <w:p w14:paraId="5395112C" w14:textId="77777777" w:rsidR="00C40137" w:rsidRDefault="00C40137" w:rsidP="00C40137">
      <w:pPr>
        <w:pStyle w:val="NormalWeb"/>
        <w:spacing w:before="0" w:beforeAutospacing="0" w:after="0" w:afterAutospacing="0"/>
        <w:rPr>
          <w:rFonts w:ascii="Arial" w:hAnsi="Arial" w:cs="Arial"/>
          <w:b/>
          <w:bCs/>
          <w:color w:val="000000"/>
          <w:sz w:val="22"/>
          <w:szCs w:val="22"/>
        </w:rPr>
      </w:pPr>
      <w:r>
        <w:rPr>
          <w:rFonts w:ascii="Arial" w:hAnsi="Arial" w:cs="Arial"/>
          <w:b/>
          <w:bCs/>
          <w:color w:val="000000"/>
          <w:sz w:val="22"/>
          <w:szCs w:val="22"/>
        </w:rPr>
        <w:t xml:space="preserve">2.13 Trustworthiness of the Study </w:t>
      </w:r>
    </w:p>
    <w:p w14:paraId="6C861AF7" w14:textId="77777777" w:rsidR="00C40137" w:rsidRPr="00C40137" w:rsidRDefault="00C40137" w:rsidP="00C40137">
      <w:pPr>
        <w:pStyle w:val="NormalWeb"/>
        <w:spacing w:before="0" w:beforeAutospacing="0" w:after="0" w:afterAutospacing="0"/>
        <w:rPr>
          <w:rFonts w:ascii="Arial" w:hAnsi="Arial" w:cs="Arial"/>
          <w:b/>
          <w:bCs/>
          <w:color w:val="000000"/>
          <w:sz w:val="20"/>
          <w:szCs w:val="20"/>
        </w:rPr>
      </w:pPr>
    </w:p>
    <w:p w14:paraId="41007432" w14:textId="3095590D" w:rsidR="00C40137" w:rsidRPr="00C40137" w:rsidRDefault="00C40137" w:rsidP="00C40137">
      <w:pPr>
        <w:pStyle w:val="NormalWeb"/>
        <w:spacing w:before="0" w:beforeAutospacing="0" w:after="0" w:afterAutospacing="0"/>
        <w:rPr>
          <w:sz w:val="20"/>
          <w:szCs w:val="20"/>
        </w:rPr>
      </w:pPr>
      <w:r w:rsidRPr="00C40137">
        <w:rPr>
          <w:rFonts w:ascii="Arial" w:hAnsi="Arial" w:cs="Arial"/>
          <w:color w:val="000000"/>
          <w:sz w:val="20"/>
          <w:szCs w:val="20"/>
        </w:rPr>
        <w:t>Given that a single researcher conducted the study, rigor was maintained by applying trustworthiness criteria instead of intercoder reliability. Trustworthiness, which encompasses credibility, dependability, transferability, and confirmability, is a foundational standard in qualitative research and serves as an analogue to internal validity and reliability in quantitative studies (Ahmed, 2024; Lim, 2025). </w:t>
      </w:r>
    </w:p>
    <w:p w14:paraId="49768631" w14:textId="77777777" w:rsidR="00C40137" w:rsidRPr="00C40137" w:rsidRDefault="00C40137" w:rsidP="00C40137">
      <w:pPr>
        <w:pStyle w:val="NormalWeb"/>
        <w:spacing w:before="0" w:beforeAutospacing="0" w:after="0" w:afterAutospacing="0"/>
        <w:rPr>
          <w:sz w:val="20"/>
          <w:szCs w:val="20"/>
        </w:rPr>
      </w:pPr>
      <w:r w:rsidRPr="00C40137">
        <w:rPr>
          <w:rFonts w:ascii="Arial" w:hAnsi="Arial" w:cs="Arial"/>
          <w:color w:val="000000"/>
          <w:sz w:val="20"/>
          <w:szCs w:val="20"/>
        </w:rPr>
        <w:t>Credibility was strengthened through triangulation of multiple document types for each institution.</w:t>
      </w:r>
    </w:p>
    <w:p w14:paraId="6306F272" w14:textId="77777777" w:rsidR="00C40137" w:rsidRPr="00C40137" w:rsidRDefault="00C40137" w:rsidP="00C40137">
      <w:pPr>
        <w:pStyle w:val="NormalWeb"/>
        <w:spacing w:before="0" w:beforeAutospacing="0" w:after="0" w:afterAutospacing="0"/>
        <w:rPr>
          <w:sz w:val="20"/>
          <w:szCs w:val="20"/>
        </w:rPr>
      </w:pPr>
      <w:r w:rsidRPr="00C40137">
        <w:rPr>
          <w:rFonts w:ascii="Arial" w:hAnsi="Arial" w:cs="Arial"/>
          <w:color w:val="000000"/>
          <w:sz w:val="20"/>
          <w:szCs w:val="20"/>
        </w:rPr>
        <w:t>Dependability was achieved by consistently applying an analytical framework and maintaining an audit trail of analytical decisions.</w:t>
      </w:r>
    </w:p>
    <w:p w14:paraId="1C8FE7CB" w14:textId="77777777" w:rsidR="00C40137" w:rsidRPr="00C40137" w:rsidRDefault="00C40137" w:rsidP="00C40137">
      <w:pPr>
        <w:pStyle w:val="NormalWeb"/>
        <w:spacing w:before="0" w:beforeAutospacing="0" w:after="0" w:afterAutospacing="0"/>
        <w:rPr>
          <w:sz w:val="20"/>
          <w:szCs w:val="20"/>
        </w:rPr>
      </w:pPr>
      <w:r w:rsidRPr="00C40137">
        <w:rPr>
          <w:rFonts w:ascii="Arial" w:hAnsi="Arial" w:cs="Arial"/>
          <w:color w:val="000000"/>
          <w:sz w:val="20"/>
          <w:szCs w:val="20"/>
        </w:rPr>
        <w:t>Transferability was facilitated by providing detailed descriptions of case selection criteria, institutional contexts, and analytical procedures, allowing readers to evaluate the applicability of findings to comparable higher education settings.</w:t>
      </w:r>
    </w:p>
    <w:p w14:paraId="3F294FDD" w14:textId="62119907" w:rsidR="003222F9" w:rsidRDefault="00C40137" w:rsidP="00C924F6">
      <w:pPr>
        <w:pStyle w:val="NormalWeb"/>
        <w:spacing w:before="0" w:beforeAutospacing="0" w:after="0" w:afterAutospacing="0"/>
        <w:rPr>
          <w:rFonts w:ascii="Arial" w:hAnsi="Arial" w:cs="Arial"/>
          <w:color w:val="000000"/>
          <w:sz w:val="20"/>
          <w:szCs w:val="20"/>
        </w:rPr>
      </w:pPr>
      <w:r w:rsidRPr="00C40137">
        <w:rPr>
          <w:rFonts w:ascii="Arial" w:hAnsi="Arial" w:cs="Arial"/>
          <w:color w:val="000000"/>
          <w:sz w:val="20"/>
          <w:szCs w:val="20"/>
        </w:rPr>
        <w:t>Confirmability was established by grounding interpretations in documentary evidence and maintaining reflexive notes to minimize researcher bias.</w:t>
      </w:r>
    </w:p>
    <w:p w14:paraId="7761CCAB" w14:textId="77777777" w:rsidR="00C924F6" w:rsidRDefault="00C924F6" w:rsidP="00C924F6">
      <w:pPr>
        <w:pStyle w:val="NormalWeb"/>
        <w:spacing w:before="0" w:beforeAutospacing="0" w:after="0" w:afterAutospacing="0"/>
        <w:rPr>
          <w:rFonts w:ascii="Arial" w:hAnsi="Arial" w:cs="Arial"/>
          <w:color w:val="000000"/>
          <w:sz w:val="20"/>
          <w:szCs w:val="20"/>
        </w:rPr>
      </w:pPr>
    </w:p>
    <w:p w14:paraId="6AFE8798" w14:textId="77777777" w:rsidR="005F2A27" w:rsidRDefault="005F2A27" w:rsidP="005F2A27">
      <w:pPr>
        <w:pStyle w:val="Heading2"/>
        <w:spacing w:before="0"/>
        <w:rPr>
          <w:rFonts w:ascii="Arial" w:hAnsi="Arial" w:cs="Arial"/>
          <w:b/>
          <w:bCs/>
          <w:color w:val="000000"/>
          <w:sz w:val="22"/>
          <w:szCs w:val="22"/>
        </w:rPr>
      </w:pPr>
      <w:r w:rsidRPr="005F2A27">
        <w:rPr>
          <w:rFonts w:ascii="Arial" w:hAnsi="Arial" w:cs="Arial"/>
          <w:b/>
          <w:bCs/>
          <w:color w:val="000000"/>
          <w:sz w:val="22"/>
          <w:szCs w:val="22"/>
        </w:rPr>
        <w:t>2.14 Ethical Consideration</w:t>
      </w:r>
      <w:r>
        <w:rPr>
          <w:rFonts w:ascii="Arial" w:hAnsi="Arial" w:cs="Arial"/>
          <w:b/>
          <w:bCs/>
          <w:color w:val="000000"/>
          <w:sz w:val="22"/>
          <w:szCs w:val="22"/>
        </w:rPr>
        <w:t xml:space="preserve">s </w:t>
      </w:r>
    </w:p>
    <w:p w14:paraId="52E5A893" w14:textId="77777777" w:rsidR="005F2A27" w:rsidRDefault="005F2A27" w:rsidP="005F2A27">
      <w:pPr>
        <w:pStyle w:val="Heading2"/>
        <w:spacing w:before="0"/>
        <w:rPr>
          <w:rFonts w:ascii="Arial" w:hAnsi="Arial" w:cs="Arial"/>
          <w:b/>
          <w:bCs/>
          <w:color w:val="000000"/>
          <w:sz w:val="22"/>
          <w:szCs w:val="22"/>
        </w:rPr>
      </w:pPr>
    </w:p>
    <w:p w14:paraId="3916AFFD" w14:textId="639A8AAF" w:rsidR="005F2A27" w:rsidRDefault="005F2A27" w:rsidP="005F2A27">
      <w:pPr>
        <w:pStyle w:val="Heading2"/>
        <w:spacing w:before="0"/>
        <w:rPr>
          <w:rFonts w:ascii="Arial" w:hAnsi="Arial" w:cs="Arial"/>
          <w:color w:val="000000"/>
          <w:sz w:val="20"/>
          <w:szCs w:val="20"/>
        </w:rPr>
      </w:pPr>
      <w:r>
        <w:rPr>
          <w:rFonts w:ascii="Arial" w:hAnsi="Arial" w:cs="Arial"/>
          <w:color w:val="000000"/>
          <w:sz w:val="20"/>
          <w:szCs w:val="20"/>
        </w:rPr>
        <w:t>This study used only publicly available institutional documents and did not include human participants, personal data, or confidential information. As a result, ethical approval was not needed.</w:t>
      </w:r>
    </w:p>
    <w:p w14:paraId="33298895" w14:textId="77777777" w:rsidR="005F2A27" w:rsidRPr="005F2A27" w:rsidRDefault="005F2A27" w:rsidP="005F2A27">
      <w:pPr>
        <w:rPr>
          <w:sz w:val="20"/>
          <w:szCs w:val="20"/>
        </w:rPr>
      </w:pPr>
    </w:p>
    <w:p w14:paraId="366A47B1" w14:textId="77777777" w:rsidR="005F2A27" w:rsidRPr="005F2A27" w:rsidRDefault="005F2A27" w:rsidP="005F2A27">
      <w:pPr>
        <w:pStyle w:val="Heading2"/>
        <w:spacing w:before="0"/>
        <w:rPr>
          <w:b/>
          <w:bCs/>
        </w:rPr>
      </w:pPr>
      <w:r w:rsidRPr="005F2A27">
        <w:rPr>
          <w:rFonts w:ascii="Arial" w:hAnsi="Arial" w:cs="Arial"/>
          <w:b/>
          <w:bCs/>
          <w:color w:val="000000"/>
          <w:sz w:val="22"/>
          <w:szCs w:val="22"/>
        </w:rPr>
        <w:t>3. RESULTS AND DISCUSSION</w:t>
      </w:r>
    </w:p>
    <w:p w14:paraId="264D0F6B" w14:textId="77777777" w:rsidR="005F2A27" w:rsidRPr="005F2A27" w:rsidRDefault="005F2A27" w:rsidP="005F2A27">
      <w:pPr>
        <w:rPr>
          <w:rFonts w:ascii="Arial" w:hAnsi="Arial" w:cs="Arial"/>
          <w:sz w:val="22"/>
          <w:szCs w:val="22"/>
        </w:rPr>
      </w:pPr>
    </w:p>
    <w:p w14:paraId="0BA2EA7A" w14:textId="77777777" w:rsidR="005F2A27" w:rsidRDefault="005F2A27" w:rsidP="005F2A27">
      <w:pPr>
        <w:pStyle w:val="Heading2"/>
        <w:spacing w:before="0"/>
        <w:rPr>
          <w:rFonts w:ascii="Arial" w:hAnsi="Arial" w:cs="Arial"/>
          <w:b/>
          <w:bCs/>
          <w:color w:val="000000"/>
          <w:sz w:val="22"/>
          <w:szCs w:val="22"/>
        </w:rPr>
      </w:pPr>
      <w:r w:rsidRPr="005F2A27">
        <w:rPr>
          <w:rFonts w:ascii="Arial" w:hAnsi="Arial" w:cs="Arial"/>
          <w:b/>
          <w:bCs/>
          <w:color w:val="000000"/>
          <w:sz w:val="22"/>
          <w:szCs w:val="22"/>
        </w:rPr>
        <w:t>3.1 Overview of Benchmarking Result</w:t>
      </w:r>
      <w:r>
        <w:rPr>
          <w:rFonts w:ascii="Arial" w:hAnsi="Arial" w:cs="Arial"/>
          <w:b/>
          <w:bCs/>
          <w:color w:val="000000"/>
          <w:sz w:val="22"/>
          <w:szCs w:val="22"/>
        </w:rPr>
        <w:t xml:space="preserve">s </w:t>
      </w:r>
    </w:p>
    <w:p w14:paraId="3E1C3967" w14:textId="77777777" w:rsidR="005F2A27" w:rsidRDefault="005F2A27" w:rsidP="005F2A27">
      <w:pPr>
        <w:pStyle w:val="Heading2"/>
        <w:spacing w:before="0"/>
        <w:rPr>
          <w:rFonts w:ascii="Arial" w:hAnsi="Arial" w:cs="Arial"/>
          <w:b/>
          <w:bCs/>
          <w:color w:val="000000"/>
          <w:sz w:val="22"/>
          <w:szCs w:val="22"/>
        </w:rPr>
      </w:pPr>
    </w:p>
    <w:p w14:paraId="59C3485A" w14:textId="282F6AAD" w:rsidR="005F2A27" w:rsidRPr="005F2A27" w:rsidRDefault="005F2A27" w:rsidP="005F2A27">
      <w:pPr>
        <w:pStyle w:val="Heading2"/>
        <w:spacing w:before="0"/>
        <w:rPr>
          <w:b/>
          <w:bCs/>
        </w:rPr>
      </w:pPr>
      <w:r>
        <w:rPr>
          <w:rFonts w:ascii="Arial" w:hAnsi="Arial" w:cs="Arial"/>
          <w:color w:val="000000"/>
          <w:sz w:val="20"/>
          <w:szCs w:val="20"/>
        </w:rPr>
        <w:t>The cross-case document analysis (see Section 2.12) shows that universities in different regions use similar strategies to address the digital divide. In the benchmark cases, digital inclusion is seen as an institutional and managerial issue, built into governance, strategic planning, and resource allocation, rather than just a teaching or technical problem (UNESCO, 2023; Miras et al., 2023). This approach appears in public materials that connect digital access to university missions, campus development, and student support systems.</w:t>
      </w:r>
    </w:p>
    <w:p w14:paraId="33BB9C6F" w14:textId="77777777" w:rsidR="005F2A27" w:rsidRDefault="005F2A27" w:rsidP="005F2A27">
      <w:pPr>
        <w:pStyle w:val="NormalWeb"/>
        <w:spacing w:before="0" w:beforeAutospacing="0" w:after="0" w:afterAutospacing="0"/>
      </w:pPr>
      <w:r>
        <w:rPr>
          <w:rFonts w:ascii="Arial" w:hAnsi="Arial" w:cs="Arial"/>
          <w:color w:val="000000"/>
          <w:sz w:val="20"/>
          <w:szCs w:val="20"/>
        </w:rPr>
        <w:t>Following the method in Section 2.12, the findings are organized into four main groups: (1) strategies focused on infrastructure access, (2) financial and resource support, (3) digital skills and capability development, and (4) flexible and alternative access pathways. These groups were common across the cases and shaped the tables and discussion that follow.</w:t>
      </w:r>
    </w:p>
    <w:p w14:paraId="3F6D0BD7" w14:textId="77777777" w:rsidR="005F2A27" w:rsidRPr="00EF4FE8" w:rsidRDefault="005F2A27" w:rsidP="005F2A27">
      <w:pPr>
        <w:rPr>
          <w:rFonts w:ascii="Arial" w:hAnsi="Arial" w:cs="Arial"/>
          <w:sz w:val="20"/>
          <w:szCs w:val="20"/>
        </w:rPr>
      </w:pPr>
    </w:p>
    <w:p w14:paraId="633D80E6" w14:textId="77777777" w:rsidR="00EF4FE8" w:rsidRPr="00EF4FE8" w:rsidRDefault="00EF4FE8" w:rsidP="00EF4FE8">
      <w:pPr>
        <w:pStyle w:val="Heading2"/>
        <w:spacing w:before="0"/>
        <w:rPr>
          <w:b/>
          <w:bCs/>
          <w:sz w:val="36"/>
          <w:szCs w:val="36"/>
        </w:rPr>
      </w:pPr>
      <w:r w:rsidRPr="00EF4FE8">
        <w:rPr>
          <w:rFonts w:ascii="Arial" w:hAnsi="Arial" w:cs="Arial"/>
          <w:b/>
          <w:bCs/>
          <w:color w:val="000000"/>
          <w:sz w:val="22"/>
          <w:szCs w:val="22"/>
        </w:rPr>
        <w:t>3.2 Infrastructure-Oriented Access Strategies</w:t>
      </w:r>
    </w:p>
    <w:p w14:paraId="4986F44F" w14:textId="77777777" w:rsidR="00EF4FE8" w:rsidRPr="00EF4FE8" w:rsidRDefault="00EF4FE8" w:rsidP="00EF4FE8">
      <w:pPr>
        <w:rPr>
          <w:rFonts w:ascii="Arial" w:hAnsi="Arial" w:cs="Arial"/>
          <w:sz w:val="20"/>
          <w:szCs w:val="20"/>
        </w:rPr>
      </w:pPr>
    </w:p>
    <w:p w14:paraId="59576519" w14:textId="77777777" w:rsidR="00EF4FE8" w:rsidRPr="00EF4FE8" w:rsidRDefault="00EF4FE8" w:rsidP="00EF4FE8">
      <w:pPr>
        <w:pStyle w:val="NormalWeb"/>
        <w:spacing w:before="0" w:beforeAutospacing="0" w:after="0" w:afterAutospacing="0"/>
        <w:rPr>
          <w:sz w:val="20"/>
          <w:szCs w:val="20"/>
        </w:rPr>
      </w:pPr>
      <w:r w:rsidRPr="00EF4FE8">
        <w:rPr>
          <w:rFonts w:ascii="Arial" w:hAnsi="Arial" w:cs="Arial"/>
          <w:color w:val="000000"/>
          <w:sz w:val="20"/>
          <w:szCs w:val="20"/>
        </w:rPr>
        <w:t>Benchmark universities focus on building strong institutional infrastructure to address digital divide challenges. Their public documents often mention smart campus strategies, centralized digital platforms, and reliable connectivity as essential for effective digital engagement and efficient operations (</w:t>
      </w:r>
      <w:proofErr w:type="spellStart"/>
      <w:r w:rsidRPr="00EF4FE8">
        <w:rPr>
          <w:rFonts w:ascii="Arial" w:hAnsi="Arial" w:cs="Arial"/>
          <w:color w:val="000000"/>
          <w:sz w:val="20"/>
          <w:szCs w:val="20"/>
        </w:rPr>
        <w:t>Zhukabayeva</w:t>
      </w:r>
      <w:proofErr w:type="spellEnd"/>
      <w:r w:rsidRPr="00EF4FE8">
        <w:rPr>
          <w:rFonts w:ascii="Arial" w:hAnsi="Arial" w:cs="Arial"/>
          <w:color w:val="000000"/>
          <w:sz w:val="20"/>
          <w:szCs w:val="20"/>
        </w:rPr>
        <w:t xml:space="preserve"> et al., 2025; Carmo et al., 2025). These efforts match recommendations in the literature for universities to invest in technology systems that go beyond classrooms and help achieve their broader goals (</w:t>
      </w:r>
      <w:proofErr w:type="spellStart"/>
      <w:r w:rsidRPr="00EF4FE8">
        <w:rPr>
          <w:rFonts w:ascii="Arial" w:hAnsi="Arial" w:cs="Arial"/>
          <w:color w:val="000000"/>
          <w:sz w:val="20"/>
          <w:szCs w:val="20"/>
        </w:rPr>
        <w:t>Zhukabayeva</w:t>
      </w:r>
      <w:proofErr w:type="spellEnd"/>
      <w:r w:rsidRPr="00EF4FE8">
        <w:rPr>
          <w:rFonts w:ascii="Arial" w:hAnsi="Arial" w:cs="Arial"/>
          <w:color w:val="000000"/>
          <w:sz w:val="20"/>
          <w:szCs w:val="20"/>
        </w:rPr>
        <w:t xml:space="preserve"> et al., 2025).</w:t>
      </w:r>
    </w:p>
    <w:p w14:paraId="64B2ADC4" w14:textId="60D0D88D" w:rsidR="000906B9" w:rsidRDefault="00EF4FE8" w:rsidP="00866582">
      <w:pPr>
        <w:pStyle w:val="NormalWeb"/>
        <w:spacing w:before="0" w:beforeAutospacing="0" w:after="0" w:afterAutospacing="0"/>
        <w:rPr>
          <w:rFonts w:ascii="Arial" w:hAnsi="Arial" w:cs="Arial"/>
          <w:color w:val="000000"/>
          <w:sz w:val="20"/>
          <w:szCs w:val="20"/>
        </w:rPr>
      </w:pPr>
      <w:r w:rsidRPr="00EF4FE8">
        <w:rPr>
          <w:rFonts w:ascii="Arial" w:hAnsi="Arial" w:cs="Arial"/>
          <w:color w:val="000000"/>
          <w:sz w:val="20"/>
          <w:szCs w:val="20"/>
        </w:rPr>
        <w:t xml:space="preserve">The Philippine case university shows a similar strategic approach by expanding learning spaces with digital access points, including computer labs, library systems, and campus Wi-Fi, though on a smaller scale than global benchmarks. This trend reflects normative pressures, as digitally integrated infrastructure is now seen as the standard for credible </w:t>
      </w:r>
      <w:r w:rsidRPr="00EF4FE8">
        <w:rPr>
          <w:rFonts w:ascii="Arial" w:hAnsi="Arial" w:cs="Arial"/>
          <w:color w:val="000000"/>
          <w:sz w:val="20"/>
          <w:szCs w:val="20"/>
        </w:rPr>
        <w:lastRenderedPageBreak/>
        <w:t>higher education institutions (Carmo et al., 2025), and mimetic pressures, where institutions copy digitally advanced peers to boost their legitimacy and competitiveness.</w:t>
      </w:r>
    </w:p>
    <w:p w14:paraId="53691FE5" w14:textId="77777777" w:rsidR="00866582" w:rsidRDefault="00866582" w:rsidP="00866582">
      <w:pPr>
        <w:pStyle w:val="NormalWeb"/>
        <w:spacing w:before="0" w:beforeAutospacing="0" w:after="0" w:afterAutospacing="0"/>
        <w:rPr>
          <w:rFonts w:ascii="Arial" w:hAnsi="Arial" w:cs="Arial"/>
          <w:color w:val="000000"/>
          <w:sz w:val="20"/>
          <w:szCs w:val="20"/>
        </w:rPr>
      </w:pPr>
    </w:p>
    <w:p w14:paraId="0EDCAD42" w14:textId="0C074756" w:rsidR="00866582" w:rsidRDefault="00714619" w:rsidP="00714619">
      <w:pPr>
        <w:pStyle w:val="NormalWeb"/>
        <w:spacing w:before="0" w:beforeAutospacing="0" w:after="0" w:afterAutospacing="0"/>
        <w:jc w:val="center"/>
        <w:rPr>
          <w:rFonts w:ascii="Arial" w:hAnsi="Arial" w:cs="Arial"/>
          <w:color w:val="000000"/>
          <w:sz w:val="20"/>
          <w:szCs w:val="20"/>
        </w:rPr>
      </w:pPr>
      <w:r>
        <w:rPr>
          <w:rFonts w:ascii="Arial" w:hAnsi="Arial" w:cs="Arial"/>
          <w:b/>
          <w:bCs/>
          <w:color w:val="000000"/>
          <w:sz w:val="20"/>
          <w:szCs w:val="20"/>
        </w:rPr>
        <w:t>Table 2. Infrastructure-Oriented Digital Access Strategies</w:t>
      </w:r>
    </w:p>
    <w:p w14:paraId="3E6888B5" w14:textId="77777777" w:rsidR="00866582" w:rsidRDefault="00866582" w:rsidP="00866582">
      <w:pPr>
        <w:pStyle w:val="NormalWeb"/>
        <w:spacing w:before="0" w:beforeAutospacing="0" w:after="0" w:afterAutospacing="0"/>
        <w:rPr>
          <w:rFonts w:ascii="Arial" w:hAnsi="Arial" w:cs="Arial"/>
          <w:color w:val="000000"/>
          <w:sz w:val="20"/>
          <w:szCs w:val="20"/>
        </w:rPr>
      </w:pPr>
    </w:p>
    <w:tbl>
      <w:tblPr>
        <w:tblW w:w="7830" w:type="dxa"/>
        <w:jc w:val="center"/>
        <w:tblBorders>
          <w:top w:val="single" w:sz="4" w:space="0" w:color="auto"/>
          <w:bottom w:val="single" w:sz="4" w:space="0" w:color="auto"/>
        </w:tblBorders>
        <w:tblLook w:val="01E0" w:firstRow="1" w:lastRow="1" w:firstColumn="1" w:lastColumn="1" w:noHBand="0" w:noVBand="0"/>
      </w:tblPr>
      <w:tblGrid>
        <w:gridCol w:w="3330"/>
        <w:gridCol w:w="2250"/>
        <w:gridCol w:w="2250"/>
      </w:tblGrid>
      <w:tr w:rsidR="00866582" w:rsidRPr="00BE2238" w14:paraId="4377B46A" w14:textId="77777777" w:rsidTr="00866582">
        <w:trPr>
          <w:jc w:val="center"/>
        </w:trPr>
        <w:tc>
          <w:tcPr>
            <w:tcW w:w="3330" w:type="dxa"/>
            <w:tcBorders>
              <w:top w:val="single" w:sz="4" w:space="0" w:color="auto"/>
              <w:bottom w:val="single" w:sz="4" w:space="0" w:color="auto"/>
            </w:tcBorders>
            <w:vAlign w:val="center"/>
          </w:tcPr>
          <w:p w14:paraId="7205C09D" w14:textId="186E87BE" w:rsidR="00866582" w:rsidRPr="00BE2238" w:rsidRDefault="00866582" w:rsidP="00866582">
            <w:pPr>
              <w:rPr>
                <w:rFonts w:ascii="Arial" w:hAnsi="Arial"/>
                <w:b/>
                <w:bCs/>
                <w:sz w:val="20"/>
                <w:szCs w:val="20"/>
              </w:rPr>
            </w:pPr>
            <w:r>
              <w:rPr>
                <w:rFonts w:ascii="Arial" w:hAnsi="Arial" w:cs="Arial"/>
                <w:b/>
                <w:bCs/>
                <w:color w:val="000000"/>
                <w:sz w:val="20"/>
                <w:szCs w:val="20"/>
              </w:rPr>
              <w:t>Institutional Focus</w:t>
            </w:r>
          </w:p>
        </w:tc>
        <w:tc>
          <w:tcPr>
            <w:tcW w:w="2250" w:type="dxa"/>
            <w:tcBorders>
              <w:top w:val="single" w:sz="4" w:space="0" w:color="auto"/>
              <w:bottom w:val="single" w:sz="4" w:space="0" w:color="auto"/>
            </w:tcBorders>
            <w:vAlign w:val="center"/>
          </w:tcPr>
          <w:p w14:paraId="61BB4AD5" w14:textId="2C7F3ADD" w:rsidR="00866582" w:rsidRPr="00BE2238" w:rsidRDefault="00866582" w:rsidP="00866582">
            <w:pPr>
              <w:rPr>
                <w:rFonts w:ascii="Arial" w:hAnsi="Arial"/>
                <w:b/>
                <w:bCs/>
                <w:sz w:val="20"/>
                <w:szCs w:val="20"/>
              </w:rPr>
            </w:pPr>
            <w:r>
              <w:rPr>
                <w:rFonts w:ascii="Arial" w:hAnsi="Arial" w:cs="Arial"/>
                <w:b/>
                <w:bCs/>
                <w:color w:val="000000"/>
                <w:sz w:val="20"/>
                <w:szCs w:val="20"/>
              </w:rPr>
              <w:t>Global Benchmark Universities</w:t>
            </w:r>
          </w:p>
        </w:tc>
        <w:tc>
          <w:tcPr>
            <w:tcW w:w="2250" w:type="dxa"/>
            <w:tcBorders>
              <w:top w:val="single" w:sz="4" w:space="0" w:color="auto"/>
              <w:bottom w:val="single" w:sz="4" w:space="0" w:color="auto"/>
            </w:tcBorders>
            <w:vAlign w:val="center"/>
          </w:tcPr>
          <w:p w14:paraId="6932BAB2" w14:textId="6EC47C65" w:rsidR="00866582" w:rsidRPr="00BE2238" w:rsidRDefault="00866582" w:rsidP="00866582">
            <w:pPr>
              <w:rPr>
                <w:rFonts w:ascii="Arial" w:hAnsi="Arial"/>
                <w:b/>
                <w:bCs/>
                <w:sz w:val="20"/>
                <w:szCs w:val="20"/>
              </w:rPr>
            </w:pPr>
            <w:r>
              <w:rPr>
                <w:rFonts w:ascii="Arial" w:hAnsi="Arial" w:cs="Arial"/>
                <w:b/>
                <w:bCs/>
                <w:color w:val="000000"/>
                <w:sz w:val="20"/>
                <w:szCs w:val="20"/>
              </w:rPr>
              <w:t>Philippine Case University</w:t>
            </w:r>
          </w:p>
        </w:tc>
      </w:tr>
      <w:tr w:rsidR="00866582" w:rsidRPr="00BE2238" w14:paraId="1BC6E6B4" w14:textId="77777777" w:rsidTr="00866582">
        <w:trPr>
          <w:trHeight w:val="242"/>
          <w:jc w:val="center"/>
        </w:trPr>
        <w:tc>
          <w:tcPr>
            <w:tcW w:w="3330" w:type="dxa"/>
            <w:tcBorders>
              <w:top w:val="single" w:sz="4" w:space="0" w:color="auto"/>
              <w:bottom w:val="single" w:sz="4" w:space="0" w:color="auto"/>
            </w:tcBorders>
            <w:vAlign w:val="center"/>
          </w:tcPr>
          <w:p w14:paraId="6251175B" w14:textId="286DF09B" w:rsidR="00866582" w:rsidRPr="00BE2238" w:rsidRDefault="00866582" w:rsidP="00866582">
            <w:pPr>
              <w:rPr>
                <w:rFonts w:ascii="Arial" w:hAnsi="Arial"/>
                <w:b/>
                <w:bCs/>
                <w:sz w:val="20"/>
                <w:szCs w:val="20"/>
              </w:rPr>
            </w:pPr>
            <w:r>
              <w:rPr>
                <w:rFonts w:ascii="Arial" w:hAnsi="Arial" w:cs="Arial"/>
                <w:color w:val="000000"/>
                <w:sz w:val="20"/>
                <w:szCs w:val="20"/>
              </w:rPr>
              <w:t>Smart campus vision</w:t>
            </w:r>
          </w:p>
        </w:tc>
        <w:tc>
          <w:tcPr>
            <w:tcW w:w="2250" w:type="dxa"/>
            <w:tcBorders>
              <w:top w:val="single" w:sz="4" w:space="0" w:color="auto"/>
              <w:bottom w:val="single" w:sz="4" w:space="0" w:color="auto"/>
            </w:tcBorders>
            <w:vAlign w:val="center"/>
          </w:tcPr>
          <w:p w14:paraId="5BF9D786" w14:textId="468E1DAF" w:rsidR="00866582" w:rsidRPr="00BE2238" w:rsidRDefault="00866582" w:rsidP="00866582">
            <w:pPr>
              <w:rPr>
                <w:rFonts w:ascii="Arial" w:hAnsi="Arial"/>
                <w:b/>
                <w:bCs/>
                <w:sz w:val="20"/>
                <w:szCs w:val="20"/>
              </w:rPr>
            </w:pPr>
            <w:r>
              <w:rPr>
                <w:rFonts w:ascii="Arial" w:hAnsi="Arial" w:cs="Arial"/>
                <w:color w:val="000000"/>
                <w:sz w:val="20"/>
                <w:szCs w:val="20"/>
              </w:rPr>
              <w:t>Common</w:t>
            </w:r>
          </w:p>
        </w:tc>
        <w:tc>
          <w:tcPr>
            <w:tcW w:w="2250" w:type="dxa"/>
            <w:tcBorders>
              <w:top w:val="single" w:sz="4" w:space="0" w:color="auto"/>
              <w:bottom w:val="single" w:sz="4" w:space="0" w:color="auto"/>
            </w:tcBorders>
            <w:vAlign w:val="center"/>
          </w:tcPr>
          <w:p w14:paraId="1ACE04E0" w14:textId="38E4E2C4" w:rsidR="00866582" w:rsidRPr="00BE2238" w:rsidRDefault="00866582" w:rsidP="00866582">
            <w:pPr>
              <w:rPr>
                <w:rFonts w:ascii="Arial" w:hAnsi="Arial"/>
                <w:b/>
                <w:bCs/>
                <w:sz w:val="20"/>
                <w:szCs w:val="20"/>
              </w:rPr>
            </w:pPr>
            <w:r>
              <w:rPr>
                <w:rFonts w:ascii="Arial" w:hAnsi="Arial" w:cs="Arial"/>
                <w:color w:val="000000"/>
                <w:sz w:val="20"/>
                <w:szCs w:val="20"/>
              </w:rPr>
              <w:t>Emerging</w:t>
            </w:r>
          </w:p>
        </w:tc>
      </w:tr>
      <w:tr w:rsidR="00866582" w:rsidRPr="00BE2238" w14:paraId="58167034" w14:textId="77777777" w:rsidTr="00866582">
        <w:trPr>
          <w:jc w:val="center"/>
        </w:trPr>
        <w:tc>
          <w:tcPr>
            <w:tcW w:w="3330" w:type="dxa"/>
            <w:tcBorders>
              <w:top w:val="single" w:sz="4" w:space="0" w:color="auto"/>
              <w:bottom w:val="single" w:sz="4" w:space="0" w:color="auto"/>
            </w:tcBorders>
            <w:vAlign w:val="center"/>
          </w:tcPr>
          <w:p w14:paraId="388D4E59" w14:textId="0333D59F" w:rsidR="00866582" w:rsidRPr="00BE2238" w:rsidRDefault="00866582" w:rsidP="00866582">
            <w:pPr>
              <w:rPr>
                <w:rFonts w:ascii="Arial" w:hAnsi="Arial" w:cs="Arial"/>
                <w:sz w:val="20"/>
                <w:szCs w:val="20"/>
              </w:rPr>
            </w:pPr>
            <w:r>
              <w:rPr>
                <w:rFonts w:ascii="Arial" w:hAnsi="Arial" w:cs="Arial"/>
                <w:color w:val="000000"/>
                <w:sz w:val="20"/>
                <w:szCs w:val="20"/>
              </w:rPr>
              <w:t>Centralized digital platforms</w:t>
            </w:r>
          </w:p>
        </w:tc>
        <w:tc>
          <w:tcPr>
            <w:tcW w:w="2250" w:type="dxa"/>
            <w:tcBorders>
              <w:top w:val="single" w:sz="4" w:space="0" w:color="auto"/>
              <w:bottom w:val="single" w:sz="4" w:space="0" w:color="auto"/>
            </w:tcBorders>
            <w:vAlign w:val="center"/>
          </w:tcPr>
          <w:p w14:paraId="200386B3" w14:textId="134A6104" w:rsidR="00866582" w:rsidRPr="00BE2238" w:rsidRDefault="00866582" w:rsidP="00866582">
            <w:pPr>
              <w:rPr>
                <w:rFonts w:ascii="Arial" w:hAnsi="Arial" w:cs="Arial"/>
                <w:sz w:val="20"/>
                <w:szCs w:val="20"/>
              </w:rPr>
            </w:pPr>
            <w:r>
              <w:rPr>
                <w:rFonts w:ascii="Arial" w:hAnsi="Arial" w:cs="Arial"/>
                <w:color w:val="000000"/>
                <w:sz w:val="20"/>
                <w:szCs w:val="20"/>
              </w:rPr>
              <w:t>Extensive</w:t>
            </w:r>
          </w:p>
        </w:tc>
        <w:tc>
          <w:tcPr>
            <w:tcW w:w="2250" w:type="dxa"/>
            <w:tcBorders>
              <w:top w:val="single" w:sz="4" w:space="0" w:color="auto"/>
              <w:bottom w:val="single" w:sz="4" w:space="0" w:color="auto"/>
            </w:tcBorders>
            <w:vAlign w:val="center"/>
          </w:tcPr>
          <w:p w14:paraId="425336C0" w14:textId="5530CE10" w:rsidR="00866582" w:rsidRPr="00BE2238" w:rsidRDefault="00866582" w:rsidP="00866582">
            <w:pPr>
              <w:rPr>
                <w:rFonts w:ascii="Arial" w:hAnsi="Arial"/>
                <w:sz w:val="20"/>
                <w:szCs w:val="20"/>
              </w:rPr>
            </w:pPr>
            <w:r>
              <w:rPr>
                <w:rFonts w:ascii="Arial" w:hAnsi="Arial" w:cs="Arial"/>
                <w:color w:val="000000"/>
                <w:sz w:val="20"/>
                <w:szCs w:val="20"/>
              </w:rPr>
              <w:t>Moderate</w:t>
            </w:r>
          </w:p>
        </w:tc>
      </w:tr>
      <w:tr w:rsidR="00866582" w:rsidRPr="00BE2238" w14:paraId="06F885EE" w14:textId="77777777" w:rsidTr="00866582">
        <w:trPr>
          <w:jc w:val="center"/>
        </w:trPr>
        <w:tc>
          <w:tcPr>
            <w:tcW w:w="3330" w:type="dxa"/>
            <w:tcBorders>
              <w:top w:val="single" w:sz="4" w:space="0" w:color="auto"/>
              <w:bottom w:val="single" w:sz="4" w:space="0" w:color="auto"/>
            </w:tcBorders>
            <w:vAlign w:val="center"/>
          </w:tcPr>
          <w:p w14:paraId="6FDB5015" w14:textId="54A488F9" w:rsidR="00866582" w:rsidRPr="00BE2238" w:rsidRDefault="00866582" w:rsidP="00866582">
            <w:pPr>
              <w:rPr>
                <w:rFonts w:ascii="Arial" w:hAnsi="Arial" w:cs="Arial"/>
                <w:sz w:val="20"/>
                <w:szCs w:val="20"/>
              </w:rPr>
            </w:pPr>
            <w:r>
              <w:rPr>
                <w:rFonts w:ascii="Arial" w:hAnsi="Arial" w:cs="Arial"/>
                <w:color w:val="000000"/>
                <w:sz w:val="20"/>
                <w:szCs w:val="20"/>
              </w:rPr>
              <w:t>Public access facilities</w:t>
            </w:r>
          </w:p>
        </w:tc>
        <w:tc>
          <w:tcPr>
            <w:tcW w:w="2250" w:type="dxa"/>
            <w:tcBorders>
              <w:top w:val="single" w:sz="4" w:space="0" w:color="auto"/>
              <w:bottom w:val="single" w:sz="4" w:space="0" w:color="auto"/>
            </w:tcBorders>
            <w:vAlign w:val="center"/>
          </w:tcPr>
          <w:p w14:paraId="4B9C23A0" w14:textId="53104BB2" w:rsidR="00866582" w:rsidRPr="00BE2238" w:rsidRDefault="00866582" w:rsidP="00866582">
            <w:pPr>
              <w:rPr>
                <w:rFonts w:ascii="Arial" w:hAnsi="Arial" w:cs="Arial"/>
                <w:sz w:val="20"/>
                <w:szCs w:val="20"/>
              </w:rPr>
            </w:pPr>
            <w:r>
              <w:rPr>
                <w:rFonts w:ascii="Arial" w:hAnsi="Arial" w:cs="Arial"/>
                <w:color w:val="000000"/>
                <w:sz w:val="20"/>
                <w:szCs w:val="20"/>
              </w:rPr>
              <w:t>Present</w:t>
            </w:r>
          </w:p>
        </w:tc>
        <w:tc>
          <w:tcPr>
            <w:tcW w:w="2250" w:type="dxa"/>
            <w:tcBorders>
              <w:top w:val="single" w:sz="4" w:space="0" w:color="auto"/>
              <w:bottom w:val="single" w:sz="4" w:space="0" w:color="auto"/>
            </w:tcBorders>
            <w:vAlign w:val="center"/>
          </w:tcPr>
          <w:p w14:paraId="400F7D7A" w14:textId="0C44639F" w:rsidR="00866582" w:rsidRPr="00BE2238" w:rsidRDefault="00866582" w:rsidP="00866582">
            <w:pPr>
              <w:rPr>
                <w:rFonts w:ascii="Arial" w:hAnsi="Arial"/>
                <w:sz w:val="20"/>
                <w:szCs w:val="20"/>
              </w:rPr>
            </w:pPr>
            <w:r>
              <w:rPr>
                <w:rFonts w:ascii="Arial" w:hAnsi="Arial" w:cs="Arial"/>
                <w:color w:val="000000"/>
                <w:sz w:val="20"/>
                <w:szCs w:val="20"/>
              </w:rPr>
              <w:t>Present</w:t>
            </w:r>
          </w:p>
        </w:tc>
      </w:tr>
      <w:tr w:rsidR="00866582" w:rsidRPr="00BE2238" w14:paraId="2A8911B6" w14:textId="77777777" w:rsidTr="00866582">
        <w:trPr>
          <w:trHeight w:val="314"/>
          <w:jc w:val="center"/>
        </w:trPr>
        <w:tc>
          <w:tcPr>
            <w:tcW w:w="3330" w:type="dxa"/>
            <w:tcBorders>
              <w:top w:val="single" w:sz="4" w:space="0" w:color="auto"/>
            </w:tcBorders>
            <w:vAlign w:val="center"/>
          </w:tcPr>
          <w:p w14:paraId="0736B4EF" w14:textId="61BD1E58" w:rsidR="00866582" w:rsidRPr="00BE2238" w:rsidRDefault="00866582" w:rsidP="00866582">
            <w:pPr>
              <w:rPr>
                <w:rFonts w:ascii="Arial" w:hAnsi="Arial" w:cs="Arial"/>
                <w:sz w:val="20"/>
                <w:szCs w:val="20"/>
              </w:rPr>
            </w:pPr>
            <w:r>
              <w:rPr>
                <w:rFonts w:ascii="Arial" w:hAnsi="Arial" w:cs="Arial"/>
                <w:color w:val="000000"/>
                <w:sz w:val="20"/>
                <w:szCs w:val="20"/>
              </w:rPr>
              <w:t>Long-term infrastructure planning</w:t>
            </w:r>
          </w:p>
        </w:tc>
        <w:tc>
          <w:tcPr>
            <w:tcW w:w="2250" w:type="dxa"/>
            <w:tcBorders>
              <w:top w:val="single" w:sz="4" w:space="0" w:color="auto"/>
            </w:tcBorders>
            <w:vAlign w:val="center"/>
          </w:tcPr>
          <w:p w14:paraId="58C7F483" w14:textId="1273C907" w:rsidR="00866582" w:rsidRPr="00BE2238" w:rsidRDefault="00866582" w:rsidP="00866582">
            <w:pPr>
              <w:rPr>
                <w:rFonts w:ascii="Arial" w:hAnsi="Arial" w:cs="Arial"/>
                <w:sz w:val="20"/>
                <w:szCs w:val="20"/>
              </w:rPr>
            </w:pPr>
            <w:r>
              <w:rPr>
                <w:rFonts w:ascii="Arial" w:hAnsi="Arial" w:cs="Arial"/>
                <w:color w:val="000000"/>
                <w:sz w:val="20"/>
                <w:szCs w:val="20"/>
              </w:rPr>
              <w:t>Explicit</w:t>
            </w:r>
          </w:p>
        </w:tc>
        <w:tc>
          <w:tcPr>
            <w:tcW w:w="2250" w:type="dxa"/>
            <w:tcBorders>
              <w:top w:val="single" w:sz="4" w:space="0" w:color="auto"/>
            </w:tcBorders>
            <w:vAlign w:val="center"/>
          </w:tcPr>
          <w:p w14:paraId="09FC2E91" w14:textId="67253625" w:rsidR="00866582" w:rsidRPr="00BE2238" w:rsidRDefault="00866582" w:rsidP="00866582">
            <w:pPr>
              <w:rPr>
                <w:rFonts w:ascii="Arial" w:hAnsi="Arial"/>
                <w:sz w:val="20"/>
                <w:szCs w:val="20"/>
              </w:rPr>
            </w:pPr>
            <w:r>
              <w:rPr>
                <w:rFonts w:ascii="Arial" w:hAnsi="Arial" w:cs="Arial"/>
                <w:color w:val="000000"/>
                <w:sz w:val="20"/>
                <w:szCs w:val="20"/>
              </w:rPr>
              <w:t>Explicit</w:t>
            </w:r>
          </w:p>
        </w:tc>
      </w:tr>
    </w:tbl>
    <w:p w14:paraId="5EB8E16A" w14:textId="77777777" w:rsidR="001F1F8A" w:rsidRDefault="001F1F8A" w:rsidP="00C37321">
      <w:pPr>
        <w:pStyle w:val="NormalWeb"/>
        <w:spacing w:before="0" w:beforeAutospacing="0" w:after="0" w:afterAutospacing="0"/>
        <w:rPr>
          <w:rFonts w:ascii="Arial" w:hAnsi="Arial" w:cs="Arial"/>
          <w:i/>
          <w:iCs/>
          <w:color w:val="000000"/>
          <w:sz w:val="18"/>
          <w:szCs w:val="18"/>
        </w:rPr>
      </w:pPr>
    </w:p>
    <w:p w14:paraId="6B7C7F28" w14:textId="0BA62DA8" w:rsidR="00AA45F0" w:rsidRPr="001F1F8A" w:rsidRDefault="00AA45F0" w:rsidP="00C37321">
      <w:pPr>
        <w:pStyle w:val="NormalWeb"/>
        <w:spacing w:before="0" w:beforeAutospacing="0" w:after="0" w:afterAutospacing="0"/>
        <w:rPr>
          <w:rFonts w:ascii="Arial" w:hAnsi="Arial" w:cs="Arial"/>
          <w:i/>
          <w:iCs/>
          <w:color w:val="000000"/>
          <w:sz w:val="18"/>
          <w:szCs w:val="18"/>
        </w:rPr>
      </w:pPr>
      <w:r w:rsidRPr="00C37321">
        <w:rPr>
          <w:rFonts w:ascii="Arial" w:hAnsi="Arial" w:cs="Arial"/>
          <w:i/>
          <w:iCs/>
          <w:color w:val="000000"/>
          <w:sz w:val="18"/>
          <w:szCs w:val="18"/>
        </w:rPr>
        <w:t>*The descriptors used in the table indicate the visibility, scope, maturity, and clarity of institutional strategies as articulated in publicly accessible documents.</w:t>
      </w:r>
    </w:p>
    <w:p w14:paraId="2227050A" w14:textId="0DB31502" w:rsidR="00AA45F0" w:rsidRPr="00C37321" w:rsidRDefault="00AA45F0" w:rsidP="00C37321">
      <w:pPr>
        <w:pStyle w:val="NormalWeb"/>
        <w:spacing w:before="0" w:beforeAutospacing="0" w:after="0" w:afterAutospacing="0"/>
        <w:rPr>
          <w:sz w:val="18"/>
          <w:szCs w:val="18"/>
        </w:rPr>
      </w:pPr>
      <w:r w:rsidRPr="00C37321">
        <w:rPr>
          <w:rFonts w:ascii="Arial" w:hAnsi="Arial" w:cs="Arial"/>
          <w:i/>
          <w:iCs/>
          <w:color w:val="000000"/>
          <w:sz w:val="18"/>
          <w:szCs w:val="18"/>
        </w:rPr>
        <w:t>Extensive refers to institution-wide strategies supported by multiple initiatives or systems.</w:t>
      </w:r>
    </w:p>
    <w:p w14:paraId="4DF90C80" w14:textId="2A39B6A2" w:rsidR="00AA45F0" w:rsidRPr="00C37321" w:rsidRDefault="00AA45F0" w:rsidP="00C37321">
      <w:pPr>
        <w:pStyle w:val="NormalWeb"/>
        <w:spacing w:before="0" w:beforeAutospacing="0" w:after="0" w:afterAutospacing="0"/>
        <w:rPr>
          <w:sz w:val="18"/>
          <w:szCs w:val="18"/>
        </w:rPr>
      </w:pPr>
      <w:r w:rsidRPr="00C37321">
        <w:rPr>
          <w:rFonts w:ascii="Arial" w:hAnsi="Arial" w:cs="Arial"/>
          <w:i/>
          <w:iCs/>
          <w:color w:val="000000"/>
          <w:sz w:val="18"/>
          <w:szCs w:val="18"/>
        </w:rPr>
        <w:t>Moderate indicates established but partially integrated strategies with limited scale.</w:t>
      </w:r>
    </w:p>
    <w:p w14:paraId="6661695B" w14:textId="03203494" w:rsidR="00AA45F0" w:rsidRPr="00C37321" w:rsidRDefault="00AA45F0" w:rsidP="00C37321">
      <w:pPr>
        <w:pStyle w:val="NormalWeb"/>
        <w:spacing w:before="0" w:beforeAutospacing="0" w:after="0" w:afterAutospacing="0"/>
        <w:rPr>
          <w:sz w:val="18"/>
          <w:szCs w:val="18"/>
        </w:rPr>
      </w:pPr>
      <w:r w:rsidRPr="00C37321">
        <w:rPr>
          <w:rFonts w:ascii="Arial" w:hAnsi="Arial" w:cs="Arial"/>
          <w:i/>
          <w:iCs/>
          <w:color w:val="000000"/>
          <w:sz w:val="18"/>
          <w:szCs w:val="18"/>
        </w:rPr>
        <w:t>Present denotes clear documentary evidence without strong strategic emphasis.</w:t>
      </w:r>
    </w:p>
    <w:p w14:paraId="4213C69D" w14:textId="058DCF6F" w:rsidR="00AA45F0" w:rsidRPr="00C37321" w:rsidRDefault="00AA45F0" w:rsidP="00C37321">
      <w:pPr>
        <w:pStyle w:val="NormalWeb"/>
        <w:spacing w:before="0" w:beforeAutospacing="0" w:after="0" w:afterAutospacing="0"/>
        <w:rPr>
          <w:sz w:val="18"/>
          <w:szCs w:val="18"/>
        </w:rPr>
      </w:pPr>
      <w:r w:rsidRPr="00C37321">
        <w:rPr>
          <w:rFonts w:ascii="Arial" w:hAnsi="Arial" w:cs="Arial"/>
          <w:i/>
          <w:iCs/>
          <w:color w:val="000000"/>
          <w:sz w:val="18"/>
          <w:szCs w:val="18"/>
        </w:rPr>
        <w:t>Emerging refers to early-stage or developing initiatives framed as aspirational or in progress.</w:t>
      </w:r>
    </w:p>
    <w:p w14:paraId="0BB746DC" w14:textId="2C5B9B9C" w:rsidR="00AA45F0" w:rsidRPr="00C37321" w:rsidRDefault="00AA45F0" w:rsidP="00C37321">
      <w:pPr>
        <w:pStyle w:val="NormalWeb"/>
        <w:spacing w:before="0" w:beforeAutospacing="0" w:after="0" w:afterAutospacing="0"/>
        <w:rPr>
          <w:sz w:val="18"/>
          <w:szCs w:val="18"/>
        </w:rPr>
      </w:pPr>
      <w:r w:rsidRPr="00C37321">
        <w:rPr>
          <w:rFonts w:ascii="Arial" w:hAnsi="Arial" w:cs="Arial"/>
          <w:i/>
          <w:iCs/>
          <w:color w:val="000000"/>
          <w:sz w:val="18"/>
          <w:szCs w:val="18"/>
        </w:rPr>
        <w:t>Common indicates strategies widely observed across most benchmark institutions.</w:t>
      </w:r>
    </w:p>
    <w:p w14:paraId="112626E3" w14:textId="77777777" w:rsidR="00AA45F0" w:rsidRPr="00C37321" w:rsidRDefault="00AA45F0" w:rsidP="00C37321">
      <w:pPr>
        <w:pStyle w:val="NormalWeb"/>
        <w:spacing w:before="0" w:beforeAutospacing="0" w:after="0" w:afterAutospacing="0"/>
        <w:rPr>
          <w:sz w:val="18"/>
          <w:szCs w:val="18"/>
        </w:rPr>
      </w:pPr>
      <w:r w:rsidRPr="00C37321">
        <w:rPr>
          <w:rFonts w:ascii="Arial" w:hAnsi="Arial" w:cs="Arial"/>
          <w:i/>
          <w:iCs/>
          <w:color w:val="000000"/>
          <w:sz w:val="18"/>
          <w:szCs w:val="18"/>
        </w:rPr>
        <w:t>Explicit refers to strategies that are clearly and formally articulated in official institutional documents.</w:t>
      </w:r>
    </w:p>
    <w:p w14:paraId="7FAE9872" w14:textId="77777777" w:rsidR="00AA45F0" w:rsidRPr="00C37321" w:rsidRDefault="00AA45F0" w:rsidP="00C37321">
      <w:pPr>
        <w:pStyle w:val="NormalWeb"/>
        <w:spacing w:before="0" w:beforeAutospacing="0" w:after="0" w:afterAutospacing="0"/>
        <w:rPr>
          <w:sz w:val="18"/>
          <w:szCs w:val="18"/>
        </w:rPr>
      </w:pPr>
      <w:r w:rsidRPr="00C37321">
        <w:rPr>
          <w:rFonts w:ascii="Arial" w:hAnsi="Arial" w:cs="Arial"/>
          <w:i/>
          <w:iCs/>
          <w:color w:val="000000"/>
          <w:sz w:val="18"/>
          <w:szCs w:val="18"/>
        </w:rPr>
        <w:t>These descriptors do not assess effectiveness or outcomes.</w:t>
      </w:r>
    </w:p>
    <w:p w14:paraId="681B4047" w14:textId="77777777" w:rsidR="00AA45F0" w:rsidRPr="00AA13ED" w:rsidRDefault="00AA45F0" w:rsidP="00AA45F0">
      <w:pPr>
        <w:rPr>
          <w:rFonts w:ascii="Arial" w:hAnsi="Arial" w:cs="Arial"/>
          <w:sz w:val="20"/>
          <w:szCs w:val="20"/>
        </w:rPr>
      </w:pPr>
    </w:p>
    <w:p w14:paraId="1CB348C0" w14:textId="77777777" w:rsidR="00AA13ED" w:rsidRPr="00AA13ED" w:rsidRDefault="00AA13ED" w:rsidP="00AA13ED">
      <w:pPr>
        <w:outlineLvl w:val="1"/>
        <w:rPr>
          <w:b/>
          <w:bCs/>
          <w:sz w:val="36"/>
          <w:szCs w:val="36"/>
        </w:rPr>
      </w:pPr>
      <w:r w:rsidRPr="00AA13ED">
        <w:rPr>
          <w:rFonts w:ascii="Arial" w:hAnsi="Arial" w:cs="Arial"/>
          <w:b/>
          <w:bCs/>
          <w:color w:val="000000"/>
          <w:sz w:val="22"/>
          <w:szCs w:val="22"/>
        </w:rPr>
        <w:t>3.3 Financial and Resource Support Mechanisms</w:t>
      </w:r>
    </w:p>
    <w:p w14:paraId="24FAB396" w14:textId="77777777" w:rsidR="00AA13ED" w:rsidRPr="00AA13ED" w:rsidRDefault="00AA13ED" w:rsidP="00AA13ED">
      <w:pPr>
        <w:rPr>
          <w:rFonts w:ascii="Arial" w:hAnsi="Arial" w:cs="Arial"/>
          <w:sz w:val="22"/>
          <w:szCs w:val="22"/>
        </w:rPr>
      </w:pPr>
    </w:p>
    <w:p w14:paraId="40C8400F" w14:textId="77777777" w:rsidR="00AA13ED" w:rsidRPr="00AA13ED" w:rsidRDefault="00AA13ED" w:rsidP="00AA13ED">
      <w:pPr>
        <w:rPr>
          <w:sz w:val="20"/>
          <w:szCs w:val="20"/>
        </w:rPr>
      </w:pPr>
      <w:r w:rsidRPr="00AA13ED">
        <w:rPr>
          <w:rFonts w:ascii="Arial" w:hAnsi="Arial" w:cs="Arial"/>
          <w:color w:val="000000"/>
          <w:sz w:val="20"/>
          <w:szCs w:val="20"/>
        </w:rPr>
        <w:t>Financial challenges are a key part of digital exclusion and are often highlighted in recent studies as an ongoing equity issue in higher education (</w:t>
      </w:r>
      <w:proofErr w:type="spellStart"/>
      <w:r w:rsidRPr="00AA13ED">
        <w:rPr>
          <w:rFonts w:ascii="Arial" w:hAnsi="Arial" w:cs="Arial"/>
          <w:color w:val="000000"/>
          <w:sz w:val="20"/>
          <w:szCs w:val="20"/>
        </w:rPr>
        <w:t>Dyantyi</w:t>
      </w:r>
      <w:proofErr w:type="spellEnd"/>
      <w:r w:rsidRPr="00AA13ED">
        <w:rPr>
          <w:rFonts w:ascii="Arial" w:hAnsi="Arial" w:cs="Arial"/>
          <w:color w:val="000000"/>
          <w:sz w:val="20"/>
          <w:szCs w:val="20"/>
        </w:rPr>
        <w:t xml:space="preserve"> &amp; </w:t>
      </w:r>
      <w:proofErr w:type="spellStart"/>
      <w:r w:rsidRPr="00AA13ED">
        <w:rPr>
          <w:rFonts w:ascii="Arial" w:hAnsi="Arial" w:cs="Arial"/>
          <w:color w:val="000000"/>
          <w:sz w:val="20"/>
          <w:szCs w:val="20"/>
        </w:rPr>
        <w:t>Mkabile-Masebe</w:t>
      </w:r>
      <w:proofErr w:type="spellEnd"/>
      <w:r w:rsidRPr="00AA13ED">
        <w:rPr>
          <w:rFonts w:ascii="Arial" w:hAnsi="Arial" w:cs="Arial"/>
          <w:color w:val="000000"/>
          <w:sz w:val="20"/>
          <w:szCs w:val="20"/>
        </w:rPr>
        <w:t xml:space="preserve">, 2025; </w:t>
      </w:r>
      <w:proofErr w:type="spellStart"/>
      <w:r w:rsidRPr="00AA13ED">
        <w:rPr>
          <w:rFonts w:ascii="Arial" w:hAnsi="Arial" w:cs="Arial"/>
          <w:color w:val="000000"/>
          <w:sz w:val="20"/>
          <w:szCs w:val="20"/>
        </w:rPr>
        <w:t>Barragán</w:t>
      </w:r>
      <w:proofErr w:type="spellEnd"/>
      <w:r w:rsidRPr="00AA13ED">
        <w:rPr>
          <w:rFonts w:ascii="Arial" w:hAnsi="Arial" w:cs="Arial"/>
          <w:color w:val="000000"/>
          <w:sz w:val="20"/>
          <w:szCs w:val="20"/>
        </w:rPr>
        <w:t xml:space="preserve"> Moreno &amp; </w:t>
      </w:r>
      <w:proofErr w:type="spellStart"/>
      <w:r w:rsidRPr="00AA13ED">
        <w:rPr>
          <w:rFonts w:ascii="Arial" w:hAnsi="Arial" w:cs="Arial"/>
          <w:color w:val="000000"/>
          <w:sz w:val="20"/>
          <w:szCs w:val="20"/>
        </w:rPr>
        <w:t>Rincón</w:t>
      </w:r>
      <w:proofErr w:type="spellEnd"/>
      <w:r w:rsidRPr="00AA13ED">
        <w:rPr>
          <w:rFonts w:ascii="Arial" w:hAnsi="Arial" w:cs="Arial"/>
          <w:color w:val="000000"/>
          <w:sz w:val="20"/>
          <w:szCs w:val="20"/>
        </w:rPr>
        <w:t>, 2025). Leading universities have used different financial tools, such as scholarships, emergency aid, technology grants, and support offices, to help students from less advantaged backgrounds get better digital access. Recent studies show that digital interventions focused on equity need support from institutions to prevent worsening existing inequalities, especially for students with different language backgrounds and socio-economic needs (</w:t>
      </w:r>
      <w:proofErr w:type="spellStart"/>
      <w:r w:rsidRPr="00AA13ED">
        <w:rPr>
          <w:rFonts w:ascii="Arial" w:hAnsi="Arial" w:cs="Arial"/>
          <w:color w:val="000000"/>
          <w:sz w:val="20"/>
          <w:szCs w:val="20"/>
        </w:rPr>
        <w:t>Yousofi</w:t>
      </w:r>
      <w:proofErr w:type="spellEnd"/>
      <w:r w:rsidRPr="00AA13ED">
        <w:rPr>
          <w:rFonts w:ascii="Arial" w:hAnsi="Arial" w:cs="Arial"/>
          <w:color w:val="000000"/>
          <w:sz w:val="20"/>
          <w:szCs w:val="20"/>
        </w:rPr>
        <w:t xml:space="preserve"> et al., 2025).</w:t>
      </w:r>
    </w:p>
    <w:p w14:paraId="5D4E4CA0" w14:textId="77777777" w:rsidR="00AA13ED" w:rsidRDefault="00AA13ED" w:rsidP="00AA13ED">
      <w:pPr>
        <w:rPr>
          <w:rFonts w:ascii="Arial" w:hAnsi="Arial" w:cs="Arial"/>
          <w:color w:val="000000"/>
          <w:sz w:val="20"/>
          <w:szCs w:val="20"/>
        </w:rPr>
      </w:pPr>
      <w:r w:rsidRPr="00AA13ED">
        <w:rPr>
          <w:rFonts w:ascii="Arial" w:hAnsi="Arial" w:cs="Arial"/>
          <w:color w:val="000000"/>
          <w:sz w:val="20"/>
          <w:szCs w:val="20"/>
        </w:rPr>
        <w:t>In the same way, the Philippine university’s financial assistance programs, offered through student services, help students get devices, internet access, and other digital resources. These efforts reflect Equity and Access Theory, which stresses the need for targeted support for those facing digital exclusion, instead of one-size-fits-all solutions that overlook deeper inequalities.</w:t>
      </w:r>
    </w:p>
    <w:p w14:paraId="47A46E97" w14:textId="77777777" w:rsidR="001F1F8A" w:rsidRDefault="001F1F8A" w:rsidP="00AA13ED">
      <w:pPr>
        <w:rPr>
          <w:rFonts w:ascii="Arial" w:hAnsi="Arial" w:cs="Arial"/>
          <w:color w:val="000000"/>
          <w:sz w:val="20"/>
          <w:szCs w:val="20"/>
        </w:rPr>
      </w:pPr>
    </w:p>
    <w:p w14:paraId="6E6EFB8C" w14:textId="5118F680" w:rsidR="001F1F8A" w:rsidRPr="001F1F8A" w:rsidRDefault="001F1F8A" w:rsidP="001F1F8A">
      <w:pPr>
        <w:pStyle w:val="NormalWeb"/>
        <w:spacing w:before="0" w:beforeAutospacing="0" w:after="0" w:afterAutospacing="0"/>
        <w:jc w:val="center"/>
      </w:pPr>
      <w:r>
        <w:rPr>
          <w:rFonts w:ascii="Arial" w:hAnsi="Arial" w:cs="Arial"/>
          <w:b/>
          <w:bCs/>
          <w:color w:val="000000"/>
          <w:sz w:val="20"/>
          <w:szCs w:val="20"/>
        </w:rPr>
        <w:t>Table 3. Financial and Resource-Based Equity Mechanisms</w:t>
      </w:r>
    </w:p>
    <w:p w14:paraId="1165CA97" w14:textId="77777777" w:rsidR="001F1F8A" w:rsidRDefault="001F1F8A" w:rsidP="00AA13ED">
      <w:pPr>
        <w:rPr>
          <w:rFonts w:ascii="Arial" w:hAnsi="Arial" w:cs="Arial"/>
          <w:color w:val="000000"/>
          <w:sz w:val="20"/>
          <w:szCs w:val="20"/>
        </w:rPr>
      </w:pPr>
    </w:p>
    <w:tbl>
      <w:tblPr>
        <w:tblW w:w="7830" w:type="dxa"/>
        <w:jc w:val="center"/>
        <w:tblBorders>
          <w:top w:val="single" w:sz="4" w:space="0" w:color="auto"/>
          <w:bottom w:val="single" w:sz="4" w:space="0" w:color="auto"/>
        </w:tblBorders>
        <w:tblLook w:val="01E0" w:firstRow="1" w:lastRow="1" w:firstColumn="1" w:lastColumn="1" w:noHBand="0" w:noVBand="0"/>
      </w:tblPr>
      <w:tblGrid>
        <w:gridCol w:w="3330"/>
        <w:gridCol w:w="2250"/>
        <w:gridCol w:w="2250"/>
      </w:tblGrid>
      <w:tr w:rsidR="001F1F8A" w:rsidRPr="00BC612C" w14:paraId="57514C57" w14:textId="77777777" w:rsidTr="005835E4">
        <w:trPr>
          <w:jc w:val="center"/>
        </w:trPr>
        <w:tc>
          <w:tcPr>
            <w:tcW w:w="3330" w:type="dxa"/>
            <w:tcBorders>
              <w:top w:val="single" w:sz="4" w:space="0" w:color="auto"/>
              <w:bottom w:val="single" w:sz="4" w:space="0" w:color="auto"/>
            </w:tcBorders>
            <w:vAlign w:val="center"/>
          </w:tcPr>
          <w:p w14:paraId="58B285DE" w14:textId="63167758" w:rsidR="001F1F8A" w:rsidRPr="00BC612C" w:rsidRDefault="001F1F8A" w:rsidP="001F1F8A">
            <w:pPr>
              <w:rPr>
                <w:rFonts w:ascii="Arial" w:hAnsi="Arial" w:cs="Arial"/>
                <w:b/>
                <w:bCs/>
                <w:sz w:val="20"/>
                <w:szCs w:val="20"/>
              </w:rPr>
            </w:pPr>
            <w:r w:rsidRPr="00BC612C">
              <w:rPr>
                <w:rFonts w:ascii="Arial" w:hAnsi="Arial" w:cs="Arial"/>
                <w:b/>
                <w:bCs/>
                <w:color w:val="000000"/>
                <w:sz w:val="20"/>
                <w:szCs w:val="20"/>
              </w:rPr>
              <w:t>Mechanism Type</w:t>
            </w:r>
          </w:p>
        </w:tc>
        <w:tc>
          <w:tcPr>
            <w:tcW w:w="2250" w:type="dxa"/>
            <w:tcBorders>
              <w:top w:val="single" w:sz="4" w:space="0" w:color="auto"/>
              <w:bottom w:val="single" w:sz="4" w:space="0" w:color="auto"/>
            </w:tcBorders>
            <w:vAlign w:val="center"/>
          </w:tcPr>
          <w:p w14:paraId="53C681C5" w14:textId="2F27A505" w:rsidR="001F1F8A" w:rsidRPr="00BC612C" w:rsidRDefault="001F1F8A" w:rsidP="003B2560">
            <w:pPr>
              <w:jc w:val="center"/>
              <w:rPr>
                <w:rFonts w:ascii="Arial" w:hAnsi="Arial" w:cs="Arial"/>
                <w:b/>
                <w:bCs/>
                <w:sz w:val="20"/>
                <w:szCs w:val="20"/>
              </w:rPr>
            </w:pPr>
            <w:r w:rsidRPr="00BC612C">
              <w:rPr>
                <w:rFonts w:ascii="Arial" w:hAnsi="Arial" w:cs="Arial"/>
                <w:b/>
                <w:bCs/>
                <w:color w:val="000000"/>
                <w:sz w:val="20"/>
                <w:szCs w:val="20"/>
              </w:rPr>
              <w:t>Global Benchmark Universities</w:t>
            </w:r>
          </w:p>
        </w:tc>
        <w:tc>
          <w:tcPr>
            <w:tcW w:w="2250" w:type="dxa"/>
            <w:tcBorders>
              <w:top w:val="single" w:sz="4" w:space="0" w:color="auto"/>
              <w:bottom w:val="single" w:sz="4" w:space="0" w:color="auto"/>
            </w:tcBorders>
            <w:vAlign w:val="center"/>
          </w:tcPr>
          <w:p w14:paraId="016D4088" w14:textId="57C9F734" w:rsidR="001F1F8A" w:rsidRPr="00BC612C" w:rsidRDefault="001F1F8A" w:rsidP="003B2560">
            <w:pPr>
              <w:jc w:val="center"/>
              <w:rPr>
                <w:rFonts w:ascii="Arial" w:hAnsi="Arial" w:cs="Arial"/>
                <w:b/>
                <w:bCs/>
                <w:sz w:val="20"/>
                <w:szCs w:val="20"/>
              </w:rPr>
            </w:pPr>
            <w:r w:rsidRPr="00BC612C">
              <w:rPr>
                <w:rFonts w:ascii="Arial" w:hAnsi="Arial" w:cs="Arial"/>
                <w:b/>
                <w:bCs/>
                <w:color w:val="000000"/>
                <w:sz w:val="20"/>
                <w:szCs w:val="20"/>
              </w:rPr>
              <w:t>Philippine Case University</w:t>
            </w:r>
          </w:p>
        </w:tc>
      </w:tr>
      <w:tr w:rsidR="001F1F8A" w:rsidRPr="00BC612C" w14:paraId="5496EA69" w14:textId="77777777" w:rsidTr="005835E4">
        <w:trPr>
          <w:trHeight w:val="242"/>
          <w:jc w:val="center"/>
        </w:trPr>
        <w:tc>
          <w:tcPr>
            <w:tcW w:w="3330" w:type="dxa"/>
            <w:tcBorders>
              <w:top w:val="single" w:sz="4" w:space="0" w:color="auto"/>
              <w:bottom w:val="single" w:sz="4" w:space="0" w:color="auto"/>
            </w:tcBorders>
            <w:vAlign w:val="center"/>
          </w:tcPr>
          <w:p w14:paraId="64EA8284" w14:textId="57D6AD99" w:rsidR="001F1F8A" w:rsidRPr="00BC612C" w:rsidRDefault="001F1F8A" w:rsidP="001F1F8A">
            <w:pPr>
              <w:rPr>
                <w:rFonts w:ascii="Arial" w:hAnsi="Arial" w:cs="Arial"/>
                <w:b/>
                <w:bCs/>
                <w:sz w:val="20"/>
                <w:szCs w:val="20"/>
              </w:rPr>
            </w:pPr>
            <w:r w:rsidRPr="00BC612C">
              <w:rPr>
                <w:rFonts w:ascii="Arial" w:hAnsi="Arial" w:cs="Arial"/>
                <w:color w:val="000000"/>
                <w:sz w:val="20"/>
                <w:szCs w:val="20"/>
              </w:rPr>
              <w:t>Scholarships/stipends</w:t>
            </w:r>
          </w:p>
        </w:tc>
        <w:tc>
          <w:tcPr>
            <w:tcW w:w="2250" w:type="dxa"/>
            <w:tcBorders>
              <w:top w:val="single" w:sz="4" w:space="0" w:color="auto"/>
              <w:bottom w:val="single" w:sz="4" w:space="0" w:color="auto"/>
            </w:tcBorders>
            <w:vAlign w:val="center"/>
          </w:tcPr>
          <w:p w14:paraId="139DF040" w14:textId="526838D0" w:rsidR="001F1F8A" w:rsidRPr="00BC612C" w:rsidRDefault="001F1F8A" w:rsidP="001F1F8A">
            <w:pPr>
              <w:jc w:val="center"/>
              <w:rPr>
                <w:rFonts w:ascii="Arial" w:hAnsi="Arial" w:cs="Arial"/>
                <w:b/>
                <w:bCs/>
                <w:sz w:val="20"/>
                <w:szCs w:val="20"/>
              </w:rPr>
            </w:pPr>
            <w:r w:rsidRPr="00BC612C">
              <w:rPr>
                <w:rFonts w:ascii="Segoe UI Symbol" w:hAnsi="Segoe UI Symbol" w:cs="Segoe UI Symbol"/>
                <w:color w:val="000000"/>
                <w:sz w:val="20"/>
                <w:szCs w:val="20"/>
              </w:rPr>
              <w:t>✓</w:t>
            </w:r>
          </w:p>
        </w:tc>
        <w:tc>
          <w:tcPr>
            <w:tcW w:w="2250" w:type="dxa"/>
            <w:tcBorders>
              <w:top w:val="single" w:sz="4" w:space="0" w:color="auto"/>
              <w:bottom w:val="single" w:sz="4" w:space="0" w:color="auto"/>
            </w:tcBorders>
            <w:vAlign w:val="center"/>
          </w:tcPr>
          <w:p w14:paraId="2D16891D" w14:textId="73F7DC90" w:rsidR="001F1F8A" w:rsidRPr="00BC612C" w:rsidRDefault="001F1F8A" w:rsidP="001F1F8A">
            <w:pPr>
              <w:jc w:val="center"/>
              <w:rPr>
                <w:rFonts w:ascii="Arial" w:hAnsi="Arial" w:cs="Arial"/>
                <w:b/>
                <w:bCs/>
                <w:sz w:val="20"/>
                <w:szCs w:val="20"/>
              </w:rPr>
            </w:pPr>
            <w:r w:rsidRPr="00BC612C">
              <w:rPr>
                <w:rFonts w:ascii="Segoe UI Symbol" w:hAnsi="Segoe UI Symbol" w:cs="Segoe UI Symbol"/>
                <w:color w:val="000000"/>
                <w:sz w:val="20"/>
                <w:szCs w:val="20"/>
              </w:rPr>
              <w:t>✓</w:t>
            </w:r>
          </w:p>
        </w:tc>
      </w:tr>
      <w:tr w:rsidR="001F1F8A" w:rsidRPr="00BC612C" w14:paraId="0E6A593D" w14:textId="77777777" w:rsidTr="005835E4">
        <w:trPr>
          <w:jc w:val="center"/>
        </w:trPr>
        <w:tc>
          <w:tcPr>
            <w:tcW w:w="3330" w:type="dxa"/>
            <w:tcBorders>
              <w:top w:val="single" w:sz="4" w:space="0" w:color="auto"/>
              <w:bottom w:val="single" w:sz="4" w:space="0" w:color="auto"/>
            </w:tcBorders>
            <w:vAlign w:val="center"/>
          </w:tcPr>
          <w:p w14:paraId="3CABA5EC" w14:textId="48B2CE0F" w:rsidR="001F1F8A" w:rsidRPr="00BC612C" w:rsidRDefault="001F1F8A" w:rsidP="001F1F8A">
            <w:pPr>
              <w:rPr>
                <w:rFonts w:ascii="Arial" w:hAnsi="Arial" w:cs="Arial"/>
                <w:sz w:val="20"/>
                <w:szCs w:val="20"/>
              </w:rPr>
            </w:pPr>
            <w:r w:rsidRPr="00BC612C">
              <w:rPr>
                <w:rFonts w:ascii="Arial" w:hAnsi="Arial" w:cs="Arial"/>
                <w:color w:val="000000"/>
                <w:sz w:val="20"/>
                <w:szCs w:val="20"/>
              </w:rPr>
              <w:t>Emergency or assistance funds</w:t>
            </w:r>
          </w:p>
        </w:tc>
        <w:tc>
          <w:tcPr>
            <w:tcW w:w="2250" w:type="dxa"/>
            <w:tcBorders>
              <w:top w:val="single" w:sz="4" w:space="0" w:color="auto"/>
              <w:bottom w:val="single" w:sz="4" w:space="0" w:color="auto"/>
            </w:tcBorders>
            <w:vAlign w:val="center"/>
          </w:tcPr>
          <w:p w14:paraId="2009182B" w14:textId="78A67A51" w:rsidR="001F1F8A" w:rsidRPr="00BC612C" w:rsidRDefault="001F1F8A" w:rsidP="001F1F8A">
            <w:pPr>
              <w:jc w:val="center"/>
              <w:rPr>
                <w:rFonts w:ascii="Arial" w:hAnsi="Arial" w:cs="Arial"/>
                <w:sz w:val="20"/>
                <w:szCs w:val="20"/>
              </w:rPr>
            </w:pPr>
            <w:r w:rsidRPr="00BC612C">
              <w:rPr>
                <w:rFonts w:ascii="Segoe UI Symbol" w:hAnsi="Segoe UI Symbol" w:cs="Segoe UI Symbol"/>
                <w:color w:val="000000"/>
                <w:sz w:val="20"/>
                <w:szCs w:val="20"/>
              </w:rPr>
              <w:t>✓</w:t>
            </w:r>
          </w:p>
        </w:tc>
        <w:tc>
          <w:tcPr>
            <w:tcW w:w="2250" w:type="dxa"/>
            <w:tcBorders>
              <w:top w:val="single" w:sz="4" w:space="0" w:color="auto"/>
              <w:bottom w:val="single" w:sz="4" w:space="0" w:color="auto"/>
            </w:tcBorders>
            <w:vAlign w:val="center"/>
          </w:tcPr>
          <w:p w14:paraId="17F0DD66" w14:textId="53B13C28" w:rsidR="001F1F8A" w:rsidRPr="00BC612C" w:rsidRDefault="001F1F8A" w:rsidP="001F1F8A">
            <w:pPr>
              <w:jc w:val="center"/>
              <w:rPr>
                <w:rFonts w:ascii="Arial" w:hAnsi="Arial" w:cs="Arial"/>
                <w:sz w:val="20"/>
                <w:szCs w:val="20"/>
              </w:rPr>
            </w:pPr>
            <w:r w:rsidRPr="00BC612C">
              <w:rPr>
                <w:rFonts w:ascii="Segoe UI Symbol" w:hAnsi="Segoe UI Symbol" w:cs="Segoe UI Symbol"/>
                <w:color w:val="000000"/>
                <w:sz w:val="20"/>
                <w:szCs w:val="20"/>
              </w:rPr>
              <w:t>✓</w:t>
            </w:r>
          </w:p>
        </w:tc>
      </w:tr>
      <w:tr w:rsidR="001F1F8A" w:rsidRPr="00BC612C" w14:paraId="2B4E0CDA" w14:textId="77777777" w:rsidTr="005835E4">
        <w:trPr>
          <w:jc w:val="center"/>
        </w:trPr>
        <w:tc>
          <w:tcPr>
            <w:tcW w:w="3330" w:type="dxa"/>
            <w:tcBorders>
              <w:top w:val="single" w:sz="4" w:space="0" w:color="auto"/>
              <w:bottom w:val="single" w:sz="4" w:space="0" w:color="auto"/>
            </w:tcBorders>
            <w:vAlign w:val="center"/>
          </w:tcPr>
          <w:p w14:paraId="20EE4211" w14:textId="10B3FF79" w:rsidR="001F1F8A" w:rsidRPr="00BC612C" w:rsidRDefault="001F1F8A" w:rsidP="001F1F8A">
            <w:pPr>
              <w:rPr>
                <w:rFonts w:ascii="Arial" w:hAnsi="Arial" w:cs="Arial"/>
                <w:sz w:val="20"/>
                <w:szCs w:val="20"/>
              </w:rPr>
            </w:pPr>
            <w:r w:rsidRPr="00BC612C">
              <w:rPr>
                <w:rFonts w:ascii="Arial" w:hAnsi="Arial" w:cs="Arial"/>
                <w:color w:val="000000"/>
                <w:sz w:val="20"/>
                <w:szCs w:val="20"/>
              </w:rPr>
              <w:t>Centralized student support units</w:t>
            </w:r>
          </w:p>
        </w:tc>
        <w:tc>
          <w:tcPr>
            <w:tcW w:w="2250" w:type="dxa"/>
            <w:tcBorders>
              <w:top w:val="single" w:sz="4" w:space="0" w:color="auto"/>
              <w:bottom w:val="single" w:sz="4" w:space="0" w:color="auto"/>
            </w:tcBorders>
            <w:vAlign w:val="center"/>
          </w:tcPr>
          <w:p w14:paraId="6F6955E6" w14:textId="48FB3DB7" w:rsidR="001F1F8A" w:rsidRPr="00BC612C" w:rsidRDefault="001F1F8A" w:rsidP="001F1F8A">
            <w:pPr>
              <w:jc w:val="center"/>
              <w:rPr>
                <w:rFonts w:ascii="Arial" w:hAnsi="Arial" w:cs="Arial"/>
                <w:sz w:val="20"/>
                <w:szCs w:val="20"/>
              </w:rPr>
            </w:pPr>
            <w:r w:rsidRPr="00BC612C">
              <w:rPr>
                <w:rFonts w:ascii="Segoe UI Symbol" w:hAnsi="Segoe UI Symbol" w:cs="Segoe UI Symbol"/>
                <w:color w:val="000000"/>
                <w:sz w:val="20"/>
                <w:szCs w:val="20"/>
              </w:rPr>
              <w:t>✓</w:t>
            </w:r>
          </w:p>
        </w:tc>
        <w:tc>
          <w:tcPr>
            <w:tcW w:w="2250" w:type="dxa"/>
            <w:tcBorders>
              <w:top w:val="single" w:sz="4" w:space="0" w:color="auto"/>
              <w:bottom w:val="single" w:sz="4" w:space="0" w:color="auto"/>
            </w:tcBorders>
            <w:vAlign w:val="center"/>
          </w:tcPr>
          <w:p w14:paraId="37113C96" w14:textId="3DB861FD" w:rsidR="001F1F8A" w:rsidRPr="00BC612C" w:rsidRDefault="001F1F8A" w:rsidP="001F1F8A">
            <w:pPr>
              <w:jc w:val="center"/>
              <w:rPr>
                <w:rFonts w:ascii="Arial" w:hAnsi="Arial" w:cs="Arial"/>
                <w:sz w:val="20"/>
                <w:szCs w:val="20"/>
              </w:rPr>
            </w:pPr>
            <w:r w:rsidRPr="00BC612C">
              <w:rPr>
                <w:rFonts w:ascii="Segoe UI Symbol" w:hAnsi="Segoe UI Symbol" w:cs="Segoe UI Symbol"/>
                <w:color w:val="000000"/>
                <w:sz w:val="20"/>
                <w:szCs w:val="20"/>
              </w:rPr>
              <w:t>✓</w:t>
            </w:r>
          </w:p>
        </w:tc>
      </w:tr>
      <w:tr w:rsidR="001F1F8A" w:rsidRPr="00BC612C" w14:paraId="5BE70B06" w14:textId="77777777" w:rsidTr="005835E4">
        <w:trPr>
          <w:trHeight w:val="314"/>
          <w:jc w:val="center"/>
        </w:trPr>
        <w:tc>
          <w:tcPr>
            <w:tcW w:w="3330" w:type="dxa"/>
            <w:tcBorders>
              <w:top w:val="single" w:sz="4" w:space="0" w:color="auto"/>
            </w:tcBorders>
            <w:vAlign w:val="center"/>
          </w:tcPr>
          <w:p w14:paraId="6C4FD02C" w14:textId="7B212995" w:rsidR="001F1F8A" w:rsidRPr="00BC612C" w:rsidRDefault="001F1F8A" w:rsidP="001F1F8A">
            <w:pPr>
              <w:rPr>
                <w:rFonts w:ascii="Arial" w:hAnsi="Arial" w:cs="Arial"/>
                <w:sz w:val="20"/>
                <w:szCs w:val="20"/>
              </w:rPr>
            </w:pPr>
            <w:r w:rsidRPr="00BC612C">
              <w:rPr>
                <w:rFonts w:ascii="Arial" w:hAnsi="Arial" w:cs="Arial"/>
                <w:color w:val="000000"/>
                <w:sz w:val="20"/>
                <w:szCs w:val="20"/>
              </w:rPr>
              <w:t>Targeted equity-oriented aid</w:t>
            </w:r>
          </w:p>
        </w:tc>
        <w:tc>
          <w:tcPr>
            <w:tcW w:w="2250" w:type="dxa"/>
            <w:tcBorders>
              <w:top w:val="single" w:sz="4" w:space="0" w:color="auto"/>
            </w:tcBorders>
            <w:vAlign w:val="center"/>
          </w:tcPr>
          <w:p w14:paraId="4CF2250A" w14:textId="71CCC50B" w:rsidR="001F1F8A" w:rsidRPr="00BC612C" w:rsidRDefault="001F1F8A" w:rsidP="001F1F8A">
            <w:pPr>
              <w:jc w:val="center"/>
              <w:rPr>
                <w:rFonts w:ascii="Arial" w:hAnsi="Arial" w:cs="Arial"/>
                <w:sz w:val="20"/>
                <w:szCs w:val="20"/>
              </w:rPr>
            </w:pPr>
            <w:r w:rsidRPr="00BC612C">
              <w:rPr>
                <w:rFonts w:ascii="Segoe UI Symbol" w:hAnsi="Segoe UI Symbol" w:cs="Segoe UI Symbol"/>
                <w:color w:val="000000"/>
                <w:sz w:val="20"/>
                <w:szCs w:val="20"/>
              </w:rPr>
              <w:t>✓</w:t>
            </w:r>
          </w:p>
        </w:tc>
        <w:tc>
          <w:tcPr>
            <w:tcW w:w="2250" w:type="dxa"/>
            <w:tcBorders>
              <w:top w:val="single" w:sz="4" w:space="0" w:color="auto"/>
            </w:tcBorders>
            <w:vAlign w:val="center"/>
          </w:tcPr>
          <w:p w14:paraId="0083D09F" w14:textId="1D2B9DBF" w:rsidR="001F1F8A" w:rsidRPr="00BC612C" w:rsidRDefault="001F1F8A" w:rsidP="001F1F8A">
            <w:pPr>
              <w:jc w:val="center"/>
              <w:rPr>
                <w:rFonts w:ascii="Arial" w:hAnsi="Arial" w:cs="Arial"/>
                <w:sz w:val="20"/>
                <w:szCs w:val="20"/>
              </w:rPr>
            </w:pPr>
            <w:r w:rsidRPr="00BC612C">
              <w:rPr>
                <w:rFonts w:ascii="Segoe UI Symbol" w:hAnsi="Segoe UI Symbol" w:cs="Segoe UI Symbol"/>
                <w:color w:val="000000"/>
                <w:sz w:val="20"/>
                <w:szCs w:val="20"/>
              </w:rPr>
              <w:t>✓</w:t>
            </w:r>
          </w:p>
        </w:tc>
      </w:tr>
    </w:tbl>
    <w:p w14:paraId="722F9333" w14:textId="77777777" w:rsidR="001F1F8A" w:rsidRPr="001F1F8A" w:rsidRDefault="001F1F8A" w:rsidP="00AA13ED">
      <w:pPr>
        <w:rPr>
          <w:rFonts w:ascii="Arial" w:hAnsi="Arial" w:cs="Arial"/>
          <w:sz w:val="20"/>
          <w:szCs w:val="20"/>
        </w:rPr>
      </w:pPr>
    </w:p>
    <w:p w14:paraId="18C40E04" w14:textId="3A6381F1" w:rsidR="001F1F8A" w:rsidRDefault="001F1F8A" w:rsidP="009C6F7C">
      <w:pPr>
        <w:pStyle w:val="NormalWeb"/>
        <w:spacing w:before="0" w:beforeAutospacing="0" w:after="0" w:afterAutospacing="0"/>
        <w:rPr>
          <w:rFonts w:ascii="Arial" w:hAnsi="Arial" w:cs="Arial"/>
          <w:i/>
          <w:iCs/>
          <w:color w:val="000000"/>
          <w:sz w:val="20"/>
          <w:szCs w:val="20"/>
        </w:rPr>
      </w:pPr>
      <w:r>
        <w:rPr>
          <w:rFonts w:ascii="Arial" w:hAnsi="Arial" w:cs="Arial"/>
          <w:i/>
          <w:iCs/>
          <w:color w:val="000000"/>
          <w:sz w:val="20"/>
          <w:szCs w:val="20"/>
        </w:rPr>
        <w:t>*Check marks indicate the documented presence of each mechanism in publicly accessible institutional materials. The table does not assess the scale, adequacy, or effectiveness of these mechanisms</w:t>
      </w:r>
      <w:r w:rsidR="009C6F7C">
        <w:rPr>
          <w:rFonts w:ascii="Arial" w:hAnsi="Arial" w:cs="Arial"/>
          <w:i/>
          <w:iCs/>
          <w:color w:val="000000"/>
          <w:sz w:val="20"/>
          <w:szCs w:val="20"/>
        </w:rPr>
        <w:t>.</w:t>
      </w:r>
    </w:p>
    <w:p w14:paraId="1DD8D32F" w14:textId="77777777" w:rsidR="009C6F7C" w:rsidRDefault="009C6F7C" w:rsidP="009C6F7C">
      <w:pPr>
        <w:pStyle w:val="NormalWeb"/>
        <w:spacing w:before="0" w:beforeAutospacing="0" w:after="0" w:afterAutospacing="0"/>
        <w:rPr>
          <w:rFonts w:ascii="Arial" w:hAnsi="Arial" w:cs="Arial"/>
          <w:i/>
          <w:iCs/>
          <w:color w:val="000000"/>
          <w:sz w:val="20"/>
          <w:szCs w:val="20"/>
        </w:rPr>
      </w:pPr>
    </w:p>
    <w:p w14:paraId="07794800" w14:textId="77777777" w:rsidR="009C6F7C" w:rsidRDefault="009C6F7C" w:rsidP="009C6F7C">
      <w:pPr>
        <w:outlineLvl w:val="1"/>
        <w:rPr>
          <w:b/>
          <w:bCs/>
          <w:sz w:val="36"/>
          <w:szCs w:val="36"/>
        </w:rPr>
      </w:pPr>
      <w:r w:rsidRPr="009C6F7C">
        <w:rPr>
          <w:rFonts w:ascii="Arial" w:hAnsi="Arial" w:cs="Arial"/>
          <w:b/>
          <w:bCs/>
          <w:color w:val="000000"/>
          <w:sz w:val="22"/>
          <w:szCs w:val="22"/>
        </w:rPr>
        <w:t>3.4 Digital Skills and Capability Development</w:t>
      </w:r>
      <w:r>
        <w:rPr>
          <w:b/>
          <w:bCs/>
          <w:sz w:val="36"/>
          <w:szCs w:val="36"/>
        </w:rPr>
        <w:t xml:space="preserve"> </w:t>
      </w:r>
    </w:p>
    <w:p w14:paraId="7C9F69F3" w14:textId="77777777" w:rsidR="009C6F7C" w:rsidRDefault="009C6F7C" w:rsidP="009C6F7C">
      <w:pPr>
        <w:outlineLvl w:val="1"/>
        <w:rPr>
          <w:rFonts w:ascii="Arial" w:hAnsi="Arial" w:cs="Arial"/>
          <w:color w:val="000000"/>
          <w:sz w:val="20"/>
          <w:szCs w:val="20"/>
        </w:rPr>
      </w:pPr>
    </w:p>
    <w:p w14:paraId="6332FB2F" w14:textId="2927F2EE" w:rsidR="009C6F7C" w:rsidRPr="009C6F7C" w:rsidRDefault="009C6F7C" w:rsidP="009C6F7C">
      <w:pPr>
        <w:outlineLvl w:val="1"/>
        <w:rPr>
          <w:b/>
          <w:bCs/>
          <w:sz w:val="20"/>
          <w:szCs w:val="20"/>
        </w:rPr>
      </w:pPr>
      <w:r w:rsidRPr="009C6F7C">
        <w:rPr>
          <w:rFonts w:ascii="Arial" w:hAnsi="Arial" w:cs="Arial"/>
          <w:color w:val="000000"/>
          <w:sz w:val="20"/>
          <w:szCs w:val="20"/>
        </w:rPr>
        <w:t>Universities consider digital skills and capability development essential for participating in digital learning, not just for providing access. Many top institutions offer digital literacy training for students and faculty through dedicated centers and programs (</w:t>
      </w:r>
      <w:proofErr w:type="spellStart"/>
      <w:r w:rsidRPr="009C6F7C">
        <w:rPr>
          <w:rFonts w:ascii="Arial" w:hAnsi="Arial" w:cs="Arial"/>
          <w:color w:val="000000"/>
          <w:sz w:val="20"/>
          <w:szCs w:val="20"/>
        </w:rPr>
        <w:t>Zhukabayeva</w:t>
      </w:r>
      <w:proofErr w:type="spellEnd"/>
      <w:r w:rsidRPr="009C6F7C">
        <w:rPr>
          <w:rFonts w:ascii="Arial" w:hAnsi="Arial" w:cs="Arial"/>
          <w:color w:val="000000"/>
          <w:sz w:val="20"/>
          <w:szCs w:val="20"/>
        </w:rPr>
        <w:t xml:space="preserve"> et al., 2025). These efforts help schools use technology in teaching and strengthen digital competence. Studies on educational technology equity show that building digital skills and having strong institutional support are key to reducing digital divides. Without equal access to technology and support, educational inequalities can grow worse (</w:t>
      </w:r>
      <w:proofErr w:type="spellStart"/>
      <w:r w:rsidRPr="009C6F7C">
        <w:rPr>
          <w:rFonts w:ascii="Arial" w:hAnsi="Arial" w:cs="Arial"/>
          <w:color w:val="000000"/>
          <w:sz w:val="20"/>
          <w:szCs w:val="20"/>
        </w:rPr>
        <w:t>Yousofi</w:t>
      </w:r>
      <w:proofErr w:type="spellEnd"/>
      <w:r w:rsidRPr="009C6F7C">
        <w:rPr>
          <w:rFonts w:ascii="Arial" w:hAnsi="Arial" w:cs="Arial"/>
          <w:color w:val="000000"/>
          <w:sz w:val="20"/>
          <w:szCs w:val="20"/>
        </w:rPr>
        <w:t xml:space="preserve"> et al., 2025).</w:t>
      </w:r>
    </w:p>
    <w:p w14:paraId="35DB2154" w14:textId="77777777" w:rsidR="009C6F7C" w:rsidRPr="009C6F7C" w:rsidRDefault="009C6F7C" w:rsidP="009C6F7C">
      <w:pPr>
        <w:rPr>
          <w:sz w:val="20"/>
          <w:szCs w:val="20"/>
        </w:rPr>
      </w:pPr>
      <w:r w:rsidRPr="009C6F7C">
        <w:rPr>
          <w:rFonts w:ascii="Arial" w:hAnsi="Arial" w:cs="Arial"/>
          <w:color w:val="000000"/>
          <w:sz w:val="20"/>
          <w:szCs w:val="20"/>
        </w:rPr>
        <w:t>The Philippine case university also emphasizes capacity building through formalized training initiatives and externally funded digital skills projects that facilitate the adoption of digital tools by students and faculty. Institutionally, these efforts are influenced by normative pressures, such as shared expectations for digital readiness among professional peers, as well as coercive pressures, including accreditation standards and accountability frameworks.</w:t>
      </w:r>
    </w:p>
    <w:p w14:paraId="329A5288" w14:textId="77777777" w:rsidR="009C6F7C" w:rsidRPr="006C39C8" w:rsidRDefault="009C6F7C" w:rsidP="009C6F7C">
      <w:pPr>
        <w:rPr>
          <w:rFonts w:ascii="Arial" w:hAnsi="Arial" w:cs="Arial"/>
          <w:sz w:val="20"/>
          <w:szCs w:val="20"/>
        </w:rPr>
      </w:pPr>
    </w:p>
    <w:p w14:paraId="2A9F39EB" w14:textId="7D59A245" w:rsidR="006C39C8" w:rsidRPr="006C39C8" w:rsidRDefault="004A3BFA" w:rsidP="004A3BFA">
      <w:pPr>
        <w:jc w:val="center"/>
        <w:rPr>
          <w:rFonts w:ascii="Arial" w:hAnsi="Arial" w:cs="Arial"/>
          <w:sz w:val="20"/>
          <w:szCs w:val="20"/>
        </w:rPr>
      </w:pPr>
      <w:r>
        <w:rPr>
          <w:rFonts w:ascii="Arial" w:hAnsi="Arial" w:cs="Arial"/>
          <w:b/>
          <w:bCs/>
          <w:color w:val="000000"/>
          <w:sz w:val="20"/>
          <w:szCs w:val="20"/>
        </w:rPr>
        <w:t>Table 4. Digital Skills and Capability Development Strategies</w:t>
      </w:r>
    </w:p>
    <w:p w14:paraId="5469FD3C" w14:textId="77777777" w:rsidR="006C39C8" w:rsidRPr="006C39C8" w:rsidRDefault="006C39C8" w:rsidP="009C6F7C">
      <w:pPr>
        <w:rPr>
          <w:rFonts w:ascii="Arial" w:hAnsi="Arial" w:cs="Arial"/>
          <w:sz w:val="20"/>
          <w:szCs w:val="20"/>
        </w:rPr>
      </w:pPr>
    </w:p>
    <w:tbl>
      <w:tblPr>
        <w:tblW w:w="7830" w:type="dxa"/>
        <w:jc w:val="center"/>
        <w:tblBorders>
          <w:top w:val="single" w:sz="4" w:space="0" w:color="auto"/>
          <w:bottom w:val="single" w:sz="4" w:space="0" w:color="auto"/>
        </w:tblBorders>
        <w:tblLook w:val="01E0" w:firstRow="1" w:lastRow="1" w:firstColumn="1" w:lastColumn="1" w:noHBand="0" w:noVBand="0"/>
      </w:tblPr>
      <w:tblGrid>
        <w:gridCol w:w="3330"/>
        <w:gridCol w:w="2250"/>
        <w:gridCol w:w="2250"/>
      </w:tblGrid>
      <w:tr w:rsidR="006C39C8" w:rsidRPr="00BE2238" w14:paraId="1F5FF7EF" w14:textId="77777777" w:rsidTr="00A65EB4">
        <w:trPr>
          <w:jc w:val="center"/>
        </w:trPr>
        <w:tc>
          <w:tcPr>
            <w:tcW w:w="3330" w:type="dxa"/>
            <w:tcBorders>
              <w:top w:val="single" w:sz="4" w:space="0" w:color="auto"/>
              <w:bottom w:val="single" w:sz="4" w:space="0" w:color="auto"/>
            </w:tcBorders>
            <w:vAlign w:val="center"/>
          </w:tcPr>
          <w:p w14:paraId="748A0C91" w14:textId="32B9111A" w:rsidR="006C39C8" w:rsidRPr="00BE2238" w:rsidRDefault="006C39C8" w:rsidP="006C39C8">
            <w:pPr>
              <w:rPr>
                <w:rFonts w:ascii="Arial" w:hAnsi="Arial"/>
                <w:b/>
                <w:bCs/>
                <w:sz w:val="20"/>
                <w:szCs w:val="20"/>
              </w:rPr>
            </w:pPr>
            <w:r>
              <w:rPr>
                <w:rFonts w:ascii="Arial" w:hAnsi="Arial" w:cs="Arial"/>
                <w:b/>
                <w:bCs/>
                <w:color w:val="000000"/>
                <w:sz w:val="20"/>
                <w:szCs w:val="20"/>
              </w:rPr>
              <w:t>Strategy Dimension</w:t>
            </w:r>
          </w:p>
        </w:tc>
        <w:tc>
          <w:tcPr>
            <w:tcW w:w="2250" w:type="dxa"/>
            <w:tcBorders>
              <w:top w:val="single" w:sz="4" w:space="0" w:color="auto"/>
              <w:bottom w:val="single" w:sz="4" w:space="0" w:color="auto"/>
            </w:tcBorders>
          </w:tcPr>
          <w:p w14:paraId="6F110844" w14:textId="02239F5C" w:rsidR="006C39C8" w:rsidRPr="00BE2238" w:rsidRDefault="006C39C8" w:rsidP="006C39C8">
            <w:pPr>
              <w:jc w:val="center"/>
              <w:rPr>
                <w:rFonts w:ascii="Arial" w:hAnsi="Arial"/>
                <w:b/>
                <w:bCs/>
                <w:sz w:val="20"/>
                <w:szCs w:val="20"/>
              </w:rPr>
            </w:pPr>
            <w:r>
              <w:rPr>
                <w:rFonts w:ascii="Arial" w:hAnsi="Arial" w:cs="Arial"/>
                <w:b/>
                <w:bCs/>
                <w:color w:val="000000"/>
                <w:sz w:val="20"/>
                <w:szCs w:val="20"/>
              </w:rPr>
              <w:t>Global Benchmark Universities</w:t>
            </w:r>
          </w:p>
        </w:tc>
        <w:tc>
          <w:tcPr>
            <w:tcW w:w="2250" w:type="dxa"/>
            <w:tcBorders>
              <w:top w:val="single" w:sz="4" w:space="0" w:color="auto"/>
              <w:bottom w:val="single" w:sz="4" w:space="0" w:color="auto"/>
            </w:tcBorders>
          </w:tcPr>
          <w:p w14:paraId="7B7700A0" w14:textId="7C030E23" w:rsidR="006C39C8" w:rsidRPr="00BE2238" w:rsidRDefault="006C39C8" w:rsidP="006C39C8">
            <w:pPr>
              <w:jc w:val="center"/>
              <w:rPr>
                <w:rFonts w:ascii="Arial" w:hAnsi="Arial"/>
                <w:b/>
                <w:bCs/>
                <w:sz w:val="20"/>
                <w:szCs w:val="20"/>
              </w:rPr>
            </w:pPr>
            <w:r>
              <w:rPr>
                <w:rFonts w:ascii="Arial" w:hAnsi="Arial" w:cs="Arial"/>
                <w:b/>
                <w:bCs/>
                <w:color w:val="000000"/>
                <w:sz w:val="20"/>
                <w:szCs w:val="20"/>
              </w:rPr>
              <w:t>Philippine Case University</w:t>
            </w:r>
          </w:p>
        </w:tc>
      </w:tr>
      <w:tr w:rsidR="006C39C8" w:rsidRPr="00BE2238" w14:paraId="5F18DDBF" w14:textId="77777777" w:rsidTr="00A65EB4">
        <w:trPr>
          <w:trHeight w:val="242"/>
          <w:jc w:val="center"/>
        </w:trPr>
        <w:tc>
          <w:tcPr>
            <w:tcW w:w="3330" w:type="dxa"/>
            <w:tcBorders>
              <w:top w:val="single" w:sz="4" w:space="0" w:color="auto"/>
              <w:bottom w:val="single" w:sz="4" w:space="0" w:color="auto"/>
            </w:tcBorders>
          </w:tcPr>
          <w:p w14:paraId="3FB73E67" w14:textId="378E3F58" w:rsidR="006C39C8" w:rsidRPr="00BE2238" w:rsidRDefault="006C39C8" w:rsidP="006C39C8">
            <w:pPr>
              <w:rPr>
                <w:rFonts w:ascii="Arial" w:hAnsi="Arial"/>
                <w:b/>
                <w:bCs/>
                <w:sz w:val="20"/>
                <w:szCs w:val="20"/>
              </w:rPr>
            </w:pPr>
            <w:r>
              <w:rPr>
                <w:rFonts w:ascii="Arial" w:hAnsi="Arial" w:cs="Arial"/>
                <w:color w:val="000000"/>
                <w:sz w:val="20"/>
                <w:szCs w:val="20"/>
              </w:rPr>
              <w:t>Faculty digital training</w:t>
            </w:r>
          </w:p>
        </w:tc>
        <w:tc>
          <w:tcPr>
            <w:tcW w:w="2250" w:type="dxa"/>
            <w:tcBorders>
              <w:top w:val="single" w:sz="4" w:space="0" w:color="auto"/>
              <w:bottom w:val="single" w:sz="4" w:space="0" w:color="auto"/>
            </w:tcBorders>
          </w:tcPr>
          <w:p w14:paraId="73E1C032" w14:textId="74ED3596" w:rsidR="006C39C8" w:rsidRPr="00BE2238" w:rsidRDefault="006C39C8" w:rsidP="006C39C8">
            <w:pPr>
              <w:jc w:val="center"/>
              <w:rPr>
                <w:rFonts w:ascii="Arial" w:hAnsi="Arial"/>
                <w:b/>
                <w:bCs/>
                <w:sz w:val="20"/>
                <w:szCs w:val="20"/>
              </w:rPr>
            </w:pPr>
            <w:r>
              <w:rPr>
                <w:rFonts w:ascii="Arial" w:hAnsi="Arial" w:cs="Arial"/>
                <w:color w:val="000000"/>
                <w:sz w:val="20"/>
                <w:szCs w:val="20"/>
              </w:rPr>
              <w:t>Extensive</w:t>
            </w:r>
          </w:p>
        </w:tc>
        <w:tc>
          <w:tcPr>
            <w:tcW w:w="2250" w:type="dxa"/>
            <w:tcBorders>
              <w:top w:val="single" w:sz="4" w:space="0" w:color="auto"/>
              <w:bottom w:val="single" w:sz="4" w:space="0" w:color="auto"/>
            </w:tcBorders>
          </w:tcPr>
          <w:p w14:paraId="369722A5" w14:textId="302DFF63" w:rsidR="006C39C8" w:rsidRPr="00BE2238" w:rsidRDefault="006C39C8" w:rsidP="006C39C8">
            <w:pPr>
              <w:jc w:val="center"/>
              <w:rPr>
                <w:rFonts w:ascii="Arial" w:hAnsi="Arial"/>
                <w:b/>
                <w:bCs/>
                <w:sz w:val="20"/>
                <w:szCs w:val="20"/>
              </w:rPr>
            </w:pPr>
            <w:r>
              <w:rPr>
                <w:rFonts w:ascii="Arial" w:hAnsi="Arial" w:cs="Arial"/>
                <w:color w:val="000000"/>
                <w:sz w:val="20"/>
                <w:szCs w:val="20"/>
              </w:rPr>
              <w:t>Present</w:t>
            </w:r>
          </w:p>
        </w:tc>
      </w:tr>
      <w:tr w:rsidR="006C39C8" w:rsidRPr="00BE2238" w14:paraId="1DE5DE04" w14:textId="77777777" w:rsidTr="00A65EB4">
        <w:trPr>
          <w:jc w:val="center"/>
        </w:trPr>
        <w:tc>
          <w:tcPr>
            <w:tcW w:w="3330" w:type="dxa"/>
            <w:tcBorders>
              <w:top w:val="single" w:sz="4" w:space="0" w:color="auto"/>
              <w:bottom w:val="single" w:sz="4" w:space="0" w:color="auto"/>
            </w:tcBorders>
          </w:tcPr>
          <w:p w14:paraId="57FFBF01" w14:textId="180DB79C" w:rsidR="006C39C8" w:rsidRPr="00BE2238" w:rsidRDefault="006C39C8" w:rsidP="006C39C8">
            <w:pPr>
              <w:rPr>
                <w:rFonts w:ascii="Arial" w:hAnsi="Arial" w:cs="Arial"/>
                <w:sz w:val="20"/>
                <w:szCs w:val="20"/>
              </w:rPr>
            </w:pPr>
            <w:r>
              <w:rPr>
                <w:rFonts w:ascii="Arial" w:hAnsi="Arial" w:cs="Arial"/>
                <w:color w:val="000000"/>
                <w:sz w:val="20"/>
                <w:szCs w:val="20"/>
              </w:rPr>
              <w:t>Student digital literacy initiatives</w:t>
            </w:r>
          </w:p>
        </w:tc>
        <w:tc>
          <w:tcPr>
            <w:tcW w:w="2250" w:type="dxa"/>
            <w:tcBorders>
              <w:top w:val="single" w:sz="4" w:space="0" w:color="auto"/>
              <w:bottom w:val="single" w:sz="4" w:space="0" w:color="auto"/>
            </w:tcBorders>
          </w:tcPr>
          <w:p w14:paraId="094F624F" w14:textId="5EF12BDF" w:rsidR="006C39C8" w:rsidRPr="00BE2238" w:rsidRDefault="006C39C8" w:rsidP="006C39C8">
            <w:pPr>
              <w:jc w:val="center"/>
              <w:rPr>
                <w:rFonts w:ascii="Arial" w:hAnsi="Arial" w:cs="Arial"/>
                <w:sz w:val="20"/>
                <w:szCs w:val="20"/>
              </w:rPr>
            </w:pPr>
            <w:r>
              <w:rPr>
                <w:rFonts w:ascii="Arial" w:hAnsi="Arial" w:cs="Arial"/>
                <w:color w:val="000000"/>
                <w:sz w:val="20"/>
                <w:szCs w:val="20"/>
              </w:rPr>
              <w:t>Extensive</w:t>
            </w:r>
          </w:p>
        </w:tc>
        <w:tc>
          <w:tcPr>
            <w:tcW w:w="2250" w:type="dxa"/>
            <w:tcBorders>
              <w:top w:val="single" w:sz="4" w:space="0" w:color="auto"/>
              <w:bottom w:val="single" w:sz="4" w:space="0" w:color="auto"/>
            </w:tcBorders>
          </w:tcPr>
          <w:p w14:paraId="457B151D" w14:textId="073667F9" w:rsidR="006C39C8" w:rsidRPr="00BE2238" w:rsidRDefault="006C39C8" w:rsidP="006C39C8">
            <w:pPr>
              <w:jc w:val="center"/>
              <w:rPr>
                <w:rFonts w:ascii="Arial" w:hAnsi="Arial"/>
                <w:sz w:val="20"/>
                <w:szCs w:val="20"/>
              </w:rPr>
            </w:pPr>
            <w:r>
              <w:rPr>
                <w:rFonts w:ascii="Arial" w:hAnsi="Arial" w:cs="Arial"/>
                <w:color w:val="000000"/>
                <w:sz w:val="20"/>
                <w:szCs w:val="20"/>
              </w:rPr>
              <w:t>Present</w:t>
            </w:r>
          </w:p>
        </w:tc>
      </w:tr>
      <w:tr w:rsidR="006C39C8" w:rsidRPr="00BE2238" w14:paraId="4A38F678" w14:textId="77777777" w:rsidTr="00A65EB4">
        <w:trPr>
          <w:jc w:val="center"/>
        </w:trPr>
        <w:tc>
          <w:tcPr>
            <w:tcW w:w="3330" w:type="dxa"/>
            <w:tcBorders>
              <w:top w:val="single" w:sz="4" w:space="0" w:color="auto"/>
              <w:bottom w:val="single" w:sz="4" w:space="0" w:color="auto"/>
            </w:tcBorders>
          </w:tcPr>
          <w:p w14:paraId="1683092F" w14:textId="162AD184" w:rsidR="006C39C8" w:rsidRPr="00BE2238" w:rsidRDefault="006C39C8" w:rsidP="006C39C8">
            <w:pPr>
              <w:rPr>
                <w:rFonts w:ascii="Arial" w:hAnsi="Arial" w:cs="Arial"/>
                <w:sz w:val="20"/>
                <w:szCs w:val="20"/>
              </w:rPr>
            </w:pPr>
            <w:r>
              <w:rPr>
                <w:rFonts w:ascii="Arial" w:hAnsi="Arial" w:cs="Arial"/>
                <w:color w:val="000000"/>
                <w:sz w:val="20"/>
                <w:szCs w:val="20"/>
              </w:rPr>
              <w:t>Dedicated teaching and learning centers</w:t>
            </w:r>
          </w:p>
        </w:tc>
        <w:tc>
          <w:tcPr>
            <w:tcW w:w="2250" w:type="dxa"/>
            <w:tcBorders>
              <w:top w:val="single" w:sz="4" w:space="0" w:color="auto"/>
              <w:bottom w:val="single" w:sz="4" w:space="0" w:color="auto"/>
            </w:tcBorders>
          </w:tcPr>
          <w:p w14:paraId="3C041FB9" w14:textId="3C2B0938" w:rsidR="006C39C8" w:rsidRPr="00BE2238" w:rsidRDefault="006C39C8" w:rsidP="006C39C8">
            <w:pPr>
              <w:jc w:val="center"/>
              <w:rPr>
                <w:rFonts w:ascii="Arial" w:hAnsi="Arial" w:cs="Arial"/>
                <w:sz w:val="20"/>
                <w:szCs w:val="20"/>
              </w:rPr>
            </w:pPr>
            <w:r>
              <w:rPr>
                <w:rFonts w:ascii="Arial" w:hAnsi="Arial" w:cs="Arial"/>
                <w:color w:val="000000"/>
                <w:sz w:val="20"/>
                <w:szCs w:val="20"/>
              </w:rPr>
              <w:t>Common</w:t>
            </w:r>
          </w:p>
        </w:tc>
        <w:tc>
          <w:tcPr>
            <w:tcW w:w="2250" w:type="dxa"/>
            <w:tcBorders>
              <w:top w:val="single" w:sz="4" w:space="0" w:color="auto"/>
              <w:bottom w:val="single" w:sz="4" w:space="0" w:color="auto"/>
            </w:tcBorders>
          </w:tcPr>
          <w:p w14:paraId="0541D946" w14:textId="51914937" w:rsidR="006C39C8" w:rsidRPr="00BE2238" w:rsidRDefault="006C39C8" w:rsidP="006C39C8">
            <w:pPr>
              <w:jc w:val="center"/>
              <w:rPr>
                <w:rFonts w:ascii="Arial" w:hAnsi="Arial"/>
                <w:sz w:val="20"/>
                <w:szCs w:val="20"/>
              </w:rPr>
            </w:pPr>
            <w:r>
              <w:rPr>
                <w:rFonts w:ascii="Arial" w:hAnsi="Arial" w:cs="Arial"/>
                <w:color w:val="000000"/>
                <w:sz w:val="20"/>
                <w:szCs w:val="20"/>
              </w:rPr>
              <w:t>Present</w:t>
            </w:r>
          </w:p>
        </w:tc>
      </w:tr>
      <w:tr w:rsidR="006C39C8" w:rsidRPr="00BE2238" w14:paraId="45D52B17" w14:textId="77777777" w:rsidTr="00A65EB4">
        <w:trPr>
          <w:trHeight w:val="314"/>
          <w:jc w:val="center"/>
        </w:trPr>
        <w:tc>
          <w:tcPr>
            <w:tcW w:w="3330" w:type="dxa"/>
            <w:tcBorders>
              <w:top w:val="single" w:sz="4" w:space="0" w:color="auto"/>
            </w:tcBorders>
          </w:tcPr>
          <w:p w14:paraId="06544199" w14:textId="572E81DC" w:rsidR="006C39C8" w:rsidRPr="00BE2238" w:rsidRDefault="006C39C8" w:rsidP="006C39C8">
            <w:pPr>
              <w:rPr>
                <w:rFonts w:ascii="Arial" w:hAnsi="Arial" w:cs="Arial"/>
                <w:sz w:val="20"/>
                <w:szCs w:val="20"/>
              </w:rPr>
            </w:pPr>
            <w:r>
              <w:rPr>
                <w:rFonts w:ascii="Arial" w:hAnsi="Arial" w:cs="Arial"/>
                <w:color w:val="000000"/>
                <w:sz w:val="20"/>
                <w:szCs w:val="20"/>
              </w:rPr>
              <w:t>Externally funded digital projects</w:t>
            </w:r>
          </w:p>
        </w:tc>
        <w:tc>
          <w:tcPr>
            <w:tcW w:w="2250" w:type="dxa"/>
            <w:tcBorders>
              <w:top w:val="single" w:sz="4" w:space="0" w:color="auto"/>
            </w:tcBorders>
          </w:tcPr>
          <w:p w14:paraId="6965428D" w14:textId="4ED7890C" w:rsidR="006C39C8" w:rsidRPr="00BE2238" w:rsidRDefault="006C39C8" w:rsidP="006C39C8">
            <w:pPr>
              <w:jc w:val="center"/>
              <w:rPr>
                <w:rFonts w:ascii="Arial" w:hAnsi="Arial" w:cs="Arial"/>
                <w:sz w:val="20"/>
                <w:szCs w:val="20"/>
              </w:rPr>
            </w:pPr>
            <w:r>
              <w:rPr>
                <w:rFonts w:ascii="Arial" w:hAnsi="Arial" w:cs="Arial"/>
                <w:color w:val="000000"/>
                <w:sz w:val="20"/>
                <w:szCs w:val="20"/>
              </w:rPr>
              <w:t>Common</w:t>
            </w:r>
          </w:p>
        </w:tc>
        <w:tc>
          <w:tcPr>
            <w:tcW w:w="2250" w:type="dxa"/>
            <w:tcBorders>
              <w:top w:val="single" w:sz="4" w:space="0" w:color="auto"/>
            </w:tcBorders>
          </w:tcPr>
          <w:p w14:paraId="6CB70F5C" w14:textId="5ADD5006" w:rsidR="006C39C8" w:rsidRPr="00BE2238" w:rsidRDefault="006C39C8" w:rsidP="006C39C8">
            <w:pPr>
              <w:jc w:val="center"/>
              <w:rPr>
                <w:rFonts w:ascii="Arial" w:hAnsi="Arial"/>
                <w:sz w:val="20"/>
                <w:szCs w:val="20"/>
              </w:rPr>
            </w:pPr>
            <w:r>
              <w:rPr>
                <w:rFonts w:ascii="Arial" w:hAnsi="Arial" w:cs="Arial"/>
                <w:color w:val="000000"/>
                <w:sz w:val="20"/>
                <w:szCs w:val="20"/>
              </w:rPr>
              <w:t>Present</w:t>
            </w:r>
          </w:p>
        </w:tc>
      </w:tr>
    </w:tbl>
    <w:p w14:paraId="3FBBC7AF" w14:textId="77777777" w:rsidR="006C39C8" w:rsidRDefault="006C39C8" w:rsidP="009C6F7C">
      <w:pPr>
        <w:rPr>
          <w:rFonts w:ascii="Arial" w:hAnsi="Arial" w:cs="Arial"/>
          <w:sz w:val="20"/>
          <w:szCs w:val="20"/>
        </w:rPr>
      </w:pPr>
    </w:p>
    <w:p w14:paraId="52FEE86E" w14:textId="77777777" w:rsidR="004A3BFA" w:rsidRPr="004A3BFA" w:rsidRDefault="004A3BFA" w:rsidP="004A3BFA">
      <w:pPr>
        <w:outlineLvl w:val="1"/>
        <w:rPr>
          <w:b/>
          <w:bCs/>
          <w:sz w:val="36"/>
          <w:szCs w:val="36"/>
        </w:rPr>
      </w:pPr>
      <w:r w:rsidRPr="004A3BFA">
        <w:rPr>
          <w:rFonts w:ascii="Arial" w:hAnsi="Arial" w:cs="Arial"/>
          <w:b/>
          <w:bCs/>
          <w:color w:val="000000"/>
          <w:sz w:val="22"/>
          <w:szCs w:val="22"/>
        </w:rPr>
        <w:t>3.5 Flexible and Alternative Access Pathways</w:t>
      </w:r>
    </w:p>
    <w:p w14:paraId="182798EF" w14:textId="77777777" w:rsidR="004A3BFA" w:rsidRPr="004A3BFA" w:rsidRDefault="004A3BFA" w:rsidP="004A3BFA">
      <w:pPr>
        <w:rPr>
          <w:rFonts w:ascii="Arial" w:hAnsi="Arial" w:cs="Arial"/>
          <w:sz w:val="22"/>
          <w:szCs w:val="22"/>
        </w:rPr>
      </w:pPr>
    </w:p>
    <w:p w14:paraId="4222BB8D" w14:textId="77777777" w:rsidR="004A3BFA" w:rsidRPr="004A3BFA" w:rsidRDefault="004A3BFA" w:rsidP="004A3BFA">
      <w:pPr>
        <w:rPr>
          <w:sz w:val="20"/>
          <w:szCs w:val="20"/>
        </w:rPr>
      </w:pPr>
      <w:r w:rsidRPr="004A3BFA">
        <w:rPr>
          <w:rFonts w:ascii="Arial" w:hAnsi="Arial" w:cs="Arial"/>
          <w:color w:val="000000"/>
          <w:sz w:val="20"/>
          <w:szCs w:val="20"/>
        </w:rPr>
        <w:t>Flexible and alternative learning pathways help overcome barriers like location, work hours, and financial challenges. Leading universities offer online, blended, and hybrid programs to support flexible participation and ongoing learning (</w:t>
      </w:r>
      <w:proofErr w:type="spellStart"/>
      <w:r w:rsidRPr="004A3BFA">
        <w:rPr>
          <w:rFonts w:ascii="Arial" w:hAnsi="Arial" w:cs="Arial"/>
          <w:color w:val="000000"/>
          <w:sz w:val="20"/>
          <w:szCs w:val="20"/>
        </w:rPr>
        <w:t>Zhukabayeva</w:t>
      </w:r>
      <w:proofErr w:type="spellEnd"/>
      <w:r w:rsidRPr="004A3BFA">
        <w:rPr>
          <w:rFonts w:ascii="Arial" w:hAnsi="Arial" w:cs="Arial"/>
          <w:color w:val="000000"/>
          <w:sz w:val="20"/>
          <w:szCs w:val="20"/>
        </w:rPr>
        <w:t xml:space="preserve"> et al., 2025). These approaches follow wider trends in higher education that focus on inclusive program design and equal access.</w:t>
      </w:r>
    </w:p>
    <w:p w14:paraId="4981E8F0" w14:textId="77777777" w:rsidR="004A3BFA" w:rsidRDefault="004A3BFA" w:rsidP="004A3BFA">
      <w:pPr>
        <w:rPr>
          <w:rFonts w:ascii="Arial" w:hAnsi="Arial" w:cs="Arial"/>
          <w:color w:val="000000"/>
          <w:sz w:val="20"/>
          <w:szCs w:val="20"/>
        </w:rPr>
      </w:pPr>
      <w:r w:rsidRPr="004A3BFA">
        <w:rPr>
          <w:rFonts w:ascii="Arial" w:hAnsi="Arial" w:cs="Arial"/>
          <w:color w:val="000000"/>
          <w:sz w:val="20"/>
          <w:szCs w:val="20"/>
        </w:rPr>
        <w:t>The Philippine case university also offers alternative learning options that give flexible access, especially for working students and those who are not in the usual age group for college. These efforts highlight the need for management strategies that increase participation beyond traditional campus programs.</w:t>
      </w:r>
    </w:p>
    <w:p w14:paraId="6A026E5C" w14:textId="77777777" w:rsidR="004A3BFA" w:rsidRDefault="004A3BFA" w:rsidP="004A3BFA">
      <w:pPr>
        <w:rPr>
          <w:rFonts w:ascii="Arial" w:hAnsi="Arial" w:cs="Arial"/>
          <w:color w:val="000000"/>
          <w:sz w:val="20"/>
          <w:szCs w:val="20"/>
        </w:rPr>
      </w:pPr>
    </w:p>
    <w:p w14:paraId="5633C922" w14:textId="3993FFF8" w:rsidR="004A3BFA" w:rsidRPr="004A3BFA" w:rsidRDefault="00BC612C" w:rsidP="004A3BFA">
      <w:pPr>
        <w:jc w:val="center"/>
        <w:rPr>
          <w:sz w:val="20"/>
          <w:szCs w:val="20"/>
        </w:rPr>
      </w:pPr>
      <w:r>
        <w:rPr>
          <w:rFonts w:ascii="Arial" w:hAnsi="Arial" w:cs="Arial"/>
          <w:b/>
          <w:bCs/>
          <w:color w:val="000000"/>
          <w:sz w:val="20"/>
          <w:szCs w:val="20"/>
        </w:rPr>
        <w:t>Table 5. Flexible and Alternative Access Pathways</w:t>
      </w:r>
    </w:p>
    <w:p w14:paraId="17D21B6D" w14:textId="77777777" w:rsidR="004A3BFA" w:rsidRPr="00BC612C" w:rsidRDefault="004A3BFA" w:rsidP="004A3BFA">
      <w:pPr>
        <w:rPr>
          <w:rFonts w:ascii="Arial" w:hAnsi="Arial" w:cs="Arial"/>
          <w:sz w:val="20"/>
          <w:szCs w:val="20"/>
        </w:rPr>
      </w:pPr>
    </w:p>
    <w:tbl>
      <w:tblPr>
        <w:tblW w:w="7830" w:type="dxa"/>
        <w:jc w:val="center"/>
        <w:tblBorders>
          <w:top w:val="single" w:sz="4" w:space="0" w:color="auto"/>
          <w:bottom w:val="single" w:sz="4" w:space="0" w:color="auto"/>
        </w:tblBorders>
        <w:tblLook w:val="01E0" w:firstRow="1" w:lastRow="1" w:firstColumn="1" w:lastColumn="1" w:noHBand="0" w:noVBand="0"/>
      </w:tblPr>
      <w:tblGrid>
        <w:gridCol w:w="3330"/>
        <w:gridCol w:w="2250"/>
        <w:gridCol w:w="2250"/>
      </w:tblGrid>
      <w:tr w:rsidR="004A3BFA" w:rsidRPr="00BE2238" w14:paraId="49AA9AF8" w14:textId="77777777" w:rsidTr="006D7D79">
        <w:trPr>
          <w:jc w:val="center"/>
        </w:trPr>
        <w:tc>
          <w:tcPr>
            <w:tcW w:w="3330" w:type="dxa"/>
            <w:tcBorders>
              <w:top w:val="single" w:sz="4" w:space="0" w:color="auto"/>
              <w:bottom w:val="single" w:sz="4" w:space="0" w:color="auto"/>
            </w:tcBorders>
            <w:vAlign w:val="center"/>
          </w:tcPr>
          <w:p w14:paraId="4D8DDECA" w14:textId="7FC53580" w:rsidR="004A3BFA" w:rsidRPr="004A3BFA" w:rsidRDefault="004A3BFA" w:rsidP="004A3BFA">
            <w:pPr>
              <w:rPr>
                <w:rFonts w:ascii="Arial" w:hAnsi="Arial" w:cs="Arial"/>
                <w:b/>
                <w:bCs/>
                <w:sz w:val="20"/>
                <w:szCs w:val="20"/>
              </w:rPr>
            </w:pPr>
            <w:r w:rsidRPr="004A3BFA">
              <w:rPr>
                <w:rFonts w:ascii="Arial" w:hAnsi="Arial" w:cs="Arial"/>
                <w:b/>
                <w:bCs/>
                <w:color w:val="000000"/>
                <w:sz w:val="20"/>
                <w:szCs w:val="20"/>
              </w:rPr>
              <w:t>Access Pathway</w:t>
            </w:r>
          </w:p>
        </w:tc>
        <w:tc>
          <w:tcPr>
            <w:tcW w:w="2250" w:type="dxa"/>
            <w:tcBorders>
              <w:top w:val="single" w:sz="4" w:space="0" w:color="auto"/>
              <w:bottom w:val="single" w:sz="4" w:space="0" w:color="auto"/>
            </w:tcBorders>
            <w:vAlign w:val="center"/>
          </w:tcPr>
          <w:p w14:paraId="56A8DCF9" w14:textId="38561FB3" w:rsidR="004A3BFA" w:rsidRPr="004A3BFA" w:rsidRDefault="004A3BFA" w:rsidP="004A3BFA">
            <w:pPr>
              <w:jc w:val="center"/>
              <w:rPr>
                <w:rFonts w:ascii="Arial" w:hAnsi="Arial" w:cs="Arial"/>
                <w:b/>
                <w:bCs/>
                <w:sz w:val="20"/>
                <w:szCs w:val="20"/>
              </w:rPr>
            </w:pPr>
            <w:r w:rsidRPr="004A3BFA">
              <w:rPr>
                <w:rFonts w:ascii="Arial" w:hAnsi="Arial" w:cs="Arial"/>
                <w:b/>
                <w:bCs/>
                <w:color w:val="000000"/>
                <w:sz w:val="20"/>
                <w:szCs w:val="20"/>
              </w:rPr>
              <w:t>Global Benchmark Universities</w:t>
            </w:r>
          </w:p>
        </w:tc>
        <w:tc>
          <w:tcPr>
            <w:tcW w:w="2250" w:type="dxa"/>
            <w:tcBorders>
              <w:top w:val="single" w:sz="4" w:space="0" w:color="auto"/>
              <w:bottom w:val="single" w:sz="4" w:space="0" w:color="auto"/>
            </w:tcBorders>
            <w:vAlign w:val="center"/>
          </w:tcPr>
          <w:p w14:paraId="27322462" w14:textId="499BD79E" w:rsidR="004A3BFA" w:rsidRPr="004A3BFA" w:rsidRDefault="004A3BFA" w:rsidP="004A3BFA">
            <w:pPr>
              <w:jc w:val="center"/>
              <w:rPr>
                <w:rFonts w:ascii="Arial" w:hAnsi="Arial" w:cs="Arial"/>
                <w:b/>
                <w:bCs/>
                <w:sz w:val="20"/>
                <w:szCs w:val="20"/>
              </w:rPr>
            </w:pPr>
            <w:r w:rsidRPr="004A3BFA">
              <w:rPr>
                <w:rFonts w:ascii="Arial" w:hAnsi="Arial" w:cs="Arial"/>
                <w:b/>
                <w:bCs/>
                <w:color w:val="000000"/>
                <w:sz w:val="20"/>
                <w:szCs w:val="20"/>
              </w:rPr>
              <w:t>Philippine Case University</w:t>
            </w:r>
          </w:p>
        </w:tc>
      </w:tr>
      <w:tr w:rsidR="004A3BFA" w:rsidRPr="00BE2238" w14:paraId="0DDB8BC7" w14:textId="77777777" w:rsidTr="006D7D79">
        <w:trPr>
          <w:trHeight w:val="242"/>
          <w:jc w:val="center"/>
        </w:trPr>
        <w:tc>
          <w:tcPr>
            <w:tcW w:w="3330" w:type="dxa"/>
            <w:tcBorders>
              <w:top w:val="single" w:sz="4" w:space="0" w:color="auto"/>
              <w:bottom w:val="single" w:sz="4" w:space="0" w:color="auto"/>
            </w:tcBorders>
            <w:vAlign w:val="center"/>
          </w:tcPr>
          <w:p w14:paraId="3107EDFE" w14:textId="280B3259" w:rsidR="004A3BFA" w:rsidRPr="004A3BFA" w:rsidRDefault="004A3BFA" w:rsidP="004A3BFA">
            <w:pPr>
              <w:rPr>
                <w:rFonts w:ascii="Arial" w:hAnsi="Arial" w:cs="Arial"/>
                <w:b/>
                <w:bCs/>
                <w:sz w:val="20"/>
                <w:szCs w:val="20"/>
              </w:rPr>
            </w:pPr>
            <w:r w:rsidRPr="004A3BFA">
              <w:rPr>
                <w:rFonts w:ascii="Arial" w:hAnsi="Arial" w:cs="Arial"/>
                <w:color w:val="000000"/>
                <w:sz w:val="20"/>
                <w:szCs w:val="20"/>
              </w:rPr>
              <w:t>Online/blended delivery</w:t>
            </w:r>
          </w:p>
        </w:tc>
        <w:tc>
          <w:tcPr>
            <w:tcW w:w="2250" w:type="dxa"/>
            <w:tcBorders>
              <w:top w:val="single" w:sz="4" w:space="0" w:color="auto"/>
              <w:bottom w:val="single" w:sz="4" w:space="0" w:color="auto"/>
            </w:tcBorders>
            <w:vAlign w:val="center"/>
          </w:tcPr>
          <w:p w14:paraId="1841F135" w14:textId="56857D05" w:rsidR="004A3BFA" w:rsidRPr="004A3BFA" w:rsidRDefault="004A3BFA" w:rsidP="004A3BFA">
            <w:pPr>
              <w:jc w:val="center"/>
              <w:rPr>
                <w:rFonts w:ascii="Arial" w:hAnsi="Arial" w:cs="Arial"/>
                <w:b/>
                <w:bCs/>
                <w:sz w:val="20"/>
                <w:szCs w:val="20"/>
              </w:rPr>
            </w:pPr>
            <w:r w:rsidRPr="004A3BFA">
              <w:rPr>
                <w:rFonts w:ascii="Segoe UI Symbol" w:hAnsi="Segoe UI Symbol" w:cs="Segoe UI Symbol"/>
                <w:color w:val="000000"/>
                <w:sz w:val="20"/>
                <w:szCs w:val="20"/>
              </w:rPr>
              <w:t>✓</w:t>
            </w:r>
          </w:p>
        </w:tc>
        <w:tc>
          <w:tcPr>
            <w:tcW w:w="2250" w:type="dxa"/>
            <w:tcBorders>
              <w:top w:val="single" w:sz="4" w:space="0" w:color="auto"/>
              <w:bottom w:val="single" w:sz="4" w:space="0" w:color="auto"/>
            </w:tcBorders>
            <w:vAlign w:val="center"/>
          </w:tcPr>
          <w:p w14:paraId="34CF401E" w14:textId="36EF8A26" w:rsidR="004A3BFA" w:rsidRPr="004A3BFA" w:rsidRDefault="004A3BFA" w:rsidP="004A3BFA">
            <w:pPr>
              <w:jc w:val="center"/>
              <w:rPr>
                <w:rFonts w:ascii="Arial" w:hAnsi="Arial" w:cs="Arial"/>
                <w:b/>
                <w:bCs/>
                <w:sz w:val="20"/>
                <w:szCs w:val="20"/>
              </w:rPr>
            </w:pPr>
            <w:r w:rsidRPr="004A3BFA">
              <w:rPr>
                <w:rFonts w:ascii="Segoe UI Symbol" w:hAnsi="Segoe UI Symbol" w:cs="Segoe UI Symbol"/>
                <w:color w:val="000000"/>
                <w:sz w:val="20"/>
                <w:szCs w:val="20"/>
              </w:rPr>
              <w:t>✓</w:t>
            </w:r>
          </w:p>
        </w:tc>
      </w:tr>
      <w:tr w:rsidR="004A3BFA" w:rsidRPr="00BE2238" w14:paraId="7E7E813C" w14:textId="77777777" w:rsidTr="006D7D79">
        <w:trPr>
          <w:jc w:val="center"/>
        </w:trPr>
        <w:tc>
          <w:tcPr>
            <w:tcW w:w="3330" w:type="dxa"/>
            <w:tcBorders>
              <w:top w:val="single" w:sz="4" w:space="0" w:color="auto"/>
              <w:bottom w:val="single" w:sz="4" w:space="0" w:color="auto"/>
            </w:tcBorders>
            <w:vAlign w:val="center"/>
          </w:tcPr>
          <w:p w14:paraId="3A8E12B5" w14:textId="1E8B51E1" w:rsidR="004A3BFA" w:rsidRPr="004A3BFA" w:rsidRDefault="004A3BFA" w:rsidP="004A3BFA">
            <w:pPr>
              <w:rPr>
                <w:rFonts w:ascii="Arial" w:hAnsi="Arial" w:cs="Arial"/>
                <w:sz w:val="20"/>
                <w:szCs w:val="20"/>
              </w:rPr>
            </w:pPr>
            <w:r w:rsidRPr="004A3BFA">
              <w:rPr>
                <w:rFonts w:ascii="Arial" w:hAnsi="Arial" w:cs="Arial"/>
                <w:color w:val="000000"/>
                <w:sz w:val="20"/>
                <w:szCs w:val="20"/>
              </w:rPr>
              <w:t>Flexible scheduling</w:t>
            </w:r>
          </w:p>
        </w:tc>
        <w:tc>
          <w:tcPr>
            <w:tcW w:w="2250" w:type="dxa"/>
            <w:tcBorders>
              <w:top w:val="single" w:sz="4" w:space="0" w:color="auto"/>
              <w:bottom w:val="single" w:sz="4" w:space="0" w:color="auto"/>
            </w:tcBorders>
            <w:vAlign w:val="center"/>
          </w:tcPr>
          <w:p w14:paraId="7770732E" w14:textId="2761E0DB" w:rsidR="004A3BFA" w:rsidRPr="004A3BFA" w:rsidRDefault="004A3BFA" w:rsidP="004A3BFA">
            <w:pPr>
              <w:jc w:val="center"/>
              <w:rPr>
                <w:rFonts w:ascii="Arial" w:hAnsi="Arial" w:cs="Arial"/>
                <w:sz w:val="20"/>
                <w:szCs w:val="20"/>
              </w:rPr>
            </w:pPr>
            <w:r w:rsidRPr="004A3BFA">
              <w:rPr>
                <w:rFonts w:ascii="Segoe UI Symbol" w:hAnsi="Segoe UI Symbol" w:cs="Segoe UI Symbol"/>
                <w:color w:val="000000"/>
                <w:sz w:val="20"/>
                <w:szCs w:val="20"/>
              </w:rPr>
              <w:t>✓</w:t>
            </w:r>
          </w:p>
        </w:tc>
        <w:tc>
          <w:tcPr>
            <w:tcW w:w="2250" w:type="dxa"/>
            <w:tcBorders>
              <w:top w:val="single" w:sz="4" w:space="0" w:color="auto"/>
              <w:bottom w:val="single" w:sz="4" w:space="0" w:color="auto"/>
            </w:tcBorders>
            <w:vAlign w:val="center"/>
          </w:tcPr>
          <w:p w14:paraId="2FFFAC37" w14:textId="0EEF6982" w:rsidR="004A3BFA" w:rsidRPr="004A3BFA" w:rsidRDefault="004A3BFA" w:rsidP="004A3BFA">
            <w:pPr>
              <w:jc w:val="center"/>
              <w:rPr>
                <w:rFonts w:ascii="Arial" w:hAnsi="Arial" w:cs="Arial"/>
                <w:sz w:val="20"/>
                <w:szCs w:val="20"/>
              </w:rPr>
            </w:pPr>
            <w:r w:rsidRPr="004A3BFA">
              <w:rPr>
                <w:rFonts w:ascii="Segoe UI Symbol" w:hAnsi="Segoe UI Symbol" w:cs="Segoe UI Symbol"/>
                <w:color w:val="000000"/>
                <w:sz w:val="20"/>
                <w:szCs w:val="20"/>
              </w:rPr>
              <w:t>✓</w:t>
            </w:r>
          </w:p>
        </w:tc>
      </w:tr>
      <w:tr w:rsidR="004A3BFA" w:rsidRPr="00BE2238" w14:paraId="7A93D7A1" w14:textId="77777777" w:rsidTr="006D7D79">
        <w:trPr>
          <w:jc w:val="center"/>
        </w:trPr>
        <w:tc>
          <w:tcPr>
            <w:tcW w:w="3330" w:type="dxa"/>
            <w:tcBorders>
              <w:top w:val="single" w:sz="4" w:space="0" w:color="auto"/>
              <w:bottom w:val="single" w:sz="4" w:space="0" w:color="auto"/>
            </w:tcBorders>
            <w:vAlign w:val="center"/>
          </w:tcPr>
          <w:p w14:paraId="5630D108" w14:textId="0EB4EBDC" w:rsidR="004A3BFA" w:rsidRPr="004A3BFA" w:rsidRDefault="004A3BFA" w:rsidP="004A3BFA">
            <w:pPr>
              <w:rPr>
                <w:rFonts w:ascii="Arial" w:hAnsi="Arial" w:cs="Arial"/>
                <w:sz w:val="20"/>
                <w:szCs w:val="20"/>
              </w:rPr>
            </w:pPr>
            <w:r w:rsidRPr="004A3BFA">
              <w:rPr>
                <w:rFonts w:ascii="Arial" w:hAnsi="Arial" w:cs="Arial"/>
                <w:color w:val="000000"/>
                <w:sz w:val="20"/>
                <w:szCs w:val="20"/>
              </w:rPr>
              <w:t>Outreach to non-traditional learners</w:t>
            </w:r>
          </w:p>
        </w:tc>
        <w:tc>
          <w:tcPr>
            <w:tcW w:w="2250" w:type="dxa"/>
            <w:tcBorders>
              <w:top w:val="single" w:sz="4" w:space="0" w:color="auto"/>
              <w:bottom w:val="single" w:sz="4" w:space="0" w:color="auto"/>
            </w:tcBorders>
            <w:vAlign w:val="center"/>
          </w:tcPr>
          <w:p w14:paraId="29D011E0" w14:textId="33A987DA" w:rsidR="004A3BFA" w:rsidRPr="004A3BFA" w:rsidRDefault="004A3BFA" w:rsidP="004A3BFA">
            <w:pPr>
              <w:jc w:val="center"/>
              <w:rPr>
                <w:rFonts w:ascii="Arial" w:hAnsi="Arial" w:cs="Arial"/>
                <w:sz w:val="20"/>
                <w:szCs w:val="20"/>
              </w:rPr>
            </w:pPr>
            <w:r w:rsidRPr="004A3BFA">
              <w:rPr>
                <w:rFonts w:ascii="Segoe UI Symbol" w:hAnsi="Segoe UI Symbol" w:cs="Segoe UI Symbol"/>
                <w:color w:val="000000"/>
                <w:sz w:val="20"/>
                <w:szCs w:val="20"/>
              </w:rPr>
              <w:t>✓</w:t>
            </w:r>
          </w:p>
        </w:tc>
        <w:tc>
          <w:tcPr>
            <w:tcW w:w="2250" w:type="dxa"/>
            <w:tcBorders>
              <w:top w:val="single" w:sz="4" w:space="0" w:color="auto"/>
              <w:bottom w:val="single" w:sz="4" w:space="0" w:color="auto"/>
            </w:tcBorders>
            <w:vAlign w:val="center"/>
          </w:tcPr>
          <w:p w14:paraId="2E4A7C6B" w14:textId="29A92E28" w:rsidR="004A3BFA" w:rsidRPr="004A3BFA" w:rsidRDefault="004A3BFA" w:rsidP="004A3BFA">
            <w:pPr>
              <w:jc w:val="center"/>
              <w:rPr>
                <w:rFonts w:ascii="Arial" w:hAnsi="Arial" w:cs="Arial"/>
                <w:sz w:val="20"/>
                <w:szCs w:val="20"/>
              </w:rPr>
            </w:pPr>
            <w:r w:rsidRPr="004A3BFA">
              <w:rPr>
                <w:rFonts w:ascii="Segoe UI Symbol" w:hAnsi="Segoe UI Symbol" w:cs="Segoe UI Symbol"/>
                <w:color w:val="000000"/>
                <w:sz w:val="20"/>
                <w:szCs w:val="20"/>
              </w:rPr>
              <w:t>✓</w:t>
            </w:r>
          </w:p>
        </w:tc>
      </w:tr>
      <w:tr w:rsidR="004A3BFA" w:rsidRPr="00BE2238" w14:paraId="00624DA3" w14:textId="77777777" w:rsidTr="006D7D79">
        <w:trPr>
          <w:trHeight w:val="314"/>
          <w:jc w:val="center"/>
        </w:trPr>
        <w:tc>
          <w:tcPr>
            <w:tcW w:w="3330" w:type="dxa"/>
            <w:tcBorders>
              <w:top w:val="single" w:sz="4" w:space="0" w:color="auto"/>
            </w:tcBorders>
            <w:vAlign w:val="center"/>
          </w:tcPr>
          <w:p w14:paraId="14C435A0" w14:textId="2917037B" w:rsidR="004A3BFA" w:rsidRPr="004A3BFA" w:rsidRDefault="004A3BFA" w:rsidP="004A3BFA">
            <w:pPr>
              <w:rPr>
                <w:rFonts w:ascii="Arial" w:hAnsi="Arial" w:cs="Arial"/>
                <w:sz w:val="20"/>
                <w:szCs w:val="20"/>
              </w:rPr>
            </w:pPr>
            <w:r w:rsidRPr="004A3BFA">
              <w:rPr>
                <w:rFonts w:ascii="Arial" w:hAnsi="Arial" w:cs="Arial"/>
                <w:color w:val="000000"/>
                <w:sz w:val="20"/>
                <w:szCs w:val="20"/>
              </w:rPr>
              <w:t>Inclusion-focused access programs</w:t>
            </w:r>
          </w:p>
        </w:tc>
        <w:tc>
          <w:tcPr>
            <w:tcW w:w="2250" w:type="dxa"/>
            <w:tcBorders>
              <w:top w:val="single" w:sz="4" w:space="0" w:color="auto"/>
            </w:tcBorders>
            <w:vAlign w:val="center"/>
          </w:tcPr>
          <w:p w14:paraId="4649F173" w14:textId="175F6A64" w:rsidR="004A3BFA" w:rsidRPr="004A3BFA" w:rsidRDefault="004A3BFA" w:rsidP="004A3BFA">
            <w:pPr>
              <w:jc w:val="center"/>
              <w:rPr>
                <w:rFonts w:ascii="Arial" w:hAnsi="Arial" w:cs="Arial"/>
                <w:sz w:val="20"/>
                <w:szCs w:val="20"/>
              </w:rPr>
            </w:pPr>
            <w:r w:rsidRPr="004A3BFA">
              <w:rPr>
                <w:rFonts w:ascii="Segoe UI Symbol" w:hAnsi="Segoe UI Symbol" w:cs="Segoe UI Symbol"/>
                <w:color w:val="000000"/>
                <w:sz w:val="20"/>
                <w:szCs w:val="20"/>
              </w:rPr>
              <w:t>✓</w:t>
            </w:r>
          </w:p>
        </w:tc>
        <w:tc>
          <w:tcPr>
            <w:tcW w:w="2250" w:type="dxa"/>
            <w:tcBorders>
              <w:top w:val="single" w:sz="4" w:space="0" w:color="auto"/>
            </w:tcBorders>
            <w:vAlign w:val="center"/>
          </w:tcPr>
          <w:p w14:paraId="1DC096B5" w14:textId="70804798" w:rsidR="004A3BFA" w:rsidRPr="004A3BFA" w:rsidRDefault="004A3BFA" w:rsidP="004A3BFA">
            <w:pPr>
              <w:jc w:val="center"/>
              <w:rPr>
                <w:rFonts w:ascii="Arial" w:hAnsi="Arial" w:cs="Arial"/>
                <w:sz w:val="20"/>
                <w:szCs w:val="20"/>
              </w:rPr>
            </w:pPr>
            <w:r w:rsidRPr="004A3BFA">
              <w:rPr>
                <w:rFonts w:ascii="Segoe UI Symbol" w:hAnsi="Segoe UI Symbol" w:cs="Segoe UI Symbol"/>
                <w:color w:val="000000"/>
                <w:sz w:val="20"/>
                <w:szCs w:val="20"/>
              </w:rPr>
              <w:t>✓</w:t>
            </w:r>
          </w:p>
        </w:tc>
      </w:tr>
    </w:tbl>
    <w:p w14:paraId="2B98BFA8" w14:textId="77777777" w:rsidR="004A3BFA" w:rsidRDefault="004A3BFA" w:rsidP="009C6F7C">
      <w:pPr>
        <w:rPr>
          <w:rFonts w:ascii="Arial" w:hAnsi="Arial" w:cs="Arial"/>
          <w:sz w:val="20"/>
          <w:szCs w:val="20"/>
        </w:rPr>
      </w:pPr>
    </w:p>
    <w:p w14:paraId="5E60B034" w14:textId="77777777" w:rsidR="00BC612C" w:rsidRPr="00BC612C" w:rsidRDefault="00BC612C" w:rsidP="00BC612C">
      <w:pPr>
        <w:outlineLvl w:val="1"/>
        <w:rPr>
          <w:b/>
          <w:bCs/>
          <w:sz w:val="36"/>
          <w:szCs w:val="36"/>
        </w:rPr>
      </w:pPr>
      <w:r w:rsidRPr="00BC612C">
        <w:rPr>
          <w:rFonts w:ascii="Arial" w:hAnsi="Arial" w:cs="Arial"/>
          <w:b/>
          <w:bCs/>
          <w:color w:val="000000"/>
          <w:sz w:val="22"/>
          <w:szCs w:val="22"/>
        </w:rPr>
        <w:t>3.6 Cross-Case Comparison and Institutional Patterns</w:t>
      </w:r>
    </w:p>
    <w:p w14:paraId="3E54AE48" w14:textId="77777777" w:rsidR="00BC612C" w:rsidRPr="00BC612C" w:rsidRDefault="00BC612C" w:rsidP="00BC612C">
      <w:pPr>
        <w:rPr>
          <w:rFonts w:ascii="Arial" w:hAnsi="Arial" w:cs="Arial"/>
          <w:sz w:val="22"/>
          <w:szCs w:val="22"/>
        </w:rPr>
      </w:pPr>
    </w:p>
    <w:p w14:paraId="51AECF81" w14:textId="77777777" w:rsidR="00BC612C" w:rsidRPr="00BC612C" w:rsidRDefault="00BC612C" w:rsidP="00BC612C">
      <w:pPr>
        <w:outlineLvl w:val="1"/>
        <w:rPr>
          <w:b/>
          <w:bCs/>
          <w:sz w:val="20"/>
          <w:szCs w:val="20"/>
        </w:rPr>
      </w:pPr>
      <w:r w:rsidRPr="00BC612C">
        <w:rPr>
          <w:rFonts w:ascii="Arial" w:hAnsi="Arial" w:cs="Arial"/>
          <w:color w:val="000000"/>
          <w:sz w:val="20"/>
          <w:szCs w:val="20"/>
        </w:rPr>
        <w:t xml:space="preserve">Comparing the cases shows that institutions tend to use similar strategies. The main differences are in scale, how much they invest, and their areas of focus, not in their basic approach. This supports Institutional Theory, especially the idea that universities copy each </w:t>
      </w:r>
      <w:r w:rsidRPr="00BC612C">
        <w:rPr>
          <w:rFonts w:ascii="Arial" w:hAnsi="Arial" w:cs="Arial"/>
          <w:color w:val="000000"/>
          <w:sz w:val="20"/>
          <w:szCs w:val="20"/>
        </w:rPr>
        <w:lastRenderedPageBreak/>
        <w:t>other to meet global standards, leadership goals, and digital governance needs (Lu &amp; Wang, 2023; Carmo et al., 2025). At the same time, Equity and Access Theory helps explain why local changes happen when resources are limited, leading to different priorities within similar strategy groups.</w:t>
      </w:r>
    </w:p>
    <w:p w14:paraId="3A5B6F6A" w14:textId="77777777" w:rsidR="00BC612C" w:rsidRPr="00BC612C" w:rsidRDefault="00BC612C" w:rsidP="00BC612C">
      <w:pPr>
        <w:rPr>
          <w:rFonts w:ascii="Arial" w:hAnsi="Arial" w:cs="Arial"/>
          <w:sz w:val="20"/>
          <w:szCs w:val="20"/>
        </w:rPr>
      </w:pPr>
    </w:p>
    <w:p w14:paraId="60CE1065" w14:textId="77777777" w:rsidR="00BC612C" w:rsidRPr="00BC612C" w:rsidRDefault="00BC612C" w:rsidP="00BC612C">
      <w:pPr>
        <w:outlineLvl w:val="1"/>
        <w:rPr>
          <w:b/>
          <w:bCs/>
          <w:sz w:val="36"/>
          <w:szCs w:val="36"/>
        </w:rPr>
      </w:pPr>
      <w:r w:rsidRPr="00BC612C">
        <w:rPr>
          <w:rFonts w:ascii="Arial" w:hAnsi="Arial" w:cs="Arial"/>
          <w:b/>
          <w:bCs/>
          <w:color w:val="000000"/>
          <w:sz w:val="22"/>
          <w:szCs w:val="22"/>
        </w:rPr>
        <w:t>3.7 Implications for Management and Policy</w:t>
      </w:r>
    </w:p>
    <w:p w14:paraId="5C57D931" w14:textId="77777777" w:rsidR="00BC612C" w:rsidRPr="00BC612C" w:rsidRDefault="00BC612C" w:rsidP="00BC612C">
      <w:pPr>
        <w:rPr>
          <w:rFonts w:ascii="Arial" w:hAnsi="Arial" w:cs="Arial"/>
          <w:sz w:val="22"/>
          <w:szCs w:val="22"/>
        </w:rPr>
      </w:pPr>
    </w:p>
    <w:p w14:paraId="31341939" w14:textId="77777777" w:rsidR="00BC612C" w:rsidRPr="00BC612C" w:rsidRDefault="00BC612C" w:rsidP="00BC612C">
      <w:pPr>
        <w:rPr>
          <w:sz w:val="20"/>
          <w:szCs w:val="20"/>
        </w:rPr>
      </w:pPr>
      <w:r w:rsidRPr="00BC612C">
        <w:rPr>
          <w:rFonts w:ascii="Arial" w:hAnsi="Arial" w:cs="Arial"/>
          <w:color w:val="000000"/>
          <w:sz w:val="20"/>
          <w:szCs w:val="20"/>
        </w:rPr>
        <w:t>The findings show that addressing the digital divide is mainly a matter of governance and management. Institutions should include strong leadership, coordinated infrastructure planning, fair funding, and capacity building in their policies. Recent studies highlight that digital transformation in higher education should balance new technology with organizational strategy to improve access and support inclusive participation (</w:t>
      </w:r>
      <w:proofErr w:type="spellStart"/>
      <w:r w:rsidRPr="00BC612C">
        <w:rPr>
          <w:rFonts w:ascii="Arial" w:hAnsi="Arial" w:cs="Arial"/>
          <w:color w:val="000000"/>
          <w:sz w:val="20"/>
          <w:szCs w:val="20"/>
        </w:rPr>
        <w:t>Zhukabayeva</w:t>
      </w:r>
      <w:proofErr w:type="spellEnd"/>
      <w:r w:rsidRPr="00BC612C">
        <w:rPr>
          <w:rFonts w:ascii="Arial" w:hAnsi="Arial" w:cs="Arial"/>
          <w:color w:val="000000"/>
          <w:sz w:val="20"/>
          <w:szCs w:val="20"/>
        </w:rPr>
        <w:t xml:space="preserve"> et al., 2025; </w:t>
      </w:r>
      <w:proofErr w:type="spellStart"/>
      <w:r w:rsidRPr="00BC612C">
        <w:rPr>
          <w:rFonts w:ascii="Arial" w:hAnsi="Arial" w:cs="Arial"/>
          <w:color w:val="000000"/>
          <w:sz w:val="20"/>
          <w:szCs w:val="20"/>
        </w:rPr>
        <w:t>Dyantyi</w:t>
      </w:r>
      <w:proofErr w:type="spellEnd"/>
      <w:r w:rsidRPr="00BC612C">
        <w:rPr>
          <w:rFonts w:ascii="Arial" w:hAnsi="Arial" w:cs="Arial"/>
          <w:color w:val="000000"/>
          <w:sz w:val="20"/>
          <w:szCs w:val="20"/>
        </w:rPr>
        <w:t xml:space="preserve"> &amp; </w:t>
      </w:r>
      <w:proofErr w:type="spellStart"/>
      <w:r w:rsidRPr="00BC612C">
        <w:rPr>
          <w:rFonts w:ascii="Arial" w:hAnsi="Arial" w:cs="Arial"/>
          <w:color w:val="000000"/>
          <w:sz w:val="20"/>
          <w:szCs w:val="20"/>
        </w:rPr>
        <w:t>Mkabile-Masebe</w:t>
      </w:r>
      <w:proofErr w:type="spellEnd"/>
      <w:r w:rsidRPr="00BC612C">
        <w:rPr>
          <w:rFonts w:ascii="Arial" w:hAnsi="Arial" w:cs="Arial"/>
          <w:color w:val="000000"/>
          <w:sz w:val="20"/>
          <w:szCs w:val="20"/>
        </w:rPr>
        <w:t>, 2025).</w:t>
      </w:r>
    </w:p>
    <w:p w14:paraId="36B8732E" w14:textId="77777777" w:rsidR="00BC612C" w:rsidRDefault="00BC612C" w:rsidP="00BC612C">
      <w:pPr>
        <w:rPr>
          <w:rFonts w:ascii="Arial" w:hAnsi="Arial" w:cs="Arial"/>
          <w:color w:val="000000"/>
          <w:sz w:val="20"/>
          <w:szCs w:val="20"/>
        </w:rPr>
      </w:pPr>
      <w:r w:rsidRPr="00BC612C">
        <w:rPr>
          <w:rFonts w:ascii="Arial" w:hAnsi="Arial" w:cs="Arial"/>
          <w:color w:val="000000"/>
          <w:sz w:val="20"/>
          <w:szCs w:val="20"/>
        </w:rPr>
        <w:t>Universities in developing and middle-income countries can use global benchmarks for strategic guidance, but it is important to adapt these standards to local needs and resources while following global digital inclusion principles.</w:t>
      </w:r>
    </w:p>
    <w:p w14:paraId="568838B5" w14:textId="77777777" w:rsidR="00BC612C" w:rsidRDefault="00BC612C" w:rsidP="00BC612C">
      <w:pPr>
        <w:rPr>
          <w:rFonts w:ascii="Arial" w:hAnsi="Arial" w:cs="Arial"/>
          <w:color w:val="000000"/>
          <w:sz w:val="20"/>
          <w:szCs w:val="20"/>
        </w:rPr>
      </w:pPr>
    </w:p>
    <w:p w14:paraId="390CB742" w14:textId="77777777" w:rsidR="00BC612C" w:rsidRPr="00BC612C" w:rsidRDefault="00BC612C" w:rsidP="00BC612C">
      <w:pPr>
        <w:pStyle w:val="Heading2"/>
        <w:spacing w:before="0"/>
        <w:rPr>
          <w:b/>
          <w:bCs/>
          <w:sz w:val="36"/>
          <w:szCs w:val="36"/>
        </w:rPr>
      </w:pPr>
      <w:r w:rsidRPr="00BC612C">
        <w:rPr>
          <w:rFonts w:ascii="Arial" w:hAnsi="Arial" w:cs="Arial"/>
          <w:b/>
          <w:bCs/>
          <w:color w:val="000000"/>
          <w:sz w:val="22"/>
          <w:szCs w:val="22"/>
        </w:rPr>
        <w:t>3.8 Summary of Key Findings</w:t>
      </w:r>
    </w:p>
    <w:p w14:paraId="37DF3A77" w14:textId="77777777" w:rsidR="00BC612C" w:rsidRPr="00BC612C" w:rsidRDefault="00BC612C" w:rsidP="00BC612C">
      <w:pPr>
        <w:rPr>
          <w:rFonts w:ascii="Arial" w:hAnsi="Arial" w:cs="Arial"/>
          <w:sz w:val="22"/>
          <w:szCs w:val="22"/>
        </w:rPr>
      </w:pPr>
    </w:p>
    <w:p w14:paraId="09D2B8C2" w14:textId="77777777" w:rsidR="00BC612C" w:rsidRPr="00BC612C" w:rsidRDefault="00BC612C" w:rsidP="00BC612C">
      <w:pPr>
        <w:pStyle w:val="NormalWeb"/>
        <w:spacing w:before="0" w:beforeAutospacing="0" w:after="0" w:afterAutospacing="0"/>
        <w:rPr>
          <w:sz w:val="20"/>
          <w:szCs w:val="20"/>
        </w:rPr>
      </w:pPr>
      <w:r w:rsidRPr="00BC612C">
        <w:rPr>
          <w:rFonts w:ascii="Arial" w:hAnsi="Arial" w:cs="Arial"/>
          <w:color w:val="000000"/>
          <w:sz w:val="20"/>
          <w:szCs w:val="20"/>
        </w:rPr>
        <w:t>The benchmarking analysis shows that:</w:t>
      </w:r>
    </w:p>
    <w:p w14:paraId="74068F90" w14:textId="77777777" w:rsidR="00BC612C" w:rsidRPr="00BC612C" w:rsidRDefault="00BC612C" w:rsidP="00BC612C">
      <w:pPr>
        <w:pStyle w:val="NormalWeb"/>
        <w:numPr>
          <w:ilvl w:val="0"/>
          <w:numId w:val="38"/>
        </w:numPr>
        <w:spacing w:before="0" w:beforeAutospacing="0" w:after="0" w:afterAutospacing="0"/>
        <w:textAlignment w:val="baseline"/>
        <w:rPr>
          <w:rFonts w:ascii="Arial" w:hAnsi="Arial" w:cs="Arial"/>
          <w:color w:val="000000"/>
          <w:sz w:val="20"/>
          <w:szCs w:val="20"/>
        </w:rPr>
      </w:pPr>
      <w:r w:rsidRPr="00BC612C">
        <w:rPr>
          <w:rFonts w:ascii="Arial" w:hAnsi="Arial" w:cs="Arial"/>
          <w:color w:val="000000"/>
          <w:sz w:val="20"/>
          <w:szCs w:val="20"/>
        </w:rPr>
        <w:t>Institutions improve digital access by using broad infrastructure strategies and strong digital transformation leadership (</w:t>
      </w:r>
      <w:proofErr w:type="spellStart"/>
      <w:r w:rsidRPr="00BC612C">
        <w:rPr>
          <w:rFonts w:ascii="Arial" w:hAnsi="Arial" w:cs="Arial"/>
          <w:color w:val="000000"/>
          <w:sz w:val="20"/>
          <w:szCs w:val="20"/>
        </w:rPr>
        <w:t>Zhukabayeva</w:t>
      </w:r>
      <w:proofErr w:type="spellEnd"/>
      <w:r w:rsidRPr="00BC612C">
        <w:rPr>
          <w:rFonts w:ascii="Arial" w:hAnsi="Arial" w:cs="Arial"/>
          <w:color w:val="000000"/>
          <w:sz w:val="20"/>
          <w:szCs w:val="20"/>
        </w:rPr>
        <w:t xml:space="preserve"> et al., 2025).</w:t>
      </w:r>
    </w:p>
    <w:p w14:paraId="3ABE8425" w14:textId="77777777" w:rsidR="00BC612C" w:rsidRPr="00BC612C" w:rsidRDefault="00BC612C" w:rsidP="00BC612C">
      <w:pPr>
        <w:pStyle w:val="NormalWeb"/>
        <w:numPr>
          <w:ilvl w:val="0"/>
          <w:numId w:val="38"/>
        </w:numPr>
        <w:spacing w:before="0" w:beforeAutospacing="0" w:after="0" w:afterAutospacing="0"/>
        <w:textAlignment w:val="baseline"/>
        <w:rPr>
          <w:rFonts w:ascii="Arial" w:hAnsi="Arial" w:cs="Arial"/>
          <w:color w:val="000000"/>
          <w:sz w:val="20"/>
          <w:szCs w:val="20"/>
        </w:rPr>
      </w:pPr>
      <w:r w:rsidRPr="00BC612C">
        <w:rPr>
          <w:rFonts w:ascii="Arial" w:hAnsi="Arial" w:cs="Arial"/>
          <w:color w:val="000000"/>
          <w:sz w:val="20"/>
          <w:szCs w:val="20"/>
        </w:rPr>
        <w:t>Financial and resource-based support plays a key role in achieving equity outcomes (</w:t>
      </w:r>
      <w:proofErr w:type="spellStart"/>
      <w:r w:rsidRPr="00BC612C">
        <w:rPr>
          <w:rFonts w:ascii="Arial" w:hAnsi="Arial" w:cs="Arial"/>
          <w:color w:val="000000"/>
          <w:sz w:val="20"/>
          <w:szCs w:val="20"/>
        </w:rPr>
        <w:t>Dyantyi</w:t>
      </w:r>
      <w:proofErr w:type="spellEnd"/>
      <w:r w:rsidRPr="00BC612C">
        <w:rPr>
          <w:rFonts w:ascii="Arial" w:hAnsi="Arial" w:cs="Arial"/>
          <w:color w:val="000000"/>
          <w:sz w:val="20"/>
          <w:szCs w:val="20"/>
        </w:rPr>
        <w:t xml:space="preserve"> &amp; </w:t>
      </w:r>
      <w:proofErr w:type="spellStart"/>
      <w:r w:rsidRPr="00BC612C">
        <w:rPr>
          <w:rFonts w:ascii="Arial" w:hAnsi="Arial" w:cs="Arial"/>
          <w:color w:val="000000"/>
          <w:sz w:val="20"/>
          <w:szCs w:val="20"/>
        </w:rPr>
        <w:t>Mkabile-Masebe</w:t>
      </w:r>
      <w:proofErr w:type="spellEnd"/>
      <w:r w:rsidRPr="00BC612C">
        <w:rPr>
          <w:rFonts w:ascii="Arial" w:hAnsi="Arial" w:cs="Arial"/>
          <w:color w:val="000000"/>
          <w:sz w:val="20"/>
          <w:szCs w:val="20"/>
        </w:rPr>
        <w:t>, 2025).</w:t>
      </w:r>
    </w:p>
    <w:p w14:paraId="39E04A72" w14:textId="77777777" w:rsidR="00BC612C" w:rsidRPr="00BC612C" w:rsidRDefault="00BC612C" w:rsidP="00BC612C">
      <w:pPr>
        <w:pStyle w:val="NormalWeb"/>
        <w:numPr>
          <w:ilvl w:val="0"/>
          <w:numId w:val="38"/>
        </w:numPr>
        <w:spacing w:before="0" w:beforeAutospacing="0" w:after="0" w:afterAutospacing="0"/>
        <w:textAlignment w:val="baseline"/>
        <w:rPr>
          <w:rFonts w:ascii="Arial" w:hAnsi="Arial" w:cs="Arial"/>
          <w:color w:val="000000"/>
          <w:sz w:val="20"/>
          <w:szCs w:val="20"/>
        </w:rPr>
      </w:pPr>
      <w:r w:rsidRPr="00BC612C">
        <w:rPr>
          <w:rFonts w:ascii="Arial" w:hAnsi="Arial" w:cs="Arial"/>
          <w:color w:val="000000"/>
          <w:sz w:val="20"/>
          <w:szCs w:val="20"/>
        </w:rPr>
        <w:t>Developing digital skills is seen as an important part of institutional governance (Lu &amp; Wang, 2023).</w:t>
      </w:r>
    </w:p>
    <w:p w14:paraId="6C94CA6F" w14:textId="77777777" w:rsidR="00BC612C" w:rsidRPr="00BC612C" w:rsidRDefault="00BC612C" w:rsidP="00BC612C">
      <w:pPr>
        <w:pStyle w:val="NormalWeb"/>
        <w:numPr>
          <w:ilvl w:val="0"/>
          <w:numId w:val="38"/>
        </w:numPr>
        <w:spacing w:before="0" w:beforeAutospacing="0" w:after="0" w:afterAutospacing="0"/>
        <w:textAlignment w:val="baseline"/>
        <w:rPr>
          <w:rFonts w:ascii="Arial" w:hAnsi="Arial" w:cs="Arial"/>
          <w:color w:val="000000"/>
          <w:sz w:val="20"/>
          <w:szCs w:val="20"/>
        </w:rPr>
      </w:pPr>
      <w:r w:rsidRPr="00BC612C">
        <w:rPr>
          <w:rFonts w:ascii="Arial" w:hAnsi="Arial" w:cs="Arial"/>
          <w:color w:val="000000"/>
          <w:sz w:val="20"/>
          <w:szCs w:val="20"/>
        </w:rPr>
        <w:t>Flexible access options, like blended and online learning, help increase participation (</w:t>
      </w:r>
      <w:proofErr w:type="spellStart"/>
      <w:r w:rsidRPr="00BC612C">
        <w:rPr>
          <w:rFonts w:ascii="Arial" w:hAnsi="Arial" w:cs="Arial"/>
          <w:color w:val="000000"/>
          <w:sz w:val="20"/>
          <w:szCs w:val="20"/>
        </w:rPr>
        <w:t>Zhukabayeva</w:t>
      </w:r>
      <w:proofErr w:type="spellEnd"/>
      <w:r w:rsidRPr="00BC612C">
        <w:rPr>
          <w:rFonts w:ascii="Arial" w:hAnsi="Arial" w:cs="Arial"/>
          <w:color w:val="000000"/>
          <w:sz w:val="20"/>
          <w:szCs w:val="20"/>
        </w:rPr>
        <w:t xml:space="preserve"> et al., 2025).</w:t>
      </w:r>
    </w:p>
    <w:p w14:paraId="1B42B2C4" w14:textId="5FB77AF5" w:rsidR="00BC612C" w:rsidRDefault="00BC612C" w:rsidP="00BC612C">
      <w:pPr>
        <w:pStyle w:val="NormalWeb"/>
        <w:numPr>
          <w:ilvl w:val="0"/>
          <w:numId w:val="38"/>
        </w:numPr>
        <w:spacing w:before="0" w:beforeAutospacing="0" w:after="0" w:afterAutospacing="0"/>
        <w:textAlignment w:val="baseline"/>
        <w:rPr>
          <w:rFonts w:ascii="Arial" w:hAnsi="Arial" w:cs="Arial"/>
          <w:color w:val="000000"/>
          <w:sz w:val="20"/>
          <w:szCs w:val="20"/>
        </w:rPr>
      </w:pPr>
      <w:r w:rsidRPr="00BC612C">
        <w:rPr>
          <w:rFonts w:ascii="Arial" w:hAnsi="Arial" w:cs="Arial"/>
          <w:color w:val="000000"/>
          <w:sz w:val="20"/>
          <w:szCs w:val="20"/>
        </w:rPr>
        <w:t>Strategic alignment shows how institutions respond to pressures, but equity outcomes rely on adapting to specific contexts, as explained by Institutional Theory and Equity and Access Theory.</w:t>
      </w:r>
    </w:p>
    <w:p w14:paraId="0DBCE509" w14:textId="77777777" w:rsidR="00BC612C" w:rsidRDefault="00BC612C" w:rsidP="00BC612C">
      <w:pPr>
        <w:pStyle w:val="NormalWeb"/>
        <w:spacing w:before="0" w:beforeAutospacing="0" w:after="0" w:afterAutospacing="0"/>
        <w:textAlignment w:val="baseline"/>
        <w:rPr>
          <w:rFonts w:ascii="Arial" w:hAnsi="Arial" w:cs="Arial"/>
          <w:color w:val="000000"/>
          <w:sz w:val="20"/>
          <w:szCs w:val="20"/>
        </w:rPr>
      </w:pPr>
    </w:p>
    <w:p w14:paraId="0337542A" w14:textId="77777777" w:rsidR="00BC612C" w:rsidRPr="00BC612C" w:rsidRDefault="00BC612C" w:rsidP="00BC612C">
      <w:pPr>
        <w:pStyle w:val="Heading2"/>
        <w:spacing w:before="0"/>
        <w:rPr>
          <w:b/>
          <w:bCs/>
          <w:sz w:val="36"/>
          <w:szCs w:val="36"/>
        </w:rPr>
      </w:pPr>
      <w:r w:rsidRPr="00BC612C">
        <w:rPr>
          <w:rFonts w:ascii="Arial" w:hAnsi="Arial" w:cs="Arial"/>
          <w:b/>
          <w:bCs/>
          <w:color w:val="000000"/>
          <w:sz w:val="22"/>
          <w:szCs w:val="22"/>
        </w:rPr>
        <w:t>4. CONCLUSION</w:t>
      </w:r>
    </w:p>
    <w:p w14:paraId="7CA488F3" w14:textId="77777777" w:rsidR="00BC612C" w:rsidRPr="00BC612C" w:rsidRDefault="00BC612C" w:rsidP="00BC612C">
      <w:pPr>
        <w:rPr>
          <w:rFonts w:ascii="Arial" w:hAnsi="Arial" w:cs="Arial"/>
          <w:sz w:val="22"/>
          <w:szCs w:val="22"/>
        </w:rPr>
      </w:pPr>
    </w:p>
    <w:p w14:paraId="4F26CD3D" w14:textId="77777777" w:rsidR="00BC612C" w:rsidRPr="00BC612C" w:rsidRDefault="00BC612C" w:rsidP="00BC612C">
      <w:pPr>
        <w:pStyle w:val="NormalWeb"/>
        <w:spacing w:before="0" w:beforeAutospacing="0" w:after="0" w:afterAutospacing="0"/>
        <w:rPr>
          <w:sz w:val="20"/>
          <w:szCs w:val="20"/>
        </w:rPr>
      </w:pPr>
      <w:r w:rsidRPr="00BC612C">
        <w:rPr>
          <w:rFonts w:ascii="Arial" w:hAnsi="Arial" w:cs="Arial"/>
          <w:color w:val="000000"/>
          <w:sz w:val="20"/>
          <w:szCs w:val="20"/>
        </w:rPr>
        <w:t>This study compared how a university in Northern Mindanao, Philippines, addresses digital divide challenges with several well-known, internationally accredited business schools. The results show that these institutions share similar strategies: they treat digital inclusion as a key part of governance and management, and include it in infrastructure planning, budgeting, skill development, and flexible access. However, there are important differences in how much they invest and how intensely they operate, which depend on their resources and local needs.</w:t>
      </w:r>
    </w:p>
    <w:p w14:paraId="1E9C6A6A" w14:textId="77777777" w:rsidR="00BC612C" w:rsidRPr="00BC612C" w:rsidRDefault="00BC612C" w:rsidP="00BC612C">
      <w:pPr>
        <w:pStyle w:val="NormalWeb"/>
        <w:spacing w:before="0" w:beforeAutospacing="0" w:after="0" w:afterAutospacing="0"/>
        <w:rPr>
          <w:sz w:val="20"/>
          <w:szCs w:val="20"/>
        </w:rPr>
      </w:pPr>
      <w:r w:rsidRPr="00BC612C">
        <w:rPr>
          <w:rFonts w:ascii="Arial" w:hAnsi="Arial" w:cs="Arial"/>
          <w:color w:val="000000"/>
          <w:sz w:val="20"/>
          <w:szCs w:val="20"/>
        </w:rPr>
        <w:t>Institutional Theory helps explain why universities respond in similar ways. They face pressures to meet digital standards, copy successful global peers, and follow rules set by accreditation and accountability bodies (DiMaggio &amp; Powell, 1983; Bennich, 2024; Lu &amp; Wang, 2023). These factors lead many universities to adopt similar strategies, like smart campus plans, centralized digital platforms, and digital initiatives across the whole institution.</w:t>
      </w:r>
    </w:p>
    <w:p w14:paraId="71AB2265" w14:textId="77777777" w:rsidR="00BC612C" w:rsidRPr="00BC612C" w:rsidRDefault="00BC612C" w:rsidP="00BC612C">
      <w:pPr>
        <w:pStyle w:val="NormalWeb"/>
        <w:spacing w:before="0" w:beforeAutospacing="0" w:after="0" w:afterAutospacing="0"/>
        <w:rPr>
          <w:sz w:val="20"/>
          <w:szCs w:val="20"/>
        </w:rPr>
      </w:pPr>
      <w:r w:rsidRPr="00BC612C">
        <w:rPr>
          <w:rFonts w:ascii="Arial" w:hAnsi="Arial" w:cs="Arial"/>
          <w:color w:val="000000"/>
          <w:sz w:val="20"/>
          <w:szCs w:val="20"/>
        </w:rPr>
        <w:t xml:space="preserve">Equity and Access Theory points out that having similar strategies does not always lead to equal results. Digital inequality is complex and includes access to technology, digital skills, and real participation (van Dijk, 2020). Leading global universities often invest heavily in infrastructure, offer various financial aid options, and have special units for building digital skills. The Philippine university shows similar goals through its planning, student support, digital skills programs, and alternative learning paths, but it uses fewer resources and relies more on flexible, local solutions. This matches recent policy studies that say fair digital </w:t>
      </w:r>
      <w:r w:rsidRPr="00BC612C">
        <w:rPr>
          <w:rFonts w:ascii="Arial" w:hAnsi="Arial" w:cs="Arial"/>
          <w:color w:val="000000"/>
          <w:sz w:val="20"/>
          <w:szCs w:val="20"/>
        </w:rPr>
        <w:lastRenderedPageBreak/>
        <w:t>change needs different approaches for different contexts, not just copying global models (Gottschalk &amp; Weise, 2023; UNESCO, 2023).</w:t>
      </w:r>
    </w:p>
    <w:p w14:paraId="4D537E3E" w14:textId="77777777" w:rsidR="00BC612C" w:rsidRPr="00BC612C" w:rsidRDefault="00BC612C" w:rsidP="00BC612C">
      <w:pPr>
        <w:pStyle w:val="NormalWeb"/>
        <w:spacing w:before="0" w:beforeAutospacing="0" w:after="0" w:afterAutospacing="0"/>
        <w:rPr>
          <w:sz w:val="20"/>
          <w:szCs w:val="20"/>
        </w:rPr>
      </w:pPr>
      <w:r w:rsidRPr="00BC612C">
        <w:rPr>
          <w:rFonts w:ascii="Arial" w:hAnsi="Arial" w:cs="Arial"/>
          <w:color w:val="000000"/>
          <w:sz w:val="20"/>
          <w:szCs w:val="20"/>
        </w:rPr>
        <w:t>This leads to several management and policy suggestions. First, digital inclusion should be built into governance so that investments, funding for equity, and skill development continue beyond emergencies. Second, support programs like targeted financial aid, student jobs, and outside-funded digital skills projects should be seen as central to digital strategy, not just extra services. Third, benchmarking should help institutions learn and adapt, not just copy others; it is important to balance following global trends with local needs to avoid mismatches (Bennich, 2024).</w:t>
      </w:r>
    </w:p>
    <w:p w14:paraId="171EEC9D" w14:textId="77777777" w:rsidR="00BC612C" w:rsidRPr="00BC612C" w:rsidRDefault="00BC612C" w:rsidP="00BC612C">
      <w:pPr>
        <w:pStyle w:val="NormalWeb"/>
        <w:spacing w:before="0" w:beforeAutospacing="0" w:after="0" w:afterAutospacing="0"/>
        <w:rPr>
          <w:sz w:val="20"/>
          <w:szCs w:val="20"/>
        </w:rPr>
      </w:pPr>
      <w:r w:rsidRPr="00BC612C">
        <w:rPr>
          <w:rFonts w:ascii="Arial" w:hAnsi="Arial" w:cs="Arial"/>
          <w:color w:val="000000"/>
          <w:sz w:val="20"/>
          <w:szCs w:val="20"/>
        </w:rPr>
        <w:t>This study has some limitations. It only used publicly available documents and a small, carefully chosen group of benchmark universities. While this allows for clear comparison of strategies and intentions, it does not show how well these strategies are carried out or their effects on students. Future research should combine document analysis with interviews, budget data, and student outcomes to see how strategies affect equity. Long-term studies could also show if these strategies reduce digital exclusion over time.</w:t>
      </w:r>
    </w:p>
    <w:p w14:paraId="1867FF94" w14:textId="77777777" w:rsidR="00BC612C" w:rsidRPr="00BC612C" w:rsidRDefault="00BC612C" w:rsidP="00BC612C">
      <w:pPr>
        <w:pStyle w:val="NormalWeb"/>
        <w:spacing w:before="0" w:beforeAutospacing="0" w:after="0" w:afterAutospacing="0"/>
        <w:rPr>
          <w:sz w:val="20"/>
          <w:szCs w:val="20"/>
        </w:rPr>
      </w:pPr>
      <w:r w:rsidRPr="00BC612C">
        <w:rPr>
          <w:rFonts w:ascii="Arial" w:hAnsi="Arial" w:cs="Arial"/>
          <w:color w:val="000000"/>
          <w:sz w:val="20"/>
          <w:szCs w:val="20"/>
        </w:rPr>
        <w:t>In summary, the findings show that universities around the world are moving toward similar ways of managing the digital divide. However, fair results depend on how well their strategies match their local resources and needs. Using both Institutional Theory and Equity &amp; Access Theory helps explain why universities sometimes act alike and sometimes differently when addressing digital inequality.</w:t>
      </w:r>
    </w:p>
    <w:p w14:paraId="1729AC21" w14:textId="77777777" w:rsidR="00C44A33" w:rsidRDefault="00C44A33" w:rsidP="005C7630">
      <w:pPr>
        <w:pStyle w:val="NormalWeb"/>
        <w:spacing w:before="0" w:beforeAutospacing="0" w:after="0" w:afterAutospacing="0"/>
        <w:rPr>
          <w:rFonts w:ascii="Arial" w:hAnsi="Arial" w:cs="Arial"/>
          <w:color w:val="000000"/>
          <w:sz w:val="20"/>
          <w:szCs w:val="20"/>
        </w:rPr>
      </w:pPr>
    </w:p>
    <w:p w14:paraId="03EF9F88" w14:textId="77777777" w:rsidR="00C44A33" w:rsidRPr="00C44A33" w:rsidRDefault="00C44A33" w:rsidP="00C44A33">
      <w:pPr>
        <w:pStyle w:val="Heading2"/>
        <w:spacing w:before="0"/>
        <w:rPr>
          <w:rFonts w:ascii="Times New Roman" w:hAnsi="Times New Roman"/>
          <w:b/>
          <w:bCs/>
        </w:rPr>
      </w:pPr>
      <w:r w:rsidRPr="00C44A33">
        <w:rPr>
          <w:rFonts w:ascii="Arial" w:hAnsi="Arial" w:cs="Arial"/>
          <w:b/>
          <w:bCs/>
          <w:color w:val="000000"/>
          <w:sz w:val="22"/>
          <w:szCs w:val="22"/>
        </w:rPr>
        <w:t>DISCLAIMER (ARTIFICIAL INTELLIGENCE)</w:t>
      </w:r>
    </w:p>
    <w:p w14:paraId="1AC7E8D2" w14:textId="77777777" w:rsidR="00C44A33" w:rsidRDefault="00C44A33" w:rsidP="00C44A33">
      <w:pPr>
        <w:pStyle w:val="NormalWeb"/>
        <w:spacing w:before="0" w:beforeAutospacing="0" w:after="0" w:afterAutospacing="0"/>
        <w:jc w:val="both"/>
      </w:pPr>
      <w:r>
        <w:rPr>
          <w:rFonts w:ascii="Arial" w:hAnsi="Arial" w:cs="Arial"/>
          <w:b/>
          <w:bCs/>
          <w:color w:val="000000"/>
          <w:sz w:val="20"/>
          <w:szCs w:val="20"/>
        </w:rPr>
        <w:t> </w:t>
      </w:r>
    </w:p>
    <w:p w14:paraId="023B6D8D" w14:textId="77777777" w:rsidR="00C44A33" w:rsidRDefault="00C44A33" w:rsidP="00C44A33">
      <w:pPr>
        <w:pStyle w:val="NormalWeb"/>
        <w:spacing w:before="0" w:beforeAutospacing="0" w:after="0" w:afterAutospacing="0"/>
        <w:jc w:val="both"/>
      </w:pPr>
      <w:r>
        <w:rPr>
          <w:rFonts w:ascii="Arial" w:hAnsi="Arial" w:cs="Arial"/>
          <w:color w:val="000000"/>
          <w:sz w:val="20"/>
          <w:szCs w:val="20"/>
        </w:rPr>
        <w:t>The author hereby declares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CE6629C" w14:textId="77777777" w:rsidR="00C44A33" w:rsidRDefault="00C44A33" w:rsidP="00C44A33"/>
    <w:p w14:paraId="6D61D0D7" w14:textId="77777777" w:rsidR="00C44A33" w:rsidRDefault="00C44A33" w:rsidP="00C44A33">
      <w:pPr>
        <w:pStyle w:val="NormalWeb"/>
        <w:spacing w:before="0" w:beforeAutospacing="0" w:after="0" w:afterAutospacing="0"/>
        <w:jc w:val="both"/>
      </w:pPr>
      <w:r>
        <w:rPr>
          <w:rFonts w:ascii="Arial" w:hAnsi="Arial" w:cs="Arial"/>
          <w:b/>
          <w:bCs/>
          <w:color w:val="000000"/>
          <w:sz w:val="20"/>
          <w:szCs w:val="20"/>
        </w:rPr>
        <w:t>Details of AI usage are given below:</w:t>
      </w:r>
    </w:p>
    <w:p w14:paraId="5C95B49A" w14:textId="77777777" w:rsidR="00C44A33" w:rsidRDefault="00C44A33" w:rsidP="00C44A33">
      <w:pPr>
        <w:pStyle w:val="NormalWeb"/>
        <w:spacing w:before="0" w:beforeAutospacing="0" w:after="0" w:afterAutospacing="0"/>
        <w:jc w:val="both"/>
      </w:pPr>
      <w:r>
        <w:rPr>
          <w:rFonts w:ascii="Arial" w:hAnsi="Arial" w:cs="Arial"/>
          <w:color w:val="000000"/>
          <w:sz w:val="20"/>
          <w:szCs w:val="20"/>
        </w:rPr>
        <w:t> </w:t>
      </w:r>
    </w:p>
    <w:p w14:paraId="763E5261" w14:textId="2B8E09D5" w:rsidR="00C44A33" w:rsidRPr="00467639" w:rsidRDefault="00C44A33" w:rsidP="00C44A33">
      <w:pPr>
        <w:pStyle w:val="NormalWeb"/>
        <w:spacing w:before="0" w:beforeAutospacing="0" w:after="0" w:afterAutospacing="0"/>
        <w:ind w:left="720" w:hanging="360"/>
        <w:jc w:val="both"/>
        <w:rPr>
          <w:rFonts w:ascii="Arial" w:hAnsi="Arial" w:cs="Arial"/>
          <w:sz w:val="20"/>
          <w:szCs w:val="20"/>
        </w:rPr>
      </w:pPr>
      <w:r w:rsidRPr="00467639">
        <w:rPr>
          <w:rFonts w:ascii="Arial" w:hAnsi="Arial" w:cs="Arial"/>
          <w:color w:val="000000"/>
          <w:sz w:val="20"/>
          <w:szCs w:val="20"/>
        </w:rPr>
        <w:t xml:space="preserve">1. </w:t>
      </w:r>
      <w:r w:rsidRPr="00467639">
        <w:rPr>
          <w:rStyle w:val="apple-tab-span"/>
          <w:rFonts w:ascii="Arial" w:hAnsi="Arial" w:cs="Arial"/>
          <w:color w:val="000000"/>
          <w:sz w:val="20"/>
          <w:szCs w:val="20"/>
        </w:rPr>
        <w:tab/>
      </w:r>
      <w:r w:rsidR="00467639" w:rsidRPr="00467639">
        <w:rPr>
          <w:rStyle w:val="Strong"/>
          <w:rFonts w:ascii="Arial" w:hAnsi="Arial" w:cs="Arial"/>
          <w:sz w:val="20"/>
          <w:szCs w:val="20"/>
        </w:rPr>
        <w:t>Grammarly</w:t>
      </w:r>
      <w:r w:rsidR="00467639" w:rsidRPr="00467639">
        <w:rPr>
          <w:rFonts w:ascii="Arial" w:hAnsi="Arial" w:cs="Arial"/>
          <w:sz w:val="20"/>
          <w:szCs w:val="20"/>
        </w:rPr>
        <w:t xml:space="preserve"> was used solely for language-related support, including grammar and spelling checks, as well as suggestions to improve clarity and readability. All revisions were reviewed and approved by the author.</w:t>
      </w:r>
    </w:p>
    <w:p w14:paraId="4FEB5CA8" w14:textId="1EFB4683" w:rsidR="00C44A33" w:rsidRPr="000E1F3F" w:rsidRDefault="00C44A33" w:rsidP="00C44A33">
      <w:pPr>
        <w:pStyle w:val="NormalWeb"/>
        <w:spacing w:before="0" w:beforeAutospacing="0" w:after="0" w:afterAutospacing="0"/>
        <w:ind w:left="720" w:hanging="360"/>
        <w:jc w:val="both"/>
        <w:rPr>
          <w:rFonts w:ascii="Arial" w:hAnsi="Arial" w:cs="Arial"/>
          <w:sz w:val="20"/>
          <w:szCs w:val="20"/>
        </w:rPr>
      </w:pPr>
      <w:r w:rsidRPr="000E1F3F">
        <w:rPr>
          <w:rFonts w:ascii="Arial" w:hAnsi="Arial" w:cs="Arial"/>
          <w:color w:val="000000"/>
          <w:sz w:val="20"/>
          <w:szCs w:val="20"/>
        </w:rPr>
        <w:t xml:space="preserve">2. </w:t>
      </w:r>
      <w:r w:rsidRPr="000E1F3F">
        <w:rPr>
          <w:rStyle w:val="apple-tab-span"/>
          <w:rFonts w:ascii="Arial" w:hAnsi="Arial" w:cs="Arial"/>
          <w:color w:val="000000"/>
          <w:sz w:val="20"/>
          <w:szCs w:val="20"/>
        </w:rPr>
        <w:tab/>
      </w:r>
      <w:r w:rsidRPr="000E1F3F">
        <w:rPr>
          <w:rFonts w:ascii="Arial" w:hAnsi="Arial" w:cs="Arial"/>
          <w:b/>
          <w:bCs/>
          <w:color w:val="000000"/>
          <w:sz w:val="20"/>
          <w:szCs w:val="20"/>
        </w:rPr>
        <w:t>ChatGPT</w:t>
      </w:r>
      <w:r w:rsidRPr="000E1F3F">
        <w:rPr>
          <w:rFonts w:ascii="Arial" w:hAnsi="Arial" w:cs="Arial"/>
          <w:color w:val="000000"/>
          <w:sz w:val="20"/>
          <w:szCs w:val="20"/>
        </w:rPr>
        <w:t xml:space="preserve"> (OpenAI, version GPT-5.2)</w:t>
      </w:r>
      <w:r w:rsidR="000E1F3F">
        <w:rPr>
          <w:rFonts w:ascii="Arial" w:hAnsi="Arial" w:cs="Arial"/>
          <w:color w:val="000000"/>
          <w:sz w:val="20"/>
          <w:szCs w:val="20"/>
        </w:rPr>
        <w:t xml:space="preserve"> </w:t>
      </w:r>
      <w:r w:rsidR="000E1F3F" w:rsidRPr="000E1F3F">
        <w:rPr>
          <w:rFonts w:ascii="Arial" w:hAnsi="Arial" w:cs="Arial"/>
          <w:sz w:val="20"/>
          <w:szCs w:val="20"/>
        </w:rPr>
        <w:t>was used to assist with conceptualization, brainstorming, identifying potential references and sources, and supporting the organization and flow of the manuscript.</w:t>
      </w:r>
    </w:p>
    <w:p w14:paraId="134E77D2" w14:textId="77777777" w:rsidR="00C44A33" w:rsidRPr="000E1F3F" w:rsidRDefault="00C44A33" w:rsidP="00C44A33">
      <w:pPr>
        <w:pStyle w:val="NormalWeb"/>
        <w:spacing w:before="0" w:beforeAutospacing="0" w:after="0" w:afterAutospacing="0"/>
        <w:jc w:val="both"/>
        <w:rPr>
          <w:rFonts w:ascii="Arial" w:hAnsi="Arial" w:cs="Arial"/>
          <w:sz w:val="20"/>
          <w:szCs w:val="20"/>
        </w:rPr>
      </w:pPr>
      <w:r w:rsidRPr="000E1F3F">
        <w:rPr>
          <w:rFonts w:ascii="Arial" w:hAnsi="Arial" w:cs="Arial"/>
          <w:b/>
          <w:bCs/>
          <w:color w:val="000000"/>
          <w:sz w:val="20"/>
          <w:szCs w:val="20"/>
        </w:rPr>
        <w:t> </w:t>
      </w:r>
    </w:p>
    <w:p w14:paraId="44575E26" w14:textId="77777777" w:rsidR="00C44A33" w:rsidRDefault="00C44A33" w:rsidP="00C44A33">
      <w:pPr>
        <w:pStyle w:val="NormalWeb"/>
        <w:spacing w:before="0" w:beforeAutospacing="0" w:after="0" w:afterAutospacing="0"/>
        <w:jc w:val="both"/>
      </w:pPr>
      <w:r>
        <w:rPr>
          <w:rFonts w:ascii="Arial" w:hAnsi="Arial" w:cs="Arial"/>
          <w:b/>
          <w:bCs/>
          <w:color w:val="000000"/>
          <w:sz w:val="22"/>
          <w:szCs w:val="22"/>
        </w:rPr>
        <w:t>COMPETING INTERESTS</w:t>
      </w:r>
    </w:p>
    <w:p w14:paraId="66C3ADBF" w14:textId="77777777" w:rsidR="00C44A33" w:rsidRDefault="00C44A33" w:rsidP="00C44A33">
      <w:pPr>
        <w:pStyle w:val="NormalWeb"/>
        <w:spacing w:before="0" w:beforeAutospacing="0" w:after="0" w:afterAutospacing="0"/>
        <w:jc w:val="both"/>
      </w:pPr>
      <w:r>
        <w:rPr>
          <w:color w:val="000000"/>
        </w:rPr>
        <w:t> </w:t>
      </w:r>
    </w:p>
    <w:p w14:paraId="7BED5F56" w14:textId="0DD4E3C5" w:rsidR="00C44A33" w:rsidRDefault="00B43556" w:rsidP="00C44A33">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Author</w:t>
      </w:r>
      <w:r w:rsidR="00C44A33">
        <w:rPr>
          <w:rFonts w:ascii="Arial" w:hAnsi="Arial" w:cs="Arial"/>
          <w:color w:val="000000"/>
          <w:sz w:val="20"/>
          <w:szCs w:val="20"/>
        </w:rPr>
        <w:t xml:space="preserve"> has declared that no competing interests exist.</w:t>
      </w:r>
    </w:p>
    <w:p w14:paraId="0B0DE3B1" w14:textId="77777777" w:rsidR="005C751F" w:rsidRDefault="005C751F" w:rsidP="00C44A33">
      <w:pPr>
        <w:pStyle w:val="NormalWeb"/>
        <w:spacing w:before="0" w:beforeAutospacing="0" w:after="0" w:afterAutospacing="0"/>
        <w:jc w:val="both"/>
        <w:rPr>
          <w:rFonts w:ascii="Arial" w:hAnsi="Arial" w:cs="Arial"/>
          <w:color w:val="000000"/>
          <w:sz w:val="20"/>
          <w:szCs w:val="20"/>
        </w:rPr>
      </w:pPr>
    </w:p>
    <w:p w14:paraId="460DEF35" w14:textId="3FB7B389" w:rsidR="005C751F" w:rsidRDefault="005C751F" w:rsidP="005C751F">
      <w:pPr>
        <w:pStyle w:val="NormalWeb"/>
        <w:spacing w:before="0" w:beforeAutospacing="0" w:after="0" w:afterAutospacing="0"/>
        <w:jc w:val="both"/>
        <w:rPr>
          <w:rFonts w:ascii="Arial" w:hAnsi="Arial" w:cs="Arial"/>
          <w:b/>
          <w:bCs/>
          <w:color w:val="000000"/>
          <w:sz w:val="22"/>
          <w:szCs w:val="22"/>
        </w:rPr>
      </w:pPr>
      <w:r>
        <w:rPr>
          <w:rFonts w:ascii="Arial" w:hAnsi="Arial" w:cs="Arial"/>
          <w:b/>
          <w:bCs/>
          <w:color w:val="000000"/>
          <w:sz w:val="22"/>
          <w:szCs w:val="22"/>
        </w:rPr>
        <w:t>REFERENCES</w:t>
      </w:r>
    </w:p>
    <w:p w14:paraId="4F5DBB5D" w14:textId="77777777" w:rsidR="005C751F" w:rsidRDefault="005C751F" w:rsidP="005C751F">
      <w:pPr>
        <w:pStyle w:val="NormalWeb"/>
        <w:spacing w:before="0" w:beforeAutospacing="0" w:after="0" w:afterAutospacing="0"/>
        <w:jc w:val="both"/>
        <w:rPr>
          <w:rFonts w:ascii="Arial" w:hAnsi="Arial" w:cs="Arial"/>
          <w:b/>
          <w:bCs/>
          <w:color w:val="000000"/>
          <w:sz w:val="22"/>
          <w:szCs w:val="22"/>
        </w:rPr>
      </w:pPr>
    </w:p>
    <w:p w14:paraId="2E46C911" w14:textId="77777777" w:rsidR="00BC612C" w:rsidRDefault="00BC612C" w:rsidP="00BC612C">
      <w:pPr>
        <w:pStyle w:val="NormalWeb"/>
        <w:spacing w:before="0" w:beforeAutospacing="0" w:after="0" w:afterAutospacing="0"/>
        <w:ind w:left="540" w:hanging="540"/>
      </w:pPr>
      <w:r>
        <w:rPr>
          <w:rFonts w:ascii="Arial" w:hAnsi="Arial" w:cs="Arial"/>
          <w:color w:val="000000"/>
          <w:sz w:val="20"/>
          <w:szCs w:val="20"/>
        </w:rPr>
        <w:t xml:space="preserve">Abd Rashid, A., Hanif, A., Mohamad Shukri, N. H., &amp; </w:t>
      </w:r>
      <w:proofErr w:type="spellStart"/>
      <w:r>
        <w:rPr>
          <w:rFonts w:ascii="Arial" w:hAnsi="Arial" w:cs="Arial"/>
          <w:color w:val="000000"/>
          <w:sz w:val="20"/>
          <w:szCs w:val="20"/>
        </w:rPr>
        <w:t>Žugić</w:t>
      </w:r>
      <w:proofErr w:type="spellEnd"/>
      <w:r>
        <w:rPr>
          <w:rFonts w:ascii="Arial" w:hAnsi="Arial" w:cs="Arial"/>
          <w:color w:val="000000"/>
          <w:sz w:val="20"/>
          <w:szCs w:val="20"/>
        </w:rPr>
        <w:t xml:space="preserve">, D. (2025). Bridging the digital divide in ASEAN: Insights from Vietnam, Philippines, Laos, Cambodia, and Indonesia. </w:t>
      </w:r>
      <w:r>
        <w:rPr>
          <w:rFonts w:ascii="Arial" w:hAnsi="Arial" w:cs="Arial"/>
          <w:i/>
          <w:iCs/>
          <w:color w:val="000000"/>
          <w:sz w:val="20"/>
          <w:szCs w:val="20"/>
        </w:rPr>
        <w:t>Open Research Europe, 5</w:t>
      </w:r>
      <w:r>
        <w:rPr>
          <w:rFonts w:ascii="Arial" w:hAnsi="Arial" w:cs="Arial"/>
          <w:color w:val="000000"/>
          <w:sz w:val="20"/>
          <w:szCs w:val="20"/>
        </w:rPr>
        <w:t>(220).</w:t>
      </w:r>
      <w:hyperlink r:id="rId15" w:history="1">
        <w:r>
          <w:rPr>
            <w:rStyle w:val="Hyperlink"/>
            <w:rFonts w:ascii="Arial" w:hAnsi="Arial" w:cs="Arial"/>
            <w:color w:val="000000"/>
            <w:sz w:val="20"/>
            <w:szCs w:val="20"/>
            <w:u w:val="none"/>
          </w:rPr>
          <w:t xml:space="preserve"> https://doi.org/10.12688/openreseurope.20260.1</w:t>
        </w:r>
      </w:hyperlink>
    </w:p>
    <w:p w14:paraId="6C9C6AA3" w14:textId="77777777" w:rsidR="00BC612C" w:rsidRDefault="00BC612C" w:rsidP="00BC612C">
      <w:pPr>
        <w:pStyle w:val="NormalWeb"/>
        <w:spacing w:before="0" w:beforeAutospacing="0" w:after="0" w:afterAutospacing="0"/>
        <w:ind w:left="540" w:hanging="540"/>
      </w:pPr>
      <w:r>
        <w:rPr>
          <w:rFonts w:ascii="Arial" w:hAnsi="Arial" w:cs="Arial"/>
          <w:color w:val="000000"/>
          <w:sz w:val="20"/>
          <w:szCs w:val="20"/>
        </w:rPr>
        <w:t xml:space="preserve">Ahmed, S. K. (2024). </w:t>
      </w:r>
      <w:r>
        <w:rPr>
          <w:rFonts w:ascii="Arial" w:hAnsi="Arial" w:cs="Arial"/>
          <w:i/>
          <w:iCs/>
          <w:color w:val="000000"/>
          <w:sz w:val="20"/>
          <w:szCs w:val="20"/>
        </w:rPr>
        <w:t>The pillars of trustworthiness in qualitative research</w:t>
      </w:r>
      <w:r>
        <w:rPr>
          <w:rFonts w:ascii="Arial" w:hAnsi="Arial" w:cs="Arial"/>
          <w:color w:val="000000"/>
          <w:sz w:val="20"/>
          <w:szCs w:val="20"/>
        </w:rPr>
        <w:t xml:space="preserve"> (SSRN Scholarly Paper No. 4965351). SSRN. </w:t>
      </w:r>
      <w:hyperlink r:id="rId16" w:history="1">
        <w:r>
          <w:rPr>
            <w:rStyle w:val="Hyperlink"/>
            <w:rFonts w:ascii="Arial" w:hAnsi="Arial" w:cs="Arial"/>
            <w:color w:val="000000"/>
            <w:sz w:val="20"/>
            <w:szCs w:val="20"/>
            <w:u w:val="none"/>
          </w:rPr>
          <w:t>https://doi.org/10.2139/ssrn.4965351</w:t>
        </w:r>
      </w:hyperlink>
    </w:p>
    <w:p w14:paraId="47B3EAC5" w14:textId="77777777" w:rsidR="00BC612C" w:rsidRDefault="00BC612C" w:rsidP="00BC612C">
      <w:pPr>
        <w:pStyle w:val="NormalWeb"/>
        <w:spacing w:before="0" w:beforeAutospacing="0" w:after="0" w:afterAutospacing="0"/>
        <w:ind w:left="540" w:hanging="540"/>
      </w:pPr>
      <w:r>
        <w:rPr>
          <w:rFonts w:ascii="Arial" w:hAnsi="Arial" w:cs="Arial"/>
          <w:color w:val="000000"/>
          <w:sz w:val="20"/>
          <w:szCs w:val="20"/>
        </w:rPr>
        <w:t xml:space="preserve">Association to Advance Collegiate Schools of Business. (n.d.). </w:t>
      </w:r>
      <w:r>
        <w:rPr>
          <w:rFonts w:ascii="Arial" w:hAnsi="Arial" w:cs="Arial"/>
          <w:i/>
          <w:iCs/>
          <w:color w:val="000000"/>
          <w:sz w:val="20"/>
          <w:szCs w:val="20"/>
        </w:rPr>
        <w:t>Business accreditation</w:t>
      </w:r>
      <w:r>
        <w:rPr>
          <w:rFonts w:ascii="Arial" w:hAnsi="Arial" w:cs="Arial"/>
          <w:color w:val="000000"/>
          <w:sz w:val="20"/>
          <w:szCs w:val="20"/>
        </w:rPr>
        <w:t>. AACSB.</w:t>
      </w:r>
      <w:hyperlink r:id="rId17" w:history="1">
        <w:r>
          <w:rPr>
            <w:rStyle w:val="Hyperlink"/>
            <w:rFonts w:ascii="Arial" w:hAnsi="Arial" w:cs="Arial"/>
            <w:color w:val="000000"/>
            <w:sz w:val="20"/>
            <w:szCs w:val="20"/>
            <w:u w:val="none"/>
          </w:rPr>
          <w:t xml:space="preserve"> </w:t>
        </w:r>
      </w:hyperlink>
      <w:hyperlink r:id="rId18" w:history="1">
        <w:r>
          <w:rPr>
            <w:rStyle w:val="Hyperlink"/>
            <w:rFonts w:ascii="Arial" w:hAnsi="Arial" w:cs="Arial"/>
            <w:color w:val="000000"/>
            <w:sz w:val="20"/>
            <w:szCs w:val="20"/>
            <w:u w:val="none"/>
          </w:rPr>
          <w:t>https://www.aacsb.edu/educators/accreditation/business-accreditation</w:t>
        </w:r>
      </w:hyperlink>
    </w:p>
    <w:p w14:paraId="5C4275A2" w14:textId="77777777" w:rsidR="00BC612C" w:rsidRDefault="00BC612C" w:rsidP="00BC612C">
      <w:pPr>
        <w:pStyle w:val="NormalWeb"/>
        <w:spacing w:before="0" w:beforeAutospacing="0" w:after="0" w:afterAutospacing="0"/>
        <w:ind w:left="540" w:hanging="540"/>
      </w:pPr>
      <w:r>
        <w:rPr>
          <w:rFonts w:ascii="Arial" w:hAnsi="Arial" w:cs="Arial"/>
          <w:color w:val="000000"/>
          <w:sz w:val="20"/>
          <w:szCs w:val="20"/>
        </w:rPr>
        <w:t xml:space="preserve">Barragán Moreno, S. P., &amp; Guzmán Rincón, A. (2025). Digital divide as an explanatory variable for dropout in higher education. </w:t>
      </w:r>
      <w:r>
        <w:rPr>
          <w:rFonts w:ascii="Arial" w:hAnsi="Arial" w:cs="Arial"/>
          <w:i/>
          <w:iCs/>
          <w:color w:val="000000"/>
          <w:sz w:val="20"/>
          <w:szCs w:val="20"/>
        </w:rPr>
        <w:t>International Journal of Educational Technology in Higher Education, 22</w:t>
      </w:r>
      <w:r>
        <w:rPr>
          <w:rFonts w:ascii="Arial" w:hAnsi="Arial" w:cs="Arial"/>
          <w:color w:val="000000"/>
          <w:sz w:val="20"/>
          <w:szCs w:val="20"/>
        </w:rPr>
        <w:t>(60).</w:t>
      </w:r>
      <w:hyperlink r:id="rId19" w:history="1">
        <w:r>
          <w:rPr>
            <w:rStyle w:val="Hyperlink"/>
            <w:rFonts w:ascii="Arial" w:hAnsi="Arial" w:cs="Arial"/>
            <w:color w:val="000000"/>
            <w:sz w:val="20"/>
            <w:szCs w:val="20"/>
            <w:u w:val="none"/>
          </w:rPr>
          <w:t xml:space="preserve"> https://doi.org/10.1186/s41239-025-00550-0</w:t>
        </w:r>
      </w:hyperlink>
    </w:p>
    <w:p w14:paraId="7CA7C188" w14:textId="77777777" w:rsidR="00BC612C" w:rsidRDefault="00BC612C" w:rsidP="00BC612C">
      <w:pPr>
        <w:pStyle w:val="NormalWeb"/>
        <w:spacing w:before="0" w:beforeAutospacing="0" w:after="0" w:afterAutospacing="0"/>
        <w:ind w:left="540" w:hanging="540"/>
      </w:pPr>
      <w:r>
        <w:rPr>
          <w:rFonts w:ascii="Arial" w:hAnsi="Arial" w:cs="Arial"/>
          <w:color w:val="000000"/>
          <w:sz w:val="20"/>
          <w:szCs w:val="20"/>
          <w:shd w:val="clear" w:color="auto" w:fill="FFFFFF"/>
        </w:rPr>
        <w:lastRenderedPageBreak/>
        <w:t xml:space="preserve">Bennich, A. (2024). The digital imperative: Institutional pressures to digitalise. </w:t>
      </w:r>
      <w:r>
        <w:rPr>
          <w:rFonts w:ascii="Arial" w:hAnsi="Arial" w:cs="Arial"/>
          <w:i/>
          <w:iCs/>
          <w:color w:val="000000"/>
          <w:sz w:val="20"/>
          <w:szCs w:val="20"/>
          <w:shd w:val="clear" w:color="auto" w:fill="FFFFFF"/>
        </w:rPr>
        <w:t>Technology in Society, 76</w:t>
      </w:r>
      <w:r>
        <w:rPr>
          <w:rFonts w:ascii="Arial" w:hAnsi="Arial" w:cs="Arial"/>
          <w:color w:val="000000"/>
          <w:sz w:val="20"/>
          <w:szCs w:val="20"/>
          <w:shd w:val="clear" w:color="auto" w:fill="FFFFFF"/>
        </w:rPr>
        <w:t xml:space="preserve">, Article 102436. </w:t>
      </w:r>
      <w:hyperlink r:id="rId20" w:history="1">
        <w:r>
          <w:rPr>
            <w:rStyle w:val="Hyperlink"/>
            <w:rFonts w:ascii="Arial" w:hAnsi="Arial" w:cs="Arial"/>
            <w:color w:val="000000"/>
            <w:sz w:val="20"/>
            <w:szCs w:val="20"/>
            <w:u w:val="none"/>
            <w:shd w:val="clear" w:color="auto" w:fill="FFFFFF"/>
          </w:rPr>
          <w:t>https://doi.org/10.1016/j.techsoc.2023.102436</w:t>
        </w:r>
      </w:hyperlink>
    </w:p>
    <w:p w14:paraId="4AB87E02" w14:textId="77777777" w:rsidR="00BC612C" w:rsidRDefault="00BC612C" w:rsidP="00BC612C">
      <w:pPr>
        <w:pStyle w:val="NormalWeb"/>
        <w:spacing w:before="0" w:beforeAutospacing="0" w:after="0" w:afterAutospacing="0"/>
        <w:ind w:left="540" w:hanging="540"/>
      </w:pPr>
      <w:proofErr w:type="spellStart"/>
      <w:r>
        <w:rPr>
          <w:rFonts w:ascii="Arial" w:hAnsi="Arial" w:cs="Arial"/>
          <w:color w:val="000000"/>
          <w:sz w:val="20"/>
          <w:szCs w:val="20"/>
        </w:rPr>
        <w:t>Bouncken</w:t>
      </w:r>
      <w:proofErr w:type="spellEnd"/>
      <w:r>
        <w:rPr>
          <w:rFonts w:ascii="Arial" w:hAnsi="Arial" w:cs="Arial"/>
          <w:color w:val="000000"/>
          <w:sz w:val="20"/>
          <w:szCs w:val="20"/>
        </w:rPr>
        <w:t xml:space="preserve">, R. B., </w:t>
      </w:r>
      <w:proofErr w:type="spellStart"/>
      <w:r>
        <w:rPr>
          <w:rFonts w:ascii="Arial" w:hAnsi="Arial" w:cs="Arial"/>
          <w:color w:val="000000"/>
          <w:sz w:val="20"/>
          <w:szCs w:val="20"/>
        </w:rPr>
        <w:t>Czakon</w:t>
      </w:r>
      <w:proofErr w:type="spellEnd"/>
      <w:r>
        <w:rPr>
          <w:rFonts w:ascii="Arial" w:hAnsi="Arial" w:cs="Arial"/>
          <w:color w:val="000000"/>
          <w:sz w:val="20"/>
          <w:szCs w:val="20"/>
        </w:rPr>
        <w:t xml:space="preserve">, W., &amp; Schmitt, F. (2025). </w:t>
      </w:r>
      <w:r>
        <w:rPr>
          <w:rFonts w:ascii="Arial" w:hAnsi="Arial" w:cs="Arial"/>
          <w:i/>
          <w:iCs/>
          <w:color w:val="000000"/>
          <w:sz w:val="20"/>
          <w:szCs w:val="20"/>
        </w:rPr>
        <w:t>Purposeful sampling and saturation in qualitative research methodologies: recommendations and review.</w:t>
      </w:r>
      <w:r>
        <w:rPr>
          <w:rFonts w:ascii="Arial" w:hAnsi="Arial" w:cs="Arial"/>
          <w:color w:val="000000"/>
          <w:sz w:val="20"/>
          <w:szCs w:val="20"/>
        </w:rPr>
        <w:t xml:space="preserve"> </w:t>
      </w:r>
      <w:r>
        <w:rPr>
          <w:rFonts w:ascii="Arial" w:hAnsi="Arial" w:cs="Arial"/>
          <w:i/>
          <w:iCs/>
          <w:color w:val="000000"/>
          <w:sz w:val="20"/>
          <w:szCs w:val="20"/>
        </w:rPr>
        <w:t>Review of Managerial Science.</w:t>
      </w:r>
      <w:r>
        <w:rPr>
          <w:rFonts w:ascii="Arial" w:hAnsi="Arial" w:cs="Arial"/>
          <w:color w:val="000000"/>
          <w:sz w:val="20"/>
          <w:szCs w:val="20"/>
        </w:rPr>
        <w:t xml:space="preserve"> </w:t>
      </w:r>
      <w:hyperlink r:id="rId21" w:history="1">
        <w:r>
          <w:rPr>
            <w:rStyle w:val="Hyperlink"/>
            <w:rFonts w:ascii="Arial" w:hAnsi="Arial" w:cs="Arial"/>
            <w:color w:val="000000"/>
            <w:sz w:val="20"/>
            <w:szCs w:val="20"/>
            <w:u w:val="none"/>
          </w:rPr>
          <w:t>https://doi.org/10.1007/s11846-025-00881-2</w:t>
        </w:r>
      </w:hyperlink>
    </w:p>
    <w:p w14:paraId="22C6F975" w14:textId="77777777" w:rsidR="00BC612C" w:rsidRDefault="00BC612C" w:rsidP="00BC612C">
      <w:pPr>
        <w:pStyle w:val="NormalWeb"/>
        <w:spacing w:before="0" w:beforeAutospacing="0" w:after="0" w:afterAutospacing="0"/>
        <w:ind w:left="540" w:hanging="540"/>
      </w:pPr>
      <w:r>
        <w:rPr>
          <w:rFonts w:ascii="Arial" w:hAnsi="Arial" w:cs="Arial"/>
          <w:color w:val="000000"/>
          <w:sz w:val="20"/>
          <w:szCs w:val="20"/>
        </w:rPr>
        <w:t xml:space="preserve">Bowen, G. A. (2009). Document analysis as a qualitative research method. </w:t>
      </w:r>
      <w:r>
        <w:rPr>
          <w:rFonts w:ascii="Arial" w:hAnsi="Arial" w:cs="Arial"/>
          <w:i/>
          <w:iCs/>
          <w:color w:val="000000"/>
          <w:sz w:val="20"/>
          <w:szCs w:val="20"/>
        </w:rPr>
        <w:t>Qualitative Research Journal, 9</w:t>
      </w:r>
      <w:r>
        <w:rPr>
          <w:rFonts w:ascii="Arial" w:hAnsi="Arial" w:cs="Arial"/>
          <w:color w:val="000000"/>
          <w:sz w:val="20"/>
          <w:szCs w:val="20"/>
        </w:rPr>
        <w:t xml:space="preserve">(2), 27–40. </w:t>
      </w:r>
      <w:hyperlink r:id="rId22" w:history="1">
        <w:r>
          <w:rPr>
            <w:rStyle w:val="Hyperlink"/>
            <w:rFonts w:ascii="Arial" w:hAnsi="Arial" w:cs="Arial"/>
            <w:color w:val="000000"/>
            <w:sz w:val="20"/>
            <w:szCs w:val="20"/>
            <w:u w:val="none"/>
          </w:rPr>
          <w:t>https://doi.org/10.3316/QRJ0902027</w:t>
        </w:r>
      </w:hyperlink>
    </w:p>
    <w:p w14:paraId="465CB21A" w14:textId="77777777" w:rsidR="00BC612C" w:rsidRDefault="00BC612C" w:rsidP="00BC612C">
      <w:pPr>
        <w:pStyle w:val="NormalWeb"/>
        <w:spacing w:before="0" w:beforeAutospacing="0" w:after="0" w:afterAutospacing="0"/>
        <w:ind w:left="540" w:hanging="540"/>
      </w:pPr>
      <w:r>
        <w:rPr>
          <w:rFonts w:ascii="Arial" w:hAnsi="Arial" w:cs="Arial"/>
          <w:color w:val="000000"/>
          <w:sz w:val="20"/>
          <w:szCs w:val="20"/>
        </w:rPr>
        <w:t xml:space="preserve">Carmo, J. E. S., Lacerda, D. P., Klingenberg, C. O., &amp; Piran, F. A. S. (2025). Digital transformation in the management of higher education institutions. </w:t>
      </w:r>
      <w:r>
        <w:rPr>
          <w:rFonts w:ascii="Arial" w:hAnsi="Arial" w:cs="Arial"/>
          <w:i/>
          <w:iCs/>
          <w:color w:val="000000"/>
          <w:sz w:val="20"/>
          <w:szCs w:val="20"/>
        </w:rPr>
        <w:t>Science and Technology Futures</w:t>
      </w:r>
      <w:r>
        <w:rPr>
          <w:rFonts w:ascii="Arial" w:hAnsi="Arial" w:cs="Arial"/>
          <w:color w:val="000000"/>
          <w:sz w:val="20"/>
          <w:szCs w:val="20"/>
        </w:rPr>
        <w:t>.</w:t>
      </w:r>
      <w:hyperlink r:id="rId23" w:history="1">
        <w:r>
          <w:rPr>
            <w:rStyle w:val="Hyperlink"/>
            <w:rFonts w:ascii="Arial" w:hAnsi="Arial" w:cs="Arial"/>
            <w:color w:val="000000"/>
            <w:sz w:val="20"/>
            <w:szCs w:val="20"/>
            <w:u w:val="none"/>
          </w:rPr>
          <w:t xml:space="preserve"> https://doi.org/10.1016/j.sftr.2025.100692</w:t>
        </w:r>
      </w:hyperlink>
    </w:p>
    <w:p w14:paraId="6D297CEA" w14:textId="77777777" w:rsidR="00BC612C" w:rsidRDefault="00BC612C" w:rsidP="00BC612C">
      <w:pPr>
        <w:pStyle w:val="NormalWeb"/>
        <w:spacing w:before="0" w:beforeAutospacing="0" w:after="0" w:afterAutospacing="0"/>
        <w:ind w:left="540" w:hanging="540"/>
      </w:pPr>
      <w:r>
        <w:rPr>
          <w:rFonts w:ascii="Arial" w:hAnsi="Arial" w:cs="Arial"/>
          <w:color w:val="000000"/>
          <w:sz w:val="20"/>
          <w:szCs w:val="20"/>
        </w:rPr>
        <w:t xml:space="preserve">Dahal, N., Neupane, B. P., Pant, B. P., Dhakal, R. K., Giri, D. R., Ghimire, P. R., &amp; Bhandari, L. P. (2024). </w:t>
      </w:r>
      <w:r>
        <w:rPr>
          <w:rFonts w:ascii="Arial" w:hAnsi="Arial" w:cs="Arial"/>
          <w:i/>
          <w:iCs/>
          <w:color w:val="000000"/>
          <w:sz w:val="20"/>
          <w:szCs w:val="20"/>
        </w:rPr>
        <w:t>Participant selection procedures in qualitative research: Experiences and some points for consideration.</w:t>
      </w:r>
      <w:r>
        <w:rPr>
          <w:rFonts w:ascii="Arial" w:hAnsi="Arial" w:cs="Arial"/>
          <w:color w:val="000000"/>
          <w:sz w:val="20"/>
          <w:szCs w:val="20"/>
        </w:rPr>
        <w:t xml:space="preserve"> </w:t>
      </w:r>
      <w:r>
        <w:rPr>
          <w:rFonts w:ascii="Arial" w:hAnsi="Arial" w:cs="Arial"/>
          <w:i/>
          <w:iCs/>
          <w:color w:val="000000"/>
          <w:sz w:val="20"/>
          <w:szCs w:val="20"/>
        </w:rPr>
        <w:t>Frontiers in Research Metrics and Analytics, 9</w:t>
      </w:r>
      <w:r>
        <w:rPr>
          <w:rFonts w:ascii="Arial" w:hAnsi="Arial" w:cs="Arial"/>
          <w:color w:val="000000"/>
          <w:sz w:val="20"/>
          <w:szCs w:val="20"/>
        </w:rPr>
        <w:t xml:space="preserve">, Article 1512747. </w:t>
      </w:r>
      <w:hyperlink r:id="rId24" w:history="1">
        <w:r>
          <w:rPr>
            <w:rStyle w:val="Hyperlink"/>
            <w:rFonts w:ascii="Arial" w:hAnsi="Arial" w:cs="Arial"/>
            <w:color w:val="000000"/>
            <w:sz w:val="20"/>
            <w:szCs w:val="20"/>
            <w:u w:val="none"/>
          </w:rPr>
          <w:t>https://doi.org/10.3389/frma.2024.1512747</w:t>
        </w:r>
      </w:hyperlink>
    </w:p>
    <w:p w14:paraId="6BAA054E" w14:textId="77777777" w:rsidR="00BC612C" w:rsidRDefault="00BC612C" w:rsidP="00BC612C">
      <w:pPr>
        <w:pStyle w:val="NormalWeb"/>
        <w:spacing w:before="0" w:beforeAutospacing="0" w:after="0" w:afterAutospacing="0"/>
        <w:ind w:left="540" w:hanging="540"/>
      </w:pPr>
      <w:r>
        <w:rPr>
          <w:rFonts w:ascii="Arial" w:hAnsi="Arial" w:cs="Arial"/>
          <w:color w:val="000000"/>
          <w:sz w:val="20"/>
          <w:szCs w:val="20"/>
        </w:rPr>
        <w:t xml:space="preserve">DiMaggio, P. J., &amp; Powell, W. W. (1983). The Iron Cage Revisited: Institutional Isomorphism and Collective Rationality in Organizational Fields. </w:t>
      </w:r>
      <w:r>
        <w:rPr>
          <w:rFonts w:ascii="Arial" w:hAnsi="Arial" w:cs="Arial"/>
          <w:i/>
          <w:iCs/>
          <w:color w:val="000000"/>
          <w:sz w:val="20"/>
          <w:szCs w:val="20"/>
        </w:rPr>
        <w:t>American Sociological Review</w:t>
      </w:r>
      <w:r>
        <w:rPr>
          <w:rFonts w:ascii="Arial" w:hAnsi="Arial" w:cs="Arial"/>
          <w:color w:val="000000"/>
          <w:sz w:val="20"/>
          <w:szCs w:val="20"/>
        </w:rPr>
        <w:t xml:space="preserve">, </w:t>
      </w:r>
      <w:r>
        <w:rPr>
          <w:rFonts w:ascii="Arial" w:hAnsi="Arial" w:cs="Arial"/>
          <w:i/>
          <w:iCs/>
          <w:color w:val="000000"/>
          <w:sz w:val="20"/>
          <w:szCs w:val="20"/>
        </w:rPr>
        <w:t>48</w:t>
      </w:r>
      <w:r>
        <w:rPr>
          <w:rFonts w:ascii="Arial" w:hAnsi="Arial" w:cs="Arial"/>
          <w:color w:val="000000"/>
          <w:sz w:val="20"/>
          <w:szCs w:val="20"/>
        </w:rPr>
        <w:t xml:space="preserve">(2), 147–160. </w:t>
      </w:r>
      <w:hyperlink r:id="rId25" w:history="1">
        <w:r>
          <w:rPr>
            <w:rStyle w:val="Hyperlink"/>
            <w:rFonts w:ascii="Arial" w:hAnsi="Arial" w:cs="Arial"/>
            <w:color w:val="000000"/>
            <w:sz w:val="20"/>
            <w:szCs w:val="20"/>
            <w:u w:val="none"/>
          </w:rPr>
          <w:t>https://doi.org/10.2307/2095101</w:t>
        </w:r>
      </w:hyperlink>
    </w:p>
    <w:p w14:paraId="749A7B8B" w14:textId="77777777" w:rsidR="00BC612C" w:rsidRDefault="00BC612C" w:rsidP="00BC612C">
      <w:pPr>
        <w:pStyle w:val="NormalWeb"/>
        <w:spacing w:before="0" w:beforeAutospacing="0" w:after="0" w:afterAutospacing="0"/>
        <w:ind w:left="540" w:hanging="540"/>
      </w:pPr>
      <w:r>
        <w:rPr>
          <w:rFonts w:ascii="Arial" w:hAnsi="Arial" w:cs="Arial"/>
          <w:color w:val="000000"/>
          <w:sz w:val="20"/>
          <w:szCs w:val="20"/>
          <w:shd w:val="clear" w:color="auto" w:fill="FFFFFF"/>
        </w:rPr>
        <w:t xml:space="preserve">Dyantyi, N., &amp; </w:t>
      </w:r>
      <w:proofErr w:type="spellStart"/>
      <w:r>
        <w:rPr>
          <w:rFonts w:ascii="Arial" w:hAnsi="Arial" w:cs="Arial"/>
          <w:color w:val="000000"/>
          <w:sz w:val="20"/>
          <w:szCs w:val="20"/>
          <w:shd w:val="clear" w:color="auto" w:fill="FFFFFF"/>
        </w:rPr>
        <w:t>Mkabile-Masebe</w:t>
      </w:r>
      <w:proofErr w:type="spellEnd"/>
      <w:r>
        <w:rPr>
          <w:rFonts w:ascii="Arial" w:hAnsi="Arial" w:cs="Arial"/>
          <w:color w:val="000000"/>
          <w:sz w:val="20"/>
          <w:szCs w:val="20"/>
          <w:shd w:val="clear" w:color="auto" w:fill="FFFFFF"/>
        </w:rPr>
        <w:t xml:space="preserve">, B. (2025). Closing the Digital Divide: Strategies for Addressing Inequalities in Technology Access in Higher Education Institutions. </w:t>
      </w:r>
      <w:r>
        <w:rPr>
          <w:rFonts w:ascii="Arial" w:hAnsi="Arial" w:cs="Arial"/>
          <w:i/>
          <w:iCs/>
          <w:color w:val="000000"/>
          <w:sz w:val="20"/>
          <w:szCs w:val="20"/>
          <w:shd w:val="clear" w:color="auto" w:fill="FFFFFF"/>
        </w:rPr>
        <w:t>Research in Social Sciences and Technology</w:t>
      </w:r>
      <w:r>
        <w:rPr>
          <w:rFonts w:ascii="Arial" w:hAnsi="Arial" w:cs="Arial"/>
          <w:color w:val="000000"/>
          <w:sz w:val="20"/>
          <w:szCs w:val="20"/>
          <w:shd w:val="clear" w:color="auto" w:fill="FFFFFF"/>
        </w:rPr>
        <w:t xml:space="preserve">, </w:t>
      </w:r>
      <w:r>
        <w:rPr>
          <w:rFonts w:ascii="Arial" w:hAnsi="Arial" w:cs="Arial"/>
          <w:i/>
          <w:iCs/>
          <w:color w:val="000000"/>
          <w:sz w:val="20"/>
          <w:szCs w:val="20"/>
          <w:shd w:val="clear" w:color="auto" w:fill="FFFFFF"/>
        </w:rPr>
        <w:t>10</w:t>
      </w:r>
      <w:r>
        <w:rPr>
          <w:rFonts w:ascii="Arial" w:hAnsi="Arial" w:cs="Arial"/>
          <w:color w:val="000000"/>
          <w:sz w:val="20"/>
          <w:szCs w:val="20"/>
          <w:shd w:val="clear" w:color="auto" w:fill="FFFFFF"/>
        </w:rPr>
        <w:t>(1), 412-425.</w:t>
      </w:r>
    </w:p>
    <w:p w14:paraId="65826739" w14:textId="77777777" w:rsidR="00BC612C" w:rsidRDefault="00BC612C" w:rsidP="00BC612C">
      <w:pPr>
        <w:pStyle w:val="NormalWeb"/>
        <w:spacing w:before="0" w:beforeAutospacing="0" w:after="0" w:afterAutospacing="0"/>
        <w:ind w:left="540" w:hanging="540"/>
      </w:pPr>
      <w:r>
        <w:rPr>
          <w:rFonts w:ascii="Arial" w:hAnsi="Arial" w:cs="Arial"/>
          <w:color w:val="000000"/>
          <w:sz w:val="20"/>
          <w:szCs w:val="20"/>
        </w:rPr>
        <w:t xml:space="preserve">European Foundation for Management Development. (2025). </w:t>
      </w:r>
      <w:r>
        <w:rPr>
          <w:rFonts w:ascii="Arial" w:hAnsi="Arial" w:cs="Arial"/>
          <w:i/>
          <w:iCs/>
          <w:color w:val="000000"/>
          <w:sz w:val="20"/>
          <w:szCs w:val="20"/>
        </w:rPr>
        <w:t>EQUIS standards &amp; criteria</w:t>
      </w:r>
      <w:r>
        <w:rPr>
          <w:rFonts w:ascii="Arial" w:hAnsi="Arial" w:cs="Arial"/>
          <w:color w:val="000000"/>
          <w:sz w:val="20"/>
          <w:szCs w:val="20"/>
        </w:rPr>
        <w:t xml:space="preserve"> (Document version 2025). EFMD Global.</w:t>
      </w:r>
      <w:hyperlink r:id="rId26" w:history="1">
        <w:r>
          <w:rPr>
            <w:rStyle w:val="Hyperlink"/>
            <w:rFonts w:ascii="Arial" w:hAnsi="Arial" w:cs="Arial"/>
            <w:color w:val="000000"/>
            <w:sz w:val="20"/>
            <w:szCs w:val="20"/>
            <w:u w:val="none"/>
          </w:rPr>
          <w:t xml:space="preserve"> </w:t>
        </w:r>
      </w:hyperlink>
      <w:hyperlink r:id="rId27" w:history="1">
        <w:r>
          <w:rPr>
            <w:rStyle w:val="Hyperlink"/>
            <w:rFonts w:ascii="Arial" w:hAnsi="Arial" w:cs="Arial"/>
            <w:color w:val="000000"/>
            <w:sz w:val="20"/>
            <w:szCs w:val="20"/>
            <w:u w:val="none"/>
          </w:rPr>
          <w:t>https://www.efmdglobal.org/wp-content/uploads/EQUIS_Standards_and_Criteria.pdf</w:t>
        </w:r>
      </w:hyperlink>
    </w:p>
    <w:p w14:paraId="56BEECEB" w14:textId="77777777" w:rsidR="00BC612C" w:rsidRDefault="00BC612C" w:rsidP="00BC612C">
      <w:pPr>
        <w:pStyle w:val="NormalWeb"/>
        <w:spacing w:before="0" w:beforeAutospacing="0" w:after="0" w:afterAutospacing="0"/>
        <w:ind w:left="540" w:hanging="540"/>
      </w:pPr>
      <w:r>
        <w:rPr>
          <w:rFonts w:ascii="Arial" w:hAnsi="Arial" w:cs="Arial"/>
          <w:color w:val="000000"/>
          <w:sz w:val="20"/>
          <w:szCs w:val="20"/>
        </w:rPr>
        <w:t xml:space="preserve">Financial Times. (n.d.). </w:t>
      </w:r>
      <w:r>
        <w:rPr>
          <w:rFonts w:ascii="Arial" w:hAnsi="Arial" w:cs="Arial"/>
          <w:i/>
          <w:iCs/>
          <w:color w:val="000000"/>
          <w:sz w:val="20"/>
          <w:szCs w:val="20"/>
        </w:rPr>
        <w:t>Methodology — Business school rankings</w:t>
      </w:r>
      <w:r>
        <w:rPr>
          <w:rFonts w:ascii="Arial" w:hAnsi="Arial" w:cs="Arial"/>
          <w:color w:val="000000"/>
          <w:sz w:val="20"/>
          <w:szCs w:val="20"/>
        </w:rPr>
        <w:t>. Financial Times.</w:t>
      </w:r>
      <w:hyperlink r:id="rId28" w:history="1">
        <w:r>
          <w:rPr>
            <w:rStyle w:val="Hyperlink"/>
            <w:rFonts w:ascii="Arial" w:hAnsi="Arial" w:cs="Arial"/>
            <w:color w:val="000000"/>
            <w:sz w:val="20"/>
            <w:szCs w:val="20"/>
            <w:u w:val="none"/>
          </w:rPr>
          <w:t xml:space="preserve"> </w:t>
        </w:r>
      </w:hyperlink>
      <w:hyperlink r:id="rId29" w:history="1">
        <w:r>
          <w:rPr>
            <w:rStyle w:val="Hyperlink"/>
            <w:rFonts w:ascii="Arial" w:hAnsi="Arial" w:cs="Arial"/>
            <w:color w:val="000000"/>
            <w:sz w:val="20"/>
            <w:szCs w:val="20"/>
            <w:u w:val="none"/>
          </w:rPr>
          <w:t>https://rankings.ft.com/methodology</w:t>
        </w:r>
      </w:hyperlink>
    </w:p>
    <w:p w14:paraId="7593CCD5" w14:textId="77777777" w:rsidR="00BC612C" w:rsidRDefault="00BC612C" w:rsidP="00BC612C">
      <w:pPr>
        <w:pStyle w:val="NormalWeb"/>
        <w:spacing w:before="0" w:beforeAutospacing="0" w:after="0" w:afterAutospacing="0"/>
        <w:ind w:left="540" w:hanging="540"/>
      </w:pPr>
      <w:r>
        <w:rPr>
          <w:rFonts w:ascii="Arial" w:hAnsi="Arial" w:cs="Arial"/>
          <w:color w:val="000000"/>
          <w:sz w:val="20"/>
          <w:szCs w:val="20"/>
        </w:rPr>
        <w:t xml:space="preserve">FT Business Education Research Insights. (2025). </w:t>
      </w:r>
      <w:r>
        <w:rPr>
          <w:rFonts w:ascii="Arial" w:hAnsi="Arial" w:cs="Arial"/>
          <w:i/>
          <w:iCs/>
          <w:color w:val="000000"/>
          <w:sz w:val="20"/>
          <w:szCs w:val="20"/>
        </w:rPr>
        <w:t>Business education research and rankings</w:t>
      </w:r>
      <w:r>
        <w:rPr>
          <w:rFonts w:ascii="Arial" w:hAnsi="Arial" w:cs="Arial"/>
          <w:color w:val="000000"/>
          <w:sz w:val="20"/>
          <w:szCs w:val="20"/>
        </w:rPr>
        <w:t>. Financial Times.</w:t>
      </w:r>
      <w:hyperlink r:id="rId30" w:history="1">
        <w:r>
          <w:rPr>
            <w:rStyle w:val="Hyperlink"/>
            <w:rFonts w:ascii="Arial" w:hAnsi="Arial" w:cs="Arial"/>
            <w:color w:val="000000"/>
            <w:sz w:val="20"/>
            <w:szCs w:val="20"/>
            <w:u w:val="none"/>
          </w:rPr>
          <w:t xml:space="preserve"> https://www.ft.com/content/ec963d37-da0b-40ca-9400-9dfb2000ae43</w:t>
        </w:r>
      </w:hyperlink>
    </w:p>
    <w:p w14:paraId="422602F0" w14:textId="77777777" w:rsidR="00BC612C" w:rsidRDefault="00BC612C" w:rsidP="00BC612C">
      <w:pPr>
        <w:pStyle w:val="NormalWeb"/>
        <w:spacing w:before="0" w:beforeAutospacing="0" w:after="0" w:afterAutospacing="0"/>
        <w:ind w:left="540" w:hanging="540"/>
      </w:pPr>
      <w:r>
        <w:rPr>
          <w:rFonts w:ascii="Arial" w:hAnsi="Arial" w:cs="Arial"/>
          <w:color w:val="000000"/>
          <w:sz w:val="20"/>
          <w:szCs w:val="20"/>
          <w:shd w:val="clear" w:color="auto" w:fill="FFFFFF"/>
        </w:rPr>
        <w:t xml:space="preserve">Gottschalk, F., &amp; Weise, C. (2023). </w:t>
      </w:r>
      <w:r>
        <w:rPr>
          <w:rFonts w:ascii="Arial" w:hAnsi="Arial" w:cs="Arial"/>
          <w:i/>
          <w:iCs/>
          <w:color w:val="000000"/>
          <w:sz w:val="20"/>
          <w:szCs w:val="20"/>
          <w:shd w:val="clear" w:color="auto" w:fill="FFFFFF"/>
        </w:rPr>
        <w:t>Digital equity and inclusion in education: An overview of practice and policy in OECD countries</w:t>
      </w:r>
      <w:r>
        <w:rPr>
          <w:rFonts w:ascii="Arial" w:hAnsi="Arial" w:cs="Arial"/>
          <w:color w:val="000000"/>
          <w:sz w:val="20"/>
          <w:szCs w:val="20"/>
          <w:shd w:val="clear" w:color="auto" w:fill="FFFFFF"/>
        </w:rPr>
        <w:t xml:space="preserve"> (OECD Education Working Papers, No. 299). OECD Publishing.</w:t>
      </w:r>
      <w:hyperlink r:id="rId31" w:history="1">
        <w:r>
          <w:rPr>
            <w:rStyle w:val="Hyperlink"/>
            <w:rFonts w:ascii="Arial" w:hAnsi="Arial" w:cs="Arial"/>
            <w:color w:val="000000"/>
            <w:sz w:val="20"/>
            <w:szCs w:val="20"/>
            <w:u w:val="none"/>
            <w:shd w:val="clear" w:color="auto" w:fill="FFFFFF"/>
          </w:rPr>
          <w:t xml:space="preserve"> https://doi.org/10.1787/7cb15030-en</w:t>
        </w:r>
      </w:hyperlink>
    </w:p>
    <w:p w14:paraId="474B78E5" w14:textId="77777777" w:rsidR="00BC612C" w:rsidRDefault="00BC612C" w:rsidP="00BC612C">
      <w:pPr>
        <w:pStyle w:val="NormalWeb"/>
        <w:spacing w:before="0" w:beforeAutospacing="0" w:after="0" w:afterAutospacing="0"/>
        <w:ind w:left="540" w:hanging="540"/>
      </w:pPr>
      <w:r>
        <w:rPr>
          <w:rFonts w:ascii="Arial" w:hAnsi="Arial" w:cs="Arial"/>
          <w:color w:val="000000"/>
          <w:sz w:val="20"/>
          <w:szCs w:val="20"/>
        </w:rPr>
        <w:t xml:space="preserve">International Telecommunication Union. (2024). </w:t>
      </w:r>
      <w:r>
        <w:rPr>
          <w:rFonts w:ascii="Arial" w:hAnsi="Arial" w:cs="Arial"/>
          <w:i/>
          <w:iCs/>
          <w:color w:val="000000"/>
          <w:sz w:val="20"/>
          <w:szCs w:val="20"/>
        </w:rPr>
        <w:t>Digital policy action areas for a connected ASEAN: ASEAN best practice benchmarking and an action plan for regional harmonization</w:t>
      </w:r>
      <w:r>
        <w:rPr>
          <w:rFonts w:ascii="Arial" w:hAnsi="Arial" w:cs="Arial"/>
          <w:color w:val="000000"/>
          <w:sz w:val="20"/>
          <w:szCs w:val="20"/>
        </w:rPr>
        <w:t xml:space="preserve"> (ISBN 978-92-61-38341-1).</w:t>
      </w:r>
      <w:hyperlink r:id="rId32" w:history="1">
        <w:r>
          <w:rPr>
            <w:rStyle w:val="Hyperlink"/>
            <w:rFonts w:ascii="Arial" w:hAnsi="Arial" w:cs="Arial"/>
            <w:color w:val="000000"/>
            <w:sz w:val="20"/>
            <w:szCs w:val="20"/>
            <w:u w:val="none"/>
          </w:rPr>
          <w:t xml:space="preserve"> https://asean.org/wp-content/uploads/2024/03/Digital-Policy-Action-Areas-for-a-Connected-ASEAN.pdf</w:t>
        </w:r>
      </w:hyperlink>
    </w:p>
    <w:p w14:paraId="3569BC83" w14:textId="77777777" w:rsidR="00BC612C" w:rsidRDefault="00BC612C" w:rsidP="00BC612C">
      <w:pPr>
        <w:pStyle w:val="NormalWeb"/>
        <w:spacing w:before="0" w:beforeAutospacing="0" w:after="0" w:afterAutospacing="0"/>
        <w:ind w:left="540" w:hanging="540"/>
      </w:pPr>
      <w:proofErr w:type="spellStart"/>
      <w:r>
        <w:rPr>
          <w:rFonts w:ascii="Arial" w:hAnsi="Arial" w:cs="Arial"/>
          <w:color w:val="000000"/>
          <w:sz w:val="20"/>
          <w:szCs w:val="20"/>
        </w:rPr>
        <w:t>Krücken</w:t>
      </w:r>
      <w:proofErr w:type="spellEnd"/>
      <w:r>
        <w:rPr>
          <w:rFonts w:ascii="Arial" w:hAnsi="Arial" w:cs="Arial"/>
          <w:color w:val="000000"/>
          <w:sz w:val="20"/>
          <w:szCs w:val="20"/>
        </w:rPr>
        <w:t xml:space="preserve">, G., Blümel, A., &amp; Kloke, K. (2013). </w:t>
      </w:r>
      <w:r>
        <w:rPr>
          <w:rFonts w:ascii="Arial" w:hAnsi="Arial" w:cs="Arial"/>
          <w:i/>
          <w:iCs/>
          <w:color w:val="000000"/>
          <w:sz w:val="20"/>
          <w:szCs w:val="20"/>
        </w:rPr>
        <w:t>The managerial turn in higher education? On the interplay of organizational and occupational change in German academia.</w:t>
      </w:r>
      <w:r>
        <w:rPr>
          <w:rFonts w:ascii="Arial" w:hAnsi="Arial" w:cs="Arial"/>
          <w:color w:val="000000"/>
          <w:sz w:val="20"/>
          <w:szCs w:val="20"/>
        </w:rPr>
        <w:t xml:space="preserve"> </w:t>
      </w:r>
      <w:r>
        <w:rPr>
          <w:rFonts w:ascii="Arial" w:hAnsi="Arial" w:cs="Arial"/>
          <w:i/>
          <w:iCs/>
          <w:color w:val="000000"/>
          <w:sz w:val="20"/>
          <w:szCs w:val="20"/>
        </w:rPr>
        <w:t>Minerva, 51</w:t>
      </w:r>
      <w:r>
        <w:rPr>
          <w:rFonts w:ascii="Arial" w:hAnsi="Arial" w:cs="Arial"/>
          <w:color w:val="000000"/>
          <w:sz w:val="20"/>
          <w:szCs w:val="20"/>
        </w:rPr>
        <w:t xml:space="preserve">(4), 417–442. </w:t>
      </w:r>
      <w:hyperlink r:id="rId33" w:history="1">
        <w:r>
          <w:rPr>
            <w:rStyle w:val="Hyperlink"/>
            <w:rFonts w:ascii="Arial" w:hAnsi="Arial" w:cs="Arial"/>
            <w:color w:val="000000"/>
            <w:sz w:val="20"/>
            <w:szCs w:val="20"/>
            <w:u w:val="none"/>
          </w:rPr>
          <w:t>https://doi.org/10.1007/s11024-013-9240-z</w:t>
        </w:r>
      </w:hyperlink>
    </w:p>
    <w:p w14:paraId="3471C6D5" w14:textId="77777777" w:rsidR="00BC612C" w:rsidRDefault="00BC612C" w:rsidP="00BC612C">
      <w:pPr>
        <w:pStyle w:val="NormalWeb"/>
        <w:spacing w:before="0" w:beforeAutospacing="0" w:after="0" w:afterAutospacing="0"/>
        <w:ind w:left="540" w:hanging="540"/>
      </w:pPr>
      <w:r>
        <w:rPr>
          <w:rFonts w:ascii="Arial" w:hAnsi="Arial" w:cs="Arial"/>
          <w:color w:val="000000"/>
          <w:sz w:val="20"/>
          <w:szCs w:val="20"/>
        </w:rPr>
        <w:t xml:space="preserve">Lim, W. M. (2025). </w:t>
      </w:r>
      <w:r>
        <w:rPr>
          <w:rFonts w:ascii="Arial" w:hAnsi="Arial" w:cs="Arial"/>
          <w:i/>
          <w:iCs/>
          <w:color w:val="000000"/>
          <w:sz w:val="20"/>
          <w:szCs w:val="20"/>
        </w:rPr>
        <w:t>What is qualitative research? An overview and guidelines</w:t>
      </w:r>
      <w:r>
        <w:rPr>
          <w:rFonts w:ascii="Arial" w:hAnsi="Arial" w:cs="Arial"/>
          <w:color w:val="000000"/>
          <w:sz w:val="20"/>
          <w:szCs w:val="20"/>
        </w:rPr>
        <w:t xml:space="preserve">. </w:t>
      </w:r>
      <w:r>
        <w:rPr>
          <w:rFonts w:ascii="Arial" w:hAnsi="Arial" w:cs="Arial"/>
          <w:i/>
          <w:iCs/>
          <w:color w:val="000000"/>
          <w:sz w:val="20"/>
          <w:szCs w:val="20"/>
        </w:rPr>
        <w:t>Qualitative Research Journal</w:t>
      </w:r>
      <w:r>
        <w:rPr>
          <w:rFonts w:ascii="Arial" w:hAnsi="Arial" w:cs="Arial"/>
          <w:color w:val="000000"/>
          <w:sz w:val="20"/>
          <w:szCs w:val="20"/>
        </w:rPr>
        <w:t>.</w:t>
      </w:r>
      <w:hyperlink r:id="rId34" w:history="1">
        <w:r>
          <w:rPr>
            <w:rStyle w:val="Hyperlink"/>
            <w:rFonts w:ascii="Arial" w:hAnsi="Arial" w:cs="Arial"/>
            <w:color w:val="000000"/>
            <w:sz w:val="20"/>
            <w:szCs w:val="20"/>
            <w:u w:val="none"/>
          </w:rPr>
          <w:t xml:space="preserve"> </w:t>
        </w:r>
      </w:hyperlink>
      <w:hyperlink r:id="rId35" w:history="1">
        <w:r>
          <w:rPr>
            <w:rStyle w:val="Hyperlink"/>
            <w:rFonts w:ascii="Arial" w:hAnsi="Arial" w:cs="Arial"/>
            <w:color w:val="000000"/>
            <w:sz w:val="20"/>
            <w:szCs w:val="20"/>
            <w:u w:val="none"/>
          </w:rPr>
          <w:t>https://journals.sagepub.com/doi/10.1177/14413582241264619</w:t>
        </w:r>
      </w:hyperlink>
    </w:p>
    <w:p w14:paraId="0BE599AC" w14:textId="77777777" w:rsidR="00BC612C" w:rsidRDefault="00BC612C" w:rsidP="00BC612C">
      <w:pPr>
        <w:pStyle w:val="NormalWeb"/>
        <w:spacing w:before="0" w:beforeAutospacing="0" w:after="0" w:afterAutospacing="0"/>
        <w:ind w:left="540" w:hanging="540"/>
      </w:pPr>
      <w:r>
        <w:rPr>
          <w:rFonts w:ascii="Arial" w:hAnsi="Arial" w:cs="Arial"/>
          <w:color w:val="000000"/>
          <w:sz w:val="20"/>
          <w:szCs w:val="20"/>
          <w:shd w:val="clear" w:color="auto" w:fill="FFFFFF"/>
        </w:rPr>
        <w:t xml:space="preserve">Lu, H.-P., &amp; Wang, J.-C. (2023). Exploring the effects of sudden institutional coercive pressure on digital transformation readiness in higher education. </w:t>
      </w:r>
      <w:r>
        <w:rPr>
          <w:rFonts w:ascii="Arial" w:hAnsi="Arial" w:cs="Arial"/>
          <w:i/>
          <w:iCs/>
          <w:color w:val="000000"/>
          <w:sz w:val="20"/>
          <w:szCs w:val="20"/>
          <w:shd w:val="clear" w:color="auto" w:fill="FFFFFF"/>
        </w:rPr>
        <w:t>Frontiers in Public Health</w:t>
      </w:r>
      <w:r>
        <w:rPr>
          <w:rFonts w:ascii="Arial" w:hAnsi="Arial" w:cs="Arial"/>
          <w:color w:val="000000"/>
          <w:sz w:val="20"/>
          <w:szCs w:val="20"/>
          <w:shd w:val="clear" w:color="auto" w:fill="FFFFFF"/>
        </w:rPr>
        <w:t xml:space="preserve">. </w:t>
      </w:r>
      <w:hyperlink r:id="rId36" w:history="1">
        <w:r>
          <w:rPr>
            <w:rStyle w:val="Hyperlink"/>
            <w:rFonts w:ascii="Arial" w:hAnsi="Arial" w:cs="Arial"/>
            <w:color w:val="000000"/>
            <w:sz w:val="20"/>
            <w:szCs w:val="20"/>
            <w:u w:val="none"/>
            <w:shd w:val="clear" w:color="auto" w:fill="FFFFFF"/>
          </w:rPr>
          <w:t>https://www.ncbi.nlm.nih.gov/pmc/articles/PMC10157583/</w:t>
        </w:r>
      </w:hyperlink>
    </w:p>
    <w:p w14:paraId="0245091F" w14:textId="77777777" w:rsidR="00BC612C" w:rsidRDefault="00BC612C" w:rsidP="00BC612C">
      <w:pPr>
        <w:pStyle w:val="NormalWeb"/>
        <w:spacing w:before="0" w:beforeAutospacing="0" w:after="0" w:afterAutospacing="0"/>
        <w:ind w:left="540" w:hanging="540"/>
      </w:pPr>
      <w:r>
        <w:rPr>
          <w:rFonts w:ascii="Arial" w:hAnsi="Arial" w:cs="Arial"/>
          <w:color w:val="000000"/>
          <w:sz w:val="20"/>
          <w:szCs w:val="20"/>
        </w:rPr>
        <w:t xml:space="preserve">Mikhailov, A., et al. (2024). What do we mean by digital equality in education? Toward five conceptual lenses based on a systematic review. </w:t>
      </w:r>
      <w:r>
        <w:rPr>
          <w:rFonts w:ascii="Arial" w:hAnsi="Arial" w:cs="Arial"/>
          <w:i/>
          <w:iCs/>
          <w:color w:val="000000"/>
          <w:sz w:val="20"/>
          <w:szCs w:val="20"/>
        </w:rPr>
        <w:t>Journal of Digital Learning in Teacher Education, 40</w:t>
      </w:r>
      <w:r>
        <w:rPr>
          <w:rFonts w:ascii="Arial" w:hAnsi="Arial" w:cs="Arial"/>
          <w:color w:val="000000"/>
          <w:sz w:val="20"/>
          <w:szCs w:val="20"/>
        </w:rPr>
        <w:t>(3).</w:t>
      </w:r>
      <w:hyperlink r:id="rId37" w:history="1">
        <w:r>
          <w:rPr>
            <w:rStyle w:val="Hyperlink"/>
            <w:rFonts w:ascii="Arial" w:hAnsi="Arial" w:cs="Arial"/>
            <w:color w:val="000000"/>
            <w:sz w:val="20"/>
            <w:szCs w:val="20"/>
            <w:u w:val="none"/>
          </w:rPr>
          <w:t xml:space="preserve"> https://doi.org/10.1080/15391523.2025.2487279</w:t>
        </w:r>
      </w:hyperlink>
    </w:p>
    <w:p w14:paraId="2D7B8F21" w14:textId="77777777" w:rsidR="00BC612C" w:rsidRDefault="00BC612C" w:rsidP="00BC612C">
      <w:pPr>
        <w:pStyle w:val="NormalWeb"/>
        <w:spacing w:before="0" w:beforeAutospacing="0" w:after="0" w:afterAutospacing="0"/>
        <w:ind w:left="540" w:hanging="540"/>
      </w:pPr>
      <w:r>
        <w:rPr>
          <w:rFonts w:ascii="Arial" w:hAnsi="Arial" w:cs="Arial"/>
          <w:color w:val="000000"/>
          <w:sz w:val="20"/>
          <w:szCs w:val="20"/>
        </w:rPr>
        <w:t>Miras, S., Ruiz-</w:t>
      </w:r>
      <w:proofErr w:type="spellStart"/>
      <w:r>
        <w:rPr>
          <w:rFonts w:ascii="Arial" w:hAnsi="Arial" w:cs="Arial"/>
          <w:color w:val="000000"/>
          <w:sz w:val="20"/>
          <w:szCs w:val="20"/>
        </w:rPr>
        <w:t>Bañuls</w:t>
      </w:r>
      <w:proofErr w:type="spellEnd"/>
      <w:r>
        <w:rPr>
          <w:rFonts w:ascii="Arial" w:hAnsi="Arial" w:cs="Arial"/>
          <w:color w:val="000000"/>
          <w:sz w:val="20"/>
          <w:szCs w:val="20"/>
        </w:rPr>
        <w:t xml:space="preserve">, M., Gómez-Trigueros, I. M., &amp; Mateo-Guillén, C. (2023). Implications of the digital divide: A systematic review of its impact in the educational field. </w:t>
      </w:r>
      <w:r>
        <w:rPr>
          <w:rFonts w:ascii="Arial" w:hAnsi="Arial" w:cs="Arial"/>
          <w:i/>
          <w:iCs/>
          <w:color w:val="000000"/>
          <w:sz w:val="20"/>
          <w:szCs w:val="20"/>
        </w:rPr>
        <w:t>Journal of Technology and Science Education, 13</w:t>
      </w:r>
      <w:r>
        <w:rPr>
          <w:rFonts w:ascii="Arial" w:hAnsi="Arial" w:cs="Arial"/>
          <w:color w:val="000000"/>
          <w:sz w:val="20"/>
          <w:szCs w:val="20"/>
        </w:rPr>
        <w:t xml:space="preserve">(3), 936–950. </w:t>
      </w:r>
      <w:hyperlink r:id="rId38" w:history="1">
        <w:r>
          <w:rPr>
            <w:rStyle w:val="Hyperlink"/>
            <w:rFonts w:ascii="Arial" w:hAnsi="Arial" w:cs="Arial"/>
            <w:color w:val="000000"/>
            <w:sz w:val="20"/>
            <w:szCs w:val="20"/>
            <w:u w:val="none"/>
          </w:rPr>
          <w:t>https://doi.org/10.3926/jotse.2249</w:t>
        </w:r>
      </w:hyperlink>
    </w:p>
    <w:p w14:paraId="782EA68D" w14:textId="77777777" w:rsidR="00BC612C" w:rsidRDefault="00BC612C" w:rsidP="00BC612C">
      <w:pPr>
        <w:pStyle w:val="NormalWeb"/>
        <w:spacing w:before="0" w:beforeAutospacing="0" w:after="0" w:afterAutospacing="0"/>
        <w:ind w:left="540" w:hanging="540"/>
      </w:pPr>
      <w:r>
        <w:rPr>
          <w:rFonts w:ascii="Arial" w:hAnsi="Arial" w:cs="Arial"/>
          <w:color w:val="000000"/>
          <w:sz w:val="20"/>
          <w:szCs w:val="20"/>
        </w:rPr>
        <w:t xml:space="preserve">OECD. (2023). </w:t>
      </w:r>
      <w:r>
        <w:rPr>
          <w:rFonts w:ascii="Arial" w:hAnsi="Arial" w:cs="Arial"/>
          <w:i/>
          <w:iCs/>
          <w:color w:val="000000"/>
          <w:sz w:val="20"/>
          <w:szCs w:val="20"/>
        </w:rPr>
        <w:t>Education at a glance 2023: OECD indicators</w:t>
      </w:r>
      <w:r>
        <w:rPr>
          <w:rFonts w:ascii="Arial" w:hAnsi="Arial" w:cs="Arial"/>
          <w:color w:val="000000"/>
          <w:sz w:val="20"/>
          <w:szCs w:val="20"/>
        </w:rPr>
        <w:t xml:space="preserve"> (OECD Publishing, Paris).</w:t>
      </w:r>
      <w:hyperlink r:id="rId39" w:history="1">
        <w:r>
          <w:rPr>
            <w:rStyle w:val="Hyperlink"/>
            <w:rFonts w:ascii="Arial" w:hAnsi="Arial" w:cs="Arial"/>
            <w:color w:val="000000"/>
            <w:sz w:val="20"/>
            <w:szCs w:val="20"/>
            <w:u w:val="none"/>
          </w:rPr>
          <w:t xml:space="preserve"> https://doi.org/10.1787/e13bef63-en</w:t>
        </w:r>
      </w:hyperlink>
    </w:p>
    <w:p w14:paraId="30B85D98" w14:textId="77777777" w:rsidR="00BC612C" w:rsidRDefault="00BC612C" w:rsidP="00BC612C">
      <w:pPr>
        <w:pStyle w:val="NormalWeb"/>
        <w:spacing w:before="0" w:beforeAutospacing="0" w:after="0" w:afterAutospacing="0"/>
        <w:ind w:left="540" w:hanging="540"/>
      </w:pPr>
      <w:r>
        <w:rPr>
          <w:rFonts w:ascii="Arial" w:hAnsi="Arial" w:cs="Arial"/>
          <w:color w:val="000000"/>
          <w:sz w:val="20"/>
          <w:szCs w:val="20"/>
        </w:rPr>
        <w:lastRenderedPageBreak/>
        <w:t xml:space="preserve">OECD. (n.d.). </w:t>
      </w:r>
      <w:r>
        <w:rPr>
          <w:rFonts w:ascii="Arial" w:hAnsi="Arial" w:cs="Arial"/>
          <w:i/>
          <w:iCs/>
          <w:color w:val="000000"/>
          <w:sz w:val="20"/>
          <w:szCs w:val="20"/>
        </w:rPr>
        <w:t>Directorate for education and skills</w:t>
      </w:r>
      <w:r>
        <w:rPr>
          <w:rFonts w:ascii="Arial" w:hAnsi="Arial" w:cs="Arial"/>
          <w:color w:val="000000"/>
          <w:sz w:val="20"/>
          <w:szCs w:val="20"/>
        </w:rPr>
        <w:t>. OECD.</w:t>
      </w:r>
      <w:hyperlink r:id="rId40" w:history="1">
        <w:r>
          <w:rPr>
            <w:rStyle w:val="Hyperlink"/>
            <w:rFonts w:ascii="Arial" w:hAnsi="Arial" w:cs="Arial"/>
            <w:color w:val="000000"/>
            <w:sz w:val="20"/>
            <w:szCs w:val="20"/>
            <w:u w:val="none"/>
          </w:rPr>
          <w:t xml:space="preserve"> </w:t>
        </w:r>
      </w:hyperlink>
      <w:hyperlink r:id="rId41" w:history="1">
        <w:r>
          <w:rPr>
            <w:rStyle w:val="Hyperlink"/>
            <w:rFonts w:ascii="Arial" w:hAnsi="Arial" w:cs="Arial"/>
            <w:color w:val="000000"/>
            <w:sz w:val="20"/>
            <w:szCs w:val="20"/>
            <w:u w:val="none"/>
          </w:rPr>
          <w:t>https://www.oecd.org/en/about/directorates/directorate-for-education-and-skills.html</w:t>
        </w:r>
      </w:hyperlink>
    </w:p>
    <w:p w14:paraId="2BEB5920" w14:textId="77777777" w:rsidR="00BC612C" w:rsidRDefault="00BC612C" w:rsidP="00BC612C">
      <w:pPr>
        <w:pStyle w:val="NormalWeb"/>
        <w:spacing w:before="0" w:beforeAutospacing="0" w:after="0" w:afterAutospacing="0"/>
        <w:ind w:left="540"/>
      </w:pPr>
      <w:r>
        <w:rPr>
          <w:rFonts w:ascii="Arial" w:hAnsi="Arial" w:cs="Arial"/>
          <w:color w:val="000000"/>
          <w:sz w:val="20"/>
          <w:szCs w:val="20"/>
        </w:rPr>
        <w:t xml:space="preserve">Patton, M. Q. (2015). </w:t>
      </w:r>
      <w:r>
        <w:rPr>
          <w:rFonts w:ascii="Arial" w:hAnsi="Arial" w:cs="Arial"/>
          <w:i/>
          <w:iCs/>
          <w:color w:val="000000"/>
          <w:sz w:val="20"/>
          <w:szCs w:val="20"/>
        </w:rPr>
        <w:t>Qualitative research &amp; evaluation methods</w:t>
      </w:r>
      <w:r>
        <w:rPr>
          <w:rFonts w:ascii="Arial" w:hAnsi="Arial" w:cs="Arial"/>
          <w:color w:val="000000"/>
          <w:sz w:val="20"/>
          <w:szCs w:val="20"/>
        </w:rPr>
        <w:t xml:space="preserve"> (4th ed.). Sage.</w:t>
      </w:r>
    </w:p>
    <w:p w14:paraId="7EC6F058" w14:textId="77777777" w:rsidR="00BC612C" w:rsidRDefault="00BC612C" w:rsidP="00BC612C">
      <w:pPr>
        <w:pStyle w:val="NormalWeb"/>
        <w:spacing w:before="0" w:beforeAutospacing="0" w:after="0" w:afterAutospacing="0"/>
        <w:ind w:left="540" w:hanging="540"/>
      </w:pPr>
      <w:r>
        <w:rPr>
          <w:rFonts w:ascii="Arial" w:hAnsi="Arial" w:cs="Arial"/>
          <w:color w:val="000000"/>
          <w:sz w:val="20"/>
          <w:szCs w:val="20"/>
        </w:rPr>
        <w:t xml:space="preserve">Rawls, J. (1971). </w:t>
      </w:r>
      <w:r>
        <w:rPr>
          <w:rFonts w:ascii="Arial" w:hAnsi="Arial" w:cs="Arial"/>
          <w:i/>
          <w:iCs/>
          <w:color w:val="000000"/>
          <w:sz w:val="20"/>
          <w:szCs w:val="20"/>
        </w:rPr>
        <w:t>A Theory of Justice: Original Edition</w:t>
      </w:r>
      <w:r>
        <w:rPr>
          <w:rFonts w:ascii="Arial" w:hAnsi="Arial" w:cs="Arial"/>
          <w:color w:val="000000"/>
          <w:sz w:val="20"/>
          <w:szCs w:val="20"/>
        </w:rPr>
        <w:t xml:space="preserve">. Harvard University Press. </w:t>
      </w:r>
      <w:hyperlink r:id="rId42" w:history="1">
        <w:r>
          <w:rPr>
            <w:rStyle w:val="Hyperlink"/>
            <w:rFonts w:ascii="Arial" w:hAnsi="Arial" w:cs="Arial"/>
            <w:color w:val="000000"/>
            <w:sz w:val="20"/>
            <w:szCs w:val="20"/>
            <w:u w:val="none"/>
          </w:rPr>
          <w:t>https://doi.org/10.2307/j.ctvjf9z6v</w:t>
        </w:r>
      </w:hyperlink>
    </w:p>
    <w:p w14:paraId="30FF6A5D" w14:textId="77777777" w:rsidR="00BC612C" w:rsidRDefault="00BC612C" w:rsidP="00BC612C">
      <w:pPr>
        <w:pStyle w:val="NormalWeb"/>
        <w:spacing w:before="0" w:beforeAutospacing="0" w:after="0" w:afterAutospacing="0"/>
        <w:ind w:left="540" w:hanging="540"/>
      </w:pPr>
      <w:r>
        <w:rPr>
          <w:rFonts w:ascii="Arial" w:hAnsi="Arial" w:cs="Arial"/>
          <w:color w:val="000000"/>
          <w:sz w:val="20"/>
          <w:szCs w:val="20"/>
        </w:rPr>
        <w:t xml:space="preserve">Sanders, C. K. (2021). The digital divide is a human rights issue: Advancing social inclusion through public policy. </w:t>
      </w:r>
      <w:r>
        <w:rPr>
          <w:rFonts w:ascii="Arial" w:hAnsi="Arial" w:cs="Arial"/>
          <w:i/>
          <w:iCs/>
          <w:color w:val="000000"/>
          <w:sz w:val="20"/>
          <w:szCs w:val="20"/>
        </w:rPr>
        <w:t>Journal of Human Rights and Social Work, 6</w:t>
      </w:r>
      <w:r>
        <w:rPr>
          <w:rFonts w:ascii="Arial" w:hAnsi="Arial" w:cs="Arial"/>
          <w:color w:val="000000"/>
          <w:sz w:val="20"/>
          <w:szCs w:val="20"/>
        </w:rPr>
        <w:t>, 130–143.</w:t>
      </w:r>
      <w:hyperlink r:id="rId43" w:history="1">
        <w:r>
          <w:rPr>
            <w:rStyle w:val="Hyperlink"/>
            <w:rFonts w:ascii="Arial" w:hAnsi="Arial" w:cs="Arial"/>
            <w:color w:val="000000"/>
            <w:sz w:val="20"/>
            <w:szCs w:val="20"/>
            <w:u w:val="none"/>
          </w:rPr>
          <w:t xml:space="preserve"> https://pmc.ncbi.nlm.nih.gov/articles/PMC7973804/</w:t>
        </w:r>
      </w:hyperlink>
    </w:p>
    <w:p w14:paraId="51A03824" w14:textId="77777777" w:rsidR="00BC612C" w:rsidRDefault="00BC612C" w:rsidP="00BC612C">
      <w:pPr>
        <w:pStyle w:val="NormalWeb"/>
        <w:spacing w:before="0" w:beforeAutospacing="0" w:after="0" w:afterAutospacing="0"/>
        <w:ind w:left="540" w:hanging="540"/>
      </w:pPr>
      <w:r>
        <w:rPr>
          <w:rFonts w:ascii="Arial" w:hAnsi="Arial" w:cs="Arial"/>
          <w:color w:val="000000"/>
          <w:sz w:val="20"/>
          <w:szCs w:val="20"/>
        </w:rPr>
        <w:t xml:space="preserve">Scott, W. R. (2020). </w:t>
      </w:r>
      <w:r>
        <w:rPr>
          <w:rFonts w:ascii="Arial" w:hAnsi="Arial" w:cs="Arial"/>
          <w:i/>
          <w:iCs/>
          <w:color w:val="000000"/>
          <w:sz w:val="20"/>
          <w:szCs w:val="20"/>
        </w:rPr>
        <w:t>Institutions and organizations: Ideas, interests, and identities</w:t>
      </w:r>
      <w:r>
        <w:rPr>
          <w:rFonts w:ascii="Arial" w:hAnsi="Arial" w:cs="Arial"/>
          <w:color w:val="000000"/>
          <w:sz w:val="20"/>
          <w:szCs w:val="20"/>
        </w:rPr>
        <w:t xml:space="preserve"> (5th ed.). Sage.</w:t>
      </w:r>
    </w:p>
    <w:p w14:paraId="0A96AC6D" w14:textId="77777777" w:rsidR="00BC612C" w:rsidRDefault="00BC612C" w:rsidP="00BC612C">
      <w:pPr>
        <w:pStyle w:val="NormalWeb"/>
        <w:spacing w:before="0" w:beforeAutospacing="0" w:after="0" w:afterAutospacing="0"/>
        <w:ind w:left="540" w:hanging="540"/>
      </w:pPr>
      <w:r>
        <w:rPr>
          <w:rFonts w:ascii="Arial" w:hAnsi="Arial" w:cs="Arial"/>
          <w:color w:val="000000"/>
          <w:sz w:val="20"/>
          <w:szCs w:val="20"/>
        </w:rPr>
        <w:t xml:space="preserve">Sen, A. (1999). </w:t>
      </w:r>
      <w:r>
        <w:rPr>
          <w:rFonts w:ascii="Arial" w:hAnsi="Arial" w:cs="Arial"/>
          <w:i/>
          <w:iCs/>
          <w:color w:val="000000"/>
          <w:sz w:val="20"/>
          <w:szCs w:val="20"/>
        </w:rPr>
        <w:t>Development as freedom</w:t>
      </w:r>
      <w:r>
        <w:rPr>
          <w:rFonts w:ascii="Arial" w:hAnsi="Arial" w:cs="Arial"/>
          <w:color w:val="000000"/>
          <w:sz w:val="20"/>
          <w:szCs w:val="20"/>
        </w:rPr>
        <w:t>. Oxford University Press.</w:t>
      </w:r>
    </w:p>
    <w:p w14:paraId="516181ED" w14:textId="77777777" w:rsidR="00BC612C" w:rsidRDefault="00BC612C" w:rsidP="00BC612C">
      <w:pPr>
        <w:pStyle w:val="NormalWeb"/>
        <w:spacing w:before="0" w:beforeAutospacing="0" w:after="0" w:afterAutospacing="0"/>
        <w:ind w:left="540" w:hanging="540"/>
      </w:pPr>
      <w:r>
        <w:rPr>
          <w:rFonts w:ascii="Arial" w:hAnsi="Arial" w:cs="Arial"/>
          <w:color w:val="000000"/>
          <w:sz w:val="20"/>
          <w:szCs w:val="20"/>
        </w:rPr>
        <w:t xml:space="preserve">Sharp, M. (2024). </w:t>
      </w:r>
      <w:r>
        <w:rPr>
          <w:rFonts w:ascii="Arial" w:hAnsi="Arial" w:cs="Arial"/>
          <w:i/>
          <w:iCs/>
          <w:color w:val="000000"/>
          <w:sz w:val="20"/>
          <w:szCs w:val="20"/>
        </w:rPr>
        <w:t>Revisiting the measurement of digital inclusion</w:t>
      </w:r>
      <w:r>
        <w:rPr>
          <w:rFonts w:ascii="Arial" w:hAnsi="Arial" w:cs="Arial"/>
          <w:color w:val="000000"/>
          <w:sz w:val="20"/>
          <w:szCs w:val="20"/>
        </w:rPr>
        <w:t xml:space="preserve"> (World Bank document). World Bank.</w:t>
      </w:r>
      <w:hyperlink r:id="rId44" w:history="1">
        <w:r>
          <w:rPr>
            <w:rStyle w:val="Hyperlink"/>
            <w:rFonts w:ascii="Arial" w:hAnsi="Arial" w:cs="Arial"/>
            <w:color w:val="000000"/>
            <w:sz w:val="20"/>
            <w:szCs w:val="20"/>
            <w:u w:val="none"/>
          </w:rPr>
          <w:t xml:space="preserve"> https://documents1.worldbank.org/curated/en/099655407192421260/pdf/IDU-e0c45264-79f8-4c19-a6c8-b46c294d674e.pdf</w:t>
        </w:r>
      </w:hyperlink>
    </w:p>
    <w:p w14:paraId="24C24102" w14:textId="77777777" w:rsidR="00BC612C" w:rsidRDefault="00BC612C" w:rsidP="00BC612C">
      <w:pPr>
        <w:pStyle w:val="NormalWeb"/>
        <w:spacing w:before="0" w:beforeAutospacing="0" w:after="0" w:afterAutospacing="0"/>
        <w:ind w:left="540" w:hanging="540"/>
      </w:pPr>
      <w:r>
        <w:rPr>
          <w:rFonts w:ascii="Arial" w:hAnsi="Arial" w:cs="Arial"/>
          <w:color w:val="000000"/>
          <w:sz w:val="20"/>
          <w:szCs w:val="20"/>
        </w:rPr>
        <w:t xml:space="preserve">UNESCO. (2023). </w:t>
      </w:r>
      <w:r>
        <w:rPr>
          <w:rFonts w:ascii="Arial" w:hAnsi="Arial" w:cs="Arial"/>
          <w:i/>
          <w:iCs/>
          <w:color w:val="000000"/>
          <w:sz w:val="20"/>
          <w:szCs w:val="20"/>
        </w:rPr>
        <w:t>Global education monitoring report 2023, Southeast Asia: Technology in education: A tool on whose terms?</w:t>
      </w:r>
      <w:r>
        <w:rPr>
          <w:rFonts w:ascii="Arial" w:hAnsi="Arial" w:cs="Arial"/>
          <w:color w:val="000000"/>
          <w:sz w:val="20"/>
          <w:szCs w:val="20"/>
        </w:rPr>
        <w:t xml:space="preserve"> UNESCO Digital Library.</w:t>
      </w:r>
      <w:hyperlink r:id="rId45" w:history="1">
        <w:r>
          <w:rPr>
            <w:rStyle w:val="Hyperlink"/>
            <w:rFonts w:ascii="Arial" w:hAnsi="Arial" w:cs="Arial"/>
            <w:color w:val="000000"/>
            <w:sz w:val="20"/>
            <w:szCs w:val="20"/>
            <w:u w:val="none"/>
          </w:rPr>
          <w:t xml:space="preserve"> https://unesdoc.unesco.org/ark:/48223/pf0000387214</w:t>
        </w:r>
      </w:hyperlink>
    </w:p>
    <w:p w14:paraId="4B44B062" w14:textId="77777777" w:rsidR="00BC612C" w:rsidRDefault="00BC612C" w:rsidP="00BC612C">
      <w:pPr>
        <w:pStyle w:val="NormalWeb"/>
        <w:spacing w:before="0" w:beforeAutospacing="0" w:after="0" w:afterAutospacing="0"/>
        <w:ind w:left="540" w:hanging="540"/>
      </w:pPr>
      <w:r>
        <w:rPr>
          <w:rFonts w:ascii="Arial" w:hAnsi="Arial" w:cs="Arial"/>
          <w:color w:val="000000"/>
          <w:sz w:val="20"/>
          <w:szCs w:val="20"/>
        </w:rPr>
        <w:t xml:space="preserve">UNESCO. (2023). </w:t>
      </w:r>
      <w:r>
        <w:rPr>
          <w:rFonts w:ascii="Arial" w:hAnsi="Arial" w:cs="Arial"/>
          <w:i/>
          <w:iCs/>
          <w:color w:val="000000"/>
          <w:sz w:val="20"/>
          <w:szCs w:val="20"/>
        </w:rPr>
        <w:t>Global Education Monitoring Report 2023: Technology in education: A tool on whose terms?</w:t>
      </w:r>
      <w:r>
        <w:rPr>
          <w:rFonts w:ascii="Arial" w:hAnsi="Arial" w:cs="Arial"/>
          <w:color w:val="000000"/>
          <w:sz w:val="20"/>
          <w:szCs w:val="20"/>
        </w:rPr>
        <w:t xml:space="preserve"> UNESCO.</w:t>
      </w:r>
      <w:hyperlink r:id="rId46" w:history="1">
        <w:r>
          <w:rPr>
            <w:rStyle w:val="Hyperlink"/>
            <w:rFonts w:ascii="Arial" w:hAnsi="Arial" w:cs="Arial"/>
            <w:color w:val="000000"/>
            <w:sz w:val="20"/>
            <w:szCs w:val="20"/>
            <w:u w:val="none"/>
          </w:rPr>
          <w:t xml:space="preserve"> </w:t>
        </w:r>
      </w:hyperlink>
      <w:hyperlink r:id="rId47" w:history="1">
        <w:r>
          <w:rPr>
            <w:rStyle w:val="Hyperlink"/>
            <w:rFonts w:ascii="Arial" w:hAnsi="Arial" w:cs="Arial"/>
            <w:color w:val="000000"/>
            <w:sz w:val="20"/>
            <w:szCs w:val="20"/>
            <w:u w:val="none"/>
          </w:rPr>
          <w:t>https://gem-report-2023.unesco.org/</w:t>
        </w:r>
      </w:hyperlink>
    </w:p>
    <w:p w14:paraId="252F8475" w14:textId="77777777" w:rsidR="00BC612C" w:rsidRDefault="00BC612C" w:rsidP="00BC612C">
      <w:pPr>
        <w:pStyle w:val="NormalWeb"/>
        <w:spacing w:before="0" w:beforeAutospacing="0" w:after="0" w:afterAutospacing="0"/>
        <w:ind w:left="540" w:hanging="540"/>
      </w:pPr>
      <w:r>
        <w:rPr>
          <w:rFonts w:ascii="Arial" w:hAnsi="Arial" w:cs="Arial"/>
          <w:color w:val="000000"/>
          <w:sz w:val="20"/>
          <w:szCs w:val="20"/>
        </w:rPr>
        <w:t xml:space="preserve">Van Dijk, J. A. G. M. (2019). </w:t>
      </w:r>
      <w:r>
        <w:rPr>
          <w:rFonts w:ascii="Arial" w:hAnsi="Arial" w:cs="Arial"/>
          <w:i/>
          <w:iCs/>
          <w:color w:val="000000"/>
          <w:sz w:val="20"/>
          <w:szCs w:val="20"/>
        </w:rPr>
        <w:t>The digital divide</w:t>
      </w:r>
      <w:r>
        <w:rPr>
          <w:rFonts w:ascii="Arial" w:hAnsi="Arial" w:cs="Arial"/>
          <w:color w:val="000000"/>
          <w:sz w:val="20"/>
          <w:szCs w:val="20"/>
        </w:rPr>
        <w:t>. Polity Press.</w:t>
      </w:r>
    </w:p>
    <w:p w14:paraId="2AF942B7" w14:textId="77777777" w:rsidR="00BC612C" w:rsidRDefault="00BC612C" w:rsidP="00BC612C">
      <w:pPr>
        <w:pStyle w:val="NormalWeb"/>
        <w:spacing w:before="0" w:beforeAutospacing="0" w:after="0" w:afterAutospacing="0"/>
        <w:ind w:left="540" w:hanging="540"/>
      </w:pPr>
      <w:r>
        <w:rPr>
          <w:rFonts w:ascii="Arial" w:hAnsi="Arial" w:cs="Arial"/>
          <w:color w:val="000000"/>
          <w:sz w:val="20"/>
          <w:szCs w:val="20"/>
        </w:rPr>
        <w:t xml:space="preserve">World Benchmarking Alliance. (2023). </w:t>
      </w:r>
      <w:r>
        <w:rPr>
          <w:rFonts w:ascii="Arial" w:hAnsi="Arial" w:cs="Arial"/>
          <w:i/>
          <w:iCs/>
          <w:color w:val="000000"/>
          <w:sz w:val="20"/>
          <w:szCs w:val="20"/>
        </w:rPr>
        <w:t>2023 Digital inclusion benchmark</w:t>
      </w:r>
      <w:r>
        <w:rPr>
          <w:rFonts w:ascii="Arial" w:hAnsi="Arial" w:cs="Arial"/>
          <w:color w:val="000000"/>
          <w:sz w:val="20"/>
          <w:szCs w:val="20"/>
        </w:rPr>
        <w:t>.</w:t>
      </w:r>
      <w:hyperlink r:id="rId48" w:history="1">
        <w:r>
          <w:rPr>
            <w:rStyle w:val="Hyperlink"/>
            <w:rFonts w:ascii="Arial" w:hAnsi="Arial" w:cs="Arial"/>
            <w:color w:val="000000"/>
            <w:sz w:val="20"/>
            <w:szCs w:val="20"/>
            <w:u w:val="none"/>
          </w:rPr>
          <w:t xml:space="preserve"> https://www.worldbenchmarkingalliance.org/research/2023-digital-inclusion-benchmark/</w:t>
        </w:r>
      </w:hyperlink>
    </w:p>
    <w:p w14:paraId="37812186" w14:textId="77777777" w:rsidR="00BC612C" w:rsidRDefault="00BC612C" w:rsidP="00BC612C">
      <w:pPr>
        <w:pStyle w:val="NormalWeb"/>
        <w:spacing w:before="0" w:beforeAutospacing="0" w:after="0" w:afterAutospacing="0"/>
        <w:ind w:left="540" w:hanging="540"/>
      </w:pPr>
      <w:r>
        <w:rPr>
          <w:rFonts w:ascii="Arial" w:hAnsi="Arial" w:cs="Arial"/>
          <w:color w:val="000000"/>
          <w:sz w:val="20"/>
          <w:szCs w:val="20"/>
        </w:rPr>
        <w:t xml:space="preserve">Xavier University - Ateneo de Cagayan. (2024). </w:t>
      </w:r>
      <w:r>
        <w:rPr>
          <w:rFonts w:ascii="Arial" w:hAnsi="Arial" w:cs="Arial"/>
          <w:i/>
          <w:iCs/>
          <w:color w:val="000000"/>
          <w:sz w:val="20"/>
          <w:szCs w:val="20"/>
        </w:rPr>
        <w:t>Learning as mission: The 2024 XU sustainable development report for SDG 4 (Quality Education)</w:t>
      </w:r>
      <w:r>
        <w:rPr>
          <w:rFonts w:ascii="Arial" w:hAnsi="Arial" w:cs="Arial"/>
          <w:color w:val="000000"/>
          <w:sz w:val="20"/>
          <w:szCs w:val="20"/>
        </w:rPr>
        <w:t>.</w:t>
      </w:r>
      <w:hyperlink r:id="rId49" w:history="1">
        <w:r>
          <w:rPr>
            <w:rStyle w:val="Hyperlink"/>
            <w:rFonts w:ascii="Arial" w:hAnsi="Arial" w:cs="Arial"/>
            <w:color w:val="000000"/>
            <w:sz w:val="20"/>
            <w:szCs w:val="20"/>
            <w:u w:val="none"/>
          </w:rPr>
          <w:t xml:space="preserve"> https://www.xu.edu.ph/sustainability-news-and-updates/7725-learning-as-mission-the-2024-xu-sustainability-report-for-sdg-4-quality-education</w:t>
        </w:r>
      </w:hyperlink>
    </w:p>
    <w:p w14:paraId="6FEFF09C" w14:textId="77777777" w:rsidR="00BC612C" w:rsidRDefault="00BC612C" w:rsidP="00BC612C">
      <w:pPr>
        <w:pStyle w:val="NormalWeb"/>
        <w:spacing w:before="0" w:beforeAutospacing="0" w:after="0" w:afterAutospacing="0"/>
        <w:ind w:left="540" w:hanging="540"/>
      </w:pPr>
      <w:proofErr w:type="spellStart"/>
      <w:r>
        <w:rPr>
          <w:rFonts w:ascii="Arial" w:hAnsi="Arial" w:cs="Arial"/>
          <w:color w:val="000000"/>
          <w:sz w:val="20"/>
          <w:szCs w:val="20"/>
          <w:shd w:val="clear" w:color="auto" w:fill="FFFFFF"/>
        </w:rPr>
        <w:t>Yousofi</w:t>
      </w:r>
      <w:proofErr w:type="spellEnd"/>
      <w:r>
        <w:rPr>
          <w:rFonts w:ascii="Arial" w:hAnsi="Arial" w:cs="Arial"/>
          <w:color w:val="000000"/>
          <w:sz w:val="20"/>
          <w:szCs w:val="20"/>
          <w:shd w:val="clear" w:color="auto" w:fill="FFFFFF"/>
        </w:rPr>
        <w:t xml:space="preserve">, R., Golzar, J., &amp; Yacoub, O. (2025). </w:t>
      </w:r>
      <w:r>
        <w:rPr>
          <w:rFonts w:ascii="Arial" w:hAnsi="Arial" w:cs="Arial"/>
          <w:i/>
          <w:iCs/>
          <w:color w:val="000000"/>
          <w:sz w:val="20"/>
          <w:szCs w:val="20"/>
          <w:shd w:val="clear" w:color="auto" w:fill="FFFFFF"/>
        </w:rPr>
        <w:t>Digital divides and bridges: Equity implications of EdTech in ESL education.</w:t>
      </w:r>
      <w:r>
        <w:rPr>
          <w:rFonts w:ascii="Arial" w:hAnsi="Arial" w:cs="Arial"/>
          <w:color w:val="000000"/>
          <w:sz w:val="20"/>
          <w:szCs w:val="20"/>
          <w:shd w:val="clear" w:color="auto" w:fill="FFFFFF"/>
        </w:rPr>
        <w:t xml:space="preserve"> </w:t>
      </w:r>
      <w:r>
        <w:rPr>
          <w:rFonts w:ascii="Arial" w:hAnsi="Arial" w:cs="Arial"/>
          <w:i/>
          <w:iCs/>
          <w:color w:val="000000"/>
          <w:sz w:val="20"/>
          <w:szCs w:val="20"/>
          <w:shd w:val="clear" w:color="auto" w:fill="FFFFFF"/>
        </w:rPr>
        <w:t>Frontiers in Education, 10.</w:t>
      </w:r>
      <w:hyperlink r:id="rId50" w:history="1">
        <w:r>
          <w:rPr>
            <w:rStyle w:val="Hyperlink"/>
            <w:rFonts w:ascii="Arial" w:hAnsi="Arial" w:cs="Arial"/>
            <w:color w:val="000000"/>
            <w:sz w:val="20"/>
            <w:szCs w:val="20"/>
            <w:u w:val="none"/>
            <w:shd w:val="clear" w:color="auto" w:fill="FFFFFF"/>
          </w:rPr>
          <w:t xml:space="preserve"> https://doi.org/10.3389/feduc.2025.1590828</w:t>
        </w:r>
      </w:hyperlink>
    </w:p>
    <w:p w14:paraId="62EE9631" w14:textId="77777777" w:rsidR="00BC612C" w:rsidRDefault="00BC612C" w:rsidP="00BC612C">
      <w:pPr>
        <w:pStyle w:val="NormalWeb"/>
        <w:spacing w:before="0" w:beforeAutospacing="0" w:after="0" w:afterAutospacing="0"/>
        <w:ind w:left="540" w:hanging="540"/>
      </w:pPr>
      <w:r>
        <w:rPr>
          <w:rFonts w:ascii="Arial" w:hAnsi="Arial" w:cs="Arial"/>
          <w:color w:val="000000"/>
          <w:sz w:val="20"/>
          <w:szCs w:val="20"/>
        </w:rPr>
        <w:t xml:space="preserve">Zhong, J., et al. (2023). Digital transformation in higher education: Logical framework, practical dilemmas, and implementation approaches. </w:t>
      </w:r>
      <w:r>
        <w:rPr>
          <w:rFonts w:ascii="Arial" w:hAnsi="Arial" w:cs="Arial"/>
          <w:i/>
          <w:iCs/>
          <w:color w:val="000000"/>
          <w:sz w:val="20"/>
          <w:szCs w:val="20"/>
        </w:rPr>
        <w:t>Frontiers in Psychology</w:t>
      </w:r>
      <w:r>
        <w:rPr>
          <w:rFonts w:ascii="Arial" w:hAnsi="Arial" w:cs="Arial"/>
          <w:color w:val="000000"/>
          <w:sz w:val="20"/>
          <w:szCs w:val="20"/>
        </w:rPr>
        <w:t>.</w:t>
      </w:r>
      <w:hyperlink r:id="rId51" w:history="1">
        <w:r>
          <w:rPr>
            <w:rStyle w:val="Hyperlink"/>
            <w:rFonts w:ascii="Arial" w:hAnsi="Arial" w:cs="Arial"/>
            <w:color w:val="000000"/>
            <w:sz w:val="20"/>
            <w:szCs w:val="20"/>
            <w:u w:val="none"/>
          </w:rPr>
          <w:t xml:space="preserve"> </w:t>
        </w:r>
      </w:hyperlink>
      <w:hyperlink r:id="rId52" w:history="1">
        <w:r>
          <w:rPr>
            <w:rStyle w:val="Hyperlink"/>
            <w:rFonts w:ascii="Arial" w:hAnsi="Arial" w:cs="Arial"/>
            <w:color w:val="000000"/>
            <w:sz w:val="20"/>
            <w:szCs w:val="20"/>
            <w:u w:val="none"/>
          </w:rPr>
          <w:t>https://doi.org/10.3389/fpsyg.2025.1565591</w:t>
        </w:r>
      </w:hyperlink>
    </w:p>
    <w:p w14:paraId="55E14964" w14:textId="1E7CE0E8" w:rsidR="002B6ED2" w:rsidRPr="00BC612C" w:rsidRDefault="00BC612C" w:rsidP="00BC612C">
      <w:pPr>
        <w:pStyle w:val="NormalWeb"/>
        <w:spacing w:before="0" w:beforeAutospacing="0" w:after="0" w:afterAutospacing="0"/>
        <w:ind w:left="540" w:hanging="540"/>
      </w:pPr>
      <w:proofErr w:type="spellStart"/>
      <w:r>
        <w:rPr>
          <w:rFonts w:ascii="Arial" w:hAnsi="Arial" w:cs="Arial"/>
          <w:color w:val="000000"/>
          <w:sz w:val="20"/>
          <w:szCs w:val="20"/>
          <w:shd w:val="clear" w:color="auto" w:fill="FFFFFF"/>
        </w:rPr>
        <w:t>Zhukabayeva</w:t>
      </w:r>
      <w:proofErr w:type="spellEnd"/>
      <w:r>
        <w:rPr>
          <w:rFonts w:ascii="Arial" w:hAnsi="Arial" w:cs="Arial"/>
          <w:color w:val="000000"/>
          <w:sz w:val="20"/>
          <w:szCs w:val="20"/>
          <w:shd w:val="clear" w:color="auto" w:fill="FFFFFF"/>
        </w:rPr>
        <w:t xml:space="preserve">, T., et al. (2025). Digital transformation in higher education: Toward a strategic expansion of university operations. </w:t>
      </w:r>
      <w:r>
        <w:rPr>
          <w:rFonts w:ascii="Arial" w:hAnsi="Arial" w:cs="Arial"/>
          <w:i/>
          <w:iCs/>
          <w:color w:val="000000"/>
          <w:sz w:val="20"/>
          <w:szCs w:val="20"/>
          <w:shd w:val="clear" w:color="auto" w:fill="FFFFFF"/>
        </w:rPr>
        <w:t>Sustainability, 17</w:t>
      </w:r>
      <w:r>
        <w:rPr>
          <w:rFonts w:ascii="Arial" w:hAnsi="Arial" w:cs="Arial"/>
          <w:color w:val="000000"/>
          <w:sz w:val="20"/>
          <w:szCs w:val="20"/>
          <w:shd w:val="clear" w:color="auto" w:fill="FFFFFF"/>
        </w:rPr>
        <w:t>(24), 11132.</w:t>
      </w:r>
      <w:hyperlink r:id="rId53" w:history="1">
        <w:r>
          <w:rPr>
            <w:rStyle w:val="Hyperlink"/>
            <w:rFonts w:ascii="Arial" w:hAnsi="Arial" w:cs="Arial"/>
            <w:color w:val="000000"/>
            <w:sz w:val="20"/>
            <w:szCs w:val="20"/>
            <w:u w:val="none"/>
            <w:shd w:val="clear" w:color="auto" w:fill="FFFFFF"/>
          </w:rPr>
          <w:t xml:space="preserve"> </w:t>
        </w:r>
      </w:hyperlink>
      <w:hyperlink r:id="rId54" w:history="1">
        <w:r>
          <w:rPr>
            <w:rStyle w:val="Hyperlink"/>
            <w:rFonts w:ascii="Arial" w:hAnsi="Arial" w:cs="Arial"/>
            <w:color w:val="000000"/>
            <w:sz w:val="20"/>
            <w:szCs w:val="20"/>
            <w:u w:val="none"/>
            <w:shd w:val="clear" w:color="auto" w:fill="FFFFFF"/>
          </w:rPr>
          <w:t>https://www.mdpi.com/2071-1050/17/24/11132</w:t>
        </w:r>
      </w:hyperlink>
    </w:p>
    <w:sectPr w:rsidR="002B6ED2" w:rsidRPr="00BC612C" w:rsidSect="008F69EB">
      <w:headerReference w:type="even" r:id="rId55"/>
      <w:headerReference w:type="default" r:id="rId56"/>
      <w:footerReference w:type="default" r:id="rId57"/>
      <w:headerReference w:type="first" r:id="rId58"/>
      <w:type w:val="continuous"/>
      <w:pgSz w:w="12240" w:h="15840"/>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ACC7D" w14:textId="77777777" w:rsidR="00B01858" w:rsidRDefault="00B01858" w:rsidP="00C37E61">
      <w:r>
        <w:separator/>
      </w:r>
    </w:p>
  </w:endnote>
  <w:endnote w:type="continuationSeparator" w:id="0">
    <w:p w14:paraId="5A2A8520" w14:textId="77777777" w:rsidR="00B01858" w:rsidRDefault="00B0185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B21D4" w14:textId="77777777" w:rsidR="008F69EB" w:rsidRDefault="008F69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DA063" w14:textId="77777777" w:rsidR="008F69EB" w:rsidRDefault="008F69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2F252" w14:textId="61DC3EA2" w:rsidR="00754C9A" w:rsidRPr="005E0F7D" w:rsidRDefault="00754C9A" w:rsidP="005E0F7D">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1A62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3DD31F" w14:textId="77777777" w:rsidR="00B01858" w:rsidRDefault="00B01858" w:rsidP="00C37E61">
      <w:r>
        <w:separator/>
      </w:r>
    </w:p>
  </w:footnote>
  <w:footnote w:type="continuationSeparator" w:id="0">
    <w:p w14:paraId="2110C238" w14:textId="77777777" w:rsidR="00B01858" w:rsidRDefault="00B0185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3CF7E" w14:textId="3A6085AB" w:rsidR="008F69EB" w:rsidRDefault="008F69EB">
    <w:pPr>
      <w:pStyle w:val="Header"/>
    </w:pPr>
    <w:r>
      <w:rPr>
        <w:noProof/>
      </w:rPr>
      <w:pict w14:anchorId="6F6CC2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067746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8C141" w14:textId="3912DECC" w:rsidR="008F69EB" w:rsidRDefault="008F69EB">
    <w:pPr>
      <w:pStyle w:val="Header"/>
    </w:pPr>
    <w:r>
      <w:rPr>
        <w:noProof/>
      </w:rPr>
      <w:pict w14:anchorId="05EEE6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067747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72272" w14:textId="36E7D66F" w:rsidR="00296529" w:rsidRPr="00296529" w:rsidRDefault="008F69EB" w:rsidP="00296529">
    <w:pPr>
      <w:ind w:left="2160"/>
      <w:jc w:val="center"/>
      <w:rPr>
        <w:rFonts w:eastAsia="Calibri"/>
        <w:i/>
        <w:sz w:val="18"/>
        <w:szCs w:val="22"/>
      </w:rPr>
    </w:pPr>
    <w:r>
      <w:rPr>
        <w:noProof/>
      </w:rPr>
      <w:pict w14:anchorId="596FF3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067746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p w14:paraId="26912930" w14:textId="77777777" w:rsidR="00296529" w:rsidRPr="00296529" w:rsidRDefault="00754C9A" w:rsidP="00296529">
    <w:pPr>
      <w:ind w:left="4320"/>
      <w:rPr>
        <w:rFonts w:eastAsia="Calibri"/>
        <w:i/>
        <w:sz w:val="18"/>
        <w:szCs w:val="22"/>
      </w:rPr>
    </w:pPr>
    <w:r>
      <w:rPr>
        <w:rFonts w:eastAsia="Calibri"/>
        <w:i/>
        <w:sz w:val="18"/>
        <w:szCs w:val="22"/>
      </w:rPr>
      <w:t>.</w:t>
    </w:r>
    <w:r w:rsidR="00296529" w:rsidRPr="00296529">
      <w:rPr>
        <w:rFonts w:eastAsia="Calibri"/>
        <w:i/>
        <w:sz w:val="18"/>
        <w:szCs w:val="22"/>
      </w:rPr>
      <w:t xml:space="preserve">     </w:t>
    </w:r>
  </w:p>
  <w:p w14:paraId="29E5CBA3" w14:textId="77777777" w:rsidR="00296529" w:rsidRPr="00296529" w:rsidRDefault="00754C9A" w:rsidP="00296529">
    <w:pPr>
      <w:jc w:val="center"/>
      <w:rPr>
        <w:rFonts w:eastAsia="Calibri"/>
        <w:i/>
        <w:sz w:val="18"/>
        <w:szCs w:val="22"/>
      </w:rPr>
    </w:pPr>
    <w:r>
      <w:rPr>
        <w:rFonts w:eastAsia="Calibri"/>
        <w:i/>
        <w:sz w:val="18"/>
        <w:szCs w:val="22"/>
      </w:rPr>
      <w:t>.</w:t>
    </w:r>
  </w:p>
  <w:p w14:paraId="6FC204B4" w14:textId="77777777" w:rsidR="00296529" w:rsidRPr="00296529" w:rsidRDefault="00296529" w:rsidP="00296529">
    <w:pPr>
      <w:spacing w:after="200"/>
      <w:jc w:val="center"/>
      <w:rPr>
        <w:rFonts w:eastAsia="Calibri"/>
        <w:b/>
        <w:i/>
        <w:sz w:val="32"/>
        <w:szCs w:val="22"/>
      </w:rPr>
    </w:pPr>
    <w:r w:rsidRPr="00296529">
      <w:rPr>
        <w:rFonts w:eastAsia="Calibri"/>
        <w:b/>
        <w:i/>
        <w:sz w:val="32"/>
        <w:szCs w:val="22"/>
      </w:rPr>
      <w:t xml:space="preserve">              </w:t>
    </w:r>
    <w:r w:rsidR="00754C9A">
      <w:rPr>
        <w:rFonts w:eastAsia="Calibri"/>
        <w:b/>
        <w:i/>
        <w:sz w:val="32"/>
        <w:szCs w:val="22"/>
      </w:rPr>
      <w:t>.</w:t>
    </w:r>
    <w:r w:rsidRPr="00296529">
      <w:rPr>
        <w:rFonts w:eastAsia="Calibri"/>
        <w:b/>
        <w:i/>
        <w:sz w:val="32"/>
        <w:szCs w:val="22"/>
      </w:rPr>
      <w:t xml:space="preserve"> </w:t>
    </w:r>
  </w:p>
  <w:p w14:paraId="013B5B17" w14:textId="77777777" w:rsidR="00296529" w:rsidRDefault="00296529" w:rsidP="00296529">
    <w:pPr>
      <w:jc w:val="center"/>
      <w:rPr>
        <w:rFonts w:eastAsia="Calibri"/>
        <w:i/>
        <w:sz w:val="18"/>
        <w:szCs w:val="22"/>
      </w:rPr>
    </w:pPr>
    <w:r w:rsidRPr="00296529">
      <w:rPr>
        <w:rFonts w:eastAsia="Calibri"/>
        <w:i/>
        <w:sz w:val="18"/>
        <w:szCs w:val="22"/>
      </w:rPr>
      <w:t xml:space="preserve">                     </w:t>
    </w:r>
  </w:p>
  <w:p w14:paraId="5D2231D5" w14:textId="77777777" w:rsidR="00296529" w:rsidRDefault="00296529" w:rsidP="00296529">
    <w:pPr>
      <w:tabs>
        <w:tab w:val="left" w:pos="2145"/>
      </w:tabs>
      <w:rPr>
        <w:rFonts w:eastAsia="Calibri"/>
        <w:i/>
        <w:sz w:val="18"/>
        <w:szCs w:val="22"/>
      </w:rPr>
    </w:pPr>
    <w:r>
      <w:rPr>
        <w:rFonts w:eastAsia="Calibri"/>
        <w:i/>
        <w:sz w:val="18"/>
        <w:szCs w:val="22"/>
      </w:rPr>
      <w:tab/>
    </w:r>
    <w:r w:rsidR="00754C9A">
      <w:rPr>
        <w:rFonts w:eastAsia="Calibri"/>
        <w:i/>
        <w:sz w:val="18"/>
        <w:szCs w:val="22"/>
      </w:rPr>
      <w:t>.</w:t>
    </w:r>
  </w:p>
  <w:p w14:paraId="03DEA63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60B93" w14:textId="6AA76C1A" w:rsidR="008F69EB" w:rsidRDefault="008F69EB">
    <w:pPr>
      <w:pStyle w:val="Header"/>
    </w:pPr>
    <w:r>
      <w:rPr>
        <w:noProof/>
      </w:rPr>
      <w:pict w14:anchorId="1BC4DE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0677472"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3696E" w14:textId="608A951D" w:rsidR="008F69EB" w:rsidRDefault="008F69EB">
    <w:pPr>
      <w:pStyle w:val="Header"/>
    </w:pPr>
    <w:r>
      <w:rPr>
        <w:noProof/>
      </w:rPr>
      <w:pict w14:anchorId="43B70D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0677473"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CF0A7" w14:textId="0FFC2A61" w:rsidR="008F69EB" w:rsidRDefault="008F69EB">
    <w:pPr>
      <w:pStyle w:val="Header"/>
    </w:pPr>
    <w:r>
      <w:rPr>
        <w:noProof/>
      </w:rPr>
      <w:pict w14:anchorId="008882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0677471"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0E63B9"/>
    <w:multiLevelType w:val="hybridMultilevel"/>
    <w:tmpl w:val="04AC9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2DB7F94"/>
    <w:multiLevelType w:val="multilevel"/>
    <w:tmpl w:val="4AAE6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C806BC"/>
    <w:multiLevelType w:val="multilevel"/>
    <w:tmpl w:val="324E4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F3071D"/>
    <w:multiLevelType w:val="multilevel"/>
    <w:tmpl w:val="14A08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281493C"/>
    <w:multiLevelType w:val="multilevel"/>
    <w:tmpl w:val="AEA0A5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193B5F"/>
    <w:multiLevelType w:val="multilevel"/>
    <w:tmpl w:val="B7B89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C621FF"/>
    <w:multiLevelType w:val="hybridMultilevel"/>
    <w:tmpl w:val="4E7A11E0"/>
    <w:lvl w:ilvl="0" w:tplc="044410C6">
      <w:start w:val="3"/>
      <w:numFmt w:val="decimal"/>
      <w:lvlText w:val="%1."/>
      <w:lvlJc w:val="left"/>
      <w:pPr>
        <w:ind w:left="720" w:hanging="360"/>
      </w:pPr>
      <w:rPr>
        <w:rFonts w:ascii="Arial" w:hAnsi="Arial" w:cs="Arial"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6191987"/>
    <w:multiLevelType w:val="multilevel"/>
    <w:tmpl w:val="F612B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8"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1"/>
  </w:num>
  <w:num w:numId="3">
    <w:abstractNumId w:val="31"/>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1"/>
  </w:num>
  <w:num w:numId="8">
    <w:abstractNumId w:val="15"/>
  </w:num>
  <w:num w:numId="9">
    <w:abstractNumId w:val="33"/>
  </w:num>
  <w:num w:numId="10">
    <w:abstractNumId w:val="2"/>
  </w:num>
  <w:num w:numId="11">
    <w:abstractNumId w:val="26"/>
  </w:num>
  <w:num w:numId="12">
    <w:abstractNumId w:val="3"/>
  </w:num>
  <w:num w:numId="13">
    <w:abstractNumId w:val="24"/>
  </w:num>
  <w:num w:numId="14">
    <w:abstractNumId w:val="10"/>
  </w:num>
  <w:num w:numId="15">
    <w:abstractNumId w:val="29"/>
  </w:num>
  <w:num w:numId="16">
    <w:abstractNumId w:val="5"/>
  </w:num>
  <w:num w:numId="17">
    <w:abstractNumId w:val="30"/>
  </w:num>
  <w:num w:numId="18">
    <w:abstractNumId w:val="18"/>
  </w:num>
  <w:num w:numId="19">
    <w:abstractNumId w:val="36"/>
  </w:num>
  <w:num w:numId="20">
    <w:abstractNumId w:val="14"/>
  </w:num>
  <w:num w:numId="21">
    <w:abstractNumId w:val="11"/>
  </w:num>
  <w:num w:numId="22">
    <w:abstractNumId w:val="17"/>
  </w:num>
  <w:num w:numId="23">
    <w:abstractNumId w:val="27"/>
  </w:num>
  <w:num w:numId="24">
    <w:abstractNumId w:val="34"/>
  </w:num>
  <w:num w:numId="25">
    <w:abstractNumId w:val="4"/>
  </w:num>
  <w:num w:numId="26">
    <w:abstractNumId w:val="22"/>
  </w:num>
  <w:num w:numId="27">
    <w:abstractNumId w:val="28"/>
  </w:num>
  <w:num w:numId="28">
    <w:abstractNumId w:val="35"/>
  </w:num>
  <w:num w:numId="29">
    <w:abstractNumId w:val="32"/>
  </w:num>
  <w:num w:numId="30">
    <w:abstractNumId w:val="12"/>
  </w:num>
  <w:num w:numId="31">
    <w:abstractNumId w:val="13"/>
  </w:num>
  <w:num w:numId="32">
    <w:abstractNumId w:val="6"/>
  </w:num>
  <w:num w:numId="33">
    <w:abstractNumId w:val="8"/>
  </w:num>
  <w:num w:numId="34">
    <w:abstractNumId w:val="23"/>
  </w:num>
  <w:num w:numId="35">
    <w:abstractNumId w:val="16"/>
  </w:num>
  <w:num w:numId="36">
    <w:abstractNumId w:val="19"/>
    <w:lvlOverride w:ilvl="0">
      <w:lvl w:ilvl="0">
        <w:numFmt w:val="decimal"/>
        <w:lvlText w:val="%1."/>
        <w:lvlJc w:val="left"/>
      </w:lvl>
    </w:lvlOverride>
  </w:num>
  <w:num w:numId="37">
    <w:abstractNumId w:val="25"/>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906B9"/>
    <w:rsid w:val="00095000"/>
    <w:rsid w:val="000A47FA"/>
    <w:rsid w:val="000A5E81"/>
    <w:rsid w:val="000A65D3"/>
    <w:rsid w:val="000A76B9"/>
    <w:rsid w:val="000B1E33"/>
    <w:rsid w:val="000D689F"/>
    <w:rsid w:val="000D7F9D"/>
    <w:rsid w:val="000E1F3F"/>
    <w:rsid w:val="000E7B7B"/>
    <w:rsid w:val="000E7D62"/>
    <w:rsid w:val="00103357"/>
    <w:rsid w:val="001165F5"/>
    <w:rsid w:val="00123C9F"/>
    <w:rsid w:val="00126190"/>
    <w:rsid w:val="00130F17"/>
    <w:rsid w:val="001320BF"/>
    <w:rsid w:val="00145F20"/>
    <w:rsid w:val="00163BC4"/>
    <w:rsid w:val="00191062"/>
    <w:rsid w:val="00192B72"/>
    <w:rsid w:val="001957AA"/>
    <w:rsid w:val="001A29D8"/>
    <w:rsid w:val="001A5CAA"/>
    <w:rsid w:val="001B0427"/>
    <w:rsid w:val="001C6080"/>
    <w:rsid w:val="001D3A51"/>
    <w:rsid w:val="001E10D2"/>
    <w:rsid w:val="001E25B4"/>
    <w:rsid w:val="001E44FE"/>
    <w:rsid w:val="001F1F8A"/>
    <w:rsid w:val="00200595"/>
    <w:rsid w:val="00204835"/>
    <w:rsid w:val="00231920"/>
    <w:rsid w:val="0023195C"/>
    <w:rsid w:val="0024282C"/>
    <w:rsid w:val="002460DC"/>
    <w:rsid w:val="00247A52"/>
    <w:rsid w:val="00250985"/>
    <w:rsid w:val="002556F6"/>
    <w:rsid w:val="00283105"/>
    <w:rsid w:val="00284C4C"/>
    <w:rsid w:val="00287E68"/>
    <w:rsid w:val="00296529"/>
    <w:rsid w:val="002B27FB"/>
    <w:rsid w:val="002B685A"/>
    <w:rsid w:val="002B6ED2"/>
    <w:rsid w:val="002C57D2"/>
    <w:rsid w:val="002E0D56"/>
    <w:rsid w:val="002F252E"/>
    <w:rsid w:val="002F5A9D"/>
    <w:rsid w:val="00315186"/>
    <w:rsid w:val="003222F9"/>
    <w:rsid w:val="0033343E"/>
    <w:rsid w:val="003512C2"/>
    <w:rsid w:val="00371FB6"/>
    <w:rsid w:val="003763C1"/>
    <w:rsid w:val="00376BBE"/>
    <w:rsid w:val="0039224F"/>
    <w:rsid w:val="003A1D65"/>
    <w:rsid w:val="003A43A4"/>
    <w:rsid w:val="003A7E18"/>
    <w:rsid w:val="003B2560"/>
    <w:rsid w:val="003C4C86"/>
    <w:rsid w:val="003C6258"/>
    <w:rsid w:val="003E052C"/>
    <w:rsid w:val="003E2904"/>
    <w:rsid w:val="00401927"/>
    <w:rsid w:val="0041027F"/>
    <w:rsid w:val="00412475"/>
    <w:rsid w:val="00412978"/>
    <w:rsid w:val="00423789"/>
    <w:rsid w:val="00440F43"/>
    <w:rsid w:val="00441B6F"/>
    <w:rsid w:val="00446221"/>
    <w:rsid w:val="00450E62"/>
    <w:rsid w:val="004539DB"/>
    <w:rsid w:val="0046623F"/>
    <w:rsid w:val="00467639"/>
    <w:rsid w:val="00471A80"/>
    <w:rsid w:val="004A3BFA"/>
    <w:rsid w:val="004D305E"/>
    <w:rsid w:val="004D4277"/>
    <w:rsid w:val="004F080F"/>
    <w:rsid w:val="00500E0E"/>
    <w:rsid w:val="00502516"/>
    <w:rsid w:val="00505F06"/>
    <w:rsid w:val="00506828"/>
    <w:rsid w:val="0053056E"/>
    <w:rsid w:val="00554FDA"/>
    <w:rsid w:val="00571825"/>
    <w:rsid w:val="0057596F"/>
    <w:rsid w:val="005C751F"/>
    <w:rsid w:val="005C7630"/>
    <w:rsid w:val="005C784C"/>
    <w:rsid w:val="005D17F6"/>
    <w:rsid w:val="005E0F7D"/>
    <w:rsid w:val="005E5539"/>
    <w:rsid w:val="005F2A27"/>
    <w:rsid w:val="00602BF5"/>
    <w:rsid w:val="00617FDD"/>
    <w:rsid w:val="00633614"/>
    <w:rsid w:val="00633F68"/>
    <w:rsid w:val="00636EB2"/>
    <w:rsid w:val="006375B8"/>
    <w:rsid w:val="0066510A"/>
    <w:rsid w:val="00673F9F"/>
    <w:rsid w:val="00674F58"/>
    <w:rsid w:val="00683D46"/>
    <w:rsid w:val="00686953"/>
    <w:rsid w:val="00687DEA"/>
    <w:rsid w:val="00687E67"/>
    <w:rsid w:val="006967F7"/>
    <w:rsid w:val="006A250C"/>
    <w:rsid w:val="006A5937"/>
    <w:rsid w:val="006B21D3"/>
    <w:rsid w:val="006B57D0"/>
    <w:rsid w:val="006C39C8"/>
    <w:rsid w:val="006D30FF"/>
    <w:rsid w:val="006D5A7C"/>
    <w:rsid w:val="006D6940"/>
    <w:rsid w:val="006F11EC"/>
    <w:rsid w:val="0070082C"/>
    <w:rsid w:val="00714619"/>
    <w:rsid w:val="007369E6"/>
    <w:rsid w:val="00746E59"/>
    <w:rsid w:val="00754C9A"/>
    <w:rsid w:val="0075599A"/>
    <w:rsid w:val="00761D52"/>
    <w:rsid w:val="0077749E"/>
    <w:rsid w:val="00790ADA"/>
    <w:rsid w:val="007D2288"/>
    <w:rsid w:val="007E088F"/>
    <w:rsid w:val="007F7B32"/>
    <w:rsid w:val="00800083"/>
    <w:rsid w:val="00804BC2"/>
    <w:rsid w:val="0081431A"/>
    <w:rsid w:val="0083216F"/>
    <w:rsid w:val="00860000"/>
    <w:rsid w:val="00863BD3"/>
    <w:rsid w:val="008641ED"/>
    <w:rsid w:val="00866582"/>
    <w:rsid w:val="00866D66"/>
    <w:rsid w:val="008671C6"/>
    <w:rsid w:val="00875803"/>
    <w:rsid w:val="008B459E"/>
    <w:rsid w:val="008E13AE"/>
    <w:rsid w:val="008E1506"/>
    <w:rsid w:val="008E710C"/>
    <w:rsid w:val="008F69D6"/>
    <w:rsid w:val="008F69EB"/>
    <w:rsid w:val="00902823"/>
    <w:rsid w:val="00915CA6"/>
    <w:rsid w:val="00927834"/>
    <w:rsid w:val="009500A6"/>
    <w:rsid w:val="00957C18"/>
    <w:rsid w:val="009659BA"/>
    <w:rsid w:val="0097054B"/>
    <w:rsid w:val="00983040"/>
    <w:rsid w:val="009A255A"/>
    <w:rsid w:val="009A4622"/>
    <w:rsid w:val="009B3FB9"/>
    <w:rsid w:val="009C2465"/>
    <w:rsid w:val="009C6F7C"/>
    <w:rsid w:val="009D35A0"/>
    <w:rsid w:val="009D7EB7"/>
    <w:rsid w:val="009E048A"/>
    <w:rsid w:val="009E08E9"/>
    <w:rsid w:val="009E3DB9"/>
    <w:rsid w:val="009E6E35"/>
    <w:rsid w:val="009F0EDA"/>
    <w:rsid w:val="00A03B96"/>
    <w:rsid w:val="00A05B19"/>
    <w:rsid w:val="00A1134E"/>
    <w:rsid w:val="00A24E7E"/>
    <w:rsid w:val="00A258C3"/>
    <w:rsid w:val="00A347C0"/>
    <w:rsid w:val="00A4020B"/>
    <w:rsid w:val="00A51431"/>
    <w:rsid w:val="00A539AD"/>
    <w:rsid w:val="00A94063"/>
    <w:rsid w:val="00A95D1A"/>
    <w:rsid w:val="00AA13ED"/>
    <w:rsid w:val="00AA45F0"/>
    <w:rsid w:val="00AA6219"/>
    <w:rsid w:val="00AA74E0"/>
    <w:rsid w:val="00AB703F"/>
    <w:rsid w:val="00AC6BB8"/>
    <w:rsid w:val="00AD1E3F"/>
    <w:rsid w:val="00AE008F"/>
    <w:rsid w:val="00B01858"/>
    <w:rsid w:val="00B01FCD"/>
    <w:rsid w:val="00B1776C"/>
    <w:rsid w:val="00B43556"/>
    <w:rsid w:val="00B52583"/>
    <w:rsid w:val="00B52896"/>
    <w:rsid w:val="00B64F01"/>
    <w:rsid w:val="00B95236"/>
    <w:rsid w:val="00B95F86"/>
    <w:rsid w:val="00B96BD9"/>
    <w:rsid w:val="00BA1B01"/>
    <w:rsid w:val="00BA2641"/>
    <w:rsid w:val="00BB37AA"/>
    <w:rsid w:val="00BC53A0"/>
    <w:rsid w:val="00BC612C"/>
    <w:rsid w:val="00BE2238"/>
    <w:rsid w:val="00BE62AD"/>
    <w:rsid w:val="00BF121F"/>
    <w:rsid w:val="00BF1F80"/>
    <w:rsid w:val="00C06346"/>
    <w:rsid w:val="00C166EF"/>
    <w:rsid w:val="00C17EB0"/>
    <w:rsid w:val="00C27F5F"/>
    <w:rsid w:val="00C30A0F"/>
    <w:rsid w:val="00C37321"/>
    <w:rsid w:val="00C37E61"/>
    <w:rsid w:val="00C40137"/>
    <w:rsid w:val="00C412D2"/>
    <w:rsid w:val="00C44A33"/>
    <w:rsid w:val="00C57C62"/>
    <w:rsid w:val="00C61DCB"/>
    <w:rsid w:val="00C70F1B"/>
    <w:rsid w:val="00C71A47"/>
    <w:rsid w:val="00C7464C"/>
    <w:rsid w:val="00C85588"/>
    <w:rsid w:val="00C924F6"/>
    <w:rsid w:val="00CD6755"/>
    <w:rsid w:val="00CD6856"/>
    <w:rsid w:val="00CE0089"/>
    <w:rsid w:val="00CE793C"/>
    <w:rsid w:val="00CF193C"/>
    <w:rsid w:val="00CF4E2F"/>
    <w:rsid w:val="00D060C4"/>
    <w:rsid w:val="00D173F1"/>
    <w:rsid w:val="00D20361"/>
    <w:rsid w:val="00D24709"/>
    <w:rsid w:val="00D66C6A"/>
    <w:rsid w:val="00D74CB0"/>
    <w:rsid w:val="00D8295D"/>
    <w:rsid w:val="00DA0FC7"/>
    <w:rsid w:val="00DB2AD5"/>
    <w:rsid w:val="00DC2A65"/>
    <w:rsid w:val="00DC4F67"/>
    <w:rsid w:val="00DE15F0"/>
    <w:rsid w:val="00DE5663"/>
    <w:rsid w:val="00DE78AA"/>
    <w:rsid w:val="00E053D0"/>
    <w:rsid w:val="00E15994"/>
    <w:rsid w:val="00E30244"/>
    <w:rsid w:val="00E3114E"/>
    <w:rsid w:val="00E31A70"/>
    <w:rsid w:val="00E33360"/>
    <w:rsid w:val="00E35B02"/>
    <w:rsid w:val="00E66496"/>
    <w:rsid w:val="00E66B35"/>
    <w:rsid w:val="00E66E10"/>
    <w:rsid w:val="00E769F6"/>
    <w:rsid w:val="00E83003"/>
    <w:rsid w:val="00E8407C"/>
    <w:rsid w:val="00E84F3C"/>
    <w:rsid w:val="00EA012C"/>
    <w:rsid w:val="00EC6A55"/>
    <w:rsid w:val="00ED0288"/>
    <w:rsid w:val="00ED709E"/>
    <w:rsid w:val="00EE52CB"/>
    <w:rsid w:val="00EF4FE8"/>
    <w:rsid w:val="00EF581D"/>
    <w:rsid w:val="00EF7FD8"/>
    <w:rsid w:val="00F06F59"/>
    <w:rsid w:val="00F17988"/>
    <w:rsid w:val="00F469F0"/>
    <w:rsid w:val="00F53273"/>
    <w:rsid w:val="00F755E4"/>
    <w:rsid w:val="00F77D02"/>
    <w:rsid w:val="00FA0043"/>
    <w:rsid w:val="00FB3A86"/>
    <w:rsid w:val="00FC2F4F"/>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4B4367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C612C"/>
    <w:rPr>
      <w:sz w:val="24"/>
      <w:szCs w:val="24"/>
      <w:lang w:val="en-PH"/>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C44A3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412978"/>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E33360"/>
    <w:pPr>
      <w:spacing w:before="100" w:beforeAutospacing="1" w:after="100" w:afterAutospacing="1"/>
    </w:pPr>
  </w:style>
  <w:style w:type="paragraph" w:styleId="ListParagraph">
    <w:name w:val="List Paragraph"/>
    <w:basedOn w:val="Normal"/>
    <w:uiPriority w:val="34"/>
    <w:qFormat/>
    <w:rsid w:val="00D060C4"/>
    <w:pPr>
      <w:ind w:left="720"/>
      <w:contextualSpacing/>
    </w:pPr>
  </w:style>
  <w:style w:type="character" w:customStyle="1" w:styleId="Heading3Char">
    <w:name w:val="Heading 3 Char"/>
    <w:basedOn w:val="DefaultParagraphFont"/>
    <w:link w:val="Heading3"/>
    <w:semiHidden/>
    <w:rsid w:val="00412978"/>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rsid w:val="00C44A33"/>
    <w:rPr>
      <w:rFonts w:asciiTheme="majorHAnsi" w:eastAsiaTheme="majorEastAsia" w:hAnsiTheme="majorHAnsi" w:cstheme="majorBidi"/>
      <w:color w:val="365F91" w:themeColor="accent1" w:themeShade="BF"/>
      <w:sz w:val="26"/>
      <w:szCs w:val="26"/>
    </w:rPr>
  </w:style>
  <w:style w:type="character" w:customStyle="1" w:styleId="apple-tab-span">
    <w:name w:val="apple-tab-span"/>
    <w:basedOn w:val="DefaultParagraphFont"/>
    <w:rsid w:val="00C44A33"/>
  </w:style>
  <w:style w:type="character" w:styleId="Strong">
    <w:name w:val="Strong"/>
    <w:basedOn w:val="DefaultParagraphFont"/>
    <w:uiPriority w:val="22"/>
    <w:qFormat/>
    <w:rsid w:val="004676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aacsb.edu/educators/accreditation/business-accreditation" TargetMode="External"/><Relationship Id="rId26" Type="http://schemas.openxmlformats.org/officeDocument/2006/relationships/hyperlink" Target="https://www.efmdglobal.org/wp-content/uploads/EQUIS_Standards_and_Criteria.pdf?utm_source=chatgpt.com" TargetMode="External"/><Relationship Id="rId39" Type="http://schemas.openxmlformats.org/officeDocument/2006/relationships/hyperlink" Target="https://doi.org/10.1787/e13bef63-en" TargetMode="External"/><Relationship Id="rId21" Type="http://schemas.openxmlformats.org/officeDocument/2006/relationships/hyperlink" Target="https://doi.org/10.1007/s11846-025-00881-2" TargetMode="External"/><Relationship Id="rId34" Type="http://schemas.openxmlformats.org/officeDocument/2006/relationships/hyperlink" Target="https://journals.sagepub.com/doi/10.1177/14413582241264619?utm_source=chatgpt.com" TargetMode="External"/><Relationship Id="rId42" Type="http://schemas.openxmlformats.org/officeDocument/2006/relationships/hyperlink" Target="https://doi.org/10.2307/j.ctvjf9z6v" TargetMode="External"/><Relationship Id="rId47" Type="http://schemas.openxmlformats.org/officeDocument/2006/relationships/hyperlink" Target="https://gem-report-2023.unesco.org/" TargetMode="External"/><Relationship Id="rId50" Type="http://schemas.openxmlformats.org/officeDocument/2006/relationships/hyperlink" Target="https://doi.org/10.3389/feduc.2025.1590828" TargetMode="External"/><Relationship Id="rId55" Type="http://schemas.openxmlformats.org/officeDocument/2006/relationships/header" Target="head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2139/ssrn.4965351" TargetMode="External"/><Relationship Id="rId29" Type="http://schemas.openxmlformats.org/officeDocument/2006/relationships/hyperlink" Target="https://rankings.ft.com/methodology" TargetMode="External"/><Relationship Id="rId11" Type="http://schemas.openxmlformats.org/officeDocument/2006/relationships/footer" Target="footer2.xml"/><Relationship Id="rId24" Type="http://schemas.openxmlformats.org/officeDocument/2006/relationships/hyperlink" Target="https://doi.org/10.3389/frma.2024.1512747" TargetMode="External"/><Relationship Id="rId32" Type="http://schemas.openxmlformats.org/officeDocument/2006/relationships/hyperlink" Target="https://asean.org/wp-content/uploads/2024/03/Digital-Policy-Action-Areas-for-a-Connected-ASEAN.pdf?utm_source=chatgpt.com" TargetMode="External"/><Relationship Id="rId37" Type="http://schemas.openxmlformats.org/officeDocument/2006/relationships/hyperlink" Target="https://www.tandfonline.com/doi/full/10.1080/15391523.2025.2487279" TargetMode="External"/><Relationship Id="rId40" Type="http://schemas.openxmlformats.org/officeDocument/2006/relationships/hyperlink" Target="https://www.oecd.org/en/about/directorates/directorate-for-education-and-skills.html?utm_source=chatgpt.com" TargetMode="External"/><Relationship Id="rId45" Type="http://schemas.openxmlformats.org/officeDocument/2006/relationships/hyperlink" Target="https://unesdoc.unesco.org/ark:/48223/pf0000387214" TargetMode="External"/><Relationship Id="rId53" Type="http://schemas.openxmlformats.org/officeDocument/2006/relationships/hyperlink" Target="https://www.mdpi.com/2071-1050/17/24/11132?utm_source=chatgpt.com" TargetMode="External"/><Relationship Id="rId58" Type="http://schemas.openxmlformats.org/officeDocument/2006/relationships/header" Target="header6.xml"/><Relationship Id="rId5" Type="http://schemas.openxmlformats.org/officeDocument/2006/relationships/webSettings" Target="webSettings.xml"/><Relationship Id="rId19" Type="http://schemas.openxmlformats.org/officeDocument/2006/relationships/hyperlink" Target="https://doi.org/10.1186/s41239-025-00550-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3316/QRJ0902027" TargetMode="External"/><Relationship Id="rId27" Type="http://schemas.openxmlformats.org/officeDocument/2006/relationships/hyperlink" Target="https://www.efmdglobal.org/wp-content/uploads/EQUIS_Standards_and_Criteria.pdf" TargetMode="External"/><Relationship Id="rId30" Type="http://schemas.openxmlformats.org/officeDocument/2006/relationships/hyperlink" Target="https://www.ft.com/content/ec963d37-da0b-40ca-9400-9dfb2000ae43" TargetMode="External"/><Relationship Id="rId35" Type="http://schemas.openxmlformats.org/officeDocument/2006/relationships/hyperlink" Target="https://journals.sagepub.com/doi/10.1177/14413582241264619" TargetMode="External"/><Relationship Id="rId43" Type="http://schemas.openxmlformats.org/officeDocument/2006/relationships/hyperlink" Target="https://pmc.ncbi.nlm.nih.gov/articles/PMC7973804/" TargetMode="External"/><Relationship Id="rId48" Type="http://schemas.openxmlformats.org/officeDocument/2006/relationships/hyperlink" Target="https://www.worldbenchmarkingalliance.org/research/2023-digital-inclusion-benchmark/" TargetMode="External"/><Relationship Id="rId56" Type="http://schemas.openxmlformats.org/officeDocument/2006/relationships/header" Target="header5.xml"/><Relationship Id="rId8" Type="http://schemas.openxmlformats.org/officeDocument/2006/relationships/header" Target="header1.xml"/><Relationship Id="rId51" Type="http://schemas.openxmlformats.org/officeDocument/2006/relationships/hyperlink" Target="https://www.frontiersin.org/journals/psychology/articles/10.3389/fpsyg.2025.1565591/full"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www.aacsb.edu/educators/accreditation/business-accreditation?utm_source=chatgpt.com" TargetMode="External"/><Relationship Id="rId25" Type="http://schemas.openxmlformats.org/officeDocument/2006/relationships/hyperlink" Target="https://doi.org/10.2307/2095101" TargetMode="External"/><Relationship Id="rId33" Type="http://schemas.openxmlformats.org/officeDocument/2006/relationships/hyperlink" Target="https://doi.org/10.1007/s11024-013-9240-z" TargetMode="External"/><Relationship Id="rId38" Type="http://schemas.openxmlformats.org/officeDocument/2006/relationships/hyperlink" Target="https://doi.org/10.3926/jotse.2249" TargetMode="External"/><Relationship Id="rId46" Type="http://schemas.openxmlformats.org/officeDocument/2006/relationships/hyperlink" Target="https://gem-report-2023.unesco.org/?utm_source=chatgpt.com" TargetMode="External"/><Relationship Id="rId59" Type="http://schemas.openxmlformats.org/officeDocument/2006/relationships/fontTable" Target="fontTable.xml"/><Relationship Id="rId20" Type="http://schemas.openxmlformats.org/officeDocument/2006/relationships/hyperlink" Target="https://doi.org/10.1016/j.techsoc.2023.102436" TargetMode="External"/><Relationship Id="rId41" Type="http://schemas.openxmlformats.org/officeDocument/2006/relationships/hyperlink" Target="https://www.oecd.org/en/about/directorates/directorate-for-education-and-skills.html" TargetMode="External"/><Relationship Id="rId54" Type="http://schemas.openxmlformats.org/officeDocument/2006/relationships/hyperlink" Target="https://www.mdpi.com/2071-1050/17/24/1113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pen-research-europe.ec.europa.eu/articles/5-220" TargetMode="External"/><Relationship Id="rId23" Type="http://schemas.openxmlformats.org/officeDocument/2006/relationships/hyperlink" Target="https://doi.org/10.1016/j.sftr.2025.100692" TargetMode="External"/><Relationship Id="rId28" Type="http://schemas.openxmlformats.org/officeDocument/2006/relationships/hyperlink" Target="https://rankings.ft.com/methodology?utm_source=chatgpt.com" TargetMode="External"/><Relationship Id="rId36" Type="http://schemas.openxmlformats.org/officeDocument/2006/relationships/hyperlink" Target="https://www.ncbi.nlm.nih.gov/pmc/articles/PMC10157583/" TargetMode="External"/><Relationship Id="rId49" Type="http://schemas.openxmlformats.org/officeDocument/2006/relationships/hyperlink" Target="https://www.xu.edu.ph/sustainability-news-and-updates/7725-learning-as-mission-the-2024-xu-sustainability-report-for-sdg-4-quality-education" TargetMode="External"/><Relationship Id="rId57" Type="http://schemas.openxmlformats.org/officeDocument/2006/relationships/footer" Target="footer4.xml"/><Relationship Id="rId10" Type="http://schemas.openxmlformats.org/officeDocument/2006/relationships/footer" Target="footer1.xml"/><Relationship Id="rId31" Type="http://schemas.openxmlformats.org/officeDocument/2006/relationships/hyperlink" Target="https://doi.org/10.1787/7cb15030-en" TargetMode="External"/><Relationship Id="rId44" Type="http://schemas.openxmlformats.org/officeDocument/2006/relationships/hyperlink" Target="https://documents1.worldbank.org/curated/en/099655407192421260/pdf/IDU-e0c45264-79f8-4c19-a6c8-b46c294d674e.pdf?utm_source=chatgpt.com" TargetMode="External"/><Relationship Id="rId52" Type="http://schemas.openxmlformats.org/officeDocument/2006/relationships/hyperlink" Target="https://doi.org/10.3389/fpsyg.2025.1565591" TargetMode="External"/><Relationship Id="rId6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F3FAB-14F0-4812-9D57-B03D3A5F4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63</TotalTime>
  <Pages>13</Pages>
  <Words>6364</Words>
  <Characters>36275</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42554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36</cp:revision>
  <cp:lastPrinted>1999-07-06T11:00:00Z</cp:lastPrinted>
  <dcterms:created xsi:type="dcterms:W3CDTF">2026-01-24T19:39:00Z</dcterms:created>
  <dcterms:modified xsi:type="dcterms:W3CDTF">2026-01-27T08:23:00Z</dcterms:modified>
</cp:coreProperties>
</file>