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817EA" w14:textId="5FBF5AB4" w:rsidR="002104C1" w:rsidRPr="002104C1" w:rsidRDefault="002104C1" w:rsidP="002104C1">
      <w:pPr>
        <w:pStyle w:val="Author"/>
        <w:spacing w:line="240" w:lineRule="auto"/>
        <w:rPr>
          <w:rFonts w:ascii="Arial" w:hAnsi="Arial" w:cs="Arial"/>
          <w:bCs/>
          <w:iCs/>
          <w:kern w:val="28"/>
          <w:sz w:val="36"/>
        </w:rPr>
      </w:pPr>
      <w:r w:rsidRPr="002104C1">
        <w:rPr>
          <w:rFonts w:ascii="Arial" w:hAnsi="Arial" w:cs="Arial"/>
          <w:bCs/>
          <w:iCs/>
          <w:kern w:val="28"/>
          <w:sz w:val="36"/>
        </w:rPr>
        <w:t>H</w:t>
      </w:r>
      <w:r>
        <w:rPr>
          <w:rFonts w:ascii="Arial" w:hAnsi="Arial" w:cs="Arial"/>
          <w:bCs/>
          <w:iCs/>
          <w:kern w:val="28"/>
          <w:sz w:val="36"/>
        </w:rPr>
        <w:t>enbit</w:t>
      </w:r>
      <w:r w:rsidRPr="002104C1">
        <w:rPr>
          <w:rFonts w:ascii="Arial" w:hAnsi="Arial" w:cs="Arial"/>
          <w:bCs/>
          <w:iCs/>
          <w:kern w:val="28"/>
          <w:sz w:val="36"/>
        </w:rPr>
        <w:t xml:space="preserve"> (</w:t>
      </w:r>
      <w:r w:rsidRPr="002104C1">
        <w:rPr>
          <w:rFonts w:ascii="Arial" w:hAnsi="Arial" w:cs="Arial"/>
          <w:bCs/>
          <w:i/>
          <w:iCs/>
          <w:kern w:val="28"/>
          <w:sz w:val="36"/>
        </w:rPr>
        <w:t>Lamium amplexicaule</w:t>
      </w:r>
      <w:r w:rsidRPr="002104C1">
        <w:rPr>
          <w:rFonts w:ascii="Arial" w:hAnsi="Arial" w:cs="Arial"/>
          <w:bCs/>
          <w:iCs/>
          <w:kern w:val="28"/>
          <w:sz w:val="36"/>
        </w:rPr>
        <w:t xml:space="preserve"> L</w:t>
      </w:r>
      <w:r>
        <w:rPr>
          <w:rFonts w:ascii="Arial" w:hAnsi="Arial" w:cs="Arial"/>
          <w:bCs/>
          <w:iCs/>
          <w:kern w:val="28"/>
          <w:sz w:val="36"/>
        </w:rPr>
        <w:t>.</w:t>
      </w:r>
      <w:r w:rsidRPr="002104C1">
        <w:rPr>
          <w:rFonts w:ascii="Arial" w:hAnsi="Arial" w:cs="Arial"/>
          <w:bCs/>
          <w:iCs/>
          <w:kern w:val="28"/>
          <w:sz w:val="36"/>
        </w:rPr>
        <w:t>) C</w:t>
      </w:r>
      <w:r>
        <w:rPr>
          <w:rFonts w:ascii="Arial" w:hAnsi="Arial" w:cs="Arial"/>
          <w:bCs/>
          <w:iCs/>
          <w:kern w:val="28"/>
          <w:sz w:val="36"/>
        </w:rPr>
        <w:t>ontrol</w:t>
      </w:r>
      <w:r w:rsidRPr="002104C1">
        <w:rPr>
          <w:rFonts w:ascii="Arial" w:hAnsi="Arial" w:cs="Arial"/>
          <w:bCs/>
          <w:iCs/>
          <w:kern w:val="28"/>
          <w:sz w:val="36"/>
        </w:rPr>
        <w:t xml:space="preserve"> </w:t>
      </w:r>
      <w:r>
        <w:rPr>
          <w:rFonts w:ascii="Arial" w:hAnsi="Arial" w:cs="Arial"/>
          <w:bCs/>
          <w:iCs/>
          <w:kern w:val="28"/>
          <w:sz w:val="36"/>
        </w:rPr>
        <w:t xml:space="preserve">with </w:t>
      </w:r>
      <w:r w:rsidRPr="002104C1">
        <w:rPr>
          <w:rFonts w:ascii="Arial" w:hAnsi="Arial" w:cs="Arial"/>
          <w:bCs/>
          <w:iCs/>
          <w:kern w:val="28"/>
          <w:sz w:val="36"/>
        </w:rPr>
        <w:t>P</w:t>
      </w:r>
      <w:r>
        <w:rPr>
          <w:rFonts w:ascii="Arial" w:hAnsi="Arial" w:cs="Arial"/>
          <w:bCs/>
          <w:iCs/>
          <w:kern w:val="28"/>
          <w:sz w:val="36"/>
        </w:rPr>
        <w:t xml:space="preserve">reemergence and </w:t>
      </w:r>
      <w:r w:rsidRPr="002104C1">
        <w:rPr>
          <w:rFonts w:ascii="Arial" w:hAnsi="Arial" w:cs="Arial"/>
          <w:bCs/>
          <w:iCs/>
          <w:kern w:val="28"/>
          <w:sz w:val="36"/>
        </w:rPr>
        <w:t>P</w:t>
      </w:r>
      <w:r>
        <w:rPr>
          <w:rFonts w:ascii="Arial" w:hAnsi="Arial" w:cs="Arial"/>
          <w:bCs/>
          <w:iCs/>
          <w:kern w:val="28"/>
          <w:sz w:val="36"/>
        </w:rPr>
        <w:t xml:space="preserve">ostemergence </w:t>
      </w:r>
      <w:r w:rsidRPr="002104C1">
        <w:rPr>
          <w:rFonts w:ascii="Arial" w:hAnsi="Arial" w:cs="Arial"/>
          <w:bCs/>
          <w:iCs/>
          <w:kern w:val="28"/>
          <w:sz w:val="36"/>
        </w:rPr>
        <w:t>H</w:t>
      </w:r>
      <w:r>
        <w:rPr>
          <w:rFonts w:ascii="Arial" w:hAnsi="Arial" w:cs="Arial"/>
          <w:bCs/>
          <w:iCs/>
          <w:kern w:val="28"/>
          <w:sz w:val="36"/>
        </w:rPr>
        <w:t>erbicides</w:t>
      </w:r>
    </w:p>
    <w:p w14:paraId="453BC2F5" w14:textId="77777777" w:rsidR="00A258C3" w:rsidRPr="00790ADA" w:rsidRDefault="00A258C3" w:rsidP="00441B6F">
      <w:pPr>
        <w:pStyle w:val="Author"/>
        <w:spacing w:line="240" w:lineRule="auto"/>
        <w:jc w:val="both"/>
        <w:rPr>
          <w:rFonts w:ascii="Arial" w:hAnsi="Arial" w:cs="Arial"/>
          <w:sz w:val="36"/>
        </w:rPr>
      </w:pPr>
    </w:p>
    <w:p w14:paraId="2E8FBCAD" w14:textId="4E8E343C" w:rsidR="000F1923" w:rsidRPr="00984479" w:rsidRDefault="000F1923" w:rsidP="00984479">
      <w:pPr>
        <w:pStyle w:val="Affiliation"/>
        <w:spacing w:after="0" w:line="240" w:lineRule="auto"/>
        <w:rPr>
          <w:rFonts w:ascii="Arial" w:hAnsi="Arial" w:cs="Arial"/>
          <w:b/>
          <w:bCs/>
          <w:i/>
          <w:lang w:val="en-GB"/>
        </w:rPr>
      </w:pPr>
    </w:p>
    <w:p w14:paraId="7D6CB8FC" w14:textId="77777777" w:rsidR="00790ADA" w:rsidRPr="002104C1" w:rsidRDefault="00790ADA" w:rsidP="00441B6F">
      <w:pPr>
        <w:pStyle w:val="Affiliation"/>
        <w:spacing w:after="0" w:line="240" w:lineRule="auto"/>
        <w:jc w:val="both"/>
        <w:rPr>
          <w:rFonts w:ascii="Arial" w:hAnsi="Arial" w:cs="Arial"/>
        </w:rPr>
      </w:pPr>
    </w:p>
    <w:p w14:paraId="0DD1CEB4" w14:textId="0DC3AE2B" w:rsidR="00B01FCD" w:rsidRPr="00FB3A86" w:rsidRDefault="002B1094" w:rsidP="00441B6F">
      <w:pPr>
        <w:pStyle w:val="Copyright"/>
        <w:spacing w:after="0" w:line="240" w:lineRule="auto"/>
        <w:jc w:val="both"/>
        <w:rPr>
          <w:rFonts w:ascii="Arial" w:hAnsi="Arial" w:cs="Arial"/>
        </w:rPr>
        <w:sectPr w:rsidR="00B01FCD" w:rsidRPr="00FB3A86" w:rsidSect="00C806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1C20DD" wp14:editId="23F1C949">
                <wp:extent cx="5303520" cy="635"/>
                <wp:effectExtent l="13335" t="13335" r="17145" b="15240"/>
                <wp:docPr id="10221945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5F36A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4F39260" w14:textId="2143002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4355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569E88" w14:textId="77777777" w:rsidTr="001E44FE">
        <w:tc>
          <w:tcPr>
            <w:tcW w:w="9576" w:type="dxa"/>
            <w:shd w:val="clear" w:color="auto" w:fill="F2F2F2"/>
          </w:tcPr>
          <w:p w14:paraId="55F93EB3" w14:textId="32C85AE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34917" w:rsidRPr="00A34917">
              <w:rPr>
                <w:rFonts w:ascii="Arial" w:eastAsia="Calibri" w:hAnsi="Arial" w:cs="Arial"/>
                <w:bCs/>
                <w:szCs w:val="22"/>
              </w:rPr>
              <w:t>S</w:t>
            </w:r>
            <w:r w:rsidR="0028282A" w:rsidRPr="0028282A">
              <w:rPr>
                <w:rFonts w:ascii="Arial" w:eastAsia="Calibri" w:hAnsi="Arial" w:cs="Arial"/>
                <w:bCs/>
                <w:szCs w:val="22"/>
              </w:rPr>
              <w:t>tudies were conducted during the 2015 through 2017 growing seasons to evaluate various herbicide</w:t>
            </w:r>
            <w:r w:rsidR="00A34917">
              <w:rPr>
                <w:rFonts w:ascii="Arial" w:eastAsia="Calibri" w:hAnsi="Arial" w:cs="Arial"/>
                <w:bCs/>
                <w:szCs w:val="22"/>
              </w:rPr>
              <w:t xml:space="preserve"> program</w:t>
            </w:r>
            <w:r w:rsidR="0028282A" w:rsidRPr="0028282A">
              <w:rPr>
                <w:rFonts w:ascii="Arial" w:eastAsia="Calibri" w:hAnsi="Arial" w:cs="Arial"/>
                <w:bCs/>
                <w:szCs w:val="22"/>
              </w:rPr>
              <w:t>s for winter control of henbit under fallow conditions.</w:t>
            </w:r>
            <w:r w:rsidR="0028282A" w:rsidRPr="0028282A">
              <w:rPr>
                <w:rFonts w:ascii="Arial" w:eastAsia="Calibri" w:hAnsi="Arial" w:cs="Arial"/>
                <w:b/>
                <w:szCs w:val="22"/>
              </w:rPr>
              <w:t xml:space="preserve"> </w:t>
            </w:r>
          </w:p>
          <w:p w14:paraId="55E73231" w14:textId="5B70559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8282A">
              <w:rPr>
                <w:rFonts w:ascii="Arial" w:eastAsia="Calibri" w:hAnsi="Arial" w:cs="Arial"/>
                <w:szCs w:val="22"/>
              </w:rPr>
              <w:t xml:space="preserve">Randomized complete block design with 3 </w:t>
            </w:r>
            <w:proofErr w:type="gramStart"/>
            <w:r w:rsidR="0028282A">
              <w:rPr>
                <w:rFonts w:ascii="Arial" w:eastAsia="Calibri" w:hAnsi="Arial" w:cs="Arial"/>
                <w:szCs w:val="22"/>
              </w:rPr>
              <w:t>replications.</w:t>
            </w:r>
            <w:r w:rsidRPr="00BA1B01">
              <w:rPr>
                <w:rFonts w:ascii="Arial" w:eastAsia="Calibri" w:hAnsi="Arial" w:cs="Arial"/>
                <w:szCs w:val="22"/>
              </w:rPr>
              <w:t>.</w:t>
            </w:r>
            <w:proofErr w:type="gramEnd"/>
          </w:p>
          <w:p w14:paraId="217D617D" w14:textId="6360766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8282A">
              <w:rPr>
                <w:rFonts w:ascii="Arial" w:eastAsia="Calibri" w:hAnsi="Arial" w:cs="Arial"/>
                <w:szCs w:val="22"/>
              </w:rPr>
              <w:t>T</w:t>
            </w:r>
            <w:r w:rsidR="0028282A" w:rsidRPr="0028282A">
              <w:rPr>
                <w:rFonts w:ascii="Arial" w:eastAsia="Calibri" w:hAnsi="Arial" w:cs="Arial"/>
                <w:bCs/>
                <w:szCs w:val="22"/>
              </w:rPr>
              <w:t>he upper Coastal Bend area of Texas near Ganado</w:t>
            </w:r>
            <w:r w:rsidR="0028282A" w:rsidRPr="0028282A">
              <w:rPr>
                <w:rFonts w:ascii="Arial" w:eastAsia="Calibri" w:hAnsi="Arial" w:cs="Arial"/>
                <w:szCs w:val="22"/>
              </w:rPr>
              <w:t xml:space="preserve"> </w:t>
            </w:r>
            <w:r w:rsidR="0028282A">
              <w:rPr>
                <w:rFonts w:ascii="Arial" w:eastAsia="Calibri" w:hAnsi="Arial" w:cs="Arial"/>
                <w:szCs w:val="22"/>
              </w:rPr>
              <w:t>during the 2015 through 2017 growing seasons.</w:t>
            </w:r>
          </w:p>
          <w:p w14:paraId="684FE3A1" w14:textId="4BF3F99C" w:rsidR="00BF69C1" w:rsidRPr="00BF69C1" w:rsidRDefault="00BA1B01" w:rsidP="00BF69C1">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F69C1" w:rsidRPr="00BF69C1">
              <w:rPr>
                <w:rFonts w:ascii="Arial" w:eastAsia="Calibri" w:hAnsi="Arial" w:cs="Arial"/>
                <w:szCs w:val="22"/>
              </w:rPr>
              <w:t xml:space="preserve">Herbicides were applied postemergence </w:t>
            </w:r>
            <w:r w:rsidR="00632995">
              <w:rPr>
                <w:rFonts w:ascii="Arial" w:eastAsia="Calibri" w:hAnsi="Arial" w:cs="Arial"/>
                <w:szCs w:val="22"/>
              </w:rPr>
              <w:t xml:space="preserve">using </w:t>
            </w:r>
            <w:r w:rsidR="00BF69C1" w:rsidRPr="00BF69C1">
              <w:rPr>
                <w:rFonts w:ascii="Arial" w:eastAsia="Calibri" w:hAnsi="Arial" w:cs="Arial"/>
                <w:szCs w:val="22"/>
              </w:rPr>
              <w:t>a CO</w:t>
            </w:r>
            <w:r w:rsidR="00BF69C1" w:rsidRPr="00BF69C1">
              <w:rPr>
                <w:rFonts w:ascii="Arial" w:eastAsia="Calibri" w:hAnsi="Arial" w:cs="Arial"/>
                <w:szCs w:val="22"/>
                <w:vertAlign w:val="subscript"/>
              </w:rPr>
              <w:t>2</w:t>
            </w:r>
            <w:r w:rsidR="00BF69C1" w:rsidRPr="00BF69C1">
              <w:rPr>
                <w:rFonts w:ascii="Arial" w:eastAsia="Calibri" w:hAnsi="Arial" w:cs="Arial"/>
                <w:szCs w:val="22"/>
              </w:rPr>
              <w:t xml:space="preserve">-pressurized backpack sprayer </w:t>
            </w:r>
            <w:r w:rsidR="00632995">
              <w:rPr>
                <w:rFonts w:ascii="Arial" w:eastAsia="Calibri" w:hAnsi="Arial" w:cs="Arial"/>
                <w:szCs w:val="22"/>
              </w:rPr>
              <w:t xml:space="preserve">with </w:t>
            </w:r>
            <w:proofErr w:type="spellStart"/>
            <w:r w:rsidR="00BF69C1" w:rsidRPr="00BF69C1">
              <w:rPr>
                <w:rFonts w:ascii="Arial" w:eastAsia="Calibri" w:hAnsi="Arial" w:cs="Arial"/>
                <w:szCs w:val="22"/>
              </w:rPr>
              <w:t>Teejet</w:t>
            </w:r>
            <w:proofErr w:type="spellEnd"/>
            <w:r w:rsidR="00BF69C1" w:rsidRPr="00BF69C1">
              <w:rPr>
                <w:rFonts w:ascii="Arial" w:eastAsia="Calibri" w:hAnsi="Arial" w:cs="Arial"/>
                <w:szCs w:val="22"/>
              </w:rPr>
              <w:t xml:space="preserve"> 11002 flat fan nozzles </w:t>
            </w:r>
            <w:r w:rsidR="00632995">
              <w:rPr>
                <w:rFonts w:ascii="Arial" w:eastAsia="Calibri" w:hAnsi="Arial" w:cs="Arial"/>
                <w:szCs w:val="22"/>
              </w:rPr>
              <w:t>at</w:t>
            </w:r>
            <w:r w:rsidR="00BF69C1" w:rsidRPr="00BF69C1">
              <w:rPr>
                <w:rFonts w:ascii="Arial" w:eastAsia="Calibri" w:hAnsi="Arial" w:cs="Arial"/>
                <w:szCs w:val="22"/>
              </w:rPr>
              <w:t xml:space="preserve"> a pressure of 180 kPa and calibrated to deliver 187 L ha</w:t>
            </w:r>
            <w:r w:rsidR="00BF69C1" w:rsidRPr="00BF69C1">
              <w:rPr>
                <w:rFonts w:ascii="Arial" w:eastAsia="Calibri" w:hAnsi="Arial" w:cs="Arial"/>
                <w:szCs w:val="22"/>
                <w:vertAlign w:val="superscript"/>
              </w:rPr>
              <w:t>-1</w:t>
            </w:r>
            <w:r w:rsidR="00BF69C1" w:rsidRPr="00BF69C1">
              <w:rPr>
                <w:rFonts w:ascii="Arial" w:eastAsia="Calibri" w:hAnsi="Arial" w:cs="Arial"/>
                <w:szCs w:val="22"/>
              </w:rPr>
              <w:t>. An untreated check was included for comparison at each location.  Henbit control were visually estimated on a scale of 0 to 100 (0 indicating no control and 100 indicating complete control or plant death)</w:t>
            </w:r>
            <w:r w:rsidR="00BF69C1">
              <w:rPr>
                <w:rFonts w:ascii="Arial" w:eastAsia="Calibri" w:hAnsi="Arial" w:cs="Arial"/>
                <w:szCs w:val="22"/>
              </w:rPr>
              <w:t xml:space="preserve">. </w:t>
            </w:r>
            <w:r w:rsidR="00BF69C1" w:rsidRPr="00BF69C1">
              <w:rPr>
                <w:rFonts w:ascii="Arial" w:eastAsia="Calibri" w:hAnsi="Arial" w:cs="Arial"/>
                <w:szCs w:val="22"/>
              </w:rPr>
              <w:t>Means were compared with Fisher’s Protected LSD test at the 5% probability level</w:t>
            </w:r>
            <w:r w:rsidR="00BF69C1">
              <w:rPr>
                <w:rFonts w:ascii="Arial" w:eastAsia="Calibri" w:hAnsi="Arial" w:cs="Arial"/>
                <w:szCs w:val="22"/>
              </w:rPr>
              <w:t xml:space="preserve">. </w:t>
            </w:r>
          </w:p>
          <w:p w14:paraId="5AB9D81C" w14:textId="4BC83CB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F69C1" w:rsidRPr="00BF69C1">
              <w:rPr>
                <w:rFonts w:ascii="Arial" w:eastAsia="Calibri" w:hAnsi="Arial" w:cs="Arial"/>
                <w:szCs w:val="22"/>
              </w:rPr>
              <w:t xml:space="preserve">When evaluated early-season, 31 to 42 days after </w:t>
            </w:r>
            <w:r w:rsidR="001C687E">
              <w:rPr>
                <w:rFonts w:ascii="Arial" w:eastAsia="Calibri" w:hAnsi="Arial" w:cs="Arial"/>
                <w:szCs w:val="22"/>
              </w:rPr>
              <w:t xml:space="preserve">herbicide </w:t>
            </w:r>
            <w:r w:rsidR="00BF69C1" w:rsidRPr="00BF69C1">
              <w:rPr>
                <w:rFonts w:ascii="Arial" w:eastAsia="Calibri" w:hAnsi="Arial" w:cs="Arial"/>
                <w:szCs w:val="22"/>
              </w:rPr>
              <w:t xml:space="preserve">application (DAA), herbicide systems containing either atrazine or flumioxazin controlled henbit 97 to 100%.  In the one year where the evaluation was taken 19 DAA, henbit control with atrazine systems without flumioxazin was poor with control ranging from 47 to 57% while flumioxazin systems, with the exception of flumioxazin + </w:t>
            </w:r>
            <w:proofErr w:type="spellStart"/>
            <w:r w:rsidR="00BF69C1" w:rsidRPr="00BF69C1">
              <w:rPr>
                <w:rFonts w:ascii="Arial" w:eastAsia="Calibri" w:hAnsi="Arial" w:cs="Arial"/>
                <w:szCs w:val="22"/>
              </w:rPr>
              <w:t>thifensulfuron</w:t>
            </w:r>
            <w:proofErr w:type="spellEnd"/>
            <w:r w:rsidR="00BF69C1" w:rsidRPr="00BF69C1">
              <w:rPr>
                <w:rFonts w:ascii="Arial" w:eastAsia="Calibri" w:hAnsi="Arial" w:cs="Arial"/>
                <w:szCs w:val="22"/>
              </w:rPr>
              <w:t xml:space="preserve">-methyl + </w:t>
            </w:r>
            <w:proofErr w:type="spellStart"/>
            <w:r w:rsidR="00BF69C1" w:rsidRPr="00BF69C1">
              <w:rPr>
                <w:rFonts w:ascii="Arial" w:eastAsia="Calibri" w:hAnsi="Arial" w:cs="Arial"/>
                <w:szCs w:val="22"/>
              </w:rPr>
              <w:t>tribenuron</w:t>
            </w:r>
            <w:proofErr w:type="spellEnd"/>
            <w:r w:rsidR="00BF69C1" w:rsidRPr="00BF69C1">
              <w:rPr>
                <w:rFonts w:ascii="Arial" w:eastAsia="Calibri" w:hAnsi="Arial" w:cs="Arial"/>
                <w:szCs w:val="22"/>
              </w:rPr>
              <w:t xml:space="preserve">-methyl + glyphosate, provided at least 90% henbit control.  When rated 57 to 75 DAA, the combination of flumioxazin + </w:t>
            </w:r>
            <w:proofErr w:type="spellStart"/>
            <w:r w:rsidR="00BF69C1" w:rsidRPr="00BF69C1">
              <w:rPr>
                <w:rFonts w:ascii="Arial" w:eastAsia="Calibri" w:hAnsi="Arial" w:cs="Arial"/>
                <w:szCs w:val="22"/>
              </w:rPr>
              <w:t>pyrosulfone</w:t>
            </w:r>
            <w:proofErr w:type="spellEnd"/>
            <w:r w:rsidR="00BF69C1" w:rsidRPr="00BF69C1">
              <w:rPr>
                <w:rFonts w:ascii="Arial" w:eastAsia="Calibri" w:hAnsi="Arial" w:cs="Arial"/>
                <w:szCs w:val="22"/>
              </w:rPr>
              <w:t xml:space="preserve"> with or without atrazine provided 93 to 100% control.  </w:t>
            </w:r>
            <w:bookmarkStart w:id="0" w:name="_Hlk217024163"/>
            <w:proofErr w:type="spellStart"/>
            <w:r w:rsidR="00BF69C1" w:rsidRPr="00BF69C1">
              <w:rPr>
                <w:rFonts w:ascii="Arial" w:eastAsia="Calibri" w:hAnsi="Arial" w:cs="Arial"/>
                <w:szCs w:val="22"/>
              </w:rPr>
              <w:t>Rimsulfuron</w:t>
            </w:r>
            <w:proofErr w:type="spellEnd"/>
            <w:r w:rsidR="00BF69C1" w:rsidRPr="00BF69C1">
              <w:rPr>
                <w:rFonts w:ascii="Arial" w:eastAsia="Calibri" w:hAnsi="Arial" w:cs="Arial"/>
                <w:szCs w:val="22"/>
              </w:rPr>
              <w:t xml:space="preserve"> + </w:t>
            </w:r>
            <w:proofErr w:type="spellStart"/>
            <w:r w:rsidR="00BF69C1" w:rsidRPr="00BF69C1">
              <w:rPr>
                <w:rFonts w:ascii="Arial" w:eastAsia="Calibri" w:hAnsi="Arial" w:cs="Arial"/>
                <w:szCs w:val="22"/>
              </w:rPr>
              <w:t>thifensulfuron</w:t>
            </w:r>
            <w:proofErr w:type="spellEnd"/>
            <w:r w:rsidR="00BF69C1" w:rsidRPr="00BF69C1">
              <w:rPr>
                <w:rFonts w:ascii="Arial" w:eastAsia="Calibri" w:hAnsi="Arial" w:cs="Arial"/>
                <w:szCs w:val="22"/>
              </w:rPr>
              <w:t xml:space="preserve">-methyl </w:t>
            </w:r>
            <w:bookmarkEnd w:id="0"/>
            <w:r w:rsidR="00BF69C1" w:rsidRPr="00BF69C1">
              <w:rPr>
                <w:rFonts w:ascii="Arial" w:eastAsia="Calibri" w:hAnsi="Arial" w:cs="Arial"/>
                <w:szCs w:val="22"/>
              </w:rPr>
              <w:t xml:space="preserve">alone or in combination with atrazine and atrazine + flumioxazin controlled henbit 80 to 98% while </w:t>
            </w:r>
            <w:proofErr w:type="spellStart"/>
            <w:r w:rsidR="00BF69C1" w:rsidRPr="00BF69C1">
              <w:rPr>
                <w:rFonts w:ascii="Arial" w:eastAsia="Calibri" w:hAnsi="Arial" w:cs="Arial"/>
                <w:szCs w:val="22"/>
              </w:rPr>
              <w:t>rimsulfuron</w:t>
            </w:r>
            <w:proofErr w:type="spellEnd"/>
            <w:r w:rsidR="00BF69C1" w:rsidRPr="00BF69C1">
              <w:rPr>
                <w:rFonts w:ascii="Arial" w:eastAsia="Calibri" w:hAnsi="Arial" w:cs="Arial"/>
                <w:szCs w:val="22"/>
              </w:rPr>
              <w:t xml:space="preserve"> + </w:t>
            </w:r>
            <w:proofErr w:type="spellStart"/>
            <w:r w:rsidR="00BF69C1" w:rsidRPr="00BF69C1">
              <w:rPr>
                <w:rFonts w:ascii="Arial" w:eastAsia="Calibri" w:hAnsi="Arial" w:cs="Arial"/>
                <w:szCs w:val="22"/>
              </w:rPr>
              <w:t>thifensulfuron</w:t>
            </w:r>
            <w:proofErr w:type="spellEnd"/>
            <w:r w:rsidR="00BF69C1" w:rsidRPr="00BF69C1">
              <w:rPr>
                <w:rFonts w:ascii="Arial" w:eastAsia="Calibri" w:hAnsi="Arial" w:cs="Arial"/>
                <w:szCs w:val="22"/>
              </w:rPr>
              <w:t xml:space="preserve">-methyl + glyphosate provided 78 to 96% control. </w:t>
            </w:r>
          </w:p>
          <w:p w14:paraId="130CBA60" w14:textId="066D535A" w:rsidR="00505F06" w:rsidRPr="00BA1B01" w:rsidRDefault="00BA1B01" w:rsidP="00A34917">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34917" w:rsidRPr="00A34917">
              <w:rPr>
                <w:rFonts w:ascii="Arial" w:eastAsia="Calibri" w:hAnsi="Arial" w:cs="Arial"/>
                <w:szCs w:val="22"/>
              </w:rPr>
              <w:t>Several herbicide</w:t>
            </w:r>
            <w:r w:rsidR="00A34917">
              <w:rPr>
                <w:rFonts w:ascii="Arial" w:eastAsia="Calibri" w:hAnsi="Arial" w:cs="Arial"/>
                <w:szCs w:val="22"/>
              </w:rPr>
              <w:t xml:space="preserve"> programs</w:t>
            </w:r>
            <w:r w:rsidR="00A34917" w:rsidRPr="00A34917">
              <w:rPr>
                <w:rFonts w:ascii="Arial" w:eastAsia="Calibri" w:hAnsi="Arial" w:cs="Arial"/>
                <w:szCs w:val="22"/>
              </w:rPr>
              <w:t xml:space="preserve"> provided good to excellent henbit control and are options to reduce this winter weed issue.  Flumioxazin + </w:t>
            </w:r>
            <w:proofErr w:type="spellStart"/>
            <w:r w:rsidR="00A34917" w:rsidRPr="00A34917">
              <w:rPr>
                <w:rFonts w:ascii="Arial" w:eastAsia="Calibri" w:hAnsi="Arial" w:cs="Arial"/>
                <w:szCs w:val="22"/>
              </w:rPr>
              <w:t>pyroxasulfone</w:t>
            </w:r>
            <w:proofErr w:type="spellEnd"/>
            <w:r w:rsidR="00A34917" w:rsidRPr="00A34917">
              <w:rPr>
                <w:rFonts w:ascii="Arial" w:eastAsia="Calibri" w:hAnsi="Arial" w:cs="Arial"/>
                <w:szCs w:val="22"/>
              </w:rPr>
              <w:t xml:space="preserve"> alone or in combination with atrazine provided the most consistent control.  These combinations not only provide ‘knock-down’ of the henbit but also can provide residual control.  </w:t>
            </w:r>
          </w:p>
        </w:tc>
      </w:tr>
    </w:tbl>
    <w:p w14:paraId="180CC750" w14:textId="77777777" w:rsidR="00636EB2" w:rsidRDefault="00636EB2" w:rsidP="00441B6F">
      <w:pPr>
        <w:pStyle w:val="Body"/>
        <w:spacing w:after="0"/>
        <w:rPr>
          <w:rFonts w:ascii="Arial" w:hAnsi="Arial" w:cs="Arial"/>
          <w:i/>
        </w:rPr>
      </w:pPr>
    </w:p>
    <w:p w14:paraId="3D46FDDD" w14:textId="162ACE9C" w:rsidR="00A24E7E" w:rsidRDefault="00A24E7E" w:rsidP="00441B6F">
      <w:pPr>
        <w:pStyle w:val="Body"/>
        <w:spacing w:after="0"/>
        <w:rPr>
          <w:rFonts w:ascii="Arial" w:hAnsi="Arial" w:cs="Arial"/>
          <w:i/>
        </w:rPr>
      </w:pPr>
      <w:r>
        <w:rPr>
          <w:rFonts w:ascii="Arial" w:hAnsi="Arial" w:cs="Arial"/>
          <w:i/>
        </w:rPr>
        <w:t>Keywords:</w:t>
      </w:r>
      <w:r w:rsidR="009C3DF5" w:rsidRPr="009C3DF5">
        <w:rPr>
          <w:rFonts w:ascii="Times New Roman" w:eastAsiaTheme="minorHAnsi" w:hAnsi="Times New Roman"/>
          <w:bCs/>
          <w:kern w:val="2"/>
          <w:sz w:val="24"/>
          <w:szCs w:val="24"/>
          <w14:ligatures w14:val="standardContextual"/>
        </w:rPr>
        <w:t xml:space="preserve"> </w:t>
      </w:r>
      <w:r w:rsidR="009C3DF5" w:rsidRPr="009C3DF5">
        <w:rPr>
          <w:rFonts w:ascii="Arial" w:hAnsi="Arial" w:cs="Arial"/>
          <w:bCs/>
          <w:i/>
        </w:rPr>
        <w:t>Fall application,</w:t>
      </w:r>
      <w:r w:rsidR="009C3DF5" w:rsidRPr="009C3DF5">
        <w:rPr>
          <w:rFonts w:ascii="Arial" w:hAnsi="Arial" w:cs="Arial"/>
          <w:b/>
          <w:i/>
        </w:rPr>
        <w:t xml:space="preserve"> </w:t>
      </w:r>
      <w:r w:rsidR="009C3DF5" w:rsidRPr="009C3DF5">
        <w:rPr>
          <w:rFonts w:ascii="Arial" w:hAnsi="Arial" w:cs="Arial"/>
          <w:bCs/>
          <w:i/>
        </w:rPr>
        <w:t>fallow,</w:t>
      </w:r>
      <w:r w:rsidR="009C3DF5" w:rsidRPr="009C3DF5">
        <w:rPr>
          <w:rFonts w:ascii="Arial" w:hAnsi="Arial" w:cs="Arial"/>
          <w:b/>
          <w:i/>
        </w:rPr>
        <w:t xml:space="preserve"> </w:t>
      </w:r>
      <w:r w:rsidR="009C3DF5" w:rsidRPr="009C3DF5">
        <w:rPr>
          <w:rFonts w:ascii="Arial" w:hAnsi="Arial" w:cs="Arial"/>
          <w:bCs/>
          <w:i/>
        </w:rPr>
        <w:t>herbicide systems, winter application.</w:t>
      </w:r>
    </w:p>
    <w:p w14:paraId="6785CACB" w14:textId="77777777" w:rsidR="00790ADA" w:rsidRDefault="00790ADA" w:rsidP="00441B6F">
      <w:pPr>
        <w:pStyle w:val="Body"/>
        <w:spacing w:after="0"/>
        <w:rPr>
          <w:rFonts w:ascii="Arial" w:hAnsi="Arial" w:cs="Arial"/>
          <w:i/>
        </w:rPr>
      </w:pPr>
    </w:p>
    <w:p w14:paraId="7EFA45DC" w14:textId="77777777" w:rsidR="0024282C" w:rsidRDefault="0024282C" w:rsidP="00441B6F">
      <w:pPr>
        <w:pStyle w:val="Body"/>
        <w:spacing w:after="0"/>
        <w:rPr>
          <w:rFonts w:ascii="Arial" w:hAnsi="Arial" w:cs="Arial"/>
          <w:i/>
          <w:sz w:val="18"/>
        </w:rPr>
      </w:pPr>
    </w:p>
    <w:p w14:paraId="6256FD82" w14:textId="77777777" w:rsidR="00505F06" w:rsidRPr="00A24E7E" w:rsidRDefault="00505F06" w:rsidP="00441B6F">
      <w:pPr>
        <w:pStyle w:val="Body"/>
        <w:spacing w:after="0"/>
        <w:rPr>
          <w:rFonts w:ascii="Arial" w:hAnsi="Arial" w:cs="Arial"/>
          <w:i/>
        </w:rPr>
      </w:pPr>
    </w:p>
    <w:p w14:paraId="3E485658" w14:textId="43BA3F8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2539F1" w14:textId="77777777" w:rsidR="00790ADA" w:rsidRPr="00FB3A86" w:rsidRDefault="00790ADA" w:rsidP="00441B6F">
      <w:pPr>
        <w:pStyle w:val="AbstHead"/>
        <w:spacing w:after="0"/>
        <w:jc w:val="both"/>
        <w:rPr>
          <w:rFonts w:ascii="Arial" w:hAnsi="Arial" w:cs="Arial"/>
        </w:rPr>
      </w:pPr>
    </w:p>
    <w:p w14:paraId="148C7536" w14:textId="079FA3AD" w:rsidR="002A4755" w:rsidRPr="002A4755" w:rsidRDefault="002A4755" w:rsidP="002A4755">
      <w:pPr>
        <w:pStyle w:val="Body"/>
        <w:spacing w:after="0"/>
        <w:rPr>
          <w:rFonts w:ascii="Arial" w:hAnsi="Arial" w:cs="Arial"/>
        </w:rPr>
      </w:pPr>
      <w:r w:rsidRPr="002A4755">
        <w:rPr>
          <w:rFonts w:ascii="Arial" w:hAnsi="Arial" w:cs="Arial"/>
        </w:rPr>
        <w:t>Winter annual weed infestations in fields where corn (</w:t>
      </w:r>
      <w:r w:rsidRPr="002A4755">
        <w:rPr>
          <w:rFonts w:ascii="Arial" w:hAnsi="Arial" w:cs="Arial"/>
          <w:i/>
          <w:iCs/>
        </w:rPr>
        <w:t>Zea mays</w:t>
      </w:r>
      <w:r w:rsidRPr="002A4755">
        <w:rPr>
          <w:rFonts w:ascii="Arial" w:hAnsi="Arial" w:cs="Arial"/>
        </w:rPr>
        <w:t xml:space="preserve"> L.), cotton (</w:t>
      </w:r>
      <w:r w:rsidRPr="002A4755">
        <w:rPr>
          <w:rFonts w:ascii="Arial" w:hAnsi="Arial" w:cs="Arial"/>
          <w:i/>
          <w:iCs/>
        </w:rPr>
        <w:t>Gossypium</w:t>
      </w:r>
      <w:r w:rsidR="00B40104">
        <w:rPr>
          <w:rFonts w:ascii="Arial" w:hAnsi="Arial" w:cs="Arial"/>
          <w:i/>
          <w:iCs/>
        </w:rPr>
        <w:t xml:space="preserve"> </w:t>
      </w:r>
      <w:r w:rsidRPr="002A4755">
        <w:rPr>
          <w:rFonts w:ascii="Arial" w:hAnsi="Arial" w:cs="Arial"/>
          <w:i/>
          <w:iCs/>
        </w:rPr>
        <w:t>hirsutum</w:t>
      </w:r>
      <w:r w:rsidRPr="002A4755">
        <w:rPr>
          <w:rFonts w:ascii="Arial" w:hAnsi="Arial" w:cs="Arial"/>
        </w:rPr>
        <w:t xml:space="preserve"> L.), or soybean [(</w:t>
      </w:r>
      <w:r w:rsidRPr="002A4755">
        <w:rPr>
          <w:rFonts w:ascii="Arial" w:hAnsi="Arial" w:cs="Arial"/>
          <w:i/>
          <w:iCs/>
        </w:rPr>
        <w:t>Glycine max</w:t>
      </w:r>
      <w:r w:rsidRPr="002A4755">
        <w:rPr>
          <w:rFonts w:ascii="Arial" w:hAnsi="Arial" w:cs="Arial"/>
        </w:rPr>
        <w:t xml:space="preserve"> (L.) </w:t>
      </w:r>
      <w:proofErr w:type="spellStart"/>
      <w:r w:rsidRPr="002A4755">
        <w:rPr>
          <w:rFonts w:ascii="Arial" w:hAnsi="Arial" w:cs="Arial"/>
        </w:rPr>
        <w:t>Merr</w:t>
      </w:r>
      <w:proofErr w:type="spellEnd"/>
      <w:r w:rsidRPr="002A4755">
        <w:rPr>
          <w:rFonts w:ascii="Arial" w:hAnsi="Arial" w:cs="Arial"/>
        </w:rPr>
        <w:t>.] will be planted in the spring can be</w:t>
      </w:r>
      <w:r w:rsidR="00B40104">
        <w:rPr>
          <w:rFonts w:ascii="Arial" w:hAnsi="Arial" w:cs="Arial"/>
        </w:rPr>
        <w:t xml:space="preserve"> </w:t>
      </w:r>
      <w:r w:rsidRPr="002A4755">
        <w:rPr>
          <w:rFonts w:ascii="Arial" w:hAnsi="Arial" w:cs="Arial"/>
        </w:rPr>
        <w:t xml:space="preserve">troublesome for producers and compete for nutrients and water resources during the establishment of the summer crop </w:t>
      </w:r>
      <w:r w:rsidR="00C86B98">
        <w:rPr>
          <w:rFonts w:ascii="Arial" w:hAnsi="Arial" w:cs="Arial"/>
        </w:rPr>
        <w:t>[1]</w:t>
      </w:r>
      <w:r w:rsidRPr="002A4755">
        <w:rPr>
          <w:rFonts w:ascii="Arial" w:hAnsi="Arial" w:cs="Arial"/>
        </w:rPr>
        <w:t xml:space="preserve">.  They offer the benefit of soil cover for erosion control, but in addition to being a host for insect pests, winter annual weeds can delay soil warming in the spring, and interfere with planting or spring tillage operations </w:t>
      </w:r>
      <w:bookmarkStart w:id="1" w:name="_Hlk217024918"/>
      <w:r w:rsidR="00C86B98">
        <w:rPr>
          <w:rFonts w:ascii="Arial" w:hAnsi="Arial" w:cs="Arial"/>
        </w:rPr>
        <w:t>[2,3]</w:t>
      </w:r>
      <w:bookmarkEnd w:id="1"/>
      <w:r w:rsidRPr="002A4755">
        <w:rPr>
          <w:rFonts w:ascii="Arial" w:hAnsi="Arial" w:cs="Arial"/>
        </w:rPr>
        <w:t xml:space="preserve">. Fall herbicide applications to control winter weeds allow soils to warm more rapidly in the spring by reducing vegetative cover.  Lee and Witt </w:t>
      </w:r>
      <w:r w:rsidR="00B9693E">
        <w:rPr>
          <w:rFonts w:ascii="Arial" w:hAnsi="Arial" w:cs="Arial"/>
        </w:rPr>
        <w:t>[4]</w:t>
      </w:r>
      <w:r w:rsidRPr="002A4755">
        <w:rPr>
          <w:rFonts w:ascii="Arial" w:hAnsi="Arial" w:cs="Arial"/>
        </w:rPr>
        <w:t xml:space="preserve"> reported warmer surface soil temperatures in plots where henbit was controlled by atrazine or simazine. </w:t>
      </w:r>
    </w:p>
    <w:p w14:paraId="2412FE53" w14:textId="77777777" w:rsidR="00790ADA" w:rsidRDefault="00790ADA" w:rsidP="00441B6F">
      <w:pPr>
        <w:pStyle w:val="Body"/>
        <w:spacing w:after="0"/>
        <w:rPr>
          <w:rFonts w:ascii="Arial" w:hAnsi="Arial" w:cs="Arial"/>
        </w:rPr>
      </w:pPr>
    </w:p>
    <w:p w14:paraId="57FB648A" w14:textId="5F825ED5" w:rsidR="00B9693E" w:rsidRPr="00B9693E" w:rsidRDefault="00B9693E" w:rsidP="00B9693E">
      <w:pPr>
        <w:pStyle w:val="Body"/>
        <w:spacing w:after="0"/>
        <w:rPr>
          <w:rFonts w:ascii="Arial" w:hAnsi="Arial" w:cs="Arial"/>
        </w:rPr>
      </w:pPr>
      <w:r w:rsidRPr="00B9693E">
        <w:rPr>
          <w:rFonts w:ascii="Arial" w:hAnsi="Arial" w:cs="Arial"/>
        </w:rPr>
        <w:t xml:space="preserve">The application of efficacious herbicides in late fall/winter can reduce producer workload in spring and aid in timely planting of the crop </w:t>
      </w:r>
      <w:r>
        <w:rPr>
          <w:rFonts w:ascii="Arial" w:hAnsi="Arial" w:cs="Arial"/>
        </w:rPr>
        <w:t>[5,6]</w:t>
      </w:r>
      <w:r w:rsidRPr="00B9693E">
        <w:rPr>
          <w:rFonts w:ascii="Arial" w:hAnsi="Arial" w:cs="Arial"/>
        </w:rPr>
        <w:t xml:space="preserve">. </w:t>
      </w:r>
      <w:r>
        <w:rPr>
          <w:rFonts w:ascii="Arial" w:hAnsi="Arial" w:cs="Arial"/>
        </w:rPr>
        <w:t xml:space="preserve"> </w:t>
      </w:r>
      <w:r w:rsidRPr="00B9693E">
        <w:rPr>
          <w:rFonts w:ascii="Arial" w:hAnsi="Arial" w:cs="Arial"/>
        </w:rPr>
        <w:t xml:space="preserve">In addition, fall herbicide applications facilitate </w:t>
      </w:r>
      <w:r>
        <w:rPr>
          <w:rFonts w:ascii="Arial" w:hAnsi="Arial" w:cs="Arial"/>
        </w:rPr>
        <w:t xml:space="preserve">spring </w:t>
      </w:r>
      <w:r w:rsidRPr="00B9693E">
        <w:rPr>
          <w:rFonts w:ascii="Arial" w:hAnsi="Arial" w:cs="Arial"/>
        </w:rPr>
        <w:t xml:space="preserve">planting in no-till </w:t>
      </w:r>
      <w:r>
        <w:rPr>
          <w:rFonts w:ascii="Arial" w:hAnsi="Arial" w:cs="Arial"/>
        </w:rPr>
        <w:t xml:space="preserve">fields </w:t>
      </w:r>
      <w:r w:rsidRPr="00B9693E">
        <w:rPr>
          <w:rFonts w:ascii="Arial" w:hAnsi="Arial" w:cs="Arial"/>
        </w:rPr>
        <w:t xml:space="preserve">by reducing winter annual weed biomass. When planting corn in the spring, uncontrolled henbit may interfere with crop planting, growth, and development via direct competition or through harboring of other pests </w:t>
      </w:r>
      <w:r>
        <w:rPr>
          <w:rFonts w:ascii="Arial" w:hAnsi="Arial" w:cs="Arial"/>
        </w:rPr>
        <w:t>[2]</w:t>
      </w:r>
      <w:r w:rsidRPr="00B9693E">
        <w:rPr>
          <w:rFonts w:ascii="Arial" w:hAnsi="Arial" w:cs="Arial"/>
        </w:rPr>
        <w:t xml:space="preserve">. Additionally, reduced vegetative cover following </w:t>
      </w:r>
      <w:r w:rsidRPr="00B9693E">
        <w:rPr>
          <w:rFonts w:ascii="Arial" w:hAnsi="Arial" w:cs="Arial"/>
        </w:rPr>
        <w:lastRenderedPageBreak/>
        <w:t xml:space="preserve">fall herbicide applications can result in increased soil temperatures in the spring which will decrease the time from plant to corn emergence </w:t>
      </w:r>
      <w:r>
        <w:rPr>
          <w:rFonts w:ascii="Arial" w:hAnsi="Arial" w:cs="Arial"/>
        </w:rPr>
        <w:t>[7]</w:t>
      </w:r>
      <w:r w:rsidRPr="00B9693E">
        <w:rPr>
          <w:rFonts w:ascii="Arial" w:hAnsi="Arial" w:cs="Arial"/>
        </w:rPr>
        <w:t xml:space="preserve"> and reduce the competition with winter annual weeds for nutrients and water resources </w:t>
      </w:r>
      <w:r>
        <w:rPr>
          <w:rFonts w:ascii="Arial" w:hAnsi="Arial" w:cs="Arial"/>
        </w:rPr>
        <w:t>[</w:t>
      </w:r>
      <w:r w:rsidR="001B3DF7">
        <w:rPr>
          <w:rFonts w:ascii="Arial" w:hAnsi="Arial" w:cs="Arial"/>
        </w:rPr>
        <w:t>7,</w:t>
      </w:r>
      <w:r>
        <w:rPr>
          <w:rFonts w:ascii="Arial" w:hAnsi="Arial" w:cs="Arial"/>
        </w:rPr>
        <w:t>8]</w:t>
      </w:r>
      <w:r w:rsidRPr="00B9693E">
        <w:rPr>
          <w:rFonts w:ascii="Arial" w:hAnsi="Arial" w:cs="Arial"/>
        </w:rPr>
        <w:t xml:space="preserve">. </w:t>
      </w:r>
      <w:r w:rsidR="004D39DC">
        <w:rPr>
          <w:rFonts w:ascii="Arial" w:hAnsi="Arial" w:cs="Arial"/>
        </w:rPr>
        <w:t xml:space="preserve">Since there is limited information on the control </w:t>
      </w:r>
      <w:r w:rsidR="00B40104">
        <w:rPr>
          <w:rFonts w:ascii="Arial" w:hAnsi="Arial" w:cs="Arial"/>
        </w:rPr>
        <w:t xml:space="preserve">of </w:t>
      </w:r>
      <w:r w:rsidR="004D39DC">
        <w:rPr>
          <w:rFonts w:ascii="Arial" w:hAnsi="Arial" w:cs="Arial"/>
        </w:rPr>
        <w:t>henbit under fallow situations, this study was undertaken to identify herbicide programs which would provide season-long control</w:t>
      </w:r>
      <w:r w:rsidR="000B69BF">
        <w:rPr>
          <w:rFonts w:ascii="Arial" w:hAnsi="Arial" w:cs="Arial"/>
        </w:rPr>
        <w:t xml:space="preserve"> of this weed</w:t>
      </w:r>
      <w:r w:rsidR="004D39DC">
        <w:rPr>
          <w:rFonts w:ascii="Arial" w:hAnsi="Arial" w:cs="Arial"/>
        </w:rPr>
        <w:t xml:space="preserve">. </w:t>
      </w:r>
    </w:p>
    <w:p w14:paraId="7DF67C72" w14:textId="77777777" w:rsidR="00B9693E" w:rsidRPr="00FB3A86" w:rsidRDefault="00B9693E" w:rsidP="00441B6F">
      <w:pPr>
        <w:pStyle w:val="Body"/>
        <w:spacing w:after="0"/>
        <w:rPr>
          <w:rFonts w:ascii="Arial" w:hAnsi="Arial" w:cs="Arial"/>
        </w:rPr>
      </w:pPr>
    </w:p>
    <w:p w14:paraId="07B36A28" w14:textId="3648C66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8FC3642" w14:textId="77777777" w:rsidR="00790ADA" w:rsidRPr="00FB3A86" w:rsidRDefault="00790ADA" w:rsidP="00441B6F">
      <w:pPr>
        <w:pStyle w:val="AbstHead"/>
        <w:spacing w:after="0"/>
        <w:jc w:val="both"/>
        <w:rPr>
          <w:rFonts w:ascii="Arial" w:hAnsi="Arial" w:cs="Arial"/>
        </w:rPr>
      </w:pPr>
    </w:p>
    <w:p w14:paraId="45D575E9" w14:textId="77777777" w:rsidR="001B3DF7" w:rsidRPr="001B3DF7" w:rsidRDefault="001B3DF7" w:rsidP="001B3DF7">
      <w:pPr>
        <w:pStyle w:val="Body"/>
        <w:spacing w:after="0"/>
        <w:rPr>
          <w:rFonts w:ascii="Arial" w:hAnsi="Arial" w:cs="Arial"/>
          <w:b/>
          <w:sz w:val="22"/>
          <w:szCs w:val="22"/>
        </w:rPr>
      </w:pPr>
      <w:r w:rsidRPr="001B3DF7">
        <w:rPr>
          <w:rFonts w:ascii="Arial" w:hAnsi="Arial" w:cs="Arial"/>
          <w:b/>
          <w:sz w:val="22"/>
          <w:szCs w:val="22"/>
        </w:rPr>
        <w:t>2.1 Field studies</w:t>
      </w:r>
    </w:p>
    <w:tbl>
      <w:tblPr>
        <w:tblStyle w:val="TableGrid"/>
        <w:tblpPr w:leftFromText="180" w:rightFromText="180" w:vertAnchor="page" w:horzAnchor="margin" w:tblpXSpec="center" w:tblpY="5897"/>
        <w:tblW w:w="8603" w:type="dxa"/>
        <w:tblLayout w:type="fixed"/>
        <w:tblLook w:val="04A0" w:firstRow="1" w:lastRow="0" w:firstColumn="1" w:lastColumn="0" w:noHBand="0" w:noVBand="1"/>
      </w:tblPr>
      <w:tblGrid>
        <w:gridCol w:w="2794"/>
        <w:gridCol w:w="1970"/>
        <w:gridCol w:w="1906"/>
        <w:gridCol w:w="1933"/>
      </w:tblGrid>
      <w:tr w:rsidR="001D11F3" w:rsidRPr="00091B63" w14:paraId="004E37A5" w14:textId="77777777" w:rsidTr="001D11F3">
        <w:trPr>
          <w:trHeight w:val="308"/>
        </w:trPr>
        <w:tc>
          <w:tcPr>
            <w:tcW w:w="8603" w:type="dxa"/>
            <w:gridSpan w:val="4"/>
            <w:tcBorders>
              <w:right w:val="single" w:sz="6" w:space="0" w:color="auto"/>
            </w:tcBorders>
          </w:tcPr>
          <w:p w14:paraId="0860B00A"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Table 1. Variables associated with winter weed control studies in south-central Texas.</w:t>
            </w:r>
          </w:p>
        </w:tc>
      </w:tr>
      <w:tr w:rsidR="001D11F3" w:rsidRPr="00091B63" w14:paraId="32C60D4D" w14:textId="77777777" w:rsidTr="001D11F3">
        <w:trPr>
          <w:trHeight w:val="297"/>
        </w:trPr>
        <w:tc>
          <w:tcPr>
            <w:tcW w:w="2794" w:type="dxa"/>
          </w:tcPr>
          <w:p w14:paraId="53B95768"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Variable</w:t>
            </w:r>
          </w:p>
        </w:tc>
        <w:tc>
          <w:tcPr>
            <w:tcW w:w="1970" w:type="dxa"/>
          </w:tcPr>
          <w:p w14:paraId="085B1FE8"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2015</w:t>
            </w:r>
          </w:p>
        </w:tc>
        <w:tc>
          <w:tcPr>
            <w:tcW w:w="1906" w:type="dxa"/>
          </w:tcPr>
          <w:p w14:paraId="2AE3B118"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2016</w:t>
            </w:r>
          </w:p>
        </w:tc>
        <w:tc>
          <w:tcPr>
            <w:tcW w:w="1933" w:type="dxa"/>
            <w:tcBorders>
              <w:top w:val="single" w:sz="6" w:space="0" w:color="auto"/>
              <w:right w:val="single" w:sz="6" w:space="0" w:color="auto"/>
            </w:tcBorders>
          </w:tcPr>
          <w:p w14:paraId="7C0DA6D4" w14:textId="77777777" w:rsidR="001D11F3" w:rsidRPr="00091C12" w:rsidRDefault="001D11F3" w:rsidP="001D11F3">
            <w:pPr>
              <w:tabs>
                <w:tab w:val="left" w:pos="276"/>
                <w:tab w:val="center" w:pos="1488"/>
              </w:tabs>
              <w:contextualSpacing/>
              <w:rPr>
                <w:rFonts w:ascii="Arial" w:hAnsi="Arial" w:cs="Arial"/>
                <w:sz w:val="20"/>
                <w:szCs w:val="20"/>
              </w:rPr>
            </w:pPr>
            <w:r w:rsidRPr="00091C12">
              <w:rPr>
                <w:rFonts w:ascii="Arial" w:hAnsi="Arial" w:cs="Arial"/>
                <w:sz w:val="20"/>
                <w:szCs w:val="20"/>
              </w:rPr>
              <w:tab/>
              <w:t xml:space="preserve">    2017</w:t>
            </w:r>
          </w:p>
        </w:tc>
      </w:tr>
      <w:tr w:rsidR="001D11F3" w:rsidRPr="00091B63" w14:paraId="21E70E06" w14:textId="77777777" w:rsidTr="001D11F3">
        <w:trPr>
          <w:trHeight w:val="297"/>
        </w:trPr>
        <w:tc>
          <w:tcPr>
            <w:tcW w:w="2794" w:type="dxa"/>
          </w:tcPr>
          <w:p w14:paraId="72F9073B"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Location</w:t>
            </w:r>
          </w:p>
        </w:tc>
        <w:tc>
          <w:tcPr>
            <w:tcW w:w="1970" w:type="dxa"/>
          </w:tcPr>
          <w:p w14:paraId="56974E7B"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Ganado</w:t>
            </w:r>
          </w:p>
        </w:tc>
        <w:tc>
          <w:tcPr>
            <w:tcW w:w="1906" w:type="dxa"/>
          </w:tcPr>
          <w:p w14:paraId="05AA9BD4"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Ganado</w:t>
            </w:r>
          </w:p>
        </w:tc>
        <w:tc>
          <w:tcPr>
            <w:tcW w:w="1933" w:type="dxa"/>
            <w:tcBorders>
              <w:right w:val="single" w:sz="6" w:space="0" w:color="auto"/>
            </w:tcBorders>
          </w:tcPr>
          <w:p w14:paraId="7D28D101"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Ganado</w:t>
            </w:r>
          </w:p>
        </w:tc>
      </w:tr>
      <w:tr w:rsidR="001D11F3" w:rsidRPr="00091B63" w14:paraId="04A173D6" w14:textId="77777777" w:rsidTr="001D11F3">
        <w:trPr>
          <w:trHeight w:val="297"/>
        </w:trPr>
        <w:tc>
          <w:tcPr>
            <w:tcW w:w="2794" w:type="dxa"/>
          </w:tcPr>
          <w:p w14:paraId="3811BCFE" w14:textId="77777777" w:rsidR="001D11F3" w:rsidRPr="00091C12" w:rsidRDefault="001D11F3" w:rsidP="001D11F3">
            <w:pPr>
              <w:contextualSpacing/>
              <w:rPr>
                <w:rFonts w:ascii="Arial" w:hAnsi="Arial" w:cs="Arial"/>
                <w:sz w:val="20"/>
                <w:szCs w:val="20"/>
              </w:rPr>
            </w:pPr>
          </w:p>
          <w:p w14:paraId="1B8C3AB0"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Coordinates</w:t>
            </w:r>
          </w:p>
        </w:tc>
        <w:tc>
          <w:tcPr>
            <w:tcW w:w="1970" w:type="dxa"/>
          </w:tcPr>
          <w:p w14:paraId="6DB42051"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29.0438</w:t>
            </w:r>
            <w:r w:rsidRPr="00091C12">
              <w:rPr>
                <w:rFonts w:ascii="Arial" w:hAnsi="Arial" w:cs="Arial"/>
                <w:sz w:val="20"/>
                <w:szCs w:val="20"/>
                <w:vertAlign w:val="superscript"/>
              </w:rPr>
              <w:t>o</w:t>
            </w:r>
            <w:r w:rsidRPr="00091C12">
              <w:rPr>
                <w:rFonts w:ascii="Arial" w:hAnsi="Arial" w:cs="Arial"/>
                <w:sz w:val="20"/>
                <w:szCs w:val="20"/>
              </w:rPr>
              <w:t xml:space="preserve"> N</w:t>
            </w:r>
          </w:p>
          <w:p w14:paraId="3248ADFA"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-96.4964</w:t>
            </w:r>
            <w:r w:rsidRPr="00091C12">
              <w:rPr>
                <w:rFonts w:ascii="Arial" w:hAnsi="Arial" w:cs="Arial"/>
                <w:sz w:val="20"/>
                <w:szCs w:val="20"/>
                <w:vertAlign w:val="superscript"/>
              </w:rPr>
              <w:t xml:space="preserve">o </w:t>
            </w:r>
            <w:r w:rsidRPr="00091C12">
              <w:rPr>
                <w:rFonts w:ascii="Arial" w:hAnsi="Arial" w:cs="Arial"/>
                <w:sz w:val="20"/>
                <w:szCs w:val="20"/>
              </w:rPr>
              <w:t>W</w:t>
            </w:r>
          </w:p>
        </w:tc>
        <w:tc>
          <w:tcPr>
            <w:tcW w:w="1906" w:type="dxa"/>
          </w:tcPr>
          <w:p w14:paraId="29470EB0"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29.0575</w:t>
            </w:r>
            <w:r w:rsidRPr="00091C12">
              <w:rPr>
                <w:rFonts w:ascii="Arial" w:hAnsi="Arial" w:cs="Arial"/>
                <w:sz w:val="20"/>
                <w:szCs w:val="20"/>
                <w:vertAlign w:val="superscript"/>
              </w:rPr>
              <w:t>o</w:t>
            </w:r>
            <w:r w:rsidRPr="00091C12">
              <w:rPr>
                <w:rFonts w:ascii="Arial" w:hAnsi="Arial" w:cs="Arial"/>
                <w:sz w:val="20"/>
                <w:szCs w:val="20"/>
              </w:rPr>
              <w:t xml:space="preserve"> N</w:t>
            </w:r>
          </w:p>
          <w:p w14:paraId="260B38A0"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-96.4964</w:t>
            </w:r>
            <w:r w:rsidRPr="00091C12">
              <w:rPr>
                <w:rFonts w:ascii="Arial" w:hAnsi="Arial" w:cs="Arial"/>
                <w:sz w:val="20"/>
                <w:szCs w:val="20"/>
                <w:vertAlign w:val="superscript"/>
              </w:rPr>
              <w:t>o</w:t>
            </w:r>
            <w:r w:rsidRPr="00091C12">
              <w:rPr>
                <w:rFonts w:ascii="Arial" w:hAnsi="Arial" w:cs="Arial"/>
                <w:sz w:val="20"/>
                <w:szCs w:val="20"/>
              </w:rPr>
              <w:t xml:space="preserve"> W</w:t>
            </w:r>
          </w:p>
        </w:tc>
        <w:tc>
          <w:tcPr>
            <w:tcW w:w="1933" w:type="dxa"/>
          </w:tcPr>
          <w:p w14:paraId="17881EEE"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29.0595</w:t>
            </w:r>
            <w:r w:rsidRPr="00091C12">
              <w:rPr>
                <w:rFonts w:ascii="Arial" w:hAnsi="Arial" w:cs="Arial"/>
                <w:sz w:val="20"/>
                <w:szCs w:val="20"/>
                <w:vertAlign w:val="superscript"/>
              </w:rPr>
              <w:t>o</w:t>
            </w:r>
            <w:r w:rsidRPr="00091C12">
              <w:rPr>
                <w:rFonts w:ascii="Arial" w:hAnsi="Arial" w:cs="Arial"/>
                <w:sz w:val="20"/>
                <w:szCs w:val="20"/>
              </w:rPr>
              <w:t xml:space="preserve"> N</w:t>
            </w:r>
          </w:p>
          <w:p w14:paraId="5C174AE7"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-96.4847</w:t>
            </w:r>
            <w:r w:rsidRPr="00091C12">
              <w:rPr>
                <w:rFonts w:ascii="Arial" w:hAnsi="Arial" w:cs="Arial"/>
                <w:sz w:val="20"/>
                <w:szCs w:val="20"/>
                <w:vertAlign w:val="superscript"/>
              </w:rPr>
              <w:t>o</w:t>
            </w:r>
            <w:r w:rsidRPr="00091C12">
              <w:rPr>
                <w:rFonts w:ascii="Arial" w:hAnsi="Arial" w:cs="Arial"/>
                <w:sz w:val="20"/>
                <w:szCs w:val="20"/>
              </w:rPr>
              <w:t xml:space="preserve"> W</w:t>
            </w:r>
          </w:p>
        </w:tc>
      </w:tr>
      <w:tr w:rsidR="001D11F3" w:rsidRPr="00091B63" w14:paraId="5385790C" w14:textId="77777777" w:rsidTr="001D11F3">
        <w:trPr>
          <w:trHeight w:val="185"/>
        </w:trPr>
        <w:tc>
          <w:tcPr>
            <w:tcW w:w="2794" w:type="dxa"/>
          </w:tcPr>
          <w:p w14:paraId="40E58C25"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Soils</w:t>
            </w:r>
          </w:p>
        </w:tc>
        <w:tc>
          <w:tcPr>
            <w:tcW w:w="1970" w:type="dxa"/>
          </w:tcPr>
          <w:p w14:paraId="413E3225" w14:textId="77777777" w:rsidR="001D11F3" w:rsidRPr="00091C12" w:rsidRDefault="001D11F3" w:rsidP="001D11F3">
            <w:pPr>
              <w:contextualSpacing/>
              <w:jc w:val="center"/>
              <w:rPr>
                <w:rFonts w:ascii="Arial" w:hAnsi="Arial" w:cs="Arial"/>
                <w:sz w:val="20"/>
                <w:szCs w:val="20"/>
              </w:rPr>
            </w:pPr>
          </w:p>
        </w:tc>
        <w:tc>
          <w:tcPr>
            <w:tcW w:w="1906" w:type="dxa"/>
          </w:tcPr>
          <w:p w14:paraId="0A1692F5" w14:textId="77777777" w:rsidR="001D11F3" w:rsidRPr="00091C12" w:rsidRDefault="001D11F3" w:rsidP="001D11F3">
            <w:pPr>
              <w:contextualSpacing/>
              <w:jc w:val="center"/>
              <w:rPr>
                <w:rFonts w:ascii="Arial" w:hAnsi="Arial" w:cs="Arial"/>
                <w:sz w:val="20"/>
                <w:szCs w:val="20"/>
              </w:rPr>
            </w:pPr>
          </w:p>
        </w:tc>
        <w:tc>
          <w:tcPr>
            <w:tcW w:w="1933" w:type="dxa"/>
          </w:tcPr>
          <w:p w14:paraId="1F10687E" w14:textId="77777777" w:rsidR="001D11F3" w:rsidRPr="00091C12" w:rsidRDefault="001D11F3" w:rsidP="001D11F3">
            <w:pPr>
              <w:contextualSpacing/>
              <w:jc w:val="center"/>
              <w:rPr>
                <w:rFonts w:ascii="Arial" w:hAnsi="Arial" w:cs="Arial"/>
                <w:sz w:val="20"/>
                <w:szCs w:val="20"/>
              </w:rPr>
            </w:pPr>
          </w:p>
        </w:tc>
      </w:tr>
      <w:tr w:rsidR="001D11F3" w:rsidRPr="00091B63" w14:paraId="2E01568C" w14:textId="77777777" w:rsidTr="001D11F3">
        <w:trPr>
          <w:trHeight w:val="185"/>
        </w:trPr>
        <w:tc>
          <w:tcPr>
            <w:tcW w:w="2794" w:type="dxa"/>
          </w:tcPr>
          <w:p w14:paraId="4281A1F1"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Type</w:t>
            </w:r>
          </w:p>
        </w:tc>
        <w:tc>
          <w:tcPr>
            <w:tcW w:w="1970" w:type="dxa"/>
          </w:tcPr>
          <w:p w14:paraId="022E7990" w14:textId="77777777" w:rsidR="001D11F3" w:rsidRPr="00091C12" w:rsidRDefault="001D11F3" w:rsidP="001D11F3">
            <w:pPr>
              <w:contextualSpacing/>
              <w:jc w:val="center"/>
              <w:rPr>
                <w:rFonts w:ascii="Arial" w:hAnsi="Arial" w:cs="Arial"/>
                <w:sz w:val="20"/>
                <w:szCs w:val="20"/>
              </w:rPr>
            </w:pPr>
            <w:proofErr w:type="spellStart"/>
            <w:r w:rsidRPr="00091C12">
              <w:rPr>
                <w:rFonts w:ascii="Arial" w:hAnsi="Arial" w:cs="Arial"/>
                <w:sz w:val="20"/>
                <w:szCs w:val="20"/>
              </w:rPr>
              <w:t>Laewest</w:t>
            </w:r>
            <w:proofErr w:type="spellEnd"/>
          </w:p>
        </w:tc>
        <w:tc>
          <w:tcPr>
            <w:tcW w:w="1906" w:type="dxa"/>
          </w:tcPr>
          <w:p w14:paraId="4BFA4913" w14:textId="77777777" w:rsidR="001D11F3" w:rsidRPr="00091C12" w:rsidRDefault="001D11F3" w:rsidP="001D11F3">
            <w:pPr>
              <w:contextualSpacing/>
              <w:jc w:val="center"/>
              <w:rPr>
                <w:rFonts w:ascii="Arial" w:hAnsi="Arial" w:cs="Arial"/>
                <w:sz w:val="20"/>
                <w:szCs w:val="20"/>
              </w:rPr>
            </w:pPr>
            <w:proofErr w:type="spellStart"/>
            <w:r w:rsidRPr="00091C12">
              <w:rPr>
                <w:rFonts w:ascii="Arial" w:hAnsi="Arial" w:cs="Arial"/>
                <w:sz w:val="20"/>
                <w:szCs w:val="20"/>
              </w:rPr>
              <w:t>Laewest</w:t>
            </w:r>
            <w:proofErr w:type="spellEnd"/>
          </w:p>
        </w:tc>
        <w:tc>
          <w:tcPr>
            <w:tcW w:w="1933" w:type="dxa"/>
          </w:tcPr>
          <w:p w14:paraId="5BD24DD9" w14:textId="77777777" w:rsidR="001D11F3" w:rsidRPr="00091C12" w:rsidRDefault="001D11F3" w:rsidP="001D11F3">
            <w:pPr>
              <w:contextualSpacing/>
              <w:jc w:val="center"/>
              <w:rPr>
                <w:rFonts w:ascii="Arial" w:hAnsi="Arial" w:cs="Arial"/>
                <w:sz w:val="20"/>
                <w:szCs w:val="20"/>
              </w:rPr>
            </w:pPr>
            <w:proofErr w:type="spellStart"/>
            <w:r w:rsidRPr="00091C12">
              <w:rPr>
                <w:rFonts w:ascii="Arial" w:hAnsi="Arial" w:cs="Arial"/>
                <w:sz w:val="20"/>
                <w:szCs w:val="20"/>
              </w:rPr>
              <w:t>Laewest</w:t>
            </w:r>
            <w:proofErr w:type="spellEnd"/>
          </w:p>
        </w:tc>
      </w:tr>
      <w:tr w:rsidR="001D11F3" w:rsidRPr="00091B63" w14:paraId="75E683A4" w14:textId="77777777" w:rsidTr="001D11F3">
        <w:trPr>
          <w:trHeight w:val="185"/>
        </w:trPr>
        <w:tc>
          <w:tcPr>
            <w:tcW w:w="2794" w:type="dxa"/>
          </w:tcPr>
          <w:p w14:paraId="0462151A"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Taxonomic class</w:t>
            </w:r>
          </w:p>
        </w:tc>
        <w:tc>
          <w:tcPr>
            <w:tcW w:w="1970" w:type="dxa"/>
          </w:tcPr>
          <w:p w14:paraId="41D02A9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 xml:space="preserve">Fine, </w:t>
            </w:r>
            <w:proofErr w:type="spellStart"/>
            <w:r w:rsidRPr="00091C12">
              <w:rPr>
                <w:rFonts w:ascii="Arial" w:hAnsi="Arial" w:cs="Arial"/>
                <w:sz w:val="20"/>
                <w:szCs w:val="20"/>
              </w:rPr>
              <w:t>smectic</w:t>
            </w:r>
            <w:proofErr w:type="spellEnd"/>
            <w:r w:rsidRPr="00091C12">
              <w:rPr>
                <w:rFonts w:ascii="Arial" w:hAnsi="Arial" w:cs="Arial"/>
                <w:sz w:val="20"/>
                <w:szCs w:val="20"/>
              </w:rPr>
              <w:t xml:space="preserve">, </w:t>
            </w:r>
            <w:proofErr w:type="spellStart"/>
            <w:r w:rsidRPr="00091C12">
              <w:rPr>
                <w:rFonts w:ascii="Arial" w:hAnsi="Arial" w:cs="Arial"/>
                <w:sz w:val="20"/>
                <w:szCs w:val="20"/>
              </w:rPr>
              <w:t>hyperthermic</w:t>
            </w:r>
            <w:proofErr w:type="spellEnd"/>
            <w:r w:rsidRPr="00091C12">
              <w:rPr>
                <w:rFonts w:ascii="Arial" w:hAnsi="Arial" w:cs="Arial"/>
                <w:sz w:val="20"/>
                <w:szCs w:val="20"/>
              </w:rPr>
              <w:t xml:space="preserve"> Typic </w:t>
            </w:r>
            <w:proofErr w:type="spellStart"/>
            <w:r w:rsidRPr="00091C12">
              <w:rPr>
                <w:rFonts w:ascii="Arial" w:hAnsi="Arial" w:cs="Arial"/>
                <w:sz w:val="20"/>
                <w:szCs w:val="20"/>
              </w:rPr>
              <w:t>Hapluderts</w:t>
            </w:r>
            <w:proofErr w:type="spellEnd"/>
            <w:r w:rsidRPr="00091C12">
              <w:rPr>
                <w:rFonts w:ascii="Arial" w:hAnsi="Arial" w:cs="Arial"/>
                <w:sz w:val="20"/>
                <w:szCs w:val="20"/>
              </w:rPr>
              <w:t xml:space="preserve"> </w:t>
            </w:r>
          </w:p>
        </w:tc>
        <w:tc>
          <w:tcPr>
            <w:tcW w:w="1906" w:type="dxa"/>
          </w:tcPr>
          <w:p w14:paraId="69FD9EEA"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 xml:space="preserve">Fine, </w:t>
            </w:r>
            <w:proofErr w:type="spellStart"/>
            <w:r w:rsidRPr="00091C12">
              <w:rPr>
                <w:rFonts w:ascii="Arial" w:hAnsi="Arial" w:cs="Arial"/>
                <w:sz w:val="20"/>
                <w:szCs w:val="20"/>
              </w:rPr>
              <w:t>smectic</w:t>
            </w:r>
            <w:proofErr w:type="spellEnd"/>
            <w:r w:rsidRPr="00091C12">
              <w:rPr>
                <w:rFonts w:ascii="Arial" w:hAnsi="Arial" w:cs="Arial"/>
                <w:sz w:val="20"/>
                <w:szCs w:val="20"/>
              </w:rPr>
              <w:t xml:space="preserve">, </w:t>
            </w:r>
            <w:proofErr w:type="spellStart"/>
            <w:r w:rsidRPr="00091C12">
              <w:rPr>
                <w:rFonts w:ascii="Arial" w:hAnsi="Arial" w:cs="Arial"/>
                <w:sz w:val="20"/>
                <w:szCs w:val="20"/>
              </w:rPr>
              <w:t>hyperthermic</w:t>
            </w:r>
            <w:proofErr w:type="spellEnd"/>
            <w:r w:rsidRPr="00091C12">
              <w:rPr>
                <w:rFonts w:ascii="Arial" w:hAnsi="Arial" w:cs="Arial"/>
                <w:sz w:val="20"/>
                <w:szCs w:val="20"/>
              </w:rPr>
              <w:t xml:space="preserve"> Typic </w:t>
            </w:r>
            <w:proofErr w:type="spellStart"/>
            <w:r w:rsidRPr="00091C12">
              <w:rPr>
                <w:rFonts w:ascii="Arial" w:hAnsi="Arial" w:cs="Arial"/>
                <w:sz w:val="20"/>
                <w:szCs w:val="20"/>
              </w:rPr>
              <w:t>Hapluderts</w:t>
            </w:r>
            <w:proofErr w:type="spellEnd"/>
          </w:p>
        </w:tc>
        <w:tc>
          <w:tcPr>
            <w:tcW w:w="1933" w:type="dxa"/>
          </w:tcPr>
          <w:p w14:paraId="41C67796"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 xml:space="preserve">Fine, </w:t>
            </w:r>
            <w:proofErr w:type="spellStart"/>
            <w:r w:rsidRPr="00091C12">
              <w:rPr>
                <w:rFonts w:ascii="Arial" w:hAnsi="Arial" w:cs="Arial"/>
                <w:sz w:val="20"/>
                <w:szCs w:val="20"/>
              </w:rPr>
              <w:t>smectic</w:t>
            </w:r>
            <w:proofErr w:type="spellEnd"/>
            <w:r w:rsidRPr="00091C12">
              <w:rPr>
                <w:rFonts w:ascii="Arial" w:hAnsi="Arial" w:cs="Arial"/>
                <w:sz w:val="20"/>
                <w:szCs w:val="20"/>
              </w:rPr>
              <w:t xml:space="preserve">, </w:t>
            </w:r>
            <w:proofErr w:type="spellStart"/>
            <w:r w:rsidRPr="00091C12">
              <w:rPr>
                <w:rFonts w:ascii="Arial" w:hAnsi="Arial" w:cs="Arial"/>
                <w:sz w:val="20"/>
                <w:szCs w:val="20"/>
              </w:rPr>
              <w:t>hyperthermic</w:t>
            </w:r>
            <w:proofErr w:type="spellEnd"/>
            <w:r w:rsidRPr="00091C12">
              <w:rPr>
                <w:rFonts w:ascii="Arial" w:hAnsi="Arial" w:cs="Arial"/>
                <w:sz w:val="20"/>
                <w:szCs w:val="20"/>
              </w:rPr>
              <w:t xml:space="preserve"> Typic </w:t>
            </w:r>
            <w:proofErr w:type="spellStart"/>
            <w:r w:rsidRPr="00091C12">
              <w:rPr>
                <w:rFonts w:ascii="Arial" w:hAnsi="Arial" w:cs="Arial"/>
                <w:sz w:val="20"/>
                <w:szCs w:val="20"/>
              </w:rPr>
              <w:t>Hapluderts</w:t>
            </w:r>
            <w:proofErr w:type="spellEnd"/>
          </w:p>
        </w:tc>
      </w:tr>
      <w:tr w:rsidR="001D11F3" w:rsidRPr="00091B63" w14:paraId="3E1EEDB2" w14:textId="77777777" w:rsidTr="001D11F3">
        <w:trPr>
          <w:trHeight w:val="185"/>
        </w:trPr>
        <w:tc>
          <w:tcPr>
            <w:tcW w:w="2794" w:type="dxa"/>
          </w:tcPr>
          <w:p w14:paraId="275515BA"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OM (%)</w:t>
            </w:r>
          </w:p>
        </w:tc>
        <w:tc>
          <w:tcPr>
            <w:tcW w:w="1970" w:type="dxa"/>
          </w:tcPr>
          <w:p w14:paraId="062F50D3"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&lt; 1.0</w:t>
            </w:r>
          </w:p>
        </w:tc>
        <w:tc>
          <w:tcPr>
            <w:tcW w:w="1906" w:type="dxa"/>
          </w:tcPr>
          <w:p w14:paraId="603C505E"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&lt; 1.0</w:t>
            </w:r>
          </w:p>
        </w:tc>
        <w:tc>
          <w:tcPr>
            <w:tcW w:w="1933" w:type="dxa"/>
          </w:tcPr>
          <w:p w14:paraId="04E41C5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&lt; 1.0</w:t>
            </w:r>
          </w:p>
        </w:tc>
      </w:tr>
      <w:tr w:rsidR="001D11F3" w:rsidRPr="00091B63" w14:paraId="3D295256" w14:textId="77777777" w:rsidTr="001D11F3">
        <w:trPr>
          <w:trHeight w:val="185"/>
        </w:trPr>
        <w:tc>
          <w:tcPr>
            <w:tcW w:w="2794" w:type="dxa"/>
          </w:tcPr>
          <w:p w14:paraId="4391AE30"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pH</w:t>
            </w:r>
          </w:p>
        </w:tc>
        <w:tc>
          <w:tcPr>
            <w:tcW w:w="1970" w:type="dxa"/>
          </w:tcPr>
          <w:p w14:paraId="46D4503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7.3</w:t>
            </w:r>
          </w:p>
        </w:tc>
        <w:tc>
          <w:tcPr>
            <w:tcW w:w="1906" w:type="dxa"/>
          </w:tcPr>
          <w:p w14:paraId="5A1518BA"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7.4</w:t>
            </w:r>
          </w:p>
        </w:tc>
        <w:tc>
          <w:tcPr>
            <w:tcW w:w="1933" w:type="dxa"/>
          </w:tcPr>
          <w:p w14:paraId="766288DC"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7.3</w:t>
            </w:r>
          </w:p>
        </w:tc>
      </w:tr>
      <w:tr w:rsidR="001D11F3" w:rsidRPr="00091B63" w14:paraId="2EB1E6DE" w14:textId="77777777" w:rsidTr="001D11F3">
        <w:trPr>
          <w:trHeight w:val="185"/>
        </w:trPr>
        <w:tc>
          <w:tcPr>
            <w:tcW w:w="2794" w:type="dxa"/>
          </w:tcPr>
          <w:p w14:paraId="7548952A"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 xml:space="preserve">Herbicide application </w:t>
            </w:r>
          </w:p>
        </w:tc>
        <w:tc>
          <w:tcPr>
            <w:tcW w:w="1970" w:type="dxa"/>
          </w:tcPr>
          <w:p w14:paraId="7C8F69FC" w14:textId="77777777" w:rsidR="001D11F3" w:rsidRPr="00091C12" w:rsidRDefault="001D11F3" w:rsidP="001D11F3">
            <w:pPr>
              <w:contextualSpacing/>
              <w:jc w:val="center"/>
              <w:rPr>
                <w:rFonts w:ascii="Arial" w:hAnsi="Arial" w:cs="Arial"/>
                <w:sz w:val="20"/>
                <w:szCs w:val="20"/>
              </w:rPr>
            </w:pPr>
          </w:p>
        </w:tc>
        <w:tc>
          <w:tcPr>
            <w:tcW w:w="1906" w:type="dxa"/>
          </w:tcPr>
          <w:p w14:paraId="24E1E0F5" w14:textId="77777777" w:rsidR="001D11F3" w:rsidRPr="00091C12" w:rsidRDefault="001D11F3" w:rsidP="001D11F3">
            <w:pPr>
              <w:contextualSpacing/>
              <w:rPr>
                <w:rFonts w:ascii="Arial" w:hAnsi="Arial" w:cs="Arial"/>
                <w:sz w:val="20"/>
                <w:szCs w:val="20"/>
              </w:rPr>
            </w:pPr>
          </w:p>
        </w:tc>
        <w:tc>
          <w:tcPr>
            <w:tcW w:w="1933" w:type="dxa"/>
          </w:tcPr>
          <w:p w14:paraId="087FECF3" w14:textId="77777777" w:rsidR="001D11F3" w:rsidRPr="00091C12" w:rsidRDefault="001D11F3" w:rsidP="001D11F3">
            <w:pPr>
              <w:contextualSpacing/>
              <w:jc w:val="center"/>
              <w:rPr>
                <w:rFonts w:ascii="Arial" w:hAnsi="Arial" w:cs="Arial"/>
                <w:sz w:val="20"/>
                <w:szCs w:val="20"/>
              </w:rPr>
            </w:pPr>
          </w:p>
        </w:tc>
      </w:tr>
      <w:tr w:rsidR="001D11F3" w:rsidRPr="00091B63" w14:paraId="3404E541" w14:textId="77777777" w:rsidTr="001D11F3">
        <w:trPr>
          <w:trHeight w:val="185"/>
        </w:trPr>
        <w:tc>
          <w:tcPr>
            <w:tcW w:w="2794" w:type="dxa"/>
          </w:tcPr>
          <w:p w14:paraId="79F29C26"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Sprayer type</w:t>
            </w:r>
          </w:p>
        </w:tc>
        <w:tc>
          <w:tcPr>
            <w:tcW w:w="1970" w:type="dxa"/>
          </w:tcPr>
          <w:p w14:paraId="6B5D6546"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CO</w:t>
            </w:r>
            <w:r w:rsidRPr="00091C12">
              <w:rPr>
                <w:rFonts w:ascii="Arial" w:hAnsi="Arial" w:cs="Arial"/>
                <w:sz w:val="20"/>
                <w:szCs w:val="20"/>
                <w:vertAlign w:val="subscript"/>
              </w:rPr>
              <w:t xml:space="preserve">2 </w:t>
            </w:r>
            <w:r w:rsidRPr="00091C12">
              <w:rPr>
                <w:rFonts w:ascii="Arial" w:hAnsi="Arial" w:cs="Arial"/>
                <w:sz w:val="20"/>
                <w:szCs w:val="20"/>
              </w:rPr>
              <w:t>backpack</w:t>
            </w:r>
          </w:p>
        </w:tc>
        <w:tc>
          <w:tcPr>
            <w:tcW w:w="1906" w:type="dxa"/>
          </w:tcPr>
          <w:p w14:paraId="790317DA"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CO</w:t>
            </w:r>
            <w:r w:rsidRPr="00091C12">
              <w:rPr>
                <w:rFonts w:ascii="Arial" w:hAnsi="Arial" w:cs="Arial"/>
                <w:sz w:val="20"/>
                <w:szCs w:val="20"/>
                <w:vertAlign w:val="subscript"/>
              </w:rPr>
              <w:t xml:space="preserve">2 </w:t>
            </w:r>
            <w:r w:rsidRPr="00091C12">
              <w:rPr>
                <w:rFonts w:ascii="Arial" w:hAnsi="Arial" w:cs="Arial"/>
                <w:sz w:val="20"/>
                <w:szCs w:val="20"/>
              </w:rPr>
              <w:t>backpack</w:t>
            </w:r>
          </w:p>
        </w:tc>
        <w:tc>
          <w:tcPr>
            <w:tcW w:w="1933" w:type="dxa"/>
          </w:tcPr>
          <w:p w14:paraId="06B6F5EB"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CO</w:t>
            </w:r>
            <w:r w:rsidRPr="00091C12">
              <w:rPr>
                <w:rFonts w:ascii="Arial" w:hAnsi="Arial" w:cs="Arial"/>
                <w:sz w:val="20"/>
                <w:szCs w:val="20"/>
                <w:vertAlign w:val="subscript"/>
              </w:rPr>
              <w:t>2</w:t>
            </w:r>
            <w:r w:rsidRPr="00091C12">
              <w:rPr>
                <w:rFonts w:ascii="Arial" w:hAnsi="Arial" w:cs="Arial"/>
                <w:sz w:val="20"/>
                <w:szCs w:val="20"/>
              </w:rPr>
              <w:t xml:space="preserve"> backpack</w:t>
            </w:r>
          </w:p>
        </w:tc>
      </w:tr>
      <w:tr w:rsidR="001D11F3" w:rsidRPr="00091B63" w14:paraId="2674A922" w14:textId="77777777" w:rsidTr="001D11F3">
        <w:trPr>
          <w:trHeight w:val="185"/>
        </w:trPr>
        <w:tc>
          <w:tcPr>
            <w:tcW w:w="2794" w:type="dxa"/>
          </w:tcPr>
          <w:p w14:paraId="3ADBC0E3"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Spray pressure (kPa)</w:t>
            </w:r>
          </w:p>
        </w:tc>
        <w:tc>
          <w:tcPr>
            <w:tcW w:w="1970" w:type="dxa"/>
          </w:tcPr>
          <w:p w14:paraId="1B8388E0" w14:textId="77777777" w:rsidR="001D11F3" w:rsidRPr="00091C12" w:rsidRDefault="001D11F3" w:rsidP="001D11F3">
            <w:pPr>
              <w:contextualSpacing/>
              <w:jc w:val="center"/>
              <w:rPr>
                <w:rFonts w:ascii="Arial" w:hAnsi="Arial" w:cs="Arial"/>
                <w:sz w:val="20"/>
                <w:szCs w:val="20"/>
              </w:rPr>
            </w:pPr>
            <w:r>
              <w:rPr>
                <w:rFonts w:ascii="Arial" w:hAnsi="Arial" w:cs="Arial"/>
                <w:sz w:val="20"/>
                <w:szCs w:val="20"/>
              </w:rPr>
              <w:t>1</w:t>
            </w:r>
            <w:r w:rsidRPr="00091C12">
              <w:rPr>
                <w:rFonts w:ascii="Arial" w:hAnsi="Arial" w:cs="Arial"/>
                <w:sz w:val="20"/>
                <w:szCs w:val="20"/>
              </w:rPr>
              <w:t>80</w:t>
            </w:r>
          </w:p>
        </w:tc>
        <w:tc>
          <w:tcPr>
            <w:tcW w:w="1906" w:type="dxa"/>
          </w:tcPr>
          <w:p w14:paraId="2026CCFF"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180</w:t>
            </w:r>
          </w:p>
        </w:tc>
        <w:tc>
          <w:tcPr>
            <w:tcW w:w="1933" w:type="dxa"/>
          </w:tcPr>
          <w:p w14:paraId="0B932164"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180</w:t>
            </w:r>
          </w:p>
        </w:tc>
      </w:tr>
      <w:tr w:rsidR="001D11F3" w:rsidRPr="00091B63" w14:paraId="0CB8804E" w14:textId="77777777" w:rsidTr="001D11F3">
        <w:trPr>
          <w:trHeight w:val="185"/>
        </w:trPr>
        <w:tc>
          <w:tcPr>
            <w:tcW w:w="2794" w:type="dxa"/>
          </w:tcPr>
          <w:p w14:paraId="648952D8"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Nozzle type</w:t>
            </w:r>
          </w:p>
        </w:tc>
        <w:tc>
          <w:tcPr>
            <w:tcW w:w="1970" w:type="dxa"/>
          </w:tcPr>
          <w:p w14:paraId="033C0BFA"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Flat fan</w:t>
            </w:r>
          </w:p>
        </w:tc>
        <w:tc>
          <w:tcPr>
            <w:tcW w:w="1906" w:type="dxa"/>
          </w:tcPr>
          <w:p w14:paraId="31A431B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Flat fan</w:t>
            </w:r>
          </w:p>
        </w:tc>
        <w:tc>
          <w:tcPr>
            <w:tcW w:w="1933" w:type="dxa"/>
          </w:tcPr>
          <w:p w14:paraId="03130BCE"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Flat fan</w:t>
            </w:r>
          </w:p>
        </w:tc>
      </w:tr>
      <w:tr w:rsidR="001D11F3" w:rsidRPr="00091B63" w14:paraId="4288C9B3" w14:textId="77777777" w:rsidTr="001D11F3">
        <w:trPr>
          <w:trHeight w:val="185"/>
        </w:trPr>
        <w:tc>
          <w:tcPr>
            <w:tcW w:w="2794" w:type="dxa"/>
          </w:tcPr>
          <w:p w14:paraId="1D1EF919"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Nozzles tips</w:t>
            </w:r>
          </w:p>
        </w:tc>
        <w:tc>
          <w:tcPr>
            <w:tcW w:w="1970" w:type="dxa"/>
          </w:tcPr>
          <w:p w14:paraId="4846E68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DG 11002</w:t>
            </w:r>
          </w:p>
        </w:tc>
        <w:tc>
          <w:tcPr>
            <w:tcW w:w="1906" w:type="dxa"/>
          </w:tcPr>
          <w:p w14:paraId="63059075"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DG 11002</w:t>
            </w:r>
          </w:p>
        </w:tc>
        <w:tc>
          <w:tcPr>
            <w:tcW w:w="1933" w:type="dxa"/>
          </w:tcPr>
          <w:p w14:paraId="6783B377"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DG 11002</w:t>
            </w:r>
          </w:p>
        </w:tc>
      </w:tr>
      <w:tr w:rsidR="001D11F3" w:rsidRPr="00091B63" w14:paraId="46863528" w14:textId="77777777" w:rsidTr="001D11F3">
        <w:trPr>
          <w:trHeight w:val="185"/>
        </w:trPr>
        <w:tc>
          <w:tcPr>
            <w:tcW w:w="2794" w:type="dxa"/>
          </w:tcPr>
          <w:p w14:paraId="14AEC055"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Spray volume (L ha</w:t>
            </w:r>
            <w:r w:rsidRPr="00091C12">
              <w:rPr>
                <w:rFonts w:ascii="Arial" w:hAnsi="Arial" w:cs="Arial"/>
                <w:sz w:val="20"/>
                <w:szCs w:val="20"/>
                <w:vertAlign w:val="superscript"/>
              </w:rPr>
              <w:t>-1</w:t>
            </w:r>
            <w:r w:rsidRPr="00091C12">
              <w:rPr>
                <w:rFonts w:ascii="Arial" w:hAnsi="Arial" w:cs="Arial"/>
                <w:sz w:val="20"/>
                <w:szCs w:val="20"/>
              </w:rPr>
              <w:t>)</w:t>
            </w:r>
          </w:p>
        </w:tc>
        <w:tc>
          <w:tcPr>
            <w:tcW w:w="1970" w:type="dxa"/>
          </w:tcPr>
          <w:p w14:paraId="0F152A5D"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187</w:t>
            </w:r>
          </w:p>
        </w:tc>
        <w:tc>
          <w:tcPr>
            <w:tcW w:w="1906" w:type="dxa"/>
          </w:tcPr>
          <w:p w14:paraId="3A06EF14"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187</w:t>
            </w:r>
          </w:p>
        </w:tc>
        <w:tc>
          <w:tcPr>
            <w:tcW w:w="1933" w:type="dxa"/>
          </w:tcPr>
          <w:p w14:paraId="370E9C12"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187</w:t>
            </w:r>
          </w:p>
        </w:tc>
      </w:tr>
      <w:tr w:rsidR="001D11F3" w:rsidRPr="00091B63" w14:paraId="02C625D5" w14:textId="77777777" w:rsidTr="001D11F3">
        <w:trPr>
          <w:trHeight w:val="163"/>
        </w:trPr>
        <w:tc>
          <w:tcPr>
            <w:tcW w:w="2794" w:type="dxa"/>
          </w:tcPr>
          <w:p w14:paraId="25B21879"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Application</w:t>
            </w:r>
          </w:p>
        </w:tc>
        <w:tc>
          <w:tcPr>
            <w:tcW w:w="1970" w:type="dxa"/>
            <w:tcBorders>
              <w:right w:val="single" w:sz="6" w:space="0" w:color="auto"/>
            </w:tcBorders>
          </w:tcPr>
          <w:p w14:paraId="3C61A4BC"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January 21, 2015</w:t>
            </w:r>
          </w:p>
        </w:tc>
        <w:tc>
          <w:tcPr>
            <w:tcW w:w="1906" w:type="dxa"/>
            <w:tcBorders>
              <w:left w:val="single" w:sz="6" w:space="0" w:color="auto"/>
            </w:tcBorders>
          </w:tcPr>
          <w:p w14:paraId="08F9A4C8"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December 4, 2015</w:t>
            </w:r>
          </w:p>
        </w:tc>
        <w:tc>
          <w:tcPr>
            <w:tcW w:w="1933" w:type="dxa"/>
          </w:tcPr>
          <w:p w14:paraId="6C333005"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December 28, 2016</w:t>
            </w:r>
          </w:p>
        </w:tc>
      </w:tr>
      <w:tr w:rsidR="001D11F3" w:rsidRPr="00091B63" w14:paraId="6237F814" w14:textId="77777777" w:rsidTr="001D11F3">
        <w:trPr>
          <w:trHeight w:val="190"/>
        </w:trPr>
        <w:tc>
          <w:tcPr>
            <w:tcW w:w="2794" w:type="dxa"/>
            <w:tcBorders>
              <w:right w:val="single" w:sz="6" w:space="0" w:color="auto"/>
            </w:tcBorders>
          </w:tcPr>
          <w:p w14:paraId="06A61328"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 xml:space="preserve">Henbit size </w:t>
            </w:r>
          </w:p>
          <w:p w14:paraId="2C39908B"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 xml:space="preserve">at application (cm) </w:t>
            </w:r>
          </w:p>
        </w:tc>
        <w:tc>
          <w:tcPr>
            <w:tcW w:w="1970" w:type="dxa"/>
            <w:tcBorders>
              <w:left w:val="single" w:sz="6" w:space="0" w:color="auto"/>
            </w:tcBorders>
          </w:tcPr>
          <w:p w14:paraId="376AF902" w14:textId="77777777" w:rsidR="001D11F3" w:rsidRPr="00091C12" w:rsidRDefault="001D11F3" w:rsidP="001D11F3">
            <w:pPr>
              <w:contextualSpacing/>
              <w:jc w:val="center"/>
              <w:rPr>
                <w:rFonts w:ascii="Arial" w:hAnsi="Arial" w:cs="Arial"/>
                <w:sz w:val="20"/>
                <w:szCs w:val="20"/>
              </w:rPr>
            </w:pPr>
          </w:p>
          <w:p w14:paraId="1DDF882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10-20</w:t>
            </w:r>
          </w:p>
        </w:tc>
        <w:tc>
          <w:tcPr>
            <w:tcW w:w="1906" w:type="dxa"/>
            <w:tcBorders>
              <w:left w:val="single" w:sz="6" w:space="0" w:color="auto"/>
            </w:tcBorders>
          </w:tcPr>
          <w:p w14:paraId="2375ECDF" w14:textId="77777777" w:rsidR="001D11F3" w:rsidRPr="00091C12" w:rsidRDefault="001D11F3" w:rsidP="001D11F3">
            <w:pPr>
              <w:contextualSpacing/>
              <w:jc w:val="center"/>
              <w:rPr>
                <w:rFonts w:ascii="Arial" w:hAnsi="Arial" w:cs="Arial"/>
                <w:sz w:val="20"/>
                <w:szCs w:val="20"/>
              </w:rPr>
            </w:pPr>
          </w:p>
          <w:p w14:paraId="7E0CF828"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10-16</w:t>
            </w:r>
          </w:p>
        </w:tc>
        <w:tc>
          <w:tcPr>
            <w:tcW w:w="1933" w:type="dxa"/>
          </w:tcPr>
          <w:p w14:paraId="52990BDE" w14:textId="77777777" w:rsidR="001D11F3" w:rsidRPr="00091C12" w:rsidRDefault="001D11F3" w:rsidP="001D11F3">
            <w:pPr>
              <w:contextualSpacing/>
              <w:jc w:val="center"/>
              <w:rPr>
                <w:rFonts w:ascii="Arial" w:hAnsi="Arial" w:cs="Arial"/>
                <w:sz w:val="20"/>
                <w:szCs w:val="20"/>
              </w:rPr>
            </w:pPr>
          </w:p>
          <w:p w14:paraId="54692EDF"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8-16</w:t>
            </w:r>
          </w:p>
        </w:tc>
      </w:tr>
    </w:tbl>
    <w:p w14:paraId="3BC6A90B" w14:textId="77777777" w:rsidR="001D11F3" w:rsidRDefault="001D11F3" w:rsidP="001B3DF7">
      <w:pPr>
        <w:pStyle w:val="Body"/>
        <w:spacing w:after="0"/>
        <w:rPr>
          <w:rFonts w:ascii="Arial" w:hAnsi="Arial" w:cs="Arial"/>
        </w:rPr>
      </w:pPr>
    </w:p>
    <w:p w14:paraId="3A8434FE" w14:textId="77777777" w:rsidR="001D11F3" w:rsidRDefault="001D11F3" w:rsidP="001B3DF7">
      <w:pPr>
        <w:pStyle w:val="Body"/>
        <w:spacing w:after="0"/>
        <w:rPr>
          <w:rFonts w:ascii="Arial" w:hAnsi="Arial" w:cs="Arial"/>
        </w:rPr>
      </w:pPr>
    </w:p>
    <w:p w14:paraId="2982FB3F" w14:textId="77777777" w:rsidR="001D11F3" w:rsidRDefault="001D11F3" w:rsidP="001B3DF7">
      <w:pPr>
        <w:pStyle w:val="Body"/>
        <w:spacing w:after="0"/>
        <w:rPr>
          <w:rFonts w:ascii="Arial" w:hAnsi="Arial" w:cs="Arial"/>
        </w:rPr>
      </w:pPr>
    </w:p>
    <w:p w14:paraId="131AE983" w14:textId="77777777" w:rsidR="001D11F3" w:rsidRDefault="001D11F3" w:rsidP="001B3DF7">
      <w:pPr>
        <w:pStyle w:val="Body"/>
        <w:spacing w:after="0"/>
        <w:rPr>
          <w:rFonts w:ascii="Arial" w:hAnsi="Arial" w:cs="Arial"/>
        </w:rPr>
      </w:pPr>
    </w:p>
    <w:p w14:paraId="2EF5D9BD" w14:textId="77777777" w:rsidR="001D11F3" w:rsidRDefault="001D11F3" w:rsidP="001B3DF7">
      <w:pPr>
        <w:pStyle w:val="Body"/>
        <w:spacing w:after="0"/>
        <w:rPr>
          <w:rFonts w:ascii="Arial" w:hAnsi="Arial" w:cs="Arial"/>
        </w:rPr>
      </w:pPr>
    </w:p>
    <w:p w14:paraId="37248E88" w14:textId="77777777" w:rsidR="001D11F3" w:rsidRDefault="001D11F3" w:rsidP="001B3DF7">
      <w:pPr>
        <w:pStyle w:val="Body"/>
        <w:spacing w:after="0"/>
        <w:rPr>
          <w:rFonts w:ascii="Arial" w:hAnsi="Arial" w:cs="Arial"/>
        </w:rPr>
      </w:pPr>
    </w:p>
    <w:p w14:paraId="6A4514E0" w14:textId="77777777" w:rsidR="001D11F3" w:rsidRDefault="001D11F3" w:rsidP="001B3DF7">
      <w:pPr>
        <w:pStyle w:val="Body"/>
        <w:spacing w:after="0"/>
        <w:rPr>
          <w:rFonts w:ascii="Arial" w:hAnsi="Arial" w:cs="Arial"/>
        </w:rPr>
      </w:pPr>
    </w:p>
    <w:p w14:paraId="1BF88771" w14:textId="77777777" w:rsidR="001D11F3" w:rsidRDefault="001D11F3" w:rsidP="001B3DF7">
      <w:pPr>
        <w:pStyle w:val="Body"/>
        <w:spacing w:after="0"/>
        <w:rPr>
          <w:rFonts w:ascii="Arial" w:hAnsi="Arial" w:cs="Arial"/>
        </w:rPr>
      </w:pPr>
    </w:p>
    <w:p w14:paraId="3514FDA4" w14:textId="77777777" w:rsidR="001D11F3" w:rsidRDefault="001D11F3" w:rsidP="001B3DF7">
      <w:pPr>
        <w:pStyle w:val="Body"/>
        <w:spacing w:after="0"/>
        <w:rPr>
          <w:rFonts w:ascii="Arial" w:hAnsi="Arial" w:cs="Arial"/>
        </w:rPr>
      </w:pPr>
    </w:p>
    <w:p w14:paraId="505F15C3" w14:textId="77777777" w:rsidR="001D11F3" w:rsidRDefault="001D11F3" w:rsidP="001B3DF7">
      <w:pPr>
        <w:pStyle w:val="Body"/>
        <w:spacing w:after="0"/>
        <w:rPr>
          <w:rFonts w:ascii="Arial" w:hAnsi="Arial" w:cs="Arial"/>
        </w:rPr>
      </w:pPr>
    </w:p>
    <w:p w14:paraId="469F44E0" w14:textId="77777777" w:rsidR="001D11F3" w:rsidRDefault="001D11F3" w:rsidP="001B3DF7">
      <w:pPr>
        <w:pStyle w:val="Body"/>
        <w:spacing w:after="0"/>
        <w:rPr>
          <w:rFonts w:ascii="Arial" w:hAnsi="Arial" w:cs="Arial"/>
        </w:rPr>
      </w:pPr>
    </w:p>
    <w:p w14:paraId="0647EF5F" w14:textId="77777777" w:rsidR="001D11F3" w:rsidRDefault="001D11F3" w:rsidP="001B3DF7">
      <w:pPr>
        <w:pStyle w:val="Body"/>
        <w:spacing w:after="0"/>
        <w:rPr>
          <w:rFonts w:ascii="Arial" w:hAnsi="Arial" w:cs="Arial"/>
        </w:rPr>
      </w:pPr>
    </w:p>
    <w:p w14:paraId="3CA2A39E" w14:textId="77777777" w:rsidR="001D11F3" w:rsidRDefault="001D11F3" w:rsidP="001B3DF7">
      <w:pPr>
        <w:pStyle w:val="Body"/>
        <w:spacing w:after="0"/>
        <w:rPr>
          <w:rFonts w:ascii="Arial" w:hAnsi="Arial" w:cs="Arial"/>
        </w:rPr>
      </w:pPr>
    </w:p>
    <w:p w14:paraId="57F9AC82" w14:textId="77777777" w:rsidR="001D11F3" w:rsidRDefault="001D11F3" w:rsidP="001B3DF7">
      <w:pPr>
        <w:pStyle w:val="Body"/>
        <w:spacing w:after="0"/>
        <w:rPr>
          <w:rFonts w:ascii="Arial" w:hAnsi="Arial" w:cs="Arial"/>
        </w:rPr>
      </w:pPr>
    </w:p>
    <w:p w14:paraId="37ED5244" w14:textId="77777777" w:rsidR="001D11F3" w:rsidRDefault="001D11F3" w:rsidP="001B3DF7">
      <w:pPr>
        <w:pStyle w:val="Body"/>
        <w:spacing w:after="0"/>
        <w:rPr>
          <w:rFonts w:ascii="Arial" w:hAnsi="Arial" w:cs="Arial"/>
        </w:rPr>
      </w:pPr>
    </w:p>
    <w:p w14:paraId="3373D3A2" w14:textId="77777777" w:rsidR="001D11F3" w:rsidRDefault="001D11F3" w:rsidP="001B3DF7">
      <w:pPr>
        <w:pStyle w:val="Body"/>
        <w:spacing w:after="0"/>
        <w:rPr>
          <w:rFonts w:ascii="Arial" w:hAnsi="Arial" w:cs="Arial"/>
        </w:rPr>
      </w:pPr>
    </w:p>
    <w:p w14:paraId="2AD653EE" w14:textId="77777777" w:rsidR="001D11F3" w:rsidRDefault="001D11F3" w:rsidP="001B3DF7">
      <w:pPr>
        <w:pStyle w:val="Body"/>
        <w:spacing w:after="0"/>
        <w:rPr>
          <w:rFonts w:ascii="Arial" w:hAnsi="Arial" w:cs="Arial"/>
        </w:rPr>
      </w:pPr>
    </w:p>
    <w:p w14:paraId="4FDF40C8" w14:textId="77777777" w:rsidR="001D11F3" w:rsidRDefault="001D11F3" w:rsidP="001B3DF7">
      <w:pPr>
        <w:pStyle w:val="Body"/>
        <w:spacing w:after="0"/>
        <w:rPr>
          <w:rFonts w:ascii="Arial" w:hAnsi="Arial" w:cs="Arial"/>
        </w:rPr>
      </w:pPr>
    </w:p>
    <w:p w14:paraId="31448123" w14:textId="77777777" w:rsidR="001D11F3" w:rsidRDefault="001D11F3" w:rsidP="001B3DF7">
      <w:pPr>
        <w:pStyle w:val="Body"/>
        <w:spacing w:after="0"/>
        <w:rPr>
          <w:rFonts w:ascii="Arial" w:hAnsi="Arial" w:cs="Arial"/>
        </w:rPr>
      </w:pPr>
    </w:p>
    <w:p w14:paraId="09D79E05" w14:textId="77777777" w:rsidR="001D11F3" w:rsidRDefault="001D11F3" w:rsidP="001B3DF7">
      <w:pPr>
        <w:pStyle w:val="Body"/>
        <w:spacing w:after="0"/>
        <w:rPr>
          <w:rFonts w:ascii="Arial" w:hAnsi="Arial" w:cs="Arial"/>
        </w:rPr>
      </w:pPr>
    </w:p>
    <w:p w14:paraId="33F6455D" w14:textId="77777777" w:rsidR="001D11F3" w:rsidRDefault="001D11F3" w:rsidP="001B3DF7">
      <w:pPr>
        <w:pStyle w:val="Body"/>
        <w:spacing w:after="0"/>
        <w:rPr>
          <w:rFonts w:ascii="Arial" w:hAnsi="Arial" w:cs="Arial"/>
        </w:rPr>
      </w:pPr>
    </w:p>
    <w:p w14:paraId="2167DCE9" w14:textId="77777777" w:rsidR="001D11F3" w:rsidRDefault="001D11F3" w:rsidP="001B3DF7">
      <w:pPr>
        <w:pStyle w:val="Body"/>
        <w:spacing w:after="0"/>
        <w:rPr>
          <w:rFonts w:ascii="Arial" w:hAnsi="Arial" w:cs="Arial"/>
        </w:rPr>
      </w:pPr>
    </w:p>
    <w:p w14:paraId="51A4878B" w14:textId="77777777" w:rsidR="001D11F3" w:rsidRDefault="001D11F3" w:rsidP="001B3DF7">
      <w:pPr>
        <w:pStyle w:val="Body"/>
        <w:spacing w:after="0"/>
        <w:rPr>
          <w:rFonts w:ascii="Arial" w:hAnsi="Arial" w:cs="Arial"/>
        </w:rPr>
      </w:pPr>
    </w:p>
    <w:p w14:paraId="00DE28DF" w14:textId="77777777" w:rsidR="001D11F3" w:rsidRDefault="001D11F3" w:rsidP="001B3DF7">
      <w:pPr>
        <w:pStyle w:val="Body"/>
        <w:spacing w:after="0"/>
        <w:rPr>
          <w:rFonts w:ascii="Arial" w:hAnsi="Arial" w:cs="Arial"/>
        </w:rPr>
      </w:pPr>
    </w:p>
    <w:p w14:paraId="4A3DAFB3" w14:textId="231BE99E" w:rsidR="001B3DF7" w:rsidRDefault="001B3DF7" w:rsidP="001B3DF7">
      <w:pPr>
        <w:pStyle w:val="Body"/>
        <w:spacing w:after="0"/>
        <w:rPr>
          <w:rFonts w:ascii="Arial" w:hAnsi="Arial" w:cs="Arial"/>
        </w:rPr>
      </w:pPr>
      <w:r w:rsidRPr="001B3DF7">
        <w:rPr>
          <w:rFonts w:ascii="Arial" w:hAnsi="Arial" w:cs="Arial"/>
        </w:rPr>
        <w:t xml:space="preserve">Field studies were conducted during the 2015 through 2017 growing season </w:t>
      </w:r>
      <w:r w:rsidR="0091784C" w:rsidRPr="001B3DF7">
        <w:rPr>
          <w:rFonts w:ascii="Arial" w:hAnsi="Arial" w:cs="Arial"/>
        </w:rPr>
        <w:t>along the upper Texas Gulf Coast near Ganado</w:t>
      </w:r>
      <w:r w:rsidR="0091784C">
        <w:rPr>
          <w:rFonts w:ascii="Arial" w:hAnsi="Arial" w:cs="Arial"/>
        </w:rPr>
        <w:t xml:space="preserve"> i</w:t>
      </w:r>
      <w:r w:rsidRPr="001B3DF7">
        <w:rPr>
          <w:rFonts w:ascii="Arial" w:hAnsi="Arial" w:cs="Arial"/>
        </w:rPr>
        <w:t xml:space="preserve">n </w:t>
      </w:r>
      <w:r w:rsidR="0091784C">
        <w:rPr>
          <w:rFonts w:ascii="Arial" w:hAnsi="Arial" w:cs="Arial"/>
        </w:rPr>
        <w:t xml:space="preserve">a </w:t>
      </w:r>
      <w:r w:rsidRPr="001B3DF7">
        <w:rPr>
          <w:rFonts w:ascii="Arial" w:hAnsi="Arial" w:cs="Arial"/>
        </w:rPr>
        <w:t xml:space="preserve">grower’s field at three </w:t>
      </w:r>
      <w:r w:rsidR="0091784C">
        <w:rPr>
          <w:rFonts w:ascii="Arial" w:hAnsi="Arial" w:cs="Arial"/>
        </w:rPr>
        <w:t xml:space="preserve">different </w:t>
      </w:r>
      <w:r w:rsidRPr="001B3DF7">
        <w:rPr>
          <w:rFonts w:ascii="Arial" w:hAnsi="Arial" w:cs="Arial"/>
        </w:rPr>
        <w:t>locations.  Specifics of each test site are given in Table 1.</w:t>
      </w:r>
      <w:r w:rsidR="00710214">
        <w:rPr>
          <w:rFonts w:ascii="Arial" w:hAnsi="Arial" w:cs="Arial"/>
        </w:rPr>
        <w:t xml:space="preserve">  </w:t>
      </w:r>
      <w:r w:rsidRPr="001B3DF7">
        <w:rPr>
          <w:rFonts w:ascii="Arial" w:hAnsi="Arial" w:cs="Arial"/>
        </w:rPr>
        <w:t>Studies were arranged in a randomized complete block design with three replicates of treatments.   The fields were bedded and prepared for spring planting but fallow at time of herbicide application.  Plot dimensions were two rows, spaced 91 cm apart by 9.1 m long.  Henbit populations were from a naturally occurring population and varied from location to location and but were great enough to assure a good representation for evaluation (6</w:t>
      </w:r>
      <w:r w:rsidR="00FB1435">
        <w:rPr>
          <w:rFonts w:ascii="Arial" w:hAnsi="Arial" w:cs="Arial"/>
        </w:rPr>
        <w:t xml:space="preserve"> to </w:t>
      </w:r>
      <w:r w:rsidRPr="001B3DF7">
        <w:rPr>
          <w:rFonts w:ascii="Arial" w:hAnsi="Arial" w:cs="Arial"/>
        </w:rPr>
        <w:t>!0 plants/m</w:t>
      </w:r>
      <w:r w:rsidRPr="001B3DF7">
        <w:rPr>
          <w:rFonts w:ascii="Arial" w:hAnsi="Arial" w:cs="Arial"/>
          <w:vertAlign w:val="superscript"/>
        </w:rPr>
        <w:t>2</w:t>
      </w:r>
      <w:r w:rsidRPr="001B3DF7">
        <w:rPr>
          <w:rFonts w:ascii="Arial" w:hAnsi="Arial" w:cs="Arial"/>
        </w:rPr>
        <w:t>).</w:t>
      </w:r>
    </w:p>
    <w:p w14:paraId="7913BC43" w14:textId="77777777" w:rsidR="00950014" w:rsidRDefault="00950014"/>
    <w:p w14:paraId="052A4516" w14:textId="77777777" w:rsidR="00950014" w:rsidRDefault="00950014"/>
    <w:p w14:paraId="41A92273" w14:textId="77777777" w:rsidR="00950014" w:rsidRDefault="00950014"/>
    <w:p w14:paraId="2A52E5EB" w14:textId="77777777" w:rsidR="001B3DF7" w:rsidRPr="001B3DF7" w:rsidRDefault="001B3DF7" w:rsidP="001B3DF7">
      <w:pPr>
        <w:pStyle w:val="Body"/>
        <w:spacing w:after="0"/>
        <w:rPr>
          <w:rFonts w:ascii="Arial" w:hAnsi="Arial" w:cs="Arial"/>
        </w:rPr>
      </w:pPr>
    </w:p>
    <w:p w14:paraId="0C2BE316" w14:textId="77777777" w:rsidR="00950014" w:rsidRDefault="00950014" w:rsidP="001B3DF7">
      <w:pPr>
        <w:pStyle w:val="Body"/>
        <w:spacing w:after="0"/>
        <w:rPr>
          <w:rFonts w:ascii="Arial" w:hAnsi="Arial" w:cs="Arial"/>
          <w:b/>
          <w:sz w:val="22"/>
          <w:szCs w:val="22"/>
        </w:rPr>
      </w:pPr>
    </w:p>
    <w:p w14:paraId="42A2D84E" w14:textId="77777777" w:rsidR="00950014" w:rsidRDefault="00950014" w:rsidP="001B3DF7">
      <w:pPr>
        <w:pStyle w:val="Body"/>
        <w:spacing w:after="0"/>
        <w:rPr>
          <w:rFonts w:ascii="Arial" w:hAnsi="Arial" w:cs="Arial"/>
          <w:b/>
          <w:sz w:val="22"/>
          <w:szCs w:val="22"/>
        </w:rPr>
      </w:pPr>
    </w:p>
    <w:p w14:paraId="521E1053" w14:textId="77777777" w:rsidR="00950014" w:rsidRDefault="00950014" w:rsidP="001B3DF7">
      <w:pPr>
        <w:pStyle w:val="Body"/>
        <w:spacing w:after="0"/>
        <w:rPr>
          <w:rFonts w:ascii="Arial" w:hAnsi="Arial" w:cs="Arial"/>
          <w:b/>
          <w:sz w:val="22"/>
          <w:szCs w:val="22"/>
        </w:rPr>
      </w:pPr>
    </w:p>
    <w:p w14:paraId="68BD174B" w14:textId="77777777" w:rsidR="00950014" w:rsidRDefault="00950014" w:rsidP="001B3DF7">
      <w:pPr>
        <w:pStyle w:val="Body"/>
        <w:spacing w:after="0"/>
        <w:rPr>
          <w:rFonts w:ascii="Arial" w:hAnsi="Arial" w:cs="Arial"/>
          <w:b/>
          <w:sz w:val="22"/>
          <w:szCs w:val="22"/>
        </w:rPr>
      </w:pPr>
    </w:p>
    <w:p w14:paraId="0474295D" w14:textId="77777777" w:rsidR="00950014" w:rsidRDefault="00950014" w:rsidP="001B3DF7">
      <w:pPr>
        <w:pStyle w:val="Body"/>
        <w:spacing w:after="0"/>
        <w:rPr>
          <w:rFonts w:ascii="Arial" w:hAnsi="Arial" w:cs="Arial"/>
          <w:b/>
          <w:sz w:val="22"/>
          <w:szCs w:val="22"/>
        </w:rPr>
      </w:pPr>
    </w:p>
    <w:p w14:paraId="19AE9155" w14:textId="77777777" w:rsidR="00950014" w:rsidRDefault="00950014" w:rsidP="001B3DF7">
      <w:pPr>
        <w:pStyle w:val="Body"/>
        <w:spacing w:after="0"/>
        <w:rPr>
          <w:rFonts w:ascii="Arial" w:hAnsi="Arial" w:cs="Arial"/>
          <w:b/>
          <w:sz w:val="22"/>
          <w:szCs w:val="22"/>
        </w:rPr>
      </w:pPr>
    </w:p>
    <w:p w14:paraId="676DA998" w14:textId="77777777" w:rsidR="00950014" w:rsidRDefault="00950014" w:rsidP="001B3DF7">
      <w:pPr>
        <w:pStyle w:val="Body"/>
        <w:spacing w:after="0"/>
        <w:rPr>
          <w:rFonts w:ascii="Arial" w:hAnsi="Arial" w:cs="Arial"/>
          <w:b/>
          <w:sz w:val="22"/>
          <w:szCs w:val="22"/>
        </w:rPr>
      </w:pPr>
    </w:p>
    <w:p w14:paraId="18EADE0D" w14:textId="77777777" w:rsidR="00950014" w:rsidRDefault="00950014" w:rsidP="001B3DF7">
      <w:pPr>
        <w:pStyle w:val="Body"/>
        <w:spacing w:after="0"/>
        <w:rPr>
          <w:rFonts w:ascii="Arial" w:hAnsi="Arial" w:cs="Arial"/>
          <w:b/>
          <w:sz w:val="22"/>
          <w:szCs w:val="22"/>
        </w:rPr>
      </w:pPr>
    </w:p>
    <w:p w14:paraId="4F90F212" w14:textId="77777777" w:rsidR="00950014" w:rsidRDefault="00950014" w:rsidP="001B3DF7">
      <w:pPr>
        <w:pStyle w:val="Body"/>
        <w:spacing w:after="0"/>
        <w:rPr>
          <w:rFonts w:ascii="Arial" w:hAnsi="Arial" w:cs="Arial"/>
          <w:b/>
          <w:sz w:val="22"/>
          <w:szCs w:val="22"/>
        </w:rPr>
      </w:pPr>
    </w:p>
    <w:p w14:paraId="56D8C9B1" w14:textId="77777777" w:rsidR="00950014" w:rsidRDefault="00950014" w:rsidP="001B3DF7">
      <w:pPr>
        <w:pStyle w:val="Body"/>
        <w:spacing w:after="0"/>
        <w:rPr>
          <w:rFonts w:ascii="Arial" w:hAnsi="Arial" w:cs="Arial"/>
          <w:b/>
          <w:sz w:val="22"/>
          <w:szCs w:val="22"/>
        </w:rPr>
      </w:pPr>
    </w:p>
    <w:p w14:paraId="7963A927" w14:textId="77777777" w:rsidR="00950014" w:rsidRDefault="00950014" w:rsidP="001B3DF7">
      <w:pPr>
        <w:pStyle w:val="Body"/>
        <w:spacing w:after="0"/>
        <w:rPr>
          <w:rFonts w:ascii="Arial" w:hAnsi="Arial" w:cs="Arial"/>
          <w:b/>
          <w:sz w:val="22"/>
          <w:szCs w:val="22"/>
        </w:rPr>
      </w:pPr>
    </w:p>
    <w:p w14:paraId="183BC0A7" w14:textId="77777777" w:rsidR="00950014" w:rsidRDefault="00950014" w:rsidP="001B3DF7">
      <w:pPr>
        <w:pStyle w:val="Body"/>
        <w:spacing w:after="0"/>
        <w:rPr>
          <w:rFonts w:ascii="Arial" w:hAnsi="Arial" w:cs="Arial"/>
          <w:b/>
          <w:sz w:val="22"/>
          <w:szCs w:val="22"/>
        </w:rPr>
      </w:pPr>
    </w:p>
    <w:p w14:paraId="71932830" w14:textId="77777777" w:rsidR="00950014" w:rsidRDefault="00950014" w:rsidP="001B3DF7">
      <w:pPr>
        <w:pStyle w:val="Body"/>
        <w:spacing w:after="0"/>
        <w:rPr>
          <w:rFonts w:ascii="Arial" w:hAnsi="Arial" w:cs="Arial"/>
          <w:b/>
          <w:sz w:val="22"/>
          <w:szCs w:val="22"/>
        </w:rPr>
      </w:pPr>
    </w:p>
    <w:p w14:paraId="0A57C287" w14:textId="77777777" w:rsidR="00950014" w:rsidRDefault="00950014" w:rsidP="001B3DF7">
      <w:pPr>
        <w:pStyle w:val="Body"/>
        <w:spacing w:after="0"/>
        <w:rPr>
          <w:rFonts w:ascii="Arial" w:hAnsi="Arial" w:cs="Arial"/>
          <w:b/>
          <w:sz w:val="22"/>
          <w:szCs w:val="22"/>
        </w:rPr>
      </w:pPr>
    </w:p>
    <w:p w14:paraId="7A5CB902" w14:textId="77777777" w:rsidR="00950014" w:rsidRDefault="00950014" w:rsidP="001B3DF7">
      <w:pPr>
        <w:pStyle w:val="Body"/>
        <w:spacing w:after="0"/>
        <w:rPr>
          <w:rFonts w:ascii="Arial" w:hAnsi="Arial" w:cs="Arial"/>
          <w:b/>
          <w:sz w:val="22"/>
          <w:szCs w:val="22"/>
        </w:rPr>
      </w:pPr>
    </w:p>
    <w:p w14:paraId="083F8042" w14:textId="77777777" w:rsidR="00950014" w:rsidRDefault="00950014" w:rsidP="001B3DF7">
      <w:pPr>
        <w:pStyle w:val="Body"/>
        <w:spacing w:after="0"/>
        <w:rPr>
          <w:rFonts w:ascii="Arial" w:hAnsi="Arial" w:cs="Arial"/>
          <w:b/>
          <w:sz w:val="22"/>
          <w:szCs w:val="22"/>
        </w:rPr>
      </w:pPr>
    </w:p>
    <w:p w14:paraId="2934B563" w14:textId="77777777" w:rsidR="00950014" w:rsidRDefault="00950014" w:rsidP="001B3DF7">
      <w:pPr>
        <w:pStyle w:val="Body"/>
        <w:spacing w:after="0"/>
        <w:rPr>
          <w:rFonts w:ascii="Arial" w:hAnsi="Arial" w:cs="Arial"/>
          <w:b/>
          <w:sz w:val="22"/>
          <w:szCs w:val="22"/>
        </w:rPr>
      </w:pPr>
    </w:p>
    <w:p w14:paraId="5BA22C72" w14:textId="77777777" w:rsidR="00950014" w:rsidRDefault="00950014" w:rsidP="001B3DF7">
      <w:pPr>
        <w:pStyle w:val="Body"/>
        <w:spacing w:after="0"/>
        <w:rPr>
          <w:rFonts w:ascii="Arial" w:hAnsi="Arial" w:cs="Arial"/>
          <w:b/>
          <w:sz w:val="22"/>
          <w:szCs w:val="22"/>
        </w:rPr>
      </w:pPr>
    </w:p>
    <w:p w14:paraId="4C2896D5" w14:textId="77777777" w:rsidR="00950014" w:rsidRDefault="00950014" w:rsidP="001B3DF7">
      <w:pPr>
        <w:pStyle w:val="Body"/>
        <w:spacing w:after="0"/>
        <w:rPr>
          <w:rFonts w:ascii="Arial" w:hAnsi="Arial" w:cs="Arial"/>
          <w:b/>
          <w:sz w:val="22"/>
          <w:szCs w:val="22"/>
        </w:rPr>
      </w:pPr>
    </w:p>
    <w:p w14:paraId="2C6AC4C5" w14:textId="77777777" w:rsidR="00950014" w:rsidRDefault="00950014" w:rsidP="001B3DF7">
      <w:pPr>
        <w:pStyle w:val="Body"/>
        <w:spacing w:after="0"/>
        <w:rPr>
          <w:rFonts w:ascii="Arial" w:hAnsi="Arial" w:cs="Arial"/>
          <w:b/>
          <w:sz w:val="22"/>
          <w:szCs w:val="22"/>
        </w:rPr>
      </w:pPr>
    </w:p>
    <w:p w14:paraId="38179014" w14:textId="77777777" w:rsidR="00950014" w:rsidRDefault="00950014" w:rsidP="001B3DF7">
      <w:pPr>
        <w:pStyle w:val="Body"/>
        <w:spacing w:after="0"/>
        <w:rPr>
          <w:rFonts w:ascii="Arial" w:hAnsi="Arial" w:cs="Arial"/>
          <w:b/>
          <w:sz w:val="22"/>
          <w:szCs w:val="22"/>
        </w:rPr>
      </w:pPr>
    </w:p>
    <w:p w14:paraId="7055D2AD" w14:textId="77777777" w:rsidR="00950014" w:rsidRDefault="00950014" w:rsidP="001B3DF7">
      <w:pPr>
        <w:pStyle w:val="Body"/>
        <w:spacing w:after="0"/>
        <w:rPr>
          <w:rFonts w:ascii="Arial" w:hAnsi="Arial" w:cs="Arial"/>
          <w:b/>
          <w:sz w:val="22"/>
          <w:szCs w:val="22"/>
        </w:rPr>
      </w:pPr>
    </w:p>
    <w:p w14:paraId="3B8A4C74" w14:textId="7D95A131" w:rsidR="001B3DF7" w:rsidRPr="001B3DF7" w:rsidRDefault="001B3DF7" w:rsidP="001B3DF7">
      <w:pPr>
        <w:pStyle w:val="Body"/>
        <w:spacing w:after="0"/>
        <w:rPr>
          <w:rFonts w:ascii="Arial" w:hAnsi="Arial" w:cs="Arial"/>
          <w:b/>
          <w:sz w:val="22"/>
          <w:szCs w:val="22"/>
        </w:rPr>
      </w:pPr>
      <w:r w:rsidRPr="001B3DF7">
        <w:rPr>
          <w:rFonts w:ascii="Arial" w:hAnsi="Arial" w:cs="Arial"/>
          <w:b/>
          <w:sz w:val="22"/>
          <w:szCs w:val="22"/>
        </w:rPr>
        <w:t>2.2 Herbicide application, weed size and populations</w:t>
      </w:r>
      <w:r w:rsidRPr="001B3DF7">
        <w:rPr>
          <w:rFonts w:ascii="Arial" w:hAnsi="Arial" w:cs="Arial"/>
          <w:b/>
          <w:sz w:val="22"/>
          <w:szCs w:val="22"/>
        </w:rPr>
        <w:tab/>
      </w:r>
    </w:p>
    <w:p w14:paraId="015F15D0" w14:textId="24AB0D14" w:rsidR="001B3DF7" w:rsidRPr="001B3DF7" w:rsidRDefault="001B3DF7" w:rsidP="001B3DF7">
      <w:pPr>
        <w:pStyle w:val="Body"/>
        <w:rPr>
          <w:rFonts w:ascii="Arial" w:hAnsi="Arial" w:cs="Arial"/>
        </w:rPr>
      </w:pPr>
      <w:r w:rsidRPr="001B3DF7">
        <w:rPr>
          <w:rFonts w:ascii="Arial" w:hAnsi="Arial" w:cs="Arial"/>
        </w:rPr>
        <w:t>Herbicides were applied postemergence (POST) with a CO</w:t>
      </w:r>
      <w:r w:rsidRPr="001B3DF7">
        <w:rPr>
          <w:rFonts w:ascii="Arial" w:hAnsi="Arial" w:cs="Arial"/>
          <w:vertAlign w:val="subscript"/>
        </w:rPr>
        <w:t>2</w:t>
      </w:r>
      <w:r w:rsidRPr="001B3DF7">
        <w:rPr>
          <w:rFonts w:ascii="Arial" w:hAnsi="Arial" w:cs="Arial"/>
        </w:rPr>
        <w:t xml:space="preserve">-pressurized backpack sprayer using </w:t>
      </w:r>
      <w:proofErr w:type="spellStart"/>
      <w:r w:rsidRPr="001B3DF7">
        <w:rPr>
          <w:rFonts w:ascii="Arial" w:hAnsi="Arial" w:cs="Arial"/>
        </w:rPr>
        <w:t>Teejet</w:t>
      </w:r>
      <w:proofErr w:type="spellEnd"/>
      <w:r w:rsidRPr="001B3DF7">
        <w:rPr>
          <w:rFonts w:ascii="Arial" w:hAnsi="Arial" w:cs="Arial"/>
        </w:rPr>
        <w:t xml:space="preserve"> 11002 flat fan nozzles (Spraying Systems Co., North Avenue and Schmale Road, Wheaton, IL 60188) with a pressure of 180 kPa and calibrated to deliver 187 L ha</w:t>
      </w:r>
      <w:r w:rsidRPr="001B3DF7">
        <w:rPr>
          <w:rFonts w:ascii="Arial" w:hAnsi="Arial" w:cs="Arial"/>
          <w:vertAlign w:val="superscript"/>
        </w:rPr>
        <w:t>-1</w:t>
      </w:r>
      <w:r w:rsidRPr="001B3DF7">
        <w:rPr>
          <w:rFonts w:ascii="Arial" w:hAnsi="Arial" w:cs="Arial"/>
        </w:rPr>
        <w:t xml:space="preserve">. An untreated check was included for comparison at each location.  All herbicide rates were based on the US label for that herbicide and applications included an adjuvant and either ammonium nitrate or sulfate when recommended according to the label.  Herbicide applications were made when the henbit was 8 to 20 cm tall to provide a good evaluation of herbicide activity (Table 1).  The late application for the 2015 study was due to poor soil moisture during October through December of 2014 which slowed henbit growth while herbicide applications for the 2016 and 2017 studies were made in December of the previous year.  </w:t>
      </w:r>
    </w:p>
    <w:p w14:paraId="37D48D00" w14:textId="77777777" w:rsidR="001B3DF7" w:rsidRPr="001B3DF7" w:rsidRDefault="001B3DF7" w:rsidP="001B3DF7">
      <w:pPr>
        <w:pStyle w:val="Body"/>
        <w:spacing w:after="0"/>
        <w:rPr>
          <w:rFonts w:ascii="Arial" w:hAnsi="Arial" w:cs="Arial"/>
          <w:sz w:val="22"/>
          <w:szCs w:val="22"/>
        </w:rPr>
      </w:pPr>
      <w:r w:rsidRPr="001B3DF7">
        <w:rPr>
          <w:rFonts w:ascii="Arial" w:hAnsi="Arial" w:cs="Arial"/>
          <w:b/>
          <w:sz w:val="22"/>
          <w:szCs w:val="22"/>
        </w:rPr>
        <w:t>2.4 Weed control evaluations and statistical analysis.</w:t>
      </w:r>
      <w:r w:rsidRPr="001B3DF7">
        <w:rPr>
          <w:rFonts w:ascii="Arial" w:hAnsi="Arial" w:cs="Arial"/>
          <w:sz w:val="22"/>
          <w:szCs w:val="22"/>
        </w:rPr>
        <w:t xml:space="preserve"> </w:t>
      </w:r>
    </w:p>
    <w:p w14:paraId="70321AEE" w14:textId="70D56DBB" w:rsidR="001B3DF7" w:rsidRPr="001B3DF7" w:rsidRDefault="001B3DF7" w:rsidP="001B3DF7">
      <w:pPr>
        <w:pStyle w:val="Body"/>
        <w:spacing w:after="0"/>
        <w:rPr>
          <w:rFonts w:ascii="Arial" w:hAnsi="Arial" w:cs="Arial"/>
        </w:rPr>
      </w:pPr>
      <w:r w:rsidRPr="001B3DF7">
        <w:rPr>
          <w:rFonts w:ascii="Arial" w:hAnsi="Arial" w:cs="Arial"/>
        </w:rPr>
        <w:t xml:space="preserve">Henbit weed control were visually estimated on a scale of 0 to 100 (0 indicating no control or injury and 100 indicating complete control or plant death) </w:t>
      </w:r>
      <w:r w:rsidR="00444077">
        <w:rPr>
          <w:rFonts w:ascii="Arial" w:hAnsi="Arial" w:cs="Arial"/>
        </w:rPr>
        <w:t>[9]</w:t>
      </w:r>
      <w:r w:rsidRPr="001B3DF7">
        <w:rPr>
          <w:rFonts w:ascii="Arial" w:hAnsi="Arial" w:cs="Arial"/>
        </w:rPr>
        <w:t xml:space="preserve">.  Visual estimates of henbit control were transformed to the arcsine square root prior to analysis of variance, but are expressed in their original form for clarity because the transformation did not alter interpretation.  Means were compared with Fisher’s Protected LSD test at the 5% probability level </w:t>
      </w:r>
      <w:r w:rsidR="00444077">
        <w:rPr>
          <w:rFonts w:ascii="Arial" w:hAnsi="Arial" w:cs="Arial"/>
        </w:rPr>
        <w:t>[10]</w:t>
      </w:r>
      <w:r w:rsidRPr="001B3DF7">
        <w:rPr>
          <w:rFonts w:ascii="Arial" w:hAnsi="Arial" w:cs="Arial"/>
        </w:rPr>
        <w:t xml:space="preserve">.  The non-treated check was included in the weed control analysis.   </w:t>
      </w:r>
    </w:p>
    <w:p w14:paraId="527E38D5" w14:textId="77777777" w:rsidR="00790ADA" w:rsidRPr="00FB3A86" w:rsidRDefault="00790ADA" w:rsidP="00441B6F">
      <w:pPr>
        <w:pStyle w:val="Body"/>
        <w:spacing w:after="0"/>
        <w:rPr>
          <w:rFonts w:ascii="Arial" w:hAnsi="Arial" w:cs="Arial"/>
        </w:rPr>
      </w:pPr>
    </w:p>
    <w:p w14:paraId="4F5731A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F197BB5" w14:textId="77777777" w:rsidR="00790ADA" w:rsidRPr="00FB3A86" w:rsidRDefault="00790ADA" w:rsidP="00441B6F">
      <w:pPr>
        <w:pStyle w:val="Head1"/>
        <w:spacing w:after="0"/>
        <w:jc w:val="both"/>
        <w:rPr>
          <w:rFonts w:ascii="Arial" w:hAnsi="Arial" w:cs="Arial"/>
        </w:rPr>
      </w:pPr>
    </w:p>
    <w:p w14:paraId="6DED685E" w14:textId="3059BD5A" w:rsidR="001B3DF7" w:rsidRPr="001B3DF7" w:rsidRDefault="001B3DF7" w:rsidP="001B3DF7">
      <w:pPr>
        <w:pStyle w:val="Body"/>
        <w:rPr>
          <w:rFonts w:ascii="Arial" w:hAnsi="Arial" w:cs="Arial"/>
          <w:bCs/>
        </w:rPr>
      </w:pPr>
      <w:r w:rsidRPr="001B3DF7">
        <w:rPr>
          <w:rFonts w:ascii="Arial" w:hAnsi="Arial" w:cs="Arial"/>
          <w:bCs/>
        </w:rPr>
        <w:t xml:space="preserve">Since henbit emergence </w:t>
      </w:r>
      <w:r w:rsidR="0066108C" w:rsidRPr="001B3DF7">
        <w:rPr>
          <w:rFonts w:ascii="Arial" w:hAnsi="Arial" w:cs="Arial"/>
          <w:bCs/>
        </w:rPr>
        <w:t xml:space="preserve">in south Texas </w:t>
      </w:r>
      <w:r w:rsidRPr="001B3DF7">
        <w:rPr>
          <w:rFonts w:ascii="Arial" w:hAnsi="Arial" w:cs="Arial"/>
          <w:bCs/>
        </w:rPr>
        <w:t xml:space="preserve">typically occurs from November through February, evaluations were planned for two times during the growing season but since the POST applications in 2015 were later in the winter growing season the grower decided to plant corn early and the test </w:t>
      </w:r>
      <w:r w:rsidR="00FB1435">
        <w:rPr>
          <w:rFonts w:ascii="Arial" w:hAnsi="Arial" w:cs="Arial"/>
          <w:bCs/>
        </w:rPr>
        <w:t xml:space="preserve">had to be </w:t>
      </w:r>
      <w:r w:rsidRPr="001B3DF7">
        <w:rPr>
          <w:rFonts w:ascii="Arial" w:hAnsi="Arial" w:cs="Arial"/>
          <w:bCs/>
        </w:rPr>
        <w:t xml:space="preserve">abandoned with only one evaluation completed. </w:t>
      </w:r>
    </w:p>
    <w:p w14:paraId="65260637" w14:textId="79ACE4F5" w:rsidR="00950014" w:rsidRPr="001B3DF7" w:rsidRDefault="001B3DF7" w:rsidP="001B3DF7">
      <w:pPr>
        <w:pStyle w:val="Body"/>
        <w:rPr>
          <w:rFonts w:ascii="Arial" w:hAnsi="Arial" w:cs="Arial"/>
          <w:bCs/>
        </w:rPr>
      </w:pPr>
      <w:r w:rsidRPr="001B3DF7">
        <w:rPr>
          <w:rFonts w:ascii="Arial" w:hAnsi="Arial" w:cs="Arial"/>
          <w:b/>
          <w:sz w:val="22"/>
          <w:szCs w:val="22"/>
        </w:rPr>
        <w:t>3.1 2015.</w:t>
      </w:r>
      <w:r w:rsidRPr="001B3DF7">
        <w:rPr>
          <w:rFonts w:ascii="Arial" w:hAnsi="Arial" w:cs="Arial"/>
          <w:bCs/>
        </w:rPr>
        <w:t xml:space="preserve">  When evaluated 19 days after application (DAA), henbit control was &gt; 90% with treatments which included flumioxazin alone and </w:t>
      </w:r>
      <w:r w:rsidR="00D40BA1">
        <w:rPr>
          <w:rFonts w:ascii="Arial" w:hAnsi="Arial" w:cs="Arial"/>
          <w:bCs/>
        </w:rPr>
        <w:t xml:space="preserve">flumioxazin </w:t>
      </w:r>
      <w:r w:rsidRPr="001B3DF7">
        <w:rPr>
          <w:rFonts w:ascii="Arial" w:hAnsi="Arial" w:cs="Arial"/>
          <w:bCs/>
        </w:rPr>
        <w:t xml:space="preserve">in combination </w:t>
      </w:r>
      <w:r w:rsidR="00D40BA1">
        <w:rPr>
          <w:rFonts w:ascii="Arial" w:hAnsi="Arial" w:cs="Arial"/>
          <w:bCs/>
        </w:rPr>
        <w:t xml:space="preserve">with either </w:t>
      </w:r>
      <w:proofErr w:type="spellStart"/>
      <w:r w:rsidR="00D40BA1">
        <w:rPr>
          <w:rFonts w:ascii="Arial" w:hAnsi="Arial" w:cs="Arial"/>
          <w:bCs/>
        </w:rPr>
        <w:t>pyroxasulfone</w:t>
      </w:r>
      <w:proofErr w:type="spellEnd"/>
      <w:r w:rsidR="00D40BA1">
        <w:rPr>
          <w:rFonts w:ascii="Arial" w:hAnsi="Arial" w:cs="Arial"/>
          <w:bCs/>
        </w:rPr>
        <w:t xml:space="preserve"> or atrazine.  </w:t>
      </w:r>
      <w:proofErr w:type="spellStart"/>
      <w:r w:rsidR="00D40BA1">
        <w:rPr>
          <w:rFonts w:ascii="Arial" w:hAnsi="Arial" w:cs="Arial"/>
          <w:bCs/>
        </w:rPr>
        <w:t>S</w:t>
      </w:r>
      <w:r w:rsidRPr="001B3DF7">
        <w:rPr>
          <w:rFonts w:ascii="Arial" w:hAnsi="Arial" w:cs="Arial"/>
          <w:bCs/>
        </w:rPr>
        <w:t>aflufenacil</w:t>
      </w:r>
      <w:proofErr w:type="spellEnd"/>
      <w:r w:rsidRPr="001B3DF7">
        <w:rPr>
          <w:rFonts w:ascii="Arial" w:hAnsi="Arial" w:cs="Arial"/>
          <w:bCs/>
        </w:rPr>
        <w:t xml:space="preserve"> alone </w:t>
      </w:r>
      <w:r w:rsidR="00D40BA1">
        <w:rPr>
          <w:rFonts w:ascii="Arial" w:hAnsi="Arial" w:cs="Arial"/>
          <w:bCs/>
        </w:rPr>
        <w:t xml:space="preserve">provided 97% control </w:t>
      </w:r>
      <w:r w:rsidRPr="001B3DF7">
        <w:rPr>
          <w:rFonts w:ascii="Arial" w:hAnsi="Arial" w:cs="Arial"/>
          <w:bCs/>
        </w:rPr>
        <w:t xml:space="preserve">(Table 2).  Interestingly, when flumioxazin was in combination with </w:t>
      </w:r>
      <w:bookmarkStart w:id="2" w:name="_Hlk215738817"/>
      <w:bookmarkStart w:id="3" w:name="_Hlk215740288"/>
      <w:proofErr w:type="spellStart"/>
      <w:r w:rsidRPr="001B3DF7">
        <w:rPr>
          <w:rFonts w:ascii="Arial" w:hAnsi="Arial" w:cs="Arial"/>
          <w:bCs/>
        </w:rPr>
        <w:t>thifensulfuron</w:t>
      </w:r>
      <w:proofErr w:type="spellEnd"/>
      <w:r w:rsidRPr="001B3DF7">
        <w:rPr>
          <w:rFonts w:ascii="Arial" w:hAnsi="Arial" w:cs="Arial"/>
          <w:bCs/>
        </w:rPr>
        <w:t>-methyl</w:t>
      </w:r>
      <w:bookmarkEnd w:id="2"/>
      <w:r w:rsidRPr="001B3DF7">
        <w:rPr>
          <w:rFonts w:ascii="Arial" w:hAnsi="Arial" w:cs="Arial"/>
          <w:bCs/>
        </w:rPr>
        <w:t xml:space="preserve"> + </w:t>
      </w:r>
      <w:proofErr w:type="spellStart"/>
      <w:r w:rsidRPr="001B3DF7">
        <w:rPr>
          <w:rFonts w:ascii="Arial" w:hAnsi="Arial" w:cs="Arial"/>
          <w:bCs/>
        </w:rPr>
        <w:t>tribenuron</w:t>
      </w:r>
      <w:proofErr w:type="spellEnd"/>
      <w:r w:rsidRPr="001B3DF7">
        <w:rPr>
          <w:rFonts w:ascii="Arial" w:hAnsi="Arial" w:cs="Arial"/>
          <w:bCs/>
        </w:rPr>
        <w:t>-methyl + glyphosate</w:t>
      </w:r>
      <w:r w:rsidR="00F73563">
        <w:rPr>
          <w:rFonts w:ascii="Arial" w:hAnsi="Arial" w:cs="Arial"/>
          <w:bCs/>
        </w:rPr>
        <w:t>,</w:t>
      </w:r>
      <w:r w:rsidRPr="001B3DF7">
        <w:rPr>
          <w:rFonts w:ascii="Arial" w:hAnsi="Arial" w:cs="Arial"/>
          <w:bCs/>
        </w:rPr>
        <w:t xml:space="preserve"> </w:t>
      </w:r>
      <w:bookmarkEnd w:id="3"/>
      <w:r w:rsidRPr="001B3DF7">
        <w:rPr>
          <w:rFonts w:ascii="Arial" w:hAnsi="Arial" w:cs="Arial"/>
          <w:bCs/>
        </w:rPr>
        <w:t xml:space="preserve">henbit control was only 48%.   Any treatment that included atrazine without flumioxazin provided no better than 67% control.  </w:t>
      </w:r>
      <w:r w:rsidR="00F73563">
        <w:rPr>
          <w:rFonts w:ascii="Arial" w:hAnsi="Arial" w:cs="Arial"/>
          <w:bCs/>
        </w:rPr>
        <w:t xml:space="preserve">Herbicide systems containing </w:t>
      </w:r>
      <w:proofErr w:type="spellStart"/>
      <w:r w:rsidR="00F73563">
        <w:rPr>
          <w:rFonts w:ascii="Arial" w:hAnsi="Arial" w:cs="Arial"/>
          <w:bCs/>
        </w:rPr>
        <w:t>r</w:t>
      </w:r>
      <w:r w:rsidR="00F73563" w:rsidRPr="00F73563">
        <w:rPr>
          <w:rFonts w:ascii="Arial" w:hAnsi="Arial" w:cs="Arial"/>
          <w:bCs/>
        </w:rPr>
        <w:t>imsulfuron</w:t>
      </w:r>
      <w:proofErr w:type="spellEnd"/>
      <w:r w:rsidR="00F73563" w:rsidRPr="00F73563">
        <w:rPr>
          <w:rFonts w:ascii="Arial" w:hAnsi="Arial" w:cs="Arial"/>
          <w:bCs/>
        </w:rPr>
        <w:t xml:space="preserve"> + </w:t>
      </w:r>
      <w:proofErr w:type="spellStart"/>
      <w:r w:rsidR="00F73563" w:rsidRPr="00F73563">
        <w:rPr>
          <w:rFonts w:ascii="Arial" w:hAnsi="Arial" w:cs="Arial"/>
          <w:bCs/>
        </w:rPr>
        <w:t>thifensulfuron</w:t>
      </w:r>
      <w:proofErr w:type="spellEnd"/>
      <w:r w:rsidR="00F73563" w:rsidRPr="00F73563">
        <w:rPr>
          <w:rFonts w:ascii="Arial" w:hAnsi="Arial" w:cs="Arial"/>
          <w:bCs/>
        </w:rPr>
        <w:t>-methyl</w:t>
      </w:r>
      <w:r w:rsidR="00F73563">
        <w:rPr>
          <w:rFonts w:ascii="Arial" w:hAnsi="Arial" w:cs="Arial"/>
          <w:bCs/>
        </w:rPr>
        <w:t xml:space="preserve"> controlled henbit </w:t>
      </w:r>
      <w:r w:rsidR="00F73563" w:rsidRPr="00F73563">
        <w:rPr>
          <w:rFonts w:ascii="Arial" w:hAnsi="Arial" w:cs="Arial"/>
          <w:bCs/>
          <w:u w:val="single"/>
        </w:rPr>
        <w:t>&lt;</w:t>
      </w:r>
      <w:r w:rsidR="00F73563" w:rsidRPr="00F73563">
        <w:rPr>
          <w:rFonts w:ascii="Arial" w:hAnsi="Arial" w:cs="Arial"/>
          <w:bCs/>
        </w:rPr>
        <w:t xml:space="preserve"> </w:t>
      </w:r>
      <w:r w:rsidR="00F73563">
        <w:rPr>
          <w:rFonts w:ascii="Arial" w:hAnsi="Arial" w:cs="Arial"/>
          <w:bCs/>
        </w:rPr>
        <w:t xml:space="preserve">57%.  </w:t>
      </w:r>
      <w:proofErr w:type="spellStart"/>
      <w:r w:rsidR="00F73563" w:rsidRPr="00F73563">
        <w:rPr>
          <w:rFonts w:ascii="Arial" w:hAnsi="Arial" w:cs="Arial"/>
          <w:bCs/>
        </w:rPr>
        <w:t>Rimsulfuron</w:t>
      </w:r>
      <w:proofErr w:type="spellEnd"/>
      <w:r w:rsidR="00F73563" w:rsidRPr="00F73563">
        <w:rPr>
          <w:rFonts w:ascii="Arial" w:hAnsi="Arial" w:cs="Arial"/>
          <w:bCs/>
        </w:rPr>
        <w:t xml:space="preserve"> + </w:t>
      </w:r>
      <w:proofErr w:type="spellStart"/>
      <w:r w:rsidR="00F73563" w:rsidRPr="00F73563">
        <w:rPr>
          <w:rFonts w:ascii="Arial" w:hAnsi="Arial" w:cs="Arial"/>
          <w:bCs/>
        </w:rPr>
        <w:t>thifensulfuron</w:t>
      </w:r>
      <w:proofErr w:type="spellEnd"/>
      <w:r w:rsidR="00F73563" w:rsidRPr="00F73563">
        <w:rPr>
          <w:rFonts w:ascii="Arial" w:hAnsi="Arial" w:cs="Arial"/>
          <w:bCs/>
        </w:rPr>
        <w:t>-methyl</w:t>
      </w:r>
      <w:r w:rsidR="00F73563">
        <w:rPr>
          <w:rFonts w:ascii="Arial" w:hAnsi="Arial" w:cs="Arial"/>
          <w:bCs/>
        </w:rPr>
        <w:t xml:space="preserve"> typically is slow acting and usually takes about 28 days to see full activity</w:t>
      </w:r>
      <w:r w:rsidR="002826F2">
        <w:rPr>
          <w:rFonts w:ascii="Arial" w:hAnsi="Arial" w:cs="Arial"/>
          <w:bCs/>
        </w:rPr>
        <w:t xml:space="preserve"> under our cool, fall </w:t>
      </w:r>
      <w:proofErr w:type="gramStart"/>
      <w:r w:rsidR="002826F2">
        <w:rPr>
          <w:rFonts w:ascii="Arial" w:hAnsi="Arial" w:cs="Arial"/>
          <w:bCs/>
        </w:rPr>
        <w:t xml:space="preserve">conditions </w:t>
      </w:r>
      <w:r w:rsidR="00F73563">
        <w:rPr>
          <w:rFonts w:ascii="Arial" w:hAnsi="Arial" w:cs="Arial"/>
          <w:bCs/>
        </w:rPr>
        <w:t xml:space="preserve"> (</w:t>
      </w:r>
      <w:proofErr w:type="gramEnd"/>
      <w:r w:rsidR="00F73563">
        <w:rPr>
          <w:rFonts w:ascii="Arial" w:hAnsi="Arial" w:cs="Arial"/>
          <w:bCs/>
        </w:rPr>
        <w:t xml:space="preserve">author’s personal observations). </w:t>
      </w:r>
      <w:r w:rsidRPr="001B3DF7">
        <w:rPr>
          <w:rFonts w:ascii="Arial" w:hAnsi="Arial" w:cs="Arial"/>
          <w:bCs/>
        </w:rPr>
        <w:t xml:space="preserve">In previous research, </w:t>
      </w:r>
      <w:r w:rsidRPr="001B3DF7">
        <w:rPr>
          <w:rFonts w:ascii="Arial" w:hAnsi="Arial" w:cs="Arial"/>
          <w:bCs/>
          <w:iCs/>
        </w:rPr>
        <w:t xml:space="preserve">Lee and Witt </w:t>
      </w:r>
      <w:r w:rsidR="00CD443D">
        <w:rPr>
          <w:rFonts w:ascii="Arial" w:hAnsi="Arial" w:cs="Arial"/>
          <w:bCs/>
          <w:iCs/>
        </w:rPr>
        <w:t xml:space="preserve">[11] </w:t>
      </w:r>
      <w:r w:rsidRPr="001B3DF7">
        <w:rPr>
          <w:rFonts w:ascii="Arial" w:hAnsi="Arial" w:cs="Arial"/>
          <w:bCs/>
          <w:iCs/>
        </w:rPr>
        <w:t>observed excellent henbit control with atrazine</w:t>
      </w:r>
      <w:r w:rsidR="003D34B3">
        <w:rPr>
          <w:rFonts w:ascii="Arial" w:hAnsi="Arial" w:cs="Arial"/>
          <w:bCs/>
          <w:iCs/>
        </w:rPr>
        <w:t xml:space="preserve"> while </w:t>
      </w:r>
      <w:r w:rsidRPr="001B3DF7">
        <w:rPr>
          <w:rFonts w:ascii="Arial" w:hAnsi="Arial" w:cs="Arial"/>
          <w:bCs/>
          <w:iCs/>
        </w:rPr>
        <w:t xml:space="preserve">Woolam et al. </w:t>
      </w:r>
      <w:r w:rsidR="00CD443D">
        <w:rPr>
          <w:rFonts w:ascii="Arial" w:hAnsi="Arial" w:cs="Arial"/>
          <w:bCs/>
          <w:iCs/>
        </w:rPr>
        <w:t>[12]</w:t>
      </w:r>
      <w:r w:rsidR="00FD2118">
        <w:rPr>
          <w:rFonts w:ascii="Arial" w:hAnsi="Arial" w:cs="Arial"/>
          <w:bCs/>
          <w:iCs/>
        </w:rPr>
        <w:t xml:space="preserve"> </w:t>
      </w:r>
      <w:r w:rsidRPr="001B3DF7">
        <w:rPr>
          <w:rFonts w:ascii="Arial" w:hAnsi="Arial" w:cs="Arial"/>
          <w:bCs/>
          <w:iCs/>
        </w:rPr>
        <w:t>reported that f</w:t>
      </w:r>
      <w:r w:rsidRPr="001B3DF7">
        <w:rPr>
          <w:rFonts w:ascii="Arial" w:hAnsi="Arial" w:cs="Arial"/>
          <w:bCs/>
        </w:rPr>
        <w:t xml:space="preserve">lumioxazin, oxyfluorfen, and </w:t>
      </w:r>
      <w:proofErr w:type="spellStart"/>
      <w:r w:rsidRPr="001B3DF7">
        <w:rPr>
          <w:rFonts w:ascii="Arial" w:hAnsi="Arial" w:cs="Arial"/>
          <w:bCs/>
        </w:rPr>
        <w:t>rimsulfuron</w:t>
      </w:r>
      <w:proofErr w:type="spellEnd"/>
      <w:r w:rsidRPr="001B3DF7">
        <w:rPr>
          <w:rFonts w:ascii="Arial" w:hAnsi="Arial" w:cs="Arial"/>
          <w:bCs/>
        </w:rPr>
        <w:t xml:space="preserve"> + </w:t>
      </w:r>
      <w:proofErr w:type="spellStart"/>
      <w:r w:rsidRPr="001B3DF7">
        <w:rPr>
          <w:rFonts w:ascii="Arial" w:hAnsi="Arial" w:cs="Arial"/>
          <w:bCs/>
        </w:rPr>
        <w:t>thifensulfuron</w:t>
      </w:r>
      <w:proofErr w:type="spellEnd"/>
      <w:r w:rsidRPr="001B3DF7">
        <w:rPr>
          <w:rFonts w:ascii="Arial" w:hAnsi="Arial" w:cs="Arial"/>
          <w:bCs/>
        </w:rPr>
        <w:t xml:space="preserve">-methyl provided 90% to </w:t>
      </w:r>
    </w:p>
    <w:tbl>
      <w:tblPr>
        <w:tblStyle w:val="TableGrid"/>
        <w:tblpPr w:leftFromText="180" w:rightFromText="180" w:vertAnchor="page" w:horzAnchor="margin" w:tblpXSpec="center" w:tblpY="5029"/>
        <w:tblW w:w="0" w:type="auto"/>
        <w:tblLayout w:type="fixed"/>
        <w:tblLook w:val="04A0" w:firstRow="1" w:lastRow="0" w:firstColumn="1" w:lastColumn="0" w:noHBand="0" w:noVBand="1"/>
      </w:tblPr>
      <w:tblGrid>
        <w:gridCol w:w="2596"/>
        <w:gridCol w:w="1669"/>
        <w:gridCol w:w="770"/>
        <w:gridCol w:w="805"/>
        <w:gridCol w:w="730"/>
        <w:gridCol w:w="1098"/>
        <w:gridCol w:w="55"/>
        <w:gridCol w:w="829"/>
      </w:tblGrid>
      <w:tr w:rsidR="00950014" w14:paraId="0E486FC5" w14:textId="77777777" w:rsidTr="00FB1435">
        <w:trPr>
          <w:trHeight w:val="183"/>
        </w:trPr>
        <w:tc>
          <w:tcPr>
            <w:tcW w:w="8552" w:type="dxa"/>
            <w:gridSpan w:val="8"/>
          </w:tcPr>
          <w:p w14:paraId="7EC95ED8" w14:textId="77777777" w:rsidR="00950014" w:rsidRPr="00CC2660" w:rsidRDefault="00950014" w:rsidP="00FB1435">
            <w:pPr>
              <w:rPr>
                <w:rFonts w:ascii="Arial" w:hAnsi="Arial" w:cs="Arial"/>
                <w:sz w:val="20"/>
                <w:szCs w:val="20"/>
              </w:rPr>
            </w:pPr>
            <w:r w:rsidRPr="00CC2660">
              <w:rPr>
                <w:rFonts w:ascii="Arial" w:hAnsi="Arial" w:cs="Arial"/>
                <w:sz w:val="20"/>
                <w:szCs w:val="20"/>
              </w:rPr>
              <w:lastRenderedPageBreak/>
              <w:t xml:space="preserve">Table 2. Henbit control with preemergence and postemergence herbicides. </w:t>
            </w:r>
          </w:p>
        </w:tc>
      </w:tr>
      <w:tr w:rsidR="00950014" w14:paraId="567251F3" w14:textId="77777777" w:rsidTr="00FB1435">
        <w:trPr>
          <w:trHeight w:val="183"/>
        </w:trPr>
        <w:tc>
          <w:tcPr>
            <w:tcW w:w="2596" w:type="dxa"/>
          </w:tcPr>
          <w:p w14:paraId="0BF4903E" w14:textId="77777777" w:rsidR="00950014" w:rsidRPr="00CC2660" w:rsidRDefault="00950014" w:rsidP="00FB1435">
            <w:pPr>
              <w:rPr>
                <w:rFonts w:ascii="Arial" w:hAnsi="Arial" w:cs="Arial"/>
                <w:sz w:val="20"/>
                <w:szCs w:val="20"/>
              </w:rPr>
            </w:pPr>
          </w:p>
        </w:tc>
        <w:tc>
          <w:tcPr>
            <w:tcW w:w="1669" w:type="dxa"/>
          </w:tcPr>
          <w:p w14:paraId="404E4C6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Rate</w:t>
            </w:r>
          </w:p>
        </w:tc>
        <w:tc>
          <w:tcPr>
            <w:tcW w:w="770" w:type="dxa"/>
          </w:tcPr>
          <w:p w14:paraId="16D6CA64" w14:textId="77777777" w:rsidR="00950014" w:rsidRPr="00CC2660" w:rsidRDefault="00950014" w:rsidP="00FB1435">
            <w:pPr>
              <w:jc w:val="center"/>
              <w:rPr>
                <w:rFonts w:ascii="Arial" w:hAnsi="Arial" w:cs="Arial"/>
                <w:sz w:val="20"/>
                <w:szCs w:val="20"/>
                <w:vertAlign w:val="superscript"/>
              </w:rPr>
            </w:pPr>
            <w:r w:rsidRPr="00CC2660">
              <w:rPr>
                <w:rFonts w:ascii="Arial" w:hAnsi="Arial" w:cs="Arial"/>
                <w:sz w:val="20"/>
                <w:szCs w:val="20"/>
              </w:rPr>
              <w:t>2015</w:t>
            </w:r>
            <w:r w:rsidRPr="00CC2660">
              <w:rPr>
                <w:rFonts w:ascii="Arial" w:hAnsi="Arial" w:cs="Arial"/>
                <w:sz w:val="20"/>
                <w:szCs w:val="20"/>
                <w:vertAlign w:val="superscript"/>
              </w:rPr>
              <w:t>e</w:t>
            </w:r>
          </w:p>
        </w:tc>
        <w:tc>
          <w:tcPr>
            <w:tcW w:w="1535" w:type="dxa"/>
            <w:gridSpan w:val="2"/>
          </w:tcPr>
          <w:p w14:paraId="491F1B2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2016</w:t>
            </w:r>
          </w:p>
        </w:tc>
        <w:tc>
          <w:tcPr>
            <w:tcW w:w="1982" w:type="dxa"/>
            <w:gridSpan w:val="3"/>
          </w:tcPr>
          <w:p w14:paraId="49622D5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2017</w:t>
            </w:r>
          </w:p>
        </w:tc>
      </w:tr>
      <w:tr w:rsidR="00950014" w14:paraId="0F7AF8AD" w14:textId="77777777" w:rsidTr="00FB1435">
        <w:trPr>
          <w:trHeight w:val="183"/>
        </w:trPr>
        <w:tc>
          <w:tcPr>
            <w:tcW w:w="2596" w:type="dxa"/>
          </w:tcPr>
          <w:p w14:paraId="7ABEADF7" w14:textId="77777777" w:rsidR="00950014" w:rsidRPr="00CC2660" w:rsidRDefault="00950014" w:rsidP="00FB1435">
            <w:pPr>
              <w:rPr>
                <w:rFonts w:ascii="Arial" w:hAnsi="Arial" w:cs="Arial"/>
                <w:sz w:val="20"/>
                <w:szCs w:val="20"/>
                <w:vertAlign w:val="superscript"/>
              </w:rPr>
            </w:pPr>
            <w:proofErr w:type="spellStart"/>
            <w:r w:rsidRPr="00CC2660">
              <w:rPr>
                <w:rFonts w:ascii="Arial" w:hAnsi="Arial" w:cs="Arial"/>
                <w:sz w:val="20"/>
                <w:szCs w:val="20"/>
              </w:rPr>
              <w:t>Treatments</w:t>
            </w:r>
            <w:r w:rsidRPr="00CC2660">
              <w:rPr>
                <w:rFonts w:ascii="Arial" w:hAnsi="Arial" w:cs="Arial"/>
                <w:sz w:val="20"/>
                <w:szCs w:val="20"/>
                <w:vertAlign w:val="superscript"/>
              </w:rPr>
              <w:t>a</w:t>
            </w:r>
            <w:proofErr w:type="spellEnd"/>
          </w:p>
        </w:tc>
        <w:tc>
          <w:tcPr>
            <w:tcW w:w="1669" w:type="dxa"/>
          </w:tcPr>
          <w:p w14:paraId="0024E302" w14:textId="77777777" w:rsidR="00950014" w:rsidRPr="00CC2660" w:rsidRDefault="00950014" w:rsidP="00FB1435">
            <w:pPr>
              <w:jc w:val="center"/>
              <w:rPr>
                <w:rFonts w:ascii="Arial" w:hAnsi="Arial" w:cs="Arial"/>
                <w:sz w:val="20"/>
                <w:szCs w:val="20"/>
              </w:rPr>
            </w:pPr>
            <w:proofErr w:type="spellStart"/>
            <w:r w:rsidRPr="00CC2660">
              <w:rPr>
                <w:rFonts w:ascii="Arial" w:hAnsi="Arial" w:cs="Arial"/>
                <w:sz w:val="20"/>
                <w:szCs w:val="20"/>
              </w:rPr>
              <w:t>Ml</w:t>
            </w:r>
            <w:proofErr w:type="spellEnd"/>
            <w:r w:rsidRPr="00CC2660">
              <w:rPr>
                <w:rFonts w:ascii="Arial" w:hAnsi="Arial" w:cs="Arial"/>
                <w:sz w:val="20"/>
                <w:szCs w:val="20"/>
              </w:rPr>
              <w:t xml:space="preserve"> ha</w:t>
            </w:r>
            <w:r w:rsidRPr="00CC2660">
              <w:rPr>
                <w:rFonts w:ascii="Arial" w:hAnsi="Arial" w:cs="Arial"/>
                <w:sz w:val="20"/>
                <w:szCs w:val="20"/>
                <w:vertAlign w:val="superscript"/>
              </w:rPr>
              <w:t>-1</w:t>
            </w:r>
          </w:p>
        </w:tc>
        <w:tc>
          <w:tcPr>
            <w:tcW w:w="4287" w:type="dxa"/>
            <w:gridSpan w:val="6"/>
          </w:tcPr>
          <w:p w14:paraId="22256406" w14:textId="77777777" w:rsidR="00950014" w:rsidRPr="00CC2660" w:rsidRDefault="00950014" w:rsidP="00FB1435">
            <w:pPr>
              <w:jc w:val="center"/>
              <w:rPr>
                <w:rFonts w:ascii="Arial" w:hAnsi="Arial" w:cs="Arial"/>
                <w:sz w:val="20"/>
                <w:szCs w:val="20"/>
                <w:vertAlign w:val="superscript"/>
              </w:rPr>
            </w:pPr>
            <w:r w:rsidRPr="00CC2660">
              <w:rPr>
                <w:rFonts w:ascii="Arial" w:hAnsi="Arial" w:cs="Arial"/>
                <w:sz w:val="20"/>
                <w:szCs w:val="20"/>
              </w:rPr>
              <w:t>DAA</w:t>
            </w:r>
            <w:r w:rsidRPr="00CC2660">
              <w:rPr>
                <w:rFonts w:ascii="Arial" w:hAnsi="Arial" w:cs="Arial"/>
                <w:sz w:val="20"/>
                <w:szCs w:val="20"/>
                <w:vertAlign w:val="superscript"/>
              </w:rPr>
              <w:t>f</w:t>
            </w:r>
          </w:p>
        </w:tc>
      </w:tr>
      <w:tr w:rsidR="00950014" w14:paraId="2361A099" w14:textId="77777777" w:rsidTr="00FB1435">
        <w:trPr>
          <w:trHeight w:val="183"/>
        </w:trPr>
        <w:tc>
          <w:tcPr>
            <w:tcW w:w="2596" w:type="dxa"/>
          </w:tcPr>
          <w:p w14:paraId="7BA2B313" w14:textId="77777777" w:rsidR="00950014" w:rsidRPr="00CC2660" w:rsidRDefault="00950014" w:rsidP="00FB1435">
            <w:pPr>
              <w:rPr>
                <w:rFonts w:ascii="Arial" w:hAnsi="Arial" w:cs="Arial"/>
                <w:sz w:val="20"/>
                <w:szCs w:val="20"/>
              </w:rPr>
            </w:pPr>
          </w:p>
        </w:tc>
        <w:tc>
          <w:tcPr>
            <w:tcW w:w="1669" w:type="dxa"/>
          </w:tcPr>
          <w:p w14:paraId="2BBCE2E1" w14:textId="77777777" w:rsidR="00950014" w:rsidRPr="00CC2660" w:rsidRDefault="00950014" w:rsidP="00FB1435">
            <w:pPr>
              <w:jc w:val="center"/>
              <w:rPr>
                <w:rFonts w:ascii="Arial" w:hAnsi="Arial" w:cs="Arial"/>
                <w:sz w:val="20"/>
                <w:szCs w:val="20"/>
              </w:rPr>
            </w:pPr>
          </w:p>
        </w:tc>
        <w:tc>
          <w:tcPr>
            <w:tcW w:w="770" w:type="dxa"/>
          </w:tcPr>
          <w:p w14:paraId="085898B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w:t>
            </w:r>
          </w:p>
        </w:tc>
        <w:tc>
          <w:tcPr>
            <w:tcW w:w="805" w:type="dxa"/>
          </w:tcPr>
          <w:p w14:paraId="49E6BF0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31</w:t>
            </w:r>
          </w:p>
        </w:tc>
        <w:tc>
          <w:tcPr>
            <w:tcW w:w="730" w:type="dxa"/>
          </w:tcPr>
          <w:p w14:paraId="343B4BA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75</w:t>
            </w:r>
          </w:p>
        </w:tc>
        <w:tc>
          <w:tcPr>
            <w:tcW w:w="1153" w:type="dxa"/>
            <w:gridSpan w:val="2"/>
          </w:tcPr>
          <w:p w14:paraId="61D1426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42</w:t>
            </w:r>
          </w:p>
        </w:tc>
        <w:tc>
          <w:tcPr>
            <w:tcW w:w="829" w:type="dxa"/>
          </w:tcPr>
          <w:p w14:paraId="33ECED8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57</w:t>
            </w:r>
          </w:p>
        </w:tc>
      </w:tr>
      <w:tr w:rsidR="00950014" w14:paraId="1D48B424" w14:textId="77777777" w:rsidTr="00FB1435">
        <w:trPr>
          <w:trHeight w:val="183"/>
        </w:trPr>
        <w:tc>
          <w:tcPr>
            <w:tcW w:w="2596" w:type="dxa"/>
          </w:tcPr>
          <w:p w14:paraId="735AE2C6" w14:textId="77777777" w:rsidR="00950014" w:rsidRPr="00CC2660" w:rsidRDefault="00950014" w:rsidP="00FB1435">
            <w:pPr>
              <w:rPr>
                <w:rFonts w:ascii="Arial" w:hAnsi="Arial" w:cs="Arial"/>
                <w:sz w:val="20"/>
                <w:szCs w:val="20"/>
              </w:rPr>
            </w:pPr>
          </w:p>
        </w:tc>
        <w:tc>
          <w:tcPr>
            <w:tcW w:w="1669" w:type="dxa"/>
          </w:tcPr>
          <w:p w14:paraId="00BAB3EE" w14:textId="77777777" w:rsidR="00950014" w:rsidRPr="00CC2660" w:rsidRDefault="00950014" w:rsidP="00FB1435">
            <w:pPr>
              <w:rPr>
                <w:rFonts w:ascii="Arial" w:hAnsi="Arial" w:cs="Arial"/>
                <w:sz w:val="20"/>
                <w:szCs w:val="20"/>
              </w:rPr>
            </w:pPr>
          </w:p>
        </w:tc>
        <w:tc>
          <w:tcPr>
            <w:tcW w:w="4287" w:type="dxa"/>
            <w:gridSpan w:val="6"/>
          </w:tcPr>
          <w:p w14:paraId="1595577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r>
      <w:tr w:rsidR="00950014" w14:paraId="0C9033AB" w14:textId="77777777" w:rsidTr="00FB1435">
        <w:trPr>
          <w:trHeight w:val="183"/>
        </w:trPr>
        <w:tc>
          <w:tcPr>
            <w:tcW w:w="2596" w:type="dxa"/>
          </w:tcPr>
          <w:p w14:paraId="0933947F" w14:textId="77777777" w:rsidR="00950014" w:rsidRPr="00CC2660" w:rsidRDefault="00950014" w:rsidP="00FB1435">
            <w:pPr>
              <w:rPr>
                <w:rFonts w:ascii="Arial" w:hAnsi="Arial" w:cs="Arial"/>
                <w:sz w:val="20"/>
                <w:szCs w:val="20"/>
              </w:rPr>
            </w:pPr>
            <w:r w:rsidRPr="00CC2660">
              <w:rPr>
                <w:rFonts w:ascii="Arial" w:hAnsi="Arial" w:cs="Arial"/>
                <w:sz w:val="20"/>
                <w:szCs w:val="20"/>
              </w:rPr>
              <w:t>Check</w:t>
            </w:r>
          </w:p>
        </w:tc>
        <w:tc>
          <w:tcPr>
            <w:tcW w:w="1669" w:type="dxa"/>
          </w:tcPr>
          <w:p w14:paraId="1AD48BF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c>
          <w:tcPr>
            <w:tcW w:w="770" w:type="dxa"/>
          </w:tcPr>
          <w:p w14:paraId="6709566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805" w:type="dxa"/>
          </w:tcPr>
          <w:p w14:paraId="6C45B32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730" w:type="dxa"/>
          </w:tcPr>
          <w:p w14:paraId="48F6EAF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1153" w:type="dxa"/>
            <w:gridSpan w:val="2"/>
          </w:tcPr>
          <w:p w14:paraId="43A19D4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829" w:type="dxa"/>
          </w:tcPr>
          <w:p w14:paraId="2A1BEE4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r>
      <w:tr w:rsidR="00950014" w14:paraId="2262E746" w14:textId="77777777" w:rsidTr="00FB1435">
        <w:trPr>
          <w:trHeight w:val="180"/>
        </w:trPr>
        <w:tc>
          <w:tcPr>
            <w:tcW w:w="2596" w:type="dxa"/>
          </w:tcPr>
          <w:p w14:paraId="131AEADC"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+ 2,4-D</w:t>
            </w:r>
          </w:p>
        </w:tc>
        <w:tc>
          <w:tcPr>
            <w:tcW w:w="1669" w:type="dxa"/>
          </w:tcPr>
          <w:p w14:paraId="0AB0B53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+ 2339</w:t>
            </w:r>
          </w:p>
        </w:tc>
        <w:tc>
          <w:tcPr>
            <w:tcW w:w="770" w:type="dxa"/>
          </w:tcPr>
          <w:p w14:paraId="3823E64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47</w:t>
            </w:r>
          </w:p>
        </w:tc>
        <w:tc>
          <w:tcPr>
            <w:tcW w:w="805" w:type="dxa"/>
          </w:tcPr>
          <w:p w14:paraId="5446049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1D2AE3A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55</w:t>
            </w:r>
          </w:p>
        </w:tc>
        <w:tc>
          <w:tcPr>
            <w:tcW w:w="1153" w:type="dxa"/>
            <w:gridSpan w:val="2"/>
          </w:tcPr>
          <w:p w14:paraId="116D675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29" w:type="dxa"/>
          </w:tcPr>
          <w:p w14:paraId="2D2292B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72</w:t>
            </w:r>
          </w:p>
        </w:tc>
      </w:tr>
      <w:tr w:rsidR="00950014" w14:paraId="4804F770" w14:textId="77777777" w:rsidTr="00FB1435">
        <w:trPr>
          <w:trHeight w:val="277"/>
        </w:trPr>
        <w:tc>
          <w:tcPr>
            <w:tcW w:w="2596" w:type="dxa"/>
          </w:tcPr>
          <w:p w14:paraId="474F20C7"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glyphosate</w:t>
            </w:r>
          </w:p>
        </w:tc>
        <w:tc>
          <w:tcPr>
            <w:tcW w:w="1669" w:type="dxa"/>
          </w:tcPr>
          <w:p w14:paraId="41A93C8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+ 2339</w:t>
            </w:r>
          </w:p>
        </w:tc>
        <w:tc>
          <w:tcPr>
            <w:tcW w:w="770" w:type="dxa"/>
          </w:tcPr>
          <w:p w14:paraId="1484A0E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67</w:t>
            </w:r>
          </w:p>
        </w:tc>
        <w:tc>
          <w:tcPr>
            <w:tcW w:w="805" w:type="dxa"/>
          </w:tcPr>
          <w:p w14:paraId="3F1E645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0BFB1E1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42</w:t>
            </w:r>
          </w:p>
        </w:tc>
        <w:tc>
          <w:tcPr>
            <w:tcW w:w="1153" w:type="dxa"/>
            <w:gridSpan w:val="2"/>
          </w:tcPr>
          <w:p w14:paraId="3BBE27B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29" w:type="dxa"/>
          </w:tcPr>
          <w:p w14:paraId="09060BF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62</w:t>
            </w:r>
          </w:p>
        </w:tc>
      </w:tr>
      <w:tr w:rsidR="00950014" w14:paraId="77E739F9" w14:textId="77777777" w:rsidTr="00FB1435">
        <w:trPr>
          <w:trHeight w:val="481"/>
        </w:trPr>
        <w:tc>
          <w:tcPr>
            <w:tcW w:w="2596" w:type="dxa"/>
          </w:tcPr>
          <w:p w14:paraId="01956A32" w14:textId="77777777" w:rsidR="00950014" w:rsidRPr="00CC2660" w:rsidRDefault="00950014" w:rsidP="00FB1435">
            <w:pPr>
              <w:rPr>
                <w:rFonts w:ascii="Arial" w:hAnsi="Arial" w:cs="Arial"/>
                <w:sz w:val="20"/>
                <w:szCs w:val="20"/>
              </w:rPr>
            </w:pPr>
            <w:bookmarkStart w:id="4" w:name="_Hlk219441508"/>
            <w:proofErr w:type="spellStart"/>
            <w:r w:rsidRPr="00CC2660">
              <w:rPr>
                <w:rFonts w:ascii="Arial" w:hAnsi="Arial" w:cs="Arial"/>
                <w:sz w:val="20"/>
                <w:szCs w:val="20"/>
              </w:rPr>
              <w:t>Rimsulfuron</w:t>
            </w:r>
            <w:proofErr w:type="spellEnd"/>
            <w:r w:rsidRPr="00CC2660">
              <w:rPr>
                <w:rFonts w:ascii="Arial" w:hAnsi="Arial" w:cs="Arial"/>
                <w:sz w:val="20"/>
                <w:szCs w:val="20"/>
              </w:rPr>
              <w:t xml:space="preserve"> + </w:t>
            </w:r>
            <w:proofErr w:type="spellStart"/>
            <w:r w:rsidRPr="00CC2660">
              <w:rPr>
                <w:rFonts w:ascii="Arial" w:hAnsi="Arial" w:cs="Arial"/>
                <w:sz w:val="20"/>
                <w:szCs w:val="20"/>
              </w:rPr>
              <w:t>thifensulfuron-methyl</w:t>
            </w:r>
            <w:r w:rsidRPr="00CC2660">
              <w:rPr>
                <w:rFonts w:ascii="Arial" w:hAnsi="Arial" w:cs="Arial"/>
                <w:sz w:val="20"/>
                <w:szCs w:val="20"/>
                <w:vertAlign w:val="superscript"/>
              </w:rPr>
              <w:t>b</w:t>
            </w:r>
            <w:proofErr w:type="spellEnd"/>
            <w:r w:rsidRPr="00CC2660">
              <w:rPr>
                <w:rFonts w:ascii="Arial" w:hAnsi="Arial" w:cs="Arial"/>
                <w:sz w:val="20"/>
                <w:szCs w:val="20"/>
              </w:rPr>
              <w:t xml:space="preserve"> </w:t>
            </w:r>
            <w:bookmarkEnd w:id="4"/>
            <w:r w:rsidRPr="00CC2660">
              <w:rPr>
                <w:rFonts w:ascii="Arial" w:hAnsi="Arial" w:cs="Arial"/>
                <w:sz w:val="20"/>
                <w:szCs w:val="20"/>
              </w:rPr>
              <w:t>+ glyphosate</w:t>
            </w:r>
          </w:p>
        </w:tc>
        <w:tc>
          <w:tcPr>
            <w:tcW w:w="1669" w:type="dxa"/>
          </w:tcPr>
          <w:p w14:paraId="5C179FD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w:t>
            </w:r>
          </w:p>
          <w:p w14:paraId="115C8E6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w:t>
            </w:r>
          </w:p>
          <w:p w14:paraId="26CF84F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w:t>
            </w:r>
          </w:p>
        </w:tc>
        <w:tc>
          <w:tcPr>
            <w:tcW w:w="770" w:type="dxa"/>
          </w:tcPr>
          <w:p w14:paraId="022CF47D" w14:textId="77777777" w:rsidR="00950014" w:rsidRDefault="00950014" w:rsidP="00FB1435">
            <w:pPr>
              <w:jc w:val="center"/>
              <w:rPr>
                <w:rFonts w:ascii="Arial" w:hAnsi="Arial" w:cs="Arial"/>
                <w:sz w:val="20"/>
                <w:szCs w:val="20"/>
              </w:rPr>
            </w:pPr>
          </w:p>
          <w:p w14:paraId="11AC237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53</w:t>
            </w:r>
          </w:p>
        </w:tc>
        <w:tc>
          <w:tcPr>
            <w:tcW w:w="805" w:type="dxa"/>
          </w:tcPr>
          <w:p w14:paraId="13D8A390" w14:textId="77777777" w:rsidR="00950014" w:rsidRDefault="00950014" w:rsidP="00FB1435">
            <w:pPr>
              <w:jc w:val="center"/>
              <w:rPr>
                <w:rFonts w:ascii="Arial" w:hAnsi="Arial" w:cs="Arial"/>
                <w:sz w:val="20"/>
                <w:szCs w:val="20"/>
              </w:rPr>
            </w:pPr>
          </w:p>
          <w:p w14:paraId="790778F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c>
          <w:tcPr>
            <w:tcW w:w="730" w:type="dxa"/>
          </w:tcPr>
          <w:p w14:paraId="2EB7A725" w14:textId="77777777" w:rsidR="00950014" w:rsidRDefault="00950014" w:rsidP="00FB1435">
            <w:pPr>
              <w:jc w:val="center"/>
              <w:rPr>
                <w:rFonts w:ascii="Arial" w:hAnsi="Arial" w:cs="Arial"/>
                <w:sz w:val="20"/>
                <w:szCs w:val="20"/>
              </w:rPr>
            </w:pPr>
          </w:p>
          <w:p w14:paraId="5693F80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96</w:t>
            </w:r>
          </w:p>
        </w:tc>
        <w:tc>
          <w:tcPr>
            <w:tcW w:w="1153" w:type="dxa"/>
            <w:gridSpan w:val="2"/>
          </w:tcPr>
          <w:p w14:paraId="059E15BC" w14:textId="77777777" w:rsidR="00950014" w:rsidRDefault="00950014" w:rsidP="00FB1435">
            <w:pPr>
              <w:jc w:val="center"/>
              <w:rPr>
                <w:rFonts w:ascii="Arial" w:hAnsi="Arial" w:cs="Arial"/>
                <w:sz w:val="20"/>
                <w:szCs w:val="20"/>
              </w:rPr>
            </w:pPr>
          </w:p>
          <w:p w14:paraId="1CB478D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29" w:type="dxa"/>
          </w:tcPr>
          <w:p w14:paraId="528C4B4F" w14:textId="77777777" w:rsidR="00950014" w:rsidRDefault="00950014" w:rsidP="00FB1435">
            <w:pPr>
              <w:jc w:val="center"/>
              <w:rPr>
                <w:rFonts w:ascii="Arial" w:hAnsi="Arial" w:cs="Arial"/>
                <w:sz w:val="20"/>
                <w:szCs w:val="20"/>
              </w:rPr>
            </w:pPr>
          </w:p>
          <w:p w14:paraId="6B31FDE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78</w:t>
            </w:r>
          </w:p>
        </w:tc>
      </w:tr>
      <w:tr w:rsidR="00950014" w14:paraId="77CF824A" w14:textId="77777777" w:rsidTr="00FB1435">
        <w:trPr>
          <w:trHeight w:val="460"/>
        </w:trPr>
        <w:tc>
          <w:tcPr>
            <w:tcW w:w="2596" w:type="dxa"/>
          </w:tcPr>
          <w:p w14:paraId="7CA7ED61" w14:textId="77777777" w:rsidR="00950014" w:rsidRPr="00CC2660" w:rsidRDefault="00950014" w:rsidP="00FB1435">
            <w:pPr>
              <w:rPr>
                <w:rFonts w:ascii="Arial" w:hAnsi="Arial" w:cs="Arial"/>
                <w:sz w:val="20"/>
                <w:szCs w:val="20"/>
              </w:rPr>
            </w:pPr>
            <w:r w:rsidRPr="00CC2660">
              <w:rPr>
                <w:rFonts w:ascii="Arial" w:hAnsi="Arial" w:cs="Arial"/>
                <w:sz w:val="20"/>
                <w:szCs w:val="20"/>
              </w:rPr>
              <w:t xml:space="preserve">Atrazine + </w:t>
            </w:r>
            <w:proofErr w:type="spellStart"/>
            <w:r w:rsidRPr="00CC2660">
              <w:rPr>
                <w:rFonts w:ascii="Arial" w:hAnsi="Arial" w:cs="Arial"/>
                <w:sz w:val="20"/>
                <w:szCs w:val="20"/>
              </w:rPr>
              <w:t>rimsulfuron</w:t>
            </w:r>
            <w:proofErr w:type="spellEnd"/>
            <w:r w:rsidRPr="00CC2660">
              <w:rPr>
                <w:rFonts w:ascii="Arial" w:hAnsi="Arial" w:cs="Arial"/>
                <w:sz w:val="20"/>
                <w:szCs w:val="20"/>
              </w:rPr>
              <w:t xml:space="preserve"> + </w:t>
            </w:r>
            <w:proofErr w:type="spellStart"/>
            <w:r w:rsidRPr="00CC2660">
              <w:rPr>
                <w:rFonts w:ascii="Arial" w:hAnsi="Arial" w:cs="Arial"/>
                <w:sz w:val="20"/>
                <w:szCs w:val="20"/>
              </w:rPr>
              <w:t>thifensulfuron</w:t>
            </w:r>
            <w:proofErr w:type="spellEnd"/>
            <w:r w:rsidRPr="00CC2660">
              <w:rPr>
                <w:rFonts w:ascii="Arial" w:hAnsi="Arial" w:cs="Arial"/>
                <w:sz w:val="20"/>
                <w:szCs w:val="20"/>
              </w:rPr>
              <w:t>-methyl</w:t>
            </w:r>
          </w:p>
        </w:tc>
        <w:tc>
          <w:tcPr>
            <w:tcW w:w="1669" w:type="dxa"/>
          </w:tcPr>
          <w:p w14:paraId="514AA00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w:t>
            </w:r>
          </w:p>
          <w:p w14:paraId="36EA9EF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+ 19.8</w:t>
            </w:r>
          </w:p>
        </w:tc>
        <w:tc>
          <w:tcPr>
            <w:tcW w:w="770" w:type="dxa"/>
          </w:tcPr>
          <w:p w14:paraId="61E027F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57</w:t>
            </w:r>
          </w:p>
        </w:tc>
        <w:tc>
          <w:tcPr>
            <w:tcW w:w="805" w:type="dxa"/>
          </w:tcPr>
          <w:p w14:paraId="6F6A133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536FC859"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97</w:t>
            </w:r>
          </w:p>
        </w:tc>
        <w:tc>
          <w:tcPr>
            <w:tcW w:w="1098" w:type="dxa"/>
          </w:tcPr>
          <w:p w14:paraId="0265CDF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169BF33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83</w:t>
            </w:r>
          </w:p>
        </w:tc>
      </w:tr>
      <w:tr w:rsidR="00950014" w14:paraId="46BAD280" w14:textId="77777777" w:rsidTr="00FB1435">
        <w:trPr>
          <w:trHeight w:val="237"/>
        </w:trPr>
        <w:tc>
          <w:tcPr>
            <w:tcW w:w="2596" w:type="dxa"/>
          </w:tcPr>
          <w:p w14:paraId="6EC64FE2" w14:textId="77777777" w:rsidR="00950014" w:rsidRPr="00CC2660" w:rsidRDefault="00950014" w:rsidP="00FB1435">
            <w:pPr>
              <w:rPr>
                <w:rFonts w:ascii="Arial" w:hAnsi="Arial" w:cs="Arial"/>
                <w:sz w:val="20"/>
                <w:szCs w:val="20"/>
              </w:rPr>
            </w:pPr>
            <w:r w:rsidRPr="00CC2660">
              <w:rPr>
                <w:rFonts w:ascii="Arial" w:hAnsi="Arial" w:cs="Arial"/>
                <w:sz w:val="20"/>
                <w:szCs w:val="20"/>
              </w:rPr>
              <w:t>Flumioxazin</w:t>
            </w:r>
          </w:p>
        </w:tc>
        <w:tc>
          <w:tcPr>
            <w:tcW w:w="1669" w:type="dxa"/>
          </w:tcPr>
          <w:p w14:paraId="48F38CC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146.1</w:t>
            </w:r>
          </w:p>
        </w:tc>
        <w:tc>
          <w:tcPr>
            <w:tcW w:w="770" w:type="dxa"/>
          </w:tcPr>
          <w:p w14:paraId="426DB6D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93</w:t>
            </w:r>
          </w:p>
        </w:tc>
        <w:tc>
          <w:tcPr>
            <w:tcW w:w="805" w:type="dxa"/>
          </w:tcPr>
          <w:p w14:paraId="060C478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20219FD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73</w:t>
            </w:r>
          </w:p>
        </w:tc>
        <w:tc>
          <w:tcPr>
            <w:tcW w:w="1098" w:type="dxa"/>
          </w:tcPr>
          <w:p w14:paraId="44FE277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97</w:t>
            </w:r>
          </w:p>
        </w:tc>
        <w:tc>
          <w:tcPr>
            <w:tcW w:w="884" w:type="dxa"/>
            <w:gridSpan w:val="2"/>
          </w:tcPr>
          <w:p w14:paraId="653BEB3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91</w:t>
            </w:r>
          </w:p>
        </w:tc>
      </w:tr>
      <w:tr w:rsidR="00950014" w14:paraId="0DAD8DC0" w14:textId="77777777" w:rsidTr="00FB1435">
        <w:trPr>
          <w:trHeight w:val="237"/>
        </w:trPr>
        <w:tc>
          <w:tcPr>
            <w:tcW w:w="2596" w:type="dxa"/>
          </w:tcPr>
          <w:p w14:paraId="082A6394" w14:textId="77777777" w:rsidR="00950014" w:rsidRPr="00CC2660" w:rsidRDefault="00950014" w:rsidP="00FB1435">
            <w:pPr>
              <w:rPr>
                <w:rFonts w:ascii="Arial" w:hAnsi="Arial" w:cs="Arial"/>
                <w:sz w:val="20"/>
                <w:szCs w:val="20"/>
              </w:rPr>
            </w:pPr>
            <w:r w:rsidRPr="00CC2660">
              <w:rPr>
                <w:rFonts w:ascii="Arial" w:hAnsi="Arial" w:cs="Arial"/>
                <w:sz w:val="20"/>
                <w:szCs w:val="20"/>
              </w:rPr>
              <w:t>Flumioxazin</w:t>
            </w:r>
          </w:p>
        </w:tc>
        <w:tc>
          <w:tcPr>
            <w:tcW w:w="1669" w:type="dxa"/>
          </w:tcPr>
          <w:p w14:paraId="5D3AC78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219.2</w:t>
            </w:r>
          </w:p>
        </w:tc>
        <w:tc>
          <w:tcPr>
            <w:tcW w:w="770" w:type="dxa"/>
          </w:tcPr>
          <w:p w14:paraId="33059109"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c>
          <w:tcPr>
            <w:tcW w:w="805" w:type="dxa"/>
          </w:tcPr>
          <w:p w14:paraId="7799DDE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64E4079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71</w:t>
            </w:r>
          </w:p>
        </w:tc>
        <w:tc>
          <w:tcPr>
            <w:tcW w:w="1098" w:type="dxa"/>
          </w:tcPr>
          <w:p w14:paraId="1B04301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0AB6462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r>
      <w:tr w:rsidR="00950014" w14:paraId="4C9ECB2C" w14:textId="77777777" w:rsidTr="00FB1435">
        <w:trPr>
          <w:trHeight w:val="460"/>
        </w:trPr>
        <w:tc>
          <w:tcPr>
            <w:tcW w:w="2596" w:type="dxa"/>
          </w:tcPr>
          <w:p w14:paraId="5623BAD7" w14:textId="77777777" w:rsidR="00950014" w:rsidRPr="00CC2660" w:rsidRDefault="00950014" w:rsidP="00FB1435">
            <w:pPr>
              <w:rPr>
                <w:rFonts w:ascii="Arial" w:hAnsi="Arial" w:cs="Arial"/>
                <w:sz w:val="20"/>
                <w:szCs w:val="20"/>
                <w:vertAlign w:val="superscript"/>
              </w:rPr>
            </w:pPr>
            <w:r w:rsidRPr="00CC2660">
              <w:rPr>
                <w:rFonts w:ascii="Arial" w:hAnsi="Arial" w:cs="Arial"/>
                <w:sz w:val="20"/>
                <w:szCs w:val="20"/>
              </w:rPr>
              <w:t xml:space="preserve">Flumioxazin + </w:t>
            </w:r>
            <w:proofErr w:type="spellStart"/>
            <w:r w:rsidRPr="00CC2660">
              <w:rPr>
                <w:rFonts w:ascii="Arial" w:hAnsi="Arial" w:cs="Arial"/>
                <w:sz w:val="20"/>
                <w:szCs w:val="20"/>
              </w:rPr>
              <w:t>pyroxasulfone</w:t>
            </w:r>
            <w:r w:rsidRPr="00CC2660">
              <w:rPr>
                <w:rFonts w:ascii="Arial" w:hAnsi="Arial" w:cs="Arial"/>
                <w:sz w:val="20"/>
                <w:szCs w:val="20"/>
                <w:vertAlign w:val="superscript"/>
              </w:rPr>
              <w:t>c</w:t>
            </w:r>
            <w:proofErr w:type="spellEnd"/>
          </w:p>
        </w:tc>
        <w:tc>
          <w:tcPr>
            <w:tcW w:w="1669" w:type="dxa"/>
          </w:tcPr>
          <w:p w14:paraId="33C3BDD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73.4 +</w:t>
            </w:r>
          </w:p>
          <w:p w14:paraId="7757DFD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93.2</w:t>
            </w:r>
          </w:p>
        </w:tc>
        <w:tc>
          <w:tcPr>
            <w:tcW w:w="770" w:type="dxa"/>
          </w:tcPr>
          <w:p w14:paraId="01330E0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96</w:t>
            </w:r>
          </w:p>
        </w:tc>
        <w:tc>
          <w:tcPr>
            <w:tcW w:w="805" w:type="dxa"/>
          </w:tcPr>
          <w:p w14:paraId="1EAEE59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36A97AD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95</w:t>
            </w:r>
          </w:p>
        </w:tc>
        <w:tc>
          <w:tcPr>
            <w:tcW w:w="1098" w:type="dxa"/>
          </w:tcPr>
          <w:p w14:paraId="1ED9571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c>
          <w:tcPr>
            <w:tcW w:w="884" w:type="dxa"/>
            <w:gridSpan w:val="2"/>
          </w:tcPr>
          <w:p w14:paraId="12EDECB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95</w:t>
            </w:r>
          </w:p>
        </w:tc>
      </w:tr>
      <w:tr w:rsidR="00950014" w14:paraId="6C500512" w14:textId="77777777" w:rsidTr="00FB1435">
        <w:trPr>
          <w:trHeight w:val="315"/>
        </w:trPr>
        <w:tc>
          <w:tcPr>
            <w:tcW w:w="2596" w:type="dxa"/>
          </w:tcPr>
          <w:p w14:paraId="02E534A6" w14:textId="77777777" w:rsidR="00950014" w:rsidRPr="00CC2660" w:rsidRDefault="00950014" w:rsidP="00FB1435">
            <w:pPr>
              <w:rPr>
                <w:rFonts w:ascii="Arial" w:hAnsi="Arial" w:cs="Arial"/>
                <w:sz w:val="20"/>
                <w:szCs w:val="20"/>
              </w:rPr>
            </w:pPr>
            <w:proofErr w:type="spellStart"/>
            <w:r w:rsidRPr="00CC2660">
              <w:rPr>
                <w:rFonts w:ascii="Arial" w:hAnsi="Arial" w:cs="Arial"/>
                <w:sz w:val="20"/>
                <w:szCs w:val="20"/>
              </w:rPr>
              <w:t>Saflufenacil</w:t>
            </w:r>
            <w:proofErr w:type="spellEnd"/>
          </w:p>
        </w:tc>
        <w:tc>
          <w:tcPr>
            <w:tcW w:w="1669" w:type="dxa"/>
          </w:tcPr>
          <w:p w14:paraId="2E2179B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146.1</w:t>
            </w:r>
          </w:p>
        </w:tc>
        <w:tc>
          <w:tcPr>
            <w:tcW w:w="770" w:type="dxa"/>
          </w:tcPr>
          <w:p w14:paraId="5547C1F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97</w:t>
            </w:r>
          </w:p>
        </w:tc>
        <w:tc>
          <w:tcPr>
            <w:tcW w:w="805" w:type="dxa"/>
          </w:tcPr>
          <w:p w14:paraId="3CE9191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88</w:t>
            </w:r>
          </w:p>
        </w:tc>
        <w:tc>
          <w:tcPr>
            <w:tcW w:w="730" w:type="dxa"/>
          </w:tcPr>
          <w:p w14:paraId="5573701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74</w:t>
            </w:r>
          </w:p>
        </w:tc>
        <w:tc>
          <w:tcPr>
            <w:tcW w:w="1098" w:type="dxa"/>
          </w:tcPr>
          <w:p w14:paraId="489F6D0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57</w:t>
            </w:r>
          </w:p>
        </w:tc>
        <w:tc>
          <w:tcPr>
            <w:tcW w:w="884" w:type="dxa"/>
            <w:gridSpan w:val="2"/>
          </w:tcPr>
          <w:p w14:paraId="2725B2F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88</w:t>
            </w:r>
          </w:p>
        </w:tc>
      </w:tr>
      <w:tr w:rsidR="00950014" w14:paraId="13F60E66" w14:textId="77777777" w:rsidTr="00FB1435">
        <w:trPr>
          <w:trHeight w:val="315"/>
        </w:trPr>
        <w:tc>
          <w:tcPr>
            <w:tcW w:w="2596" w:type="dxa"/>
          </w:tcPr>
          <w:p w14:paraId="54DF8517" w14:textId="546F24AF" w:rsidR="00950014" w:rsidRPr="00CC2660" w:rsidRDefault="00950014" w:rsidP="00FB1435">
            <w:pPr>
              <w:rPr>
                <w:rFonts w:ascii="Arial" w:hAnsi="Arial" w:cs="Arial"/>
                <w:sz w:val="20"/>
                <w:szCs w:val="20"/>
              </w:rPr>
            </w:pPr>
            <w:r w:rsidRPr="00CC2660">
              <w:rPr>
                <w:rFonts w:ascii="Arial" w:hAnsi="Arial" w:cs="Arial"/>
                <w:sz w:val="20"/>
                <w:szCs w:val="20"/>
              </w:rPr>
              <w:t xml:space="preserve">Flumioxazin + </w:t>
            </w:r>
            <w:proofErr w:type="spellStart"/>
            <w:r w:rsidRPr="00CC2660">
              <w:rPr>
                <w:rFonts w:ascii="Arial" w:hAnsi="Arial" w:cs="Arial"/>
                <w:sz w:val="20"/>
                <w:szCs w:val="20"/>
              </w:rPr>
              <w:t>thifensulfuron</w:t>
            </w:r>
            <w:proofErr w:type="spellEnd"/>
            <w:r w:rsidRPr="00CC2660">
              <w:rPr>
                <w:rFonts w:ascii="Arial" w:hAnsi="Arial" w:cs="Arial"/>
                <w:sz w:val="20"/>
                <w:szCs w:val="20"/>
              </w:rPr>
              <w:t>-methyl +</w:t>
            </w:r>
          </w:p>
          <w:p w14:paraId="1E019F72" w14:textId="3ABA3472" w:rsidR="00950014" w:rsidRPr="00CC2660" w:rsidRDefault="00D40BA1" w:rsidP="00FB1435">
            <w:pPr>
              <w:rPr>
                <w:rFonts w:ascii="Arial" w:hAnsi="Arial" w:cs="Arial"/>
                <w:sz w:val="20"/>
                <w:szCs w:val="20"/>
              </w:rPr>
            </w:pPr>
            <w:proofErr w:type="spellStart"/>
            <w:r>
              <w:rPr>
                <w:rFonts w:ascii="Arial" w:hAnsi="Arial" w:cs="Arial"/>
                <w:sz w:val="20"/>
                <w:szCs w:val="20"/>
              </w:rPr>
              <w:t>t</w:t>
            </w:r>
            <w:r w:rsidR="00950014" w:rsidRPr="00CC2660">
              <w:rPr>
                <w:rFonts w:ascii="Arial" w:hAnsi="Arial" w:cs="Arial"/>
                <w:sz w:val="20"/>
                <w:szCs w:val="20"/>
              </w:rPr>
              <w:t>ribenuron-methyl</w:t>
            </w:r>
            <w:r w:rsidR="00950014" w:rsidRPr="00CC2660">
              <w:rPr>
                <w:rFonts w:ascii="Arial" w:hAnsi="Arial" w:cs="Arial"/>
                <w:sz w:val="20"/>
                <w:szCs w:val="20"/>
                <w:vertAlign w:val="superscript"/>
              </w:rPr>
              <w:t>d</w:t>
            </w:r>
            <w:proofErr w:type="spellEnd"/>
            <w:r w:rsidR="00950014" w:rsidRPr="00CC2660">
              <w:rPr>
                <w:rFonts w:ascii="Arial" w:hAnsi="Arial" w:cs="Arial"/>
                <w:sz w:val="20"/>
                <w:szCs w:val="20"/>
              </w:rPr>
              <w:t xml:space="preserve"> +</w:t>
            </w:r>
          </w:p>
          <w:p w14:paraId="3F4E94F5" w14:textId="77777777" w:rsidR="00950014" w:rsidRPr="00CC2660" w:rsidRDefault="00950014" w:rsidP="00FB1435">
            <w:pPr>
              <w:rPr>
                <w:rFonts w:ascii="Arial" w:hAnsi="Arial" w:cs="Arial"/>
                <w:sz w:val="20"/>
                <w:szCs w:val="20"/>
              </w:rPr>
            </w:pPr>
            <w:r w:rsidRPr="00CC2660">
              <w:rPr>
                <w:rFonts w:ascii="Arial" w:hAnsi="Arial" w:cs="Arial"/>
                <w:sz w:val="20"/>
                <w:szCs w:val="20"/>
              </w:rPr>
              <w:t>glyphosate</w:t>
            </w:r>
          </w:p>
        </w:tc>
        <w:tc>
          <w:tcPr>
            <w:tcW w:w="1669" w:type="dxa"/>
          </w:tcPr>
          <w:p w14:paraId="44B54BD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74.5 +</w:t>
            </w:r>
          </w:p>
          <w:p w14:paraId="7A2BC3A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9.1 +</w:t>
            </w:r>
          </w:p>
          <w:p w14:paraId="7BFDFF9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9.1+</w:t>
            </w:r>
          </w:p>
          <w:p w14:paraId="5A430B9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w:t>
            </w:r>
          </w:p>
        </w:tc>
        <w:tc>
          <w:tcPr>
            <w:tcW w:w="770" w:type="dxa"/>
          </w:tcPr>
          <w:p w14:paraId="591F66B5" w14:textId="77777777" w:rsidR="00950014" w:rsidRDefault="00950014" w:rsidP="00FB1435">
            <w:pPr>
              <w:jc w:val="center"/>
              <w:rPr>
                <w:rFonts w:ascii="Arial" w:hAnsi="Arial" w:cs="Arial"/>
                <w:sz w:val="20"/>
                <w:szCs w:val="20"/>
              </w:rPr>
            </w:pPr>
          </w:p>
          <w:p w14:paraId="24B40DF7" w14:textId="77777777" w:rsidR="00950014" w:rsidRDefault="00950014" w:rsidP="00FB1435">
            <w:pPr>
              <w:jc w:val="center"/>
              <w:rPr>
                <w:rFonts w:ascii="Arial" w:hAnsi="Arial" w:cs="Arial"/>
                <w:sz w:val="20"/>
                <w:szCs w:val="20"/>
              </w:rPr>
            </w:pPr>
          </w:p>
          <w:p w14:paraId="2A8878E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48</w:t>
            </w:r>
          </w:p>
        </w:tc>
        <w:tc>
          <w:tcPr>
            <w:tcW w:w="805" w:type="dxa"/>
          </w:tcPr>
          <w:p w14:paraId="5092E3EC" w14:textId="77777777" w:rsidR="00950014" w:rsidRDefault="00950014" w:rsidP="00FB1435">
            <w:pPr>
              <w:jc w:val="center"/>
              <w:rPr>
                <w:rFonts w:ascii="Arial" w:hAnsi="Arial" w:cs="Arial"/>
                <w:sz w:val="20"/>
                <w:szCs w:val="20"/>
              </w:rPr>
            </w:pPr>
          </w:p>
          <w:p w14:paraId="2E3EC2CE" w14:textId="77777777" w:rsidR="00950014" w:rsidRDefault="00950014" w:rsidP="00FB1435">
            <w:pPr>
              <w:jc w:val="center"/>
              <w:rPr>
                <w:rFonts w:ascii="Arial" w:hAnsi="Arial" w:cs="Arial"/>
                <w:sz w:val="20"/>
                <w:szCs w:val="20"/>
              </w:rPr>
            </w:pPr>
          </w:p>
          <w:p w14:paraId="38C42C2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58DED3C5" w14:textId="77777777" w:rsidR="00950014" w:rsidRDefault="00950014" w:rsidP="00FB1435">
            <w:pPr>
              <w:jc w:val="center"/>
              <w:rPr>
                <w:rFonts w:ascii="Arial" w:hAnsi="Arial" w:cs="Arial"/>
                <w:sz w:val="20"/>
                <w:szCs w:val="20"/>
              </w:rPr>
            </w:pPr>
          </w:p>
          <w:p w14:paraId="776F1337" w14:textId="77777777" w:rsidR="00950014" w:rsidRDefault="00950014" w:rsidP="00FB1435">
            <w:pPr>
              <w:jc w:val="center"/>
              <w:rPr>
                <w:rFonts w:ascii="Arial" w:hAnsi="Arial" w:cs="Arial"/>
                <w:sz w:val="20"/>
                <w:szCs w:val="20"/>
              </w:rPr>
            </w:pPr>
          </w:p>
          <w:p w14:paraId="7B411F5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73</w:t>
            </w:r>
          </w:p>
        </w:tc>
        <w:tc>
          <w:tcPr>
            <w:tcW w:w="1098" w:type="dxa"/>
          </w:tcPr>
          <w:p w14:paraId="0C5C17E9" w14:textId="77777777" w:rsidR="00950014" w:rsidRDefault="00950014" w:rsidP="00FB1435">
            <w:pPr>
              <w:jc w:val="center"/>
              <w:rPr>
                <w:rFonts w:ascii="Arial" w:hAnsi="Arial" w:cs="Arial"/>
                <w:sz w:val="20"/>
                <w:szCs w:val="20"/>
              </w:rPr>
            </w:pPr>
          </w:p>
          <w:p w14:paraId="440E0E40" w14:textId="77777777" w:rsidR="00950014" w:rsidRDefault="00950014" w:rsidP="00FB1435">
            <w:pPr>
              <w:jc w:val="center"/>
              <w:rPr>
                <w:rFonts w:ascii="Arial" w:hAnsi="Arial" w:cs="Arial"/>
                <w:sz w:val="20"/>
                <w:szCs w:val="20"/>
              </w:rPr>
            </w:pPr>
          </w:p>
          <w:p w14:paraId="6A45877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086AAE62" w14:textId="77777777" w:rsidR="00950014" w:rsidRDefault="00950014" w:rsidP="00FB1435">
            <w:pPr>
              <w:jc w:val="center"/>
              <w:rPr>
                <w:rFonts w:ascii="Arial" w:hAnsi="Arial" w:cs="Arial"/>
                <w:sz w:val="20"/>
                <w:szCs w:val="20"/>
              </w:rPr>
            </w:pPr>
          </w:p>
          <w:p w14:paraId="7FB0AA62" w14:textId="77777777" w:rsidR="00950014" w:rsidRDefault="00950014" w:rsidP="00FB1435">
            <w:pPr>
              <w:jc w:val="center"/>
              <w:rPr>
                <w:rFonts w:ascii="Arial" w:hAnsi="Arial" w:cs="Arial"/>
                <w:sz w:val="20"/>
                <w:szCs w:val="20"/>
              </w:rPr>
            </w:pPr>
          </w:p>
          <w:p w14:paraId="3785681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r>
      <w:tr w:rsidR="00950014" w14:paraId="04F24643" w14:textId="77777777" w:rsidTr="00FB1435">
        <w:trPr>
          <w:trHeight w:val="315"/>
        </w:trPr>
        <w:tc>
          <w:tcPr>
            <w:tcW w:w="2596" w:type="dxa"/>
          </w:tcPr>
          <w:p w14:paraId="619317B3" w14:textId="77777777" w:rsidR="00950014" w:rsidRPr="00CC2660" w:rsidRDefault="00950014" w:rsidP="00FB1435">
            <w:pPr>
              <w:rPr>
                <w:rFonts w:ascii="Arial" w:hAnsi="Arial" w:cs="Arial"/>
                <w:sz w:val="20"/>
                <w:szCs w:val="20"/>
              </w:rPr>
            </w:pPr>
            <w:r w:rsidRPr="00CC2660">
              <w:rPr>
                <w:rFonts w:ascii="Arial" w:hAnsi="Arial" w:cs="Arial"/>
                <w:sz w:val="20"/>
                <w:szCs w:val="20"/>
              </w:rPr>
              <w:t xml:space="preserve">Atrazine + flumioxazin </w:t>
            </w:r>
          </w:p>
        </w:tc>
        <w:tc>
          <w:tcPr>
            <w:tcW w:w="1669" w:type="dxa"/>
          </w:tcPr>
          <w:p w14:paraId="6301142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+ 146.1</w:t>
            </w:r>
          </w:p>
        </w:tc>
        <w:tc>
          <w:tcPr>
            <w:tcW w:w="770" w:type="dxa"/>
          </w:tcPr>
          <w:p w14:paraId="3B6F0C1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90</w:t>
            </w:r>
          </w:p>
        </w:tc>
        <w:tc>
          <w:tcPr>
            <w:tcW w:w="805" w:type="dxa"/>
          </w:tcPr>
          <w:p w14:paraId="2E30764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1435343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83</w:t>
            </w:r>
          </w:p>
        </w:tc>
        <w:tc>
          <w:tcPr>
            <w:tcW w:w="1098" w:type="dxa"/>
          </w:tcPr>
          <w:p w14:paraId="5820057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5F7E222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r>
      <w:tr w:rsidR="00950014" w14:paraId="25744387" w14:textId="77777777" w:rsidTr="00FB1435">
        <w:trPr>
          <w:trHeight w:val="315"/>
        </w:trPr>
        <w:tc>
          <w:tcPr>
            <w:tcW w:w="2596" w:type="dxa"/>
          </w:tcPr>
          <w:p w14:paraId="5D7E1C01" w14:textId="77777777" w:rsidR="00950014" w:rsidRPr="00CC2660" w:rsidRDefault="00950014" w:rsidP="00FB1435">
            <w:pPr>
              <w:rPr>
                <w:rFonts w:ascii="Arial" w:hAnsi="Arial" w:cs="Arial"/>
                <w:sz w:val="20"/>
                <w:szCs w:val="20"/>
              </w:rPr>
            </w:pPr>
            <w:r w:rsidRPr="00CC2660">
              <w:rPr>
                <w:rFonts w:ascii="Arial" w:hAnsi="Arial" w:cs="Arial"/>
                <w:sz w:val="20"/>
                <w:szCs w:val="20"/>
              </w:rPr>
              <w:t xml:space="preserve">Atrazine + flumioxazin + </w:t>
            </w:r>
            <w:proofErr w:type="spellStart"/>
            <w:r w:rsidRPr="00CC2660">
              <w:rPr>
                <w:rFonts w:ascii="Arial" w:hAnsi="Arial" w:cs="Arial"/>
                <w:sz w:val="20"/>
                <w:szCs w:val="20"/>
              </w:rPr>
              <w:t>pyroxasulfone</w:t>
            </w:r>
            <w:proofErr w:type="spellEnd"/>
          </w:p>
        </w:tc>
        <w:tc>
          <w:tcPr>
            <w:tcW w:w="1669" w:type="dxa"/>
          </w:tcPr>
          <w:p w14:paraId="4A053DE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+73.4</w:t>
            </w:r>
          </w:p>
          <w:p w14:paraId="4623FA0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+ 93.2</w:t>
            </w:r>
          </w:p>
        </w:tc>
        <w:tc>
          <w:tcPr>
            <w:tcW w:w="770" w:type="dxa"/>
          </w:tcPr>
          <w:p w14:paraId="6D3C43E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98</w:t>
            </w:r>
          </w:p>
        </w:tc>
        <w:tc>
          <w:tcPr>
            <w:tcW w:w="805" w:type="dxa"/>
          </w:tcPr>
          <w:p w14:paraId="3C05A87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401CDC3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93</w:t>
            </w:r>
          </w:p>
        </w:tc>
        <w:tc>
          <w:tcPr>
            <w:tcW w:w="1098" w:type="dxa"/>
          </w:tcPr>
          <w:p w14:paraId="2E39BF1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7863BDC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r>
      <w:tr w:rsidR="00950014" w14:paraId="0E609222" w14:textId="77777777" w:rsidTr="00FB1435">
        <w:trPr>
          <w:trHeight w:val="218"/>
        </w:trPr>
        <w:tc>
          <w:tcPr>
            <w:tcW w:w="2596" w:type="dxa"/>
          </w:tcPr>
          <w:p w14:paraId="784F4969" w14:textId="77777777" w:rsidR="00950014" w:rsidRPr="00CC2660" w:rsidRDefault="00950014" w:rsidP="00FB1435">
            <w:pPr>
              <w:rPr>
                <w:rFonts w:ascii="Arial" w:hAnsi="Arial" w:cs="Arial"/>
                <w:sz w:val="20"/>
                <w:szCs w:val="20"/>
              </w:rPr>
            </w:pPr>
            <w:r w:rsidRPr="00CC2660">
              <w:rPr>
                <w:rFonts w:ascii="Arial" w:hAnsi="Arial" w:cs="Arial"/>
                <w:sz w:val="20"/>
                <w:szCs w:val="20"/>
              </w:rPr>
              <w:t>Atrazine</w:t>
            </w:r>
          </w:p>
        </w:tc>
        <w:tc>
          <w:tcPr>
            <w:tcW w:w="1669" w:type="dxa"/>
          </w:tcPr>
          <w:p w14:paraId="14C04A4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w:t>
            </w:r>
          </w:p>
        </w:tc>
        <w:tc>
          <w:tcPr>
            <w:tcW w:w="770" w:type="dxa"/>
          </w:tcPr>
          <w:p w14:paraId="2FEDD5C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47</w:t>
            </w:r>
          </w:p>
        </w:tc>
        <w:tc>
          <w:tcPr>
            <w:tcW w:w="805" w:type="dxa"/>
          </w:tcPr>
          <w:p w14:paraId="522E897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5E5D263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48</w:t>
            </w:r>
          </w:p>
        </w:tc>
        <w:tc>
          <w:tcPr>
            <w:tcW w:w="1098" w:type="dxa"/>
          </w:tcPr>
          <w:p w14:paraId="369134A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7B9E990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63</w:t>
            </w:r>
          </w:p>
        </w:tc>
      </w:tr>
      <w:tr w:rsidR="00950014" w14:paraId="62A01B2B" w14:textId="77777777" w:rsidTr="00FB1435">
        <w:trPr>
          <w:trHeight w:val="315"/>
        </w:trPr>
        <w:tc>
          <w:tcPr>
            <w:tcW w:w="2596" w:type="dxa"/>
          </w:tcPr>
          <w:p w14:paraId="29D2E304" w14:textId="77777777" w:rsidR="00950014" w:rsidRPr="00CC2660" w:rsidRDefault="00950014" w:rsidP="00FB1435">
            <w:pPr>
              <w:rPr>
                <w:rFonts w:ascii="Arial" w:hAnsi="Arial" w:cs="Arial"/>
                <w:sz w:val="20"/>
                <w:szCs w:val="20"/>
              </w:rPr>
            </w:pPr>
            <w:proofErr w:type="spellStart"/>
            <w:r w:rsidRPr="00CC2660">
              <w:rPr>
                <w:rFonts w:ascii="Arial" w:hAnsi="Arial" w:cs="Arial"/>
                <w:sz w:val="20"/>
                <w:szCs w:val="20"/>
              </w:rPr>
              <w:t>Rimsulfuron</w:t>
            </w:r>
            <w:proofErr w:type="spellEnd"/>
            <w:r w:rsidRPr="00CC2660">
              <w:rPr>
                <w:rFonts w:ascii="Arial" w:hAnsi="Arial" w:cs="Arial"/>
                <w:sz w:val="20"/>
                <w:szCs w:val="20"/>
              </w:rPr>
              <w:t xml:space="preserve"> + </w:t>
            </w:r>
            <w:proofErr w:type="spellStart"/>
            <w:r w:rsidRPr="00CC2660">
              <w:rPr>
                <w:rFonts w:ascii="Arial" w:hAnsi="Arial" w:cs="Arial"/>
                <w:sz w:val="20"/>
                <w:szCs w:val="20"/>
              </w:rPr>
              <w:t>thifensulfuron</w:t>
            </w:r>
            <w:proofErr w:type="spellEnd"/>
            <w:r w:rsidRPr="00CC2660">
              <w:rPr>
                <w:rFonts w:ascii="Arial" w:hAnsi="Arial" w:cs="Arial"/>
                <w:sz w:val="20"/>
                <w:szCs w:val="20"/>
              </w:rPr>
              <w:t>-methyl</w:t>
            </w:r>
          </w:p>
        </w:tc>
        <w:tc>
          <w:tcPr>
            <w:tcW w:w="1669" w:type="dxa"/>
          </w:tcPr>
          <w:p w14:paraId="1A5BE0E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w:t>
            </w:r>
          </w:p>
          <w:p w14:paraId="51D0C11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w:t>
            </w:r>
          </w:p>
        </w:tc>
        <w:tc>
          <w:tcPr>
            <w:tcW w:w="770" w:type="dxa"/>
          </w:tcPr>
          <w:p w14:paraId="508C2C6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32</w:t>
            </w:r>
          </w:p>
        </w:tc>
        <w:tc>
          <w:tcPr>
            <w:tcW w:w="805" w:type="dxa"/>
          </w:tcPr>
          <w:p w14:paraId="2C913DB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95</w:t>
            </w:r>
          </w:p>
        </w:tc>
        <w:tc>
          <w:tcPr>
            <w:tcW w:w="730" w:type="dxa"/>
          </w:tcPr>
          <w:p w14:paraId="5AF999C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98</w:t>
            </w:r>
          </w:p>
        </w:tc>
        <w:tc>
          <w:tcPr>
            <w:tcW w:w="1098" w:type="dxa"/>
          </w:tcPr>
          <w:p w14:paraId="348E452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c>
          <w:tcPr>
            <w:tcW w:w="884" w:type="dxa"/>
            <w:gridSpan w:val="2"/>
          </w:tcPr>
          <w:p w14:paraId="50FF064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80</w:t>
            </w:r>
          </w:p>
        </w:tc>
      </w:tr>
      <w:tr w:rsidR="00950014" w14:paraId="3BAC045E" w14:textId="77777777" w:rsidTr="00FB1435">
        <w:trPr>
          <w:trHeight w:val="315"/>
        </w:trPr>
        <w:tc>
          <w:tcPr>
            <w:tcW w:w="2596" w:type="dxa"/>
          </w:tcPr>
          <w:p w14:paraId="333F30DD"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paraquat</w:t>
            </w:r>
          </w:p>
        </w:tc>
        <w:tc>
          <w:tcPr>
            <w:tcW w:w="1669" w:type="dxa"/>
          </w:tcPr>
          <w:p w14:paraId="1A426BE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+ 2339</w:t>
            </w:r>
          </w:p>
        </w:tc>
        <w:tc>
          <w:tcPr>
            <w:tcW w:w="770" w:type="dxa"/>
          </w:tcPr>
          <w:p w14:paraId="01311ED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c>
          <w:tcPr>
            <w:tcW w:w="805" w:type="dxa"/>
          </w:tcPr>
          <w:p w14:paraId="54789C8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3219EE5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40</w:t>
            </w:r>
          </w:p>
        </w:tc>
        <w:tc>
          <w:tcPr>
            <w:tcW w:w="1098" w:type="dxa"/>
          </w:tcPr>
          <w:p w14:paraId="27DA4CB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7CBEB829"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63</w:t>
            </w:r>
          </w:p>
        </w:tc>
      </w:tr>
      <w:tr w:rsidR="00950014" w14:paraId="52A61B89" w14:textId="77777777" w:rsidTr="00FB1435">
        <w:trPr>
          <w:trHeight w:val="315"/>
        </w:trPr>
        <w:tc>
          <w:tcPr>
            <w:tcW w:w="2596" w:type="dxa"/>
          </w:tcPr>
          <w:p w14:paraId="51304D35" w14:textId="77777777" w:rsidR="00950014" w:rsidRPr="00CC2660" w:rsidRDefault="00950014" w:rsidP="00FB1435">
            <w:pPr>
              <w:rPr>
                <w:rFonts w:ascii="Arial" w:hAnsi="Arial" w:cs="Arial"/>
                <w:sz w:val="20"/>
                <w:szCs w:val="20"/>
              </w:rPr>
            </w:pPr>
            <w:r w:rsidRPr="00CC2660">
              <w:rPr>
                <w:rFonts w:ascii="Arial" w:hAnsi="Arial" w:cs="Arial"/>
                <w:sz w:val="20"/>
                <w:szCs w:val="20"/>
              </w:rPr>
              <w:t>LSD (0.05)</w:t>
            </w:r>
          </w:p>
        </w:tc>
        <w:tc>
          <w:tcPr>
            <w:tcW w:w="1669" w:type="dxa"/>
          </w:tcPr>
          <w:p w14:paraId="450ED9E6" w14:textId="77777777" w:rsidR="00950014" w:rsidRPr="00CC2660" w:rsidRDefault="00950014" w:rsidP="00FB1435">
            <w:pPr>
              <w:jc w:val="center"/>
              <w:rPr>
                <w:rFonts w:ascii="Arial" w:hAnsi="Arial" w:cs="Arial"/>
                <w:sz w:val="20"/>
                <w:szCs w:val="20"/>
              </w:rPr>
            </w:pPr>
          </w:p>
        </w:tc>
        <w:tc>
          <w:tcPr>
            <w:tcW w:w="770" w:type="dxa"/>
          </w:tcPr>
          <w:p w14:paraId="65CA18C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21</w:t>
            </w:r>
          </w:p>
        </w:tc>
        <w:tc>
          <w:tcPr>
            <w:tcW w:w="805" w:type="dxa"/>
          </w:tcPr>
          <w:p w14:paraId="152499E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w:t>
            </w:r>
          </w:p>
        </w:tc>
        <w:tc>
          <w:tcPr>
            <w:tcW w:w="730" w:type="dxa"/>
          </w:tcPr>
          <w:p w14:paraId="3830FB1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25</w:t>
            </w:r>
          </w:p>
        </w:tc>
        <w:tc>
          <w:tcPr>
            <w:tcW w:w="1098" w:type="dxa"/>
          </w:tcPr>
          <w:p w14:paraId="4A1CDEA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w:t>
            </w:r>
          </w:p>
        </w:tc>
        <w:tc>
          <w:tcPr>
            <w:tcW w:w="884" w:type="dxa"/>
            <w:gridSpan w:val="2"/>
          </w:tcPr>
          <w:p w14:paraId="50972CF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w:t>
            </w:r>
          </w:p>
        </w:tc>
      </w:tr>
      <w:tr w:rsidR="00950014" w14:paraId="15B79EF6" w14:textId="77777777" w:rsidTr="00FB1435">
        <w:trPr>
          <w:trHeight w:val="315"/>
        </w:trPr>
        <w:tc>
          <w:tcPr>
            <w:tcW w:w="8552" w:type="dxa"/>
            <w:gridSpan w:val="8"/>
          </w:tcPr>
          <w:p w14:paraId="497B3BFF" w14:textId="77777777" w:rsidR="00950014" w:rsidRPr="00CC2660" w:rsidRDefault="00950014" w:rsidP="00FB1435">
            <w:pPr>
              <w:rPr>
                <w:rFonts w:ascii="Arial" w:hAnsi="Arial" w:cs="Arial"/>
                <w:sz w:val="20"/>
                <w:szCs w:val="20"/>
              </w:rPr>
            </w:pPr>
            <w:proofErr w:type="spellStart"/>
            <w:r w:rsidRPr="00CC2660">
              <w:rPr>
                <w:rFonts w:ascii="Arial" w:hAnsi="Arial" w:cs="Arial"/>
                <w:sz w:val="20"/>
                <w:szCs w:val="20"/>
                <w:vertAlign w:val="superscript"/>
              </w:rPr>
              <w:t>a</w:t>
            </w:r>
            <w:proofErr w:type="spellEnd"/>
            <w:r w:rsidRPr="00CC2660">
              <w:rPr>
                <w:rFonts w:ascii="Arial" w:hAnsi="Arial" w:cs="Arial"/>
                <w:sz w:val="20"/>
                <w:szCs w:val="20"/>
              </w:rPr>
              <w:t xml:space="preserve"> All treatments included adjuvants as recommended on the product label.</w:t>
            </w:r>
          </w:p>
          <w:p w14:paraId="17B98EB0"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b </w:t>
            </w:r>
            <w:r w:rsidRPr="00CC2660">
              <w:rPr>
                <w:rFonts w:ascii="Arial" w:hAnsi="Arial" w:cs="Arial"/>
                <w:sz w:val="20"/>
                <w:szCs w:val="20"/>
              </w:rPr>
              <w:t>Premix marketed in the US, sold as Leadoff® by Corteva Agriscience™.</w:t>
            </w:r>
          </w:p>
          <w:p w14:paraId="44A3C2BD"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c</w:t>
            </w:r>
            <w:r w:rsidRPr="00CC2660">
              <w:rPr>
                <w:rFonts w:ascii="Arial" w:hAnsi="Arial" w:cs="Arial"/>
                <w:sz w:val="20"/>
                <w:szCs w:val="20"/>
              </w:rPr>
              <w:t xml:space="preserve"> Premix marketed in the US, sold as Fierce® by Valent USA™.</w:t>
            </w:r>
          </w:p>
          <w:p w14:paraId="5972AD77"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d </w:t>
            </w:r>
            <w:r w:rsidRPr="00CC2660">
              <w:rPr>
                <w:rFonts w:ascii="Arial" w:hAnsi="Arial" w:cs="Arial"/>
                <w:sz w:val="20"/>
                <w:szCs w:val="20"/>
              </w:rPr>
              <w:t xml:space="preserve">Premix marketed in the US, sold as </w:t>
            </w:r>
            <w:proofErr w:type="spellStart"/>
            <w:r w:rsidRPr="00CC2660">
              <w:rPr>
                <w:rFonts w:ascii="Arial" w:hAnsi="Arial" w:cs="Arial"/>
                <w:sz w:val="20"/>
                <w:szCs w:val="20"/>
              </w:rPr>
              <w:t>Afforia</w:t>
            </w:r>
            <w:proofErr w:type="spellEnd"/>
            <w:r w:rsidRPr="00CC2660">
              <w:rPr>
                <w:rFonts w:ascii="Arial" w:hAnsi="Arial" w:cs="Arial"/>
                <w:sz w:val="20"/>
                <w:szCs w:val="20"/>
              </w:rPr>
              <w:t xml:space="preserve">® by </w:t>
            </w:r>
            <w:proofErr w:type="spellStart"/>
            <w:r w:rsidRPr="00CC2660">
              <w:rPr>
                <w:rFonts w:ascii="Arial" w:hAnsi="Arial" w:cs="Arial"/>
                <w:sz w:val="20"/>
                <w:szCs w:val="20"/>
              </w:rPr>
              <w:t>Corteva</w:t>
            </w:r>
            <w:proofErr w:type="spellEnd"/>
            <w:r w:rsidRPr="00CC2660">
              <w:rPr>
                <w:rFonts w:ascii="Arial" w:hAnsi="Arial" w:cs="Arial"/>
                <w:sz w:val="20"/>
                <w:szCs w:val="20"/>
              </w:rPr>
              <w:t xml:space="preserve"> </w:t>
            </w:r>
            <w:proofErr w:type="spellStart"/>
            <w:r w:rsidRPr="00CC2660">
              <w:rPr>
                <w:rFonts w:ascii="Arial" w:hAnsi="Arial" w:cs="Arial"/>
                <w:sz w:val="20"/>
                <w:szCs w:val="20"/>
              </w:rPr>
              <w:t>Agriscience</w:t>
            </w:r>
            <w:proofErr w:type="spellEnd"/>
            <w:r w:rsidRPr="00CC2660">
              <w:rPr>
                <w:rFonts w:ascii="Arial" w:hAnsi="Arial" w:cs="Arial"/>
                <w:sz w:val="20"/>
                <w:szCs w:val="20"/>
              </w:rPr>
              <w:t>™.</w:t>
            </w:r>
          </w:p>
          <w:p w14:paraId="1F75A226"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e </w:t>
            </w:r>
            <w:r w:rsidRPr="00CC2660">
              <w:rPr>
                <w:rFonts w:ascii="Arial" w:hAnsi="Arial" w:cs="Arial"/>
                <w:sz w:val="20"/>
                <w:szCs w:val="20"/>
              </w:rPr>
              <w:t xml:space="preserve">Due to late season application only one evaluation </w:t>
            </w:r>
            <w:r>
              <w:rPr>
                <w:rFonts w:ascii="Arial" w:hAnsi="Arial" w:cs="Arial"/>
                <w:sz w:val="20"/>
                <w:szCs w:val="20"/>
              </w:rPr>
              <w:t>was completed</w:t>
            </w:r>
            <w:r w:rsidRPr="00CC2660">
              <w:rPr>
                <w:rFonts w:ascii="Arial" w:hAnsi="Arial" w:cs="Arial"/>
                <w:sz w:val="20"/>
                <w:szCs w:val="20"/>
              </w:rPr>
              <w:t>.</w:t>
            </w:r>
          </w:p>
          <w:p w14:paraId="7EDA3F34"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f </w:t>
            </w:r>
            <w:r>
              <w:rPr>
                <w:rFonts w:ascii="Arial" w:hAnsi="Arial" w:cs="Arial"/>
                <w:sz w:val="20"/>
                <w:szCs w:val="20"/>
              </w:rPr>
              <w:t>Abbreviation: DAA, d</w:t>
            </w:r>
            <w:r w:rsidRPr="00CC2660">
              <w:rPr>
                <w:rFonts w:ascii="Arial" w:hAnsi="Arial" w:cs="Arial"/>
                <w:sz w:val="20"/>
                <w:szCs w:val="20"/>
              </w:rPr>
              <w:t>ays after herbicide application.</w:t>
            </w:r>
          </w:p>
        </w:tc>
      </w:tr>
    </w:tbl>
    <w:p w14:paraId="4059FA97" w14:textId="77777777" w:rsidR="00950014" w:rsidRDefault="00950014"/>
    <w:p w14:paraId="783F48D7" w14:textId="77777777" w:rsidR="00950014" w:rsidRDefault="00950014" w:rsidP="001B3DF7">
      <w:pPr>
        <w:pStyle w:val="Body"/>
        <w:rPr>
          <w:rFonts w:ascii="Arial" w:hAnsi="Arial" w:cs="Arial"/>
          <w:bCs/>
        </w:rPr>
      </w:pPr>
    </w:p>
    <w:p w14:paraId="76E84FFF" w14:textId="77777777" w:rsidR="00950014" w:rsidRDefault="00950014" w:rsidP="001B3DF7">
      <w:pPr>
        <w:pStyle w:val="Body"/>
        <w:rPr>
          <w:rFonts w:ascii="Arial" w:hAnsi="Arial" w:cs="Arial"/>
          <w:bCs/>
        </w:rPr>
      </w:pPr>
    </w:p>
    <w:p w14:paraId="34A18281" w14:textId="77777777" w:rsidR="00950014" w:rsidRDefault="00950014" w:rsidP="001B3DF7">
      <w:pPr>
        <w:pStyle w:val="Body"/>
        <w:rPr>
          <w:rFonts w:ascii="Arial" w:hAnsi="Arial" w:cs="Arial"/>
          <w:bCs/>
        </w:rPr>
      </w:pPr>
    </w:p>
    <w:p w14:paraId="735CFB76" w14:textId="77777777" w:rsidR="00950014" w:rsidRDefault="00950014" w:rsidP="001B3DF7">
      <w:pPr>
        <w:pStyle w:val="Body"/>
        <w:rPr>
          <w:rFonts w:ascii="Arial" w:hAnsi="Arial" w:cs="Arial"/>
          <w:bCs/>
        </w:rPr>
      </w:pPr>
    </w:p>
    <w:p w14:paraId="2E4681E9" w14:textId="77777777" w:rsidR="00950014" w:rsidRDefault="00950014" w:rsidP="001B3DF7">
      <w:pPr>
        <w:pStyle w:val="Body"/>
        <w:rPr>
          <w:rFonts w:ascii="Arial" w:hAnsi="Arial" w:cs="Arial"/>
          <w:bCs/>
        </w:rPr>
      </w:pPr>
    </w:p>
    <w:p w14:paraId="01225F78" w14:textId="77777777" w:rsidR="00950014" w:rsidRDefault="00950014" w:rsidP="001B3DF7">
      <w:pPr>
        <w:pStyle w:val="Body"/>
        <w:rPr>
          <w:rFonts w:ascii="Arial" w:hAnsi="Arial" w:cs="Arial"/>
          <w:bCs/>
        </w:rPr>
      </w:pPr>
    </w:p>
    <w:p w14:paraId="1293C6A1" w14:textId="77777777" w:rsidR="00950014" w:rsidRDefault="00950014" w:rsidP="001B3DF7">
      <w:pPr>
        <w:pStyle w:val="Body"/>
        <w:rPr>
          <w:rFonts w:ascii="Arial" w:hAnsi="Arial" w:cs="Arial"/>
          <w:bCs/>
        </w:rPr>
      </w:pPr>
    </w:p>
    <w:p w14:paraId="1CFA5F13" w14:textId="77777777" w:rsidR="00950014" w:rsidRDefault="00950014" w:rsidP="001B3DF7">
      <w:pPr>
        <w:pStyle w:val="Body"/>
        <w:rPr>
          <w:rFonts w:ascii="Arial" w:hAnsi="Arial" w:cs="Arial"/>
          <w:bCs/>
        </w:rPr>
      </w:pPr>
    </w:p>
    <w:p w14:paraId="57B6F90C" w14:textId="77777777" w:rsidR="00950014" w:rsidRDefault="00950014" w:rsidP="001B3DF7">
      <w:pPr>
        <w:pStyle w:val="Body"/>
        <w:rPr>
          <w:rFonts w:ascii="Arial" w:hAnsi="Arial" w:cs="Arial"/>
          <w:bCs/>
        </w:rPr>
      </w:pPr>
    </w:p>
    <w:p w14:paraId="79F1AC8C" w14:textId="77777777" w:rsidR="00950014" w:rsidRDefault="00950014" w:rsidP="001B3DF7">
      <w:pPr>
        <w:pStyle w:val="Body"/>
        <w:rPr>
          <w:rFonts w:ascii="Arial" w:hAnsi="Arial" w:cs="Arial"/>
          <w:bCs/>
        </w:rPr>
      </w:pPr>
    </w:p>
    <w:p w14:paraId="72FC3E1B" w14:textId="77777777" w:rsidR="00950014" w:rsidRDefault="00950014" w:rsidP="001B3DF7">
      <w:pPr>
        <w:pStyle w:val="Body"/>
        <w:rPr>
          <w:rFonts w:ascii="Arial" w:hAnsi="Arial" w:cs="Arial"/>
          <w:bCs/>
        </w:rPr>
      </w:pPr>
    </w:p>
    <w:p w14:paraId="605BFB19" w14:textId="77777777" w:rsidR="00950014" w:rsidRDefault="00950014" w:rsidP="001B3DF7">
      <w:pPr>
        <w:pStyle w:val="Body"/>
        <w:rPr>
          <w:rFonts w:ascii="Arial" w:hAnsi="Arial" w:cs="Arial"/>
          <w:bCs/>
        </w:rPr>
      </w:pPr>
    </w:p>
    <w:p w14:paraId="31311A9E" w14:textId="77777777" w:rsidR="00950014" w:rsidRDefault="00950014" w:rsidP="001B3DF7">
      <w:pPr>
        <w:pStyle w:val="Body"/>
        <w:rPr>
          <w:rFonts w:ascii="Arial" w:hAnsi="Arial" w:cs="Arial"/>
          <w:bCs/>
        </w:rPr>
      </w:pPr>
    </w:p>
    <w:p w14:paraId="36673953" w14:textId="77777777" w:rsidR="00950014" w:rsidRDefault="00950014" w:rsidP="001B3DF7">
      <w:pPr>
        <w:pStyle w:val="Body"/>
        <w:rPr>
          <w:rFonts w:ascii="Arial" w:hAnsi="Arial" w:cs="Arial"/>
          <w:bCs/>
        </w:rPr>
      </w:pPr>
    </w:p>
    <w:p w14:paraId="7B5766E2" w14:textId="77777777" w:rsidR="00950014" w:rsidRDefault="00950014" w:rsidP="001B3DF7">
      <w:pPr>
        <w:pStyle w:val="Body"/>
        <w:rPr>
          <w:rFonts w:ascii="Arial" w:hAnsi="Arial" w:cs="Arial"/>
          <w:bCs/>
        </w:rPr>
      </w:pPr>
    </w:p>
    <w:p w14:paraId="0B338ACB" w14:textId="77777777" w:rsidR="00950014" w:rsidRDefault="00950014" w:rsidP="001B3DF7">
      <w:pPr>
        <w:pStyle w:val="Body"/>
        <w:rPr>
          <w:rFonts w:ascii="Arial" w:hAnsi="Arial" w:cs="Arial"/>
          <w:bCs/>
        </w:rPr>
      </w:pPr>
    </w:p>
    <w:p w14:paraId="2277D948" w14:textId="77777777" w:rsidR="00950014" w:rsidRDefault="00950014" w:rsidP="001B3DF7">
      <w:pPr>
        <w:pStyle w:val="Body"/>
        <w:rPr>
          <w:rFonts w:ascii="Arial" w:hAnsi="Arial" w:cs="Arial"/>
          <w:bCs/>
        </w:rPr>
      </w:pPr>
    </w:p>
    <w:p w14:paraId="3C3525C6" w14:textId="77777777" w:rsidR="00950014" w:rsidRDefault="00950014" w:rsidP="001B3DF7">
      <w:pPr>
        <w:pStyle w:val="Body"/>
        <w:rPr>
          <w:rFonts w:ascii="Arial" w:hAnsi="Arial" w:cs="Arial"/>
          <w:bCs/>
        </w:rPr>
      </w:pPr>
    </w:p>
    <w:p w14:paraId="7358CAB7" w14:textId="77777777" w:rsidR="00950014" w:rsidRDefault="00950014" w:rsidP="001B3DF7">
      <w:pPr>
        <w:pStyle w:val="Body"/>
        <w:rPr>
          <w:rFonts w:ascii="Arial" w:hAnsi="Arial" w:cs="Arial"/>
          <w:bCs/>
        </w:rPr>
      </w:pPr>
    </w:p>
    <w:p w14:paraId="07D14004" w14:textId="77777777" w:rsidR="00B71C15" w:rsidRDefault="00B71C15" w:rsidP="001B3DF7">
      <w:pPr>
        <w:pStyle w:val="Body"/>
        <w:rPr>
          <w:rFonts w:ascii="Arial" w:hAnsi="Arial" w:cs="Arial"/>
          <w:bCs/>
        </w:rPr>
      </w:pPr>
    </w:p>
    <w:p w14:paraId="56E3E631" w14:textId="77777777" w:rsidR="00B71C15" w:rsidRDefault="00B71C15" w:rsidP="001B3DF7">
      <w:pPr>
        <w:pStyle w:val="Body"/>
        <w:rPr>
          <w:rFonts w:ascii="Arial" w:hAnsi="Arial" w:cs="Arial"/>
          <w:bCs/>
        </w:rPr>
      </w:pPr>
    </w:p>
    <w:p w14:paraId="2F40EAB8" w14:textId="77777777" w:rsidR="00B71C15" w:rsidRDefault="00B71C15" w:rsidP="001B3DF7">
      <w:pPr>
        <w:pStyle w:val="Body"/>
        <w:rPr>
          <w:rFonts w:ascii="Arial" w:hAnsi="Arial" w:cs="Arial"/>
          <w:bCs/>
        </w:rPr>
      </w:pPr>
    </w:p>
    <w:p w14:paraId="0C757C20" w14:textId="77777777" w:rsidR="00B71C15" w:rsidRDefault="00B71C15" w:rsidP="001B3DF7">
      <w:pPr>
        <w:pStyle w:val="Body"/>
        <w:rPr>
          <w:rFonts w:ascii="Arial" w:hAnsi="Arial" w:cs="Arial"/>
          <w:bCs/>
        </w:rPr>
      </w:pPr>
    </w:p>
    <w:p w14:paraId="6D230860" w14:textId="77777777" w:rsidR="00B71C15" w:rsidRDefault="00B71C15" w:rsidP="001B3DF7">
      <w:pPr>
        <w:pStyle w:val="Body"/>
        <w:rPr>
          <w:rFonts w:ascii="Arial" w:hAnsi="Arial" w:cs="Arial"/>
          <w:bCs/>
        </w:rPr>
      </w:pPr>
    </w:p>
    <w:p w14:paraId="02D21C44" w14:textId="77777777" w:rsidR="00B71C15" w:rsidRDefault="00B71C15" w:rsidP="001B3DF7">
      <w:pPr>
        <w:pStyle w:val="Body"/>
        <w:rPr>
          <w:rFonts w:ascii="Arial" w:hAnsi="Arial" w:cs="Arial"/>
          <w:bCs/>
        </w:rPr>
      </w:pPr>
    </w:p>
    <w:p w14:paraId="0B9F175C" w14:textId="77777777" w:rsidR="00B71C15" w:rsidRDefault="00B71C15" w:rsidP="001B3DF7">
      <w:pPr>
        <w:pStyle w:val="Body"/>
        <w:rPr>
          <w:rFonts w:ascii="Arial" w:hAnsi="Arial" w:cs="Arial"/>
          <w:bCs/>
        </w:rPr>
      </w:pPr>
    </w:p>
    <w:p w14:paraId="7A41180B" w14:textId="77777777" w:rsidR="00B71C15" w:rsidRDefault="00B71C15" w:rsidP="001B3DF7">
      <w:pPr>
        <w:pStyle w:val="Body"/>
        <w:rPr>
          <w:rFonts w:ascii="Arial" w:hAnsi="Arial" w:cs="Arial"/>
          <w:bCs/>
        </w:rPr>
      </w:pPr>
    </w:p>
    <w:p w14:paraId="4836E156" w14:textId="77777777" w:rsidR="00B71C15" w:rsidRDefault="00B71C15" w:rsidP="001B3DF7">
      <w:pPr>
        <w:pStyle w:val="Body"/>
        <w:rPr>
          <w:rFonts w:ascii="Arial" w:hAnsi="Arial" w:cs="Arial"/>
          <w:bCs/>
        </w:rPr>
      </w:pPr>
    </w:p>
    <w:p w14:paraId="7AF6BFDD" w14:textId="77777777" w:rsidR="00B71C15" w:rsidRDefault="00B71C15" w:rsidP="001B3DF7">
      <w:pPr>
        <w:pStyle w:val="Body"/>
        <w:rPr>
          <w:rFonts w:ascii="Arial" w:hAnsi="Arial" w:cs="Arial"/>
          <w:bCs/>
        </w:rPr>
      </w:pPr>
    </w:p>
    <w:p w14:paraId="47C9C52D" w14:textId="4C01C531" w:rsidR="001B3DF7" w:rsidRPr="001B3DF7" w:rsidRDefault="003D34B3" w:rsidP="001B3DF7">
      <w:pPr>
        <w:pStyle w:val="Body"/>
        <w:rPr>
          <w:rFonts w:ascii="Arial" w:hAnsi="Arial" w:cs="Arial"/>
          <w:bCs/>
        </w:rPr>
      </w:pPr>
      <w:r w:rsidRPr="001B3DF7">
        <w:rPr>
          <w:rFonts w:ascii="Arial" w:hAnsi="Arial" w:cs="Arial"/>
          <w:bCs/>
        </w:rPr>
        <w:lastRenderedPageBreak/>
        <w:t xml:space="preserve">96% </w:t>
      </w:r>
      <w:r w:rsidR="00102A63">
        <w:rPr>
          <w:rFonts w:ascii="Arial" w:hAnsi="Arial" w:cs="Arial"/>
          <w:bCs/>
        </w:rPr>
        <w:t xml:space="preserve">henbit control 50 DAA. However, henbit control following oxyfluorfen was </w:t>
      </w:r>
      <w:r w:rsidR="00102A63" w:rsidRPr="001B3DF7">
        <w:rPr>
          <w:rFonts w:ascii="Arial" w:hAnsi="Arial" w:cs="Arial"/>
          <w:bCs/>
        </w:rPr>
        <w:t xml:space="preserve">greater than flumioxazin and </w:t>
      </w:r>
      <w:proofErr w:type="spellStart"/>
      <w:r w:rsidR="00102A63" w:rsidRPr="001B3DF7">
        <w:rPr>
          <w:rFonts w:ascii="Arial" w:hAnsi="Arial" w:cs="Arial"/>
          <w:bCs/>
        </w:rPr>
        <w:t>rimsulfuron</w:t>
      </w:r>
      <w:proofErr w:type="spellEnd"/>
      <w:r w:rsidR="00102A63" w:rsidRPr="001B3DF7">
        <w:rPr>
          <w:rFonts w:ascii="Arial" w:hAnsi="Arial" w:cs="Arial"/>
          <w:bCs/>
        </w:rPr>
        <w:t xml:space="preserve"> + </w:t>
      </w:r>
      <w:proofErr w:type="spellStart"/>
      <w:r w:rsidR="00102A63" w:rsidRPr="001B3DF7">
        <w:rPr>
          <w:rFonts w:ascii="Arial" w:hAnsi="Arial" w:cs="Arial"/>
          <w:bCs/>
        </w:rPr>
        <w:t>thifensulfuron</w:t>
      </w:r>
      <w:proofErr w:type="spellEnd"/>
      <w:r w:rsidR="00102A63" w:rsidRPr="001B3DF7">
        <w:rPr>
          <w:rFonts w:ascii="Arial" w:hAnsi="Arial" w:cs="Arial"/>
          <w:bCs/>
        </w:rPr>
        <w:t xml:space="preserve">-methyl </w:t>
      </w:r>
      <w:r w:rsidR="00102A63">
        <w:rPr>
          <w:rFonts w:ascii="Arial" w:hAnsi="Arial" w:cs="Arial"/>
          <w:bCs/>
        </w:rPr>
        <w:t xml:space="preserve">when evaluated </w:t>
      </w:r>
      <w:r w:rsidR="00102A63" w:rsidRPr="001B3DF7">
        <w:rPr>
          <w:rFonts w:ascii="Arial" w:hAnsi="Arial" w:cs="Arial"/>
          <w:bCs/>
        </w:rPr>
        <w:t xml:space="preserve">85 and 100 DAA.  Woolam et al. </w:t>
      </w:r>
      <w:r w:rsidR="00102A63">
        <w:rPr>
          <w:rFonts w:ascii="Arial" w:hAnsi="Arial" w:cs="Arial"/>
          <w:bCs/>
        </w:rPr>
        <w:t>[12]</w:t>
      </w:r>
      <w:r w:rsidR="00102A63" w:rsidRPr="001B3DF7">
        <w:rPr>
          <w:rFonts w:ascii="Arial" w:hAnsi="Arial" w:cs="Arial"/>
          <w:bCs/>
        </w:rPr>
        <w:t xml:space="preserve"> concluded from their research</w:t>
      </w:r>
      <w:r w:rsidR="00102A63">
        <w:rPr>
          <w:rFonts w:ascii="Arial" w:hAnsi="Arial" w:cs="Arial"/>
          <w:bCs/>
        </w:rPr>
        <w:t xml:space="preserve"> </w:t>
      </w:r>
      <w:r w:rsidR="00102A63" w:rsidRPr="00BA09DE">
        <w:rPr>
          <w:rFonts w:ascii="Arial" w:hAnsi="Arial" w:cs="Arial"/>
          <w:bCs/>
        </w:rPr>
        <w:t>that although oxyfluorfen control was greater</w:t>
      </w:r>
      <w:r w:rsidR="00102A63" w:rsidRPr="001B3DF7">
        <w:rPr>
          <w:rFonts w:ascii="Arial" w:hAnsi="Arial" w:cs="Arial"/>
          <w:bCs/>
        </w:rPr>
        <w:t xml:space="preserve"> </w:t>
      </w:r>
      <w:r w:rsidR="001B3DF7" w:rsidRPr="001B3DF7">
        <w:rPr>
          <w:rFonts w:ascii="Arial" w:hAnsi="Arial" w:cs="Arial"/>
          <w:bCs/>
        </w:rPr>
        <w:t xml:space="preserve">85 and 100 DAT, flumioxazin and </w:t>
      </w:r>
      <w:proofErr w:type="spellStart"/>
      <w:r w:rsidR="001B3DF7" w:rsidRPr="001B3DF7">
        <w:rPr>
          <w:rFonts w:ascii="Arial" w:hAnsi="Arial" w:cs="Arial"/>
          <w:bCs/>
        </w:rPr>
        <w:t>rimsulfuron</w:t>
      </w:r>
      <w:proofErr w:type="spellEnd"/>
      <w:r w:rsidR="001B3DF7" w:rsidRPr="001B3DF7">
        <w:rPr>
          <w:rFonts w:ascii="Arial" w:hAnsi="Arial" w:cs="Arial"/>
          <w:bCs/>
        </w:rPr>
        <w:t xml:space="preserve"> + </w:t>
      </w:r>
      <w:proofErr w:type="spellStart"/>
      <w:r w:rsidR="001B3DF7" w:rsidRPr="001B3DF7">
        <w:rPr>
          <w:rFonts w:ascii="Arial" w:hAnsi="Arial" w:cs="Arial"/>
          <w:bCs/>
        </w:rPr>
        <w:t>thifensulfuron</w:t>
      </w:r>
      <w:proofErr w:type="spellEnd"/>
      <w:r w:rsidR="001B3DF7" w:rsidRPr="001B3DF7">
        <w:rPr>
          <w:rFonts w:ascii="Arial" w:hAnsi="Arial" w:cs="Arial"/>
          <w:bCs/>
        </w:rPr>
        <w:t xml:space="preserve">-methyl controlled henbit 84% to 87%, indicating that these treatments can </w:t>
      </w:r>
      <w:r w:rsidR="00BA09DE">
        <w:rPr>
          <w:rFonts w:ascii="Arial" w:hAnsi="Arial" w:cs="Arial"/>
          <w:bCs/>
        </w:rPr>
        <w:t xml:space="preserve">also </w:t>
      </w:r>
      <w:r w:rsidR="001B3DF7" w:rsidRPr="001B3DF7">
        <w:rPr>
          <w:rFonts w:ascii="Arial" w:hAnsi="Arial" w:cs="Arial"/>
          <w:bCs/>
        </w:rPr>
        <w:t>effectively control henbit.</w:t>
      </w:r>
      <w:r w:rsidR="001B3DF7" w:rsidRPr="001B3DF7">
        <w:rPr>
          <w:rFonts w:ascii="Arial" w:hAnsi="Arial" w:cs="Arial"/>
          <w:b/>
        </w:rPr>
        <w:t xml:space="preserve">  </w:t>
      </w:r>
      <w:r w:rsidR="001B3DF7" w:rsidRPr="001B3DF7">
        <w:rPr>
          <w:rFonts w:ascii="Arial" w:hAnsi="Arial" w:cs="Arial"/>
          <w:bCs/>
          <w:iCs/>
        </w:rPr>
        <w:t xml:space="preserve">Also, </w:t>
      </w:r>
      <w:r w:rsidR="001B3DF7" w:rsidRPr="001B3DF7">
        <w:rPr>
          <w:rFonts w:ascii="Arial" w:hAnsi="Arial" w:cs="Arial"/>
          <w:bCs/>
        </w:rPr>
        <w:t xml:space="preserve">Hasty et al. </w:t>
      </w:r>
      <w:r w:rsidR="00FD2118">
        <w:rPr>
          <w:rFonts w:ascii="Arial" w:hAnsi="Arial" w:cs="Arial"/>
          <w:bCs/>
        </w:rPr>
        <w:t>[13]</w:t>
      </w:r>
      <w:r w:rsidR="001B3DF7" w:rsidRPr="001B3DF7">
        <w:rPr>
          <w:rFonts w:ascii="Arial" w:hAnsi="Arial" w:cs="Arial"/>
          <w:bCs/>
        </w:rPr>
        <w:t xml:space="preserve"> stated that fall applications for winter annual weed control were more effective</w:t>
      </w:r>
      <w:r w:rsidR="00BA09DE">
        <w:rPr>
          <w:rFonts w:ascii="Arial" w:hAnsi="Arial" w:cs="Arial"/>
          <w:bCs/>
        </w:rPr>
        <w:t xml:space="preserve"> than winter applications</w:t>
      </w:r>
      <w:r w:rsidR="001B3DF7" w:rsidRPr="001B3DF7">
        <w:rPr>
          <w:rFonts w:ascii="Arial" w:hAnsi="Arial" w:cs="Arial"/>
          <w:bCs/>
        </w:rPr>
        <w:t>, because the weeds are targeted at an earlier growth stage.</w:t>
      </w:r>
      <w:r w:rsidR="008D7033">
        <w:rPr>
          <w:rFonts w:ascii="Arial" w:hAnsi="Arial" w:cs="Arial"/>
          <w:bCs/>
        </w:rPr>
        <w:t xml:space="preserve">  </w:t>
      </w:r>
      <w:r w:rsidR="00F73563">
        <w:rPr>
          <w:rFonts w:ascii="Arial" w:hAnsi="Arial" w:cs="Arial"/>
          <w:bCs/>
        </w:rPr>
        <w:t>W</w:t>
      </w:r>
      <w:r w:rsidR="008D7033" w:rsidRPr="001B3DF7">
        <w:rPr>
          <w:rFonts w:ascii="Arial" w:hAnsi="Arial" w:cs="Arial"/>
          <w:bCs/>
        </w:rPr>
        <w:t>eed control</w:t>
      </w:r>
      <w:r w:rsidR="008D7033" w:rsidRPr="008D7033">
        <w:rPr>
          <w:rFonts w:ascii="Arial" w:hAnsi="Arial" w:cs="Arial"/>
          <w:bCs/>
        </w:rPr>
        <w:t xml:space="preserve"> </w:t>
      </w:r>
      <w:r w:rsidR="008D7033" w:rsidRPr="001B3DF7">
        <w:rPr>
          <w:rFonts w:ascii="Arial" w:hAnsi="Arial" w:cs="Arial"/>
          <w:bCs/>
        </w:rPr>
        <w:t xml:space="preserve">following herbicide applications is increased when applied to weeds 50 mm or less in height </w:t>
      </w:r>
      <w:r w:rsidR="00FD2118">
        <w:rPr>
          <w:rFonts w:ascii="Arial" w:hAnsi="Arial" w:cs="Arial"/>
          <w:bCs/>
        </w:rPr>
        <w:t>[14-16]</w:t>
      </w:r>
      <w:r w:rsidR="008D7033" w:rsidRPr="001B3DF7">
        <w:rPr>
          <w:rFonts w:ascii="Arial" w:hAnsi="Arial" w:cs="Arial"/>
          <w:bCs/>
        </w:rPr>
        <w:t xml:space="preserve">. Krausz et al. </w:t>
      </w:r>
      <w:r w:rsidR="00977C30">
        <w:rPr>
          <w:rFonts w:ascii="Arial" w:hAnsi="Arial" w:cs="Arial"/>
          <w:bCs/>
        </w:rPr>
        <w:t>[17]</w:t>
      </w:r>
      <w:r w:rsidR="008D7033" w:rsidRPr="001B3DF7">
        <w:rPr>
          <w:rFonts w:ascii="Arial" w:hAnsi="Arial" w:cs="Arial"/>
          <w:bCs/>
        </w:rPr>
        <w:t xml:space="preserve"> observed 93% henbit control prior to planting in the spring following a mid-November application of </w:t>
      </w:r>
      <w:proofErr w:type="spellStart"/>
      <w:r w:rsidR="008D7033" w:rsidRPr="001B3DF7">
        <w:rPr>
          <w:rFonts w:ascii="Arial" w:hAnsi="Arial" w:cs="Arial"/>
          <w:bCs/>
        </w:rPr>
        <w:t>rimsulfuron</w:t>
      </w:r>
      <w:proofErr w:type="spellEnd"/>
      <w:r w:rsidR="008D7033" w:rsidRPr="001B3DF7">
        <w:rPr>
          <w:rFonts w:ascii="Arial" w:hAnsi="Arial" w:cs="Arial"/>
          <w:bCs/>
        </w:rPr>
        <w:t xml:space="preserve"> plus </w:t>
      </w:r>
      <w:proofErr w:type="spellStart"/>
      <w:r w:rsidR="008D7033" w:rsidRPr="001B3DF7">
        <w:rPr>
          <w:rFonts w:ascii="Arial" w:hAnsi="Arial" w:cs="Arial"/>
          <w:bCs/>
        </w:rPr>
        <w:t>thifensulfuron</w:t>
      </w:r>
      <w:proofErr w:type="spellEnd"/>
      <w:r w:rsidR="00BA09DE">
        <w:rPr>
          <w:rFonts w:ascii="Arial" w:hAnsi="Arial" w:cs="Arial"/>
          <w:bCs/>
        </w:rPr>
        <w:t>-methyl</w:t>
      </w:r>
      <w:r w:rsidR="008D7033" w:rsidRPr="001B3DF7">
        <w:rPr>
          <w:rFonts w:ascii="Arial" w:hAnsi="Arial" w:cs="Arial"/>
          <w:bCs/>
        </w:rPr>
        <w:t xml:space="preserve">.  </w:t>
      </w:r>
    </w:p>
    <w:p w14:paraId="229E1FE6" w14:textId="77777777" w:rsidR="001B3DF7" w:rsidRPr="001B3DF7" w:rsidRDefault="001B3DF7" w:rsidP="001B3DF7">
      <w:pPr>
        <w:pStyle w:val="Body"/>
        <w:rPr>
          <w:rFonts w:ascii="Arial" w:hAnsi="Arial" w:cs="Arial"/>
          <w:bCs/>
          <w:iCs/>
        </w:rPr>
      </w:pPr>
      <w:r w:rsidRPr="001B3DF7">
        <w:rPr>
          <w:rFonts w:ascii="Arial" w:hAnsi="Arial" w:cs="Arial"/>
          <w:b/>
          <w:bCs/>
          <w:iCs/>
        </w:rPr>
        <w:t xml:space="preserve">3.2 2016.  </w:t>
      </w:r>
      <w:r w:rsidRPr="001B3DF7">
        <w:rPr>
          <w:rFonts w:ascii="Arial" w:hAnsi="Arial" w:cs="Arial"/>
          <w:iCs/>
        </w:rPr>
        <w:t>At the</w:t>
      </w:r>
      <w:r w:rsidRPr="001B3DF7">
        <w:rPr>
          <w:rFonts w:ascii="Arial" w:hAnsi="Arial" w:cs="Arial"/>
          <w:b/>
          <w:bCs/>
          <w:iCs/>
        </w:rPr>
        <w:t xml:space="preserve"> </w:t>
      </w:r>
      <w:r w:rsidRPr="001B3DF7">
        <w:rPr>
          <w:rFonts w:ascii="Arial" w:hAnsi="Arial" w:cs="Arial"/>
          <w:iCs/>
        </w:rPr>
        <w:t xml:space="preserve">31 DAA evaluation, all herbicide treatments, with the exception of </w:t>
      </w:r>
      <w:proofErr w:type="spellStart"/>
      <w:r w:rsidRPr="001B3DF7">
        <w:rPr>
          <w:rFonts w:ascii="Arial" w:hAnsi="Arial" w:cs="Arial"/>
          <w:iCs/>
        </w:rPr>
        <w:t>saflufenacil</w:t>
      </w:r>
      <w:proofErr w:type="spellEnd"/>
      <w:r w:rsidRPr="001B3DF7">
        <w:rPr>
          <w:rFonts w:ascii="Arial" w:hAnsi="Arial" w:cs="Arial"/>
          <w:iCs/>
        </w:rPr>
        <w:t xml:space="preserve"> alone and </w:t>
      </w:r>
      <w:bookmarkStart w:id="5" w:name="_Hlk215738876"/>
      <w:proofErr w:type="spellStart"/>
      <w:r w:rsidRPr="001B3DF7">
        <w:rPr>
          <w:rFonts w:ascii="Arial" w:hAnsi="Arial" w:cs="Arial"/>
          <w:iCs/>
        </w:rPr>
        <w:t>rimsulfuron</w:t>
      </w:r>
      <w:proofErr w:type="spellEnd"/>
      <w:r w:rsidRPr="001B3DF7">
        <w:rPr>
          <w:rFonts w:ascii="Arial" w:hAnsi="Arial" w:cs="Arial"/>
          <w:iCs/>
        </w:rPr>
        <w:t xml:space="preserve"> + </w:t>
      </w:r>
      <w:proofErr w:type="spellStart"/>
      <w:r w:rsidRPr="001B3DF7">
        <w:rPr>
          <w:rFonts w:ascii="Arial" w:hAnsi="Arial" w:cs="Arial"/>
          <w:bCs/>
          <w:iCs/>
        </w:rPr>
        <w:t>thifensulfuron</w:t>
      </w:r>
      <w:proofErr w:type="spellEnd"/>
      <w:r w:rsidRPr="001B3DF7">
        <w:rPr>
          <w:rFonts w:ascii="Arial" w:hAnsi="Arial" w:cs="Arial"/>
          <w:bCs/>
          <w:iCs/>
        </w:rPr>
        <w:t>-methyl</w:t>
      </w:r>
      <w:bookmarkEnd w:id="5"/>
      <w:r w:rsidRPr="001B3DF7">
        <w:rPr>
          <w:rFonts w:ascii="Arial" w:hAnsi="Arial" w:cs="Arial"/>
          <w:iCs/>
        </w:rPr>
        <w:t xml:space="preserve">, provided at least 99% henbit control (Table 2).  </w:t>
      </w:r>
      <w:proofErr w:type="spellStart"/>
      <w:r w:rsidRPr="001B3DF7">
        <w:rPr>
          <w:rFonts w:ascii="Arial" w:hAnsi="Arial" w:cs="Arial"/>
          <w:iCs/>
        </w:rPr>
        <w:t>Rimsulfuron</w:t>
      </w:r>
      <w:proofErr w:type="spellEnd"/>
      <w:r w:rsidRPr="001B3DF7">
        <w:rPr>
          <w:rFonts w:ascii="Arial" w:hAnsi="Arial" w:cs="Arial"/>
          <w:iCs/>
        </w:rPr>
        <w:t xml:space="preserve"> + </w:t>
      </w:r>
      <w:proofErr w:type="spellStart"/>
      <w:r w:rsidRPr="001B3DF7">
        <w:rPr>
          <w:rFonts w:ascii="Arial" w:hAnsi="Arial" w:cs="Arial"/>
          <w:bCs/>
          <w:iCs/>
        </w:rPr>
        <w:t>thifensulfuron</w:t>
      </w:r>
      <w:proofErr w:type="spellEnd"/>
      <w:r w:rsidRPr="001B3DF7">
        <w:rPr>
          <w:rFonts w:ascii="Arial" w:hAnsi="Arial" w:cs="Arial"/>
          <w:bCs/>
          <w:iCs/>
        </w:rPr>
        <w:t xml:space="preserve">-methyl controlled henbit 95% while </w:t>
      </w:r>
      <w:proofErr w:type="spellStart"/>
      <w:r w:rsidRPr="001B3DF7">
        <w:rPr>
          <w:rFonts w:ascii="Arial" w:hAnsi="Arial" w:cs="Arial"/>
          <w:bCs/>
          <w:iCs/>
        </w:rPr>
        <w:t>saflufenacil</w:t>
      </w:r>
      <w:proofErr w:type="spellEnd"/>
      <w:r w:rsidRPr="001B3DF7">
        <w:rPr>
          <w:rFonts w:ascii="Arial" w:hAnsi="Arial" w:cs="Arial"/>
          <w:bCs/>
          <w:iCs/>
        </w:rPr>
        <w:t xml:space="preserve"> alone provided 88% control.  </w:t>
      </w:r>
    </w:p>
    <w:p w14:paraId="273A7826" w14:textId="3587DCD0" w:rsidR="001B3DF7" w:rsidRPr="001B3DF7" w:rsidRDefault="001B3DF7" w:rsidP="001B3DF7">
      <w:pPr>
        <w:pStyle w:val="Body"/>
        <w:rPr>
          <w:rFonts w:ascii="Arial" w:hAnsi="Arial" w:cs="Arial"/>
          <w:bCs/>
          <w:iCs/>
        </w:rPr>
      </w:pPr>
      <w:r w:rsidRPr="001B3DF7">
        <w:rPr>
          <w:rFonts w:ascii="Arial" w:hAnsi="Arial" w:cs="Arial"/>
          <w:bCs/>
          <w:iCs/>
        </w:rPr>
        <w:t xml:space="preserve">At the 75 DAA evaluation, control was reduced considerably with several herbicide treatments.  Atrazine in combination with either 2,4-D, glyphosate, or paraquat provided 40 to 55% control while atrazine alone controlled henbit 48%.  Woolam et al. </w:t>
      </w:r>
      <w:r w:rsidR="00977C30">
        <w:rPr>
          <w:rFonts w:ascii="Arial" w:hAnsi="Arial" w:cs="Arial"/>
          <w:bCs/>
          <w:iCs/>
        </w:rPr>
        <w:t>[12]</w:t>
      </w:r>
      <w:r w:rsidRPr="001B3DF7">
        <w:rPr>
          <w:rFonts w:ascii="Arial" w:hAnsi="Arial" w:cs="Arial"/>
          <w:bCs/>
          <w:iCs/>
        </w:rPr>
        <w:t xml:space="preserve"> noted that p</w:t>
      </w:r>
      <w:r w:rsidRPr="001B3DF7">
        <w:rPr>
          <w:rFonts w:ascii="Arial" w:hAnsi="Arial" w:cs="Arial"/>
          <w:bCs/>
        </w:rPr>
        <w:t xml:space="preserve">araquat plus flumioxazin, oxyfluorfen, or </w:t>
      </w:r>
      <w:proofErr w:type="spellStart"/>
      <w:r w:rsidRPr="001B3DF7">
        <w:rPr>
          <w:rFonts w:ascii="Arial" w:hAnsi="Arial" w:cs="Arial"/>
          <w:bCs/>
        </w:rPr>
        <w:t>rimsulfuron</w:t>
      </w:r>
      <w:proofErr w:type="spellEnd"/>
      <w:r w:rsidRPr="001B3DF7">
        <w:rPr>
          <w:rFonts w:ascii="Arial" w:hAnsi="Arial" w:cs="Arial"/>
          <w:bCs/>
        </w:rPr>
        <w:t xml:space="preserve"> + </w:t>
      </w:r>
      <w:proofErr w:type="spellStart"/>
      <w:r w:rsidRPr="001B3DF7">
        <w:rPr>
          <w:rFonts w:ascii="Arial" w:hAnsi="Arial" w:cs="Arial"/>
          <w:bCs/>
        </w:rPr>
        <w:t>thifensulfuron</w:t>
      </w:r>
      <w:proofErr w:type="spellEnd"/>
      <w:r w:rsidRPr="001B3DF7">
        <w:rPr>
          <w:rFonts w:ascii="Arial" w:hAnsi="Arial" w:cs="Arial"/>
          <w:bCs/>
        </w:rPr>
        <w:t xml:space="preserve">-methyl applied November 1 through December 15 provided 90% to 96% henbit control.  </w:t>
      </w:r>
      <w:r w:rsidRPr="001B3DF7">
        <w:rPr>
          <w:rFonts w:ascii="Arial" w:hAnsi="Arial" w:cs="Arial"/>
          <w:bCs/>
          <w:iCs/>
        </w:rPr>
        <w:t xml:space="preserve">Other research has noted an increase in weed control with the addition of 2,4-D or glyphosate </w:t>
      </w:r>
      <w:r w:rsidR="00977C30">
        <w:rPr>
          <w:rFonts w:ascii="Arial" w:hAnsi="Arial" w:cs="Arial"/>
          <w:bCs/>
          <w:iCs/>
        </w:rPr>
        <w:t>[17,18]</w:t>
      </w:r>
      <w:r w:rsidRPr="001B3DF7">
        <w:rPr>
          <w:rFonts w:ascii="Arial" w:hAnsi="Arial" w:cs="Arial"/>
          <w:bCs/>
          <w:iCs/>
        </w:rPr>
        <w:t xml:space="preserve">.  Krausz et al., </w:t>
      </w:r>
      <w:r w:rsidR="004A6E9E">
        <w:rPr>
          <w:rFonts w:ascii="Arial" w:hAnsi="Arial" w:cs="Arial"/>
          <w:bCs/>
          <w:iCs/>
        </w:rPr>
        <w:t>[17]</w:t>
      </w:r>
      <w:r w:rsidRPr="001B3DF7">
        <w:rPr>
          <w:rFonts w:ascii="Arial" w:hAnsi="Arial" w:cs="Arial"/>
          <w:bCs/>
          <w:iCs/>
        </w:rPr>
        <w:t xml:space="preserve"> reported adding 2,4-D to metribuzin increased control of common mouse-ear chickweed</w:t>
      </w:r>
      <w:r w:rsidRPr="001B3DF7">
        <w:rPr>
          <w:rFonts w:ascii="Arial" w:hAnsi="Arial" w:cs="Arial"/>
        </w:rPr>
        <w:t xml:space="preserve"> (</w:t>
      </w:r>
      <w:proofErr w:type="spellStart"/>
      <w:r w:rsidRPr="001B3DF7">
        <w:rPr>
          <w:rFonts w:ascii="Arial" w:hAnsi="Arial" w:cs="Arial"/>
          <w:i/>
          <w:iCs/>
        </w:rPr>
        <w:t>Cerastium</w:t>
      </w:r>
      <w:proofErr w:type="spellEnd"/>
      <w:r w:rsidRPr="001B3DF7">
        <w:rPr>
          <w:rFonts w:ascii="Arial" w:hAnsi="Arial" w:cs="Arial"/>
          <w:i/>
          <w:iCs/>
        </w:rPr>
        <w:t xml:space="preserve"> </w:t>
      </w:r>
      <w:proofErr w:type="spellStart"/>
      <w:r w:rsidRPr="001B3DF7">
        <w:rPr>
          <w:rFonts w:ascii="Arial" w:hAnsi="Arial" w:cs="Arial"/>
          <w:i/>
          <w:iCs/>
        </w:rPr>
        <w:t>fontanum</w:t>
      </w:r>
      <w:proofErr w:type="spellEnd"/>
      <w:r w:rsidRPr="001B3DF7">
        <w:rPr>
          <w:rFonts w:ascii="Arial" w:hAnsi="Arial" w:cs="Arial"/>
        </w:rPr>
        <w:t> </w:t>
      </w:r>
      <w:proofErr w:type="spellStart"/>
      <w:r w:rsidRPr="001B3DF7">
        <w:rPr>
          <w:rFonts w:ascii="Arial" w:hAnsi="Arial" w:cs="Arial"/>
        </w:rPr>
        <w:t>Baumg</w:t>
      </w:r>
      <w:proofErr w:type="spellEnd"/>
      <w:r w:rsidRPr="001B3DF7">
        <w:rPr>
          <w:rFonts w:ascii="Arial" w:hAnsi="Arial" w:cs="Arial"/>
        </w:rPr>
        <w:t>.)</w:t>
      </w:r>
      <w:r w:rsidRPr="001B3DF7">
        <w:rPr>
          <w:rFonts w:ascii="Arial" w:hAnsi="Arial" w:cs="Arial"/>
          <w:bCs/>
          <w:iCs/>
        </w:rPr>
        <w:t xml:space="preserve"> and henbit to 80% and control of wild garlic (</w:t>
      </w:r>
      <w:r w:rsidRPr="001B3DF7">
        <w:rPr>
          <w:rFonts w:ascii="Arial" w:hAnsi="Arial" w:cs="Arial"/>
          <w:i/>
          <w:iCs/>
        </w:rPr>
        <w:t xml:space="preserve">Allium </w:t>
      </w:r>
      <w:proofErr w:type="spellStart"/>
      <w:r w:rsidRPr="001B3DF7">
        <w:rPr>
          <w:rFonts w:ascii="Arial" w:hAnsi="Arial" w:cs="Arial"/>
          <w:i/>
          <w:iCs/>
        </w:rPr>
        <w:t>vineale</w:t>
      </w:r>
      <w:proofErr w:type="spellEnd"/>
      <w:r w:rsidRPr="001B3DF7">
        <w:rPr>
          <w:rFonts w:ascii="Arial" w:hAnsi="Arial" w:cs="Arial"/>
          <w:iCs/>
        </w:rPr>
        <w:t xml:space="preserve"> L.) </w:t>
      </w:r>
      <w:r w:rsidRPr="001B3DF7">
        <w:rPr>
          <w:rFonts w:ascii="Arial" w:hAnsi="Arial" w:cs="Arial"/>
          <w:bCs/>
          <w:iCs/>
        </w:rPr>
        <w:t>to 75%.  Increasing the rate of flumioxazin from 146 ml ha</w:t>
      </w:r>
      <w:r w:rsidRPr="001B3DF7">
        <w:rPr>
          <w:rFonts w:ascii="Arial" w:hAnsi="Arial" w:cs="Arial"/>
          <w:bCs/>
          <w:iCs/>
          <w:vertAlign w:val="superscript"/>
        </w:rPr>
        <w:t>-1</w:t>
      </w:r>
      <w:r w:rsidRPr="001B3DF7">
        <w:rPr>
          <w:rFonts w:ascii="Arial" w:hAnsi="Arial" w:cs="Arial"/>
          <w:bCs/>
          <w:iCs/>
        </w:rPr>
        <w:t xml:space="preserve"> to 219 ml ha</w:t>
      </w:r>
      <w:r w:rsidRPr="001B3DF7">
        <w:rPr>
          <w:rFonts w:ascii="Arial" w:hAnsi="Arial" w:cs="Arial"/>
          <w:bCs/>
          <w:iCs/>
          <w:vertAlign w:val="superscript"/>
        </w:rPr>
        <w:t xml:space="preserve">-1 </w:t>
      </w:r>
      <w:r w:rsidRPr="001B3DF7">
        <w:rPr>
          <w:rFonts w:ascii="Arial" w:hAnsi="Arial" w:cs="Arial"/>
          <w:bCs/>
          <w:iCs/>
        </w:rPr>
        <w:t xml:space="preserve">did not improve henbit control (73% vs 71%, respectively).  </w:t>
      </w:r>
      <w:proofErr w:type="spellStart"/>
      <w:r w:rsidRPr="001B3DF7">
        <w:rPr>
          <w:rFonts w:ascii="Arial" w:hAnsi="Arial" w:cs="Arial"/>
          <w:bCs/>
          <w:iCs/>
        </w:rPr>
        <w:t>Rimsulfuron</w:t>
      </w:r>
      <w:proofErr w:type="spellEnd"/>
      <w:r w:rsidRPr="001B3DF7">
        <w:rPr>
          <w:rFonts w:ascii="Arial" w:hAnsi="Arial" w:cs="Arial"/>
          <w:bCs/>
          <w:iCs/>
        </w:rPr>
        <w:t xml:space="preserve"> + </w:t>
      </w:r>
      <w:bookmarkStart w:id="6" w:name="_Hlk215747372"/>
      <w:proofErr w:type="spellStart"/>
      <w:r w:rsidRPr="001B3DF7">
        <w:rPr>
          <w:rFonts w:ascii="Arial" w:hAnsi="Arial" w:cs="Arial"/>
          <w:bCs/>
          <w:iCs/>
        </w:rPr>
        <w:t>thifensulfuron</w:t>
      </w:r>
      <w:proofErr w:type="spellEnd"/>
      <w:r w:rsidRPr="001B3DF7">
        <w:rPr>
          <w:rFonts w:ascii="Arial" w:hAnsi="Arial" w:cs="Arial"/>
          <w:bCs/>
          <w:iCs/>
        </w:rPr>
        <w:t>-methyl</w:t>
      </w:r>
      <w:bookmarkEnd w:id="6"/>
      <w:r w:rsidRPr="001B3DF7">
        <w:rPr>
          <w:rFonts w:ascii="Arial" w:hAnsi="Arial" w:cs="Arial"/>
          <w:bCs/>
          <w:iCs/>
        </w:rPr>
        <w:t xml:space="preserve"> </w:t>
      </w:r>
      <w:r w:rsidR="00660E7C">
        <w:rPr>
          <w:rFonts w:ascii="Arial" w:hAnsi="Arial" w:cs="Arial"/>
          <w:bCs/>
          <w:iCs/>
        </w:rPr>
        <w:t xml:space="preserve">alone </w:t>
      </w:r>
      <w:r w:rsidRPr="001B3DF7">
        <w:rPr>
          <w:rFonts w:ascii="Arial" w:hAnsi="Arial" w:cs="Arial"/>
          <w:bCs/>
          <w:iCs/>
        </w:rPr>
        <w:t xml:space="preserve">or in combination with either glyphosate or atrazine, </w:t>
      </w:r>
      <w:bookmarkStart w:id="7" w:name="_Hlk215740471"/>
      <w:r w:rsidRPr="001B3DF7">
        <w:rPr>
          <w:rFonts w:ascii="Arial" w:hAnsi="Arial" w:cs="Arial"/>
          <w:bCs/>
          <w:iCs/>
        </w:rPr>
        <w:t xml:space="preserve">flumioxazin + </w:t>
      </w:r>
      <w:proofErr w:type="spellStart"/>
      <w:r w:rsidRPr="001B3DF7">
        <w:rPr>
          <w:rFonts w:ascii="Arial" w:hAnsi="Arial" w:cs="Arial"/>
          <w:bCs/>
          <w:iCs/>
        </w:rPr>
        <w:t>pyroxasulfone</w:t>
      </w:r>
      <w:bookmarkEnd w:id="7"/>
      <w:proofErr w:type="spellEnd"/>
      <w:r w:rsidRPr="001B3DF7">
        <w:rPr>
          <w:rFonts w:ascii="Arial" w:hAnsi="Arial" w:cs="Arial"/>
          <w:bCs/>
          <w:iCs/>
        </w:rPr>
        <w:t xml:space="preserve">, or atrazine + flumioxazin + </w:t>
      </w:r>
      <w:proofErr w:type="spellStart"/>
      <w:r w:rsidRPr="001B3DF7">
        <w:rPr>
          <w:rFonts w:ascii="Arial" w:hAnsi="Arial" w:cs="Arial"/>
          <w:bCs/>
          <w:iCs/>
        </w:rPr>
        <w:t>pyroxasulfone</w:t>
      </w:r>
      <w:proofErr w:type="spellEnd"/>
      <w:r w:rsidRPr="001B3DF7">
        <w:rPr>
          <w:rFonts w:ascii="Arial" w:hAnsi="Arial" w:cs="Arial"/>
          <w:bCs/>
          <w:iCs/>
        </w:rPr>
        <w:t xml:space="preserve"> controlled henbit at least 93%. (Table 2).  </w:t>
      </w:r>
      <w:bookmarkStart w:id="8" w:name="_Hlk217028505"/>
      <w:r w:rsidRPr="001B3DF7">
        <w:rPr>
          <w:rFonts w:ascii="Arial" w:hAnsi="Arial" w:cs="Arial"/>
          <w:bCs/>
          <w:iCs/>
        </w:rPr>
        <w:t xml:space="preserve">Askew et al </w:t>
      </w:r>
      <w:r w:rsidR="004A6E9E">
        <w:rPr>
          <w:rFonts w:ascii="Arial" w:hAnsi="Arial" w:cs="Arial"/>
          <w:bCs/>
          <w:iCs/>
        </w:rPr>
        <w:t>[18]</w:t>
      </w:r>
      <w:r w:rsidRPr="001B3DF7">
        <w:rPr>
          <w:rFonts w:ascii="Arial" w:hAnsi="Arial" w:cs="Arial"/>
          <w:bCs/>
          <w:iCs/>
        </w:rPr>
        <w:t xml:space="preserve"> </w:t>
      </w:r>
      <w:bookmarkEnd w:id="8"/>
      <w:r w:rsidRPr="001B3DF7">
        <w:rPr>
          <w:rFonts w:ascii="Arial" w:hAnsi="Arial" w:cs="Arial"/>
          <w:bCs/>
          <w:iCs/>
        </w:rPr>
        <w:t xml:space="preserve">reported glyphosate alone and </w:t>
      </w:r>
      <w:r w:rsidR="004A6E9E">
        <w:rPr>
          <w:rFonts w:ascii="Arial" w:hAnsi="Arial" w:cs="Arial"/>
          <w:bCs/>
          <w:iCs/>
        </w:rPr>
        <w:t xml:space="preserve">any </w:t>
      </w:r>
      <w:r w:rsidRPr="001B3DF7">
        <w:rPr>
          <w:rFonts w:ascii="Arial" w:hAnsi="Arial" w:cs="Arial"/>
          <w:bCs/>
          <w:iCs/>
        </w:rPr>
        <w:t xml:space="preserve">combinations with </w:t>
      </w:r>
      <w:proofErr w:type="gramStart"/>
      <w:r w:rsidRPr="001B3DF7">
        <w:rPr>
          <w:rFonts w:ascii="Arial" w:hAnsi="Arial" w:cs="Arial"/>
          <w:bCs/>
          <w:iCs/>
        </w:rPr>
        <w:t>glyphosate controlled</w:t>
      </w:r>
      <w:proofErr w:type="gramEnd"/>
      <w:r w:rsidRPr="001B3DF7">
        <w:rPr>
          <w:rFonts w:ascii="Arial" w:hAnsi="Arial" w:cs="Arial"/>
          <w:bCs/>
          <w:iCs/>
        </w:rPr>
        <w:t xml:space="preserve"> henbit 100%.  Fall-applied atrazine, </w:t>
      </w:r>
      <w:proofErr w:type="spellStart"/>
      <w:r w:rsidRPr="001B3DF7">
        <w:rPr>
          <w:rFonts w:ascii="Arial" w:hAnsi="Arial" w:cs="Arial"/>
          <w:bCs/>
          <w:iCs/>
        </w:rPr>
        <w:t>rimsulfuron</w:t>
      </w:r>
      <w:proofErr w:type="spellEnd"/>
      <w:r w:rsidRPr="001B3DF7">
        <w:rPr>
          <w:rFonts w:ascii="Arial" w:hAnsi="Arial" w:cs="Arial"/>
          <w:bCs/>
          <w:iCs/>
        </w:rPr>
        <w:t xml:space="preserve"> + </w:t>
      </w:r>
      <w:proofErr w:type="spellStart"/>
      <w:r w:rsidRPr="001B3DF7">
        <w:rPr>
          <w:rFonts w:ascii="Arial" w:hAnsi="Arial" w:cs="Arial"/>
          <w:bCs/>
          <w:iCs/>
        </w:rPr>
        <w:t>thifensulfuron</w:t>
      </w:r>
      <w:proofErr w:type="spellEnd"/>
      <w:r w:rsidRPr="001B3DF7">
        <w:rPr>
          <w:rFonts w:ascii="Arial" w:hAnsi="Arial" w:cs="Arial"/>
          <w:bCs/>
          <w:iCs/>
        </w:rPr>
        <w:t xml:space="preserve">-methyl, and simazine provided 93% control of mouse-ear chickweed and henbit prior to planting a spring annual crop </w:t>
      </w:r>
      <w:r w:rsidR="004A6E9E">
        <w:rPr>
          <w:rFonts w:ascii="Arial" w:hAnsi="Arial" w:cs="Arial"/>
          <w:bCs/>
          <w:iCs/>
        </w:rPr>
        <w:t>[17]</w:t>
      </w:r>
      <w:r w:rsidRPr="001B3DF7">
        <w:rPr>
          <w:rFonts w:ascii="Arial" w:hAnsi="Arial" w:cs="Arial"/>
          <w:bCs/>
          <w:iCs/>
        </w:rPr>
        <w:t>.</w:t>
      </w:r>
    </w:p>
    <w:p w14:paraId="0920091F" w14:textId="08EC202A" w:rsidR="001B3DF7" w:rsidRPr="001B3DF7" w:rsidRDefault="001B3DF7" w:rsidP="001B3DF7">
      <w:pPr>
        <w:pStyle w:val="Body"/>
        <w:rPr>
          <w:rFonts w:ascii="Arial" w:hAnsi="Arial" w:cs="Arial"/>
          <w:bCs/>
          <w:iCs/>
        </w:rPr>
      </w:pPr>
      <w:r w:rsidRPr="001B3DF7">
        <w:rPr>
          <w:rFonts w:ascii="Arial" w:hAnsi="Arial" w:cs="Arial"/>
          <w:b/>
          <w:iCs/>
        </w:rPr>
        <w:t xml:space="preserve">3.3 2017.  </w:t>
      </w:r>
      <w:r w:rsidRPr="001B3DF7">
        <w:rPr>
          <w:rFonts w:ascii="Arial" w:hAnsi="Arial" w:cs="Arial"/>
          <w:bCs/>
          <w:iCs/>
        </w:rPr>
        <w:t xml:space="preserve">At the 42 DAA evaluation, all herbicide treatments, with the exception of </w:t>
      </w:r>
      <w:proofErr w:type="spellStart"/>
      <w:r w:rsidRPr="001B3DF7">
        <w:rPr>
          <w:rFonts w:ascii="Arial" w:hAnsi="Arial" w:cs="Arial"/>
          <w:bCs/>
          <w:iCs/>
        </w:rPr>
        <w:t>saflufenacil</w:t>
      </w:r>
      <w:proofErr w:type="spellEnd"/>
      <w:r w:rsidRPr="001B3DF7">
        <w:rPr>
          <w:rFonts w:ascii="Arial" w:hAnsi="Arial" w:cs="Arial"/>
          <w:bCs/>
          <w:iCs/>
        </w:rPr>
        <w:t xml:space="preserve"> alone (57%), provided at least 97% </w:t>
      </w:r>
      <w:r w:rsidR="008807F8">
        <w:rPr>
          <w:rFonts w:ascii="Arial" w:hAnsi="Arial" w:cs="Arial"/>
          <w:bCs/>
          <w:iCs/>
        </w:rPr>
        <w:t xml:space="preserve">henbit </w:t>
      </w:r>
      <w:r w:rsidRPr="001B3DF7">
        <w:rPr>
          <w:rFonts w:ascii="Arial" w:hAnsi="Arial" w:cs="Arial"/>
          <w:bCs/>
          <w:iCs/>
        </w:rPr>
        <w:t xml:space="preserve">control (Table 2).  </w:t>
      </w:r>
      <w:proofErr w:type="spellStart"/>
      <w:r w:rsidRPr="001B3DF7">
        <w:rPr>
          <w:rFonts w:ascii="Arial" w:hAnsi="Arial" w:cs="Arial"/>
          <w:bCs/>
          <w:iCs/>
        </w:rPr>
        <w:t>Saflufenacil</w:t>
      </w:r>
      <w:proofErr w:type="spellEnd"/>
      <w:r w:rsidRPr="001B3DF7">
        <w:rPr>
          <w:rFonts w:ascii="Arial" w:hAnsi="Arial" w:cs="Arial"/>
          <w:bCs/>
          <w:iCs/>
        </w:rPr>
        <w:t xml:space="preserve"> is readily absorbed by plant roots, shoots, and leaves. Once absorbed, it is predominantly translocated via the xylem with relatively little movement in the phloem </w:t>
      </w:r>
      <w:r w:rsidR="000002E2">
        <w:rPr>
          <w:rFonts w:ascii="Arial" w:hAnsi="Arial" w:cs="Arial"/>
          <w:bCs/>
          <w:iCs/>
        </w:rPr>
        <w:t>[19]</w:t>
      </w:r>
      <w:r w:rsidRPr="001B3DF7">
        <w:rPr>
          <w:rFonts w:ascii="Arial" w:hAnsi="Arial" w:cs="Arial"/>
          <w:bCs/>
          <w:iCs/>
        </w:rPr>
        <w:t xml:space="preserve">. </w:t>
      </w:r>
      <w:proofErr w:type="spellStart"/>
      <w:r w:rsidRPr="001B3DF7">
        <w:rPr>
          <w:rFonts w:ascii="Arial" w:hAnsi="Arial" w:cs="Arial"/>
          <w:bCs/>
          <w:iCs/>
        </w:rPr>
        <w:t>Saflufenacil</w:t>
      </w:r>
      <w:proofErr w:type="spellEnd"/>
      <w:r w:rsidRPr="001B3DF7">
        <w:rPr>
          <w:rFonts w:ascii="Arial" w:hAnsi="Arial" w:cs="Arial"/>
          <w:bCs/>
          <w:iCs/>
        </w:rPr>
        <w:t xml:space="preserve"> has both contact and residual activity against susceptible weeds, which often show initial injury symptoms within a few hours </w:t>
      </w:r>
      <w:r w:rsidR="000002E2">
        <w:rPr>
          <w:rFonts w:ascii="Arial" w:hAnsi="Arial" w:cs="Arial"/>
          <w:bCs/>
          <w:iCs/>
        </w:rPr>
        <w:t>[20]</w:t>
      </w:r>
      <w:r w:rsidRPr="001B3DF7">
        <w:rPr>
          <w:rFonts w:ascii="Arial" w:hAnsi="Arial" w:cs="Arial"/>
          <w:bCs/>
          <w:iCs/>
        </w:rPr>
        <w:t xml:space="preserve">. Adjuvants also increased </w:t>
      </w:r>
      <w:proofErr w:type="spellStart"/>
      <w:r w:rsidRPr="001B3DF7">
        <w:rPr>
          <w:rFonts w:ascii="Arial" w:hAnsi="Arial" w:cs="Arial"/>
          <w:bCs/>
          <w:iCs/>
        </w:rPr>
        <w:t>saflufenacil</w:t>
      </w:r>
      <w:proofErr w:type="spellEnd"/>
      <w:r w:rsidRPr="001B3DF7">
        <w:rPr>
          <w:rFonts w:ascii="Arial" w:hAnsi="Arial" w:cs="Arial"/>
          <w:bCs/>
          <w:iCs/>
        </w:rPr>
        <w:t xml:space="preserve"> efficacy for henbit control compared with the herbicide applied alone </w:t>
      </w:r>
      <w:r w:rsidR="000002E2">
        <w:rPr>
          <w:rFonts w:ascii="Arial" w:hAnsi="Arial" w:cs="Arial"/>
          <w:bCs/>
          <w:iCs/>
        </w:rPr>
        <w:t>[21]</w:t>
      </w:r>
      <w:r w:rsidRPr="001B3DF7">
        <w:rPr>
          <w:rFonts w:ascii="Arial" w:hAnsi="Arial" w:cs="Arial"/>
          <w:bCs/>
          <w:iCs/>
        </w:rPr>
        <w:t xml:space="preserve">. In general, MSO provided the most enhancement of </w:t>
      </w:r>
      <w:proofErr w:type="spellStart"/>
      <w:r w:rsidRPr="001B3DF7">
        <w:rPr>
          <w:rFonts w:ascii="Arial" w:hAnsi="Arial" w:cs="Arial"/>
          <w:bCs/>
          <w:iCs/>
        </w:rPr>
        <w:t>saflufenacil</w:t>
      </w:r>
      <w:proofErr w:type="spellEnd"/>
      <w:r w:rsidRPr="001B3DF7">
        <w:rPr>
          <w:rFonts w:ascii="Arial" w:hAnsi="Arial" w:cs="Arial"/>
          <w:bCs/>
          <w:iCs/>
        </w:rPr>
        <w:t xml:space="preserve"> </w:t>
      </w:r>
      <w:r w:rsidR="000002E2">
        <w:rPr>
          <w:rFonts w:ascii="Arial" w:hAnsi="Arial" w:cs="Arial"/>
          <w:bCs/>
          <w:iCs/>
        </w:rPr>
        <w:t>[21]</w:t>
      </w:r>
      <w:r w:rsidRPr="001B3DF7">
        <w:rPr>
          <w:rFonts w:ascii="Arial" w:hAnsi="Arial" w:cs="Arial"/>
          <w:bCs/>
          <w:iCs/>
        </w:rPr>
        <w:t xml:space="preserve">. The effective dose (ED) 90 values obtained at 28 DAT were 98g/ha of </w:t>
      </w:r>
      <w:proofErr w:type="spellStart"/>
      <w:r w:rsidRPr="001B3DF7">
        <w:rPr>
          <w:rFonts w:ascii="Arial" w:hAnsi="Arial" w:cs="Arial"/>
          <w:bCs/>
          <w:iCs/>
        </w:rPr>
        <w:t>saflufenacil</w:t>
      </w:r>
      <w:proofErr w:type="spellEnd"/>
      <w:r w:rsidRPr="001B3DF7">
        <w:rPr>
          <w:rFonts w:ascii="Arial" w:hAnsi="Arial" w:cs="Arial"/>
          <w:bCs/>
          <w:iCs/>
        </w:rPr>
        <w:t xml:space="preserve"> applied alone compared with 52, 43, and35 g/ha doses of </w:t>
      </w:r>
      <w:proofErr w:type="spellStart"/>
      <w:r w:rsidRPr="001B3DF7">
        <w:rPr>
          <w:rFonts w:ascii="Arial" w:hAnsi="Arial" w:cs="Arial"/>
          <w:bCs/>
          <w:iCs/>
        </w:rPr>
        <w:t>saflufenacil</w:t>
      </w:r>
      <w:proofErr w:type="spellEnd"/>
      <w:r w:rsidRPr="001B3DF7">
        <w:rPr>
          <w:rFonts w:ascii="Arial" w:hAnsi="Arial" w:cs="Arial"/>
          <w:bCs/>
          <w:iCs/>
        </w:rPr>
        <w:t xml:space="preserve"> applied with NIS, COC, or MSO, respectively </w:t>
      </w:r>
      <w:r w:rsidR="000002E2">
        <w:rPr>
          <w:rFonts w:ascii="Arial" w:hAnsi="Arial" w:cs="Arial"/>
          <w:bCs/>
          <w:iCs/>
        </w:rPr>
        <w:t>[21]</w:t>
      </w:r>
      <w:r w:rsidRPr="001B3DF7">
        <w:rPr>
          <w:rFonts w:ascii="Arial" w:hAnsi="Arial" w:cs="Arial"/>
          <w:bCs/>
          <w:iCs/>
        </w:rPr>
        <w:t xml:space="preserve">. </w:t>
      </w:r>
    </w:p>
    <w:p w14:paraId="0D37346D" w14:textId="7D291A07" w:rsidR="00790ADA" w:rsidRDefault="001B3DF7" w:rsidP="00444077">
      <w:pPr>
        <w:pStyle w:val="Body"/>
        <w:rPr>
          <w:rFonts w:ascii="Arial" w:hAnsi="Arial" w:cs="Arial"/>
        </w:rPr>
      </w:pPr>
      <w:r w:rsidRPr="001B3DF7">
        <w:rPr>
          <w:rFonts w:ascii="Arial" w:hAnsi="Arial" w:cs="Arial"/>
          <w:bCs/>
          <w:iCs/>
        </w:rPr>
        <w:t>At the 57 DAA evaluation, flumioxazin alone at 219</w:t>
      </w:r>
      <w:r w:rsidR="008807F8">
        <w:rPr>
          <w:rFonts w:ascii="Arial" w:hAnsi="Arial" w:cs="Arial"/>
          <w:bCs/>
          <w:iCs/>
        </w:rPr>
        <w:t>.2</w:t>
      </w:r>
      <w:r w:rsidRPr="001B3DF7">
        <w:rPr>
          <w:rFonts w:ascii="Arial" w:hAnsi="Arial" w:cs="Arial"/>
          <w:bCs/>
          <w:iCs/>
        </w:rPr>
        <w:t xml:space="preserve"> ml ha-</w:t>
      </w:r>
      <w:r w:rsidRPr="001B3DF7">
        <w:rPr>
          <w:rFonts w:ascii="Arial" w:hAnsi="Arial" w:cs="Arial"/>
          <w:bCs/>
          <w:iCs/>
          <w:vertAlign w:val="superscript"/>
        </w:rPr>
        <w:t>1</w:t>
      </w:r>
      <w:r w:rsidRPr="001B3DF7">
        <w:rPr>
          <w:rFonts w:ascii="Arial" w:hAnsi="Arial" w:cs="Arial"/>
          <w:bCs/>
          <w:iCs/>
        </w:rPr>
        <w:t xml:space="preserve">, combinations of </w:t>
      </w:r>
      <w:bookmarkStart w:id="9" w:name="_Hlk217355968"/>
      <w:r w:rsidRPr="001B3DF7">
        <w:rPr>
          <w:rFonts w:ascii="Arial" w:hAnsi="Arial" w:cs="Arial"/>
          <w:bCs/>
          <w:iCs/>
        </w:rPr>
        <w:t xml:space="preserve">atrazine + flumioxazin </w:t>
      </w:r>
      <w:bookmarkEnd w:id="9"/>
      <w:r w:rsidRPr="001B3DF7">
        <w:rPr>
          <w:rFonts w:ascii="Arial" w:hAnsi="Arial" w:cs="Arial"/>
          <w:bCs/>
          <w:iCs/>
        </w:rPr>
        <w:t xml:space="preserve">or flumioxazin + </w:t>
      </w:r>
      <w:bookmarkStart w:id="10" w:name="_Hlk215747742"/>
      <w:proofErr w:type="spellStart"/>
      <w:r w:rsidRPr="001B3DF7">
        <w:rPr>
          <w:rFonts w:ascii="Arial" w:hAnsi="Arial" w:cs="Arial"/>
          <w:bCs/>
          <w:iCs/>
        </w:rPr>
        <w:t>thifensulfuron</w:t>
      </w:r>
      <w:proofErr w:type="spellEnd"/>
      <w:r w:rsidRPr="001B3DF7">
        <w:rPr>
          <w:rFonts w:ascii="Arial" w:hAnsi="Arial" w:cs="Arial"/>
          <w:bCs/>
          <w:iCs/>
        </w:rPr>
        <w:t xml:space="preserve">-methyl </w:t>
      </w:r>
      <w:bookmarkEnd w:id="10"/>
      <w:r w:rsidRPr="001B3DF7">
        <w:rPr>
          <w:rFonts w:ascii="Arial" w:hAnsi="Arial" w:cs="Arial"/>
          <w:bCs/>
          <w:iCs/>
        </w:rPr>
        <w:t xml:space="preserve">+ </w:t>
      </w:r>
      <w:proofErr w:type="spellStart"/>
      <w:r w:rsidRPr="001B3DF7">
        <w:rPr>
          <w:rFonts w:ascii="Arial" w:hAnsi="Arial" w:cs="Arial"/>
          <w:bCs/>
          <w:iCs/>
        </w:rPr>
        <w:t>tribenuron</w:t>
      </w:r>
      <w:proofErr w:type="spellEnd"/>
      <w:r w:rsidRPr="001B3DF7">
        <w:rPr>
          <w:rFonts w:ascii="Arial" w:hAnsi="Arial" w:cs="Arial"/>
          <w:bCs/>
          <w:iCs/>
        </w:rPr>
        <w:t xml:space="preserve">-methyl + glyphosate or atrazine + flumioxazin + </w:t>
      </w:r>
      <w:proofErr w:type="spellStart"/>
      <w:r w:rsidRPr="001B3DF7">
        <w:rPr>
          <w:rFonts w:ascii="Arial" w:hAnsi="Arial" w:cs="Arial"/>
          <w:bCs/>
          <w:iCs/>
        </w:rPr>
        <w:t>pyroxasulfone</w:t>
      </w:r>
      <w:proofErr w:type="spellEnd"/>
      <w:r w:rsidRPr="001B3DF7">
        <w:rPr>
          <w:rFonts w:ascii="Arial" w:hAnsi="Arial" w:cs="Arial"/>
          <w:bCs/>
          <w:iCs/>
        </w:rPr>
        <w:t xml:space="preserve"> provided 99 to 100% control while flumioxazin + </w:t>
      </w:r>
      <w:proofErr w:type="spellStart"/>
      <w:r w:rsidRPr="001B3DF7">
        <w:rPr>
          <w:rFonts w:ascii="Arial" w:hAnsi="Arial" w:cs="Arial"/>
          <w:bCs/>
          <w:iCs/>
        </w:rPr>
        <w:t>pyroxasulfone</w:t>
      </w:r>
      <w:proofErr w:type="spellEnd"/>
      <w:r w:rsidRPr="001B3DF7">
        <w:rPr>
          <w:rFonts w:ascii="Arial" w:hAnsi="Arial" w:cs="Arial"/>
          <w:bCs/>
          <w:iCs/>
        </w:rPr>
        <w:t xml:space="preserve"> controlled henbit 95%.  Increasing the rate of flumioxazin from 146</w:t>
      </w:r>
      <w:r w:rsidR="008807F8">
        <w:rPr>
          <w:rFonts w:ascii="Arial" w:hAnsi="Arial" w:cs="Arial"/>
          <w:bCs/>
          <w:iCs/>
        </w:rPr>
        <w:t>.1</w:t>
      </w:r>
      <w:r w:rsidRPr="001B3DF7">
        <w:rPr>
          <w:rFonts w:ascii="Arial" w:hAnsi="Arial" w:cs="Arial"/>
          <w:bCs/>
          <w:iCs/>
        </w:rPr>
        <w:t xml:space="preserve"> ml ha</w:t>
      </w:r>
      <w:r w:rsidRPr="001B3DF7">
        <w:rPr>
          <w:rFonts w:ascii="Arial" w:hAnsi="Arial" w:cs="Arial"/>
          <w:bCs/>
          <w:iCs/>
          <w:vertAlign w:val="superscript"/>
        </w:rPr>
        <w:t xml:space="preserve">-1 </w:t>
      </w:r>
      <w:r w:rsidRPr="001B3DF7">
        <w:rPr>
          <w:rFonts w:ascii="Arial" w:hAnsi="Arial" w:cs="Arial"/>
          <w:bCs/>
          <w:iCs/>
        </w:rPr>
        <w:t>(91%) to 219</w:t>
      </w:r>
      <w:r w:rsidR="008807F8">
        <w:rPr>
          <w:rFonts w:ascii="Arial" w:hAnsi="Arial" w:cs="Arial"/>
          <w:bCs/>
          <w:iCs/>
        </w:rPr>
        <w:t>.2</w:t>
      </w:r>
      <w:r w:rsidRPr="001B3DF7">
        <w:rPr>
          <w:rFonts w:ascii="Arial" w:hAnsi="Arial" w:cs="Arial"/>
          <w:bCs/>
          <w:iCs/>
        </w:rPr>
        <w:t xml:space="preserve"> ml ha</w:t>
      </w:r>
      <w:r w:rsidRPr="001B3DF7">
        <w:rPr>
          <w:rFonts w:ascii="Arial" w:hAnsi="Arial" w:cs="Arial"/>
          <w:bCs/>
          <w:iCs/>
          <w:vertAlign w:val="superscript"/>
        </w:rPr>
        <w:t xml:space="preserve">-1 </w:t>
      </w:r>
      <w:r w:rsidRPr="001B3DF7">
        <w:rPr>
          <w:rFonts w:ascii="Arial" w:hAnsi="Arial" w:cs="Arial"/>
          <w:bCs/>
          <w:iCs/>
        </w:rPr>
        <w:t xml:space="preserve">(99%) improved henbit control 8%.  Atrazine alone or in combination with either 2,4-D, glyphosate, or paraquat resulted in </w:t>
      </w:r>
      <w:r w:rsidRPr="001B3DF7">
        <w:rPr>
          <w:rFonts w:ascii="Arial" w:hAnsi="Arial" w:cs="Arial"/>
          <w:bCs/>
          <w:iCs/>
          <w:u w:val="single"/>
        </w:rPr>
        <w:t>&lt;</w:t>
      </w:r>
      <w:r w:rsidRPr="001B3DF7">
        <w:rPr>
          <w:rFonts w:ascii="Arial" w:hAnsi="Arial" w:cs="Arial"/>
          <w:bCs/>
          <w:iCs/>
        </w:rPr>
        <w:t xml:space="preserve"> 72% control while </w:t>
      </w:r>
      <w:proofErr w:type="spellStart"/>
      <w:r w:rsidRPr="001B3DF7">
        <w:rPr>
          <w:rFonts w:ascii="Arial" w:hAnsi="Arial" w:cs="Arial"/>
          <w:bCs/>
          <w:iCs/>
        </w:rPr>
        <w:t>rimsulfuron</w:t>
      </w:r>
      <w:proofErr w:type="spellEnd"/>
      <w:r w:rsidRPr="001B3DF7">
        <w:rPr>
          <w:rFonts w:ascii="Arial" w:hAnsi="Arial" w:cs="Arial"/>
          <w:bCs/>
          <w:iCs/>
        </w:rPr>
        <w:t xml:space="preserve"> + </w:t>
      </w:r>
      <w:proofErr w:type="spellStart"/>
      <w:r w:rsidRPr="001B3DF7">
        <w:rPr>
          <w:rFonts w:ascii="Arial" w:hAnsi="Arial" w:cs="Arial"/>
          <w:bCs/>
          <w:iCs/>
        </w:rPr>
        <w:t>thifensulfuron</w:t>
      </w:r>
      <w:proofErr w:type="spellEnd"/>
      <w:r w:rsidRPr="001B3DF7">
        <w:rPr>
          <w:rFonts w:ascii="Arial" w:hAnsi="Arial" w:cs="Arial"/>
          <w:bCs/>
          <w:iCs/>
        </w:rPr>
        <w:t xml:space="preserve">-methyl alone or in combination with either glyphosate or atrazine provided 78 to 83% henbit control.  Henbit control with </w:t>
      </w:r>
      <w:proofErr w:type="spellStart"/>
      <w:r w:rsidRPr="001B3DF7">
        <w:rPr>
          <w:rFonts w:ascii="Arial" w:hAnsi="Arial" w:cs="Arial"/>
          <w:bCs/>
          <w:iCs/>
        </w:rPr>
        <w:t>saflufenacil</w:t>
      </w:r>
      <w:proofErr w:type="spellEnd"/>
      <w:r w:rsidRPr="001B3DF7">
        <w:rPr>
          <w:rFonts w:ascii="Arial" w:hAnsi="Arial" w:cs="Arial"/>
          <w:bCs/>
          <w:iCs/>
        </w:rPr>
        <w:t xml:space="preserve"> </w:t>
      </w:r>
      <w:r w:rsidR="008807F8">
        <w:rPr>
          <w:rFonts w:ascii="Arial" w:hAnsi="Arial" w:cs="Arial"/>
          <w:bCs/>
          <w:iCs/>
        </w:rPr>
        <w:t xml:space="preserve">alone </w:t>
      </w:r>
      <w:r w:rsidRPr="001B3DF7">
        <w:rPr>
          <w:rFonts w:ascii="Arial" w:hAnsi="Arial" w:cs="Arial"/>
          <w:bCs/>
          <w:iCs/>
        </w:rPr>
        <w:t xml:space="preserve">improved to 88%.  </w:t>
      </w:r>
      <w:r w:rsidRPr="001B3DF7">
        <w:rPr>
          <w:rFonts w:ascii="Arial" w:hAnsi="Arial" w:cs="Arial"/>
          <w:bCs/>
        </w:rPr>
        <w:t xml:space="preserve">Krausz et al. </w:t>
      </w:r>
      <w:r w:rsidR="00BA331D">
        <w:rPr>
          <w:rFonts w:ascii="Arial" w:hAnsi="Arial" w:cs="Arial"/>
          <w:bCs/>
        </w:rPr>
        <w:t>[6]</w:t>
      </w:r>
      <w:r w:rsidRPr="001B3DF7">
        <w:rPr>
          <w:rFonts w:ascii="Arial" w:hAnsi="Arial" w:cs="Arial"/>
          <w:bCs/>
        </w:rPr>
        <w:t xml:space="preserve"> observed 93% henbit control prior to planting in the spring following a mid-November application of </w:t>
      </w:r>
      <w:proofErr w:type="spellStart"/>
      <w:r w:rsidRPr="001B3DF7">
        <w:rPr>
          <w:rFonts w:ascii="Arial" w:hAnsi="Arial" w:cs="Arial"/>
          <w:bCs/>
        </w:rPr>
        <w:t>rimsulfuron</w:t>
      </w:r>
      <w:proofErr w:type="spellEnd"/>
      <w:r w:rsidRPr="001B3DF7">
        <w:rPr>
          <w:rFonts w:ascii="Arial" w:hAnsi="Arial" w:cs="Arial"/>
          <w:bCs/>
        </w:rPr>
        <w:t xml:space="preserve"> plus </w:t>
      </w:r>
      <w:proofErr w:type="spellStart"/>
      <w:r w:rsidRPr="001B3DF7">
        <w:rPr>
          <w:rFonts w:ascii="Arial" w:hAnsi="Arial" w:cs="Arial"/>
          <w:bCs/>
        </w:rPr>
        <w:t>thifensulfuron</w:t>
      </w:r>
      <w:proofErr w:type="spellEnd"/>
      <w:r w:rsidRPr="001B3DF7">
        <w:rPr>
          <w:rFonts w:ascii="Arial" w:hAnsi="Arial" w:cs="Arial"/>
          <w:bCs/>
        </w:rPr>
        <w:t>.</w:t>
      </w:r>
      <w:r w:rsidRPr="001B3DF7">
        <w:rPr>
          <w:rFonts w:ascii="Arial" w:hAnsi="Arial" w:cs="Arial"/>
          <w:b/>
        </w:rPr>
        <w:t xml:space="preserve"> </w:t>
      </w:r>
      <w:r w:rsidRPr="001B3DF7">
        <w:rPr>
          <w:rFonts w:ascii="Arial" w:hAnsi="Arial" w:cs="Arial"/>
        </w:rPr>
        <w:t xml:space="preserve">   Askew et al., </w:t>
      </w:r>
      <w:r w:rsidR="00BA331D">
        <w:rPr>
          <w:rFonts w:ascii="Arial" w:hAnsi="Arial" w:cs="Arial"/>
        </w:rPr>
        <w:t>[18]</w:t>
      </w:r>
      <w:r w:rsidRPr="001B3DF7">
        <w:rPr>
          <w:rFonts w:ascii="Arial" w:hAnsi="Arial" w:cs="Arial"/>
        </w:rPr>
        <w:t xml:space="preserve"> reported glyphosate alone and glyphosate </w:t>
      </w:r>
      <w:proofErr w:type="gramStart"/>
      <w:r w:rsidRPr="001B3DF7">
        <w:rPr>
          <w:rFonts w:ascii="Arial" w:hAnsi="Arial" w:cs="Arial"/>
        </w:rPr>
        <w:t>combinations</w:t>
      </w:r>
      <w:r w:rsidR="008807F8">
        <w:rPr>
          <w:rFonts w:ascii="Arial" w:hAnsi="Arial" w:cs="Arial"/>
        </w:rPr>
        <w:t xml:space="preserve"> </w:t>
      </w:r>
      <w:r w:rsidRPr="001B3DF7">
        <w:rPr>
          <w:rFonts w:ascii="Arial" w:hAnsi="Arial" w:cs="Arial"/>
        </w:rPr>
        <w:t>controlled</w:t>
      </w:r>
      <w:proofErr w:type="gramEnd"/>
      <w:r w:rsidRPr="001B3DF7">
        <w:rPr>
          <w:rFonts w:ascii="Arial" w:hAnsi="Arial" w:cs="Arial"/>
        </w:rPr>
        <w:t xml:space="preserve"> henbit 100% and purple deadnettle 99%. </w:t>
      </w:r>
    </w:p>
    <w:p w14:paraId="708F14E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22BFAF" w14:textId="77777777" w:rsidR="00790ADA" w:rsidRPr="00FB3A86" w:rsidRDefault="00790ADA" w:rsidP="00441B6F">
      <w:pPr>
        <w:pStyle w:val="ConcHead"/>
        <w:spacing w:after="0"/>
        <w:jc w:val="both"/>
        <w:rPr>
          <w:rFonts w:ascii="Arial" w:hAnsi="Arial" w:cs="Arial"/>
        </w:rPr>
      </w:pPr>
    </w:p>
    <w:p w14:paraId="3505B2CB" w14:textId="6517AC5D" w:rsidR="0066108C" w:rsidRPr="0066108C" w:rsidRDefault="0066108C" w:rsidP="0066108C">
      <w:pPr>
        <w:pStyle w:val="Body"/>
        <w:spacing w:after="0"/>
        <w:rPr>
          <w:rFonts w:ascii="Arial" w:hAnsi="Arial" w:cs="Arial"/>
        </w:rPr>
      </w:pPr>
      <w:r w:rsidRPr="0066108C">
        <w:rPr>
          <w:rFonts w:ascii="Arial" w:hAnsi="Arial" w:cs="Arial"/>
        </w:rPr>
        <w:t xml:space="preserve">Several POST herbicides provided good to excellent henbit control and are options to reduce this winter weed issue.  Flumioxazin + </w:t>
      </w:r>
      <w:proofErr w:type="spellStart"/>
      <w:r w:rsidRPr="0066108C">
        <w:rPr>
          <w:rFonts w:ascii="Arial" w:hAnsi="Arial" w:cs="Arial"/>
        </w:rPr>
        <w:t>pyroxasulfone</w:t>
      </w:r>
      <w:proofErr w:type="spellEnd"/>
      <w:r w:rsidRPr="0066108C">
        <w:rPr>
          <w:rFonts w:ascii="Arial" w:hAnsi="Arial" w:cs="Arial"/>
        </w:rPr>
        <w:t xml:space="preserve"> alone or in combination with atrazine provided the most consistent control.  These combinations not only provide ‘knock-down’ of the henbit but also can provide residual control.  Although flumioxazin alone provided 71 to 99% control when evaluated 57 and 75 DAA, the addition of atrazine to flumioxazin provided 83 to 100% control while atrazine + </w:t>
      </w:r>
      <w:proofErr w:type="spellStart"/>
      <w:r w:rsidRPr="0066108C">
        <w:rPr>
          <w:rFonts w:ascii="Arial" w:hAnsi="Arial" w:cs="Arial"/>
        </w:rPr>
        <w:t>pyroxasulfone</w:t>
      </w:r>
      <w:proofErr w:type="spellEnd"/>
      <w:r w:rsidRPr="0066108C">
        <w:rPr>
          <w:rFonts w:ascii="Arial" w:hAnsi="Arial" w:cs="Arial"/>
        </w:rPr>
        <w:t xml:space="preserve"> + to flumioxazin provided </w:t>
      </w:r>
      <w:r w:rsidR="00C24283">
        <w:rPr>
          <w:rFonts w:ascii="Arial" w:hAnsi="Arial" w:cs="Arial"/>
        </w:rPr>
        <w:t xml:space="preserve">the </w:t>
      </w:r>
      <w:r w:rsidRPr="0066108C">
        <w:rPr>
          <w:rFonts w:ascii="Arial" w:hAnsi="Arial" w:cs="Arial"/>
        </w:rPr>
        <w:t>mo</w:t>
      </w:r>
      <w:r w:rsidR="00C24283">
        <w:rPr>
          <w:rFonts w:ascii="Arial" w:hAnsi="Arial" w:cs="Arial"/>
        </w:rPr>
        <w:t>st</w:t>
      </w:r>
      <w:r w:rsidRPr="0066108C">
        <w:rPr>
          <w:rFonts w:ascii="Arial" w:hAnsi="Arial" w:cs="Arial"/>
        </w:rPr>
        <w:t xml:space="preserve"> consistent control ((93 to 100%).  Atrazine alone provided perfect early-season weed control but late-season henbit control was poor (&lt; 50%).  </w:t>
      </w:r>
    </w:p>
    <w:p w14:paraId="23D618E8" w14:textId="77777777" w:rsidR="00790ADA" w:rsidRPr="00FB3A86" w:rsidRDefault="00790ADA" w:rsidP="00441B6F">
      <w:pPr>
        <w:pStyle w:val="Body"/>
        <w:spacing w:after="0"/>
        <w:rPr>
          <w:rFonts w:ascii="Arial" w:hAnsi="Arial" w:cs="Arial"/>
        </w:rPr>
      </w:pPr>
    </w:p>
    <w:p w14:paraId="105CDF7A" w14:textId="77777777" w:rsidR="00315186" w:rsidRPr="00315186" w:rsidRDefault="00315186" w:rsidP="00441B6F">
      <w:bookmarkStart w:id="11" w:name="_GoBack"/>
      <w:bookmarkEnd w:id="11"/>
    </w:p>
    <w:p w14:paraId="1AC91DE3" w14:textId="77777777" w:rsidR="00F82AF4" w:rsidRPr="003A29C6" w:rsidRDefault="00F82AF4" w:rsidP="00F82AF4">
      <w:pPr>
        <w:jc w:val="both"/>
        <w:outlineLvl w:val="0"/>
        <w:rPr>
          <w:rFonts w:ascii="Arial" w:hAnsi="Arial" w:cs="Arial"/>
        </w:rPr>
      </w:pPr>
      <w:r w:rsidRPr="003A29C6">
        <w:rPr>
          <w:rFonts w:ascii="Arial" w:hAnsi="Arial" w:cs="Arial"/>
          <w:b/>
          <w:bCs/>
        </w:rPr>
        <w:t>COMPETING INTERESTS DISCLAIMER:</w:t>
      </w:r>
    </w:p>
    <w:p w14:paraId="308C48F6" w14:textId="77777777" w:rsidR="00F82AF4" w:rsidRDefault="00F82AF4" w:rsidP="00F82AF4">
      <w:r w:rsidRPr="00A10EDE">
        <w:t>Authors have declared that they have no known competing financial interests OR non-financial interests OR personal relationships that could have appeared to influence the work reported in this paper.</w:t>
      </w:r>
    </w:p>
    <w:p w14:paraId="6416D9FA" w14:textId="77777777" w:rsidR="005C784C" w:rsidRDefault="005C784C" w:rsidP="00441B6F">
      <w:pPr>
        <w:pStyle w:val="ReferHead"/>
        <w:spacing w:after="0"/>
        <w:jc w:val="both"/>
        <w:rPr>
          <w:rFonts w:ascii="Arial" w:hAnsi="Arial" w:cs="Arial"/>
          <w:b w:val="0"/>
          <w:caps w:val="0"/>
          <w:sz w:val="20"/>
        </w:rPr>
      </w:pPr>
    </w:p>
    <w:p w14:paraId="0C85AC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F47000B" w14:textId="77777777" w:rsidR="00790ADA" w:rsidRPr="00FB3A86" w:rsidRDefault="00790ADA" w:rsidP="00441B6F">
      <w:pPr>
        <w:pStyle w:val="ReferHead"/>
        <w:spacing w:after="0"/>
        <w:jc w:val="both"/>
        <w:rPr>
          <w:rFonts w:ascii="Arial" w:hAnsi="Arial" w:cs="Arial"/>
        </w:rPr>
      </w:pPr>
    </w:p>
    <w:p w14:paraId="167B68E6" w14:textId="77777777" w:rsidR="00DD5A5B" w:rsidRDefault="002A4755" w:rsidP="00DD5A5B">
      <w:pPr>
        <w:pStyle w:val="Body"/>
        <w:contextualSpacing/>
      </w:pPr>
      <w:r>
        <w:t xml:space="preserve">1. </w:t>
      </w:r>
      <w:r w:rsidR="00DD5A5B">
        <w:tab/>
      </w:r>
      <w:r w:rsidRPr="002A4755">
        <w:t>Bernards</w:t>
      </w:r>
      <w:r w:rsidR="00DD1D84">
        <w:t>,</w:t>
      </w:r>
      <w:r w:rsidRPr="002A4755">
        <w:t xml:space="preserve"> M</w:t>
      </w:r>
      <w:r w:rsidR="00822A81">
        <w:t xml:space="preserve">. </w:t>
      </w:r>
      <w:r w:rsidRPr="002A4755">
        <w:t>L</w:t>
      </w:r>
      <w:r w:rsidR="00822A81">
        <w:t>.</w:t>
      </w:r>
      <w:r w:rsidRPr="002A4755">
        <w:t xml:space="preserve">, </w:t>
      </w:r>
      <w:r w:rsidR="00DD1D84">
        <w:t xml:space="preserve">&amp; </w:t>
      </w:r>
      <w:r w:rsidRPr="002A4755">
        <w:t>Sandell</w:t>
      </w:r>
      <w:r w:rsidR="00DD1D84">
        <w:t>,</w:t>
      </w:r>
      <w:r w:rsidRPr="002A4755">
        <w:t xml:space="preserve"> L</w:t>
      </w:r>
      <w:r w:rsidR="00DD1D84">
        <w:t xml:space="preserve">. </w:t>
      </w:r>
      <w:r w:rsidRPr="002A4755">
        <w:t>D</w:t>
      </w:r>
      <w:r w:rsidR="00DD1D84">
        <w:t>.</w:t>
      </w:r>
      <w:r w:rsidRPr="002A4755">
        <w:t xml:space="preserve"> (2011)</w:t>
      </w:r>
      <w:r w:rsidR="00DD1D84">
        <w:t>.</w:t>
      </w:r>
      <w:r w:rsidRPr="002A4755">
        <w:t xml:space="preserve"> Control winter annual weed early to protect</w:t>
      </w:r>
      <w:r>
        <w:t xml:space="preserve"> </w:t>
      </w:r>
      <w:r w:rsidRPr="002A4755">
        <w:t xml:space="preserve">crop yield. </w:t>
      </w:r>
      <w:r w:rsidRPr="00F02475">
        <w:rPr>
          <w:i/>
          <w:iCs/>
        </w:rPr>
        <w:t>University of</w:t>
      </w:r>
    </w:p>
    <w:p w14:paraId="02D53FAE" w14:textId="607E19A3" w:rsidR="002A4755" w:rsidRDefault="002A4755" w:rsidP="00DD5A5B">
      <w:pPr>
        <w:pStyle w:val="Body"/>
        <w:ind w:firstLine="720"/>
        <w:contextualSpacing/>
      </w:pPr>
      <w:r w:rsidRPr="00F02475">
        <w:rPr>
          <w:i/>
          <w:iCs/>
        </w:rPr>
        <w:t xml:space="preserve">Nebraska–Lincoln </w:t>
      </w:r>
      <w:proofErr w:type="spellStart"/>
      <w:r w:rsidRPr="00F02475">
        <w:rPr>
          <w:i/>
          <w:iCs/>
        </w:rPr>
        <w:t>Cropwatch</w:t>
      </w:r>
      <w:proofErr w:type="spellEnd"/>
      <w:r w:rsidRPr="002A4755">
        <w:t xml:space="preserve">. </w:t>
      </w:r>
      <w:hyperlink r:id="rId14" w:history="1">
        <w:r w:rsidRPr="00F02475">
          <w:rPr>
            <w:rStyle w:val="Hyperlink"/>
            <w:color w:val="auto"/>
            <w:u w:val="none"/>
          </w:rPr>
          <w:t>https://cropwatch</w:t>
        </w:r>
      </w:hyperlink>
      <w:r w:rsidRPr="00F02475">
        <w:t>. unl.edu/control-winter-annual-weeds-early-protect-crop-yield.</w:t>
      </w:r>
      <w:r w:rsidRPr="002A4755">
        <w:t xml:space="preserve"> </w:t>
      </w:r>
    </w:p>
    <w:p w14:paraId="6167409E" w14:textId="6B6C6CCF" w:rsidR="006A7A43" w:rsidRDefault="00C86B98" w:rsidP="006A7A43">
      <w:pPr>
        <w:pStyle w:val="Body"/>
        <w:ind w:left="720" w:hanging="720"/>
        <w:contextualSpacing/>
      </w:pPr>
      <w:r>
        <w:t xml:space="preserve">2. </w:t>
      </w:r>
      <w:r w:rsidR="00DD5A5B">
        <w:tab/>
      </w:r>
      <w:r w:rsidRPr="00C86B98">
        <w:t>Dahlke, B. J., Hayden</w:t>
      </w:r>
      <w:r w:rsidR="00DD1D84">
        <w:t>, T. A.</w:t>
      </w:r>
      <w:r w:rsidRPr="00C86B98">
        <w:t>, Leif</w:t>
      </w:r>
      <w:r w:rsidR="00DD1D84">
        <w:t>, J. W.</w:t>
      </w:r>
      <w:r w:rsidRPr="00C86B98">
        <w:t xml:space="preserve">, </w:t>
      </w:r>
      <w:r w:rsidR="00DD1D84">
        <w:t>&amp;</w:t>
      </w:r>
      <w:r w:rsidRPr="00C86B98">
        <w:t xml:space="preserve"> Medlin</w:t>
      </w:r>
      <w:r w:rsidR="00DD1D84">
        <w:t>, C. R</w:t>
      </w:r>
      <w:r w:rsidRPr="00C86B98">
        <w:t xml:space="preserve">. </w:t>
      </w:r>
      <w:r w:rsidR="00DD1D84">
        <w:t>(</w:t>
      </w:r>
      <w:r w:rsidRPr="00C86B98">
        <w:t>2001</w:t>
      </w:r>
      <w:r w:rsidR="00DD1D84">
        <w:t>)</w:t>
      </w:r>
      <w:r w:rsidRPr="00C86B98">
        <w:t xml:space="preserve">. Fall application of </w:t>
      </w:r>
      <w:proofErr w:type="spellStart"/>
      <w:r w:rsidRPr="00C86B98">
        <w:t>imazaquin</w:t>
      </w:r>
      <w:proofErr w:type="spellEnd"/>
      <w:r w:rsidRPr="00C86B98">
        <w:t xml:space="preserve"> plus glyphosate (premix) for winter annual weed control in soybeans. </w:t>
      </w:r>
      <w:r w:rsidRPr="00F02475">
        <w:rPr>
          <w:i/>
          <w:iCs/>
        </w:rPr>
        <w:t>Proc</w:t>
      </w:r>
      <w:r w:rsidR="00F02475" w:rsidRPr="00F02475">
        <w:rPr>
          <w:i/>
          <w:iCs/>
        </w:rPr>
        <w:t xml:space="preserve">eedings of the </w:t>
      </w:r>
      <w:r w:rsidRPr="00F02475">
        <w:rPr>
          <w:i/>
          <w:iCs/>
        </w:rPr>
        <w:t>North Cent</w:t>
      </w:r>
      <w:r w:rsidR="00F02475" w:rsidRPr="00F02475">
        <w:rPr>
          <w:i/>
          <w:iCs/>
        </w:rPr>
        <w:t>ral</w:t>
      </w:r>
      <w:r w:rsidRPr="00F02475">
        <w:rPr>
          <w:i/>
          <w:iCs/>
        </w:rPr>
        <w:t xml:space="preserve"> Weed Sci</w:t>
      </w:r>
      <w:r w:rsidR="00F02475" w:rsidRPr="00F02475">
        <w:rPr>
          <w:i/>
          <w:iCs/>
        </w:rPr>
        <w:t>ence</w:t>
      </w:r>
      <w:r w:rsidRPr="00F02475">
        <w:rPr>
          <w:i/>
          <w:iCs/>
        </w:rPr>
        <w:t xml:space="preserve"> Soc</w:t>
      </w:r>
      <w:r w:rsidR="00F02475" w:rsidRPr="00F02475">
        <w:rPr>
          <w:i/>
          <w:iCs/>
        </w:rPr>
        <w:t>iety</w:t>
      </w:r>
      <w:r w:rsidR="00F02475">
        <w:rPr>
          <w:i/>
          <w:iCs/>
        </w:rPr>
        <w:t>,</w:t>
      </w:r>
      <w:r w:rsidRPr="00C86B98">
        <w:t xml:space="preserve"> 56:93.</w:t>
      </w:r>
    </w:p>
    <w:p w14:paraId="4D76C8CF" w14:textId="0A864406" w:rsidR="006A7A43" w:rsidRDefault="00C86B98" w:rsidP="006A7A43">
      <w:pPr>
        <w:pStyle w:val="Body"/>
        <w:ind w:left="720" w:hanging="720"/>
        <w:contextualSpacing/>
      </w:pPr>
      <w:r>
        <w:t xml:space="preserve">3. </w:t>
      </w:r>
      <w:r w:rsidR="000B7096">
        <w:tab/>
      </w:r>
      <w:r w:rsidRPr="006A7A43">
        <w:t>Venkate</w:t>
      </w:r>
      <w:r w:rsidRPr="00C86B98">
        <w:t xml:space="preserve">sh, R., Harrison, </w:t>
      </w:r>
      <w:r w:rsidR="006A7A43">
        <w:t xml:space="preserve">S. K. &amp; </w:t>
      </w:r>
      <w:r w:rsidRPr="00C86B98">
        <w:t>Riedel</w:t>
      </w:r>
      <w:r w:rsidR="006A7A43">
        <w:t xml:space="preserve"> R. M.</w:t>
      </w:r>
      <w:r w:rsidRPr="00C86B98">
        <w:t xml:space="preserve"> </w:t>
      </w:r>
      <w:r w:rsidR="00751BC3">
        <w:t>(</w:t>
      </w:r>
      <w:r w:rsidRPr="00C86B98">
        <w:t>2000</w:t>
      </w:r>
      <w:r w:rsidR="00751BC3">
        <w:t>)</w:t>
      </w:r>
      <w:r w:rsidRPr="00C86B98">
        <w:t>. Weed hosts of soybean cyst nematode (</w:t>
      </w:r>
      <w:proofErr w:type="spellStart"/>
      <w:r w:rsidRPr="00C86B98">
        <w:rPr>
          <w:i/>
          <w:iCs/>
        </w:rPr>
        <w:t>Heterodera</w:t>
      </w:r>
      <w:proofErr w:type="spellEnd"/>
      <w:r w:rsidRPr="00C86B98">
        <w:rPr>
          <w:i/>
          <w:iCs/>
        </w:rPr>
        <w:t xml:space="preserve"> </w:t>
      </w:r>
      <w:proofErr w:type="spellStart"/>
      <w:r w:rsidRPr="00C86B98">
        <w:rPr>
          <w:i/>
          <w:iCs/>
        </w:rPr>
        <w:t>glycines</w:t>
      </w:r>
      <w:proofErr w:type="spellEnd"/>
      <w:r w:rsidRPr="00C86B98">
        <w:t>)</w:t>
      </w:r>
    </w:p>
    <w:p w14:paraId="3C12D224" w14:textId="7F4F040E" w:rsidR="00C86B98" w:rsidRDefault="00C86B98" w:rsidP="00C86B98">
      <w:pPr>
        <w:pStyle w:val="Body"/>
        <w:contextualSpacing/>
      </w:pPr>
      <w:r w:rsidRPr="00C86B98">
        <w:t xml:space="preserve"> </w:t>
      </w:r>
      <w:r w:rsidR="006A7A43">
        <w:tab/>
      </w:r>
      <w:r w:rsidRPr="00C86B98">
        <w:t xml:space="preserve">in Ohio. </w:t>
      </w:r>
      <w:r w:rsidRPr="00F02475">
        <w:rPr>
          <w:i/>
          <w:iCs/>
        </w:rPr>
        <w:t>Weed Technol</w:t>
      </w:r>
      <w:r w:rsidR="00F02475" w:rsidRPr="00F02475">
        <w:rPr>
          <w:i/>
          <w:iCs/>
        </w:rPr>
        <w:t>ogy</w:t>
      </w:r>
      <w:r w:rsidR="00F02475">
        <w:rPr>
          <w:i/>
          <w:iCs/>
        </w:rPr>
        <w:t xml:space="preserve">, </w:t>
      </w:r>
      <w:r w:rsidRPr="00C86B98">
        <w:t>14:156 160.</w:t>
      </w:r>
    </w:p>
    <w:p w14:paraId="28923AD2" w14:textId="3EEBE178" w:rsidR="00B9693E" w:rsidRPr="00B9693E" w:rsidRDefault="00B9693E" w:rsidP="00F02475">
      <w:pPr>
        <w:pStyle w:val="Body"/>
        <w:ind w:left="720" w:hanging="720"/>
        <w:contextualSpacing/>
      </w:pPr>
      <w:r>
        <w:t xml:space="preserve">4. </w:t>
      </w:r>
      <w:r w:rsidR="006A7A43">
        <w:tab/>
      </w:r>
      <w:r w:rsidRPr="00B9693E">
        <w:t xml:space="preserve">Lee, A. T. </w:t>
      </w:r>
      <w:r w:rsidR="006A7A43">
        <w:t xml:space="preserve">&amp; </w:t>
      </w:r>
      <w:r w:rsidRPr="00B9693E">
        <w:t>Witt</w:t>
      </w:r>
      <w:r w:rsidR="006A7A43">
        <w:t xml:space="preserve"> W. W.</w:t>
      </w:r>
      <w:r w:rsidRPr="00B9693E">
        <w:t xml:space="preserve"> </w:t>
      </w:r>
      <w:r w:rsidR="00751BC3">
        <w:t>(</w:t>
      </w:r>
      <w:r w:rsidRPr="00B9693E">
        <w:t>2001</w:t>
      </w:r>
      <w:r w:rsidR="00751BC3">
        <w:t>)</w:t>
      </w:r>
      <w:r w:rsidRPr="00B9693E">
        <w:t xml:space="preserve">. Persistence and efficacy of fall-applied simazine and atrazine. </w:t>
      </w:r>
      <w:r w:rsidRPr="00F02475">
        <w:rPr>
          <w:i/>
          <w:iCs/>
        </w:rPr>
        <w:t>Proc</w:t>
      </w:r>
      <w:r w:rsidR="00F02475" w:rsidRPr="00F02475">
        <w:rPr>
          <w:i/>
          <w:iCs/>
        </w:rPr>
        <w:t>eedings of the</w:t>
      </w:r>
      <w:r w:rsidRPr="00B9693E">
        <w:t xml:space="preserve"> </w:t>
      </w:r>
      <w:r w:rsidRPr="00F02475">
        <w:rPr>
          <w:i/>
          <w:iCs/>
        </w:rPr>
        <w:t>North Cent</w:t>
      </w:r>
      <w:r w:rsidR="00F02475" w:rsidRPr="00F02475">
        <w:rPr>
          <w:i/>
          <w:iCs/>
        </w:rPr>
        <w:t xml:space="preserve">ral </w:t>
      </w:r>
      <w:r w:rsidRPr="00F02475">
        <w:rPr>
          <w:i/>
          <w:iCs/>
        </w:rPr>
        <w:t>Weed Sci</w:t>
      </w:r>
      <w:r w:rsidR="00F02475" w:rsidRPr="00F02475">
        <w:rPr>
          <w:i/>
          <w:iCs/>
        </w:rPr>
        <w:t>ence</w:t>
      </w:r>
      <w:r w:rsidRPr="00F02475">
        <w:rPr>
          <w:i/>
          <w:iCs/>
        </w:rPr>
        <w:t xml:space="preserve"> Soc</w:t>
      </w:r>
      <w:r w:rsidR="00F02475" w:rsidRPr="00F02475">
        <w:rPr>
          <w:i/>
          <w:iCs/>
        </w:rPr>
        <w:t>iety</w:t>
      </w:r>
      <w:r w:rsidR="00F02475">
        <w:rPr>
          <w:i/>
          <w:iCs/>
        </w:rPr>
        <w:t xml:space="preserve">, </w:t>
      </w:r>
      <w:r w:rsidRPr="00B9693E">
        <w:t xml:space="preserve">56:50. </w:t>
      </w:r>
    </w:p>
    <w:p w14:paraId="6EE11432" w14:textId="77777777" w:rsidR="00751BC3" w:rsidRDefault="00B9693E" w:rsidP="00751BC3">
      <w:pPr>
        <w:pStyle w:val="Body"/>
        <w:contextualSpacing/>
      </w:pPr>
      <w:r>
        <w:t xml:space="preserve">5. </w:t>
      </w:r>
      <w:r w:rsidR="006A7A43">
        <w:tab/>
      </w:r>
      <w:r w:rsidRPr="00B9693E">
        <w:t>Hasty</w:t>
      </w:r>
      <w:r w:rsidR="006A7A43">
        <w:t xml:space="preserve">, </w:t>
      </w:r>
      <w:r w:rsidRPr="00B9693E">
        <w:t>R</w:t>
      </w:r>
      <w:r w:rsidR="006A7A43">
        <w:t xml:space="preserve">. </w:t>
      </w:r>
      <w:r w:rsidRPr="00B9693E">
        <w:t>F</w:t>
      </w:r>
      <w:r w:rsidR="006A7A43">
        <w:t>.</w:t>
      </w:r>
      <w:r w:rsidRPr="00B9693E">
        <w:t>, Sprague</w:t>
      </w:r>
      <w:r w:rsidR="006A7A43">
        <w:t>,</w:t>
      </w:r>
      <w:r w:rsidRPr="00B9693E">
        <w:t xml:space="preserve"> C</w:t>
      </w:r>
      <w:r w:rsidR="006A7A43">
        <w:t xml:space="preserve">. </w:t>
      </w:r>
      <w:r w:rsidRPr="00B9693E">
        <w:t xml:space="preserve">L, </w:t>
      </w:r>
      <w:r w:rsidR="006A7A43">
        <w:t xml:space="preserve">&amp; </w:t>
      </w:r>
      <w:r w:rsidRPr="00B9693E">
        <w:t>Hager</w:t>
      </w:r>
      <w:r w:rsidR="006A7A43">
        <w:t xml:space="preserve">, </w:t>
      </w:r>
      <w:r w:rsidRPr="00B9693E">
        <w:t>A</w:t>
      </w:r>
      <w:r w:rsidR="006A7A43">
        <w:t xml:space="preserve">. </w:t>
      </w:r>
      <w:r w:rsidRPr="00B9693E">
        <w:t>G</w:t>
      </w:r>
      <w:r w:rsidR="00751BC3">
        <w:t>.</w:t>
      </w:r>
      <w:r w:rsidRPr="00B9693E">
        <w:t xml:space="preserve"> (2004) Weed control with fall and early preplant herbicide applications </w:t>
      </w:r>
    </w:p>
    <w:p w14:paraId="6EA5BA11" w14:textId="64EC9F91" w:rsidR="00B9693E" w:rsidRPr="00B9693E" w:rsidRDefault="00B9693E" w:rsidP="00751BC3">
      <w:pPr>
        <w:pStyle w:val="Body"/>
        <w:ind w:firstLine="720"/>
        <w:contextualSpacing/>
      </w:pPr>
      <w:r w:rsidRPr="00B9693E">
        <w:t xml:space="preserve">in no-till soybean. </w:t>
      </w:r>
      <w:r w:rsidRPr="00F02475">
        <w:rPr>
          <w:i/>
          <w:iCs/>
        </w:rPr>
        <w:t>Weed Technol</w:t>
      </w:r>
      <w:r w:rsidR="00F02475" w:rsidRPr="00F02475">
        <w:rPr>
          <w:i/>
          <w:iCs/>
        </w:rPr>
        <w:t>ogy</w:t>
      </w:r>
      <w:r w:rsidR="00F02475">
        <w:t xml:space="preserve">, </w:t>
      </w:r>
      <w:r w:rsidRPr="00B9693E">
        <w:t>18:887–892</w:t>
      </w:r>
      <w:r>
        <w:t>.</w:t>
      </w:r>
      <w:r w:rsidRPr="00B9693E">
        <w:t xml:space="preserve"> </w:t>
      </w:r>
    </w:p>
    <w:p w14:paraId="6CC693DD" w14:textId="77777777" w:rsidR="00825B1D" w:rsidRDefault="00B9693E" w:rsidP="00751BC3">
      <w:pPr>
        <w:pStyle w:val="Body"/>
        <w:contextualSpacing/>
      </w:pPr>
      <w:r>
        <w:t xml:space="preserve">6. </w:t>
      </w:r>
      <w:r w:rsidR="00751BC3">
        <w:tab/>
      </w:r>
      <w:r w:rsidRPr="00B9693E">
        <w:t>Krausz</w:t>
      </w:r>
      <w:r w:rsidR="00825B1D">
        <w:t>,</w:t>
      </w:r>
      <w:r w:rsidRPr="00B9693E">
        <w:t xml:space="preserve"> R</w:t>
      </w:r>
      <w:r w:rsidR="00825B1D">
        <w:t xml:space="preserve">. </w:t>
      </w:r>
      <w:r w:rsidRPr="00B9693E">
        <w:t>F</w:t>
      </w:r>
      <w:r w:rsidR="00825B1D">
        <w:t>.</w:t>
      </w:r>
      <w:r w:rsidRPr="00B9693E">
        <w:t>, Young</w:t>
      </w:r>
      <w:r w:rsidR="00825B1D">
        <w:t>,</w:t>
      </w:r>
      <w:r w:rsidRPr="00B9693E">
        <w:t xml:space="preserve"> B</w:t>
      </w:r>
      <w:r w:rsidR="00825B1D">
        <w:t xml:space="preserve">. </w:t>
      </w:r>
      <w:r w:rsidRPr="00B9693E">
        <w:t>G</w:t>
      </w:r>
      <w:r w:rsidR="00825B1D">
        <w:t>.</w:t>
      </w:r>
      <w:r w:rsidRPr="00B9693E">
        <w:t xml:space="preserve">, </w:t>
      </w:r>
      <w:r w:rsidR="00825B1D">
        <w:t xml:space="preserve">&amp; </w:t>
      </w:r>
      <w:r w:rsidRPr="00B9693E">
        <w:t>Matthews</w:t>
      </w:r>
      <w:r w:rsidR="00825B1D">
        <w:t>,</w:t>
      </w:r>
      <w:r w:rsidRPr="00B9693E">
        <w:t xml:space="preserve"> J</w:t>
      </w:r>
      <w:r w:rsidR="00825B1D">
        <w:t xml:space="preserve">. </w:t>
      </w:r>
      <w:r w:rsidRPr="00B9693E">
        <w:t>L</w:t>
      </w:r>
      <w:r w:rsidR="00825B1D">
        <w:t>.</w:t>
      </w:r>
      <w:r w:rsidRPr="00B9693E">
        <w:t xml:space="preserve"> (2003) Winter annual weed control with fall-applied corn (</w:t>
      </w:r>
      <w:r w:rsidRPr="00B9693E">
        <w:rPr>
          <w:i/>
          <w:iCs/>
        </w:rPr>
        <w:t>Zea mays</w:t>
      </w:r>
      <w:r w:rsidRPr="00B9693E">
        <w:t xml:space="preserve">) </w:t>
      </w:r>
    </w:p>
    <w:p w14:paraId="66E01875" w14:textId="58003C43" w:rsidR="00B9693E" w:rsidRDefault="00B9693E" w:rsidP="00825B1D">
      <w:pPr>
        <w:pStyle w:val="Body"/>
        <w:ind w:firstLine="720"/>
        <w:contextualSpacing/>
      </w:pPr>
      <w:r w:rsidRPr="00B9693E">
        <w:t xml:space="preserve">herbicides. </w:t>
      </w:r>
      <w:r w:rsidRPr="00F02475">
        <w:rPr>
          <w:i/>
          <w:iCs/>
        </w:rPr>
        <w:t>Weed Technol</w:t>
      </w:r>
      <w:r w:rsidR="00F02475" w:rsidRPr="00F02475">
        <w:rPr>
          <w:i/>
          <w:iCs/>
        </w:rPr>
        <w:t>ogy</w:t>
      </w:r>
      <w:r w:rsidR="00F02475">
        <w:t>,</w:t>
      </w:r>
      <w:r w:rsidRPr="00B9693E">
        <w:t>17:516–520</w:t>
      </w:r>
      <w:r>
        <w:t>.</w:t>
      </w:r>
    </w:p>
    <w:p w14:paraId="469BF2A4" w14:textId="77777777" w:rsidR="00F02475" w:rsidRDefault="00B9693E" w:rsidP="00751BC3">
      <w:pPr>
        <w:pStyle w:val="Body"/>
        <w:contextualSpacing/>
      </w:pPr>
      <w:r>
        <w:t>7.</w:t>
      </w:r>
      <w:r w:rsidR="001B338D">
        <w:t xml:space="preserve"> </w:t>
      </w:r>
      <w:r w:rsidR="00E35A11">
        <w:tab/>
      </w:r>
      <w:r w:rsidR="001B338D">
        <w:t>Creech, J. E., Westphal,</w:t>
      </w:r>
      <w:r w:rsidR="00E35A11">
        <w:t xml:space="preserve"> A., </w:t>
      </w:r>
      <w:r w:rsidR="001B338D">
        <w:t>Ferris,</w:t>
      </w:r>
      <w:r w:rsidR="00E35A11">
        <w:t xml:space="preserve"> V. R., </w:t>
      </w:r>
      <w:proofErr w:type="spellStart"/>
      <w:r w:rsidR="001B338D">
        <w:t>Faghihi</w:t>
      </w:r>
      <w:proofErr w:type="spellEnd"/>
      <w:r w:rsidR="001B338D">
        <w:t>,</w:t>
      </w:r>
      <w:r w:rsidR="00E35A11">
        <w:t xml:space="preserve"> J., </w:t>
      </w:r>
      <w:proofErr w:type="spellStart"/>
      <w:r w:rsidR="001B338D">
        <w:t>Vyn</w:t>
      </w:r>
      <w:proofErr w:type="spellEnd"/>
      <w:r w:rsidR="001B338D">
        <w:t>,</w:t>
      </w:r>
      <w:r w:rsidR="00E35A11">
        <w:t xml:space="preserve"> T. J., </w:t>
      </w:r>
      <w:r w:rsidR="001B338D">
        <w:t>Santini,</w:t>
      </w:r>
      <w:r w:rsidR="00E35A11">
        <w:t xml:space="preserve"> J. B., &amp;</w:t>
      </w:r>
      <w:r w:rsidR="001B338D">
        <w:t xml:space="preserve"> Johnson</w:t>
      </w:r>
      <w:r w:rsidR="00E35A11">
        <w:t>, W. G.</w:t>
      </w:r>
      <w:r w:rsidR="001B338D">
        <w:t xml:space="preserve"> </w:t>
      </w:r>
      <w:r w:rsidR="00E35A11">
        <w:t>(</w:t>
      </w:r>
      <w:r w:rsidR="001B338D">
        <w:t>2008</w:t>
      </w:r>
      <w:r w:rsidR="00E35A11">
        <w:t>)</w:t>
      </w:r>
      <w:r w:rsidR="001B338D">
        <w:t xml:space="preserve">. </w:t>
      </w:r>
      <w:r w:rsidR="001B338D" w:rsidRPr="00F02475">
        <w:rPr>
          <w:i/>
          <w:iCs/>
        </w:rPr>
        <w:t xml:space="preserve">Weed </w:t>
      </w:r>
    </w:p>
    <w:p w14:paraId="12879E0B" w14:textId="501A7059" w:rsidR="00B9693E" w:rsidRDefault="001B338D" w:rsidP="00E35A11">
      <w:pPr>
        <w:pStyle w:val="Body"/>
        <w:ind w:firstLine="720"/>
        <w:contextualSpacing/>
      </w:pPr>
      <w:r w:rsidRPr="00F02475">
        <w:rPr>
          <w:i/>
          <w:iCs/>
        </w:rPr>
        <w:t>Sci</w:t>
      </w:r>
      <w:r w:rsidR="00F02475" w:rsidRPr="00F02475">
        <w:rPr>
          <w:i/>
          <w:iCs/>
        </w:rPr>
        <w:t>ence</w:t>
      </w:r>
      <w:r w:rsidR="00F02475">
        <w:t>,</w:t>
      </w:r>
      <w:r>
        <w:t xml:space="preserve"> 56:103-111.</w:t>
      </w:r>
    </w:p>
    <w:p w14:paraId="4D5E45AD" w14:textId="77777777" w:rsidR="004A0A43" w:rsidRDefault="00B9693E" w:rsidP="00B9693E">
      <w:pPr>
        <w:pStyle w:val="Body"/>
        <w:contextualSpacing/>
      </w:pPr>
      <w:r>
        <w:t xml:space="preserve">8. </w:t>
      </w:r>
      <w:r w:rsidR="004A0A43">
        <w:tab/>
      </w:r>
      <w:r w:rsidRPr="00B9693E">
        <w:t>Bernards</w:t>
      </w:r>
      <w:r w:rsidR="004A0A43">
        <w:t>,</w:t>
      </w:r>
      <w:r w:rsidRPr="00B9693E">
        <w:t xml:space="preserve"> M</w:t>
      </w:r>
      <w:r w:rsidR="004A0A43">
        <w:t xml:space="preserve">. </w:t>
      </w:r>
      <w:r w:rsidRPr="00B9693E">
        <w:t>L</w:t>
      </w:r>
      <w:r w:rsidR="004A0A43">
        <w:t>.</w:t>
      </w:r>
      <w:r w:rsidRPr="00B9693E">
        <w:t xml:space="preserve">, </w:t>
      </w:r>
      <w:r w:rsidR="004A0A43">
        <w:t xml:space="preserve">&amp; </w:t>
      </w:r>
      <w:r w:rsidRPr="00B9693E">
        <w:t>Sandell, L</w:t>
      </w:r>
      <w:r w:rsidR="004A0A43">
        <w:t xml:space="preserve">. </w:t>
      </w:r>
      <w:r w:rsidRPr="00B9693E">
        <w:t>D</w:t>
      </w:r>
      <w:r w:rsidR="004A0A43">
        <w:t>.</w:t>
      </w:r>
      <w:r w:rsidRPr="00B9693E">
        <w:t xml:space="preserve"> (2011) Control winter annual weed early to protect crop yield</w:t>
      </w:r>
      <w:r w:rsidR="004A0A43">
        <w:t xml:space="preserve">. </w:t>
      </w:r>
      <w:proofErr w:type="spellStart"/>
      <w:r w:rsidR="004A0A43">
        <w:t>C</w:t>
      </w:r>
      <w:r w:rsidRPr="00B9693E">
        <w:t>ropwatch</w:t>
      </w:r>
      <w:proofErr w:type="spellEnd"/>
      <w:r w:rsidR="004A0A43">
        <w:t xml:space="preserve">. March </w:t>
      </w:r>
    </w:p>
    <w:p w14:paraId="52A86FBF" w14:textId="1253D71B" w:rsidR="003A6050" w:rsidRDefault="004A0A43" w:rsidP="004A0A43">
      <w:pPr>
        <w:pStyle w:val="Body"/>
        <w:ind w:firstLine="720"/>
        <w:contextualSpacing/>
      </w:pPr>
      <w:r>
        <w:t>18, 2011. N</w:t>
      </w:r>
      <w:r w:rsidR="00B9693E" w:rsidRPr="00B9693E">
        <w:t xml:space="preserve">ebraska </w:t>
      </w:r>
      <w:r>
        <w:t>Institute of Agriculture and Natural Resources.</w:t>
      </w:r>
      <w:r w:rsidR="003A6050">
        <w:t xml:space="preserve"> </w:t>
      </w:r>
      <w:r w:rsidR="00B9693E" w:rsidRPr="00F02475">
        <w:rPr>
          <w:i/>
          <w:iCs/>
        </w:rPr>
        <w:t>University of Nebraska-Lincoln</w:t>
      </w:r>
      <w:r w:rsidR="00F02475" w:rsidRPr="00F02475">
        <w:rPr>
          <w:i/>
          <w:iCs/>
        </w:rPr>
        <w:t xml:space="preserve"> </w:t>
      </w:r>
      <w:proofErr w:type="spellStart"/>
      <w:r w:rsidR="00F02475" w:rsidRPr="00F02475">
        <w:rPr>
          <w:i/>
          <w:iCs/>
        </w:rPr>
        <w:t>Cropwatch</w:t>
      </w:r>
      <w:proofErr w:type="spellEnd"/>
      <w:r w:rsidR="00F02475">
        <w:t>,</w:t>
      </w:r>
      <w:r w:rsidR="003A6050">
        <w:t xml:space="preserve"> </w:t>
      </w:r>
    </w:p>
    <w:p w14:paraId="262FAABD" w14:textId="4B8E8707" w:rsidR="00B9693E" w:rsidRPr="00F02475" w:rsidRDefault="003A6050" w:rsidP="004A0A43">
      <w:pPr>
        <w:pStyle w:val="Body"/>
        <w:ind w:firstLine="720"/>
        <w:contextualSpacing/>
      </w:pPr>
      <w:r w:rsidRPr="00F02475">
        <w:t>https://cropwatch.unl.edu/control-winter-annual-weeds-early-protect-crop-yield/</w:t>
      </w:r>
      <w:r w:rsidR="00B9693E" w:rsidRPr="00F02475">
        <w:t xml:space="preserve">  </w:t>
      </w:r>
    </w:p>
    <w:p w14:paraId="42EE4883" w14:textId="77777777" w:rsidR="008E12DA" w:rsidRDefault="00444077" w:rsidP="00444077">
      <w:pPr>
        <w:pStyle w:val="Body"/>
        <w:contextualSpacing/>
      </w:pPr>
      <w:r w:rsidRPr="001C687E">
        <w:rPr>
          <w:lang w:val="fr-FR"/>
        </w:rPr>
        <w:t xml:space="preserve">9. </w:t>
      </w:r>
      <w:r w:rsidR="008E12DA" w:rsidRPr="001C687E">
        <w:rPr>
          <w:lang w:val="fr-FR"/>
        </w:rPr>
        <w:tab/>
      </w:r>
      <w:r w:rsidRPr="008E12DA">
        <w:rPr>
          <w:lang w:val="fr-FR"/>
        </w:rPr>
        <w:t>Frans,</w:t>
      </w:r>
      <w:r w:rsidR="008E12DA" w:rsidRPr="008E12DA">
        <w:rPr>
          <w:lang w:val="fr-FR"/>
        </w:rPr>
        <w:t xml:space="preserve"> R., </w:t>
      </w:r>
      <w:r w:rsidRPr="008E12DA">
        <w:rPr>
          <w:lang w:val="fr-FR"/>
        </w:rPr>
        <w:t>Talbert,</w:t>
      </w:r>
      <w:r w:rsidR="008E12DA" w:rsidRPr="008E12DA">
        <w:rPr>
          <w:lang w:val="fr-FR"/>
        </w:rPr>
        <w:t xml:space="preserve"> R., </w:t>
      </w:r>
      <w:r w:rsidRPr="008E12DA">
        <w:rPr>
          <w:lang w:val="fr-FR"/>
        </w:rPr>
        <w:t>Marx,</w:t>
      </w:r>
      <w:r w:rsidR="008E12DA" w:rsidRPr="008E12DA">
        <w:rPr>
          <w:lang w:val="fr-FR"/>
        </w:rPr>
        <w:t xml:space="preserve"> D. &amp;</w:t>
      </w:r>
      <w:r w:rsidRPr="008E12DA">
        <w:rPr>
          <w:lang w:val="fr-FR"/>
        </w:rPr>
        <w:t xml:space="preserve"> Crowley,</w:t>
      </w:r>
      <w:r w:rsidR="008E12DA" w:rsidRPr="008E12DA">
        <w:rPr>
          <w:lang w:val="fr-FR"/>
        </w:rPr>
        <w:t xml:space="preserve"> H. (1986).</w:t>
      </w:r>
      <w:r w:rsidR="008E12DA">
        <w:rPr>
          <w:lang w:val="fr-FR"/>
        </w:rPr>
        <w:t xml:space="preserve"> </w:t>
      </w:r>
      <w:r w:rsidRPr="00444077">
        <w:t xml:space="preserve">Experimental design and techniques for measuring and </w:t>
      </w:r>
    </w:p>
    <w:p w14:paraId="336D8B81" w14:textId="77777777" w:rsidR="008E12DA" w:rsidRDefault="00444077" w:rsidP="008E12DA">
      <w:pPr>
        <w:pStyle w:val="Body"/>
        <w:ind w:firstLine="720"/>
        <w:contextualSpacing/>
      </w:pPr>
      <w:r w:rsidRPr="00444077">
        <w:t xml:space="preserve">analyzing plant responses to weed control practices,” in N. D. Camper, editor. </w:t>
      </w:r>
      <w:r w:rsidRPr="00444077">
        <w:rPr>
          <w:i/>
        </w:rPr>
        <w:t>Research Methods in Weed Science</w:t>
      </w:r>
      <w:r w:rsidRPr="00444077">
        <w:t>.</w:t>
      </w:r>
    </w:p>
    <w:p w14:paraId="46C3F9AE" w14:textId="3BF56601" w:rsidR="00444077" w:rsidRPr="00444077" w:rsidRDefault="00444077" w:rsidP="008E12DA">
      <w:pPr>
        <w:pStyle w:val="Body"/>
        <w:ind w:firstLine="720"/>
        <w:contextualSpacing/>
      </w:pPr>
      <w:r w:rsidRPr="00444077">
        <w:t>3</w:t>
      </w:r>
      <w:r w:rsidRPr="00444077">
        <w:rPr>
          <w:vertAlign w:val="superscript"/>
        </w:rPr>
        <w:t>rd</w:t>
      </w:r>
      <w:r w:rsidRPr="00444077">
        <w:t xml:space="preserve"> ed. Champaign, IL: </w:t>
      </w:r>
      <w:r w:rsidRPr="00F02475">
        <w:rPr>
          <w:i/>
          <w:iCs/>
        </w:rPr>
        <w:t>Southern Weed Science Society</w:t>
      </w:r>
      <w:r w:rsidRPr="00444077">
        <w:t xml:space="preserve">, pp. 29-46. </w:t>
      </w:r>
    </w:p>
    <w:p w14:paraId="339049EE" w14:textId="66E6CE6A" w:rsidR="006A2A7B" w:rsidRDefault="00444077" w:rsidP="006A2A7B">
      <w:pPr>
        <w:pStyle w:val="Body"/>
        <w:contextualSpacing/>
      </w:pPr>
      <w:r>
        <w:t xml:space="preserve">10. </w:t>
      </w:r>
      <w:r w:rsidR="008E12DA">
        <w:tab/>
      </w:r>
      <w:r w:rsidR="006A2A7B" w:rsidRPr="006A2A7B">
        <w:t>SAS Institute. 2019. SAS® Enterprise Guide 8.2 User’s Guide. Cary, NC.</w:t>
      </w:r>
      <w:r w:rsidR="006A2A7B">
        <w:t xml:space="preserve"> 548 p. </w:t>
      </w:r>
    </w:p>
    <w:p w14:paraId="3415A041" w14:textId="01E33D50" w:rsidR="006A2A7B" w:rsidRPr="00F02475" w:rsidRDefault="006A2A7B" w:rsidP="006A2A7B">
      <w:pPr>
        <w:pStyle w:val="Body"/>
        <w:contextualSpacing/>
      </w:pPr>
      <w:r>
        <w:tab/>
      </w:r>
      <w:hyperlink r:id="rId15" w:history="1">
        <w:r w:rsidRPr="00F02475">
          <w:rPr>
            <w:rStyle w:val="Hyperlink"/>
            <w:color w:val="auto"/>
            <w:u w:val="none"/>
          </w:rPr>
          <w:t>https://documentation.sas.com/api/docsets/egug/8.2/content/egug.pdf?locale=en</w:t>
        </w:r>
      </w:hyperlink>
    </w:p>
    <w:p w14:paraId="159CEB09" w14:textId="61FE8B81" w:rsidR="00F02475" w:rsidRDefault="00CD443D" w:rsidP="00CD443D">
      <w:pPr>
        <w:pStyle w:val="Body"/>
        <w:contextualSpacing/>
      </w:pPr>
      <w:r>
        <w:t xml:space="preserve">11. </w:t>
      </w:r>
      <w:bookmarkStart w:id="12" w:name="_Hlk218500390"/>
      <w:r w:rsidR="006A2A7B">
        <w:tab/>
      </w:r>
      <w:r w:rsidRPr="00CD443D">
        <w:t xml:space="preserve">Lee, A. T. </w:t>
      </w:r>
      <w:r w:rsidR="00DF49AE">
        <w:t>&amp;</w:t>
      </w:r>
      <w:r w:rsidRPr="00CD443D">
        <w:t xml:space="preserve"> Witt</w:t>
      </w:r>
      <w:r w:rsidR="00DF49AE">
        <w:t>, W</w:t>
      </w:r>
      <w:r w:rsidRPr="00CD443D">
        <w:t>.</w:t>
      </w:r>
      <w:r w:rsidR="00DF49AE">
        <w:t xml:space="preserve"> W.</w:t>
      </w:r>
      <w:r w:rsidRPr="00CD443D">
        <w:t xml:space="preserve"> </w:t>
      </w:r>
      <w:r w:rsidR="006A2A7B">
        <w:t>(</w:t>
      </w:r>
      <w:r w:rsidRPr="00CD443D">
        <w:t>2001</w:t>
      </w:r>
      <w:r w:rsidR="006A2A7B">
        <w:t>)</w:t>
      </w:r>
      <w:r w:rsidRPr="00CD443D">
        <w:t>. Persistence and efficacy of fall-applied simazine and atrazine. Proc</w:t>
      </w:r>
      <w:r w:rsidR="00F02475">
        <w:t xml:space="preserve">eedings of </w:t>
      </w:r>
    </w:p>
    <w:p w14:paraId="77F233C4" w14:textId="7325BA74" w:rsidR="00CD443D" w:rsidRPr="00CD443D" w:rsidRDefault="00F02475" w:rsidP="006A2A7B">
      <w:pPr>
        <w:pStyle w:val="Body"/>
        <w:ind w:firstLine="720"/>
        <w:contextualSpacing/>
      </w:pPr>
      <w:r w:rsidRPr="00F02475">
        <w:rPr>
          <w:i/>
          <w:iCs/>
        </w:rPr>
        <w:t>the</w:t>
      </w:r>
      <w:r w:rsidR="00CD443D" w:rsidRPr="00F02475">
        <w:rPr>
          <w:i/>
          <w:iCs/>
        </w:rPr>
        <w:t xml:space="preserve"> North Cent</w:t>
      </w:r>
      <w:r w:rsidRPr="00F02475">
        <w:rPr>
          <w:i/>
          <w:iCs/>
        </w:rPr>
        <w:t xml:space="preserve">ral </w:t>
      </w:r>
      <w:r w:rsidR="00CD443D" w:rsidRPr="00F02475">
        <w:rPr>
          <w:i/>
          <w:iCs/>
        </w:rPr>
        <w:t>Weed Sci</w:t>
      </w:r>
      <w:r w:rsidRPr="00F02475">
        <w:rPr>
          <w:i/>
          <w:iCs/>
        </w:rPr>
        <w:t>ence</w:t>
      </w:r>
      <w:r w:rsidR="00CD443D" w:rsidRPr="00F02475">
        <w:rPr>
          <w:i/>
          <w:iCs/>
        </w:rPr>
        <w:t xml:space="preserve"> Soc</w:t>
      </w:r>
      <w:r w:rsidRPr="00F02475">
        <w:rPr>
          <w:i/>
          <w:iCs/>
        </w:rPr>
        <w:t>iety</w:t>
      </w:r>
      <w:r>
        <w:t>,</w:t>
      </w:r>
      <w:r w:rsidR="00CD443D" w:rsidRPr="00CD443D">
        <w:t xml:space="preserve"> 56:50. </w:t>
      </w:r>
    </w:p>
    <w:bookmarkEnd w:id="12"/>
    <w:p w14:paraId="4B3E3749" w14:textId="34FF7957" w:rsidR="00CD443D" w:rsidRPr="00CD443D" w:rsidRDefault="00CD443D" w:rsidP="006A2A7B">
      <w:pPr>
        <w:pStyle w:val="Body"/>
        <w:ind w:left="720" w:hanging="720"/>
        <w:contextualSpacing/>
      </w:pPr>
      <w:r>
        <w:t xml:space="preserve">12. </w:t>
      </w:r>
      <w:r w:rsidR="006A2A7B">
        <w:tab/>
      </w:r>
      <w:r w:rsidRPr="00CD443D">
        <w:t>Woolam</w:t>
      </w:r>
      <w:r w:rsidR="006A2A7B">
        <w:t>,</w:t>
      </w:r>
      <w:r w:rsidRPr="00CD443D">
        <w:t xml:space="preserve"> B</w:t>
      </w:r>
      <w:r w:rsidR="006A2A7B">
        <w:t xml:space="preserve">. </w:t>
      </w:r>
      <w:r w:rsidRPr="00CD443D">
        <w:t>C</w:t>
      </w:r>
      <w:r w:rsidR="006A2A7B">
        <w:t>.</w:t>
      </w:r>
      <w:r w:rsidRPr="00CD443D">
        <w:t>, Stephenson, IV</w:t>
      </w:r>
      <w:r>
        <w:t xml:space="preserve"> </w:t>
      </w:r>
      <w:r w:rsidRPr="00CD443D">
        <w:t>D</w:t>
      </w:r>
      <w:r w:rsidR="006A2A7B">
        <w:t xml:space="preserve">. </w:t>
      </w:r>
      <w:r w:rsidRPr="00CD443D">
        <w:t>O</w:t>
      </w:r>
      <w:r w:rsidR="006A2A7B">
        <w:t>.</w:t>
      </w:r>
      <w:r w:rsidRPr="00CD443D">
        <w:t>,</w:t>
      </w:r>
      <w:r w:rsidR="006A2A7B">
        <w:t xml:space="preserve"> &amp;</w:t>
      </w:r>
      <w:r w:rsidRPr="00CD443D">
        <w:t xml:space="preserve"> Blouin</w:t>
      </w:r>
      <w:r w:rsidR="006A2A7B">
        <w:t>,</w:t>
      </w:r>
      <w:r w:rsidRPr="00CD443D">
        <w:t xml:space="preserve"> D</w:t>
      </w:r>
      <w:r w:rsidR="006A2A7B">
        <w:t xml:space="preserve">. </w:t>
      </w:r>
      <w:r w:rsidRPr="00CD443D">
        <w:t>C</w:t>
      </w:r>
      <w:r w:rsidR="006A2A7B">
        <w:t>.</w:t>
      </w:r>
      <w:r w:rsidRPr="00CD443D">
        <w:t xml:space="preserve"> (2018)</w:t>
      </w:r>
      <w:r w:rsidR="006A2A7B">
        <w:t>.</w:t>
      </w:r>
      <w:r w:rsidRPr="00CD443D">
        <w:t xml:space="preserve"> Determining </w:t>
      </w:r>
      <w:r w:rsidR="006A2A7B">
        <w:t>s</w:t>
      </w:r>
      <w:r w:rsidRPr="00CD443D">
        <w:t>easonal</w:t>
      </w:r>
      <w:r>
        <w:t xml:space="preserve"> </w:t>
      </w:r>
      <w:r w:rsidR="006A2A7B">
        <w:t>e</w:t>
      </w:r>
      <w:r w:rsidRPr="00CD443D">
        <w:t xml:space="preserve">mergence and </w:t>
      </w:r>
      <w:r w:rsidR="006A2A7B">
        <w:t>c</w:t>
      </w:r>
      <w:r w:rsidRPr="00CD443D">
        <w:t xml:space="preserve">ontrol </w:t>
      </w:r>
      <w:r w:rsidR="006A2A7B">
        <w:t>p</w:t>
      </w:r>
      <w:r w:rsidRPr="00CD443D">
        <w:t xml:space="preserve">rograms for </w:t>
      </w:r>
      <w:r w:rsidR="006A2A7B">
        <w:t>h</w:t>
      </w:r>
      <w:r w:rsidRPr="00CD443D">
        <w:t>enbit</w:t>
      </w:r>
      <w:r w:rsidR="006A2A7B">
        <w:t xml:space="preserve"> </w:t>
      </w:r>
      <w:r w:rsidRPr="00CD443D">
        <w:t>(</w:t>
      </w:r>
      <w:r w:rsidRPr="00365D1A">
        <w:rPr>
          <w:i/>
          <w:iCs/>
        </w:rPr>
        <w:t>Lamium amplexicaule</w:t>
      </w:r>
      <w:r w:rsidRPr="00CD443D">
        <w:t xml:space="preserve"> L.). </w:t>
      </w:r>
      <w:r w:rsidRPr="00F02475">
        <w:rPr>
          <w:i/>
          <w:iCs/>
        </w:rPr>
        <w:t>Weed Technol</w:t>
      </w:r>
      <w:r w:rsidR="00F02475" w:rsidRPr="00F02475">
        <w:rPr>
          <w:i/>
          <w:iCs/>
        </w:rPr>
        <w:t>ogy</w:t>
      </w:r>
      <w:r w:rsidR="00F02475">
        <w:t xml:space="preserve">, </w:t>
      </w:r>
      <w:r w:rsidRPr="00CD443D">
        <w:t xml:space="preserve">32:733–738. </w:t>
      </w:r>
      <w:proofErr w:type="spellStart"/>
      <w:r w:rsidRPr="00CD443D">
        <w:t>doi</w:t>
      </w:r>
      <w:proofErr w:type="spellEnd"/>
      <w:r w:rsidRPr="00CD443D">
        <w:t>: 10.1017/wet.2018.51</w:t>
      </w:r>
    </w:p>
    <w:p w14:paraId="2ACAF8B9" w14:textId="6F425E8E" w:rsidR="00FD2118" w:rsidRDefault="00FD2118" w:rsidP="00EC5BF7">
      <w:pPr>
        <w:pStyle w:val="Body"/>
        <w:ind w:left="720" w:hanging="720"/>
        <w:contextualSpacing/>
      </w:pPr>
      <w:r>
        <w:t xml:space="preserve">13. </w:t>
      </w:r>
      <w:r w:rsidR="00EC5BF7">
        <w:tab/>
      </w:r>
      <w:r w:rsidRPr="00FD2118">
        <w:t>Hasty</w:t>
      </w:r>
      <w:r w:rsidR="00EC5BF7">
        <w:t>,</w:t>
      </w:r>
      <w:r w:rsidRPr="00FD2118">
        <w:t xml:space="preserve"> R</w:t>
      </w:r>
      <w:r w:rsidR="00EC5BF7">
        <w:t xml:space="preserve">. </w:t>
      </w:r>
      <w:r w:rsidRPr="00FD2118">
        <w:t>F</w:t>
      </w:r>
      <w:r w:rsidR="00EC5BF7">
        <w:t>.</w:t>
      </w:r>
      <w:r w:rsidRPr="00FD2118">
        <w:t>, Sprague</w:t>
      </w:r>
      <w:r w:rsidR="00EC5BF7">
        <w:t>,</w:t>
      </w:r>
      <w:r w:rsidRPr="00FD2118">
        <w:t xml:space="preserve"> C</w:t>
      </w:r>
      <w:r w:rsidR="00EC5BF7">
        <w:t xml:space="preserve">. </w:t>
      </w:r>
      <w:r w:rsidRPr="00FD2118">
        <w:t>L</w:t>
      </w:r>
      <w:r w:rsidR="00EC5BF7">
        <w:t>.</w:t>
      </w:r>
      <w:r w:rsidRPr="00FD2118">
        <w:t xml:space="preserve">, </w:t>
      </w:r>
      <w:r w:rsidR="00EC5BF7">
        <w:t xml:space="preserve">&amp; </w:t>
      </w:r>
      <w:r w:rsidRPr="00FD2118">
        <w:t>Hager</w:t>
      </w:r>
      <w:r w:rsidR="00EC5BF7">
        <w:t>,</w:t>
      </w:r>
      <w:r w:rsidRPr="00FD2118">
        <w:t xml:space="preserve"> A</w:t>
      </w:r>
      <w:r w:rsidR="00EC5BF7">
        <w:t xml:space="preserve">. </w:t>
      </w:r>
      <w:r w:rsidRPr="00FD2118">
        <w:t>G</w:t>
      </w:r>
      <w:r w:rsidR="00EC5BF7">
        <w:t>.</w:t>
      </w:r>
      <w:r w:rsidRPr="00FD2118">
        <w:t xml:space="preserve"> (2004)</w:t>
      </w:r>
      <w:r w:rsidR="00EC5BF7">
        <w:t>.</w:t>
      </w:r>
      <w:r w:rsidRPr="00FD2118">
        <w:t xml:space="preserve"> Weed control with fall and early preplant herbicide applications in no-till soybean. </w:t>
      </w:r>
      <w:r w:rsidRPr="00F02475">
        <w:rPr>
          <w:i/>
          <w:iCs/>
        </w:rPr>
        <w:t>Weed Technol</w:t>
      </w:r>
      <w:r w:rsidR="00F02475" w:rsidRPr="00F02475">
        <w:rPr>
          <w:i/>
          <w:iCs/>
        </w:rPr>
        <w:t>ogy</w:t>
      </w:r>
      <w:r w:rsidR="00F02475">
        <w:t>,</w:t>
      </w:r>
      <w:r w:rsidRPr="00FD2118">
        <w:t>18:887–892</w:t>
      </w:r>
      <w:r w:rsidR="00EC5BF7">
        <w:t>.</w:t>
      </w:r>
      <w:r>
        <w:t xml:space="preserve"> </w:t>
      </w:r>
    </w:p>
    <w:p w14:paraId="4DB3DB8D" w14:textId="15009595" w:rsidR="00FF0301" w:rsidRDefault="00FD2118" w:rsidP="00EC5BF7">
      <w:pPr>
        <w:pStyle w:val="Body"/>
        <w:ind w:left="720" w:hanging="720"/>
        <w:contextualSpacing/>
      </w:pPr>
      <w:r w:rsidRPr="00FF0301">
        <w:t>14.</w:t>
      </w:r>
      <w:r w:rsidR="00FF0301" w:rsidRPr="00FF0301">
        <w:t xml:space="preserve"> </w:t>
      </w:r>
      <w:r w:rsidR="00EC5BF7">
        <w:tab/>
      </w:r>
      <w:r w:rsidR="00FF0301" w:rsidRPr="00FF0301">
        <w:t xml:space="preserve">Baldwin, F. L., </w:t>
      </w:r>
      <w:r w:rsidR="00EC5BF7">
        <w:t xml:space="preserve">&amp; </w:t>
      </w:r>
      <w:r w:rsidR="00FF0301">
        <w:t>Frans</w:t>
      </w:r>
      <w:r w:rsidR="00EC5BF7">
        <w:t>, R. E. (</w:t>
      </w:r>
      <w:r w:rsidR="00FF0301">
        <w:t>1972</w:t>
      </w:r>
      <w:r w:rsidR="00EC5BF7">
        <w:t>)</w:t>
      </w:r>
      <w:r w:rsidR="00FF0301">
        <w:t xml:space="preserve">. Soybean and weed response to </w:t>
      </w:r>
      <w:proofErr w:type="spellStart"/>
      <w:r w:rsidR="00FF0301">
        <w:t>dinoseb</w:t>
      </w:r>
      <w:proofErr w:type="spellEnd"/>
      <w:r w:rsidR="00FF0301">
        <w:t xml:space="preserve"> and chloroxuron applied topically. </w:t>
      </w:r>
      <w:r w:rsidR="00FF0301" w:rsidRPr="00F02475">
        <w:rPr>
          <w:i/>
          <w:iCs/>
        </w:rPr>
        <w:t>Weed Sci</w:t>
      </w:r>
      <w:r w:rsidR="00F02475" w:rsidRPr="00F02475">
        <w:rPr>
          <w:i/>
          <w:iCs/>
        </w:rPr>
        <w:t>ence</w:t>
      </w:r>
      <w:r w:rsidR="00F02475">
        <w:t>,</w:t>
      </w:r>
      <w:r w:rsidR="00FF0301">
        <w:t xml:space="preserve"> 20:511-514.</w:t>
      </w:r>
    </w:p>
    <w:p w14:paraId="371ECC0C" w14:textId="7632F654" w:rsidR="00FF0301" w:rsidRDefault="00FF0301" w:rsidP="00EC5BF7">
      <w:pPr>
        <w:pStyle w:val="Body"/>
        <w:ind w:left="720" w:hanging="720"/>
        <w:contextualSpacing/>
      </w:pPr>
      <w:r>
        <w:t xml:space="preserve">15. </w:t>
      </w:r>
      <w:r w:rsidR="00EC5BF7">
        <w:tab/>
      </w:r>
      <w:r w:rsidRPr="00FF0301">
        <w:t>Barrentine</w:t>
      </w:r>
      <w:r w:rsidR="00EC5BF7">
        <w:t>,</w:t>
      </w:r>
      <w:r w:rsidRPr="00FF0301">
        <w:t xml:space="preserve"> W</w:t>
      </w:r>
      <w:r w:rsidR="00EC5BF7">
        <w:t xml:space="preserve">. </w:t>
      </w:r>
      <w:r w:rsidRPr="00FF0301">
        <w:t>L</w:t>
      </w:r>
      <w:r w:rsidR="00EC5BF7">
        <w:t>.</w:t>
      </w:r>
      <w:r w:rsidRPr="00FF0301">
        <w:t xml:space="preserve"> (1989)</w:t>
      </w:r>
      <w:r w:rsidR="00EC5BF7">
        <w:t>.</w:t>
      </w:r>
      <w:r w:rsidRPr="00FF0301">
        <w:t xml:space="preserve"> Minimum effective rate of </w:t>
      </w:r>
      <w:proofErr w:type="spellStart"/>
      <w:r w:rsidRPr="00FF0301">
        <w:t>chiorimuon</w:t>
      </w:r>
      <w:proofErr w:type="spellEnd"/>
      <w:r w:rsidRPr="00FF0301">
        <w:t xml:space="preserve"> and </w:t>
      </w:r>
      <w:proofErr w:type="spellStart"/>
      <w:r w:rsidRPr="00FF0301">
        <w:t>imazaqun</w:t>
      </w:r>
      <w:proofErr w:type="spellEnd"/>
      <w:r w:rsidRPr="00FF0301">
        <w:t xml:space="preserve"> applied to common </w:t>
      </w:r>
      <w:r w:rsidRPr="00FF0301">
        <w:rPr>
          <w:i/>
          <w:iCs/>
        </w:rPr>
        <w:t xml:space="preserve">cocklebur (Xanthium </w:t>
      </w:r>
      <w:proofErr w:type="spellStart"/>
      <w:r w:rsidRPr="00FF0301">
        <w:rPr>
          <w:i/>
          <w:iCs/>
        </w:rPr>
        <w:t>strumarium</w:t>
      </w:r>
      <w:proofErr w:type="spellEnd"/>
      <w:r w:rsidRPr="00FF0301">
        <w:rPr>
          <w:i/>
          <w:iCs/>
        </w:rPr>
        <w:t xml:space="preserve">). </w:t>
      </w:r>
      <w:r w:rsidRPr="00F02475">
        <w:rPr>
          <w:i/>
          <w:iCs/>
        </w:rPr>
        <w:t>Weed Technol</w:t>
      </w:r>
      <w:r w:rsidR="00F02475" w:rsidRPr="00F02475">
        <w:rPr>
          <w:i/>
          <w:iCs/>
        </w:rPr>
        <w:t>ogy</w:t>
      </w:r>
      <w:r w:rsidR="00F02475">
        <w:t>,</w:t>
      </w:r>
      <w:r w:rsidRPr="00EC5BF7">
        <w:t>3:126-130</w:t>
      </w:r>
      <w:r w:rsidR="00EC5BF7">
        <w:rPr>
          <w:i/>
          <w:iCs/>
        </w:rPr>
        <w:t>.</w:t>
      </w:r>
      <w:r>
        <w:t xml:space="preserve"> </w:t>
      </w:r>
    </w:p>
    <w:p w14:paraId="0E2D720D" w14:textId="624411D2" w:rsidR="00977C30" w:rsidRDefault="00FF0301" w:rsidP="00EC5BF7">
      <w:pPr>
        <w:pStyle w:val="Body"/>
        <w:ind w:left="720" w:hanging="720"/>
        <w:contextualSpacing/>
      </w:pPr>
      <w:r>
        <w:t xml:space="preserve">16. </w:t>
      </w:r>
      <w:r w:rsidR="00EC5BF7">
        <w:tab/>
      </w:r>
      <w:r w:rsidRPr="00FF0301">
        <w:t>DeFelice</w:t>
      </w:r>
      <w:r w:rsidR="00EC5BF7">
        <w:t>,</w:t>
      </w:r>
      <w:r w:rsidRPr="00FF0301">
        <w:t xml:space="preserve"> M</w:t>
      </w:r>
      <w:r w:rsidR="00EC5BF7">
        <w:t xml:space="preserve">. </w:t>
      </w:r>
      <w:r w:rsidRPr="00FF0301">
        <w:t>S</w:t>
      </w:r>
      <w:r w:rsidR="00EC5BF7">
        <w:t>.</w:t>
      </w:r>
      <w:r w:rsidRPr="00FF0301">
        <w:t>, Brown</w:t>
      </w:r>
      <w:r w:rsidR="00EC5BF7">
        <w:t>,</w:t>
      </w:r>
      <w:r w:rsidRPr="00FF0301">
        <w:t xml:space="preserve"> W</w:t>
      </w:r>
      <w:r w:rsidR="00EC5BF7">
        <w:t xml:space="preserve">. </w:t>
      </w:r>
      <w:r w:rsidRPr="00FF0301">
        <w:t>B</w:t>
      </w:r>
      <w:r w:rsidR="00EC5BF7">
        <w:t>.</w:t>
      </w:r>
      <w:r w:rsidRPr="00FF0301">
        <w:t>, Aldrich</w:t>
      </w:r>
      <w:r w:rsidR="00EC5BF7">
        <w:t>,</w:t>
      </w:r>
      <w:r w:rsidRPr="00FF0301">
        <w:t xml:space="preserve"> R</w:t>
      </w:r>
      <w:r w:rsidR="00EC5BF7">
        <w:t xml:space="preserve">. </w:t>
      </w:r>
      <w:r w:rsidRPr="00FF0301">
        <w:t>J</w:t>
      </w:r>
      <w:r w:rsidR="00EC5BF7">
        <w:t>.</w:t>
      </w:r>
      <w:r w:rsidRPr="00FF0301">
        <w:t>, Sims</w:t>
      </w:r>
      <w:r w:rsidR="00EC5BF7">
        <w:t>,</w:t>
      </w:r>
      <w:r w:rsidRPr="00FF0301">
        <w:t xml:space="preserve"> B</w:t>
      </w:r>
      <w:r w:rsidR="00EC5BF7">
        <w:t xml:space="preserve">. </w:t>
      </w:r>
      <w:r w:rsidRPr="00FF0301">
        <w:t>D</w:t>
      </w:r>
      <w:r w:rsidR="00EC5BF7">
        <w:t>.</w:t>
      </w:r>
      <w:r w:rsidRPr="00FF0301">
        <w:t>, Judy</w:t>
      </w:r>
      <w:r w:rsidR="00EC5BF7">
        <w:t>,</w:t>
      </w:r>
      <w:r w:rsidRPr="00FF0301">
        <w:t xml:space="preserve"> D</w:t>
      </w:r>
      <w:r w:rsidR="00EC5BF7">
        <w:t xml:space="preserve">. </w:t>
      </w:r>
      <w:r w:rsidRPr="00FF0301">
        <w:t>T</w:t>
      </w:r>
      <w:r w:rsidR="00EC5BF7">
        <w:t>.</w:t>
      </w:r>
      <w:r w:rsidRPr="00FF0301">
        <w:t>,</w:t>
      </w:r>
      <w:r w:rsidR="00EC5BF7">
        <w:t xml:space="preserve"> &amp;</w:t>
      </w:r>
      <w:r w:rsidRPr="00FF0301">
        <w:t xml:space="preserve"> </w:t>
      </w:r>
      <w:proofErr w:type="spellStart"/>
      <w:r w:rsidRPr="00FF0301">
        <w:t>Guetble</w:t>
      </w:r>
      <w:proofErr w:type="spellEnd"/>
      <w:r w:rsidR="00EC5BF7">
        <w:t>,</w:t>
      </w:r>
      <w:r w:rsidRPr="00FF0301">
        <w:t xml:space="preserve"> D</w:t>
      </w:r>
      <w:r w:rsidR="00EC5BF7">
        <w:t xml:space="preserve">. </w:t>
      </w:r>
      <w:r w:rsidRPr="00FF0301">
        <w:t>R</w:t>
      </w:r>
      <w:r w:rsidR="00EC5BF7">
        <w:t>.</w:t>
      </w:r>
      <w:r w:rsidRPr="00FF0301">
        <w:t xml:space="preserve"> (1989) Weed control in </w:t>
      </w:r>
      <w:r w:rsidRPr="00FF0301">
        <w:rPr>
          <w:i/>
          <w:iCs/>
        </w:rPr>
        <w:t xml:space="preserve">soybeans (Glycine max) </w:t>
      </w:r>
      <w:r w:rsidRPr="00EC5BF7">
        <w:t xml:space="preserve">with reduced rates of postemergence herbicides. </w:t>
      </w:r>
      <w:r w:rsidRPr="00F02475">
        <w:rPr>
          <w:i/>
          <w:iCs/>
        </w:rPr>
        <w:t>Weed Sci</w:t>
      </w:r>
      <w:r w:rsidR="00F02475" w:rsidRPr="00F02475">
        <w:rPr>
          <w:i/>
          <w:iCs/>
        </w:rPr>
        <w:t>ence</w:t>
      </w:r>
      <w:r w:rsidR="00F02475">
        <w:t>,</w:t>
      </w:r>
      <w:r w:rsidRPr="00EC5BF7">
        <w:t> 37:365-374</w:t>
      </w:r>
      <w:r w:rsidR="00977C30" w:rsidRPr="00EC5BF7">
        <w:t>.</w:t>
      </w:r>
    </w:p>
    <w:p w14:paraId="4366732A" w14:textId="77777777" w:rsidR="005615A9" w:rsidRDefault="00977C30" w:rsidP="00977C30">
      <w:pPr>
        <w:pStyle w:val="Body"/>
        <w:contextualSpacing/>
      </w:pPr>
      <w:r>
        <w:t xml:space="preserve">17. </w:t>
      </w:r>
      <w:bookmarkStart w:id="13" w:name="_Hlk218500735"/>
      <w:r w:rsidR="00EC5BF7">
        <w:tab/>
      </w:r>
      <w:r w:rsidRPr="00977C30">
        <w:t>Krausz</w:t>
      </w:r>
      <w:r w:rsidR="005615A9">
        <w:t>,</w:t>
      </w:r>
      <w:r w:rsidRPr="00977C30">
        <w:t xml:space="preserve"> R</w:t>
      </w:r>
      <w:r w:rsidR="005615A9">
        <w:t xml:space="preserve">. </w:t>
      </w:r>
      <w:r w:rsidRPr="00977C30">
        <w:t>F</w:t>
      </w:r>
      <w:r w:rsidR="005615A9">
        <w:t>.</w:t>
      </w:r>
      <w:r w:rsidRPr="00977C30">
        <w:t>, Young</w:t>
      </w:r>
      <w:r w:rsidR="005615A9">
        <w:t>,</w:t>
      </w:r>
      <w:r w:rsidRPr="00977C30">
        <w:t xml:space="preserve"> B</w:t>
      </w:r>
      <w:r w:rsidR="005615A9">
        <w:t xml:space="preserve">. </w:t>
      </w:r>
      <w:r w:rsidRPr="00977C30">
        <w:t>G</w:t>
      </w:r>
      <w:r w:rsidR="005615A9">
        <w:t>.</w:t>
      </w:r>
      <w:r w:rsidRPr="00977C30">
        <w:t xml:space="preserve">, </w:t>
      </w:r>
      <w:r w:rsidR="005615A9">
        <w:t xml:space="preserve">&amp; </w:t>
      </w:r>
      <w:r w:rsidRPr="00977C30">
        <w:t>Matthews</w:t>
      </w:r>
      <w:r w:rsidR="005615A9">
        <w:t>,</w:t>
      </w:r>
      <w:r w:rsidRPr="00977C30">
        <w:t xml:space="preserve"> J</w:t>
      </w:r>
      <w:r w:rsidR="005615A9">
        <w:t xml:space="preserve">. </w:t>
      </w:r>
      <w:r w:rsidRPr="00977C30">
        <w:t>L</w:t>
      </w:r>
      <w:r w:rsidR="005615A9">
        <w:t>.</w:t>
      </w:r>
      <w:r w:rsidRPr="00977C30">
        <w:t xml:space="preserve"> (2003)</w:t>
      </w:r>
      <w:r w:rsidR="005615A9">
        <w:t>.</w:t>
      </w:r>
      <w:r w:rsidRPr="00977C30">
        <w:t xml:space="preserve"> Winter annual weed control with fall-applied corn (</w:t>
      </w:r>
      <w:r w:rsidRPr="005615A9">
        <w:rPr>
          <w:i/>
          <w:iCs/>
        </w:rPr>
        <w:t>Zea mays</w:t>
      </w:r>
      <w:r w:rsidRPr="00977C30">
        <w:t xml:space="preserve">) </w:t>
      </w:r>
    </w:p>
    <w:p w14:paraId="37F3F417" w14:textId="5E95011F" w:rsidR="00977C30" w:rsidRDefault="00977C30" w:rsidP="005615A9">
      <w:pPr>
        <w:pStyle w:val="Body"/>
        <w:ind w:firstLine="720"/>
        <w:contextualSpacing/>
      </w:pPr>
      <w:r w:rsidRPr="00977C30">
        <w:t xml:space="preserve">herbicides. </w:t>
      </w:r>
      <w:r w:rsidRPr="00F02475">
        <w:rPr>
          <w:i/>
          <w:iCs/>
        </w:rPr>
        <w:t>Weed Technol</w:t>
      </w:r>
      <w:r w:rsidR="00F02475" w:rsidRPr="00F02475">
        <w:rPr>
          <w:i/>
          <w:iCs/>
        </w:rPr>
        <w:t>ogy</w:t>
      </w:r>
      <w:r w:rsidR="00F02475">
        <w:t>,</w:t>
      </w:r>
      <w:r w:rsidRPr="00977C30">
        <w:t xml:space="preserve"> 17:516–520</w:t>
      </w:r>
      <w:r w:rsidR="005615A9">
        <w:t>.</w:t>
      </w:r>
      <w:bookmarkEnd w:id="13"/>
    </w:p>
    <w:p w14:paraId="478AB4D1" w14:textId="52762AD5" w:rsidR="000F212A" w:rsidRDefault="00977C30" w:rsidP="000F212A">
      <w:pPr>
        <w:pStyle w:val="Body"/>
        <w:ind w:left="720" w:hanging="720"/>
        <w:contextualSpacing/>
      </w:pPr>
      <w:r>
        <w:t xml:space="preserve">18. </w:t>
      </w:r>
      <w:r w:rsidR="005615A9">
        <w:tab/>
      </w:r>
      <w:r w:rsidRPr="00977C30">
        <w:t>Askew</w:t>
      </w:r>
      <w:r w:rsidR="000F212A">
        <w:t>,</w:t>
      </w:r>
      <w:r w:rsidRPr="00977C30">
        <w:t xml:space="preserve"> M. C., Cahoon</w:t>
      </w:r>
      <w:r w:rsidR="006229CE">
        <w:t>, C. W.,</w:t>
      </w:r>
      <w:r w:rsidRPr="00977C30">
        <w:t xml:space="preserve"> Jr, York,</w:t>
      </w:r>
      <w:r w:rsidR="006229CE">
        <w:t xml:space="preserve"> A. C., </w:t>
      </w:r>
      <w:r w:rsidRPr="00977C30">
        <w:t>Flessner,</w:t>
      </w:r>
      <w:r w:rsidR="006229CE">
        <w:t xml:space="preserve"> M. L., </w:t>
      </w:r>
      <w:r w:rsidRPr="00977C30">
        <w:t>Langston</w:t>
      </w:r>
      <w:r w:rsidR="006229CE">
        <w:t>, D. B.,</w:t>
      </w:r>
      <w:r w:rsidRPr="00977C30">
        <w:t xml:space="preserve"> Jr., </w:t>
      </w:r>
      <w:r w:rsidR="006229CE">
        <w:t>&amp;</w:t>
      </w:r>
      <w:r w:rsidRPr="00977C30">
        <w:t xml:space="preserve"> Ferebee</w:t>
      </w:r>
      <w:r w:rsidR="006229CE">
        <w:t>, J. H.</w:t>
      </w:r>
      <w:r w:rsidR="00523D2E">
        <w:t>,</w:t>
      </w:r>
      <w:r w:rsidRPr="00977C30">
        <w:t xml:space="preserve"> IV. </w:t>
      </w:r>
      <w:r w:rsidR="006229CE">
        <w:t>(</w:t>
      </w:r>
      <w:r w:rsidRPr="00977C30">
        <w:t>2020</w:t>
      </w:r>
      <w:r w:rsidR="006229CE">
        <w:t>)</w:t>
      </w:r>
      <w:r w:rsidRPr="00977C30">
        <w:t xml:space="preserve">. Comparison of 2,4-D, dicamba and </w:t>
      </w:r>
      <w:proofErr w:type="spellStart"/>
      <w:r w:rsidRPr="00977C30">
        <w:t>halauxifen</w:t>
      </w:r>
      <w:proofErr w:type="spellEnd"/>
      <w:r w:rsidRPr="00977C30">
        <w:t xml:space="preserve">-methyl alone or in combination with glyphosate for preplant weed control. </w:t>
      </w:r>
      <w:r w:rsidRPr="00C315FF">
        <w:rPr>
          <w:i/>
          <w:iCs/>
        </w:rPr>
        <w:t>Weed Technol</w:t>
      </w:r>
      <w:r w:rsidR="00C315FF" w:rsidRPr="00C315FF">
        <w:rPr>
          <w:i/>
          <w:iCs/>
        </w:rPr>
        <w:t>ogy</w:t>
      </w:r>
      <w:r w:rsidR="00C315FF">
        <w:t>,</w:t>
      </w:r>
      <w:r w:rsidRPr="00977C30">
        <w:t xml:space="preserve"> </w:t>
      </w:r>
      <w:r w:rsidR="004E2E7F">
        <w:t>35:93-98.</w:t>
      </w:r>
      <w:r w:rsidRPr="00977C30">
        <w:t xml:space="preserve"> </w:t>
      </w:r>
    </w:p>
    <w:p w14:paraId="4B121D4D" w14:textId="028787E5" w:rsidR="000002E2" w:rsidRDefault="000002E2" w:rsidP="000F212A">
      <w:pPr>
        <w:pStyle w:val="Body"/>
        <w:ind w:left="720" w:hanging="720"/>
        <w:contextualSpacing/>
      </w:pPr>
      <w:r>
        <w:t xml:space="preserve">19. </w:t>
      </w:r>
      <w:r w:rsidR="004E2E7F">
        <w:tab/>
      </w:r>
      <w:r w:rsidRPr="000002E2">
        <w:t>Anonymous. (20</w:t>
      </w:r>
      <w:r>
        <w:t>24</w:t>
      </w:r>
      <w:r w:rsidRPr="000002E2">
        <w:t xml:space="preserve">). </w:t>
      </w:r>
      <w:proofErr w:type="spellStart"/>
      <w:r w:rsidRPr="000002E2">
        <w:t>Speciman</w:t>
      </w:r>
      <w:proofErr w:type="spellEnd"/>
      <w:r w:rsidRPr="000002E2">
        <w:t xml:space="preserve"> label-</w:t>
      </w:r>
      <w:r>
        <w:t>Sharpen</w:t>
      </w:r>
      <w:r w:rsidRPr="000002E2">
        <w:t xml:space="preserve">® herbicide. BASF Corp., Research Triangle Park, NC, </w:t>
      </w:r>
      <w:r>
        <w:t>32</w:t>
      </w:r>
      <w:r w:rsidRPr="000002E2">
        <w:t xml:space="preserve"> p.</w:t>
      </w:r>
    </w:p>
    <w:p w14:paraId="2BE60773" w14:textId="77777777" w:rsidR="004E2E7F" w:rsidRDefault="000002E2" w:rsidP="000002E2">
      <w:pPr>
        <w:pStyle w:val="Body"/>
        <w:contextualSpacing/>
      </w:pPr>
      <w:r>
        <w:t xml:space="preserve">20. </w:t>
      </w:r>
      <w:r w:rsidR="004E2E7F">
        <w:tab/>
      </w:r>
      <w:r w:rsidRPr="000002E2">
        <w:t>Liebl, R. A., Walter,</w:t>
      </w:r>
      <w:r w:rsidR="004E2E7F">
        <w:t xml:space="preserve"> H., </w:t>
      </w:r>
      <w:r w:rsidRPr="000002E2">
        <w:t>Bowe,</w:t>
      </w:r>
      <w:r w:rsidR="004E2E7F">
        <w:t xml:space="preserve"> S. J., </w:t>
      </w:r>
      <w:r w:rsidRPr="000002E2">
        <w:t>Holt,</w:t>
      </w:r>
      <w:r w:rsidR="004E2E7F">
        <w:t xml:space="preserve"> T. J., &amp; </w:t>
      </w:r>
      <w:r w:rsidRPr="000002E2">
        <w:t>Westberg</w:t>
      </w:r>
      <w:r w:rsidR="004E2E7F">
        <w:t>, D. E.</w:t>
      </w:r>
      <w:r w:rsidRPr="000002E2">
        <w:t xml:space="preserve"> </w:t>
      </w:r>
      <w:r w:rsidR="004E2E7F">
        <w:t>(</w:t>
      </w:r>
      <w:r w:rsidRPr="000002E2">
        <w:t>2008</w:t>
      </w:r>
      <w:r w:rsidR="004E2E7F">
        <w:t>)</w:t>
      </w:r>
      <w:r w:rsidRPr="000002E2">
        <w:t xml:space="preserve">. BAS 800H: a new herbicide for preplant </w:t>
      </w:r>
    </w:p>
    <w:p w14:paraId="3391032C" w14:textId="575BCE50" w:rsidR="000002E2" w:rsidRDefault="000002E2" w:rsidP="004E2E7F">
      <w:pPr>
        <w:pStyle w:val="Body"/>
        <w:ind w:firstLine="720"/>
        <w:contextualSpacing/>
      </w:pPr>
      <w:r w:rsidRPr="000002E2">
        <w:t xml:space="preserve">burndown and preemergence dicot weed control. </w:t>
      </w:r>
      <w:r w:rsidR="00C315FF">
        <w:t xml:space="preserve">Proceedings of the </w:t>
      </w:r>
      <w:r w:rsidRPr="000002E2">
        <w:t>W</w:t>
      </w:r>
      <w:r w:rsidR="00C315FF">
        <w:t xml:space="preserve">eed </w:t>
      </w:r>
      <w:r w:rsidRPr="000002E2">
        <w:t>S</w:t>
      </w:r>
      <w:r w:rsidR="00C315FF">
        <w:t xml:space="preserve">cience </w:t>
      </w:r>
      <w:r w:rsidRPr="000002E2">
        <w:t>S</w:t>
      </w:r>
      <w:r w:rsidR="00C315FF">
        <w:t xml:space="preserve">ociety of </w:t>
      </w:r>
      <w:r w:rsidRPr="000002E2">
        <w:t>A</w:t>
      </w:r>
      <w:r w:rsidR="00C315FF">
        <w:t xml:space="preserve">merica, </w:t>
      </w:r>
      <w:r w:rsidRPr="000002E2">
        <w:t>48:120.</w:t>
      </w:r>
    </w:p>
    <w:p w14:paraId="11223911" w14:textId="0D8007B1" w:rsidR="00C86B98" w:rsidRPr="00FF0301" w:rsidRDefault="000002E2" w:rsidP="00950014">
      <w:pPr>
        <w:pStyle w:val="Body"/>
        <w:ind w:left="720" w:hanging="720"/>
        <w:contextualSpacing/>
      </w:pPr>
      <w:r>
        <w:t xml:space="preserve">21. </w:t>
      </w:r>
      <w:r w:rsidR="004E2E7F">
        <w:tab/>
      </w:r>
      <w:r w:rsidRPr="000002E2">
        <w:t>Knezevic,</w:t>
      </w:r>
      <w:r w:rsidR="004E2E7F">
        <w:t xml:space="preserve"> S. Z., </w:t>
      </w:r>
      <w:r w:rsidRPr="000002E2">
        <w:t>Datta,</w:t>
      </w:r>
      <w:r w:rsidR="004E2E7F">
        <w:t xml:space="preserve"> A., </w:t>
      </w:r>
      <w:r w:rsidRPr="000002E2">
        <w:t>Scott,</w:t>
      </w:r>
      <w:r w:rsidR="004E2E7F">
        <w:t xml:space="preserve"> J., &amp;</w:t>
      </w:r>
      <w:r w:rsidRPr="000002E2">
        <w:t xml:space="preserve"> Charvat</w:t>
      </w:r>
      <w:r w:rsidR="004E2E7F">
        <w:t>, L. D. (</w:t>
      </w:r>
      <w:r w:rsidRPr="000002E2">
        <w:t>2009</w:t>
      </w:r>
      <w:r w:rsidR="004E2E7F">
        <w:t>)</w:t>
      </w:r>
      <w:r w:rsidRPr="000002E2">
        <w:t xml:space="preserve">. Adjuvants </w:t>
      </w:r>
      <w:r w:rsidR="004E2E7F">
        <w:t>i</w:t>
      </w:r>
      <w:r w:rsidRPr="000002E2">
        <w:t xml:space="preserve">nfluenced </w:t>
      </w:r>
      <w:proofErr w:type="spellStart"/>
      <w:r w:rsidR="004E2E7F">
        <w:t>s</w:t>
      </w:r>
      <w:r w:rsidRPr="000002E2">
        <w:t>aflufenacil</w:t>
      </w:r>
      <w:proofErr w:type="spellEnd"/>
      <w:r w:rsidRPr="000002E2">
        <w:t xml:space="preserve"> </w:t>
      </w:r>
      <w:r w:rsidR="004E2E7F">
        <w:t>e</w:t>
      </w:r>
      <w:r w:rsidRPr="000002E2">
        <w:t xml:space="preserve">fficacy on </w:t>
      </w:r>
      <w:r w:rsidR="004E2E7F">
        <w:t>f</w:t>
      </w:r>
      <w:r w:rsidRPr="000002E2">
        <w:t>all-</w:t>
      </w:r>
      <w:r w:rsidR="004E2E7F">
        <w:t>e</w:t>
      </w:r>
      <w:r w:rsidRPr="000002E2">
        <w:t xml:space="preserve">merging </w:t>
      </w:r>
      <w:r w:rsidR="004E2E7F">
        <w:t>w</w:t>
      </w:r>
      <w:r w:rsidRPr="000002E2">
        <w:t xml:space="preserve">eeds. </w:t>
      </w:r>
      <w:r w:rsidRPr="00C315FF">
        <w:rPr>
          <w:i/>
          <w:iCs/>
        </w:rPr>
        <w:t>Weed Techno</w:t>
      </w:r>
      <w:r w:rsidR="002C125E" w:rsidRPr="00C315FF">
        <w:rPr>
          <w:i/>
          <w:iCs/>
        </w:rPr>
        <w:t>l</w:t>
      </w:r>
      <w:r w:rsidR="00C315FF" w:rsidRPr="00C315FF">
        <w:rPr>
          <w:i/>
          <w:iCs/>
        </w:rPr>
        <w:t>ogy</w:t>
      </w:r>
      <w:r w:rsidR="00C315FF">
        <w:t xml:space="preserve">, </w:t>
      </w:r>
      <w:r w:rsidRPr="000002E2">
        <w:t>23:340-345.</w:t>
      </w:r>
    </w:p>
    <w:p w14:paraId="0AEEA91B" w14:textId="77777777" w:rsidR="00C86B98" w:rsidRPr="002A4755" w:rsidRDefault="00C86B98" w:rsidP="002A4755">
      <w:pPr>
        <w:pStyle w:val="Body"/>
      </w:pPr>
    </w:p>
    <w:p w14:paraId="110F6808" w14:textId="77777777" w:rsidR="00790ADA" w:rsidRPr="00FF0301" w:rsidRDefault="00790ADA" w:rsidP="00441B6F">
      <w:pPr>
        <w:pStyle w:val="Body"/>
        <w:spacing w:after="0"/>
        <w:rPr>
          <w:rFonts w:ascii="Arial" w:hAnsi="Arial" w:cs="Arial"/>
        </w:rPr>
      </w:pPr>
    </w:p>
    <w:sectPr w:rsidR="00790ADA" w:rsidRPr="00FF0301" w:rsidSect="00C806D4">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D6A7A" w14:textId="77777777" w:rsidR="00ED2230" w:rsidRDefault="00ED2230" w:rsidP="00C37E61">
      <w:r>
        <w:separator/>
      </w:r>
    </w:p>
  </w:endnote>
  <w:endnote w:type="continuationSeparator" w:id="0">
    <w:p w14:paraId="39B83572" w14:textId="77777777" w:rsidR="00ED2230" w:rsidRDefault="00ED22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15B8" w14:textId="77777777" w:rsidR="00C806D4" w:rsidRDefault="00C80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C3238" w14:textId="77777777" w:rsidR="00C806D4" w:rsidRDefault="00C80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9EA70" w14:textId="77777777" w:rsidR="009E048A" w:rsidRDefault="009E048A">
    <w:pPr>
      <w:pStyle w:val="Footer"/>
      <w:rPr>
        <w:rFonts w:ascii="Arial" w:hAnsi="Arial" w:cs="Arial"/>
        <w:sz w:val="16"/>
      </w:rPr>
    </w:pPr>
  </w:p>
  <w:p w14:paraId="68D39AB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8E311A9" w14:textId="77777777" w:rsidR="009E048A" w:rsidRDefault="009E048A">
    <w:pPr>
      <w:pStyle w:val="Footer"/>
      <w:rPr>
        <w:rFonts w:ascii="Arial" w:hAnsi="Arial" w:cs="Arial"/>
        <w:sz w:val="16"/>
      </w:rPr>
    </w:pPr>
  </w:p>
  <w:p w14:paraId="5A29363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1BC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799BA" w14:textId="77777777" w:rsidR="00ED2230" w:rsidRDefault="00ED2230" w:rsidP="00C37E61">
      <w:r>
        <w:separator/>
      </w:r>
    </w:p>
  </w:footnote>
  <w:footnote w:type="continuationSeparator" w:id="0">
    <w:p w14:paraId="74C27906" w14:textId="77777777" w:rsidR="00ED2230" w:rsidRDefault="00ED223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3BA89" w14:textId="6208E3E7" w:rsidR="00C806D4" w:rsidRDefault="00C806D4">
    <w:pPr>
      <w:pStyle w:val="Header"/>
    </w:pPr>
    <w:r>
      <w:rPr>
        <w:noProof/>
      </w:rPr>
      <w:pict w14:anchorId="57869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70.45pt;height:90.85pt;rotation:315;z-index:-251655168;mso-position-horizontal:center;mso-position-horizontal-relative:margin;mso-position-vertical:center;mso-position-vertical-relative:margin" o:allowincell="f" fillcolor="silver" stroked="f">
          <v:fill opacity=".5"/>
          <v:textpath style="font-family:&quot;Helvetica&quot;;font-size:1pt" string="Ms_JEAI_153306"/>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D158" w14:textId="76136022" w:rsidR="00C806D4" w:rsidRDefault="00C806D4">
    <w:pPr>
      <w:pStyle w:val="Header"/>
    </w:pPr>
    <w:r>
      <w:rPr>
        <w:noProof/>
      </w:rPr>
      <w:pict w14:anchorId="22AA3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70.45pt;height:90.85pt;rotation:315;z-index:-251653120;mso-position-horizontal:center;mso-position-horizontal-relative:margin;mso-position-vertical:center;mso-position-vertical-relative:margin" o:allowincell="f" fillcolor="silver" stroked="f">
          <v:fill opacity=".5"/>
          <v:textpath style="font-family:&quot;Helvetica&quot;;font-size:1pt" string="Ms_JEAI_153306"/>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2F9A" w14:textId="483209CE" w:rsidR="00296529" w:rsidRPr="00296529" w:rsidRDefault="00C806D4" w:rsidP="00296529">
    <w:pPr>
      <w:ind w:left="2160"/>
      <w:jc w:val="center"/>
      <w:rPr>
        <w:rFonts w:ascii="Times New Roman" w:eastAsia="Calibri" w:hAnsi="Times New Roman"/>
        <w:i/>
        <w:sz w:val="18"/>
        <w:szCs w:val="22"/>
      </w:rPr>
    </w:pPr>
    <w:r>
      <w:rPr>
        <w:noProof/>
      </w:rPr>
      <w:pict w14:anchorId="2F28B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70.45pt;height:90.85pt;rotation:315;z-index:-251657216;mso-position-horizontal:center;mso-position-horizontal-relative:margin;mso-position-vertical:center;mso-position-vertical-relative:margin" o:allowincell="f" fillcolor="silver" stroked="f">
          <v:fill opacity=".5"/>
          <v:textpath style="font-family:&quot;Helvetica&quot;;font-size:1pt" string="Ms_JEAI_153306"/>
        </v:shape>
      </w:pict>
    </w:r>
  </w:p>
  <w:p w14:paraId="43AC0BF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533D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6831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3BF5B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4F2BC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4F3C2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7ED8" w14:textId="6A057740" w:rsidR="00C806D4" w:rsidRDefault="00C806D4">
    <w:pPr>
      <w:pStyle w:val="Header"/>
    </w:pPr>
    <w:r>
      <w:rPr>
        <w:noProof/>
      </w:rPr>
      <w:pict w14:anchorId="4E854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70.45pt;height:90.85pt;rotation:315;z-index:-251649024;mso-position-horizontal:center;mso-position-horizontal-relative:margin;mso-position-vertical:center;mso-position-vertical-relative:margin" o:allowincell="f" fillcolor="silver" stroked="f">
          <v:fill opacity=".5"/>
          <v:textpath style="font-family:&quot;Helvetica&quot;;font-size:1pt" string="Ms_JEAI_153306"/>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F4F6" w14:textId="39E81508" w:rsidR="00C806D4" w:rsidRDefault="00C806D4">
    <w:pPr>
      <w:pStyle w:val="Header"/>
    </w:pPr>
    <w:r>
      <w:rPr>
        <w:noProof/>
      </w:rPr>
      <w:pict w14:anchorId="0CD3F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70.45pt;height:90.85pt;rotation:315;z-index:-251646976;mso-position-horizontal:center;mso-position-horizontal-relative:margin;mso-position-vertical:center;mso-position-vertical-relative:margin" o:allowincell="f" fillcolor="silver" stroked="f">
          <v:fill opacity=".5"/>
          <v:textpath style="font-family:&quot;Helvetica&quot;;font-size:1pt" string="Ms_JEAI_153306"/>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A993" w14:textId="557C173D" w:rsidR="00C806D4" w:rsidRDefault="00C806D4">
    <w:pPr>
      <w:pStyle w:val="Header"/>
    </w:pPr>
    <w:r>
      <w:rPr>
        <w:noProof/>
      </w:rPr>
      <w:pict w14:anchorId="446E4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70.45pt;height:90.85pt;rotation:315;z-index:-251651072;mso-position-horizontal:center;mso-position-horizontal-relative:margin;mso-position-vertical:center;mso-position-vertical-relative:margin" o:allowincell="f" fillcolor="silver" stroked="f">
          <v:fill opacity=".5"/>
          <v:textpath style="font-family:&quot;Helvetica&quot;;font-size:1pt" string="Ms_JEAI_15330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2E2"/>
    <w:rsid w:val="00000F8F"/>
    <w:rsid w:val="00030174"/>
    <w:rsid w:val="00044131"/>
    <w:rsid w:val="0004579C"/>
    <w:rsid w:val="000A47FA"/>
    <w:rsid w:val="000A55A0"/>
    <w:rsid w:val="000A65D3"/>
    <w:rsid w:val="000B1E33"/>
    <w:rsid w:val="000B69BF"/>
    <w:rsid w:val="000B7096"/>
    <w:rsid w:val="000D689F"/>
    <w:rsid w:val="000E7B7B"/>
    <w:rsid w:val="000E7D62"/>
    <w:rsid w:val="000F1923"/>
    <w:rsid w:val="000F212A"/>
    <w:rsid w:val="00102A63"/>
    <w:rsid w:val="00103357"/>
    <w:rsid w:val="00123C9F"/>
    <w:rsid w:val="00126190"/>
    <w:rsid w:val="00130F17"/>
    <w:rsid w:val="001320BF"/>
    <w:rsid w:val="00163BC4"/>
    <w:rsid w:val="00191062"/>
    <w:rsid w:val="00192B72"/>
    <w:rsid w:val="001A29D8"/>
    <w:rsid w:val="001A5CAA"/>
    <w:rsid w:val="001B0427"/>
    <w:rsid w:val="001B338D"/>
    <w:rsid w:val="001B3DF7"/>
    <w:rsid w:val="001C687E"/>
    <w:rsid w:val="001D11F3"/>
    <w:rsid w:val="001D3A51"/>
    <w:rsid w:val="001E10D2"/>
    <w:rsid w:val="001E25B4"/>
    <w:rsid w:val="001E44FE"/>
    <w:rsid w:val="00200595"/>
    <w:rsid w:val="00204835"/>
    <w:rsid w:val="002104C1"/>
    <w:rsid w:val="00231920"/>
    <w:rsid w:val="0023195C"/>
    <w:rsid w:val="0024282C"/>
    <w:rsid w:val="002460DC"/>
    <w:rsid w:val="00250985"/>
    <w:rsid w:val="002556F6"/>
    <w:rsid w:val="00272F0A"/>
    <w:rsid w:val="002826F2"/>
    <w:rsid w:val="0028282A"/>
    <w:rsid w:val="00283105"/>
    <w:rsid w:val="00284C4C"/>
    <w:rsid w:val="00287E68"/>
    <w:rsid w:val="00296529"/>
    <w:rsid w:val="002A4755"/>
    <w:rsid w:val="002B1094"/>
    <w:rsid w:val="002B27FB"/>
    <w:rsid w:val="002B685A"/>
    <w:rsid w:val="002C125E"/>
    <w:rsid w:val="002C57D2"/>
    <w:rsid w:val="002E0D56"/>
    <w:rsid w:val="00304492"/>
    <w:rsid w:val="00315186"/>
    <w:rsid w:val="0033027B"/>
    <w:rsid w:val="0033343E"/>
    <w:rsid w:val="003512C2"/>
    <w:rsid w:val="00365D1A"/>
    <w:rsid w:val="00371FB6"/>
    <w:rsid w:val="003763C1"/>
    <w:rsid w:val="00376BBE"/>
    <w:rsid w:val="0039224F"/>
    <w:rsid w:val="003A43A4"/>
    <w:rsid w:val="003A6050"/>
    <w:rsid w:val="003A7E18"/>
    <w:rsid w:val="003B70C9"/>
    <w:rsid w:val="003C4C86"/>
    <w:rsid w:val="003C6258"/>
    <w:rsid w:val="003D34B3"/>
    <w:rsid w:val="003E2904"/>
    <w:rsid w:val="003F3024"/>
    <w:rsid w:val="00401927"/>
    <w:rsid w:val="00402BC6"/>
    <w:rsid w:val="0041027F"/>
    <w:rsid w:val="00412475"/>
    <w:rsid w:val="00423789"/>
    <w:rsid w:val="00440F43"/>
    <w:rsid w:val="00441B6F"/>
    <w:rsid w:val="00444077"/>
    <w:rsid w:val="00446221"/>
    <w:rsid w:val="00450E62"/>
    <w:rsid w:val="004539DB"/>
    <w:rsid w:val="00471A80"/>
    <w:rsid w:val="004A0A43"/>
    <w:rsid w:val="004A6E9E"/>
    <w:rsid w:val="004D305E"/>
    <w:rsid w:val="004D39DC"/>
    <w:rsid w:val="004D4277"/>
    <w:rsid w:val="004E2E7F"/>
    <w:rsid w:val="00502516"/>
    <w:rsid w:val="00505F06"/>
    <w:rsid w:val="00506828"/>
    <w:rsid w:val="00523D2E"/>
    <w:rsid w:val="0053056E"/>
    <w:rsid w:val="00554FDA"/>
    <w:rsid w:val="005615A9"/>
    <w:rsid w:val="005C784C"/>
    <w:rsid w:val="005D17F6"/>
    <w:rsid w:val="005E5539"/>
    <w:rsid w:val="00602BF5"/>
    <w:rsid w:val="00617FDD"/>
    <w:rsid w:val="006229CE"/>
    <w:rsid w:val="00632995"/>
    <w:rsid w:val="00633614"/>
    <w:rsid w:val="00633F68"/>
    <w:rsid w:val="00636EB2"/>
    <w:rsid w:val="006375B8"/>
    <w:rsid w:val="00660E7C"/>
    <w:rsid w:val="0066108C"/>
    <w:rsid w:val="0066510A"/>
    <w:rsid w:val="00673F9F"/>
    <w:rsid w:val="00686953"/>
    <w:rsid w:val="00687B32"/>
    <w:rsid w:val="00687DEA"/>
    <w:rsid w:val="00687E67"/>
    <w:rsid w:val="006967F7"/>
    <w:rsid w:val="006A250C"/>
    <w:rsid w:val="006A2A7B"/>
    <w:rsid w:val="006A7A43"/>
    <w:rsid w:val="006B21D3"/>
    <w:rsid w:val="006B57D0"/>
    <w:rsid w:val="006D30FF"/>
    <w:rsid w:val="006D6940"/>
    <w:rsid w:val="006F11EC"/>
    <w:rsid w:val="0070082C"/>
    <w:rsid w:val="00710214"/>
    <w:rsid w:val="007369E6"/>
    <w:rsid w:val="00746E59"/>
    <w:rsid w:val="00751BC3"/>
    <w:rsid w:val="00754C9A"/>
    <w:rsid w:val="0075599A"/>
    <w:rsid w:val="00761D52"/>
    <w:rsid w:val="0077749E"/>
    <w:rsid w:val="00790ADA"/>
    <w:rsid w:val="007D2288"/>
    <w:rsid w:val="007E088F"/>
    <w:rsid w:val="007F7B32"/>
    <w:rsid w:val="00804BC2"/>
    <w:rsid w:val="0081431A"/>
    <w:rsid w:val="00822A81"/>
    <w:rsid w:val="00825B1D"/>
    <w:rsid w:val="0083216F"/>
    <w:rsid w:val="00860000"/>
    <w:rsid w:val="00863BD3"/>
    <w:rsid w:val="008641ED"/>
    <w:rsid w:val="00866D66"/>
    <w:rsid w:val="008671C6"/>
    <w:rsid w:val="00875803"/>
    <w:rsid w:val="008807F8"/>
    <w:rsid w:val="008B459E"/>
    <w:rsid w:val="008D7033"/>
    <w:rsid w:val="008E12DA"/>
    <w:rsid w:val="008E13AE"/>
    <w:rsid w:val="008E1506"/>
    <w:rsid w:val="008E710C"/>
    <w:rsid w:val="008F2317"/>
    <w:rsid w:val="008F69D6"/>
    <w:rsid w:val="00902823"/>
    <w:rsid w:val="00915CA6"/>
    <w:rsid w:val="0091784C"/>
    <w:rsid w:val="00927834"/>
    <w:rsid w:val="00950014"/>
    <w:rsid w:val="009500A6"/>
    <w:rsid w:val="00957C18"/>
    <w:rsid w:val="009659BA"/>
    <w:rsid w:val="00977C30"/>
    <w:rsid w:val="00983040"/>
    <w:rsid w:val="00984479"/>
    <w:rsid w:val="009B3FB9"/>
    <w:rsid w:val="009C2465"/>
    <w:rsid w:val="009C3DF5"/>
    <w:rsid w:val="009D35A0"/>
    <w:rsid w:val="009D7EB7"/>
    <w:rsid w:val="009E048A"/>
    <w:rsid w:val="009E08E9"/>
    <w:rsid w:val="009E3DB9"/>
    <w:rsid w:val="009E6E35"/>
    <w:rsid w:val="009F0EDA"/>
    <w:rsid w:val="00A03B96"/>
    <w:rsid w:val="00A05B19"/>
    <w:rsid w:val="00A1134E"/>
    <w:rsid w:val="00A24E7E"/>
    <w:rsid w:val="00A258C3"/>
    <w:rsid w:val="00A347C0"/>
    <w:rsid w:val="00A34917"/>
    <w:rsid w:val="00A51431"/>
    <w:rsid w:val="00A539AD"/>
    <w:rsid w:val="00A83484"/>
    <w:rsid w:val="00A94063"/>
    <w:rsid w:val="00AA6219"/>
    <w:rsid w:val="00AA74E0"/>
    <w:rsid w:val="00AB703F"/>
    <w:rsid w:val="00AC6BB8"/>
    <w:rsid w:val="00AE008F"/>
    <w:rsid w:val="00B01FCD"/>
    <w:rsid w:val="00B1776C"/>
    <w:rsid w:val="00B40104"/>
    <w:rsid w:val="00B52583"/>
    <w:rsid w:val="00B52896"/>
    <w:rsid w:val="00B71C15"/>
    <w:rsid w:val="00B95236"/>
    <w:rsid w:val="00B9693E"/>
    <w:rsid w:val="00B96BD9"/>
    <w:rsid w:val="00BA09DE"/>
    <w:rsid w:val="00BA1B01"/>
    <w:rsid w:val="00BA2641"/>
    <w:rsid w:val="00BA331D"/>
    <w:rsid w:val="00BB37AA"/>
    <w:rsid w:val="00BC53A0"/>
    <w:rsid w:val="00BE62AD"/>
    <w:rsid w:val="00BF121F"/>
    <w:rsid w:val="00BF1F80"/>
    <w:rsid w:val="00BF69C1"/>
    <w:rsid w:val="00C166EF"/>
    <w:rsid w:val="00C17EB0"/>
    <w:rsid w:val="00C24283"/>
    <w:rsid w:val="00C27F5F"/>
    <w:rsid w:val="00C30A0F"/>
    <w:rsid w:val="00C315FF"/>
    <w:rsid w:val="00C37E61"/>
    <w:rsid w:val="00C65C33"/>
    <w:rsid w:val="00C70F1B"/>
    <w:rsid w:val="00C71A47"/>
    <w:rsid w:val="00C7464C"/>
    <w:rsid w:val="00C806D4"/>
    <w:rsid w:val="00C85588"/>
    <w:rsid w:val="00C86B98"/>
    <w:rsid w:val="00CC0521"/>
    <w:rsid w:val="00CD443D"/>
    <w:rsid w:val="00CD6755"/>
    <w:rsid w:val="00CD6856"/>
    <w:rsid w:val="00CE0089"/>
    <w:rsid w:val="00CE793C"/>
    <w:rsid w:val="00CF193C"/>
    <w:rsid w:val="00D173F1"/>
    <w:rsid w:val="00D40BA1"/>
    <w:rsid w:val="00D534FB"/>
    <w:rsid w:val="00D57919"/>
    <w:rsid w:val="00D74CB0"/>
    <w:rsid w:val="00D8295D"/>
    <w:rsid w:val="00DC2A65"/>
    <w:rsid w:val="00DD1D84"/>
    <w:rsid w:val="00DD5A5B"/>
    <w:rsid w:val="00DE15F0"/>
    <w:rsid w:val="00DE5663"/>
    <w:rsid w:val="00DE611A"/>
    <w:rsid w:val="00DE78AA"/>
    <w:rsid w:val="00DF49AE"/>
    <w:rsid w:val="00E053D0"/>
    <w:rsid w:val="00E15994"/>
    <w:rsid w:val="00E3114E"/>
    <w:rsid w:val="00E31A70"/>
    <w:rsid w:val="00E35A11"/>
    <w:rsid w:val="00E35B02"/>
    <w:rsid w:val="00E66496"/>
    <w:rsid w:val="00E66B35"/>
    <w:rsid w:val="00E66E10"/>
    <w:rsid w:val="00E769F6"/>
    <w:rsid w:val="00E8407C"/>
    <w:rsid w:val="00E84F3C"/>
    <w:rsid w:val="00EA012C"/>
    <w:rsid w:val="00EC5BF7"/>
    <w:rsid w:val="00EC6A55"/>
    <w:rsid w:val="00ED0288"/>
    <w:rsid w:val="00ED2230"/>
    <w:rsid w:val="00EE52CB"/>
    <w:rsid w:val="00EF581D"/>
    <w:rsid w:val="00EF7FD8"/>
    <w:rsid w:val="00F02475"/>
    <w:rsid w:val="00F06F59"/>
    <w:rsid w:val="00F13E10"/>
    <w:rsid w:val="00F17988"/>
    <w:rsid w:val="00F31426"/>
    <w:rsid w:val="00F469F0"/>
    <w:rsid w:val="00F51428"/>
    <w:rsid w:val="00F53273"/>
    <w:rsid w:val="00F73563"/>
    <w:rsid w:val="00F755E4"/>
    <w:rsid w:val="00F77D02"/>
    <w:rsid w:val="00F82AF4"/>
    <w:rsid w:val="00FB1435"/>
    <w:rsid w:val="00FB3A86"/>
    <w:rsid w:val="00FD2118"/>
    <w:rsid w:val="00FD36C8"/>
    <w:rsid w:val="00FF0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A2F7D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8447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844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cumentation.sas.com/api/docsets/egug/8.2/content/egug.pdf?locale=en"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opw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4ADC-43A3-4A88-A433-1BCDD9BAD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9633</TotalTime>
  <Pages>6</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19307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65</cp:revision>
  <cp:lastPrinted>1999-07-06T11:00:00Z</cp:lastPrinted>
  <dcterms:created xsi:type="dcterms:W3CDTF">2025-12-23T18:59:00Z</dcterms:created>
  <dcterms:modified xsi:type="dcterms:W3CDTF">2026-02-10T12:33:00Z</dcterms:modified>
</cp:coreProperties>
</file>