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0337C" w14:textId="77777777" w:rsidR="003427E3" w:rsidRDefault="00CC201C">
      <w:pPr>
        <w:jc w:val="center"/>
        <w:rPr>
          <w:b/>
          <w:sz w:val="28"/>
        </w:rPr>
      </w:pPr>
      <w:r>
        <w:rPr>
          <w:b/>
          <w:sz w:val="28"/>
        </w:rPr>
        <w:t>Extent of Adoption of Soil Health Card Based Recommendations and Soil Sampling Procedures in Karimnagar District of Telangana State</w:t>
      </w:r>
    </w:p>
    <w:p w14:paraId="098C006D" w14:textId="77777777" w:rsidR="003427E3" w:rsidRPr="00CC201C" w:rsidRDefault="00CC201C" w:rsidP="008B0CCB">
      <w:pPr>
        <w:pStyle w:val="Heading1"/>
        <w:spacing w:after="200"/>
        <w:jc w:val="both"/>
        <w:rPr>
          <w:rFonts w:ascii="Times New Roman" w:hAnsi="Times New Roman" w:cs="Times New Roman"/>
          <w:color w:val="auto"/>
          <w:sz w:val="24"/>
          <w:szCs w:val="24"/>
        </w:rPr>
      </w:pPr>
      <w:r w:rsidRPr="00CC201C">
        <w:rPr>
          <w:rFonts w:ascii="Times New Roman" w:hAnsi="Times New Roman" w:cs="Times New Roman"/>
          <w:color w:val="auto"/>
          <w:sz w:val="24"/>
          <w:szCs w:val="24"/>
        </w:rPr>
        <w:t>Abstract</w:t>
      </w:r>
    </w:p>
    <w:p w14:paraId="5AF916A2" w14:textId="77777777" w:rsidR="003427E3" w:rsidRPr="008B0CCB" w:rsidRDefault="00CC201C" w:rsidP="008B0CCB">
      <w:pPr>
        <w:ind w:firstLine="720"/>
        <w:jc w:val="both"/>
        <w:rPr>
          <w:rFonts w:cs="Times New Roman"/>
          <w:szCs w:val="24"/>
        </w:rPr>
      </w:pPr>
      <w:r w:rsidRPr="008B0CCB">
        <w:rPr>
          <w:rFonts w:cs="Times New Roman"/>
          <w:szCs w:val="24"/>
        </w:rPr>
        <w:t xml:space="preserve">The Soil Health Card (SHC) scheme, launched by the Government of India in 2015, aims to promote balanced fertilization and improve soil health through site-specific nutrient management recommendations. This study was conducted in Karimnagar district of Telangana State to assess the extent of adoption of soil health </w:t>
      </w:r>
      <w:proofErr w:type="gramStart"/>
      <w:r w:rsidRPr="008B0CCB">
        <w:rPr>
          <w:rFonts w:cs="Times New Roman"/>
          <w:szCs w:val="24"/>
        </w:rPr>
        <w:t>card based</w:t>
      </w:r>
      <w:proofErr w:type="gramEnd"/>
      <w:r w:rsidRPr="008B0CCB">
        <w:rPr>
          <w:rFonts w:cs="Times New Roman"/>
          <w:szCs w:val="24"/>
        </w:rPr>
        <w:t xml:space="preserve"> recommendations and soil sampling procedures among farmers. A sample of 120 farmers was selected through proportionate random sampling technique </w:t>
      </w:r>
      <w:r w:rsidRPr="00CC201C">
        <w:rPr>
          <w:rFonts w:cs="Times New Roman"/>
          <w:szCs w:val="24"/>
        </w:rPr>
        <w:t>from 24 villages.</w:t>
      </w:r>
      <w:r w:rsidRPr="008B0CCB">
        <w:rPr>
          <w:rFonts w:cs="Times New Roman"/>
          <w:szCs w:val="24"/>
        </w:rPr>
        <w:t xml:space="preserve"> The findings revealed that majority of the farmers (55.8%) had medium level of adoption of SHC recommendations, while 25.8% exhibited low adoption and 18.4% showed high adoption. Among the various practices, zigzag pattern for soil sample collection (MS=2.53) ranked first, followed by collection of samples</w:t>
      </w:r>
      <w:r w:rsidR="00E03F58">
        <w:rPr>
          <w:rFonts w:cs="Times New Roman"/>
          <w:szCs w:val="24"/>
        </w:rPr>
        <w:t xml:space="preserve"> in non-chemical bags (MS=2.41)</w:t>
      </w:r>
      <w:r w:rsidRPr="008B0CCB">
        <w:rPr>
          <w:rFonts w:cs="Times New Roman"/>
          <w:szCs w:val="24"/>
        </w:rPr>
        <w:t xml:space="preserve"> and basal application of phosphatic fertilizers (MS=2.34). The study identified significant positive relationships between adoption and education (r=0.452**), training undergone (r=0.497**), extension contact (r=0.534**), sci</w:t>
      </w:r>
      <w:r w:rsidR="00E03F58">
        <w:rPr>
          <w:rFonts w:cs="Times New Roman"/>
          <w:szCs w:val="24"/>
        </w:rPr>
        <w:t>entific orientation (r=0.468**)</w:t>
      </w:r>
      <w:r w:rsidRPr="008B0CCB">
        <w:rPr>
          <w:rFonts w:cs="Times New Roman"/>
          <w:szCs w:val="24"/>
        </w:rPr>
        <w:t xml:space="preserve"> and innovativeness (r=0.443**). The major constraints included lack of pre-seasonal training, difficulty in un</w:t>
      </w:r>
      <w:r w:rsidR="00E03F58">
        <w:rPr>
          <w:rFonts w:cs="Times New Roman"/>
          <w:szCs w:val="24"/>
        </w:rPr>
        <w:t>derstanding SHC recommendations</w:t>
      </w:r>
      <w:r w:rsidRPr="008B0CCB">
        <w:rPr>
          <w:rFonts w:cs="Times New Roman"/>
          <w:szCs w:val="24"/>
        </w:rPr>
        <w:t xml:space="preserve"> and apprehensions regarding reduced yields. The study recommends strengthening extension activities, conducting r</w:t>
      </w:r>
      <w:r w:rsidR="008B0CCB">
        <w:rPr>
          <w:rFonts w:cs="Times New Roman"/>
          <w:szCs w:val="24"/>
        </w:rPr>
        <w:t xml:space="preserve">egular training </w:t>
      </w:r>
      <w:proofErr w:type="spellStart"/>
      <w:r w:rsidR="008B0CCB">
        <w:rPr>
          <w:rFonts w:cs="Times New Roman"/>
          <w:szCs w:val="24"/>
        </w:rPr>
        <w:t>programmes</w:t>
      </w:r>
      <w:proofErr w:type="spellEnd"/>
      <w:r w:rsidRPr="008B0CCB">
        <w:rPr>
          <w:rFonts w:cs="Times New Roman"/>
          <w:szCs w:val="24"/>
        </w:rPr>
        <w:t xml:space="preserve"> and simplifying SHC information to enhance adoption among farming communities.</w:t>
      </w:r>
    </w:p>
    <w:p w14:paraId="20E6382B" w14:textId="77777777" w:rsidR="003427E3" w:rsidRDefault="00CC201C">
      <w:r>
        <w:rPr>
          <w:b/>
        </w:rPr>
        <w:t xml:space="preserve">Keywords: </w:t>
      </w:r>
      <w:r>
        <w:t xml:space="preserve">Soil Health Card, </w:t>
      </w:r>
      <w:r w:rsidR="00E03F58">
        <w:t>Extent of a</w:t>
      </w:r>
      <w:r>
        <w:t>doption, Soi</w:t>
      </w:r>
      <w:r w:rsidR="00E03F58">
        <w:t>l Sampling, Nutrient Management.</w:t>
      </w:r>
      <w:r>
        <w:t xml:space="preserve"> </w:t>
      </w:r>
    </w:p>
    <w:p w14:paraId="3B059201" w14:textId="77777777" w:rsidR="003427E3" w:rsidRPr="001768FC" w:rsidRDefault="00CC201C">
      <w:pPr>
        <w:pStyle w:val="Heading1"/>
        <w:rPr>
          <w:rFonts w:ascii="Times New Roman" w:hAnsi="Times New Roman" w:cs="Times New Roman"/>
          <w:color w:val="auto"/>
          <w:sz w:val="24"/>
          <w:szCs w:val="24"/>
        </w:rPr>
      </w:pPr>
      <w:r w:rsidRPr="001768FC">
        <w:rPr>
          <w:rFonts w:ascii="Times New Roman" w:hAnsi="Times New Roman" w:cs="Times New Roman"/>
          <w:color w:val="auto"/>
          <w:sz w:val="24"/>
          <w:szCs w:val="24"/>
        </w:rPr>
        <w:t>Introduction</w:t>
      </w:r>
    </w:p>
    <w:p w14:paraId="5FBEF5AC" w14:textId="77777777" w:rsidR="003427E3" w:rsidRPr="001768FC" w:rsidRDefault="00CC201C" w:rsidP="001768FC">
      <w:pPr>
        <w:ind w:firstLine="720"/>
        <w:jc w:val="both"/>
        <w:rPr>
          <w:rFonts w:cs="Times New Roman"/>
          <w:szCs w:val="24"/>
        </w:rPr>
      </w:pPr>
      <w:r w:rsidRPr="001768FC">
        <w:rPr>
          <w:rFonts w:cs="Times New Roman"/>
          <w:szCs w:val="24"/>
        </w:rPr>
        <w:t>Soil health is fundamental to sustainable agriculture and food security. In India, indiscriminate use of chemical fertilizers, particularly nitrogenous fertilizers, has led to soil d</w:t>
      </w:r>
      <w:r w:rsidR="001768FC">
        <w:rPr>
          <w:rFonts w:cs="Times New Roman"/>
          <w:szCs w:val="24"/>
        </w:rPr>
        <w:t>egradation, nutrient imbalances</w:t>
      </w:r>
      <w:r w:rsidRPr="001768FC">
        <w:rPr>
          <w:rFonts w:cs="Times New Roman"/>
          <w:szCs w:val="24"/>
        </w:rPr>
        <w:t xml:space="preserve"> and declining agricultural productivity (Chand and Pavithra, 2015). The imbalanced use of NPK fertilizers has resulted in depletion of secondary and micronutrients in soils, adversely affecting crop yields and farmer incomes (Bora, 2022).</w:t>
      </w:r>
    </w:p>
    <w:p w14:paraId="3BE3A200" w14:textId="77777777" w:rsidR="003427E3" w:rsidRPr="001768FC" w:rsidRDefault="00CC201C" w:rsidP="001768FC">
      <w:pPr>
        <w:ind w:firstLine="720"/>
        <w:jc w:val="both"/>
        <w:rPr>
          <w:rFonts w:cs="Times New Roman"/>
          <w:szCs w:val="24"/>
        </w:rPr>
      </w:pPr>
      <w:r w:rsidRPr="001768FC">
        <w:rPr>
          <w:rFonts w:cs="Times New Roman"/>
          <w:szCs w:val="24"/>
        </w:rPr>
        <w:t>To address these challenges, the Government of India launched the Soil Health Card (SHC) sche</w:t>
      </w:r>
      <w:r w:rsidR="001768FC">
        <w:rPr>
          <w:rFonts w:cs="Times New Roman"/>
          <w:szCs w:val="24"/>
        </w:rPr>
        <w:t>me on February 19, 2015</w:t>
      </w:r>
      <w:r w:rsidRPr="001768FC">
        <w:rPr>
          <w:rFonts w:cs="Times New Roman"/>
          <w:szCs w:val="24"/>
        </w:rPr>
        <w:t xml:space="preserve"> with the objective of providing farmers with soil test-based recommendations for judicious fertilizer application. The scheme aims to assess soil health in terms of 12 parameters including macro-nutrients (N, P, K), secondary nutrients (S), mic</w:t>
      </w:r>
      <w:r w:rsidR="001768FC">
        <w:rPr>
          <w:rFonts w:cs="Times New Roman"/>
          <w:szCs w:val="24"/>
        </w:rPr>
        <w:t>ronutrients (Zn, Fe, Cu, Mn, B)</w:t>
      </w:r>
      <w:r w:rsidRPr="001768FC">
        <w:rPr>
          <w:rFonts w:cs="Times New Roman"/>
          <w:szCs w:val="24"/>
        </w:rPr>
        <w:t xml:space="preserve"> and physical parameters (pH, EC, OC). Based on soil analysis, the SHC provides crop-wise recommendations for </w:t>
      </w:r>
      <w:r w:rsidRPr="001768FC">
        <w:rPr>
          <w:rFonts w:cs="Times New Roman"/>
          <w:szCs w:val="24"/>
        </w:rPr>
        <w:lastRenderedPageBreak/>
        <w:t xml:space="preserve">nutrients and fertilizers required for individual farms to enhance productivity through balanced input use (Reddy, 2017; Singh </w:t>
      </w:r>
      <w:r w:rsidRPr="001768FC">
        <w:rPr>
          <w:rFonts w:cs="Times New Roman"/>
          <w:i/>
          <w:szCs w:val="24"/>
        </w:rPr>
        <w:t>et al</w:t>
      </w:r>
      <w:r w:rsidRPr="001768FC">
        <w:rPr>
          <w:rFonts w:cs="Times New Roman"/>
          <w:szCs w:val="24"/>
        </w:rPr>
        <w:t>., 2023).</w:t>
      </w:r>
    </w:p>
    <w:p w14:paraId="26CA9DAA" w14:textId="77777777" w:rsidR="003427E3" w:rsidRPr="001768FC" w:rsidRDefault="00CC201C" w:rsidP="001768FC">
      <w:pPr>
        <w:ind w:firstLine="720"/>
        <w:jc w:val="both"/>
        <w:rPr>
          <w:rFonts w:cs="Times New Roman"/>
          <w:szCs w:val="24"/>
        </w:rPr>
      </w:pPr>
      <w:r w:rsidRPr="001768FC">
        <w:rPr>
          <w:rFonts w:cs="Times New Roman"/>
          <w:szCs w:val="24"/>
        </w:rPr>
        <w:t>Despite the scheme's wide coverage, with over 150 million cards distributed to farmers across India, studies indicate significant gaps between awareness and actual adoption of SHC recommendations. Awareness of the SHC scheme among farmers was reported to be 82%, but only 66% could</w:t>
      </w:r>
      <w:r w:rsidR="001768FC">
        <w:rPr>
          <w:rFonts w:cs="Times New Roman"/>
          <w:szCs w:val="24"/>
        </w:rPr>
        <w:t xml:space="preserve"> understand the recommendations</w:t>
      </w:r>
      <w:r w:rsidRPr="001768FC">
        <w:rPr>
          <w:rFonts w:cs="Times New Roman"/>
          <w:szCs w:val="24"/>
        </w:rPr>
        <w:t xml:space="preserve"> and merely 48% followed the recommended fertilizer application rates (Reddy, 2019). Factors such as literacy barriers, complexity of recommendations, limited</w:t>
      </w:r>
      <w:r w:rsidR="001768FC">
        <w:rPr>
          <w:rFonts w:cs="Times New Roman"/>
          <w:szCs w:val="24"/>
        </w:rPr>
        <w:t xml:space="preserve"> technical support</w:t>
      </w:r>
      <w:r w:rsidRPr="001768FC">
        <w:rPr>
          <w:rFonts w:cs="Times New Roman"/>
          <w:szCs w:val="24"/>
        </w:rPr>
        <w:t xml:space="preserve"> and lack of faith in soil test results have been identified as major impediments (</w:t>
      </w:r>
      <w:proofErr w:type="spellStart"/>
      <w:r w:rsidRPr="001768FC">
        <w:rPr>
          <w:rFonts w:cs="Times New Roman"/>
          <w:szCs w:val="24"/>
        </w:rPr>
        <w:t>Ohlan</w:t>
      </w:r>
      <w:proofErr w:type="spellEnd"/>
      <w:r w:rsidRPr="001768FC">
        <w:rPr>
          <w:rFonts w:cs="Times New Roman"/>
          <w:szCs w:val="24"/>
        </w:rPr>
        <w:t xml:space="preserve"> </w:t>
      </w:r>
      <w:r w:rsidRPr="001768FC">
        <w:rPr>
          <w:rFonts w:cs="Times New Roman"/>
          <w:i/>
          <w:szCs w:val="24"/>
        </w:rPr>
        <w:t>et al</w:t>
      </w:r>
      <w:r w:rsidRPr="001768FC">
        <w:rPr>
          <w:rFonts w:cs="Times New Roman"/>
          <w:szCs w:val="24"/>
        </w:rPr>
        <w:t xml:space="preserve">., 2025; Patel </w:t>
      </w:r>
      <w:r w:rsidRPr="001768FC">
        <w:rPr>
          <w:rFonts w:cs="Times New Roman"/>
          <w:i/>
          <w:szCs w:val="24"/>
        </w:rPr>
        <w:t>et al</w:t>
      </w:r>
      <w:r w:rsidRPr="001768FC">
        <w:rPr>
          <w:rFonts w:cs="Times New Roman"/>
          <w:szCs w:val="24"/>
        </w:rPr>
        <w:t>., 2021; Kumar, 2025).</w:t>
      </w:r>
    </w:p>
    <w:p w14:paraId="460F370F" w14:textId="77777777" w:rsidR="003427E3" w:rsidRPr="001768FC" w:rsidRDefault="00CC201C" w:rsidP="001768FC">
      <w:pPr>
        <w:ind w:firstLine="720"/>
        <w:jc w:val="both"/>
        <w:rPr>
          <w:rFonts w:cs="Times New Roman"/>
          <w:szCs w:val="24"/>
        </w:rPr>
      </w:pPr>
      <w:r w:rsidRPr="001768FC">
        <w:rPr>
          <w:rFonts w:cs="Times New Roman"/>
          <w:szCs w:val="24"/>
        </w:rPr>
        <w:t>Proper soil sampling procedures are crucial for obtaining accurate soil test results. Standard practices recommend collecting soil samples from 0-30 cm depth for agricultural crops, following a zigzag pattern across the field, and using the quartering method for composite sample preparation (Myers, 2023; Extension Purdue, 2020). However, many farmers lack adequate knowledge about correct sampling techniques, leading to unreliable soil test results and consequently reduced confidence in SHC recommendations.</w:t>
      </w:r>
    </w:p>
    <w:p w14:paraId="50C00C0C" w14:textId="77777777" w:rsidR="003427E3" w:rsidRPr="001768FC" w:rsidRDefault="00CC201C" w:rsidP="00F44CB4">
      <w:pPr>
        <w:ind w:firstLine="720"/>
        <w:jc w:val="both"/>
        <w:rPr>
          <w:rFonts w:cs="Times New Roman"/>
          <w:szCs w:val="24"/>
        </w:rPr>
      </w:pPr>
      <w:r w:rsidRPr="001768FC">
        <w:rPr>
          <w:rFonts w:cs="Times New Roman"/>
          <w:szCs w:val="24"/>
        </w:rPr>
        <w:t xml:space="preserve">Telangana State has been actively implementing the SHC scheme, but comprehensive studies on adoption patterns and associated factors are limited. Understanding the extent of adoption of SHC recommendations and soil sampling procedures is essential for designing effective interventions. Therefore, this study was undertaken in </w:t>
      </w:r>
      <w:r w:rsidR="00F44CB4">
        <w:rPr>
          <w:rFonts w:cs="Times New Roman"/>
          <w:szCs w:val="24"/>
        </w:rPr>
        <w:t xml:space="preserve">erstwhile </w:t>
      </w:r>
      <w:r w:rsidRPr="001768FC">
        <w:rPr>
          <w:rFonts w:cs="Times New Roman"/>
          <w:szCs w:val="24"/>
        </w:rPr>
        <w:t>Karimnagar district to examine the adoption level</w:t>
      </w:r>
      <w:r w:rsidR="00F44CB4">
        <w:rPr>
          <w:rFonts w:cs="Times New Roman"/>
          <w:szCs w:val="24"/>
        </w:rPr>
        <w:t>s, identify influencing factors</w:t>
      </w:r>
      <w:r w:rsidRPr="001768FC">
        <w:rPr>
          <w:rFonts w:cs="Times New Roman"/>
          <w:szCs w:val="24"/>
        </w:rPr>
        <w:t xml:space="preserve"> and understand constraints faced by farmers in implementing SHC-based recommendations.</w:t>
      </w:r>
    </w:p>
    <w:p w14:paraId="729AFAC7" w14:textId="77777777" w:rsidR="003427E3" w:rsidRPr="00F44CB4" w:rsidRDefault="00CC201C" w:rsidP="00F44CB4">
      <w:pPr>
        <w:pStyle w:val="Heading1"/>
        <w:spacing w:after="240"/>
        <w:rPr>
          <w:rFonts w:ascii="Times New Roman" w:hAnsi="Times New Roman" w:cs="Times New Roman"/>
          <w:color w:val="auto"/>
          <w:sz w:val="24"/>
          <w:szCs w:val="24"/>
        </w:rPr>
      </w:pPr>
      <w:r w:rsidRPr="00F44CB4">
        <w:rPr>
          <w:rFonts w:ascii="Times New Roman" w:hAnsi="Times New Roman" w:cs="Times New Roman"/>
          <w:color w:val="auto"/>
          <w:sz w:val="24"/>
          <w:szCs w:val="24"/>
        </w:rPr>
        <w:t>Materials and Methods</w:t>
      </w:r>
    </w:p>
    <w:p w14:paraId="3E939D01" w14:textId="77777777" w:rsidR="003427E3" w:rsidRPr="001768FC" w:rsidRDefault="00CC201C" w:rsidP="00F44CB4">
      <w:pPr>
        <w:spacing w:after="240"/>
        <w:ind w:firstLine="720"/>
        <w:jc w:val="both"/>
        <w:rPr>
          <w:rFonts w:cs="Times New Roman"/>
          <w:szCs w:val="24"/>
        </w:rPr>
      </w:pPr>
      <w:r w:rsidRPr="001768FC">
        <w:rPr>
          <w:rFonts w:cs="Times New Roman"/>
          <w:szCs w:val="24"/>
        </w:rPr>
        <w:t xml:space="preserve">The present study was conducted in </w:t>
      </w:r>
      <w:r w:rsidR="00F44CB4">
        <w:rPr>
          <w:rFonts w:cs="Times New Roman"/>
          <w:szCs w:val="24"/>
        </w:rPr>
        <w:t xml:space="preserve">erstwhile </w:t>
      </w:r>
      <w:r w:rsidRPr="001768FC">
        <w:rPr>
          <w:rFonts w:cs="Times New Roman"/>
          <w:szCs w:val="24"/>
        </w:rPr>
        <w:t xml:space="preserve">Karimnagar district of Telangana State during 2023-24. </w:t>
      </w:r>
      <w:r w:rsidR="00F44CB4">
        <w:rPr>
          <w:rFonts w:cs="Times New Roman"/>
          <w:szCs w:val="24"/>
        </w:rPr>
        <w:t>Erstwhile</w:t>
      </w:r>
      <w:r w:rsidR="00F44CB4" w:rsidRPr="001768FC">
        <w:rPr>
          <w:rFonts w:cs="Times New Roman"/>
          <w:szCs w:val="24"/>
        </w:rPr>
        <w:t xml:space="preserve"> </w:t>
      </w:r>
      <w:r w:rsidRPr="001768FC">
        <w:rPr>
          <w:rFonts w:cs="Times New Roman"/>
          <w:szCs w:val="24"/>
        </w:rPr>
        <w:t xml:space="preserve">Karimnagar district was purposively selected due to its significant agricultural activity and active implementation of the Soil Health Card scheme through </w:t>
      </w:r>
      <w:r w:rsidR="00F44CB4">
        <w:rPr>
          <w:rFonts w:cs="Times New Roman"/>
          <w:szCs w:val="24"/>
        </w:rPr>
        <w:t xml:space="preserve">Krishi </w:t>
      </w:r>
      <w:proofErr w:type="spellStart"/>
      <w:r w:rsidR="00F44CB4">
        <w:rPr>
          <w:rFonts w:cs="Times New Roman"/>
          <w:szCs w:val="24"/>
        </w:rPr>
        <w:t>Vignana</w:t>
      </w:r>
      <w:proofErr w:type="spellEnd"/>
      <w:r w:rsidR="00F44CB4">
        <w:rPr>
          <w:rFonts w:cs="Times New Roman"/>
          <w:szCs w:val="24"/>
        </w:rPr>
        <w:t xml:space="preserve"> </w:t>
      </w:r>
      <w:proofErr w:type="spellStart"/>
      <w:r w:rsidR="00F44CB4">
        <w:rPr>
          <w:rFonts w:cs="Times New Roman"/>
          <w:szCs w:val="24"/>
        </w:rPr>
        <w:t>Kendras</w:t>
      </w:r>
      <w:proofErr w:type="spellEnd"/>
      <w:r w:rsidR="00F44CB4">
        <w:rPr>
          <w:rFonts w:cs="Times New Roman"/>
          <w:szCs w:val="24"/>
        </w:rPr>
        <w:t xml:space="preserve"> </w:t>
      </w:r>
      <w:r w:rsidRPr="001768FC">
        <w:rPr>
          <w:rFonts w:cs="Times New Roman"/>
          <w:szCs w:val="24"/>
        </w:rPr>
        <w:t>and associated extension agencies.</w:t>
      </w:r>
    </w:p>
    <w:p w14:paraId="3FFAFAD1" w14:textId="77777777" w:rsidR="003427E3" w:rsidRPr="001768FC" w:rsidRDefault="00CC201C" w:rsidP="00F44CB4">
      <w:pPr>
        <w:ind w:firstLine="720"/>
        <w:jc w:val="both"/>
        <w:rPr>
          <w:rFonts w:cs="Times New Roman"/>
          <w:szCs w:val="24"/>
        </w:rPr>
      </w:pPr>
      <w:r w:rsidRPr="001768FC">
        <w:rPr>
          <w:rFonts w:cs="Times New Roman"/>
          <w:szCs w:val="24"/>
        </w:rPr>
        <w:t>A multi-stage random sampling technique was employed for the selection of respon</w:t>
      </w:r>
      <w:r w:rsidR="00F44CB4">
        <w:rPr>
          <w:rFonts w:cs="Times New Roman"/>
          <w:szCs w:val="24"/>
        </w:rPr>
        <w:t>dents. In the first stage, six</w:t>
      </w:r>
      <w:r w:rsidRPr="001768FC">
        <w:rPr>
          <w:rFonts w:cs="Times New Roman"/>
          <w:szCs w:val="24"/>
        </w:rPr>
        <w:t xml:space="preserve"> </w:t>
      </w:r>
      <w:proofErr w:type="spellStart"/>
      <w:r w:rsidRPr="001768FC">
        <w:rPr>
          <w:rFonts w:cs="Times New Roman"/>
          <w:szCs w:val="24"/>
        </w:rPr>
        <w:t>mandals</w:t>
      </w:r>
      <w:proofErr w:type="spellEnd"/>
      <w:r w:rsidRPr="001768FC">
        <w:rPr>
          <w:rFonts w:cs="Times New Roman"/>
          <w:szCs w:val="24"/>
        </w:rPr>
        <w:t xml:space="preserve"> were randomly selected from </w:t>
      </w:r>
      <w:r w:rsidR="00F44CB4">
        <w:rPr>
          <w:rFonts w:cs="Times New Roman"/>
          <w:szCs w:val="24"/>
        </w:rPr>
        <w:t>erstwhile</w:t>
      </w:r>
      <w:r w:rsidR="00F44CB4" w:rsidRPr="001768FC">
        <w:rPr>
          <w:rFonts w:cs="Times New Roman"/>
          <w:szCs w:val="24"/>
        </w:rPr>
        <w:t xml:space="preserve"> </w:t>
      </w:r>
      <w:r w:rsidRPr="001768FC">
        <w:rPr>
          <w:rFonts w:cs="Times New Roman"/>
          <w:szCs w:val="24"/>
        </w:rPr>
        <w:t>Karimnagar di</w:t>
      </w:r>
      <w:r w:rsidR="00145B59">
        <w:rPr>
          <w:rFonts w:cs="Times New Roman"/>
          <w:szCs w:val="24"/>
        </w:rPr>
        <w:t>strict. In the second stage, four</w:t>
      </w:r>
      <w:r w:rsidRPr="001768FC">
        <w:rPr>
          <w:rFonts w:cs="Times New Roman"/>
          <w:szCs w:val="24"/>
        </w:rPr>
        <w:t xml:space="preserve"> villages were randomly chosen from each selected </w:t>
      </w:r>
      <w:proofErr w:type="spellStart"/>
      <w:r w:rsidRPr="001768FC">
        <w:rPr>
          <w:rFonts w:cs="Times New Roman"/>
          <w:szCs w:val="24"/>
        </w:rPr>
        <w:t>mandal</w:t>
      </w:r>
      <w:proofErr w:type="spellEnd"/>
      <w:r w:rsidRPr="001768FC">
        <w:rPr>
          <w:rFonts w:cs="Times New Roman"/>
          <w:szCs w:val="24"/>
        </w:rPr>
        <w:t xml:space="preserve">, resulting in </w:t>
      </w:r>
      <w:r w:rsidR="00F44CB4">
        <w:rPr>
          <w:rFonts w:cs="Times New Roman"/>
          <w:szCs w:val="24"/>
        </w:rPr>
        <w:t xml:space="preserve">a total of </w:t>
      </w:r>
      <w:r w:rsidR="00145B59">
        <w:rPr>
          <w:rFonts w:cs="Times New Roman"/>
          <w:szCs w:val="24"/>
        </w:rPr>
        <w:t>24</w:t>
      </w:r>
      <w:r w:rsidRPr="001768FC">
        <w:rPr>
          <w:rFonts w:cs="Times New Roman"/>
          <w:szCs w:val="24"/>
        </w:rPr>
        <w:t xml:space="preserve"> villages. In the f</w:t>
      </w:r>
      <w:r w:rsidR="00145B59">
        <w:rPr>
          <w:rFonts w:cs="Times New Roman"/>
          <w:szCs w:val="24"/>
        </w:rPr>
        <w:t>inal stage, from each village, 05</w:t>
      </w:r>
      <w:r w:rsidRPr="001768FC">
        <w:rPr>
          <w:rFonts w:cs="Times New Roman"/>
          <w:szCs w:val="24"/>
        </w:rPr>
        <w:t xml:space="preserve"> farmers who had received Soil Health Cards were randomly selected, making a total sample size of 120 respondents.</w:t>
      </w:r>
    </w:p>
    <w:p w14:paraId="1A74FA65" w14:textId="77777777" w:rsidR="003427E3" w:rsidRPr="001768FC" w:rsidRDefault="00CC201C" w:rsidP="008A4DD6">
      <w:pPr>
        <w:ind w:firstLine="720"/>
        <w:jc w:val="both"/>
        <w:rPr>
          <w:rFonts w:cs="Times New Roman"/>
          <w:szCs w:val="24"/>
        </w:rPr>
      </w:pPr>
      <w:r w:rsidRPr="001768FC">
        <w:rPr>
          <w:rFonts w:cs="Times New Roman"/>
          <w:szCs w:val="24"/>
        </w:rPr>
        <w:lastRenderedPageBreak/>
        <w:t>Primary data was collected through personal interviews using a pre-tested structured interview schedule. The schedule consisted of questions related to socio-economic characteristics, adoption of soil sampling procedures, implem</w:t>
      </w:r>
      <w:r w:rsidR="008A4DD6">
        <w:rPr>
          <w:rFonts w:cs="Times New Roman"/>
          <w:szCs w:val="24"/>
        </w:rPr>
        <w:t>entation of SHC recommendations</w:t>
      </w:r>
      <w:r w:rsidRPr="001768FC">
        <w:rPr>
          <w:rFonts w:cs="Times New Roman"/>
          <w:szCs w:val="24"/>
        </w:rPr>
        <w:t xml:space="preserve"> and constraints faced by farmers. </w:t>
      </w:r>
    </w:p>
    <w:p w14:paraId="14B6BFB3" w14:textId="77777777" w:rsidR="003427E3" w:rsidRPr="008A4DD6" w:rsidRDefault="00CC201C">
      <w:pPr>
        <w:pStyle w:val="Heading2"/>
        <w:rPr>
          <w:rFonts w:ascii="Times New Roman" w:hAnsi="Times New Roman" w:cs="Times New Roman"/>
          <w:color w:val="auto"/>
          <w:sz w:val="24"/>
          <w:szCs w:val="24"/>
        </w:rPr>
      </w:pPr>
      <w:r w:rsidRPr="008A4DD6">
        <w:rPr>
          <w:rFonts w:ascii="Times New Roman" w:hAnsi="Times New Roman" w:cs="Times New Roman"/>
          <w:color w:val="auto"/>
          <w:sz w:val="24"/>
          <w:szCs w:val="24"/>
        </w:rPr>
        <w:t>Variables Studied</w:t>
      </w:r>
    </w:p>
    <w:p w14:paraId="41E4E2AF" w14:textId="77777777" w:rsidR="003427E3" w:rsidRPr="001768FC" w:rsidRDefault="00CC201C" w:rsidP="008A4DD6">
      <w:pPr>
        <w:ind w:firstLine="720"/>
        <w:jc w:val="both"/>
        <w:rPr>
          <w:rFonts w:cs="Times New Roman"/>
          <w:szCs w:val="24"/>
        </w:rPr>
      </w:pPr>
      <w:r w:rsidRPr="001768FC">
        <w:rPr>
          <w:rFonts w:cs="Times New Roman"/>
          <w:szCs w:val="24"/>
        </w:rPr>
        <w:t>Independent variables included age, education, farm size, farming experience, training undergone, extension contact, scientific orientation, economic mot</w:t>
      </w:r>
      <w:r w:rsidR="008A4DD6">
        <w:rPr>
          <w:rFonts w:cs="Times New Roman"/>
          <w:szCs w:val="24"/>
        </w:rPr>
        <w:t>ivation, achievement motivation</w:t>
      </w:r>
      <w:r w:rsidRPr="001768FC">
        <w:rPr>
          <w:rFonts w:cs="Times New Roman"/>
          <w:szCs w:val="24"/>
        </w:rPr>
        <w:t xml:space="preserve"> and innovativeness. The dependent variable was the extent of adoption of SHC-based recommendations and soil sampling procedures. These variables were selected based on previous adoption studies (</w:t>
      </w:r>
      <w:proofErr w:type="spellStart"/>
      <w:r w:rsidRPr="001768FC">
        <w:rPr>
          <w:rFonts w:cs="Times New Roman"/>
          <w:szCs w:val="24"/>
        </w:rPr>
        <w:t>Ravikishore</w:t>
      </w:r>
      <w:proofErr w:type="spellEnd"/>
      <w:r w:rsidRPr="001768FC">
        <w:rPr>
          <w:rFonts w:cs="Times New Roman"/>
          <w:szCs w:val="24"/>
        </w:rPr>
        <w:t xml:space="preserve"> </w:t>
      </w:r>
      <w:r w:rsidRPr="008A4DD6">
        <w:rPr>
          <w:rFonts w:cs="Times New Roman"/>
          <w:i/>
          <w:szCs w:val="24"/>
        </w:rPr>
        <w:t>et al</w:t>
      </w:r>
      <w:r w:rsidRPr="001768FC">
        <w:rPr>
          <w:rFonts w:cs="Times New Roman"/>
          <w:szCs w:val="24"/>
        </w:rPr>
        <w:t xml:space="preserve">., 2021; </w:t>
      </w:r>
      <w:proofErr w:type="spellStart"/>
      <w:r w:rsidRPr="001768FC">
        <w:rPr>
          <w:rFonts w:cs="Times New Roman"/>
          <w:szCs w:val="24"/>
        </w:rPr>
        <w:t>Ankhila</w:t>
      </w:r>
      <w:proofErr w:type="spellEnd"/>
      <w:r w:rsidRPr="001768FC">
        <w:rPr>
          <w:rFonts w:cs="Times New Roman"/>
          <w:szCs w:val="24"/>
        </w:rPr>
        <w:t xml:space="preserve"> </w:t>
      </w:r>
      <w:r w:rsidRPr="008A4DD6">
        <w:rPr>
          <w:rFonts w:cs="Times New Roman"/>
          <w:i/>
          <w:szCs w:val="24"/>
        </w:rPr>
        <w:t>et al</w:t>
      </w:r>
      <w:r w:rsidRPr="001768FC">
        <w:rPr>
          <w:rFonts w:cs="Times New Roman"/>
          <w:szCs w:val="24"/>
        </w:rPr>
        <w:t>., 2023).</w:t>
      </w:r>
    </w:p>
    <w:p w14:paraId="04D9374F" w14:textId="77777777" w:rsidR="003427E3" w:rsidRPr="008A4DD6" w:rsidRDefault="00CC201C">
      <w:pPr>
        <w:pStyle w:val="Heading2"/>
        <w:rPr>
          <w:rFonts w:ascii="Times New Roman" w:hAnsi="Times New Roman" w:cs="Times New Roman"/>
          <w:color w:val="auto"/>
          <w:sz w:val="24"/>
          <w:szCs w:val="24"/>
        </w:rPr>
      </w:pPr>
      <w:r w:rsidRPr="008A4DD6">
        <w:rPr>
          <w:rFonts w:ascii="Times New Roman" w:hAnsi="Times New Roman" w:cs="Times New Roman"/>
          <w:color w:val="auto"/>
          <w:sz w:val="24"/>
          <w:szCs w:val="24"/>
        </w:rPr>
        <w:t>Measurement of Adoption</w:t>
      </w:r>
    </w:p>
    <w:p w14:paraId="1C2B7C1C" w14:textId="77777777" w:rsidR="003427E3" w:rsidRPr="001768FC" w:rsidRDefault="00CC201C" w:rsidP="008A4DD6">
      <w:pPr>
        <w:ind w:firstLine="720"/>
        <w:jc w:val="both"/>
        <w:rPr>
          <w:rFonts w:cs="Times New Roman"/>
          <w:szCs w:val="24"/>
        </w:rPr>
      </w:pPr>
      <w:r w:rsidRPr="001768FC">
        <w:rPr>
          <w:rFonts w:cs="Times New Roman"/>
          <w:szCs w:val="24"/>
        </w:rPr>
        <w:t xml:space="preserve">Adoption was measured using a three-point continuum scale: adopted (score </w:t>
      </w:r>
      <w:r w:rsidR="008A4DD6">
        <w:rPr>
          <w:rFonts w:cs="Times New Roman"/>
          <w:szCs w:val="24"/>
        </w:rPr>
        <w:t>3), partially adopted (score 2)</w:t>
      </w:r>
      <w:r w:rsidRPr="001768FC">
        <w:rPr>
          <w:rFonts w:cs="Times New Roman"/>
          <w:szCs w:val="24"/>
        </w:rPr>
        <w:t xml:space="preserve"> and not adopted (score 1). Twenty key practices related to soil sampling procedures and SHC recommendations were identified based on literature revie</w:t>
      </w:r>
      <w:r w:rsidR="008A4DD6">
        <w:rPr>
          <w:rFonts w:cs="Times New Roman"/>
          <w:szCs w:val="24"/>
        </w:rPr>
        <w:t>w, expert consultation</w:t>
      </w:r>
      <w:r w:rsidRPr="001768FC">
        <w:rPr>
          <w:rFonts w:cs="Times New Roman"/>
          <w:szCs w:val="24"/>
        </w:rPr>
        <w:t xml:space="preserve"> and official SHC guidelines. Mean scores were calculated for each practice using the formula: MS = (f1×3 + f2×2 + f3×1) / N, where f1, f2, and f3 represent frequencie</w:t>
      </w:r>
      <w:r w:rsidR="00E90D09">
        <w:rPr>
          <w:rFonts w:cs="Times New Roman"/>
          <w:szCs w:val="24"/>
        </w:rPr>
        <w:t>s of adopted, partially adopted</w:t>
      </w:r>
      <w:r w:rsidRPr="001768FC">
        <w:rPr>
          <w:rFonts w:cs="Times New Roman"/>
          <w:szCs w:val="24"/>
        </w:rPr>
        <w:t xml:space="preserve"> and not adopted categories respec</w:t>
      </w:r>
      <w:r w:rsidR="00E90D09">
        <w:rPr>
          <w:rFonts w:cs="Times New Roman"/>
          <w:szCs w:val="24"/>
        </w:rPr>
        <w:t>tively</w:t>
      </w:r>
      <w:r w:rsidRPr="001768FC">
        <w:rPr>
          <w:rFonts w:cs="Times New Roman"/>
          <w:szCs w:val="24"/>
        </w:rPr>
        <w:t xml:space="preserve"> and N is the total number of respondents. Overall adoption w</w:t>
      </w:r>
      <w:r w:rsidR="00E90D09">
        <w:rPr>
          <w:rFonts w:cs="Times New Roman"/>
          <w:szCs w:val="24"/>
        </w:rPr>
        <w:t>as categorized into low, medium</w:t>
      </w:r>
      <w:r w:rsidRPr="001768FC">
        <w:rPr>
          <w:rFonts w:cs="Times New Roman"/>
          <w:szCs w:val="24"/>
        </w:rPr>
        <w:t xml:space="preserve"> and high based on cumulative frequency distribution (Subhash </w:t>
      </w:r>
      <w:r w:rsidRPr="00E90D09">
        <w:rPr>
          <w:rFonts w:cs="Times New Roman"/>
          <w:i/>
          <w:szCs w:val="24"/>
        </w:rPr>
        <w:t>et al</w:t>
      </w:r>
      <w:r w:rsidRPr="001768FC">
        <w:rPr>
          <w:rFonts w:cs="Times New Roman"/>
          <w:szCs w:val="24"/>
        </w:rPr>
        <w:t>., 2019).</w:t>
      </w:r>
    </w:p>
    <w:p w14:paraId="4B4510AB" w14:textId="77777777" w:rsidR="003427E3" w:rsidRPr="00E73D58" w:rsidRDefault="00CC201C">
      <w:pPr>
        <w:pStyle w:val="Heading2"/>
        <w:rPr>
          <w:rFonts w:ascii="Times New Roman" w:hAnsi="Times New Roman" w:cs="Times New Roman"/>
          <w:color w:val="auto"/>
          <w:sz w:val="24"/>
          <w:szCs w:val="24"/>
        </w:rPr>
      </w:pPr>
      <w:r w:rsidRPr="00E73D58">
        <w:rPr>
          <w:rFonts w:ascii="Times New Roman" w:hAnsi="Times New Roman" w:cs="Times New Roman"/>
          <w:color w:val="auto"/>
          <w:sz w:val="24"/>
          <w:szCs w:val="24"/>
        </w:rPr>
        <w:t>Statistical Analysis</w:t>
      </w:r>
    </w:p>
    <w:p w14:paraId="339D4970" w14:textId="77777777" w:rsidR="003427E3" w:rsidRPr="001768FC" w:rsidRDefault="00CC201C" w:rsidP="00E73D58">
      <w:pPr>
        <w:ind w:firstLine="720"/>
        <w:jc w:val="both"/>
        <w:rPr>
          <w:rFonts w:cs="Times New Roman"/>
          <w:szCs w:val="24"/>
        </w:rPr>
      </w:pPr>
      <w:r w:rsidRPr="001768FC">
        <w:rPr>
          <w:rFonts w:cs="Times New Roman"/>
          <w:szCs w:val="24"/>
        </w:rPr>
        <w:t>The data was tabulated and analyzed using frequency, perce</w:t>
      </w:r>
      <w:r w:rsidR="00E73D58">
        <w:rPr>
          <w:rFonts w:cs="Times New Roman"/>
          <w:szCs w:val="24"/>
        </w:rPr>
        <w:t>ntage, mean scores, ranking</w:t>
      </w:r>
      <w:r w:rsidRPr="001768FC">
        <w:rPr>
          <w:rFonts w:cs="Times New Roman"/>
          <w:szCs w:val="24"/>
        </w:rPr>
        <w:t xml:space="preserve"> and Pearson's product-moment correlation coefficient to determine relationships between independent variables and adoption levels. </w:t>
      </w:r>
    </w:p>
    <w:p w14:paraId="341714F2" w14:textId="77777777" w:rsidR="003427E3" w:rsidRPr="00E73D58" w:rsidRDefault="00CC201C" w:rsidP="00F149BC">
      <w:pPr>
        <w:pStyle w:val="Heading1"/>
        <w:spacing w:before="0" w:after="240"/>
        <w:rPr>
          <w:rFonts w:ascii="Times New Roman" w:hAnsi="Times New Roman" w:cs="Times New Roman"/>
          <w:color w:val="auto"/>
          <w:sz w:val="24"/>
          <w:szCs w:val="24"/>
        </w:rPr>
      </w:pPr>
      <w:r w:rsidRPr="00E73D58">
        <w:rPr>
          <w:rFonts w:ascii="Times New Roman" w:hAnsi="Times New Roman" w:cs="Times New Roman"/>
          <w:color w:val="auto"/>
          <w:sz w:val="24"/>
          <w:szCs w:val="24"/>
        </w:rPr>
        <w:t>Results and Discussion</w:t>
      </w:r>
    </w:p>
    <w:p w14:paraId="748B57C9" w14:textId="77777777" w:rsidR="003427E3" w:rsidRPr="00F149BC" w:rsidRDefault="00CC201C" w:rsidP="00F149BC">
      <w:pPr>
        <w:pStyle w:val="Heading2"/>
        <w:spacing w:before="0"/>
        <w:rPr>
          <w:rFonts w:ascii="Times New Roman" w:hAnsi="Times New Roman" w:cs="Times New Roman"/>
          <w:color w:val="auto"/>
          <w:sz w:val="24"/>
          <w:szCs w:val="24"/>
        </w:rPr>
      </w:pPr>
      <w:r w:rsidRPr="00F149BC">
        <w:rPr>
          <w:rFonts w:ascii="Times New Roman" w:hAnsi="Times New Roman" w:cs="Times New Roman"/>
          <w:color w:val="auto"/>
          <w:sz w:val="24"/>
          <w:szCs w:val="24"/>
        </w:rPr>
        <w:t>Profile Characteristics of Respondents</w:t>
      </w:r>
    </w:p>
    <w:p w14:paraId="20B3ABFD" w14:textId="77777777" w:rsidR="00F149BC" w:rsidRDefault="00CC201C" w:rsidP="00F149BC">
      <w:pPr>
        <w:spacing w:before="240" w:after="0"/>
        <w:ind w:firstLine="720"/>
        <w:jc w:val="both"/>
        <w:rPr>
          <w:rFonts w:cs="Times New Roman"/>
          <w:szCs w:val="24"/>
        </w:rPr>
      </w:pPr>
      <w:r w:rsidRPr="001768FC">
        <w:rPr>
          <w:rFonts w:cs="Times New Roman"/>
          <w:szCs w:val="24"/>
        </w:rPr>
        <w:t>The distribution of respondents based on</w:t>
      </w:r>
      <w:r w:rsidR="00F149BC">
        <w:rPr>
          <w:rFonts w:cs="Times New Roman"/>
          <w:szCs w:val="24"/>
        </w:rPr>
        <w:t xml:space="preserve"> their personal, socio-economic</w:t>
      </w:r>
      <w:r w:rsidRPr="001768FC">
        <w:rPr>
          <w:rFonts w:cs="Times New Roman"/>
          <w:szCs w:val="24"/>
        </w:rPr>
        <w:t xml:space="preserve"> and psychological attributes is presented in Table 1. Majority of the farmers (51.67%) belonged to middle age group (35-50 years), followed by old age (25.00%) and young age (23.33%). This indicates that farming is predominantly practiced by middle-aged farmers who possess considerable farming experience and are in their economically productive phase. Similar findings were reported by </w:t>
      </w:r>
      <w:proofErr w:type="spellStart"/>
      <w:r w:rsidRPr="001768FC">
        <w:rPr>
          <w:rFonts w:cs="Times New Roman"/>
          <w:szCs w:val="24"/>
        </w:rPr>
        <w:t>Ohlan</w:t>
      </w:r>
      <w:proofErr w:type="spellEnd"/>
      <w:r w:rsidRPr="001768FC">
        <w:rPr>
          <w:rFonts w:cs="Times New Roman"/>
          <w:szCs w:val="24"/>
        </w:rPr>
        <w:t xml:space="preserve"> </w:t>
      </w:r>
      <w:r w:rsidRPr="00F149BC">
        <w:rPr>
          <w:rFonts w:cs="Times New Roman"/>
          <w:i/>
          <w:szCs w:val="24"/>
        </w:rPr>
        <w:t>et al</w:t>
      </w:r>
      <w:r w:rsidRPr="001768FC">
        <w:rPr>
          <w:rFonts w:cs="Times New Roman"/>
          <w:szCs w:val="24"/>
        </w:rPr>
        <w:t>. (2025) in their study on SHC adoption in Haryana.</w:t>
      </w:r>
    </w:p>
    <w:p w14:paraId="27D9C707" w14:textId="77777777" w:rsidR="00F149BC" w:rsidRDefault="00CC201C" w:rsidP="00F149BC">
      <w:pPr>
        <w:spacing w:before="240" w:after="0"/>
        <w:ind w:firstLine="720"/>
        <w:jc w:val="both"/>
        <w:rPr>
          <w:rFonts w:cs="Times New Roman"/>
          <w:szCs w:val="24"/>
        </w:rPr>
      </w:pPr>
      <w:r w:rsidRPr="001768FC">
        <w:rPr>
          <w:rFonts w:cs="Times New Roman"/>
          <w:szCs w:val="24"/>
        </w:rPr>
        <w:t xml:space="preserve">Regarding education, most respondents had completed high school (35.00%) or intermediate education (26.67%), while only 1.67% </w:t>
      </w:r>
      <w:r w:rsidR="00F149BC" w:rsidRPr="001768FC">
        <w:rPr>
          <w:rFonts w:cs="Times New Roman"/>
          <w:szCs w:val="24"/>
        </w:rPr>
        <w:t>was</w:t>
      </w:r>
      <w:r w:rsidRPr="001768FC">
        <w:rPr>
          <w:rFonts w:cs="Times New Roman"/>
          <w:szCs w:val="24"/>
        </w:rPr>
        <w:t xml:space="preserve"> illiterate. This relatively higher </w:t>
      </w:r>
      <w:r w:rsidRPr="001768FC">
        <w:rPr>
          <w:rFonts w:cs="Times New Roman"/>
          <w:szCs w:val="24"/>
        </w:rPr>
        <w:lastRenderedPageBreak/>
        <w:t xml:space="preserve">literacy level is favorable for understanding and adopting technical recommendations from Soil Health Cards. Education has been consistently identified as a significant factor influencing technology adoption (Patel </w:t>
      </w:r>
      <w:r w:rsidRPr="00F149BC">
        <w:rPr>
          <w:rFonts w:cs="Times New Roman"/>
          <w:i/>
          <w:szCs w:val="24"/>
        </w:rPr>
        <w:t>et al</w:t>
      </w:r>
      <w:r w:rsidRPr="001768FC">
        <w:rPr>
          <w:rFonts w:cs="Times New Roman"/>
          <w:szCs w:val="24"/>
        </w:rPr>
        <w:t>., 2021).</w:t>
      </w:r>
    </w:p>
    <w:p w14:paraId="68B52145" w14:textId="77777777" w:rsidR="003427E3" w:rsidRDefault="00CC201C" w:rsidP="00F149BC">
      <w:pPr>
        <w:spacing w:before="240" w:after="0"/>
        <w:ind w:firstLine="720"/>
        <w:jc w:val="both"/>
        <w:rPr>
          <w:rFonts w:cs="Times New Roman"/>
          <w:szCs w:val="24"/>
        </w:rPr>
      </w:pPr>
      <w:r w:rsidRPr="001768FC">
        <w:rPr>
          <w:rFonts w:cs="Times New Roman"/>
          <w:szCs w:val="24"/>
        </w:rPr>
        <w:t>In terms of farm size, the majority were small (36.67%) and semi-medium (26.67%) farmers, reflecting the typical landholding pattern in Telangana. Most farmers had medium farming experience (46.66%), me</w:t>
      </w:r>
      <w:r w:rsidR="00DA650A">
        <w:rPr>
          <w:rFonts w:cs="Times New Roman"/>
          <w:szCs w:val="24"/>
        </w:rPr>
        <w:t>dium level of training (48.34%)</w:t>
      </w:r>
      <w:r w:rsidRPr="001768FC">
        <w:rPr>
          <w:rFonts w:cs="Times New Roman"/>
          <w:szCs w:val="24"/>
        </w:rPr>
        <w:t xml:space="preserve"> and medium extension contact (52.50%), suggesting moderate exposure to agricultural extension services and training programs. The psychological variables showed that most farmers had medium levels of scientific orientation (45.00%), economic motivation (43.33%), </w:t>
      </w:r>
      <w:r w:rsidR="00DF68DF">
        <w:rPr>
          <w:rFonts w:cs="Times New Roman"/>
          <w:szCs w:val="24"/>
        </w:rPr>
        <w:t>achievement motivation (44.17%)</w:t>
      </w:r>
      <w:r w:rsidRPr="001768FC">
        <w:rPr>
          <w:rFonts w:cs="Times New Roman"/>
          <w:szCs w:val="24"/>
        </w:rPr>
        <w:t xml:space="preserve"> and innovativeness (48.33%).</w:t>
      </w:r>
    </w:p>
    <w:p w14:paraId="07CA4A15" w14:textId="77777777" w:rsidR="00DF68DF" w:rsidRDefault="00DF68DF" w:rsidP="00DF68DF">
      <w:pPr>
        <w:spacing w:after="0"/>
        <w:jc w:val="center"/>
        <w:rPr>
          <w:rFonts w:cs="Times New Roman"/>
          <w:b/>
          <w:szCs w:val="24"/>
        </w:rPr>
      </w:pPr>
    </w:p>
    <w:p w14:paraId="7688BE53" w14:textId="77777777" w:rsidR="00DF68DF" w:rsidRPr="00811416" w:rsidRDefault="00DF68DF" w:rsidP="00DF68DF">
      <w:pPr>
        <w:spacing w:after="0"/>
        <w:jc w:val="center"/>
        <w:rPr>
          <w:rFonts w:cs="Times New Roman"/>
          <w:b/>
          <w:szCs w:val="24"/>
        </w:rPr>
      </w:pPr>
      <w:r w:rsidRPr="00811416">
        <w:rPr>
          <w:rFonts w:cs="Times New Roman"/>
          <w:b/>
          <w:szCs w:val="24"/>
        </w:rPr>
        <w:t>Table 1:</w:t>
      </w:r>
      <w:r w:rsidRPr="00811416">
        <w:rPr>
          <w:rFonts w:eastAsia="+mn-ea" w:cs="Times New Roman"/>
          <w:b/>
          <w:bCs/>
          <w:kern w:val="24"/>
          <w:szCs w:val="24"/>
        </w:rPr>
        <w:t xml:space="preserve"> </w:t>
      </w:r>
      <w:r w:rsidRPr="00811416">
        <w:rPr>
          <w:rFonts w:cs="Times New Roman"/>
          <w:b/>
          <w:szCs w:val="24"/>
        </w:rPr>
        <w:t>Distribution of respondents based on their personal, socio-economic and psychological attributes of the farmers under the study</w:t>
      </w:r>
    </w:p>
    <w:p w14:paraId="76FA66EB" w14:textId="77777777" w:rsidR="00DF68DF" w:rsidRPr="00811416" w:rsidRDefault="00DF68DF" w:rsidP="00DF68DF">
      <w:pPr>
        <w:spacing w:after="0"/>
        <w:jc w:val="right"/>
        <w:rPr>
          <w:rFonts w:cs="Times New Roman"/>
          <w:b/>
          <w:szCs w:val="24"/>
        </w:rPr>
      </w:pPr>
      <w:r w:rsidRPr="00811416">
        <w:rPr>
          <w:rFonts w:cs="Times New Roman"/>
          <w:b/>
          <w:szCs w:val="24"/>
        </w:rPr>
        <w:t>n=120</w:t>
      </w:r>
    </w:p>
    <w:tbl>
      <w:tblPr>
        <w:tblW w:w="9486" w:type="dxa"/>
        <w:tblLayout w:type="fixed"/>
        <w:tblCellMar>
          <w:left w:w="0" w:type="dxa"/>
          <w:right w:w="0" w:type="dxa"/>
        </w:tblCellMar>
        <w:tblLook w:val="04A0" w:firstRow="1" w:lastRow="0" w:firstColumn="1" w:lastColumn="0" w:noHBand="0" w:noVBand="1"/>
      </w:tblPr>
      <w:tblGrid>
        <w:gridCol w:w="756"/>
        <w:gridCol w:w="1440"/>
        <w:gridCol w:w="3510"/>
        <w:gridCol w:w="1890"/>
        <w:gridCol w:w="1890"/>
      </w:tblGrid>
      <w:tr w:rsidR="00DF68DF" w:rsidRPr="001B0E49" w14:paraId="34EA2D11" w14:textId="77777777" w:rsidTr="00DF68DF">
        <w:trPr>
          <w:trHeight w:val="305"/>
        </w:trPr>
        <w:tc>
          <w:tcPr>
            <w:tcW w:w="756"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F4B2D71" w14:textId="77777777" w:rsidR="00DF68DF" w:rsidRPr="00811416" w:rsidRDefault="00DF68DF" w:rsidP="00DF68DF">
            <w:pPr>
              <w:spacing w:after="0"/>
              <w:jc w:val="center"/>
              <w:rPr>
                <w:rFonts w:cs="Times New Roman"/>
                <w:b/>
                <w:szCs w:val="24"/>
              </w:rPr>
            </w:pPr>
            <w:r w:rsidRPr="00811416">
              <w:rPr>
                <w:rFonts w:cs="Times New Roman"/>
                <w:b/>
                <w:bCs/>
                <w:szCs w:val="24"/>
              </w:rPr>
              <w:t>S. No.</w:t>
            </w:r>
          </w:p>
        </w:tc>
        <w:tc>
          <w:tcPr>
            <w:tcW w:w="144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021B53CC" w14:textId="77777777" w:rsidR="00DF68DF" w:rsidRPr="00811416" w:rsidRDefault="00DF68DF" w:rsidP="00DF68DF">
            <w:pPr>
              <w:spacing w:after="0"/>
              <w:jc w:val="center"/>
              <w:rPr>
                <w:rFonts w:cs="Times New Roman"/>
                <w:b/>
                <w:szCs w:val="24"/>
              </w:rPr>
            </w:pPr>
            <w:r w:rsidRPr="00811416">
              <w:rPr>
                <w:rFonts w:cs="Times New Roman"/>
                <w:b/>
                <w:bCs/>
                <w:szCs w:val="24"/>
              </w:rPr>
              <w:t>Variable</w:t>
            </w:r>
          </w:p>
        </w:tc>
        <w:tc>
          <w:tcPr>
            <w:tcW w:w="351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D6A6371" w14:textId="77777777" w:rsidR="00DF68DF" w:rsidRPr="00811416" w:rsidRDefault="00DF68DF" w:rsidP="00DF68DF">
            <w:pPr>
              <w:spacing w:after="0"/>
              <w:jc w:val="center"/>
              <w:rPr>
                <w:rFonts w:cs="Times New Roman"/>
                <w:b/>
                <w:szCs w:val="24"/>
              </w:rPr>
            </w:pPr>
            <w:r w:rsidRPr="00811416">
              <w:rPr>
                <w:rFonts w:cs="Times New Roman"/>
                <w:b/>
                <w:bCs/>
                <w:szCs w:val="24"/>
              </w:rPr>
              <w:t>Category</w:t>
            </w:r>
          </w:p>
        </w:tc>
        <w:tc>
          <w:tcPr>
            <w:tcW w:w="3780" w:type="dxa"/>
            <w:gridSpan w:val="2"/>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2575D7F2" w14:textId="77777777" w:rsidR="00DF68DF" w:rsidRPr="00811416" w:rsidRDefault="00DF68DF" w:rsidP="00DF68DF">
            <w:pPr>
              <w:spacing w:after="0"/>
              <w:jc w:val="center"/>
              <w:rPr>
                <w:rFonts w:cs="Times New Roman"/>
                <w:b/>
                <w:szCs w:val="24"/>
              </w:rPr>
            </w:pPr>
            <w:r w:rsidRPr="00811416">
              <w:rPr>
                <w:rFonts w:cs="Times New Roman"/>
                <w:b/>
                <w:bCs/>
                <w:szCs w:val="24"/>
              </w:rPr>
              <w:t>Respondents</w:t>
            </w:r>
          </w:p>
        </w:tc>
      </w:tr>
      <w:tr w:rsidR="00DF68DF" w:rsidRPr="001B0E49" w14:paraId="6C6F4AFF" w14:textId="77777777" w:rsidTr="00DF68DF">
        <w:trPr>
          <w:trHeight w:val="357"/>
        </w:trPr>
        <w:tc>
          <w:tcPr>
            <w:tcW w:w="756" w:type="dxa"/>
            <w:vMerge/>
            <w:tcBorders>
              <w:top w:val="single" w:sz="8" w:space="0" w:color="000000"/>
              <w:left w:val="single" w:sz="8" w:space="0" w:color="000000"/>
              <w:bottom w:val="single" w:sz="8" w:space="0" w:color="000000"/>
              <w:right w:val="single" w:sz="8" w:space="0" w:color="000000"/>
            </w:tcBorders>
            <w:vAlign w:val="center"/>
            <w:hideMark/>
          </w:tcPr>
          <w:p w14:paraId="16CFA9F6" w14:textId="77777777" w:rsidR="00DF68DF" w:rsidRPr="00811416" w:rsidRDefault="00DF68DF" w:rsidP="00DF68DF">
            <w:pPr>
              <w:spacing w:after="0"/>
              <w:jc w:val="center"/>
              <w:rPr>
                <w:rFonts w:cs="Times New Roman"/>
                <w:b/>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37B81277" w14:textId="77777777" w:rsidR="00DF68DF" w:rsidRPr="00811416" w:rsidRDefault="00DF68DF" w:rsidP="00DF68DF">
            <w:pPr>
              <w:spacing w:after="0"/>
              <w:jc w:val="center"/>
              <w:rPr>
                <w:rFonts w:cs="Times New Roman"/>
                <w:b/>
                <w:szCs w:val="24"/>
              </w:rPr>
            </w:pPr>
          </w:p>
        </w:tc>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BA93FBD" w14:textId="77777777" w:rsidR="00DF68DF" w:rsidRPr="00811416" w:rsidRDefault="00DF68DF" w:rsidP="00DF68DF">
            <w:pPr>
              <w:spacing w:after="0"/>
              <w:jc w:val="center"/>
              <w:rPr>
                <w:rFonts w:cs="Times New Roman"/>
                <w:b/>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6FF0DB4" w14:textId="77777777" w:rsidR="00DF68DF" w:rsidRPr="00811416" w:rsidRDefault="00DF68DF" w:rsidP="00DF68DF">
            <w:pPr>
              <w:spacing w:after="0"/>
              <w:jc w:val="center"/>
              <w:rPr>
                <w:rFonts w:cs="Times New Roman"/>
                <w:b/>
                <w:szCs w:val="24"/>
              </w:rPr>
            </w:pPr>
            <w:r w:rsidRPr="00811416">
              <w:rPr>
                <w:rFonts w:cs="Times New Roman"/>
                <w:b/>
                <w:bCs/>
                <w:szCs w:val="24"/>
              </w:rPr>
              <w:t>Frequency</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51BD7646" w14:textId="77777777" w:rsidR="00DF68DF" w:rsidRPr="00811416" w:rsidRDefault="00DF68DF" w:rsidP="00DF68DF">
            <w:pPr>
              <w:spacing w:after="0"/>
              <w:jc w:val="center"/>
              <w:rPr>
                <w:rFonts w:cs="Times New Roman"/>
                <w:b/>
                <w:szCs w:val="24"/>
              </w:rPr>
            </w:pPr>
            <w:r w:rsidRPr="00811416">
              <w:rPr>
                <w:rFonts w:cs="Times New Roman"/>
                <w:b/>
                <w:bCs/>
                <w:szCs w:val="24"/>
              </w:rPr>
              <w:t>Percentage (%)</w:t>
            </w:r>
          </w:p>
        </w:tc>
      </w:tr>
      <w:tr w:rsidR="00DF68DF" w:rsidRPr="001B0E49" w14:paraId="364908C0" w14:textId="77777777" w:rsidTr="00DF68DF">
        <w:trPr>
          <w:trHeight w:val="267"/>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9D043D" w14:textId="77777777" w:rsidR="00DF68DF" w:rsidRPr="001B0E49" w:rsidRDefault="00DF68DF" w:rsidP="00DF68DF">
            <w:pPr>
              <w:spacing w:after="0"/>
              <w:jc w:val="center"/>
              <w:rPr>
                <w:rFonts w:cs="Times New Roman"/>
                <w:szCs w:val="24"/>
              </w:rPr>
            </w:pPr>
            <w:r w:rsidRPr="001B0E49">
              <w:rPr>
                <w:rFonts w:cs="Times New Roman"/>
                <w:szCs w:val="24"/>
              </w:rPr>
              <w:t>1</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B84558" w14:textId="77777777" w:rsidR="00DF68DF" w:rsidRPr="001B0E49" w:rsidRDefault="00DF68DF" w:rsidP="00DF68DF">
            <w:pPr>
              <w:spacing w:after="0"/>
              <w:rPr>
                <w:rFonts w:cs="Times New Roman"/>
                <w:szCs w:val="24"/>
              </w:rPr>
            </w:pPr>
            <w:r w:rsidRPr="001B0E49">
              <w:rPr>
                <w:rFonts w:cs="Times New Roman"/>
                <w:szCs w:val="24"/>
              </w:rPr>
              <w:t xml:space="preserve">Age </w:t>
            </w:r>
          </w:p>
        </w:tc>
      </w:tr>
      <w:tr w:rsidR="00DF68DF" w:rsidRPr="001B0E49" w14:paraId="61C0F13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E1880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92CBCC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3451F8C7" w14:textId="77777777" w:rsidR="00DF68DF" w:rsidRPr="001B0E49" w:rsidRDefault="00DF68DF" w:rsidP="00DF68DF">
            <w:pPr>
              <w:spacing w:after="0"/>
              <w:rPr>
                <w:rFonts w:cs="Times New Roman"/>
                <w:szCs w:val="24"/>
              </w:rPr>
            </w:pPr>
            <w:r w:rsidRPr="001B0E49">
              <w:rPr>
                <w:rFonts w:cs="Times New Roman"/>
                <w:szCs w:val="24"/>
              </w:rPr>
              <w:t xml:space="preserve">Young age (up to 35 </w:t>
            </w:r>
            <w:proofErr w:type="gramStart"/>
            <w:r w:rsidRPr="001B0E49">
              <w:rPr>
                <w:rFonts w:cs="Times New Roman"/>
                <w:szCs w:val="24"/>
              </w:rPr>
              <w:t xml:space="preserve">years)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7C1BAC4"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E26CE30" w14:textId="77777777" w:rsidR="00DF68DF" w:rsidRPr="001B0E49" w:rsidRDefault="00DF68DF" w:rsidP="00DF68DF">
            <w:pPr>
              <w:spacing w:after="0"/>
              <w:jc w:val="center"/>
              <w:rPr>
                <w:rFonts w:cs="Times New Roman"/>
                <w:szCs w:val="24"/>
              </w:rPr>
            </w:pPr>
            <w:r w:rsidRPr="001B0E49">
              <w:rPr>
                <w:rFonts w:cs="Times New Roman"/>
                <w:szCs w:val="24"/>
              </w:rPr>
              <w:t>23.33</w:t>
            </w:r>
          </w:p>
        </w:tc>
      </w:tr>
      <w:tr w:rsidR="00DF68DF" w:rsidRPr="001B0E49" w14:paraId="74D99914"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F376EB"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425F35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2EF4D52D" w14:textId="77777777" w:rsidR="00DF68DF" w:rsidRPr="001B0E49" w:rsidRDefault="00DF68DF" w:rsidP="00DF68DF">
            <w:pPr>
              <w:spacing w:after="0"/>
              <w:rPr>
                <w:rFonts w:cs="Times New Roman"/>
                <w:szCs w:val="24"/>
              </w:rPr>
            </w:pPr>
            <w:r w:rsidRPr="001B0E49">
              <w:rPr>
                <w:rFonts w:cs="Times New Roman"/>
                <w:szCs w:val="24"/>
              </w:rPr>
              <w:t xml:space="preserve">Middle age (35 to 50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01A2FC43" w14:textId="77777777" w:rsidR="00DF68DF" w:rsidRPr="001B0E49" w:rsidRDefault="00DF68DF" w:rsidP="00DF68DF">
            <w:pPr>
              <w:spacing w:after="0"/>
              <w:jc w:val="center"/>
              <w:rPr>
                <w:rFonts w:cs="Times New Roman"/>
                <w:szCs w:val="24"/>
              </w:rPr>
            </w:pPr>
            <w:r w:rsidRPr="001B0E49">
              <w:rPr>
                <w:rFonts w:cs="Times New Roman"/>
                <w:szCs w:val="24"/>
              </w:rPr>
              <w:t>62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64B452CE" w14:textId="77777777" w:rsidR="00DF68DF" w:rsidRPr="001B0E49" w:rsidRDefault="00DF68DF" w:rsidP="00DF68DF">
            <w:pPr>
              <w:spacing w:after="0"/>
              <w:jc w:val="center"/>
              <w:rPr>
                <w:rFonts w:cs="Times New Roman"/>
                <w:szCs w:val="24"/>
              </w:rPr>
            </w:pPr>
            <w:r w:rsidRPr="001B0E49">
              <w:rPr>
                <w:rFonts w:cs="Times New Roman"/>
                <w:szCs w:val="24"/>
              </w:rPr>
              <w:t>51.67</w:t>
            </w:r>
          </w:p>
        </w:tc>
      </w:tr>
      <w:tr w:rsidR="00DF68DF" w:rsidRPr="001B0E49" w14:paraId="22BA74C0"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D27D50"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81E5960"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1F57A69F" w14:textId="77777777" w:rsidR="00DF68DF" w:rsidRPr="001B0E49" w:rsidRDefault="00DF68DF" w:rsidP="00DF68DF">
            <w:pPr>
              <w:spacing w:after="0"/>
              <w:rPr>
                <w:rFonts w:cs="Times New Roman"/>
                <w:szCs w:val="24"/>
              </w:rPr>
            </w:pPr>
            <w:r w:rsidRPr="001B0E49">
              <w:rPr>
                <w:rFonts w:cs="Times New Roman"/>
                <w:szCs w:val="24"/>
              </w:rPr>
              <w:t xml:space="preserve">Old age </w:t>
            </w:r>
            <w:proofErr w:type="gramStart"/>
            <w:r w:rsidRPr="001B0E49">
              <w:rPr>
                <w:rFonts w:cs="Times New Roman"/>
                <w:szCs w:val="24"/>
              </w:rPr>
              <w:t xml:space="preserve">   (</w:t>
            </w:r>
            <w:proofErr w:type="gramEnd"/>
            <w:r w:rsidRPr="001B0E49">
              <w:rPr>
                <w:rFonts w:cs="Times New Roman"/>
                <w:szCs w:val="24"/>
              </w:rPr>
              <w:t xml:space="preserve">above 55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09FE713" w14:textId="77777777" w:rsidR="00DF68DF" w:rsidRPr="001B0E49" w:rsidRDefault="00DF68DF" w:rsidP="00DF68DF">
            <w:pPr>
              <w:spacing w:after="0"/>
              <w:jc w:val="center"/>
              <w:rPr>
                <w:rFonts w:cs="Times New Roman"/>
                <w:szCs w:val="24"/>
              </w:rPr>
            </w:pPr>
            <w:r w:rsidRPr="001B0E49">
              <w:rPr>
                <w:rFonts w:cs="Times New Roman"/>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170780E" w14:textId="77777777" w:rsidR="00DF68DF" w:rsidRPr="001B0E49" w:rsidRDefault="00DF68DF" w:rsidP="00DF68DF">
            <w:pPr>
              <w:spacing w:after="0"/>
              <w:jc w:val="center"/>
              <w:rPr>
                <w:rFonts w:cs="Times New Roman"/>
                <w:szCs w:val="24"/>
              </w:rPr>
            </w:pPr>
            <w:r w:rsidRPr="001B0E49">
              <w:rPr>
                <w:rFonts w:cs="Times New Roman"/>
                <w:szCs w:val="24"/>
              </w:rPr>
              <w:t>25.00</w:t>
            </w:r>
          </w:p>
        </w:tc>
      </w:tr>
      <w:tr w:rsidR="00DF68DF" w:rsidRPr="001B0E49" w14:paraId="2CADDC77" w14:textId="77777777" w:rsidTr="00DF68DF">
        <w:trPr>
          <w:trHeight w:val="20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1DA98D" w14:textId="77777777" w:rsidR="00DF68DF" w:rsidRPr="001B0E49" w:rsidRDefault="00DF68DF" w:rsidP="00DF68DF">
            <w:pPr>
              <w:spacing w:after="0"/>
              <w:jc w:val="center"/>
              <w:rPr>
                <w:rFonts w:cs="Times New Roman"/>
                <w:szCs w:val="24"/>
              </w:rPr>
            </w:pPr>
            <w:r w:rsidRPr="001B0E49">
              <w:rPr>
                <w:rFonts w:cs="Times New Roman"/>
                <w:szCs w:val="24"/>
              </w:rPr>
              <w:t>2</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AFE6678" w14:textId="77777777" w:rsidR="00DF68DF" w:rsidRPr="001B0E49" w:rsidRDefault="00DF68DF" w:rsidP="00DF68DF">
            <w:pPr>
              <w:spacing w:after="0"/>
              <w:rPr>
                <w:rFonts w:cs="Times New Roman"/>
                <w:szCs w:val="24"/>
              </w:rPr>
            </w:pPr>
            <w:r w:rsidRPr="001B0E49">
              <w:rPr>
                <w:rFonts w:cs="Times New Roman"/>
                <w:szCs w:val="24"/>
              </w:rPr>
              <w:t xml:space="preserve">Education </w:t>
            </w:r>
          </w:p>
        </w:tc>
      </w:tr>
      <w:tr w:rsidR="00DF68DF" w:rsidRPr="001B0E49" w14:paraId="37B99FB9" w14:textId="77777777" w:rsidTr="00DF68DF">
        <w:trPr>
          <w:trHeight w:val="222"/>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EF970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6819A3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050541EA" w14:textId="77777777" w:rsidR="00DF68DF" w:rsidRPr="001B0E49" w:rsidRDefault="00DF68DF" w:rsidP="00DF68DF">
            <w:pPr>
              <w:spacing w:after="0"/>
              <w:rPr>
                <w:rFonts w:cs="Times New Roman"/>
                <w:szCs w:val="24"/>
              </w:rPr>
            </w:pPr>
            <w:r w:rsidRPr="001B0E49">
              <w:rPr>
                <w:rFonts w:cs="Times New Roman"/>
                <w:szCs w:val="24"/>
              </w:rPr>
              <w:t>Illiterate</w:t>
            </w:r>
            <w:r w:rsidRPr="001B0E49">
              <w:rPr>
                <w:rFonts w:cs="Times New Roman"/>
                <w:szCs w:val="24"/>
              </w:rPr>
              <w:tab/>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35BE6801" w14:textId="77777777" w:rsidR="00DF68DF" w:rsidRPr="001B0E49" w:rsidRDefault="00DF68DF" w:rsidP="00DF68DF">
            <w:pPr>
              <w:spacing w:after="0"/>
              <w:jc w:val="center"/>
              <w:rPr>
                <w:rFonts w:cs="Times New Roman"/>
                <w:szCs w:val="24"/>
              </w:rPr>
            </w:pPr>
            <w:r w:rsidRPr="001B0E49">
              <w:rPr>
                <w:rFonts w:cs="Times New Roman"/>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4A8B877" w14:textId="77777777" w:rsidR="00DF68DF" w:rsidRPr="001B0E49" w:rsidRDefault="00DF68DF" w:rsidP="00DF68DF">
            <w:pPr>
              <w:spacing w:after="0"/>
              <w:jc w:val="center"/>
              <w:rPr>
                <w:rFonts w:cs="Times New Roman"/>
                <w:szCs w:val="24"/>
              </w:rPr>
            </w:pPr>
            <w:r w:rsidRPr="001B0E49">
              <w:rPr>
                <w:rFonts w:cs="Times New Roman"/>
                <w:szCs w:val="24"/>
              </w:rPr>
              <w:t>01.67</w:t>
            </w:r>
          </w:p>
        </w:tc>
      </w:tr>
      <w:tr w:rsidR="00DF68DF" w:rsidRPr="001B0E49" w14:paraId="0CB4CBD3" w14:textId="77777777" w:rsidTr="00DF68DF">
        <w:trPr>
          <w:trHeight w:val="29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73144A9"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823FA0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73C01A9" w14:textId="77777777" w:rsidR="00DF68DF" w:rsidRPr="001B0E49" w:rsidRDefault="00DF68DF" w:rsidP="00DF68DF">
            <w:pPr>
              <w:spacing w:after="0"/>
              <w:rPr>
                <w:rFonts w:cs="Times New Roman"/>
                <w:szCs w:val="24"/>
              </w:rPr>
            </w:pPr>
            <w:r w:rsidRPr="001B0E49">
              <w:rPr>
                <w:rFonts w:cs="Times New Roman"/>
                <w:szCs w:val="24"/>
              </w:rPr>
              <w:t xml:space="preserve">Primary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4189ACA" w14:textId="77777777" w:rsidR="00DF68DF" w:rsidRPr="001B0E49" w:rsidRDefault="00DF68DF" w:rsidP="00DF68DF">
            <w:pPr>
              <w:spacing w:after="0"/>
              <w:jc w:val="center"/>
              <w:rPr>
                <w:rFonts w:cs="Times New Roman"/>
                <w:szCs w:val="24"/>
              </w:rPr>
            </w:pPr>
            <w:r w:rsidRPr="001B0E49">
              <w:rPr>
                <w:rFonts w:cs="Times New Roman"/>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EF734E4" w14:textId="77777777" w:rsidR="00DF68DF" w:rsidRPr="001B0E49" w:rsidRDefault="00DF68DF" w:rsidP="00DF68DF">
            <w:pPr>
              <w:spacing w:after="0"/>
              <w:jc w:val="center"/>
              <w:rPr>
                <w:rFonts w:cs="Times New Roman"/>
                <w:szCs w:val="24"/>
              </w:rPr>
            </w:pPr>
            <w:r w:rsidRPr="001B0E49">
              <w:rPr>
                <w:rFonts w:cs="Times New Roman"/>
                <w:szCs w:val="24"/>
              </w:rPr>
              <w:t>20.00</w:t>
            </w:r>
          </w:p>
        </w:tc>
      </w:tr>
      <w:tr w:rsidR="00DF68DF" w:rsidRPr="001B0E49" w14:paraId="5F711F5E"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FC0B9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553A3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A7C0E0" w14:textId="77777777" w:rsidR="00DF68DF" w:rsidRPr="001B0E49" w:rsidRDefault="00DF68DF" w:rsidP="00DF68DF">
            <w:pPr>
              <w:spacing w:after="0"/>
              <w:rPr>
                <w:rFonts w:cs="Times New Roman"/>
                <w:szCs w:val="24"/>
              </w:rPr>
            </w:pPr>
            <w:r w:rsidRPr="001B0E49">
              <w:rPr>
                <w:rFonts w:cs="Times New Roman"/>
                <w:szCs w:val="24"/>
              </w:rPr>
              <w:t xml:space="preserve">High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49F2A51" w14:textId="77777777" w:rsidR="00DF68DF" w:rsidRPr="001B0E49" w:rsidRDefault="00DF68DF" w:rsidP="00DF68DF">
            <w:pPr>
              <w:spacing w:after="0"/>
              <w:jc w:val="center"/>
              <w:rPr>
                <w:rFonts w:cs="Times New Roman"/>
                <w:szCs w:val="24"/>
              </w:rPr>
            </w:pPr>
            <w:r w:rsidRPr="001B0E49">
              <w:rPr>
                <w:rFonts w:cs="Times New Roman"/>
                <w:szCs w:val="24"/>
              </w:rPr>
              <w:t>42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9273035" w14:textId="77777777" w:rsidR="00DF68DF" w:rsidRPr="001B0E49" w:rsidRDefault="00DF68DF" w:rsidP="00DF68DF">
            <w:pPr>
              <w:spacing w:after="0"/>
              <w:jc w:val="center"/>
              <w:rPr>
                <w:rFonts w:cs="Times New Roman"/>
                <w:szCs w:val="24"/>
              </w:rPr>
            </w:pPr>
            <w:r w:rsidRPr="001B0E49">
              <w:rPr>
                <w:rFonts w:cs="Times New Roman"/>
                <w:szCs w:val="24"/>
              </w:rPr>
              <w:t>35.00</w:t>
            </w:r>
          </w:p>
        </w:tc>
      </w:tr>
      <w:tr w:rsidR="00DF68DF" w:rsidRPr="001B0E49" w14:paraId="6D5F9470"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1CD493F"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7F9F2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0A380C" w14:textId="77777777" w:rsidR="00DF68DF" w:rsidRPr="001B0E49" w:rsidRDefault="00DF68DF" w:rsidP="00DF68DF">
            <w:pPr>
              <w:spacing w:after="0"/>
              <w:rPr>
                <w:rFonts w:cs="Times New Roman"/>
                <w:szCs w:val="24"/>
              </w:rPr>
            </w:pPr>
            <w:r w:rsidRPr="001B0E49">
              <w:rPr>
                <w:rFonts w:cs="Times New Roman"/>
                <w:szCs w:val="24"/>
              </w:rPr>
              <w:t xml:space="preserve">Intermediate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514EEC4"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F1896D6"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7BADA6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6CE80E8"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33ED4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2223141" w14:textId="77777777" w:rsidR="00DF68DF" w:rsidRPr="001B0E49" w:rsidRDefault="00DF68DF" w:rsidP="00DF68DF">
            <w:pPr>
              <w:spacing w:after="0"/>
              <w:rPr>
                <w:rFonts w:cs="Times New Roman"/>
                <w:szCs w:val="24"/>
              </w:rPr>
            </w:pPr>
            <w:r w:rsidRPr="001B0E49">
              <w:rPr>
                <w:rFonts w:cs="Times New Roman"/>
                <w:szCs w:val="24"/>
              </w:rPr>
              <w:t xml:space="preserve">Under graduation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4C86581" w14:textId="77777777" w:rsidR="00DF68DF" w:rsidRPr="001B0E49" w:rsidRDefault="00DF68DF" w:rsidP="00DF68DF">
            <w:pPr>
              <w:spacing w:after="0"/>
              <w:jc w:val="center"/>
              <w:rPr>
                <w:rFonts w:cs="Times New Roman"/>
                <w:szCs w:val="24"/>
              </w:rPr>
            </w:pPr>
            <w:r w:rsidRPr="001B0E49">
              <w:rPr>
                <w:rFonts w:cs="Times New Roman"/>
                <w:szCs w:val="24"/>
              </w:rPr>
              <w:t>16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6EAC601" w14:textId="77777777" w:rsidR="00DF68DF" w:rsidRPr="001B0E49" w:rsidRDefault="00DF68DF" w:rsidP="00DF68DF">
            <w:pPr>
              <w:spacing w:after="0"/>
              <w:jc w:val="center"/>
              <w:rPr>
                <w:rFonts w:cs="Times New Roman"/>
                <w:szCs w:val="24"/>
              </w:rPr>
            </w:pPr>
            <w:r w:rsidRPr="001B0E49">
              <w:rPr>
                <w:rFonts w:cs="Times New Roman"/>
                <w:szCs w:val="24"/>
              </w:rPr>
              <w:t>13.33</w:t>
            </w:r>
          </w:p>
        </w:tc>
      </w:tr>
      <w:tr w:rsidR="00DF68DF" w:rsidRPr="001B0E49" w14:paraId="523C628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5A34B4"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A4C49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515CD16" w14:textId="77777777" w:rsidR="00DF68DF" w:rsidRPr="001B0E49" w:rsidRDefault="00DF68DF" w:rsidP="00DF68DF">
            <w:pPr>
              <w:spacing w:after="0"/>
              <w:rPr>
                <w:rFonts w:cs="Times New Roman"/>
                <w:szCs w:val="24"/>
              </w:rPr>
            </w:pPr>
            <w:proofErr w:type="spellStart"/>
            <w:r w:rsidRPr="001B0E49">
              <w:rPr>
                <w:rFonts w:cs="Times New Roman"/>
                <w:szCs w:val="24"/>
              </w:rPr>
              <w:t>Post graduation</w:t>
            </w:r>
            <w:proofErr w:type="spellEnd"/>
            <w:r w:rsidRPr="001B0E49">
              <w:rPr>
                <w:rFonts w:cs="Times New Roman"/>
                <w:szCs w:val="24"/>
              </w:rPr>
              <w:t xml:space="preserve"> and above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06999BC" w14:textId="77777777" w:rsidR="00DF68DF" w:rsidRPr="001B0E49" w:rsidRDefault="00DF68DF" w:rsidP="00DF68DF">
            <w:pPr>
              <w:spacing w:after="0"/>
              <w:jc w:val="center"/>
              <w:rPr>
                <w:rFonts w:cs="Times New Roman"/>
                <w:szCs w:val="24"/>
              </w:rPr>
            </w:pPr>
            <w:r w:rsidRPr="001B0E49">
              <w:rPr>
                <w:rFonts w:cs="Times New Roman"/>
                <w:szCs w:val="24"/>
              </w:rPr>
              <w:t>04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E3BABD7" w14:textId="77777777" w:rsidR="00DF68DF" w:rsidRPr="001B0E49" w:rsidRDefault="00DF68DF" w:rsidP="00DF68DF">
            <w:pPr>
              <w:spacing w:after="0"/>
              <w:jc w:val="center"/>
              <w:rPr>
                <w:rFonts w:cs="Times New Roman"/>
                <w:szCs w:val="24"/>
              </w:rPr>
            </w:pPr>
            <w:r w:rsidRPr="001B0E49">
              <w:rPr>
                <w:rFonts w:cs="Times New Roman"/>
                <w:szCs w:val="24"/>
              </w:rPr>
              <w:t>03.33</w:t>
            </w:r>
          </w:p>
        </w:tc>
      </w:tr>
      <w:tr w:rsidR="00DF68DF" w:rsidRPr="001B0E49" w14:paraId="1CAB1074" w14:textId="77777777" w:rsidTr="00DF68DF">
        <w:trPr>
          <w:trHeight w:val="27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19D700B" w14:textId="77777777" w:rsidR="00DF68DF" w:rsidRPr="001B0E49" w:rsidRDefault="00DF68DF" w:rsidP="00DF68DF">
            <w:pPr>
              <w:spacing w:after="0"/>
              <w:jc w:val="center"/>
              <w:rPr>
                <w:rFonts w:cs="Times New Roman"/>
                <w:szCs w:val="24"/>
              </w:rPr>
            </w:pPr>
            <w:r w:rsidRPr="001B0E49">
              <w:rPr>
                <w:rFonts w:cs="Times New Roman"/>
                <w:szCs w:val="24"/>
              </w:rPr>
              <w:t>3</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E0585F" w14:textId="77777777" w:rsidR="00DF68DF" w:rsidRPr="001B0E49" w:rsidRDefault="00DF68DF" w:rsidP="00DF68DF">
            <w:pPr>
              <w:spacing w:after="0"/>
              <w:rPr>
                <w:rFonts w:cs="Times New Roman"/>
                <w:szCs w:val="24"/>
              </w:rPr>
            </w:pPr>
            <w:r w:rsidRPr="001B0E49">
              <w:rPr>
                <w:rFonts w:cs="Times New Roman"/>
                <w:szCs w:val="24"/>
              </w:rPr>
              <w:t xml:space="preserve">Farm size </w:t>
            </w:r>
          </w:p>
        </w:tc>
      </w:tr>
      <w:tr w:rsidR="00DF68DF" w:rsidRPr="001B0E49" w14:paraId="173A734F"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A2E0BE"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894D87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1419908" w14:textId="77777777" w:rsidR="00DF68DF" w:rsidRPr="001B0E49" w:rsidRDefault="00DF68DF" w:rsidP="00DF68DF">
            <w:pPr>
              <w:spacing w:after="0"/>
              <w:rPr>
                <w:rFonts w:cs="Times New Roman"/>
                <w:szCs w:val="24"/>
              </w:rPr>
            </w:pPr>
            <w:r w:rsidRPr="001B0E49">
              <w:rPr>
                <w:rFonts w:cs="Times New Roman"/>
                <w:szCs w:val="24"/>
              </w:rPr>
              <w:t xml:space="preserve">Marginal (0.1- 1.0 </w:t>
            </w:r>
            <w:proofErr w:type="gramStart"/>
            <w:r w:rsidRPr="001B0E49">
              <w:rPr>
                <w:rFonts w:cs="Times New Roman"/>
                <w:szCs w:val="24"/>
              </w:rPr>
              <w:t xml:space="preserve">ha)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C98CA81" w14:textId="77777777" w:rsidR="00DF68DF" w:rsidRPr="001B0E49" w:rsidRDefault="00DF68DF" w:rsidP="00DF68DF">
            <w:pPr>
              <w:spacing w:after="0"/>
              <w:jc w:val="center"/>
              <w:rPr>
                <w:rFonts w:cs="Times New Roman"/>
                <w:szCs w:val="24"/>
              </w:rPr>
            </w:pPr>
            <w:r w:rsidRPr="001B0E49">
              <w:rPr>
                <w:rFonts w:cs="Times New Roman"/>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C9DA7C9" w14:textId="77777777" w:rsidR="00DF68DF" w:rsidRPr="001B0E49" w:rsidRDefault="00DF68DF" w:rsidP="00DF68DF">
            <w:pPr>
              <w:spacing w:after="0"/>
              <w:jc w:val="center"/>
              <w:rPr>
                <w:rFonts w:cs="Times New Roman"/>
                <w:szCs w:val="24"/>
              </w:rPr>
            </w:pPr>
            <w:r w:rsidRPr="001B0E49">
              <w:rPr>
                <w:rFonts w:cs="Times New Roman"/>
                <w:szCs w:val="24"/>
              </w:rPr>
              <w:t>20.00</w:t>
            </w:r>
          </w:p>
        </w:tc>
      </w:tr>
      <w:tr w:rsidR="00DF68DF" w:rsidRPr="001B0E49" w14:paraId="7A7564CA"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8665466"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C0977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7F4B82" w14:textId="77777777" w:rsidR="00DF68DF" w:rsidRPr="001B0E49" w:rsidRDefault="00DF68DF" w:rsidP="00DF68DF">
            <w:pPr>
              <w:spacing w:after="0"/>
              <w:rPr>
                <w:rFonts w:cs="Times New Roman"/>
                <w:szCs w:val="24"/>
              </w:rPr>
            </w:pPr>
            <w:r w:rsidRPr="001B0E49">
              <w:rPr>
                <w:rFonts w:cs="Times New Roman"/>
                <w:szCs w:val="24"/>
              </w:rPr>
              <w:t xml:space="preserve">Small (1.1-2.0 </w:t>
            </w:r>
            <w:proofErr w:type="gramStart"/>
            <w:r w:rsidRPr="001B0E49">
              <w:rPr>
                <w:rFonts w:cs="Times New Roman"/>
                <w:szCs w:val="24"/>
              </w:rPr>
              <w:t xml:space="preserve">ha)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1807232" w14:textId="77777777" w:rsidR="00DF68DF" w:rsidRPr="001B0E49" w:rsidRDefault="00DF68DF" w:rsidP="00DF68DF">
            <w:pPr>
              <w:spacing w:after="0"/>
              <w:jc w:val="center"/>
              <w:rPr>
                <w:rFonts w:cs="Times New Roman"/>
                <w:szCs w:val="24"/>
              </w:rPr>
            </w:pPr>
            <w:r w:rsidRPr="001B0E49">
              <w:rPr>
                <w:rFonts w:cs="Times New Roman"/>
                <w:szCs w:val="24"/>
              </w:rPr>
              <w:t>44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A9DC4D" w14:textId="77777777" w:rsidR="00DF68DF" w:rsidRPr="001B0E49" w:rsidRDefault="00DF68DF" w:rsidP="00DF68DF">
            <w:pPr>
              <w:spacing w:after="0"/>
              <w:jc w:val="center"/>
              <w:rPr>
                <w:rFonts w:cs="Times New Roman"/>
                <w:szCs w:val="24"/>
              </w:rPr>
            </w:pPr>
            <w:r w:rsidRPr="001B0E49">
              <w:rPr>
                <w:rFonts w:cs="Times New Roman"/>
                <w:szCs w:val="24"/>
              </w:rPr>
              <w:t>36.67</w:t>
            </w:r>
          </w:p>
        </w:tc>
      </w:tr>
      <w:tr w:rsidR="00DF68DF" w:rsidRPr="001B0E49" w14:paraId="5524AD8B"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A88C07"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11098B9"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BFC32F" w14:textId="77777777" w:rsidR="00DF68DF" w:rsidRPr="001B0E49" w:rsidRDefault="00DF68DF" w:rsidP="00DF68DF">
            <w:pPr>
              <w:spacing w:after="0"/>
              <w:rPr>
                <w:rFonts w:cs="Times New Roman"/>
                <w:szCs w:val="24"/>
              </w:rPr>
            </w:pPr>
            <w:r w:rsidRPr="001B0E49">
              <w:rPr>
                <w:rFonts w:cs="Times New Roman"/>
                <w:szCs w:val="24"/>
              </w:rPr>
              <w:t xml:space="preserve">Semi- medium (2.1-4.0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4BAF8A9C"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286566C7"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B4375B6"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B2291BF"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83E4DEF"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40CC47" w14:textId="77777777" w:rsidR="00DF68DF" w:rsidRPr="001B0E49" w:rsidRDefault="00DF68DF" w:rsidP="00DF68DF">
            <w:pPr>
              <w:spacing w:after="0"/>
              <w:rPr>
                <w:rFonts w:cs="Times New Roman"/>
                <w:szCs w:val="24"/>
              </w:rPr>
            </w:pPr>
            <w:r w:rsidRPr="001B0E49">
              <w:rPr>
                <w:rFonts w:cs="Times New Roman"/>
                <w:szCs w:val="24"/>
              </w:rPr>
              <w:t xml:space="preserve">Medium (4.1-10.00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5E97C6A" w14:textId="77777777" w:rsidR="00DF68DF" w:rsidRPr="001B0E49" w:rsidRDefault="00DF68DF" w:rsidP="00DF68DF">
            <w:pPr>
              <w:spacing w:after="0"/>
              <w:jc w:val="center"/>
              <w:rPr>
                <w:rFonts w:cs="Times New Roman"/>
                <w:szCs w:val="24"/>
              </w:rPr>
            </w:pPr>
            <w:r w:rsidRPr="001B0E49">
              <w:rPr>
                <w:rFonts w:cs="Times New Roman"/>
                <w:szCs w:val="24"/>
              </w:rPr>
              <w:t>18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39569FF6" w14:textId="77777777" w:rsidR="00DF68DF" w:rsidRPr="001B0E49" w:rsidRDefault="00DF68DF" w:rsidP="00DF68DF">
            <w:pPr>
              <w:spacing w:after="0"/>
              <w:jc w:val="center"/>
              <w:rPr>
                <w:rFonts w:cs="Times New Roman"/>
                <w:szCs w:val="24"/>
              </w:rPr>
            </w:pPr>
            <w:r w:rsidRPr="001B0E49">
              <w:rPr>
                <w:rFonts w:cs="Times New Roman"/>
                <w:szCs w:val="24"/>
              </w:rPr>
              <w:t>15.00</w:t>
            </w:r>
          </w:p>
        </w:tc>
      </w:tr>
      <w:tr w:rsidR="00DF68DF" w:rsidRPr="001B0E49" w14:paraId="3CAD4E5B"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079CAF"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D12D00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C43A8B" w14:textId="77777777" w:rsidR="00DF68DF" w:rsidRPr="001B0E49" w:rsidRDefault="00DF68DF" w:rsidP="00DF68DF">
            <w:pPr>
              <w:spacing w:after="0"/>
              <w:rPr>
                <w:rFonts w:cs="Times New Roman"/>
                <w:szCs w:val="24"/>
              </w:rPr>
            </w:pPr>
            <w:r w:rsidRPr="001B0E49">
              <w:rPr>
                <w:rFonts w:cs="Times New Roman"/>
                <w:szCs w:val="24"/>
              </w:rPr>
              <w:t xml:space="preserve">Large (above 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406CCB4" w14:textId="77777777" w:rsidR="00DF68DF" w:rsidRPr="001B0E49" w:rsidRDefault="00DF68DF" w:rsidP="00DF68DF">
            <w:pPr>
              <w:spacing w:after="0"/>
              <w:jc w:val="center"/>
              <w:rPr>
                <w:rFonts w:cs="Times New Roman"/>
                <w:szCs w:val="24"/>
              </w:rPr>
            </w:pPr>
            <w:r w:rsidRPr="001B0E49">
              <w:rPr>
                <w:rFonts w:cs="Times New Roman"/>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3E7BF94" w14:textId="77777777" w:rsidR="00DF68DF" w:rsidRPr="001B0E49" w:rsidRDefault="00DF68DF" w:rsidP="00DF68DF">
            <w:pPr>
              <w:spacing w:after="0"/>
              <w:jc w:val="center"/>
              <w:rPr>
                <w:rFonts w:cs="Times New Roman"/>
                <w:szCs w:val="24"/>
              </w:rPr>
            </w:pPr>
            <w:r w:rsidRPr="001B0E49">
              <w:rPr>
                <w:rFonts w:cs="Times New Roman"/>
                <w:szCs w:val="24"/>
              </w:rPr>
              <w:t>01.66</w:t>
            </w:r>
          </w:p>
        </w:tc>
      </w:tr>
      <w:tr w:rsidR="00DF68DF" w:rsidRPr="001B0E49" w14:paraId="47384C2F" w14:textId="77777777" w:rsidTr="00DF68DF">
        <w:trPr>
          <w:trHeight w:val="18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A3DEBC" w14:textId="77777777" w:rsidR="00DF68DF" w:rsidRPr="001B0E49" w:rsidRDefault="00DF68DF" w:rsidP="00DF68DF">
            <w:pPr>
              <w:spacing w:after="0"/>
              <w:jc w:val="center"/>
              <w:rPr>
                <w:rFonts w:cs="Times New Roman"/>
                <w:szCs w:val="24"/>
              </w:rPr>
            </w:pPr>
            <w:r w:rsidRPr="001B0E49">
              <w:rPr>
                <w:rFonts w:cs="Times New Roman"/>
                <w:szCs w:val="24"/>
              </w:rPr>
              <w:t>4.</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A4BECB" w14:textId="77777777" w:rsidR="00DF68DF" w:rsidRPr="001B0E49" w:rsidRDefault="00DF68DF" w:rsidP="00DF68DF">
            <w:pPr>
              <w:spacing w:after="0"/>
              <w:rPr>
                <w:rFonts w:cs="Times New Roman"/>
                <w:szCs w:val="24"/>
              </w:rPr>
            </w:pPr>
            <w:r w:rsidRPr="001B0E49">
              <w:rPr>
                <w:rFonts w:cs="Times New Roman"/>
                <w:szCs w:val="24"/>
              </w:rPr>
              <w:t xml:space="preserve">Farming Experience </w:t>
            </w:r>
          </w:p>
        </w:tc>
      </w:tr>
      <w:tr w:rsidR="00DF68DF" w:rsidRPr="001B0E49" w14:paraId="03504B4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CF8A2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F2F2C7"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586727" w14:textId="77777777" w:rsidR="00DF68DF" w:rsidRPr="001B0E49" w:rsidRDefault="00DF68DF" w:rsidP="00DF68DF">
            <w:pPr>
              <w:spacing w:after="0"/>
              <w:rPr>
                <w:rFonts w:cs="Times New Roman"/>
                <w:szCs w:val="24"/>
              </w:rPr>
            </w:pPr>
            <w:r w:rsidRPr="001B0E49">
              <w:rPr>
                <w:rFonts w:cs="Times New Roman"/>
                <w:szCs w:val="24"/>
              </w:rPr>
              <w:t xml:space="preserve">Low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E7A191C"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5D222E1F" w14:textId="77777777" w:rsidR="00DF68DF" w:rsidRPr="001B0E49" w:rsidRDefault="00DF68DF" w:rsidP="00DF68DF">
            <w:pPr>
              <w:spacing w:after="0"/>
              <w:jc w:val="center"/>
              <w:rPr>
                <w:rFonts w:cs="Times New Roman"/>
                <w:szCs w:val="24"/>
              </w:rPr>
            </w:pPr>
            <w:r w:rsidRPr="001B0E49">
              <w:rPr>
                <w:rFonts w:cs="Times New Roman"/>
                <w:szCs w:val="24"/>
              </w:rPr>
              <w:t>23.34</w:t>
            </w:r>
          </w:p>
        </w:tc>
      </w:tr>
      <w:tr w:rsidR="00DF68DF" w:rsidRPr="001B0E49" w14:paraId="3CD1B3C1"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64D1D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D2DFE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CE56821" w14:textId="77777777" w:rsidR="00DF68DF" w:rsidRPr="001B0E49" w:rsidRDefault="00DF68DF" w:rsidP="00DF68DF">
            <w:pPr>
              <w:spacing w:after="0"/>
              <w:rPr>
                <w:rFonts w:cs="Times New Roman"/>
                <w:szCs w:val="24"/>
              </w:rPr>
            </w:pPr>
            <w:r w:rsidRPr="001B0E49">
              <w:rPr>
                <w:rFonts w:cs="Times New Roman"/>
                <w:szCs w:val="24"/>
              </w:rPr>
              <w:t xml:space="preserve">Medium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D89C71" w14:textId="77777777" w:rsidR="00DF68DF" w:rsidRPr="001B0E49" w:rsidRDefault="00DF68DF" w:rsidP="00DF68DF">
            <w:pPr>
              <w:spacing w:after="0"/>
              <w:jc w:val="center"/>
              <w:rPr>
                <w:rFonts w:cs="Times New Roman"/>
                <w:szCs w:val="24"/>
              </w:rPr>
            </w:pPr>
            <w:r w:rsidRPr="001B0E49">
              <w:rPr>
                <w:rFonts w:cs="Times New Roman"/>
                <w:szCs w:val="24"/>
              </w:rPr>
              <w:t>56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BF68ED0" w14:textId="77777777" w:rsidR="00DF68DF" w:rsidRPr="001B0E49" w:rsidRDefault="00DF68DF" w:rsidP="00DF68DF">
            <w:pPr>
              <w:spacing w:after="0"/>
              <w:jc w:val="center"/>
              <w:rPr>
                <w:rFonts w:cs="Times New Roman"/>
                <w:szCs w:val="24"/>
              </w:rPr>
            </w:pPr>
            <w:r w:rsidRPr="001B0E49">
              <w:rPr>
                <w:rFonts w:cs="Times New Roman"/>
                <w:szCs w:val="24"/>
              </w:rPr>
              <w:t>46.66</w:t>
            </w:r>
          </w:p>
        </w:tc>
      </w:tr>
      <w:tr w:rsidR="00DF68DF" w:rsidRPr="001B0E49" w14:paraId="7C69D780"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E9C60F"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600A36"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748E82" w14:textId="77777777" w:rsidR="00DF68DF" w:rsidRPr="001B0E49" w:rsidRDefault="00DF68DF" w:rsidP="00DF68DF">
            <w:pPr>
              <w:spacing w:after="0"/>
              <w:rPr>
                <w:rFonts w:cs="Times New Roman"/>
                <w:szCs w:val="24"/>
              </w:rPr>
            </w:pPr>
            <w:r w:rsidRPr="001B0E49">
              <w:rPr>
                <w:rFonts w:cs="Times New Roman"/>
                <w:szCs w:val="24"/>
              </w:rPr>
              <w:t xml:space="preserve">High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F8C09B6" w14:textId="77777777" w:rsidR="00DF68DF" w:rsidRPr="001B0E49" w:rsidRDefault="00DF68DF" w:rsidP="00DF68DF">
            <w:pPr>
              <w:spacing w:after="0"/>
              <w:jc w:val="center"/>
              <w:rPr>
                <w:rFonts w:cs="Times New Roman"/>
                <w:szCs w:val="24"/>
              </w:rPr>
            </w:pPr>
            <w:r w:rsidRPr="001B0E49">
              <w:rPr>
                <w:rFonts w:cs="Times New Roman"/>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A5D67F4" w14:textId="77777777" w:rsidR="00DF68DF" w:rsidRPr="001B0E49" w:rsidRDefault="00DF68DF" w:rsidP="00DF68DF">
            <w:pPr>
              <w:spacing w:after="0"/>
              <w:jc w:val="center"/>
              <w:rPr>
                <w:rFonts w:cs="Times New Roman"/>
                <w:szCs w:val="24"/>
              </w:rPr>
            </w:pPr>
            <w:r w:rsidRPr="001B0E49">
              <w:rPr>
                <w:rFonts w:cs="Times New Roman"/>
                <w:szCs w:val="24"/>
              </w:rPr>
              <w:t>30.00</w:t>
            </w:r>
          </w:p>
        </w:tc>
      </w:tr>
      <w:tr w:rsidR="00DF68DF" w:rsidRPr="001B0E49" w14:paraId="0476D45A"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37D3DDE" w14:textId="77777777" w:rsidR="00DF68DF" w:rsidRPr="001B0E49" w:rsidRDefault="00DF68DF" w:rsidP="00DF68DF">
            <w:pPr>
              <w:spacing w:after="0"/>
              <w:jc w:val="center"/>
              <w:rPr>
                <w:rFonts w:cs="Times New Roman"/>
                <w:szCs w:val="24"/>
              </w:rPr>
            </w:pPr>
            <w:r w:rsidRPr="001B0E49">
              <w:rPr>
                <w:rFonts w:cs="Times New Roman"/>
                <w:szCs w:val="24"/>
              </w:rPr>
              <w:t>5.</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BB2491" w14:textId="77777777" w:rsidR="00DF68DF" w:rsidRPr="001B0E49" w:rsidRDefault="00DF68DF" w:rsidP="00DF68DF">
            <w:pPr>
              <w:spacing w:after="0"/>
              <w:rPr>
                <w:rFonts w:cs="Times New Roman"/>
                <w:szCs w:val="24"/>
              </w:rPr>
            </w:pPr>
            <w:r w:rsidRPr="001B0E49">
              <w:rPr>
                <w:rFonts w:cs="Times New Roman"/>
                <w:szCs w:val="24"/>
              </w:rPr>
              <w:t>Training undergone</w:t>
            </w:r>
          </w:p>
        </w:tc>
      </w:tr>
      <w:tr w:rsidR="00DF68DF" w:rsidRPr="001B0E49" w14:paraId="0353D77F"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BD35F8"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CC4A8E"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54ECCC"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B0D2553" w14:textId="77777777" w:rsidR="00DF68DF" w:rsidRPr="001B0E49" w:rsidRDefault="00DF68DF" w:rsidP="00DF68DF">
            <w:pPr>
              <w:spacing w:after="0"/>
              <w:jc w:val="center"/>
              <w:rPr>
                <w:rFonts w:cs="Times New Roman"/>
                <w:szCs w:val="24"/>
              </w:rPr>
            </w:pPr>
            <w:r w:rsidRPr="001B0E49">
              <w:rPr>
                <w:rFonts w:cs="Times New Roman"/>
                <w:szCs w:val="24"/>
              </w:rPr>
              <w:t>33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5DCB7A" w14:textId="77777777" w:rsidR="00DF68DF" w:rsidRPr="001B0E49" w:rsidRDefault="00DF68DF" w:rsidP="00DF68DF">
            <w:pPr>
              <w:spacing w:after="0"/>
              <w:jc w:val="center"/>
              <w:rPr>
                <w:rFonts w:cs="Times New Roman"/>
                <w:szCs w:val="24"/>
              </w:rPr>
            </w:pPr>
            <w:r w:rsidRPr="001B0E49">
              <w:rPr>
                <w:rFonts w:cs="Times New Roman"/>
                <w:szCs w:val="24"/>
              </w:rPr>
              <w:t>27.50</w:t>
            </w:r>
          </w:p>
        </w:tc>
      </w:tr>
      <w:tr w:rsidR="00DF68DF" w:rsidRPr="001B0E49" w14:paraId="3B51AF9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27EE440"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073F2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0F563F"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6C91DE" w14:textId="77777777" w:rsidR="00DF68DF" w:rsidRPr="001B0E49" w:rsidRDefault="00DF68DF" w:rsidP="00DF68DF">
            <w:pPr>
              <w:spacing w:after="0"/>
              <w:jc w:val="center"/>
              <w:rPr>
                <w:rFonts w:cs="Times New Roman"/>
                <w:szCs w:val="24"/>
              </w:rPr>
            </w:pPr>
            <w:r w:rsidRPr="001B0E49">
              <w:rPr>
                <w:rFonts w:cs="Times New Roman"/>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24C977" w14:textId="77777777" w:rsidR="00DF68DF" w:rsidRPr="001B0E49" w:rsidRDefault="00DF68DF" w:rsidP="00DF68DF">
            <w:pPr>
              <w:spacing w:after="0"/>
              <w:jc w:val="center"/>
              <w:rPr>
                <w:rFonts w:cs="Times New Roman"/>
                <w:szCs w:val="24"/>
              </w:rPr>
            </w:pPr>
            <w:r w:rsidRPr="001B0E49">
              <w:rPr>
                <w:rFonts w:cs="Times New Roman"/>
                <w:szCs w:val="24"/>
              </w:rPr>
              <w:t>48.34</w:t>
            </w:r>
          </w:p>
        </w:tc>
      </w:tr>
      <w:tr w:rsidR="00DF68DF" w:rsidRPr="001B0E49" w14:paraId="659934BC"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C96FF8"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D96792"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06703C9"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091542" w14:textId="77777777" w:rsidR="00DF68DF" w:rsidRPr="001B0E49" w:rsidRDefault="00DF68DF" w:rsidP="00DF68DF">
            <w:pPr>
              <w:spacing w:after="0"/>
              <w:jc w:val="center"/>
              <w:rPr>
                <w:rFonts w:cs="Times New Roman"/>
                <w:szCs w:val="24"/>
              </w:rPr>
            </w:pPr>
            <w:r w:rsidRPr="001B0E49">
              <w:rPr>
                <w:rFonts w:cs="Times New Roman"/>
                <w:szCs w:val="24"/>
              </w:rPr>
              <w:t>29</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813348" w14:textId="77777777" w:rsidR="00DF68DF" w:rsidRPr="001B0E49" w:rsidRDefault="00DF68DF" w:rsidP="00DF68DF">
            <w:pPr>
              <w:spacing w:after="0"/>
              <w:jc w:val="center"/>
              <w:rPr>
                <w:rFonts w:cs="Times New Roman"/>
                <w:szCs w:val="24"/>
              </w:rPr>
            </w:pPr>
            <w:r w:rsidRPr="001B0E49">
              <w:rPr>
                <w:rFonts w:cs="Times New Roman"/>
                <w:szCs w:val="24"/>
              </w:rPr>
              <w:t>24.16</w:t>
            </w:r>
          </w:p>
        </w:tc>
      </w:tr>
      <w:tr w:rsidR="00DF68DF" w:rsidRPr="001B0E49" w14:paraId="0CB004F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88F97F" w14:textId="77777777" w:rsidR="00DF68DF" w:rsidRPr="001B0E49" w:rsidRDefault="00DF68DF" w:rsidP="00DF68DF">
            <w:pPr>
              <w:spacing w:after="0"/>
              <w:jc w:val="center"/>
              <w:rPr>
                <w:rFonts w:cs="Times New Roman"/>
                <w:szCs w:val="24"/>
              </w:rPr>
            </w:pPr>
            <w:r w:rsidRPr="001B0E49">
              <w:rPr>
                <w:rFonts w:cs="Times New Roman"/>
                <w:szCs w:val="24"/>
              </w:rPr>
              <w:t>6.</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D857E0" w14:textId="77777777" w:rsidR="00DF68DF" w:rsidRPr="001B0E49" w:rsidRDefault="00DF68DF" w:rsidP="00DF68DF">
            <w:pPr>
              <w:spacing w:after="0"/>
              <w:rPr>
                <w:rFonts w:cs="Times New Roman"/>
                <w:szCs w:val="24"/>
              </w:rPr>
            </w:pPr>
            <w:r w:rsidRPr="001B0E49">
              <w:rPr>
                <w:rFonts w:cs="Times New Roman"/>
                <w:szCs w:val="24"/>
              </w:rPr>
              <w:t>Extension Contact</w:t>
            </w:r>
          </w:p>
        </w:tc>
      </w:tr>
      <w:tr w:rsidR="00DF68DF" w:rsidRPr="001B0E49" w14:paraId="504290FD"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BA5FD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FC00E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BBFF3B"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83B3553" w14:textId="77777777" w:rsidR="00DF68DF" w:rsidRPr="001B0E49" w:rsidRDefault="00DF68DF" w:rsidP="00DF68DF">
            <w:pPr>
              <w:spacing w:after="0"/>
              <w:jc w:val="center"/>
              <w:rPr>
                <w:rFonts w:cs="Times New Roman"/>
                <w:szCs w:val="24"/>
              </w:rPr>
            </w:pPr>
            <w:r w:rsidRPr="001B0E49">
              <w:rPr>
                <w:rFonts w:cs="Times New Roman"/>
                <w:szCs w:val="24"/>
              </w:rPr>
              <w:t>25</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279A883" w14:textId="77777777" w:rsidR="00DF68DF" w:rsidRPr="001B0E49" w:rsidRDefault="00DF68DF" w:rsidP="00DF68DF">
            <w:pPr>
              <w:spacing w:after="0"/>
              <w:jc w:val="center"/>
              <w:rPr>
                <w:rFonts w:cs="Times New Roman"/>
                <w:szCs w:val="24"/>
              </w:rPr>
            </w:pPr>
            <w:r w:rsidRPr="001B0E49">
              <w:rPr>
                <w:rFonts w:cs="Times New Roman"/>
                <w:szCs w:val="24"/>
              </w:rPr>
              <w:t>20.83</w:t>
            </w:r>
          </w:p>
        </w:tc>
      </w:tr>
      <w:tr w:rsidR="00DF68DF" w:rsidRPr="001B0E49" w14:paraId="02ED19F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C12D3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F0D274"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C67173"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DFB234B" w14:textId="77777777" w:rsidR="00DF68DF" w:rsidRPr="001B0E49" w:rsidRDefault="00DF68DF" w:rsidP="00DF68DF">
            <w:pPr>
              <w:spacing w:after="0"/>
              <w:jc w:val="center"/>
              <w:rPr>
                <w:rFonts w:cs="Times New Roman"/>
                <w:szCs w:val="24"/>
              </w:rPr>
            </w:pPr>
            <w:r w:rsidRPr="001B0E49">
              <w:rPr>
                <w:rFonts w:cs="Times New Roman"/>
                <w:szCs w:val="24"/>
              </w:rPr>
              <w:t>63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85B7E7" w14:textId="77777777" w:rsidR="00DF68DF" w:rsidRPr="001B0E49" w:rsidRDefault="00DF68DF" w:rsidP="00DF68DF">
            <w:pPr>
              <w:spacing w:after="0"/>
              <w:jc w:val="center"/>
              <w:rPr>
                <w:rFonts w:cs="Times New Roman"/>
                <w:szCs w:val="24"/>
              </w:rPr>
            </w:pPr>
            <w:r w:rsidRPr="001B0E49">
              <w:rPr>
                <w:rFonts w:cs="Times New Roman"/>
                <w:szCs w:val="24"/>
              </w:rPr>
              <w:t>52.50</w:t>
            </w:r>
          </w:p>
        </w:tc>
      </w:tr>
      <w:tr w:rsidR="00DF68DF" w:rsidRPr="001B0E49" w14:paraId="29B3A20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092AA9"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B675C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9D04E38"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55A3C4"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7885DA"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0A71052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5C02B1" w14:textId="77777777" w:rsidR="00DF68DF" w:rsidRPr="001B0E49" w:rsidRDefault="00DF68DF" w:rsidP="00DF68DF">
            <w:pPr>
              <w:spacing w:after="0"/>
              <w:jc w:val="center"/>
              <w:rPr>
                <w:rFonts w:cs="Times New Roman"/>
                <w:szCs w:val="24"/>
              </w:rPr>
            </w:pPr>
            <w:r w:rsidRPr="001B0E49">
              <w:rPr>
                <w:rFonts w:cs="Times New Roman"/>
                <w:szCs w:val="24"/>
              </w:rPr>
              <w:t>7.</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E02ED2" w14:textId="77777777" w:rsidR="00DF68DF" w:rsidRPr="001B0E49" w:rsidRDefault="00DF68DF" w:rsidP="00DF68DF">
            <w:pPr>
              <w:spacing w:after="0"/>
              <w:rPr>
                <w:rFonts w:cs="Times New Roman"/>
                <w:szCs w:val="24"/>
              </w:rPr>
            </w:pPr>
            <w:r w:rsidRPr="001B0E49">
              <w:rPr>
                <w:rFonts w:cs="Times New Roman"/>
                <w:szCs w:val="24"/>
              </w:rPr>
              <w:t>Scientific Orientation</w:t>
            </w:r>
          </w:p>
        </w:tc>
      </w:tr>
      <w:tr w:rsidR="00DF68DF" w:rsidRPr="001B0E49" w14:paraId="515E9D4A"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DEB0D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32C02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02A423"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45F91E1" w14:textId="77777777" w:rsidR="00DF68DF" w:rsidRPr="001B0E49" w:rsidRDefault="00DF68DF" w:rsidP="00DF68DF">
            <w:pPr>
              <w:spacing w:after="0"/>
              <w:jc w:val="center"/>
              <w:rPr>
                <w:rFonts w:cs="Times New Roman"/>
                <w:szCs w:val="24"/>
              </w:rPr>
            </w:pPr>
            <w:r w:rsidRPr="001B0E49">
              <w:rPr>
                <w:rFonts w:cs="Times New Roman"/>
                <w:szCs w:val="24"/>
              </w:rPr>
              <w:t>38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6C434D" w14:textId="77777777" w:rsidR="00DF68DF" w:rsidRPr="001B0E49" w:rsidRDefault="00DF68DF" w:rsidP="00DF68DF">
            <w:pPr>
              <w:spacing w:after="0"/>
              <w:jc w:val="center"/>
              <w:rPr>
                <w:rFonts w:cs="Times New Roman"/>
                <w:szCs w:val="24"/>
              </w:rPr>
            </w:pPr>
            <w:r w:rsidRPr="001B0E49">
              <w:rPr>
                <w:rFonts w:cs="Times New Roman"/>
                <w:szCs w:val="24"/>
              </w:rPr>
              <w:t>31.67</w:t>
            </w:r>
          </w:p>
        </w:tc>
      </w:tr>
      <w:tr w:rsidR="00DF68DF" w:rsidRPr="001B0E49" w14:paraId="75FC89B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5C5023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F1D14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F5F1C7"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490B20" w14:textId="77777777" w:rsidR="00DF68DF" w:rsidRPr="001B0E49" w:rsidRDefault="00DF68DF" w:rsidP="00DF68DF">
            <w:pPr>
              <w:spacing w:after="0"/>
              <w:jc w:val="center"/>
              <w:rPr>
                <w:rFonts w:cs="Times New Roman"/>
                <w:szCs w:val="24"/>
              </w:rPr>
            </w:pPr>
            <w:r w:rsidRPr="001B0E49">
              <w:rPr>
                <w:rFonts w:cs="Times New Roman"/>
                <w:szCs w:val="24"/>
              </w:rPr>
              <w:t>54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3CAE6F" w14:textId="77777777" w:rsidR="00DF68DF" w:rsidRPr="001B0E49" w:rsidRDefault="00DF68DF" w:rsidP="00DF68DF">
            <w:pPr>
              <w:spacing w:after="0"/>
              <w:jc w:val="center"/>
              <w:rPr>
                <w:rFonts w:cs="Times New Roman"/>
                <w:szCs w:val="24"/>
              </w:rPr>
            </w:pPr>
            <w:r w:rsidRPr="001B0E49">
              <w:rPr>
                <w:rFonts w:cs="Times New Roman"/>
                <w:szCs w:val="24"/>
              </w:rPr>
              <w:t>45.00</w:t>
            </w:r>
          </w:p>
        </w:tc>
      </w:tr>
      <w:tr w:rsidR="00DF68DF" w:rsidRPr="001B0E49" w14:paraId="7AE2F99E"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43B8CC3"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94150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AF818BE"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DA1162"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D9A6DB" w14:textId="77777777" w:rsidR="00DF68DF" w:rsidRPr="001B0E49" w:rsidRDefault="00DF68DF" w:rsidP="00DF68DF">
            <w:pPr>
              <w:spacing w:after="0"/>
              <w:jc w:val="center"/>
              <w:rPr>
                <w:rFonts w:cs="Times New Roman"/>
                <w:szCs w:val="24"/>
              </w:rPr>
            </w:pPr>
            <w:r w:rsidRPr="001B0E49">
              <w:rPr>
                <w:rFonts w:cs="Times New Roman"/>
                <w:szCs w:val="24"/>
              </w:rPr>
              <w:t>23.33</w:t>
            </w:r>
          </w:p>
        </w:tc>
      </w:tr>
      <w:tr w:rsidR="00DF68DF" w:rsidRPr="001B0E49" w14:paraId="706D9B25"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8F2F56" w14:textId="77777777" w:rsidR="00DF68DF" w:rsidRPr="001B0E49" w:rsidRDefault="00DF68DF" w:rsidP="00DF68DF">
            <w:pPr>
              <w:spacing w:after="0"/>
              <w:jc w:val="center"/>
              <w:rPr>
                <w:rFonts w:cs="Times New Roman"/>
                <w:szCs w:val="24"/>
              </w:rPr>
            </w:pPr>
            <w:r w:rsidRPr="001B0E49">
              <w:rPr>
                <w:rFonts w:cs="Times New Roman"/>
                <w:szCs w:val="24"/>
              </w:rPr>
              <w:t>8.</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17E9B5" w14:textId="77777777" w:rsidR="00DF68DF" w:rsidRPr="001B0E49" w:rsidRDefault="00DF68DF" w:rsidP="00DF68DF">
            <w:pPr>
              <w:spacing w:after="0"/>
              <w:rPr>
                <w:rFonts w:cs="Times New Roman"/>
                <w:szCs w:val="24"/>
              </w:rPr>
            </w:pPr>
            <w:r w:rsidRPr="001B0E49">
              <w:rPr>
                <w:rFonts w:cs="Times New Roman"/>
                <w:szCs w:val="24"/>
              </w:rPr>
              <w:t>Economic Motivation</w:t>
            </w:r>
          </w:p>
        </w:tc>
      </w:tr>
      <w:tr w:rsidR="00DF68DF" w:rsidRPr="001B0E49" w14:paraId="1EA35DDB"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E5C4D7"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BD4340"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C9AB3D"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2BB3DD2"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3F621A"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BC97A34"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546F4D"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E3EC78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791E8B"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95A38C" w14:textId="77777777" w:rsidR="00DF68DF" w:rsidRPr="001B0E49" w:rsidRDefault="00DF68DF" w:rsidP="00DF68DF">
            <w:pPr>
              <w:spacing w:after="0"/>
              <w:jc w:val="center"/>
              <w:rPr>
                <w:rFonts w:cs="Times New Roman"/>
                <w:szCs w:val="24"/>
              </w:rPr>
            </w:pPr>
            <w:r w:rsidRPr="001B0E49">
              <w:rPr>
                <w:rFonts w:cs="Times New Roman"/>
                <w:szCs w:val="24"/>
              </w:rPr>
              <w:t>52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5AFFEAA" w14:textId="77777777" w:rsidR="00DF68DF" w:rsidRPr="001B0E49" w:rsidRDefault="00DF68DF" w:rsidP="00DF68DF">
            <w:pPr>
              <w:spacing w:after="0"/>
              <w:jc w:val="center"/>
              <w:rPr>
                <w:rFonts w:cs="Times New Roman"/>
                <w:szCs w:val="24"/>
              </w:rPr>
            </w:pPr>
            <w:r w:rsidRPr="001B0E49">
              <w:rPr>
                <w:rFonts w:cs="Times New Roman"/>
                <w:szCs w:val="24"/>
              </w:rPr>
              <w:t>43.33</w:t>
            </w:r>
          </w:p>
        </w:tc>
      </w:tr>
      <w:tr w:rsidR="00DF68DF" w:rsidRPr="001B0E49" w14:paraId="24D5D77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61EA72"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6BCAD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0507EA1"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16C400" w14:textId="77777777" w:rsidR="00DF68DF" w:rsidRPr="001B0E49" w:rsidRDefault="00DF68DF" w:rsidP="00DF68DF">
            <w:pPr>
              <w:spacing w:after="0"/>
              <w:jc w:val="center"/>
              <w:rPr>
                <w:rFonts w:cs="Times New Roman"/>
                <w:szCs w:val="24"/>
              </w:rPr>
            </w:pPr>
            <w:r w:rsidRPr="001B0E49">
              <w:rPr>
                <w:rFonts w:cs="Times New Roman"/>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6A01DA" w14:textId="77777777" w:rsidR="00DF68DF" w:rsidRPr="001B0E49" w:rsidRDefault="00DF68DF" w:rsidP="00DF68DF">
            <w:pPr>
              <w:spacing w:after="0"/>
              <w:jc w:val="center"/>
              <w:rPr>
                <w:rFonts w:cs="Times New Roman"/>
                <w:szCs w:val="24"/>
              </w:rPr>
            </w:pPr>
            <w:r w:rsidRPr="001B0E49">
              <w:rPr>
                <w:rFonts w:cs="Times New Roman"/>
                <w:szCs w:val="24"/>
              </w:rPr>
              <w:t>30.00</w:t>
            </w:r>
          </w:p>
        </w:tc>
      </w:tr>
      <w:tr w:rsidR="00DF68DF" w:rsidRPr="001B0E49" w14:paraId="0F548130" w14:textId="77777777" w:rsidTr="00DF68DF">
        <w:trPr>
          <w:trHeight w:val="411"/>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B7F72D" w14:textId="77777777" w:rsidR="00DF68DF" w:rsidRPr="001B0E49" w:rsidRDefault="00DF68DF" w:rsidP="00DF68DF">
            <w:pPr>
              <w:spacing w:after="0"/>
              <w:jc w:val="center"/>
              <w:rPr>
                <w:rFonts w:cs="Times New Roman"/>
                <w:szCs w:val="24"/>
              </w:rPr>
            </w:pPr>
            <w:r w:rsidRPr="001B0E49">
              <w:rPr>
                <w:rFonts w:cs="Times New Roman"/>
                <w:szCs w:val="24"/>
              </w:rPr>
              <w:t>9.</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92585B" w14:textId="77777777" w:rsidR="00DF68DF" w:rsidRPr="001B0E49" w:rsidRDefault="00DF68DF" w:rsidP="00DF68DF">
            <w:pPr>
              <w:spacing w:after="0"/>
              <w:rPr>
                <w:rFonts w:cs="Times New Roman"/>
                <w:szCs w:val="24"/>
              </w:rPr>
            </w:pPr>
            <w:r w:rsidRPr="001B0E49">
              <w:rPr>
                <w:rFonts w:cs="Times New Roman"/>
                <w:szCs w:val="24"/>
              </w:rPr>
              <w:t>Achievement Motivation</w:t>
            </w:r>
          </w:p>
        </w:tc>
      </w:tr>
      <w:tr w:rsidR="00DF68DF" w:rsidRPr="001B0E49" w14:paraId="26D66C30"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ECD805"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27F98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C9C9558"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E1A40FC" w14:textId="77777777" w:rsidR="00DF68DF" w:rsidRPr="001B0E49" w:rsidRDefault="00DF68DF" w:rsidP="00DF68DF">
            <w:pPr>
              <w:spacing w:after="0"/>
              <w:jc w:val="center"/>
              <w:rPr>
                <w:rFonts w:cs="Times New Roman"/>
                <w:szCs w:val="24"/>
              </w:rPr>
            </w:pPr>
            <w:r w:rsidRPr="001B0E49">
              <w:rPr>
                <w:rFonts w:cs="Times New Roman"/>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03BF297" w14:textId="77777777" w:rsidR="00DF68DF" w:rsidRPr="001B0E49" w:rsidRDefault="00DF68DF" w:rsidP="00DF68DF">
            <w:pPr>
              <w:spacing w:after="0"/>
              <w:jc w:val="center"/>
              <w:rPr>
                <w:rFonts w:cs="Times New Roman"/>
                <w:szCs w:val="24"/>
              </w:rPr>
            </w:pPr>
            <w:r w:rsidRPr="001B0E49">
              <w:rPr>
                <w:rFonts w:cs="Times New Roman"/>
                <w:szCs w:val="24"/>
              </w:rPr>
              <w:t>25.00</w:t>
            </w:r>
          </w:p>
        </w:tc>
      </w:tr>
      <w:tr w:rsidR="00DF68DF" w:rsidRPr="001B0E49" w14:paraId="65288D1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014568"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D063B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8D975B"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DF442EB" w14:textId="77777777" w:rsidR="00DF68DF" w:rsidRPr="001B0E49" w:rsidRDefault="00DF68DF" w:rsidP="00DF68DF">
            <w:pPr>
              <w:spacing w:after="0"/>
              <w:jc w:val="center"/>
              <w:rPr>
                <w:rFonts w:cs="Times New Roman"/>
                <w:szCs w:val="24"/>
              </w:rPr>
            </w:pPr>
            <w:r w:rsidRPr="001B0E49">
              <w:rPr>
                <w:rFonts w:cs="Times New Roman"/>
                <w:szCs w:val="24"/>
              </w:rPr>
              <w:t>53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B80870" w14:textId="77777777" w:rsidR="00DF68DF" w:rsidRPr="001B0E49" w:rsidRDefault="00DF68DF" w:rsidP="00DF68DF">
            <w:pPr>
              <w:spacing w:after="0"/>
              <w:jc w:val="center"/>
              <w:rPr>
                <w:rFonts w:cs="Times New Roman"/>
                <w:szCs w:val="24"/>
              </w:rPr>
            </w:pPr>
            <w:r w:rsidRPr="001B0E49">
              <w:rPr>
                <w:rFonts w:cs="Times New Roman"/>
                <w:szCs w:val="24"/>
              </w:rPr>
              <w:t>44.17</w:t>
            </w:r>
          </w:p>
        </w:tc>
      </w:tr>
      <w:tr w:rsidR="00DF68DF" w:rsidRPr="001B0E49" w14:paraId="71DE94C1"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B8EA5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020C27"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990F21"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E65276" w14:textId="77777777" w:rsidR="00DF68DF" w:rsidRPr="001B0E49" w:rsidRDefault="00DF68DF" w:rsidP="00DF68DF">
            <w:pPr>
              <w:spacing w:after="0"/>
              <w:jc w:val="center"/>
              <w:rPr>
                <w:rFonts w:cs="Times New Roman"/>
                <w:szCs w:val="24"/>
              </w:rPr>
            </w:pPr>
            <w:r w:rsidRPr="001B0E49">
              <w:rPr>
                <w:rFonts w:cs="Times New Roman"/>
                <w:szCs w:val="24"/>
              </w:rPr>
              <w:t>37</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F63AE1" w14:textId="77777777" w:rsidR="00DF68DF" w:rsidRDefault="00DF68DF" w:rsidP="00DF68DF">
            <w:pPr>
              <w:spacing w:after="0"/>
              <w:jc w:val="center"/>
              <w:rPr>
                <w:rFonts w:cs="Times New Roman"/>
                <w:szCs w:val="24"/>
              </w:rPr>
            </w:pPr>
            <w:r w:rsidRPr="001B0E49">
              <w:rPr>
                <w:rFonts w:cs="Times New Roman"/>
                <w:szCs w:val="24"/>
              </w:rPr>
              <w:t>30.83</w:t>
            </w:r>
          </w:p>
          <w:p w14:paraId="623DA48D" w14:textId="77777777" w:rsidR="00DF68DF" w:rsidRPr="001B0E49" w:rsidRDefault="00DF68DF" w:rsidP="00DF68DF">
            <w:pPr>
              <w:spacing w:after="0"/>
              <w:jc w:val="center"/>
              <w:rPr>
                <w:rFonts w:cs="Times New Roman"/>
                <w:szCs w:val="24"/>
              </w:rPr>
            </w:pPr>
          </w:p>
        </w:tc>
      </w:tr>
      <w:tr w:rsidR="00DF68DF" w:rsidRPr="001B0E49" w14:paraId="1428161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2FDA0A9" w14:textId="77777777" w:rsidR="00DF68DF" w:rsidRPr="001B0E49" w:rsidRDefault="00DF68DF" w:rsidP="00DF68DF">
            <w:pPr>
              <w:spacing w:after="0"/>
              <w:jc w:val="center"/>
              <w:rPr>
                <w:rFonts w:cs="Times New Roman"/>
                <w:szCs w:val="24"/>
              </w:rPr>
            </w:pPr>
            <w:r w:rsidRPr="001B0E49">
              <w:rPr>
                <w:rFonts w:cs="Times New Roman"/>
                <w:szCs w:val="24"/>
              </w:rPr>
              <w:t>10.</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092047" w14:textId="77777777" w:rsidR="00DF68DF" w:rsidRPr="001B0E49" w:rsidRDefault="00DF68DF" w:rsidP="00DF68DF">
            <w:pPr>
              <w:spacing w:after="0"/>
              <w:rPr>
                <w:rFonts w:cs="Times New Roman"/>
                <w:szCs w:val="24"/>
              </w:rPr>
            </w:pPr>
            <w:r w:rsidRPr="001B0E49">
              <w:rPr>
                <w:rFonts w:cs="Times New Roman"/>
                <w:szCs w:val="24"/>
              </w:rPr>
              <w:t>Innovativeness</w:t>
            </w:r>
          </w:p>
        </w:tc>
      </w:tr>
      <w:tr w:rsidR="00DF68DF" w:rsidRPr="001B0E49" w14:paraId="7C6DF9BD"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E36596"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BD1C6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7F7B7B9"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54FE3F0" w14:textId="77777777" w:rsidR="00DF68DF" w:rsidRPr="001B0E49" w:rsidRDefault="00DF68DF" w:rsidP="00DF68DF">
            <w:pPr>
              <w:spacing w:after="0"/>
              <w:jc w:val="center"/>
              <w:rPr>
                <w:rFonts w:cs="Times New Roman"/>
                <w:szCs w:val="24"/>
              </w:rPr>
            </w:pPr>
            <w:r w:rsidRPr="001B0E49">
              <w:rPr>
                <w:rFonts w:cs="Times New Roman"/>
                <w:szCs w:val="24"/>
              </w:rPr>
              <w:t>34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E83CB7" w14:textId="77777777" w:rsidR="00DF68DF" w:rsidRPr="001B0E49" w:rsidRDefault="00DF68DF" w:rsidP="00DF68DF">
            <w:pPr>
              <w:spacing w:after="0"/>
              <w:jc w:val="center"/>
              <w:rPr>
                <w:rFonts w:cs="Times New Roman"/>
                <w:szCs w:val="24"/>
              </w:rPr>
            </w:pPr>
            <w:r w:rsidRPr="001B0E49">
              <w:rPr>
                <w:rFonts w:cs="Times New Roman"/>
                <w:szCs w:val="24"/>
              </w:rPr>
              <w:t>28.33</w:t>
            </w:r>
          </w:p>
        </w:tc>
      </w:tr>
      <w:tr w:rsidR="00DF68DF" w:rsidRPr="001B0E49" w14:paraId="78BDCE3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12CFE2"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BDCD4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A78A46F"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1492466" w14:textId="77777777" w:rsidR="00DF68DF" w:rsidRPr="001B0E49" w:rsidRDefault="00DF68DF" w:rsidP="00DF68DF">
            <w:pPr>
              <w:spacing w:after="0"/>
              <w:jc w:val="center"/>
              <w:rPr>
                <w:rFonts w:cs="Times New Roman"/>
                <w:szCs w:val="24"/>
              </w:rPr>
            </w:pPr>
            <w:r w:rsidRPr="001B0E49">
              <w:rPr>
                <w:rFonts w:cs="Times New Roman"/>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E060A16" w14:textId="77777777" w:rsidR="00DF68DF" w:rsidRPr="001B0E49" w:rsidRDefault="00DF68DF" w:rsidP="00DF68DF">
            <w:pPr>
              <w:spacing w:after="0"/>
              <w:jc w:val="center"/>
              <w:rPr>
                <w:rFonts w:cs="Times New Roman"/>
                <w:szCs w:val="24"/>
              </w:rPr>
            </w:pPr>
            <w:r w:rsidRPr="001B0E49">
              <w:rPr>
                <w:rFonts w:cs="Times New Roman"/>
                <w:szCs w:val="24"/>
              </w:rPr>
              <w:t>48.33</w:t>
            </w:r>
          </w:p>
        </w:tc>
      </w:tr>
      <w:tr w:rsidR="00DF68DF" w:rsidRPr="001B0E49" w14:paraId="286A802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9C6899"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6588F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44BF08"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615214"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967745" w14:textId="77777777" w:rsidR="00DF68DF" w:rsidRPr="001B0E49" w:rsidRDefault="00DF68DF" w:rsidP="00DF68DF">
            <w:pPr>
              <w:spacing w:after="0"/>
              <w:jc w:val="center"/>
              <w:rPr>
                <w:rFonts w:cs="Times New Roman"/>
                <w:szCs w:val="24"/>
              </w:rPr>
            </w:pPr>
            <w:r w:rsidRPr="001B0E49">
              <w:rPr>
                <w:rFonts w:cs="Times New Roman"/>
                <w:szCs w:val="24"/>
              </w:rPr>
              <w:t>23.34</w:t>
            </w:r>
          </w:p>
        </w:tc>
      </w:tr>
    </w:tbl>
    <w:p w14:paraId="18C2921D" w14:textId="77777777" w:rsidR="00DF68DF" w:rsidRDefault="00DF68DF" w:rsidP="00DF68DF">
      <w:pPr>
        <w:pStyle w:val="Heading2"/>
        <w:spacing w:before="0"/>
        <w:rPr>
          <w:rFonts w:ascii="Times New Roman" w:hAnsi="Times New Roman" w:cs="Times New Roman"/>
          <w:color w:val="auto"/>
          <w:sz w:val="24"/>
          <w:szCs w:val="24"/>
        </w:rPr>
      </w:pPr>
    </w:p>
    <w:p w14:paraId="7B6C1C60" w14:textId="77777777" w:rsidR="003427E3" w:rsidRPr="00153CB7" w:rsidRDefault="00CC201C" w:rsidP="00DF68DF">
      <w:pPr>
        <w:pStyle w:val="Heading2"/>
        <w:spacing w:before="0"/>
        <w:rPr>
          <w:rFonts w:ascii="Times New Roman" w:hAnsi="Times New Roman" w:cs="Times New Roman"/>
          <w:color w:val="auto"/>
          <w:sz w:val="24"/>
          <w:szCs w:val="24"/>
        </w:rPr>
      </w:pPr>
      <w:r w:rsidRPr="00153CB7">
        <w:rPr>
          <w:rFonts w:ascii="Times New Roman" w:hAnsi="Times New Roman" w:cs="Times New Roman"/>
          <w:color w:val="auto"/>
          <w:sz w:val="24"/>
          <w:szCs w:val="24"/>
        </w:rPr>
        <w:t>Extent of Adoption of Soil Sampling Procedures and SHC Recommendations</w:t>
      </w:r>
    </w:p>
    <w:p w14:paraId="7D8997C4" w14:textId="77777777" w:rsidR="00153CB7" w:rsidRDefault="00CC201C" w:rsidP="00153CB7">
      <w:pPr>
        <w:ind w:firstLine="720"/>
        <w:jc w:val="both"/>
        <w:rPr>
          <w:rFonts w:cs="Times New Roman"/>
          <w:szCs w:val="24"/>
        </w:rPr>
      </w:pPr>
      <w:r w:rsidRPr="001768FC">
        <w:rPr>
          <w:rFonts w:cs="Times New Roman"/>
          <w:szCs w:val="24"/>
        </w:rPr>
        <w:t xml:space="preserve">Table 2 presents the distribution of respondents according to their extent of adoption of soil sampling procedures and soil health </w:t>
      </w:r>
      <w:proofErr w:type="gramStart"/>
      <w:r w:rsidRPr="001768FC">
        <w:rPr>
          <w:rFonts w:cs="Times New Roman"/>
          <w:szCs w:val="24"/>
        </w:rPr>
        <w:t>card based</w:t>
      </w:r>
      <w:proofErr w:type="gramEnd"/>
      <w:r w:rsidRPr="001768FC">
        <w:rPr>
          <w:rFonts w:cs="Times New Roman"/>
          <w:szCs w:val="24"/>
        </w:rPr>
        <w:t xml:space="preserve"> recommendations. The analysis reveals varying levels of adopti</w:t>
      </w:r>
      <w:r w:rsidR="00153CB7">
        <w:rPr>
          <w:rFonts w:cs="Times New Roman"/>
          <w:szCs w:val="24"/>
        </w:rPr>
        <w:t>on across different practices.</w:t>
      </w:r>
    </w:p>
    <w:p w14:paraId="22903503" w14:textId="77777777" w:rsidR="00153CB7" w:rsidRDefault="00CC201C" w:rsidP="00153CB7">
      <w:pPr>
        <w:ind w:firstLine="720"/>
        <w:jc w:val="both"/>
        <w:rPr>
          <w:rFonts w:cs="Times New Roman"/>
          <w:szCs w:val="24"/>
        </w:rPr>
      </w:pPr>
      <w:r w:rsidRPr="001768FC">
        <w:rPr>
          <w:rFonts w:cs="Times New Roman"/>
          <w:szCs w:val="24"/>
        </w:rPr>
        <w:t xml:space="preserve">Among soil sampling procedures, the zigzag pattern for collecting soil samples ranked first with a mean score of 2.53, indicating high adoption. This finding is consistent with standard soil sampling guidelines which recommend zigzag patterns for representative sampling (Extension MSU, 2023; Myers, 2023). Collection of soil samples </w:t>
      </w:r>
      <w:r w:rsidRPr="001768FC">
        <w:rPr>
          <w:rFonts w:cs="Times New Roman"/>
          <w:szCs w:val="24"/>
        </w:rPr>
        <w:lastRenderedPageBreak/>
        <w:t>in non-chemical and non-fertilizer bags ranked second (MS=2.41), demonstrating farmers' awareness about preventing contamination. Phosphatic fertilizers application at basal stage ranked third (MS=2.34), reflecting good understanding of phosphorus management practices.</w:t>
      </w:r>
    </w:p>
    <w:p w14:paraId="114E82D8" w14:textId="77777777" w:rsidR="00153CB7" w:rsidRDefault="00CC201C" w:rsidP="00153CB7">
      <w:pPr>
        <w:ind w:firstLine="720"/>
        <w:jc w:val="both"/>
        <w:rPr>
          <w:rFonts w:cs="Times New Roman"/>
          <w:szCs w:val="24"/>
        </w:rPr>
      </w:pPr>
      <w:r w:rsidRPr="001768FC">
        <w:rPr>
          <w:rFonts w:cs="Times New Roman"/>
          <w:szCs w:val="24"/>
        </w:rPr>
        <w:t>Collection of soil samples from 0-30 cm depth ranked fifth (MS=2.18), showing moderate adoption of recommended sampling depth for agricultural crops. Soil sampling after harvesting Rabi crop (MS=2.23) and testing once in every 2-3 years (MS=2.17) showed moderate adoption, aligning with the SHC scheme's recommendation</w:t>
      </w:r>
      <w:r w:rsidR="00153CB7">
        <w:rPr>
          <w:rFonts w:cs="Times New Roman"/>
          <w:szCs w:val="24"/>
        </w:rPr>
        <w:t xml:space="preserve"> of testing every three years.</w:t>
      </w:r>
    </w:p>
    <w:p w14:paraId="0BFE4847" w14:textId="77777777" w:rsidR="00153CB7" w:rsidRDefault="00CC201C" w:rsidP="00153CB7">
      <w:pPr>
        <w:ind w:firstLine="720"/>
        <w:jc w:val="both"/>
        <w:rPr>
          <w:rFonts w:cs="Times New Roman"/>
          <w:szCs w:val="24"/>
        </w:rPr>
      </w:pPr>
      <w:r w:rsidRPr="001768FC">
        <w:rPr>
          <w:rFonts w:cs="Times New Roman"/>
          <w:szCs w:val="24"/>
        </w:rPr>
        <w:t>Application of recommended dose of fertilizers as per soil health card (MS=2.30) ranked fourth, indicating reasonably good adoption of nutrient management recommendations. This is encouraging as it suggests farmers are utilizing SHC information for fertilizer decisions. Growing and incorporation of green manure crops (MS=2.03) and recommended organic manures (MS=2.23) showed moderate adoption, highlighting the need for promot</w:t>
      </w:r>
      <w:r w:rsidR="00153CB7">
        <w:rPr>
          <w:rFonts w:cs="Times New Roman"/>
          <w:szCs w:val="24"/>
        </w:rPr>
        <w:t>ing organic matter management.</w:t>
      </w:r>
    </w:p>
    <w:p w14:paraId="35277AED" w14:textId="77777777" w:rsidR="00153CB7" w:rsidRDefault="00CC201C" w:rsidP="00153CB7">
      <w:pPr>
        <w:ind w:firstLine="720"/>
        <w:jc w:val="both"/>
        <w:rPr>
          <w:rFonts w:cs="Times New Roman"/>
          <w:szCs w:val="24"/>
        </w:rPr>
      </w:pPr>
      <w:r w:rsidRPr="001768FC">
        <w:rPr>
          <w:rFonts w:cs="Times New Roman"/>
          <w:szCs w:val="24"/>
        </w:rPr>
        <w:t>The practices with lower adoption included browsing SHC website for soil health information (MS=1.53), which ranked last. This indicates limited use of digital resources, possibly due to poor internet connectivity in rural areas or lack of digital literacy.</w:t>
      </w:r>
    </w:p>
    <w:p w14:paraId="46A3933D" w14:textId="77777777" w:rsidR="003427E3" w:rsidRPr="001768FC" w:rsidRDefault="00CC201C" w:rsidP="00153CB7">
      <w:pPr>
        <w:ind w:firstLine="720"/>
        <w:jc w:val="both"/>
        <w:rPr>
          <w:rFonts w:cs="Times New Roman"/>
          <w:szCs w:val="24"/>
        </w:rPr>
      </w:pPr>
      <w:r w:rsidRPr="001768FC">
        <w:rPr>
          <w:rFonts w:cs="Times New Roman"/>
          <w:szCs w:val="24"/>
        </w:rPr>
        <w:t>Application of 30% excess nutrient in low status soils (MS=1.73) and application of PSB in high P soils (MS=1.88) also showed low adoption, suggesting complexity in understanding these recommendations. These findings corroborate with Kumar's (2025) study which identified difficulty in understanding SHC recommendations as a major impediment.</w:t>
      </w:r>
    </w:p>
    <w:p w14:paraId="0C546D65" w14:textId="77777777" w:rsidR="00DF68DF" w:rsidRDefault="00DF68DF" w:rsidP="00DF68DF">
      <w:pPr>
        <w:spacing w:after="0"/>
        <w:rPr>
          <w:rFonts w:cs="Times New Roman"/>
          <w:b/>
          <w:szCs w:val="24"/>
        </w:rPr>
      </w:pPr>
      <w:r>
        <w:rPr>
          <w:rFonts w:cs="Times New Roman"/>
          <w:b/>
          <w:szCs w:val="24"/>
        </w:rPr>
        <w:t>Table 2</w:t>
      </w:r>
      <w:r w:rsidRPr="00684AA1">
        <w:rPr>
          <w:rFonts w:cs="Times New Roman"/>
          <w:b/>
          <w:szCs w:val="24"/>
        </w:rPr>
        <w:t xml:space="preserve">: </w:t>
      </w:r>
      <w:r w:rsidRPr="00210795">
        <w:rPr>
          <w:rFonts w:cs="Times New Roman"/>
          <w:b/>
          <w:szCs w:val="24"/>
        </w:rPr>
        <w:t xml:space="preserve">Distribution of respondents according to their </w:t>
      </w:r>
      <w:r>
        <w:rPr>
          <w:rFonts w:cs="Times New Roman"/>
          <w:b/>
          <w:szCs w:val="24"/>
        </w:rPr>
        <w:t xml:space="preserve">extent of adoption of soil   </w:t>
      </w:r>
    </w:p>
    <w:p w14:paraId="1DF57431" w14:textId="77777777" w:rsidR="00DF68DF" w:rsidRPr="00DF68DF" w:rsidRDefault="00DF68DF" w:rsidP="00DF68DF">
      <w:pPr>
        <w:spacing w:after="0"/>
        <w:rPr>
          <w:rFonts w:cs="Times New Roman"/>
          <w:b/>
          <w:szCs w:val="24"/>
        </w:rPr>
      </w:pPr>
      <w:r>
        <w:rPr>
          <w:rFonts w:cs="Times New Roman"/>
          <w:b/>
          <w:szCs w:val="24"/>
        </w:rPr>
        <w:t xml:space="preserve">                sampling Procedures and </w:t>
      </w:r>
      <w:r w:rsidRPr="00210795">
        <w:rPr>
          <w:rFonts w:cs="Times New Roman"/>
          <w:b/>
          <w:szCs w:val="24"/>
        </w:rPr>
        <w:t xml:space="preserve">soil health </w:t>
      </w:r>
      <w:proofErr w:type="gramStart"/>
      <w:r w:rsidRPr="00210795">
        <w:rPr>
          <w:rFonts w:cs="Times New Roman"/>
          <w:b/>
          <w:szCs w:val="24"/>
        </w:rPr>
        <w:t>card based</w:t>
      </w:r>
      <w:proofErr w:type="gramEnd"/>
      <w:r w:rsidRPr="00210795">
        <w:rPr>
          <w:rFonts w:cs="Times New Roman"/>
          <w:b/>
          <w:szCs w:val="24"/>
        </w:rPr>
        <w:t xml:space="preserve"> recommendations</w:t>
      </w:r>
    </w:p>
    <w:p w14:paraId="6C772DA0" w14:textId="77777777" w:rsidR="00DF68DF" w:rsidRPr="00684AA1" w:rsidRDefault="00DF68DF" w:rsidP="00DF68DF">
      <w:pPr>
        <w:spacing w:after="0"/>
        <w:jc w:val="right"/>
        <w:rPr>
          <w:rFonts w:cs="Times New Roman"/>
          <w:b/>
          <w:szCs w:val="24"/>
        </w:rPr>
      </w:pPr>
      <w:r w:rsidRPr="00684AA1">
        <w:rPr>
          <w:rFonts w:cs="Times New Roman"/>
          <w:b/>
          <w:szCs w:val="24"/>
        </w:rPr>
        <w:t>n=120</w:t>
      </w:r>
    </w:p>
    <w:tbl>
      <w:tblPr>
        <w:tblStyle w:val="TableGrid"/>
        <w:tblW w:w="9888" w:type="dxa"/>
        <w:jc w:val="center"/>
        <w:tblLook w:val="04A0" w:firstRow="1" w:lastRow="0" w:firstColumn="1" w:lastColumn="0" w:noHBand="0" w:noVBand="1"/>
      </w:tblPr>
      <w:tblGrid>
        <w:gridCol w:w="705"/>
        <w:gridCol w:w="3866"/>
        <w:gridCol w:w="1097"/>
        <w:gridCol w:w="1110"/>
        <w:gridCol w:w="1133"/>
        <w:gridCol w:w="885"/>
        <w:gridCol w:w="1092"/>
      </w:tblGrid>
      <w:tr w:rsidR="00DF68DF" w:rsidRPr="00BF0A1A" w14:paraId="16751AED" w14:textId="77777777" w:rsidTr="00096953">
        <w:trPr>
          <w:trHeight w:val="204"/>
          <w:jc w:val="center"/>
        </w:trPr>
        <w:tc>
          <w:tcPr>
            <w:tcW w:w="708" w:type="dxa"/>
            <w:vMerge w:val="restart"/>
            <w:tcBorders>
              <w:top w:val="single" w:sz="4" w:space="0" w:color="auto"/>
            </w:tcBorders>
            <w:vAlign w:val="center"/>
          </w:tcPr>
          <w:p w14:paraId="331E4B50"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Sl. No.</w:t>
            </w:r>
          </w:p>
        </w:tc>
        <w:tc>
          <w:tcPr>
            <w:tcW w:w="3897" w:type="dxa"/>
            <w:vMerge w:val="restart"/>
            <w:tcBorders>
              <w:top w:val="single" w:sz="4" w:space="0" w:color="auto"/>
            </w:tcBorders>
            <w:vAlign w:val="center"/>
          </w:tcPr>
          <w:p w14:paraId="2C3BFD07"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Particulars</w:t>
            </w:r>
          </w:p>
        </w:tc>
        <w:tc>
          <w:tcPr>
            <w:tcW w:w="3301" w:type="dxa"/>
            <w:gridSpan w:val="3"/>
            <w:tcBorders>
              <w:top w:val="single" w:sz="4" w:space="0" w:color="auto"/>
              <w:bottom w:val="single" w:sz="4" w:space="0" w:color="auto"/>
            </w:tcBorders>
            <w:vAlign w:val="center"/>
          </w:tcPr>
          <w:p w14:paraId="1466BB87"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Responses</w:t>
            </w:r>
          </w:p>
        </w:tc>
        <w:tc>
          <w:tcPr>
            <w:tcW w:w="886" w:type="dxa"/>
            <w:vMerge w:val="restart"/>
            <w:tcBorders>
              <w:top w:val="single" w:sz="4" w:space="0" w:color="auto"/>
            </w:tcBorders>
            <w:vAlign w:val="center"/>
          </w:tcPr>
          <w:p w14:paraId="4434F68B"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Mean Score</w:t>
            </w:r>
          </w:p>
        </w:tc>
        <w:tc>
          <w:tcPr>
            <w:tcW w:w="1096" w:type="dxa"/>
            <w:vMerge w:val="restart"/>
            <w:tcBorders>
              <w:top w:val="single" w:sz="4" w:space="0" w:color="auto"/>
            </w:tcBorders>
          </w:tcPr>
          <w:p w14:paraId="3EE31DCB" w14:textId="77777777" w:rsidR="00DF68DF" w:rsidRPr="00BF0A1A" w:rsidRDefault="00DF68DF" w:rsidP="00DF68DF">
            <w:pPr>
              <w:pStyle w:val="NoSpacing"/>
              <w:rPr>
                <w:rFonts w:ascii="Times New Roman" w:hAnsi="Times New Roman" w:cs="Times New Roman"/>
                <w:sz w:val="24"/>
                <w:szCs w:val="24"/>
              </w:rPr>
            </w:pPr>
          </w:p>
          <w:p w14:paraId="29FAD2C8"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Rank</w:t>
            </w:r>
          </w:p>
        </w:tc>
      </w:tr>
      <w:tr w:rsidR="00DF68DF" w:rsidRPr="00BF0A1A" w14:paraId="2A2A6F50" w14:textId="77777777" w:rsidTr="00096953">
        <w:trPr>
          <w:trHeight w:val="267"/>
          <w:jc w:val="center"/>
        </w:trPr>
        <w:tc>
          <w:tcPr>
            <w:tcW w:w="708" w:type="dxa"/>
            <w:vMerge/>
            <w:vAlign w:val="center"/>
          </w:tcPr>
          <w:p w14:paraId="2596A887" w14:textId="77777777" w:rsidR="00DF68DF" w:rsidRPr="00BF0A1A" w:rsidRDefault="00DF68DF" w:rsidP="00DF68DF">
            <w:pPr>
              <w:pStyle w:val="NoSpacing"/>
              <w:jc w:val="center"/>
              <w:rPr>
                <w:rFonts w:ascii="Times New Roman" w:hAnsi="Times New Roman" w:cs="Times New Roman"/>
                <w:b/>
                <w:sz w:val="24"/>
                <w:szCs w:val="24"/>
                <w:u w:val="single"/>
              </w:rPr>
            </w:pPr>
          </w:p>
        </w:tc>
        <w:tc>
          <w:tcPr>
            <w:tcW w:w="3897" w:type="dxa"/>
            <w:vMerge/>
            <w:vAlign w:val="center"/>
          </w:tcPr>
          <w:p w14:paraId="1FCBFFE3" w14:textId="77777777" w:rsidR="00DF68DF" w:rsidRPr="00BF0A1A" w:rsidRDefault="00DF68DF" w:rsidP="00DF68DF">
            <w:pPr>
              <w:pStyle w:val="NoSpacing"/>
              <w:jc w:val="center"/>
              <w:rPr>
                <w:rFonts w:ascii="Times New Roman" w:hAnsi="Times New Roman" w:cs="Times New Roman"/>
                <w:b/>
                <w:sz w:val="24"/>
                <w:szCs w:val="24"/>
              </w:rPr>
            </w:pPr>
          </w:p>
        </w:tc>
        <w:tc>
          <w:tcPr>
            <w:tcW w:w="1077" w:type="dxa"/>
            <w:tcBorders>
              <w:top w:val="single" w:sz="4" w:space="0" w:color="auto"/>
              <w:right w:val="single" w:sz="4" w:space="0" w:color="auto"/>
            </w:tcBorders>
            <w:vAlign w:val="center"/>
          </w:tcPr>
          <w:p w14:paraId="70246DD2"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Adopted</w:t>
            </w:r>
          </w:p>
        </w:tc>
        <w:tc>
          <w:tcPr>
            <w:tcW w:w="1090" w:type="dxa"/>
            <w:tcBorders>
              <w:top w:val="single" w:sz="4" w:space="0" w:color="auto"/>
              <w:left w:val="single" w:sz="4" w:space="0" w:color="auto"/>
              <w:right w:val="single" w:sz="4" w:space="0" w:color="auto"/>
            </w:tcBorders>
            <w:vAlign w:val="center"/>
          </w:tcPr>
          <w:p w14:paraId="409600A2"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Partially</w:t>
            </w:r>
          </w:p>
          <w:p w14:paraId="55A31DB1"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Adopted</w:t>
            </w:r>
          </w:p>
        </w:tc>
        <w:tc>
          <w:tcPr>
            <w:tcW w:w="1134" w:type="dxa"/>
            <w:tcBorders>
              <w:top w:val="single" w:sz="4" w:space="0" w:color="auto"/>
              <w:left w:val="single" w:sz="4" w:space="0" w:color="auto"/>
            </w:tcBorders>
            <w:vAlign w:val="center"/>
          </w:tcPr>
          <w:p w14:paraId="6DB6FD25"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Not adopted</w:t>
            </w:r>
          </w:p>
        </w:tc>
        <w:tc>
          <w:tcPr>
            <w:tcW w:w="886" w:type="dxa"/>
            <w:vMerge/>
          </w:tcPr>
          <w:p w14:paraId="201A5939" w14:textId="77777777" w:rsidR="00DF68DF" w:rsidRPr="00BF0A1A" w:rsidRDefault="00DF68DF" w:rsidP="00DF68DF">
            <w:pPr>
              <w:pStyle w:val="NoSpacing"/>
              <w:rPr>
                <w:rFonts w:ascii="Times New Roman" w:hAnsi="Times New Roman" w:cs="Times New Roman"/>
                <w:sz w:val="24"/>
                <w:szCs w:val="24"/>
              </w:rPr>
            </w:pPr>
          </w:p>
        </w:tc>
        <w:tc>
          <w:tcPr>
            <w:tcW w:w="1096" w:type="dxa"/>
            <w:vMerge/>
          </w:tcPr>
          <w:p w14:paraId="2DDD9F06" w14:textId="77777777" w:rsidR="00DF68DF" w:rsidRPr="00BF0A1A" w:rsidRDefault="00DF68DF" w:rsidP="00DF68DF">
            <w:pPr>
              <w:pStyle w:val="NoSpacing"/>
              <w:rPr>
                <w:rFonts w:ascii="Times New Roman" w:hAnsi="Times New Roman" w:cs="Times New Roman"/>
                <w:sz w:val="24"/>
                <w:szCs w:val="24"/>
              </w:rPr>
            </w:pPr>
          </w:p>
        </w:tc>
      </w:tr>
      <w:tr w:rsidR="00DF68DF" w:rsidRPr="00BF0A1A" w14:paraId="71A04DD0" w14:textId="77777777" w:rsidTr="00096953">
        <w:trPr>
          <w:trHeight w:val="267"/>
          <w:jc w:val="center"/>
        </w:trPr>
        <w:tc>
          <w:tcPr>
            <w:tcW w:w="708" w:type="dxa"/>
          </w:tcPr>
          <w:p w14:paraId="38FD2A8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w:t>
            </w:r>
          </w:p>
        </w:tc>
        <w:tc>
          <w:tcPr>
            <w:tcW w:w="3897" w:type="dxa"/>
          </w:tcPr>
          <w:p w14:paraId="6354538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Soil samples are collected from 0 to 30 cm depth in agricultural crops </w:t>
            </w:r>
          </w:p>
        </w:tc>
        <w:tc>
          <w:tcPr>
            <w:tcW w:w="1077" w:type="dxa"/>
            <w:tcBorders>
              <w:top w:val="single" w:sz="4" w:space="0" w:color="auto"/>
              <w:right w:val="single" w:sz="4" w:space="0" w:color="auto"/>
            </w:tcBorders>
            <w:vAlign w:val="center"/>
          </w:tcPr>
          <w:p w14:paraId="35164D5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52</w:t>
            </w:r>
          </w:p>
        </w:tc>
        <w:tc>
          <w:tcPr>
            <w:tcW w:w="1090" w:type="dxa"/>
            <w:tcBorders>
              <w:top w:val="single" w:sz="4" w:space="0" w:color="auto"/>
              <w:left w:val="single" w:sz="4" w:space="0" w:color="auto"/>
              <w:right w:val="single" w:sz="4" w:space="0" w:color="auto"/>
            </w:tcBorders>
            <w:vAlign w:val="center"/>
          </w:tcPr>
          <w:p w14:paraId="33A306B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38</w:t>
            </w:r>
          </w:p>
        </w:tc>
        <w:tc>
          <w:tcPr>
            <w:tcW w:w="1134" w:type="dxa"/>
            <w:tcBorders>
              <w:top w:val="single" w:sz="4" w:space="0" w:color="auto"/>
              <w:left w:val="single" w:sz="4" w:space="0" w:color="auto"/>
            </w:tcBorders>
            <w:vAlign w:val="center"/>
          </w:tcPr>
          <w:p w14:paraId="1046303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30</w:t>
            </w:r>
          </w:p>
        </w:tc>
        <w:tc>
          <w:tcPr>
            <w:tcW w:w="886" w:type="dxa"/>
            <w:tcBorders>
              <w:top w:val="single" w:sz="4" w:space="0" w:color="auto"/>
              <w:left w:val="single" w:sz="4" w:space="0" w:color="auto"/>
              <w:right w:val="single" w:sz="4" w:space="0" w:color="auto"/>
            </w:tcBorders>
            <w:vAlign w:val="center"/>
          </w:tcPr>
          <w:p w14:paraId="6FB57B1C" w14:textId="77777777" w:rsidR="00DF68DF" w:rsidRPr="00BF0A1A" w:rsidRDefault="00DF68DF" w:rsidP="00DF68DF">
            <w:pPr>
              <w:pStyle w:val="NoSpacing"/>
              <w:jc w:val="center"/>
              <w:rPr>
                <w:rFonts w:ascii="Times New Roman" w:eastAsia="Calibri" w:hAnsi="Times New Roman" w:cs="Times New Roman"/>
                <w:bCs/>
                <w:kern w:val="24"/>
                <w:sz w:val="24"/>
                <w:szCs w:val="24"/>
                <w:lang w:val="en-IN"/>
              </w:rPr>
            </w:pPr>
            <w:r w:rsidRPr="00BF0A1A">
              <w:rPr>
                <w:rFonts w:ascii="Times New Roman" w:eastAsia="Calibri" w:hAnsi="Times New Roman" w:cs="Times New Roman"/>
                <w:bCs/>
                <w:kern w:val="24"/>
                <w:sz w:val="24"/>
                <w:szCs w:val="24"/>
                <w:lang w:val="en-IN"/>
              </w:rPr>
              <w:t>2.18</w:t>
            </w:r>
          </w:p>
        </w:tc>
        <w:tc>
          <w:tcPr>
            <w:tcW w:w="1096" w:type="dxa"/>
            <w:tcBorders>
              <w:top w:val="single" w:sz="4" w:space="0" w:color="auto"/>
              <w:left w:val="single" w:sz="4" w:space="0" w:color="auto"/>
            </w:tcBorders>
            <w:vAlign w:val="center"/>
          </w:tcPr>
          <w:p w14:paraId="2040D10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w:t>
            </w:r>
          </w:p>
        </w:tc>
      </w:tr>
      <w:tr w:rsidR="00DF68DF" w:rsidRPr="00BF0A1A" w14:paraId="19EE26B6" w14:textId="77777777" w:rsidTr="00096953">
        <w:trPr>
          <w:trHeight w:val="267"/>
          <w:jc w:val="center"/>
        </w:trPr>
        <w:tc>
          <w:tcPr>
            <w:tcW w:w="708" w:type="dxa"/>
          </w:tcPr>
          <w:p w14:paraId="2DD614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w:t>
            </w:r>
          </w:p>
        </w:tc>
        <w:tc>
          <w:tcPr>
            <w:tcW w:w="3897" w:type="dxa"/>
          </w:tcPr>
          <w:p w14:paraId="08EEC02B"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Zigzag pattern was followed while collecting soil sample from a field</w:t>
            </w:r>
          </w:p>
        </w:tc>
        <w:tc>
          <w:tcPr>
            <w:tcW w:w="1077" w:type="dxa"/>
            <w:tcBorders>
              <w:top w:val="single" w:sz="4" w:space="0" w:color="auto"/>
              <w:right w:val="single" w:sz="4" w:space="0" w:color="auto"/>
            </w:tcBorders>
            <w:vAlign w:val="center"/>
          </w:tcPr>
          <w:p w14:paraId="4A4ED7D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78</w:t>
            </w:r>
          </w:p>
        </w:tc>
        <w:tc>
          <w:tcPr>
            <w:tcW w:w="1090" w:type="dxa"/>
            <w:tcBorders>
              <w:top w:val="single" w:sz="4" w:space="0" w:color="auto"/>
              <w:left w:val="single" w:sz="4" w:space="0" w:color="auto"/>
              <w:right w:val="single" w:sz="4" w:space="0" w:color="auto"/>
            </w:tcBorders>
            <w:vAlign w:val="center"/>
          </w:tcPr>
          <w:p w14:paraId="4DBAF8A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28</w:t>
            </w:r>
          </w:p>
        </w:tc>
        <w:tc>
          <w:tcPr>
            <w:tcW w:w="1134" w:type="dxa"/>
            <w:tcBorders>
              <w:top w:val="single" w:sz="4" w:space="0" w:color="auto"/>
              <w:left w:val="single" w:sz="4" w:space="0" w:color="auto"/>
            </w:tcBorders>
            <w:vAlign w:val="center"/>
          </w:tcPr>
          <w:p w14:paraId="18E1ABD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14</w:t>
            </w:r>
          </w:p>
        </w:tc>
        <w:tc>
          <w:tcPr>
            <w:tcW w:w="886" w:type="dxa"/>
            <w:tcBorders>
              <w:top w:val="single" w:sz="4" w:space="0" w:color="auto"/>
              <w:left w:val="single" w:sz="4" w:space="0" w:color="auto"/>
              <w:right w:val="single" w:sz="4" w:space="0" w:color="auto"/>
            </w:tcBorders>
            <w:vAlign w:val="center"/>
          </w:tcPr>
          <w:p w14:paraId="248AC933"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2.53</w:t>
            </w:r>
          </w:p>
        </w:tc>
        <w:tc>
          <w:tcPr>
            <w:tcW w:w="1096" w:type="dxa"/>
            <w:tcBorders>
              <w:top w:val="single" w:sz="4" w:space="0" w:color="auto"/>
              <w:left w:val="single" w:sz="4" w:space="0" w:color="auto"/>
            </w:tcBorders>
            <w:vAlign w:val="center"/>
          </w:tcPr>
          <w:p w14:paraId="7B557EC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eastAsia="Calibri" w:hAnsi="Times New Roman" w:cs="Times New Roman"/>
                <w:kern w:val="24"/>
                <w:sz w:val="24"/>
                <w:szCs w:val="24"/>
                <w:lang w:val="en-IN"/>
              </w:rPr>
              <w:t>I</w:t>
            </w:r>
          </w:p>
        </w:tc>
      </w:tr>
      <w:tr w:rsidR="00DF68DF" w:rsidRPr="00BF0A1A" w14:paraId="10066526" w14:textId="77777777" w:rsidTr="00096953">
        <w:trPr>
          <w:trHeight w:val="267"/>
          <w:jc w:val="center"/>
        </w:trPr>
        <w:tc>
          <w:tcPr>
            <w:tcW w:w="708" w:type="dxa"/>
          </w:tcPr>
          <w:p w14:paraId="604FDC6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w:t>
            </w:r>
          </w:p>
        </w:tc>
        <w:tc>
          <w:tcPr>
            <w:tcW w:w="3897" w:type="dxa"/>
          </w:tcPr>
          <w:p w14:paraId="72C7FFEF" w14:textId="77777777" w:rsidR="00DF68DF" w:rsidRPr="00BF0A1A" w:rsidRDefault="00DF68DF" w:rsidP="00DF68DF">
            <w:pPr>
              <w:pStyle w:val="NoSpacing"/>
              <w:jc w:val="both"/>
              <w:rPr>
                <w:rFonts w:ascii="Times New Roman" w:hAnsi="Times New Roman" w:cs="Times New Roman"/>
                <w:sz w:val="24"/>
                <w:szCs w:val="24"/>
              </w:rPr>
            </w:pPr>
            <w:proofErr w:type="spellStart"/>
            <w:r w:rsidRPr="00BF0A1A">
              <w:rPr>
                <w:rFonts w:ascii="Times New Roman" w:hAnsi="Times New Roman" w:cs="Times New Roman"/>
                <w:sz w:val="24"/>
                <w:szCs w:val="24"/>
              </w:rPr>
              <w:t>Quarttering</w:t>
            </w:r>
            <w:proofErr w:type="spellEnd"/>
            <w:r w:rsidRPr="00BF0A1A">
              <w:rPr>
                <w:rFonts w:ascii="Times New Roman" w:hAnsi="Times New Roman" w:cs="Times New Roman"/>
                <w:sz w:val="24"/>
                <w:szCs w:val="24"/>
              </w:rPr>
              <w:t xml:space="preserve"> method is followed during soil sample collection </w:t>
            </w:r>
          </w:p>
        </w:tc>
        <w:tc>
          <w:tcPr>
            <w:tcW w:w="1077" w:type="dxa"/>
            <w:tcBorders>
              <w:top w:val="single" w:sz="4" w:space="0" w:color="auto"/>
              <w:right w:val="single" w:sz="4" w:space="0" w:color="auto"/>
            </w:tcBorders>
            <w:vAlign w:val="center"/>
          </w:tcPr>
          <w:p w14:paraId="7DB278D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1090" w:type="dxa"/>
            <w:tcBorders>
              <w:top w:val="single" w:sz="4" w:space="0" w:color="auto"/>
              <w:left w:val="single" w:sz="4" w:space="0" w:color="auto"/>
              <w:right w:val="single" w:sz="4" w:space="0" w:color="auto"/>
            </w:tcBorders>
            <w:vAlign w:val="center"/>
          </w:tcPr>
          <w:p w14:paraId="42D1FA0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1134" w:type="dxa"/>
            <w:tcBorders>
              <w:top w:val="single" w:sz="4" w:space="0" w:color="auto"/>
              <w:left w:val="single" w:sz="4" w:space="0" w:color="auto"/>
            </w:tcBorders>
            <w:vAlign w:val="center"/>
          </w:tcPr>
          <w:p w14:paraId="0C712A5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43</w:t>
            </w:r>
          </w:p>
        </w:tc>
        <w:tc>
          <w:tcPr>
            <w:tcW w:w="886" w:type="dxa"/>
            <w:tcBorders>
              <w:top w:val="single" w:sz="4" w:space="0" w:color="auto"/>
              <w:left w:val="single" w:sz="4" w:space="0" w:color="auto"/>
              <w:right w:val="single" w:sz="4" w:space="0" w:color="auto"/>
            </w:tcBorders>
            <w:vAlign w:val="center"/>
          </w:tcPr>
          <w:p w14:paraId="6C714E79"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1.98</w:t>
            </w:r>
          </w:p>
        </w:tc>
        <w:tc>
          <w:tcPr>
            <w:tcW w:w="1096" w:type="dxa"/>
            <w:tcBorders>
              <w:top w:val="single" w:sz="4" w:space="0" w:color="auto"/>
              <w:left w:val="single" w:sz="4" w:space="0" w:color="auto"/>
            </w:tcBorders>
            <w:vAlign w:val="center"/>
          </w:tcPr>
          <w:p w14:paraId="51DC6B1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XIV</w:t>
            </w:r>
          </w:p>
        </w:tc>
      </w:tr>
      <w:tr w:rsidR="00DF68DF" w:rsidRPr="00BF0A1A" w14:paraId="309843C6" w14:textId="77777777" w:rsidTr="00096953">
        <w:trPr>
          <w:trHeight w:val="267"/>
          <w:jc w:val="center"/>
        </w:trPr>
        <w:tc>
          <w:tcPr>
            <w:tcW w:w="708" w:type="dxa"/>
          </w:tcPr>
          <w:p w14:paraId="606310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w:t>
            </w:r>
          </w:p>
        </w:tc>
        <w:tc>
          <w:tcPr>
            <w:tcW w:w="3897" w:type="dxa"/>
          </w:tcPr>
          <w:p w14:paraId="538E830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The soil samples were collected in non-chemical &amp; </w:t>
            </w:r>
            <w:proofErr w:type="gramStart"/>
            <w:r w:rsidRPr="00BF0A1A">
              <w:rPr>
                <w:rFonts w:ascii="Times New Roman" w:hAnsi="Times New Roman" w:cs="Times New Roman"/>
                <w:sz w:val="24"/>
                <w:szCs w:val="24"/>
              </w:rPr>
              <w:t>non fertilizer</w:t>
            </w:r>
            <w:proofErr w:type="gramEnd"/>
            <w:r w:rsidRPr="00BF0A1A">
              <w:rPr>
                <w:rFonts w:ascii="Times New Roman" w:hAnsi="Times New Roman" w:cs="Times New Roman"/>
                <w:sz w:val="24"/>
                <w:szCs w:val="24"/>
              </w:rPr>
              <w:t xml:space="preserve"> bags</w:t>
            </w:r>
          </w:p>
        </w:tc>
        <w:tc>
          <w:tcPr>
            <w:tcW w:w="1077" w:type="dxa"/>
            <w:tcBorders>
              <w:top w:val="single" w:sz="4" w:space="0" w:color="auto"/>
              <w:right w:val="single" w:sz="4" w:space="0" w:color="auto"/>
            </w:tcBorders>
            <w:vAlign w:val="center"/>
          </w:tcPr>
          <w:p w14:paraId="1D44D52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69</w:t>
            </w:r>
          </w:p>
        </w:tc>
        <w:tc>
          <w:tcPr>
            <w:tcW w:w="1090" w:type="dxa"/>
            <w:tcBorders>
              <w:top w:val="single" w:sz="4" w:space="0" w:color="auto"/>
              <w:left w:val="single" w:sz="4" w:space="0" w:color="auto"/>
              <w:right w:val="single" w:sz="4" w:space="0" w:color="auto"/>
            </w:tcBorders>
            <w:vAlign w:val="center"/>
          </w:tcPr>
          <w:p w14:paraId="74B2AC9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31</w:t>
            </w:r>
          </w:p>
        </w:tc>
        <w:tc>
          <w:tcPr>
            <w:tcW w:w="1134" w:type="dxa"/>
            <w:tcBorders>
              <w:top w:val="single" w:sz="4" w:space="0" w:color="auto"/>
              <w:left w:val="single" w:sz="4" w:space="0" w:color="auto"/>
            </w:tcBorders>
            <w:vAlign w:val="center"/>
          </w:tcPr>
          <w:p w14:paraId="0594BC4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20</w:t>
            </w:r>
          </w:p>
        </w:tc>
        <w:tc>
          <w:tcPr>
            <w:tcW w:w="886" w:type="dxa"/>
            <w:tcBorders>
              <w:top w:val="single" w:sz="4" w:space="0" w:color="auto"/>
              <w:left w:val="single" w:sz="4" w:space="0" w:color="auto"/>
              <w:right w:val="single" w:sz="4" w:space="0" w:color="auto"/>
            </w:tcBorders>
            <w:vAlign w:val="center"/>
          </w:tcPr>
          <w:p w14:paraId="3607E74E"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2.41</w:t>
            </w:r>
          </w:p>
        </w:tc>
        <w:tc>
          <w:tcPr>
            <w:tcW w:w="1096" w:type="dxa"/>
            <w:tcBorders>
              <w:top w:val="single" w:sz="4" w:space="0" w:color="auto"/>
              <w:left w:val="single" w:sz="4" w:space="0" w:color="auto"/>
            </w:tcBorders>
            <w:vAlign w:val="center"/>
          </w:tcPr>
          <w:p w14:paraId="68416A4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II</w:t>
            </w:r>
          </w:p>
        </w:tc>
      </w:tr>
      <w:tr w:rsidR="00DF68DF" w:rsidRPr="00BF0A1A" w14:paraId="13D772B8" w14:textId="77777777" w:rsidTr="00096953">
        <w:trPr>
          <w:trHeight w:val="267"/>
          <w:jc w:val="center"/>
        </w:trPr>
        <w:tc>
          <w:tcPr>
            <w:tcW w:w="708" w:type="dxa"/>
          </w:tcPr>
          <w:p w14:paraId="5C6CCC0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w:t>
            </w:r>
          </w:p>
        </w:tc>
        <w:tc>
          <w:tcPr>
            <w:tcW w:w="3897" w:type="dxa"/>
          </w:tcPr>
          <w:p w14:paraId="54DD4014"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Soil samples were collected after harvesting the Rabi crop</w:t>
            </w:r>
          </w:p>
        </w:tc>
        <w:tc>
          <w:tcPr>
            <w:tcW w:w="1077" w:type="dxa"/>
            <w:tcBorders>
              <w:top w:val="single" w:sz="4" w:space="0" w:color="auto"/>
              <w:right w:val="single" w:sz="4" w:space="0" w:color="auto"/>
            </w:tcBorders>
            <w:vAlign w:val="center"/>
          </w:tcPr>
          <w:p w14:paraId="46F016E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57</w:t>
            </w:r>
          </w:p>
        </w:tc>
        <w:tc>
          <w:tcPr>
            <w:tcW w:w="1090" w:type="dxa"/>
            <w:tcBorders>
              <w:top w:val="single" w:sz="4" w:space="0" w:color="auto"/>
              <w:left w:val="single" w:sz="4" w:space="0" w:color="auto"/>
              <w:right w:val="single" w:sz="4" w:space="0" w:color="auto"/>
            </w:tcBorders>
            <w:vAlign w:val="center"/>
          </w:tcPr>
          <w:p w14:paraId="03AC963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1134" w:type="dxa"/>
            <w:tcBorders>
              <w:top w:val="single" w:sz="4" w:space="0" w:color="auto"/>
              <w:left w:val="single" w:sz="4" w:space="0" w:color="auto"/>
            </w:tcBorders>
            <w:vAlign w:val="center"/>
          </w:tcPr>
          <w:p w14:paraId="0F0C333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30</w:t>
            </w:r>
          </w:p>
        </w:tc>
        <w:tc>
          <w:tcPr>
            <w:tcW w:w="886" w:type="dxa"/>
            <w:tcBorders>
              <w:top w:val="single" w:sz="4" w:space="0" w:color="auto"/>
              <w:left w:val="single" w:sz="4" w:space="0" w:color="auto"/>
              <w:right w:val="single" w:sz="4" w:space="0" w:color="auto"/>
            </w:tcBorders>
            <w:vAlign w:val="center"/>
          </w:tcPr>
          <w:p w14:paraId="6216BB3F"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2.23</w:t>
            </w:r>
          </w:p>
        </w:tc>
        <w:tc>
          <w:tcPr>
            <w:tcW w:w="1096" w:type="dxa"/>
            <w:tcBorders>
              <w:top w:val="single" w:sz="4" w:space="0" w:color="auto"/>
              <w:left w:val="single" w:sz="4" w:space="0" w:color="auto"/>
            </w:tcBorders>
            <w:vAlign w:val="center"/>
          </w:tcPr>
          <w:p w14:paraId="1D1A450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w:t>
            </w:r>
          </w:p>
        </w:tc>
      </w:tr>
      <w:tr w:rsidR="00DF68DF" w:rsidRPr="00BF0A1A" w14:paraId="4D569048" w14:textId="77777777" w:rsidTr="00096953">
        <w:trPr>
          <w:trHeight w:val="267"/>
          <w:jc w:val="center"/>
        </w:trPr>
        <w:tc>
          <w:tcPr>
            <w:tcW w:w="708" w:type="dxa"/>
          </w:tcPr>
          <w:p w14:paraId="4B58A76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lastRenderedPageBreak/>
              <w:t>6.</w:t>
            </w:r>
          </w:p>
        </w:tc>
        <w:tc>
          <w:tcPr>
            <w:tcW w:w="3897" w:type="dxa"/>
          </w:tcPr>
          <w:p w14:paraId="231AFADA"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Soil samples were tested once in every 2-3 years </w:t>
            </w:r>
          </w:p>
        </w:tc>
        <w:tc>
          <w:tcPr>
            <w:tcW w:w="1077" w:type="dxa"/>
            <w:tcBorders>
              <w:top w:val="single" w:sz="4" w:space="0" w:color="auto"/>
              <w:right w:val="single" w:sz="4" w:space="0" w:color="auto"/>
            </w:tcBorders>
            <w:vAlign w:val="center"/>
          </w:tcPr>
          <w:p w14:paraId="5D164E4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49</w:t>
            </w:r>
          </w:p>
        </w:tc>
        <w:tc>
          <w:tcPr>
            <w:tcW w:w="1090" w:type="dxa"/>
            <w:tcBorders>
              <w:top w:val="single" w:sz="4" w:space="0" w:color="auto"/>
              <w:left w:val="single" w:sz="4" w:space="0" w:color="auto"/>
              <w:right w:val="single" w:sz="4" w:space="0" w:color="auto"/>
            </w:tcBorders>
            <w:vAlign w:val="center"/>
          </w:tcPr>
          <w:p w14:paraId="3BC5751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42</w:t>
            </w:r>
          </w:p>
        </w:tc>
        <w:tc>
          <w:tcPr>
            <w:tcW w:w="1134" w:type="dxa"/>
            <w:tcBorders>
              <w:top w:val="single" w:sz="4" w:space="0" w:color="auto"/>
              <w:left w:val="single" w:sz="4" w:space="0" w:color="auto"/>
            </w:tcBorders>
            <w:vAlign w:val="center"/>
          </w:tcPr>
          <w:p w14:paraId="212922B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29</w:t>
            </w:r>
          </w:p>
        </w:tc>
        <w:tc>
          <w:tcPr>
            <w:tcW w:w="886" w:type="dxa"/>
            <w:tcBorders>
              <w:top w:val="single" w:sz="4" w:space="0" w:color="auto"/>
              <w:left w:val="single" w:sz="4" w:space="0" w:color="auto"/>
              <w:right w:val="single" w:sz="4" w:space="0" w:color="auto"/>
            </w:tcBorders>
            <w:vAlign w:val="center"/>
          </w:tcPr>
          <w:p w14:paraId="42264F0D"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2.17</w:t>
            </w:r>
          </w:p>
        </w:tc>
        <w:tc>
          <w:tcPr>
            <w:tcW w:w="1096" w:type="dxa"/>
            <w:tcBorders>
              <w:top w:val="single" w:sz="4" w:space="0" w:color="auto"/>
              <w:left w:val="single" w:sz="4" w:space="0" w:color="auto"/>
            </w:tcBorders>
            <w:vAlign w:val="center"/>
          </w:tcPr>
          <w:p w14:paraId="52B38DD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VI</w:t>
            </w:r>
          </w:p>
        </w:tc>
      </w:tr>
      <w:tr w:rsidR="00DF68DF" w:rsidRPr="00BF0A1A" w14:paraId="1BB18CAA" w14:textId="77777777" w:rsidTr="00096953">
        <w:trPr>
          <w:trHeight w:val="267"/>
          <w:jc w:val="center"/>
        </w:trPr>
        <w:tc>
          <w:tcPr>
            <w:tcW w:w="708" w:type="dxa"/>
          </w:tcPr>
          <w:p w14:paraId="0CEA060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w:t>
            </w:r>
          </w:p>
        </w:tc>
        <w:tc>
          <w:tcPr>
            <w:tcW w:w="3897" w:type="dxa"/>
          </w:tcPr>
          <w:p w14:paraId="08F71025"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Separate soil samples were collected from a filed based on its </w:t>
            </w:r>
            <w:proofErr w:type="spellStart"/>
            <w:r w:rsidRPr="00BF0A1A">
              <w:rPr>
                <w:rFonts w:ascii="Times New Roman" w:hAnsi="Times New Roman" w:cs="Times New Roman"/>
                <w:sz w:val="24"/>
                <w:szCs w:val="24"/>
              </w:rPr>
              <w:t>colour</w:t>
            </w:r>
            <w:proofErr w:type="spellEnd"/>
          </w:p>
        </w:tc>
        <w:tc>
          <w:tcPr>
            <w:tcW w:w="1077" w:type="dxa"/>
            <w:tcBorders>
              <w:top w:val="single" w:sz="4" w:space="0" w:color="auto"/>
              <w:right w:val="single" w:sz="4" w:space="0" w:color="auto"/>
            </w:tcBorders>
            <w:vAlign w:val="center"/>
          </w:tcPr>
          <w:p w14:paraId="093312B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46</w:t>
            </w:r>
          </w:p>
        </w:tc>
        <w:tc>
          <w:tcPr>
            <w:tcW w:w="1090" w:type="dxa"/>
            <w:tcBorders>
              <w:top w:val="single" w:sz="4" w:space="0" w:color="auto"/>
              <w:left w:val="single" w:sz="4" w:space="0" w:color="auto"/>
              <w:right w:val="single" w:sz="4" w:space="0" w:color="auto"/>
            </w:tcBorders>
            <w:vAlign w:val="center"/>
          </w:tcPr>
          <w:p w14:paraId="0762B87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39</w:t>
            </w:r>
          </w:p>
        </w:tc>
        <w:tc>
          <w:tcPr>
            <w:tcW w:w="1134" w:type="dxa"/>
            <w:tcBorders>
              <w:top w:val="single" w:sz="4" w:space="0" w:color="auto"/>
              <w:left w:val="single" w:sz="4" w:space="0" w:color="auto"/>
            </w:tcBorders>
            <w:vAlign w:val="center"/>
          </w:tcPr>
          <w:p w14:paraId="714ADAC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886" w:type="dxa"/>
            <w:tcBorders>
              <w:top w:val="single" w:sz="4" w:space="0" w:color="auto"/>
              <w:left w:val="single" w:sz="4" w:space="0" w:color="auto"/>
              <w:right w:val="single" w:sz="4" w:space="0" w:color="auto"/>
            </w:tcBorders>
            <w:vAlign w:val="center"/>
          </w:tcPr>
          <w:p w14:paraId="5FB91888"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2.09</w:t>
            </w:r>
          </w:p>
        </w:tc>
        <w:tc>
          <w:tcPr>
            <w:tcW w:w="1096" w:type="dxa"/>
            <w:tcBorders>
              <w:top w:val="single" w:sz="4" w:space="0" w:color="auto"/>
              <w:left w:val="single" w:sz="4" w:space="0" w:color="auto"/>
            </w:tcBorders>
            <w:vAlign w:val="center"/>
          </w:tcPr>
          <w:p w14:paraId="5AEEF17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XIII</w:t>
            </w:r>
          </w:p>
        </w:tc>
      </w:tr>
      <w:tr w:rsidR="00DF68DF" w:rsidRPr="00BF0A1A" w14:paraId="09332E66" w14:textId="77777777" w:rsidTr="00096953">
        <w:trPr>
          <w:trHeight w:val="252"/>
          <w:jc w:val="center"/>
        </w:trPr>
        <w:tc>
          <w:tcPr>
            <w:tcW w:w="708" w:type="dxa"/>
            <w:tcBorders>
              <w:top w:val="single" w:sz="4" w:space="0" w:color="auto"/>
            </w:tcBorders>
          </w:tcPr>
          <w:p w14:paraId="056E1EF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8.</w:t>
            </w:r>
          </w:p>
        </w:tc>
        <w:tc>
          <w:tcPr>
            <w:tcW w:w="3897" w:type="dxa"/>
            <w:tcBorders>
              <w:top w:val="single" w:sz="4" w:space="0" w:color="auto"/>
            </w:tcBorders>
          </w:tcPr>
          <w:p w14:paraId="6CA6AEF6"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PSB in high P soils</w:t>
            </w:r>
          </w:p>
        </w:tc>
        <w:tc>
          <w:tcPr>
            <w:tcW w:w="1077" w:type="dxa"/>
            <w:tcBorders>
              <w:top w:val="single" w:sz="4" w:space="0" w:color="auto"/>
              <w:right w:val="single" w:sz="4" w:space="0" w:color="auto"/>
            </w:tcBorders>
            <w:vAlign w:val="center"/>
          </w:tcPr>
          <w:p w14:paraId="51930D4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34</w:t>
            </w:r>
          </w:p>
        </w:tc>
        <w:tc>
          <w:tcPr>
            <w:tcW w:w="1090" w:type="dxa"/>
            <w:tcBorders>
              <w:top w:val="single" w:sz="4" w:space="0" w:color="auto"/>
              <w:left w:val="single" w:sz="4" w:space="0" w:color="auto"/>
              <w:right w:val="single" w:sz="4" w:space="0" w:color="auto"/>
            </w:tcBorders>
            <w:vAlign w:val="center"/>
          </w:tcPr>
          <w:p w14:paraId="117124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37</w:t>
            </w:r>
          </w:p>
        </w:tc>
        <w:tc>
          <w:tcPr>
            <w:tcW w:w="1134" w:type="dxa"/>
            <w:tcBorders>
              <w:top w:val="single" w:sz="4" w:space="0" w:color="auto"/>
              <w:left w:val="single" w:sz="4" w:space="0" w:color="auto"/>
            </w:tcBorders>
            <w:vAlign w:val="center"/>
          </w:tcPr>
          <w:p w14:paraId="3C97D59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49</w:t>
            </w:r>
          </w:p>
        </w:tc>
        <w:tc>
          <w:tcPr>
            <w:tcW w:w="886" w:type="dxa"/>
            <w:tcBorders>
              <w:top w:val="single" w:sz="4" w:space="0" w:color="auto"/>
              <w:left w:val="single" w:sz="4" w:space="0" w:color="auto"/>
              <w:right w:val="single" w:sz="4" w:space="0" w:color="auto"/>
            </w:tcBorders>
            <w:vAlign w:val="center"/>
          </w:tcPr>
          <w:p w14:paraId="27E8C650"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1.88</w:t>
            </w:r>
          </w:p>
        </w:tc>
        <w:tc>
          <w:tcPr>
            <w:tcW w:w="1096" w:type="dxa"/>
            <w:tcBorders>
              <w:top w:val="single" w:sz="4" w:space="0" w:color="auto"/>
              <w:left w:val="single" w:sz="4" w:space="0" w:color="auto"/>
            </w:tcBorders>
            <w:vAlign w:val="center"/>
          </w:tcPr>
          <w:p w14:paraId="280CAC1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XVII</w:t>
            </w:r>
          </w:p>
        </w:tc>
      </w:tr>
      <w:tr w:rsidR="00DF68DF" w:rsidRPr="00BF0A1A" w14:paraId="063F401D" w14:textId="77777777" w:rsidTr="00096953">
        <w:trPr>
          <w:trHeight w:val="252"/>
          <w:jc w:val="center"/>
        </w:trPr>
        <w:tc>
          <w:tcPr>
            <w:tcW w:w="708" w:type="dxa"/>
            <w:tcBorders>
              <w:top w:val="single" w:sz="4" w:space="0" w:color="auto"/>
            </w:tcBorders>
          </w:tcPr>
          <w:p w14:paraId="0B87C77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9.</w:t>
            </w:r>
          </w:p>
        </w:tc>
        <w:tc>
          <w:tcPr>
            <w:tcW w:w="3897" w:type="dxa"/>
            <w:tcBorders>
              <w:top w:val="single" w:sz="4" w:space="0" w:color="auto"/>
            </w:tcBorders>
          </w:tcPr>
          <w:p w14:paraId="72FAD8F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Phosphatic fertilizers were applied only in basal</w:t>
            </w:r>
          </w:p>
        </w:tc>
        <w:tc>
          <w:tcPr>
            <w:tcW w:w="1077" w:type="dxa"/>
            <w:tcBorders>
              <w:top w:val="single" w:sz="4" w:space="0" w:color="auto"/>
              <w:right w:val="single" w:sz="4" w:space="0" w:color="auto"/>
            </w:tcBorders>
            <w:vAlign w:val="center"/>
          </w:tcPr>
          <w:p w14:paraId="1C63892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63</w:t>
            </w:r>
          </w:p>
        </w:tc>
        <w:tc>
          <w:tcPr>
            <w:tcW w:w="1090" w:type="dxa"/>
            <w:tcBorders>
              <w:top w:val="single" w:sz="4" w:space="0" w:color="auto"/>
              <w:left w:val="single" w:sz="4" w:space="0" w:color="auto"/>
              <w:right w:val="single" w:sz="4" w:space="0" w:color="auto"/>
            </w:tcBorders>
            <w:vAlign w:val="center"/>
          </w:tcPr>
          <w:p w14:paraId="319160D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1134" w:type="dxa"/>
            <w:tcBorders>
              <w:top w:val="single" w:sz="4" w:space="0" w:color="auto"/>
              <w:left w:val="single" w:sz="4" w:space="0" w:color="auto"/>
            </w:tcBorders>
            <w:vAlign w:val="center"/>
          </w:tcPr>
          <w:p w14:paraId="313C7FA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22</w:t>
            </w:r>
          </w:p>
        </w:tc>
        <w:tc>
          <w:tcPr>
            <w:tcW w:w="886" w:type="dxa"/>
            <w:tcBorders>
              <w:top w:val="single" w:sz="4" w:space="0" w:color="auto"/>
              <w:left w:val="single" w:sz="4" w:space="0" w:color="auto"/>
              <w:right w:val="single" w:sz="4" w:space="0" w:color="auto"/>
            </w:tcBorders>
            <w:vAlign w:val="center"/>
          </w:tcPr>
          <w:p w14:paraId="78FB07CE"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2.34</w:t>
            </w:r>
          </w:p>
        </w:tc>
        <w:tc>
          <w:tcPr>
            <w:tcW w:w="1096" w:type="dxa"/>
            <w:tcBorders>
              <w:top w:val="single" w:sz="4" w:space="0" w:color="auto"/>
              <w:left w:val="single" w:sz="4" w:space="0" w:color="auto"/>
            </w:tcBorders>
            <w:vAlign w:val="center"/>
          </w:tcPr>
          <w:p w14:paraId="5167629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III</w:t>
            </w:r>
          </w:p>
        </w:tc>
      </w:tr>
      <w:tr w:rsidR="00DF68DF" w:rsidRPr="00BF0A1A" w14:paraId="4680F87E" w14:textId="77777777" w:rsidTr="00096953">
        <w:trPr>
          <w:trHeight w:val="252"/>
          <w:jc w:val="center"/>
        </w:trPr>
        <w:tc>
          <w:tcPr>
            <w:tcW w:w="708" w:type="dxa"/>
            <w:tcBorders>
              <w:top w:val="single" w:sz="4" w:space="0" w:color="auto"/>
            </w:tcBorders>
          </w:tcPr>
          <w:p w14:paraId="438B3D8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10.</w:t>
            </w:r>
          </w:p>
        </w:tc>
        <w:tc>
          <w:tcPr>
            <w:tcW w:w="3897" w:type="dxa"/>
            <w:tcBorders>
              <w:top w:val="single" w:sz="4" w:space="0" w:color="auto"/>
            </w:tcBorders>
          </w:tcPr>
          <w:p w14:paraId="4FC519B9"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Growing and incorporation of green manure crops for improving soil fertility </w:t>
            </w:r>
          </w:p>
        </w:tc>
        <w:tc>
          <w:tcPr>
            <w:tcW w:w="1077" w:type="dxa"/>
            <w:tcBorders>
              <w:top w:val="single" w:sz="4" w:space="0" w:color="auto"/>
              <w:right w:val="single" w:sz="4" w:space="0" w:color="auto"/>
            </w:tcBorders>
            <w:vAlign w:val="center"/>
          </w:tcPr>
          <w:p w14:paraId="57789D5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40</w:t>
            </w:r>
          </w:p>
        </w:tc>
        <w:tc>
          <w:tcPr>
            <w:tcW w:w="1090" w:type="dxa"/>
            <w:tcBorders>
              <w:top w:val="single" w:sz="4" w:space="0" w:color="auto"/>
              <w:left w:val="single" w:sz="4" w:space="0" w:color="auto"/>
              <w:right w:val="single" w:sz="4" w:space="0" w:color="auto"/>
            </w:tcBorders>
            <w:vAlign w:val="center"/>
          </w:tcPr>
          <w:p w14:paraId="4938988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44</w:t>
            </w:r>
          </w:p>
        </w:tc>
        <w:tc>
          <w:tcPr>
            <w:tcW w:w="1134" w:type="dxa"/>
            <w:tcBorders>
              <w:top w:val="single" w:sz="4" w:space="0" w:color="auto"/>
              <w:left w:val="single" w:sz="4" w:space="0" w:color="auto"/>
            </w:tcBorders>
            <w:vAlign w:val="center"/>
          </w:tcPr>
          <w:p w14:paraId="1B4033E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886" w:type="dxa"/>
            <w:tcBorders>
              <w:top w:val="single" w:sz="4" w:space="0" w:color="auto"/>
              <w:left w:val="single" w:sz="4" w:space="0" w:color="auto"/>
              <w:right w:val="single" w:sz="4" w:space="0" w:color="auto"/>
            </w:tcBorders>
            <w:vAlign w:val="center"/>
          </w:tcPr>
          <w:p w14:paraId="091516D8"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2.03</w:t>
            </w:r>
          </w:p>
        </w:tc>
        <w:tc>
          <w:tcPr>
            <w:tcW w:w="1096" w:type="dxa"/>
            <w:tcBorders>
              <w:top w:val="single" w:sz="4" w:space="0" w:color="auto"/>
              <w:left w:val="single" w:sz="4" w:space="0" w:color="auto"/>
            </w:tcBorders>
            <w:vAlign w:val="center"/>
          </w:tcPr>
          <w:p w14:paraId="091A06B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IX</w:t>
            </w:r>
          </w:p>
        </w:tc>
      </w:tr>
      <w:tr w:rsidR="00DF68DF" w:rsidRPr="00BF0A1A" w14:paraId="1251F5B1" w14:textId="77777777" w:rsidTr="00096953">
        <w:trPr>
          <w:trHeight w:val="267"/>
          <w:jc w:val="center"/>
        </w:trPr>
        <w:tc>
          <w:tcPr>
            <w:tcW w:w="708" w:type="dxa"/>
          </w:tcPr>
          <w:p w14:paraId="5CC9DB5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11.</w:t>
            </w:r>
          </w:p>
        </w:tc>
        <w:tc>
          <w:tcPr>
            <w:tcW w:w="3897" w:type="dxa"/>
          </w:tcPr>
          <w:p w14:paraId="46F0126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Recommended dose of fertilizers as given in soil health card</w:t>
            </w:r>
          </w:p>
        </w:tc>
        <w:tc>
          <w:tcPr>
            <w:tcW w:w="1077" w:type="dxa"/>
            <w:tcBorders>
              <w:right w:val="single" w:sz="4" w:space="0" w:color="auto"/>
            </w:tcBorders>
            <w:vAlign w:val="center"/>
          </w:tcPr>
          <w:p w14:paraId="02FE36E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55</w:t>
            </w:r>
          </w:p>
        </w:tc>
        <w:tc>
          <w:tcPr>
            <w:tcW w:w="1090" w:type="dxa"/>
            <w:tcBorders>
              <w:left w:val="single" w:sz="4" w:space="0" w:color="auto"/>
              <w:right w:val="single" w:sz="4" w:space="0" w:color="auto"/>
            </w:tcBorders>
            <w:vAlign w:val="center"/>
          </w:tcPr>
          <w:p w14:paraId="6D8C4A8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46</w:t>
            </w:r>
          </w:p>
        </w:tc>
        <w:tc>
          <w:tcPr>
            <w:tcW w:w="1134" w:type="dxa"/>
            <w:tcBorders>
              <w:left w:val="single" w:sz="4" w:space="0" w:color="auto"/>
            </w:tcBorders>
            <w:vAlign w:val="center"/>
          </w:tcPr>
          <w:p w14:paraId="3A14E3E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19</w:t>
            </w:r>
          </w:p>
        </w:tc>
        <w:tc>
          <w:tcPr>
            <w:tcW w:w="886" w:type="dxa"/>
            <w:tcBorders>
              <w:left w:val="single" w:sz="4" w:space="0" w:color="auto"/>
              <w:right w:val="single" w:sz="4" w:space="0" w:color="auto"/>
            </w:tcBorders>
            <w:vAlign w:val="center"/>
          </w:tcPr>
          <w:p w14:paraId="4E772BCB" w14:textId="77777777" w:rsidR="00DF68DF" w:rsidRPr="00BF0A1A" w:rsidRDefault="00DF68DF" w:rsidP="00DF68DF">
            <w:pPr>
              <w:pStyle w:val="NoSpacing"/>
              <w:jc w:val="center"/>
              <w:rPr>
                <w:rFonts w:ascii="Times New Roman" w:eastAsia="Calibri" w:hAnsi="Times New Roman" w:cs="Times New Roman"/>
                <w:bCs/>
                <w:kern w:val="24"/>
                <w:sz w:val="24"/>
                <w:szCs w:val="24"/>
                <w:lang w:val="en-IN"/>
              </w:rPr>
            </w:pPr>
            <w:r w:rsidRPr="00BF0A1A">
              <w:rPr>
                <w:rFonts w:ascii="Times New Roman" w:eastAsia="Calibri" w:hAnsi="Times New Roman" w:cs="Times New Roman"/>
                <w:bCs/>
                <w:kern w:val="24"/>
                <w:sz w:val="24"/>
                <w:szCs w:val="24"/>
                <w:lang w:val="en-IN"/>
              </w:rPr>
              <w:t>2.30</w:t>
            </w:r>
          </w:p>
        </w:tc>
        <w:tc>
          <w:tcPr>
            <w:tcW w:w="1096" w:type="dxa"/>
            <w:tcBorders>
              <w:left w:val="single" w:sz="4" w:space="0" w:color="auto"/>
            </w:tcBorders>
            <w:vAlign w:val="center"/>
          </w:tcPr>
          <w:p w14:paraId="4CD7EA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IV</w:t>
            </w:r>
          </w:p>
        </w:tc>
      </w:tr>
      <w:tr w:rsidR="00DF68DF" w:rsidRPr="00BF0A1A" w14:paraId="33C6CEB4" w14:textId="77777777" w:rsidTr="00096953">
        <w:trPr>
          <w:trHeight w:val="267"/>
          <w:jc w:val="center"/>
        </w:trPr>
        <w:tc>
          <w:tcPr>
            <w:tcW w:w="708" w:type="dxa"/>
          </w:tcPr>
          <w:p w14:paraId="6D4B45C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12.</w:t>
            </w:r>
          </w:p>
        </w:tc>
        <w:tc>
          <w:tcPr>
            <w:tcW w:w="3897" w:type="dxa"/>
          </w:tcPr>
          <w:p w14:paraId="7BC142F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Gypsum in black alkali soils </w:t>
            </w:r>
          </w:p>
        </w:tc>
        <w:tc>
          <w:tcPr>
            <w:tcW w:w="1077" w:type="dxa"/>
            <w:tcBorders>
              <w:right w:val="single" w:sz="4" w:space="0" w:color="auto"/>
            </w:tcBorders>
            <w:vAlign w:val="center"/>
          </w:tcPr>
          <w:p w14:paraId="40326C1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38</w:t>
            </w:r>
          </w:p>
        </w:tc>
        <w:tc>
          <w:tcPr>
            <w:tcW w:w="1090" w:type="dxa"/>
            <w:tcBorders>
              <w:left w:val="single" w:sz="4" w:space="0" w:color="auto"/>
              <w:right w:val="single" w:sz="4" w:space="0" w:color="auto"/>
            </w:tcBorders>
            <w:vAlign w:val="center"/>
          </w:tcPr>
          <w:p w14:paraId="696AC73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1134" w:type="dxa"/>
            <w:tcBorders>
              <w:left w:val="single" w:sz="4" w:space="0" w:color="auto"/>
            </w:tcBorders>
            <w:vAlign w:val="center"/>
          </w:tcPr>
          <w:p w14:paraId="406A512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886" w:type="dxa"/>
            <w:tcBorders>
              <w:left w:val="single" w:sz="4" w:space="0" w:color="auto"/>
              <w:right w:val="single" w:sz="4" w:space="0" w:color="auto"/>
            </w:tcBorders>
            <w:vAlign w:val="center"/>
          </w:tcPr>
          <w:p w14:paraId="49B8A893"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1.98</w:t>
            </w:r>
          </w:p>
        </w:tc>
        <w:tc>
          <w:tcPr>
            <w:tcW w:w="1096" w:type="dxa"/>
            <w:tcBorders>
              <w:left w:val="single" w:sz="4" w:space="0" w:color="auto"/>
            </w:tcBorders>
            <w:vAlign w:val="center"/>
          </w:tcPr>
          <w:p w14:paraId="4C27F3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w:t>
            </w:r>
          </w:p>
        </w:tc>
      </w:tr>
      <w:tr w:rsidR="00DF68DF" w:rsidRPr="00BF0A1A" w14:paraId="29105A36" w14:textId="77777777" w:rsidTr="00096953">
        <w:trPr>
          <w:trHeight w:val="267"/>
          <w:jc w:val="center"/>
        </w:trPr>
        <w:tc>
          <w:tcPr>
            <w:tcW w:w="708" w:type="dxa"/>
          </w:tcPr>
          <w:p w14:paraId="6CF49AE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13.</w:t>
            </w:r>
          </w:p>
        </w:tc>
        <w:tc>
          <w:tcPr>
            <w:tcW w:w="3897" w:type="dxa"/>
          </w:tcPr>
          <w:p w14:paraId="7EE806C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Lime in Acid soils</w:t>
            </w:r>
          </w:p>
        </w:tc>
        <w:tc>
          <w:tcPr>
            <w:tcW w:w="1077" w:type="dxa"/>
            <w:tcBorders>
              <w:right w:val="single" w:sz="4" w:space="0" w:color="auto"/>
            </w:tcBorders>
            <w:vAlign w:val="center"/>
          </w:tcPr>
          <w:p w14:paraId="2659FA2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29</w:t>
            </w:r>
          </w:p>
        </w:tc>
        <w:tc>
          <w:tcPr>
            <w:tcW w:w="1090" w:type="dxa"/>
            <w:tcBorders>
              <w:left w:val="single" w:sz="4" w:space="0" w:color="auto"/>
              <w:right w:val="single" w:sz="4" w:space="0" w:color="auto"/>
            </w:tcBorders>
            <w:vAlign w:val="center"/>
          </w:tcPr>
          <w:p w14:paraId="64DEAAF8"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1134" w:type="dxa"/>
            <w:tcBorders>
              <w:left w:val="single" w:sz="4" w:space="0" w:color="auto"/>
            </w:tcBorders>
            <w:vAlign w:val="center"/>
          </w:tcPr>
          <w:p w14:paraId="4D51CF2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58</w:t>
            </w:r>
          </w:p>
        </w:tc>
        <w:tc>
          <w:tcPr>
            <w:tcW w:w="886" w:type="dxa"/>
            <w:tcBorders>
              <w:left w:val="single" w:sz="4" w:space="0" w:color="auto"/>
              <w:right w:val="single" w:sz="4" w:space="0" w:color="auto"/>
            </w:tcBorders>
            <w:vAlign w:val="center"/>
          </w:tcPr>
          <w:p w14:paraId="5684C397"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1.76</w:t>
            </w:r>
          </w:p>
        </w:tc>
        <w:tc>
          <w:tcPr>
            <w:tcW w:w="1096" w:type="dxa"/>
            <w:tcBorders>
              <w:left w:val="single" w:sz="4" w:space="0" w:color="auto"/>
            </w:tcBorders>
            <w:vAlign w:val="center"/>
          </w:tcPr>
          <w:p w14:paraId="3E50491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XVIII</w:t>
            </w:r>
          </w:p>
        </w:tc>
      </w:tr>
      <w:tr w:rsidR="00DF68DF" w:rsidRPr="00BF0A1A" w14:paraId="694B0810" w14:textId="77777777" w:rsidTr="00096953">
        <w:trPr>
          <w:trHeight w:val="267"/>
          <w:jc w:val="center"/>
        </w:trPr>
        <w:tc>
          <w:tcPr>
            <w:tcW w:w="708" w:type="dxa"/>
          </w:tcPr>
          <w:p w14:paraId="73618A3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14.</w:t>
            </w:r>
          </w:p>
        </w:tc>
        <w:tc>
          <w:tcPr>
            <w:tcW w:w="3897" w:type="dxa"/>
          </w:tcPr>
          <w:p w14:paraId="7FFFDCC1"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ZnSo4 @20kg/acre for Zn deficient soils</w:t>
            </w:r>
          </w:p>
        </w:tc>
        <w:tc>
          <w:tcPr>
            <w:tcW w:w="1077" w:type="dxa"/>
            <w:tcBorders>
              <w:right w:val="single" w:sz="4" w:space="0" w:color="auto"/>
            </w:tcBorders>
            <w:vAlign w:val="center"/>
          </w:tcPr>
          <w:p w14:paraId="15C4DFA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47</w:t>
            </w:r>
          </w:p>
        </w:tc>
        <w:tc>
          <w:tcPr>
            <w:tcW w:w="1090" w:type="dxa"/>
            <w:tcBorders>
              <w:left w:val="single" w:sz="4" w:space="0" w:color="auto"/>
              <w:right w:val="single" w:sz="4" w:space="0" w:color="auto"/>
            </w:tcBorders>
            <w:vAlign w:val="center"/>
          </w:tcPr>
          <w:p w14:paraId="3CC5208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40</w:t>
            </w:r>
          </w:p>
        </w:tc>
        <w:tc>
          <w:tcPr>
            <w:tcW w:w="1134" w:type="dxa"/>
            <w:tcBorders>
              <w:left w:val="single" w:sz="4" w:space="0" w:color="auto"/>
            </w:tcBorders>
            <w:vAlign w:val="center"/>
          </w:tcPr>
          <w:p w14:paraId="717C9AA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886" w:type="dxa"/>
            <w:tcBorders>
              <w:left w:val="single" w:sz="4" w:space="0" w:color="auto"/>
              <w:right w:val="single" w:sz="4" w:space="0" w:color="auto"/>
            </w:tcBorders>
            <w:vAlign w:val="center"/>
          </w:tcPr>
          <w:p w14:paraId="5444DAF1"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2.12</w:t>
            </w:r>
          </w:p>
        </w:tc>
        <w:tc>
          <w:tcPr>
            <w:tcW w:w="1096" w:type="dxa"/>
            <w:tcBorders>
              <w:left w:val="single" w:sz="4" w:space="0" w:color="auto"/>
            </w:tcBorders>
            <w:vAlign w:val="center"/>
          </w:tcPr>
          <w:p w14:paraId="7090424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w:t>
            </w:r>
          </w:p>
        </w:tc>
      </w:tr>
      <w:tr w:rsidR="00DF68DF" w:rsidRPr="00BF0A1A" w14:paraId="7B5AF7FF" w14:textId="77777777" w:rsidTr="00096953">
        <w:trPr>
          <w:trHeight w:val="267"/>
          <w:jc w:val="center"/>
        </w:trPr>
        <w:tc>
          <w:tcPr>
            <w:tcW w:w="708" w:type="dxa"/>
          </w:tcPr>
          <w:p w14:paraId="7E81343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15.</w:t>
            </w:r>
          </w:p>
        </w:tc>
        <w:tc>
          <w:tcPr>
            <w:tcW w:w="3897" w:type="dxa"/>
          </w:tcPr>
          <w:p w14:paraId="3DBDED9D"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30% excess nutrient in case of low status shown in SHC</w:t>
            </w:r>
          </w:p>
        </w:tc>
        <w:tc>
          <w:tcPr>
            <w:tcW w:w="1077" w:type="dxa"/>
            <w:tcBorders>
              <w:right w:val="single" w:sz="4" w:space="0" w:color="auto"/>
            </w:tcBorders>
            <w:vAlign w:val="center"/>
          </w:tcPr>
          <w:p w14:paraId="3A5177C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26</w:t>
            </w:r>
          </w:p>
        </w:tc>
        <w:tc>
          <w:tcPr>
            <w:tcW w:w="1090" w:type="dxa"/>
            <w:tcBorders>
              <w:left w:val="single" w:sz="4" w:space="0" w:color="auto"/>
              <w:right w:val="single" w:sz="4" w:space="0" w:color="auto"/>
            </w:tcBorders>
            <w:vAlign w:val="center"/>
          </w:tcPr>
          <w:p w14:paraId="626CDBA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1134" w:type="dxa"/>
            <w:tcBorders>
              <w:left w:val="single" w:sz="4" w:space="0" w:color="auto"/>
            </w:tcBorders>
            <w:vAlign w:val="center"/>
          </w:tcPr>
          <w:p w14:paraId="053408D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59</w:t>
            </w:r>
          </w:p>
        </w:tc>
        <w:tc>
          <w:tcPr>
            <w:tcW w:w="886" w:type="dxa"/>
            <w:tcBorders>
              <w:left w:val="single" w:sz="4" w:space="0" w:color="auto"/>
              <w:right w:val="single" w:sz="4" w:space="0" w:color="auto"/>
            </w:tcBorders>
            <w:vAlign w:val="center"/>
          </w:tcPr>
          <w:p w14:paraId="3842D74C"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1.73</w:t>
            </w:r>
          </w:p>
        </w:tc>
        <w:tc>
          <w:tcPr>
            <w:tcW w:w="1096" w:type="dxa"/>
            <w:tcBorders>
              <w:left w:val="single" w:sz="4" w:space="0" w:color="auto"/>
            </w:tcBorders>
            <w:vAlign w:val="center"/>
          </w:tcPr>
          <w:p w14:paraId="774A603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XIX</w:t>
            </w:r>
          </w:p>
        </w:tc>
      </w:tr>
      <w:tr w:rsidR="00DF68DF" w:rsidRPr="00BF0A1A" w14:paraId="3B063B2E" w14:textId="77777777" w:rsidTr="00096953">
        <w:trPr>
          <w:trHeight w:val="267"/>
          <w:jc w:val="center"/>
        </w:trPr>
        <w:tc>
          <w:tcPr>
            <w:tcW w:w="708" w:type="dxa"/>
          </w:tcPr>
          <w:p w14:paraId="6BE8EAF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16.</w:t>
            </w:r>
          </w:p>
        </w:tc>
        <w:tc>
          <w:tcPr>
            <w:tcW w:w="3897" w:type="dxa"/>
          </w:tcPr>
          <w:p w14:paraId="618A22C0"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lang w:val="en-IN"/>
              </w:rPr>
              <w:t>Recommended organic manures as per SHC results</w:t>
            </w:r>
          </w:p>
        </w:tc>
        <w:tc>
          <w:tcPr>
            <w:tcW w:w="1077" w:type="dxa"/>
            <w:tcBorders>
              <w:right w:val="single" w:sz="4" w:space="0" w:color="auto"/>
            </w:tcBorders>
            <w:vAlign w:val="center"/>
          </w:tcPr>
          <w:p w14:paraId="0B63FBB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51</w:t>
            </w:r>
          </w:p>
        </w:tc>
        <w:tc>
          <w:tcPr>
            <w:tcW w:w="1090" w:type="dxa"/>
            <w:tcBorders>
              <w:left w:val="single" w:sz="4" w:space="0" w:color="auto"/>
              <w:right w:val="single" w:sz="4" w:space="0" w:color="auto"/>
            </w:tcBorders>
            <w:vAlign w:val="center"/>
          </w:tcPr>
          <w:p w14:paraId="15BB63E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45</w:t>
            </w:r>
          </w:p>
        </w:tc>
        <w:tc>
          <w:tcPr>
            <w:tcW w:w="1134" w:type="dxa"/>
            <w:tcBorders>
              <w:left w:val="single" w:sz="4" w:space="0" w:color="auto"/>
            </w:tcBorders>
            <w:vAlign w:val="center"/>
          </w:tcPr>
          <w:p w14:paraId="50F4945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24</w:t>
            </w:r>
          </w:p>
        </w:tc>
        <w:tc>
          <w:tcPr>
            <w:tcW w:w="886" w:type="dxa"/>
            <w:tcBorders>
              <w:left w:val="single" w:sz="4" w:space="0" w:color="auto"/>
              <w:right w:val="single" w:sz="4" w:space="0" w:color="auto"/>
            </w:tcBorders>
            <w:vAlign w:val="center"/>
          </w:tcPr>
          <w:p w14:paraId="51ECD93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2.23</w:t>
            </w:r>
          </w:p>
        </w:tc>
        <w:tc>
          <w:tcPr>
            <w:tcW w:w="1096" w:type="dxa"/>
            <w:tcBorders>
              <w:left w:val="single" w:sz="4" w:space="0" w:color="auto"/>
            </w:tcBorders>
            <w:vAlign w:val="center"/>
          </w:tcPr>
          <w:p w14:paraId="0656625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VII</w:t>
            </w:r>
          </w:p>
        </w:tc>
      </w:tr>
      <w:tr w:rsidR="00DF68DF" w:rsidRPr="00BF0A1A" w14:paraId="797A10A8" w14:textId="77777777" w:rsidTr="00096953">
        <w:trPr>
          <w:trHeight w:val="267"/>
          <w:jc w:val="center"/>
        </w:trPr>
        <w:tc>
          <w:tcPr>
            <w:tcW w:w="708" w:type="dxa"/>
          </w:tcPr>
          <w:p w14:paraId="79191C5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17.</w:t>
            </w:r>
          </w:p>
        </w:tc>
        <w:tc>
          <w:tcPr>
            <w:tcW w:w="3897" w:type="dxa"/>
          </w:tcPr>
          <w:p w14:paraId="536029A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Zinc was sprayed separately without mixing of any chemical</w:t>
            </w:r>
          </w:p>
        </w:tc>
        <w:tc>
          <w:tcPr>
            <w:tcW w:w="1077" w:type="dxa"/>
            <w:tcBorders>
              <w:right w:val="single" w:sz="4" w:space="0" w:color="auto"/>
            </w:tcBorders>
            <w:vAlign w:val="center"/>
          </w:tcPr>
          <w:p w14:paraId="2B2A46B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44</w:t>
            </w:r>
          </w:p>
        </w:tc>
        <w:tc>
          <w:tcPr>
            <w:tcW w:w="1090" w:type="dxa"/>
            <w:tcBorders>
              <w:left w:val="single" w:sz="4" w:space="0" w:color="auto"/>
              <w:right w:val="single" w:sz="4" w:space="0" w:color="auto"/>
            </w:tcBorders>
            <w:vAlign w:val="center"/>
          </w:tcPr>
          <w:p w14:paraId="0FE838B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39</w:t>
            </w:r>
          </w:p>
        </w:tc>
        <w:tc>
          <w:tcPr>
            <w:tcW w:w="1134" w:type="dxa"/>
            <w:tcBorders>
              <w:left w:val="single" w:sz="4" w:space="0" w:color="auto"/>
            </w:tcBorders>
            <w:vAlign w:val="center"/>
          </w:tcPr>
          <w:p w14:paraId="5AD4BAF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37</w:t>
            </w:r>
          </w:p>
        </w:tc>
        <w:tc>
          <w:tcPr>
            <w:tcW w:w="886" w:type="dxa"/>
            <w:tcBorders>
              <w:left w:val="single" w:sz="4" w:space="0" w:color="auto"/>
              <w:right w:val="single" w:sz="4" w:space="0" w:color="auto"/>
            </w:tcBorders>
            <w:vAlign w:val="center"/>
          </w:tcPr>
          <w:p w14:paraId="2E14900F"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2.06</w:t>
            </w:r>
          </w:p>
        </w:tc>
        <w:tc>
          <w:tcPr>
            <w:tcW w:w="1096" w:type="dxa"/>
            <w:tcBorders>
              <w:left w:val="single" w:sz="4" w:space="0" w:color="auto"/>
            </w:tcBorders>
            <w:vAlign w:val="center"/>
          </w:tcPr>
          <w:p w14:paraId="65E7677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XII</w:t>
            </w:r>
          </w:p>
        </w:tc>
      </w:tr>
      <w:tr w:rsidR="00DF68DF" w:rsidRPr="00BF0A1A" w14:paraId="6CC8428D" w14:textId="77777777" w:rsidTr="00096953">
        <w:trPr>
          <w:trHeight w:val="267"/>
          <w:jc w:val="center"/>
        </w:trPr>
        <w:tc>
          <w:tcPr>
            <w:tcW w:w="708" w:type="dxa"/>
          </w:tcPr>
          <w:p w14:paraId="5ADDEC9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18.</w:t>
            </w:r>
          </w:p>
        </w:tc>
        <w:tc>
          <w:tcPr>
            <w:tcW w:w="3897" w:type="dxa"/>
          </w:tcPr>
          <w:p w14:paraId="0ECA954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recommended dose of micro nutrients as per soil health cards </w:t>
            </w:r>
          </w:p>
        </w:tc>
        <w:tc>
          <w:tcPr>
            <w:tcW w:w="1077" w:type="dxa"/>
            <w:tcBorders>
              <w:right w:val="single" w:sz="4" w:space="0" w:color="auto"/>
            </w:tcBorders>
            <w:vAlign w:val="center"/>
          </w:tcPr>
          <w:p w14:paraId="0CCCB92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42</w:t>
            </w:r>
          </w:p>
        </w:tc>
        <w:tc>
          <w:tcPr>
            <w:tcW w:w="1090" w:type="dxa"/>
            <w:tcBorders>
              <w:left w:val="single" w:sz="4" w:space="0" w:color="auto"/>
              <w:right w:val="single" w:sz="4" w:space="0" w:color="auto"/>
            </w:tcBorders>
            <w:vAlign w:val="center"/>
          </w:tcPr>
          <w:p w14:paraId="24E6EA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47</w:t>
            </w:r>
          </w:p>
        </w:tc>
        <w:tc>
          <w:tcPr>
            <w:tcW w:w="1134" w:type="dxa"/>
            <w:tcBorders>
              <w:left w:val="single" w:sz="4" w:space="0" w:color="auto"/>
            </w:tcBorders>
            <w:vAlign w:val="center"/>
          </w:tcPr>
          <w:p w14:paraId="49C4BCF8"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31</w:t>
            </w:r>
          </w:p>
        </w:tc>
        <w:tc>
          <w:tcPr>
            <w:tcW w:w="886" w:type="dxa"/>
            <w:tcBorders>
              <w:left w:val="single" w:sz="4" w:space="0" w:color="auto"/>
              <w:right w:val="single" w:sz="4" w:space="0" w:color="auto"/>
            </w:tcBorders>
            <w:vAlign w:val="center"/>
          </w:tcPr>
          <w:p w14:paraId="1B9247B1"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2.09</w:t>
            </w:r>
          </w:p>
        </w:tc>
        <w:tc>
          <w:tcPr>
            <w:tcW w:w="1096" w:type="dxa"/>
            <w:tcBorders>
              <w:left w:val="single" w:sz="4" w:space="0" w:color="auto"/>
            </w:tcBorders>
            <w:vAlign w:val="center"/>
          </w:tcPr>
          <w:p w14:paraId="55D523B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w:t>
            </w:r>
          </w:p>
        </w:tc>
      </w:tr>
      <w:tr w:rsidR="00DF68DF" w:rsidRPr="00BF0A1A" w14:paraId="7A87327E" w14:textId="77777777" w:rsidTr="00096953">
        <w:trPr>
          <w:trHeight w:val="267"/>
          <w:jc w:val="center"/>
        </w:trPr>
        <w:tc>
          <w:tcPr>
            <w:tcW w:w="708" w:type="dxa"/>
          </w:tcPr>
          <w:p w14:paraId="59AE0CF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19.</w:t>
            </w:r>
          </w:p>
        </w:tc>
        <w:tc>
          <w:tcPr>
            <w:tcW w:w="3897" w:type="dxa"/>
          </w:tcPr>
          <w:p w14:paraId="05342F6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recommended dose of </w:t>
            </w:r>
            <w:proofErr w:type="gramStart"/>
            <w:r w:rsidRPr="00BF0A1A">
              <w:rPr>
                <w:rFonts w:ascii="Times New Roman" w:hAnsi="Times New Roman" w:cs="Times New Roman"/>
                <w:sz w:val="24"/>
                <w:szCs w:val="24"/>
              </w:rPr>
              <w:t>secondary  nutrients</w:t>
            </w:r>
            <w:proofErr w:type="gramEnd"/>
            <w:r w:rsidRPr="00BF0A1A">
              <w:rPr>
                <w:rFonts w:ascii="Times New Roman" w:hAnsi="Times New Roman" w:cs="Times New Roman"/>
                <w:sz w:val="24"/>
                <w:szCs w:val="24"/>
              </w:rPr>
              <w:t xml:space="preserve"> as per soil health cards</w:t>
            </w:r>
          </w:p>
        </w:tc>
        <w:tc>
          <w:tcPr>
            <w:tcW w:w="1077" w:type="dxa"/>
            <w:tcBorders>
              <w:right w:val="single" w:sz="4" w:space="0" w:color="auto"/>
            </w:tcBorders>
            <w:vAlign w:val="center"/>
          </w:tcPr>
          <w:p w14:paraId="3E0A794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1090" w:type="dxa"/>
            <w:tcBorders>
              <w:left w:val="single" w:sz="4" w:space="0" w:color="auto"/>
              <w:right w:val="single" w:sz="4" w:space="0" w:color="auto"/>
            </w:tcBorders>
            <w:vAlign w:val="center"/>
          </w:tcPr>
          <w:p w14:paraId="32DC496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43</w:t>
            </w:r>
          </w:p>
        </w:tc>
        <w:tc>
          <w:tcPr>
            <w:tcW w:w="1134" w:type="dxa"/>
            <w:tcBorders>
              <w:left w:val="single" w:sz="4" w:space="0" w:color="auto"/>
            </w:tcBorders>
            <w:vAlign w:val="center"/>
          </w:tcPr>
          <w:p w14:paraId="47F7CFE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886" w:type="dxa"/>
            <w:tcBorders>
              <w:left w:val="single" w:sz="4" w:space="0" w:color="auto"/>
              <w:right w:val="single" w:sz="4" w:space="0" w:color="auto"/>
            </w:tcBorders>
            <w:vAlign w:val="center"/>
          </w:tcPr>
          <w:p w14:paraId="08EEA2B7"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1.96</w:t>
            </w:r>
          </w:p>
        </w:tc>
        <w:tc>
          <w:tcPr>
            <w:tcW w:w="1096" w:type="dxa"/>
            <w:tcBorders>
              <w:left w:val="single" w:sz="4" w:space="0" w:color="auto"/>
            </w:tcBorders>
            <w:vAlign w:val="center"/>
          </w:tcPr>
          <w:p w14:paraId="45E4EDE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w:t>
            </w:r>
          </w:p>
        </w:tc>
      </w:tr>
      <w:tr w:rsidR="00DF68DF" w:rsidRPr="00BF0A1A" w14:paraId="786140C3" w14:textId="77777777" w:rsidTr="00096953">
        <w:trPr>
          <w:trHeight w:val="267"/>
          <w:jc w:val="center"/>
        </w:trPr>
        <w:tc>
          <w:tcPr>
            <w:tcW w:w="708" w:type="dxa"/>
          </w:tcPr>
          <w:p w14:paraId="2FA916D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20.</w:t>
            </w:r>
          </w:p>
        </w:tc>
        <w:tc>
          <w:tcPr>
            <w:tcW w:w="3897" w:type="dxa"/>
          </w:tcPr>
          <w:p w14:paraId="04DE14B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Browsing SHC website for soil health information</w:t>
            </w:r>
          </w:p>
        </w:tc>
        <w:tc>
          <w:tcPr>
            <w:tcW w:w="1077" w:type="dxa"/>
            <w:tcBorders>
              <w:right w:val="single" w:sz="4" w:space="0" w:color="auto"/>
            </w:tcBorders>
            <w:vAlign w:val="center"/>
          </w:tcPr>
          <w:p w14:paraId="56CE804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18</w:t>
            </w:r>
          </w:p>
        </w:tc>
        <w:tc>
          <w:tcPr>
            <w:tcW w:w="1090" w:type="dxa"/>
            <w:tcBorders>
              <w:left w:val="single" w:sz="4" w:space="0" w:color="auto"/>
              <w:right w:val="single" w:sz="4" w:space="0" w:color="auto"/>
            </w:tcBorders>
            <w:vAlign w:val="center"/>
          </w:tcPr>
          <w:p w14:paraId="4B1D34E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27</w:t>
            </w:r>
          </w:p>
        </w:tc>
        <w:tc>
          <w:tcPr>
            <w:tcW w:w="1134" w:type="dxa"/>
            <w:tcBorders>
              <w:left w:val="single" w:sz="4" w:space="0" w:color="auto"/>
            </w:tcBorders>
            <w:vAlign w:val="center"/>
          </w:tcPr>
          <w:p w14:paraId="3A82A84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75</w:t>
            </w:r>
          </w:p>
        </w:tc>
        <w:tc>
          <w:tcPr>
            <w:tcW w:w="886" w:type="dxa"/>
            <w:tcBorders>
              <w:left w:val="single" w:sz="4" w:space="0" w:color="auto"/>
              <w:right w:val="single" w:sz="4" w:space="0" w:color="auto"/>
            </w:tcBorders>
            <w:vAlign w:val="center"/>
          </w:tcPr>
          <w:p w14:paraId="417F88E2"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1.53</w:t>
            </w:r>
          </w:p>
        </w:tc>
        <w:tc>
          <w:tcPr>
            <w:tcW w:w="1096" w:type="dxa"/>
            <w:tcBorders>
              <w:left w:val="single" w:sz="4" w:space="0" w:color="auto"/>
            </w:tcBorders>
            <w:vAlign w:val="center"/>
          </w:tcPr>
          <w:p w14:paraId="54B32A0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XX</w:t>
            </w:r>
          </w:p>
        </w:tc>
      </w:tr>
    </w:tbl>
    <w:p w14:paraId="45FE6556" w14:textId="77777777" w:rsidR="003427E3" w:rsidRPr="00DF68DF" w:rsidRDefault="00CC201C">
      <w:pPr>
        <w:pStyle w:val="Heading2"/>
        <w:rPr>
          <w:rFonts w:ascii="Times New Roman" w:hAnsi="Times New Roman" w:cs="Times New Roman"/>
          <w:color w:val="auto"/>
          <w:sz w:val="24"/>
          <w:szCs w:val="24"/>
        </w:rPr>
      </w:pPr>
      <w:r w:rsidRPr="00DF68DF">
        <w:rPr>
          <w:rFonts w:ascii="Times New Roman" w:hAnsi="Times New Roman" w:cs="Times New Roman"/>
          <w:color w:val="auto"/>
          <w:sz w:val="24"/>
          <w:szCs w:val="24"/>
        </w:rPr>
        <w:t>Overall Adoption of SHC Recommendations</w:t>
      </w:r>
    </w:p>
    <w:p w14:paraId="4B826EAE" w14:textId="77777777" w:rsidR="00DF68DF" w:rsidRDefault="00CC201C" w:rsidP="00DF68DF">
      <w:pPr>
        <w:ind w:firstLine="720"/>
        <w:jc w:val="both"/>
        <w:rPr>
          <w:rFonts w:cs="Times New Roman"/>
          <w:szCs w:val="24"/>
        </w:rPr>
      </w:pPr>
      <w:r w:rsidRPr="001768FC">
        <w:rPr>
          <w:rFonts w:cs="Times New Roman"/>
          <w:szCs w:val="24"/>
        </w:rPr>
        <w:t xml:space="preserve">Table 3 presents the overall practical adoption of soil health </w:t>
      </w:r>
      <w:proofErr w:type="gramStart"/>
      <w:r w:rsidRPr="001768FC">
        <w:rPr>
          <w:rFonts w:cs="Times New Roman"/>
          <w:szCs w:val="24"/>
        </w:rPr>
        <w:t>card based</w:t>
      </w:r>
      <w:proofErr w:type="gramEnd"/>
      <w:r w:rsidRPr="001768FC">
        <w:rPr>
          <w:rFonts w:cs="Times New Roman"/>
          <w:szCs w:val="24"/>
        </w:rPr>
        <w:t xml:space="preserve"> recommendations among respondents. The findings reveal that majority of farmers (55.8%) exhibited medium level of adoption, while 25.8% showed low adoption and 18.</w:t>
      </w:r>
      <w:r w:rsidR="00DF68DF">
        <w:rPr>
          <w:rFonts w:cs="Times New Roman"/>
          <w:szCs w:val="24"/>
        </w:rPr>
        <w:t>4% demonstrated high adoption.</w:t>
      </w:r>
    </w:p>
    <w:p w14:paraId="65DCEC44" w14:textId="77777777" w:rsidR="003427E3" w:rsidRPr="001768FC" w:rsidRDefault="00CC201C" w:rsidP="00DF68DF">
      <w:pPr>
        <w:ind w:firstLine="720"/>
        <w:jc w:val="both"/>
        <w:rPr>
          <w:rFonts w:cs="Times New Roman"/>
          <w:szCs w:val="24"/>
        </w:rPr>
      </w:pPr>
      <w:r w:rsidRPr="001768FC">
        <w:rPr>
          <w:rFonts w:cs="Times New Roman"/>
          <w:szCs w:val="24"/>
        </w:rPr>
        <w:t xml:space="preserve">The predominance of medium adoption suggests that while farmers are aware of and implementing some SHC recommendations, there is substantial scope for improvement. The considerable proportion of low adopters (25.8%) indicates the need for intensive extension interventions and capacity building programs. These findings </w:t>
      </w:r>
      <w:proofErr w:type="gramStart"/>
      <w:r w:rsidRPr="001768FC">
        <w:rPr>
          <w:rFonts w:cs="Times New Roman"/>
          <w:szCs w:val="24"/>
        </w:rPr>
        <w:t>are in agreement</w:t>
      </w:r>
      <w:proofErr w:type="gramEnd"/>
      <w:r w:rsidRPr="001768FC">
        <w:rPr>
          <w:rFonts w:cs="Times New Roman"/>
          <w:szCs w:val="24"/>
        </w:rPr>
        <w:t xml:space="preserve"> with </w:t>
      </w:r>
      <w:proofErr w:type="spellStart"/>
      <w:r w:rsidRPr="001768FC">
        <w:rPr>
          <w:rFonts w:cs="Times New Roman"/>
          <w:szCs w:val="24"/>
        </w:rPr>
        <w:t>Ravikishore</w:t>
      </w:r>
      <w:proofErr w:type="spellEnd"/>
      <w:r w:rsidRPr="001768FC">
        <w:rPr>
          <w:rFonts w:cs="Times New Roman"/>
          <w:szCs w:val="24"/>
        </w:rPr>
        <w:t xml:space="preserve"> </w:t>
      </w:r>
      <w:r w:rsidRPr="00DF68DF">
        <w:rPr>
          <w:rFonts w:cs="Times New Roman"/>
          <w:i/>
          <w:szCs w:val="24"/>
        </w:rPr>
        <w:t>et al</w:t>
      </w:r>
      <w:r w:rsidRPr="001768FC">
        <w:rPr>
          <w:rFonts w:cs="Times New Roman"/>
          <w:szCs w:val="24"/>
        </w:rPr>
        <w:t xml:space="preserve">. (2021) who reported similar adoption patterns in </w:t>
      </w:r>
      <w:proofErr w:type="spellStart"/>
      <w:r w:rsidRPr="001768FC">
        <w:rPr>
          <w:rFonts w:cs="Times New Roman"/>
          <w:szCs w:val="24"/>
        </w:rPr>
        <w:t>Anantapuram</w:t>
      </w:r>
      <w:proofErr w:type="spellEnd"/>
      <w:r w:rsidRPr="001768FC">
        <w:rPr>
          <w:rFonts w:cs="Times New Roman"/>
          <w:szCs w:val="24"/>
        </w:rPr>
        <w:t xml:space="preserve"> district.</w:t>
      </w:r>
    </w:p>
    <w:p w14:paraId="6760CB7C" w14:textId="77777777" w:rsidR="00DF68DF" w:rsidRPr="00381C4C" w:rsidRDefault="00DF68DF" w:rsidP="00DF68DF">
      <w:pPr>
        <w:spacing w:after="0"/>
        <w:jc w:val="center"/>
        <w:rPr>
          <w:b/>
        </w:rPr>
      </w:pPr>
      <w:r w:rsidRPr="00684AA1">
        <w:rPr>
          <w:rFonts w:cs="Times New Roman"/>
          <w:b/>
          <w:szCs w:val="24"/>
        </w:rPr>
        <w:lastRenderedPageBreak/>
        <w:t xml:space="preserve">Table 3: </w:t>
      </w:r>
      <w:r w:rsidRPr="00381C4C">
        <w:rPr>
          <w:rFonts w:cs="Times New Roman"/>
          <w:b/>
        </w:rPr>
        <w:t xml:space="preserve">Distribution of respondents according to their overall practical adoption of soil health </w:t>
      </w:r>
      <w:proofErr w:type="gramStart"/>
      <w:r w:rsidRPr="00381C4C">
        <w:rPr>
          <w:rFonts w:cs="Times New Roman"/>
          <w:b/>
        </w:rPr>
        <w:t>card based</w:t>
      </w:r>
      <w:proofErr w:type="gramEnd"/>
      <w:r w:rsidRPr="00381C4C">
        <w:rPr>
          <w:rFonts w:cs="Times New Roman"/>
          <w:b/>
        </w:rPr>
        <w:t xml:space="preserve"> recommendations</w:t>
      </w:r>
    </w:p>
    <w:p w14:paraId="076B4BA3" w14:textId="77777777" w:rsidR="00DF68DF" w:rsidRPr="00684AA1" w:rsidRDefault="00DF68DF" w:rsidP="00DF68DF">
      <w:pPr>
        <w:spacing w:after="0"/>
        <w:jc w:val="right"/>
        <w:rPr>
          <w:rFonts w:cs="Times New Roman"/>
          <w:b/>
          <w:szCs w:val="24"/>
        </w:rPr>
      </w:pPr>
      <w:r>
        <w:rPr>
          <w:rFonts w:cs="Times New Roman"/>
          <w:b/>
          <w:szCs w:val="24"/>
        </w:rPr>
        <w:t xml:space="preserve">                                                                                                                                    </w:t>
      </w:r>
      <w:r w:rsidRPr="00684AA1">
        <w:rPr>
          <w:rFonts w:cs="Times New Roman"/>
          <w:b/>
          <w:szCs w:val="24"/>
        </w:rPr>
        <w:t>n=120</w:t>
      </w:r>
    </w:p>
    <w:tbl>
      <w:tblPr>
        <w:tblStyle w:val="TableGrid"/>
        <w:tblW w:w="0" w:type="auto"/>
        <w:tblLook w:val="04A0" w:firstRow="1" w:lastRow="0" w:firstColumn="1" w:lastColumn="0" w:noHBand="0" w:noVBand="1"/>
      </w:tblPr>
      <w:tblGrid>
        <w:gridCol w:w="785"/>
        <w:gridCol w:w="2695"/>
        <w:gridCol w:w="1741"/>
        <w:gridCol w:w="1814"/>
        <w:gridCol w:w="1821"/>
      </w:tblGrid>
      <w:tr w:rsidR="00DF68DF" w14:paraId="02F65AA1" w14:textId="77777777" w:rsidTr="00096953">
        <w:tc>
          <w:tcPr>
            <w:tcW w:w="828" w:type="dxa"/>
          </w:tcPr>
          <w:p w14:paraId="3A415BCC" w14:textId="77777777" w:rsidR="00DF68DF" w:rsidRPr="00381C4C" w:rsidRDefault="00DF68DF" w:rsidP="00DF68DF">
            <w:pPr>
              <w:jc w:val="center"/>
              <w:rPr>
                <w:rFonts w:cs="Times New Roman"/>
                <w:b/>
                <w:sz w:val="24"/>
                <w:szCs w:val="24"/>
              </w:rPr>
            </w:pPr>
            <w:r w:rsidRPr="00381C4C">
              <w:rPr>
                <w:rFonts w:cs="Times New Roman"/>
                <w:b/>
                <w:sz w:val="24"/>
                <w:szCs w:val="24"/>
              </w:rPr>
              <w:t>S. No.</w:t>
            </w:r>
          </w:p>
        </w:tc>
        <w:tc>
          <w:tcPr>
            <w:tcW w:w="3002" w:type="dxa"/>
          </w:tcPr>
          <w:p w14:paraId="786B61B2" w14:textId="77777777" w:rsidR="00DF68DF" w:rsidRPr="00381C4C" w:rsidRDefault="00DF68DF" w:rsidP="00096953">
            <w:pPr>
              <w:jc w:val="center"/>
              <w:rPr>
                <w:rFonts w:cs="Times New Roman"/>
                <w:b/>
                <w:sz w:val="24"/>
                <w:szCs w:val="24"/>
              </w:rPr>
            </w:pPr>
            <w:r w:rsidRPr="00381C4C">
              <w:rPr>
                <w:rFonts w:cs="Times New Roman"/>
                <w:b/>
                <w:sz w:val="24"/>
                <w:szCs w:val="24"/>
              </w:rPr>
              <w:t>Category</w:t>
            </w:r>
          </w:p>
        </w:tc>
        <w:tc>
          <w:tcPr>
            <w:tcW w:w="1915" w:type="dxa"/>
          </w:tcPr>
          <w:p w14:paraId="4A8FD988" w14:textId="77777777" w:rsidR="00DF68DF" w:rsidRPr="00381C4C" w:rsidRDefault="00DF68DF" w:rsidP="00096953">
            <w:pPr>
              <w:jc w:val="center"/>
              <w:rPr>
                <w:rFonts w:cs="Times New Roman"/>
                <w:b/>
                <w:sz w:val="24"/>
                <w:szCs w:val="24"/>
              </w:rPr>
            </w:pPr>
            <w:r w:rsidRPr="00381C4C">
              <w:rPr>
                <w:rFonts w:cs="Times New Roman"/>
                <w:b/>
                <w:sz w:val="24"/>
                <w:szCs w:val="24"/>
              </w:rPr>
              <w:t>Score Range</w:t>
            </w:r>
          </w:p>
        </w:tc>
        <w:tc>
          <w:tcPr>
            <w:tcW w:w="1915" w:type="dxa"/>
          </w:tcPr>
          <w:p w14:paraId="0B991797" w14:textId="77777777" w:rsidR="00DF68DF" w:rsidRPr="00381C4C" w:rsidRDefault="00DF68DF" w:rsidP="00096953">
            <w:pPr>
              <w:jc w:val="center"/>
              <w:rPr>
                <w:rFonts w:cs="Times New Roman"/>
                <w:b/>
                <w:sz w:val="24"/>
                <w:szCs w:val="24"/>
              </w:rPr>
            </w:pPr>
            <w:r w:rsidRPr="00381C4C">
              <w:rPr>
                <w:rFonts w:cs="Times New Roman"/>
                <w:b/>
                <w:sz w:val="24"/>
                <w:szCs w:val="24"/>
              </w:rPr>
              <w:t>Frequency (n)</w:t>
            </w:r>
          </w:p>
        </w:tc>
        <w:tc>
          <w:tcPr>
            <w:tcW w:w="1916" w:type="dxa"/>
          </w:tcPr>
          <w:p w14:paraId="0B2AC5E3" w14:textId="77777777" w:rsidR="00DF68DF" w:rsidRPr="00381C4C" w:rsidRDefault="00DF68DF" w:rsidP="00096953">
            <w:pPr>
              <w:jc w:val="center"/>
              <w:rPr>
                <w:rFonts w:cs="Times New Roman"/>
                <w:b/>
                <w:sz w:val="24"/>
                <w:szCs w:val="24"/>
              </w:rPr>
            </w:pPr>
            <w:r w:rsidRPr="00381C4C">
              <w:rPr>
                <w:rFonts w:cs="Times New Roman"/>
                <w:b/>
                <w:sz w:val="24"/>
                <w:szCs w:val="24"/>
              </w:rPr>
              <w:t>Percentage (%)</w:t>
            </w:r>
          </w:p>
        </w:tc>
      </w:tr>
      <w:tr w:rsidR="00DF68DF" w14:paraId="6DFE4A8E" w14:textId="77777777" w:rsidTr="00096953">
        <w:tc>
          <w:tcPr>
            <w:tcW w:w="828" w:type="dxa"/>
          </w:tcPr>
          <w:p w14:paraId="3FFF78B4" w14:textId="77777777" w:rsidR="00DF68DF" w:rsidRDefault="00DF68DF" w:rsidP="00096953">
            <w:pPr>
              <w:jc w:val="center"/>
              <w:rPr>
                <w:rFonts w:cs="Times New Roman"/>
                <w:sz w:val="24"/>
                <w:szCs w:val="24"/>
              </w:rPr>
            </w:pPr>
            <w:r>
              <w:rPr>
                <w:rFonts w:cs="Times New Roman"/>
                <w:sz w:val="24"/>
                <w:szCs w:val="24"/>
              </w:rPr>
              <w:t>01.</w:t>
            </w:r>
          </w:p>
        </w:tc>
        <w:tc>
          <w:tcPr>
            <w:tcW w:w="3002" w:type="dxa"/>
            <w:vAlign w:val="center"/>
          </w:tcPr>
          <w:p w14:paraId="46C65D4C" w14:textId="77777777" w:rsidR="00DF68DF" w:rsidRPr="00381C4C" w:rsidRDefault="00DF68DF" w:rsidP="00096953">
            <w:pPr>
              <w:rPr>
                <w:rFonts w:eastAsia="Times New Roman" w:cs="Times New Roman"/>
                <w:sz w:val="24"/>
                <w:szCs w:val="24"/>
              </w:rPr>
            </w:pPr>
            <w:r w:rsidRPr="00381C4C">
              <w:rPr>
                <w:rFonts w:eastAsia="Times New Roman" w:cs="Times New Roman"/>
                <w:sz w:val="24"/>
                <w:szCs w:val="24"/>
              </w:rPr>
              <w:t>Low Adoption</w:t>
            </w:r>
          </w:p>
        </w:tc>
        <w:tc>
          <w:tcPr>
            <w:tcW w:w="1915" w:type="dxa"/>
            <w:vAlign w:val="center"/>
          </w:tcPr>
          <w:p w14:paraId="42F5F72A"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20 – 33</w:t>
            </w:r>
          </w:p>
        </w:tc>
        <w:tc>
          <w:tcPr>
            <w:tcW w:w="1915" w:type="dxa"/>
            <w:vAlign w:val="center"/>
          </w:tcPr>
          <w:p w14:paraId="7117D5D4"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31</w:t>
            </w:r>
          </w:p>
        </w:tc>
        <w:tc>
          <w:tcPr>
            <w:tcW w:w="1916" w:type="dxa"/>
            <w:vAlign w:val="center"/>
          </w:tcPr>
          <w:p w14:paraId="3A732279"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25.8%</w:t>
            </w:r>
          </w:p>
        </w:tc>
      </w:tr>
      <w:tr w:rsidR="00DF68DF" w14:paraId="14329200" w14:textId="77777777" w:rsidTr="00096953">
        <w:tc>
          <w:tcPr>
            <w:tcW w:w="828" w:type="dxa"/>
          </w:tcPr>
          <w:p w14:paraId="4F7F182E" w14:textId="77777777" w:rsidR="00DF68DF" w:rsidRDefault="00DF68DF" w:rsidP="00096953">
            <w:pPr>
              <w:jc w:val="center"/>
              <w:rPr>
                <w:rFonts w:cs="Times New Roman"/>
                <w:sz w:val="24"/>
                <w:szCs w:val="24"/>
              </w:rPr>
            </w:pPr>
            <w:r>
              <w:rPr>
                <w:rFonts w:cs="Times New Roman"/>
                <w:sz w:val="24"/>
                <w:szCs w:val="24"/>
              </w:rPr>
              <w:t>02.</w:t>
            </w:r>
          </w:p>
        </w:tc>
        <w:tc>
          <w:tcPr>
            <w:tcW w:w="3002" w:type="dxa"/>
            <w:vAlign w:val="center"/>
          </w:tcPr>
          <w:p w14:paraId="59CF7A72" w14:textId="77777777" w:rsidR="00DF68DF" w:rsidRPr="00381C4C" w:rsidRDefault="00DF68DF" w:rsidP="00096953">
            <w:pPr>
              <w:rPr>
                <w:rFonts w:eastAsia="Times New Roman" w:cs="Times New Roman"/>
                <w:sz w:val="24"/>
                <w:szCs w:val="24"/>
              </w:rPr>
            </w:pPr>
            <w:r w:rsidRPr="00381C4C">
              <w:rPr>
                <w:rFonts w:eastAsia="Times New Roman" w:cs="Times New Roman"/>
                <w:sz w:val="24"/>
                <w:szCs w:val="24"/>
              </w:rPr>
              <w:t>Medium Adoption</w:t>
            </w:r>
          </w:p>
        </w:tc>
        <w:tc>
          <w:tcPr>
            <w:tcW w:w="1915" w:type="dxa"/>
            <w:vAlign w:val="center"/>
          </w:tcPr>
          <w:p w14:paraId="07994A2C"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34 – 47</w:t>
            </w:r>
          </w:p>
        </w:tc>
        <w:tc>
          <w:tcPr>
            <w:tcW w:w="1915" w:type="dxa"/>
            <w:vAlign w:val="center"/>
          </w:tcPr>
          <w:p w14:paraId="1EBF3CE6"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67</w:t>
            </w:r>
          </w:p>
        </w:tc>
        <w:tc>
          <w:tcPr>
            <w:tcW w:w="1916" w:type="dxa"/>
            <w:vAlign w:val="center"/>
          </w:tcPr>
          <w:p w14:paraId="298FFEE6"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55.8%</w:t>
            </w:r>
          </w:p>
        </w:tc>
      </w:tr>
      <w:tr w:rsidR="00DF68DF" w14:paraId="36FB9015" w14:textId="77777777" w:rsidTr="00096953">
        <w:tc>
          <w:tcPr>
            <w:tcW w:w="828" w:type="dxa"/>
          </w:tcPr>
          <w:p w14:paraId="7317D8AC" w14:textId="77777777" w:rsidR="00DF68DF" w:rsidRDefault="00DF68DF" w:rsidP="00096953">
            <w:pPr>
              <w:jc w:val="center"/>
              <w:rPr>
                <w:rFonts w:cs="Times New Roman"/>
                <w:sz w:val="24"/>
                <w:szCs w:val="24"/>
              </w:rPr>
            </w:pPr>
            <w:r>
              <w:rPr>
                <w:rFonts w:cs="Times New Roman"/>
                <w:sz w:val="24"/>
                <w:szCs w:val="24"/>
              </w:rPr>
              <w:t>03.</w:t>
            </w:r>
          </w:p>
        </w:tc>
        <w:tc>
          <w:tcPr>
            <w:tcW w:w="3002" w:type="dxa"/>
            <w:vAlign w:val="center"/>
          </w:tcPr>
          <w:p w14:paraId="74E0340B" w14:textId="77777777" w:rsidR="00DF68DF" w:rsidRPr="00381C4C" w:rsidRDefault="00DF68DF" w:rsidP="00096953">
            <w:pPr>
              <w:rPr>
                <w:rFonts w:eastAsia="Times New Roman" w:cs="Times New Roman"/>
                <w:sz w:val="24"/>
                <w:szCs w:val="24"/>
              </w:rPr>
            </w:pPr>
            <w:r w:rsidRPr="00381C4C">
              <w:rPr>
                <w:rFonts w:eastAsia="Times New Roman" w:cs="Times New Roman"/>
                <w:sz w:val="24"/>
                <w:szCs w:val="24"/>
              </w:rPr>
              <w:t>High Adoption</w:t>
            </w:r>
          </w:p>
        </w:tc>
        <w:tc>
          <w:tcPr>
            <w:tcW w:w="1915" w:type="dxa"/>
            <w:vAlign w:val="center"/>
          </w:tcPr>
          <w:p w14:paraId="58398A0C"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48 – 60</w:t>
            </w:r>
          </w:p>
        </w:tc>
        <w:tc>
          <w:tcPr>
            <w:tcW w:w="1915" w:type="dxa"/>
            <w:vAlign w:val="center"/>
          </w:tcPr>
          <w:p w14:paraId="3271D889"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22</w:t>
            </w:r>
          </w:p>
        </w:tc>
        <w:tc>
          <w:tcPr>
            <w:tcW w:w="1916" w:type="dxa"/>
            <w:vAlign w:val="center"/>
          </w:tcPr>
          <w:p w14:paraId="548CC201" w14:textId="77777777" w:rsidR="00DF68DF" w:rsidRPr="00381C4C" w:rsidRDefault="00DF68DF" w:rsidP="00096953">
            <w:pPr>
              <w:jc w:val="center"/>
              <w:rPr>
                <w:rFonts w:eastAsia="Times New Roman" w:cs="Times New Roman"/>
                <w:sz w:val="24"/>
                <w:szCs w:val="24"/>
              </w:rPr>
            </w:pPr>
            <w:r w:rsidRPr="00381C4C">
              <w:rPr>
                <w:rFonts w:eastAsia="Times New Roman" w:cs="Times New Roman"/>
                <w:sz w:val="24"/>
                <w:szCs w:val="24"/>
              </w:rPr>
              <w:t>18.4%</w:t>
            </w:r>
          </w:p>
        </w:tc>
      </w:tr>
      <w:tr w:rsidR="00DF68DF" w14:paraId="31A7B4A2" w14:textId="77777777" w:rsidTr="00096953">
        <w:tc>
          <w:tcPr>
            <w:tcW w:w="828" w:type="dxa"/>
          </w:tcPr>
          <w:p w14:paraId="6BD348CC" w14:textId="77777777" w:rsidR="00DF68DF" w:rsidRDefault="00DF68DF" w:rsidP="00096953">
            <w:pPr>
              <w:jc w:val="center"/>
              <w:rPr>
                <w:rFonts w:cs="Times New Roman"/>
                <w:sz w:val="24"/>
                <w:szCs w:val="24"/>
              </w:rPr>
            </w:pPr>
          </w:p>
        </w:tc>
        <w:tc>
          <w:tcPr>
            <w:tcW w:w="3002" w:type="dxa"/>
          </w:tcPr>
          <w:p w14:paraId="239CABC7" w14:textId="77777777" w:rsidR="00DF68DF" w:rsidRDefault="00DF68DF" w:rsidP="00096953">
            <w:pPr>
              <w:jc w:val="center"/>
              <w:rPr>
                <w:rFonts w:cs="Times New Roman"/>
                <w:sz w:val="24"/>
                <w:szCs w:val="24"/>
              </w:rPr>
            </w:pPr>
          </w:p>
        </w:tc>
        <w:tc>
          <w:tcPr>
            <w:tcW w:w="1915" w:type="dxa"/>
          </w:tcPr>
          <w:p w14:paraId="4C76B9E6" w14:textId="77777777" w:rsidR="00DF68DF" w:rsidRPr="00381C4C" w:rsidRDefault="00DF68DF" w:rsidP="00096953">
            <w:pPr>
              <w:jc w:val="right"/>
              <w:rPr>
                <w:rFonts w:cs="Times New Roman"/>
                <w:b/>
                <w:sz w:val="24"/>
                <w:szCs w:val="24"/>
              </w:rPr>
            </w:pPr>
            <w:r w:rsidRPr="00381C4C">
              <w:rPr>
                <w:rFonts w:cs="Times New Roman"/>
                <w:b/>
                <w:sz w:val="24"/>
                <w:szCs w:val="24"/>
              </w:rPr>
              <w:t>Total:</w:t>
            </w:r>
          </w:p>
        </w:tc>
        <w:tc>
          <w:tcPr>
            <w:tcW w:w="1915" w:type="dxa"/>
            <w:vAlign w:val="center"/>
          </w:tcPr>
          <w:p w14:paraId="01C686C6" w14:textId="77777777" w:rsidR="00DF68DF" w:rsidRPr="00381C4C" w:rsidRDefault="00DF68DF" w:rsidP="00096953">
            <w:pPr>
              <w:jc w:val="center"/>
              <w:rPr>
                <w:rFonts w:eastAsia="Times New Roman" w:cs="Times New Roman"/>
                <w:sz w:val="24"/>
                <w:szCs w:val="24"/>
              </w:rPr>
            </w:pPr>
            <w:r w:rsidRPr="00381C4C">
              <w:rPr>
                <w:rFonts w:eastAsia="Times New Roman" w:cs="Times New Roman"/>
                <w:b/>
                <w:bCs/>
                <w:sz w:val="24"/>
                <w:szCs w:val="24"/>
              </w:rPr>
              <w:t>120</w:t>
            </w:r>
          </w:p>
        </w:tc>
        <w:tc>
          <w:tcPr>
            <w:tcW w:w="1916" w:type="dxa"/>
            <w:vAlign w:val="center"/>
          </w:tcPr>
          <w:p w14:paraId="382D01B8" w14:textId="77777777" w:rsidR="00DF68DF" w:rsidRPr="00381C4C" w:rsidRDefault="00DF68DF" w:rsidP="00096953">
            <w:pPr>
              <w:jc w:val="center"/>
              <w:rPr>
                <w:rFonts w:eastAsia="Times New Roman" w:cs="Times New Roman"/>
                <w:sz w:val="24"/>
                <w:szCs w:val="24"/>
              </w:rPr>
            </w:pPr>
            <w:r w:rsidRPr="00381C4C">
              <w:rPr>
                <w:rFonts w:eastAsia="Times New Roman" w:cs="Times New Roman"/>
                <w:b/>
                <w:bCs/>
                <w:sz w:val="24"/>
                <w:szCs w:val="24"/>
              </w:rPr>
              <w:t>100%</w:t>
            </w:r>
          </w:p>
        </w:tc>
      </w:tr>
    </w:tbl>
    <w:p w14:paraId="09C96B98" w14:textId="77777777" w:rsidR="003427E3" w:rsidRPr="00DF68DF" w:rsidRDefault="00CC201C">
      <w:pPr>
        <w:pStyle w:val="Heading2"/>
        <w:rPr>
          <w:rFonts w:ascii="Times New Roman" w:hAnsi="Times New Roman" w:cs="Times New Roman"/>
          <w:color w:val="auto"/>
          <w:sz w:val="24"/>
          <w:szCs w:val="24"/>
        </w:rPr>
      </w:pPr>
      <w:r w:rsidRPr="00DF68DF">
        <w:rPr>
          <w:rFonts w:ascii="Times New Roman" w:hAnsi="Times New Roman" w:cs="Times New Roman"/>
          <w:color w:val="auto"/>
          <w:sz w:val="24"/>
          <w:szCs w:val="24"/>
        </w:rPr>
        <w:t>Relationship between Profile Characteristics and Adoption</w:t>
      </w:r>
    </w:p>
    <w:p w14:paraId="0F31574D" w14:textId="77777777" w:rsidR="00DF68DF" w:rsidRDefault="00CC201C" w:rsidP="00DF68DF">
      <w:pPr>
        <w:ind w:firstLine="720"/>
        <w:jc w:val="both"/>
        <w:rPr>
          <w:rFonts w:cs="Times New Roman"/>
          <w:szCs w:val="24"/>
        </w:rPr>
      </w:pPr>
      <w:r w:rsidRPr="001768FC">
        <w:rPr>
          <w:rFonts w:cs="Times New Roman"/>
          <w:szCs w:val="24"/>
        </w:rPr>
        <w:t>Table 4 presents the relationship between profile characteristics of farmers and extent of adoption of SHC recommendations. The correlation analysis reveals sev</w:t>
      </w:r>
      <w:r w:rsidR="00DF68DF">
        <w:rPr>
          <w:rFonts w:cs="Times New Roman"/>
          <w:szCs w:val="24"/>
        </w:rPr>
        <w:t>eral significant associations.</w:t>
      </w:r>
    </w:p>
    <w:p w14:paraId="72EED779" w14:textId="77777777" w:rsidR="00DF68DF" w:rsidRDefault="00CC201C" w:rsidP="00DF68DF">
      <w:pPr>
        <w:ind w:firstLine="720"/>
        <w:jc w:val="both"/>
        <w:rPr>
          <w:rFonts w:cs="Times New Roman"/>
          <w:szCs w:val="24"/>
        </w:rPr>
      </w:pPr>
      <w:r w:rsidRPr="001768FC">
        <w:rPr>
          <w:rFonts w:cs="Times New Roman"/>
          <w:szCs w:val="24"/>
        </w:rPr>
        <w:t>Education showed highly significant positive correlation (r=0.452**) with adoption, indicating that farmers with higher education levels were better able to understand and implement SHC recommendations. This emphasizes the importance of literacy and education in technology ad</w:t>
      </w:r>
      <w:r w:rsidR="00DF68DF">
        <w:rPr>
          <w:rFonts w:cs="Times New Roman"/>
          <w:szCs w:val="24"/>
        </w:rPr>
        <w:t>option (</w:t>
      </w:r>
      <w:proofErr w:type="spellStart"/>
      <w:r w:rsidR="00DF68DF">
        <w:rPr>
          <w:rFonts w:cs="Times New Roman"/>
          <w:szCs w:val="24"/>
        </w:rPr>
        <w:t>Ankhila</w:t>
      </w:r>
      <w:proofErr w:type="spellEnd"/>
      <w:r w:rsidR="00DF68DF">
        <w:rPr>
          <w:rFonts w:cs="Times New Roman"/>
          <w:szCs w:val="24"/>
        </w:rPr>
        <w:t xml:space="preserve"> </w:t>
      </w:r>
      <w:r w:rsidR="00DF68DF" w:rsidRPr="00DF68DF">
        <w:rPr>
          <w:rFonts w:cs="Times New Roman"/>
          <w:i/>
          <w:szCs w:val="24"/>
        </w:rPr>
        <w:t>et al</w:t>
      </w:r>
      <w:r w:rsidR="00DF68DF">
        <w:rPr>
          <w:rFonts w:cs="Times New Roman"/>
          <w:szCs w:val="24"/>
        </w:rPr>
        <w:t>., 2023).</w:t>
      </w:r>
    </w:p>
    <w:p w14:paraId="4FCD2721" w14:textId="77777777" w:rsidR="00DF68DF" w:rsidRDefault="00CC201C" w:rsidP="00DF68DF">
      <w:pPr>
        <w:ind w:firstLine="720"/>
        <w:jc w:val="both"/>
        <w:rPr>
          <w:rFonts w:cs="Times New Roman"/>
          <w:szCs w:val="24"/>
        </w:rPr>
      </w:pPr>
      <w:r w:rsidRPr="001768FC">
        <w:rPr>
          <w:rFonts w:cs="Times New Roman"/>
          <w:szCs w:val="24"/>
        </w:rPr>
        <w:t>Training undergone (r=0.497**) and extension contact (r=0.534**) exhibited highly significant positive correlations, suggesting that farmers who attended more training programs and had better contact with extension personnel showed higher adoption. This underscores the critical role of extension education in disseminating soil health management p</w:t>
      </w:r>
      <w:r w:rsidR="00DF68DF">
        <w:rPr>
          <w:rFonts w:cs="Times New Roman"/>
          <w:szCs w:val="24"/>
        </w:rPr>
        <w:t xml:space="preserve">ractices (Sahay </w:t>
      </w:r>
      <w:r w:rsidR="00DF68DF" w:rsidRPr="00DF68DF">
        <w:rPr>
          <w:rFonts w:cs="Times New Roman"/>
          <w:i/>
          <w:szCs w:val="24"/>
        </w:rPr>
        <w:t>et al</w:t>
      </w:r>
      <w:r w:rsidR="00DF68DF">
        <w:rPr>
          <w:rFonts w:cs="Times New Roman"/>
          <w:szCs w:val="24"/>
        </w:rPr>
        <w:t>., 2019).</w:t>
      </w:r>
    </w:p>
    <w:p w14:paraId="0C6305AB" w14:textId="77777777" w:rsidR="00DF68DF" w:rsidRDefault="00CC201C" w:rsidP="00DF68DF">
      <w:pPr>
        <w:ind w:firstLine="720"/>
        <w:jc w:val="both"/>
        <w:rPr>
          <w:rFonts w:cs="Times New Roman"/>
          <w:szCs w:val="24"/>
        </w:rPr>
      </w:pPr>
      <w:r w:rsidRPr="001768FC">
        <w:rPr>
          <w:rFonts w:cs="Times New Roman"/>
          <w:szCs w:val="24"/>
        </w:rPr>
        <w:t>Scientific orientation (r=0.468**) and innovativeness (r=0.443**) showed highly significant positive correlations, indicating that farmers with scientific temperament and willingness to try new practices were more likely to adopt SHC recommendations. These findings align with diffusion of inno</w:t>
      </w:r>
      <w:r w:rsidR="00DF68DF">
        <w:rPr>
          <w:rFonts w:cs="Times New Roman"/>
          <w:szCs w:val="24"/>
        </w:rPr>
        <w:t>vations theory (Rogers, 2003).</w:t>
      </w:r>
    </w:p>
    <w:p w14:paraId="4DDD1B15" w14:textId="179F3A1D" w:rsidR="003427E3" w:rsidRDefault="00CC201C" w:rsidP="00DF68DF">
      <w:pPr>
        <w:ind w:firstLine="720"/>
        <w:jc w:val="both"/>
        <w:rPr>
          <w:rFonts w:cs="Times New Roman"/>
          <w:szCs w:val="24"/>
        </w:rPr>
      </w:pPr>
      <w:r w:rsidRPr="001768FC">
        <w:rPr>
          <w:rFonts w:cs="Times New Roman"/>
          <w:szCs w:val="24"/>
        </w:rPr>
        <w:t>Farm size (r=0.228*), economic motivation (r=0.312*), and achievement motivation (r=0.286*) showed significant positive correlations, while age showed significant negative correlation (r=-0.196*), suggesting younger farmers were more receptive to new practices. Farming experience showed non-significant correlation, indicating that experience alone does not guarantee adoption without proper training and extension support.</w:t>
      </w:r>
    </w:p>
    <w:p w14:paraId="52851CA9" w14:textId="57A96D17" w:rsidR="00622859" w:rsidRDefault="00622859" w:rsidP="00DF68DF">
      <w:pPr>
        <w:ind w:firstLine="720"/>
        <w:jc w:val="both"/>
        <w:rPr>
          <w:rFonts w:cs="Times New Roman"/>
          <w:szCs w:val="24"/>
        </w:rPr>
      </w:pPr>
    </w:p>
    <w:p w14:paraId="19CAE233" w14:textId="17548603" w:rsidR="00622859" w:rsidRDefault="00622859" w:rsidP="00DF68DF">
      <w:pPr>
        <w:ind w:firstLine="720"/>
        <w:jc w:val="both"/>
        <w:rPr>
          <w:rFonts w:cs="Times New Roman"/>
          <w:szCs w:val="24"/>
        </w:rPr>
      </w:pPr>
    </w:p>
    <w:p w14:paraId="20A5DF82" w14:textId="167C3D78" w:rsidR="00622859" w:rsidRDefault="00622859" w:rsidP="00DF68DF">
      <w:pPr>
        <w:ind w:firstLine="720"/>
        <w:jc w:val="both"/>
        <w:rPr>
          <w:rFonts w:cs="Times New Roman"/>
          <w:szCs w:val="24"/>
        </w:rPr>
      </w:pPr>
    </w:p>
    <w:p w14:paraId="374EE3C2" w14:textId="77777777" w:rsidR="00622859" w:rsidRDefault="00622859" w:rsidP="00DF68DF">
      <w:pPr>
        <w:ind w:firstLine="720"/>
        <w:jc w:val="both"/>
        <w:rPr>
          <w:rFonts w:cs="Times New Roman"/>
          <w:szCs w:val="24"/>
        </w:rPr>
      </w:pPr>
      <w:bookmarkStart w:id="0" w:name="_GoBack"/>
      <w:bookmarkEnd w:id="0"/>
    </w:p>
    <w:p w14:paraId="3664C3AE" w14:textId="77777777" w:rsidR="00DF68DF" w:rsidRDefault="00DF68DF" w:rsidP="00DF68DF">
      <w:pPr>
        <w:spacing w:after="0"/>
        <w:jc w:val="center"/>
        <w:rPr>
          <w:rFonts w:cs="Times New Roman"/>
          <w:b/>
          <w:szCs w:val="24"/>
        </w:rPr>
      </w:pPr>
      <w:r>
        <w:rPr>
          <w:rFonts w:cs="Times New Roman"/>
          <w:b/>
          <w:szCs w:val="24"/>
        </w:rPr>
        <w:t>Table 4</w:t>
      </w:r>
      <w:r w:rsidRPr="00684AA1">
        <w:rPr>
          <w:rFonts w:cs="Times New Roman"/>
          <w:b/>
          <w:szCs w:val="24"/>
        </w:rPr>
        <w:t xml:space="preserve">: </w:t>
      </w:r>
      <w:r>
        <w:rPr>
          <w:rFonts w:cs="Times New Roman"/>
          <w:b/>
          <w:szCs w:val="24"/>
        </w:rPr>
        <w:t xml:space="preserve">Relationship </w:t>
      </w:r>
      <w:r w:rsidRPr="009F6609">
        <w:rPr>
          <w:rFonts w:cs="Times New Roman"/>
          <w:b/>
          <w:szCs w:val="24"/>
        </w:rPr>
        <w:t>between Profile Characteristics of Farmers and Extent of Adoption of SHC Recommendations</w:t>
      </w:r>
    </w:p>
    <w:p w14:paraId="52B3B5E3" w14:textId="77777777" w:rsidR="00DF68DF" w:rsidRPr="00684AA1" w:rsidRDefault="00DF68DF" w:rsidP="00DF68DF">
      <w:pPr>
        <w:spacing w:after="0"/>
        <w:jc w:val="right"/>
        <w:rPr>
          <w:rFonts w:cs="Times New Roman"/>
          <w:b/>
          <w:szCs w:val="24"/>
        </w:rPr>
      </w:pPr>
      <w:r>
        <w:rPr>
          <w:rFonts w:cs="Times New Roman"/>
          <w:b/>
          <w:szCs w:val="24"/>
        </w:rPr>
        <w:t xml:space="preserve">                                                                                                                                     </w:t>
      </w:r>
      <w:r w:rsidRPr="00684AA1">
        <w:rPr>
          <w:rFonts w:cs="Times New Roman"/>
          <w:b/>
          <w:szCs w:val="24"/>
        </w:rPr>
        <w:t>n=120</w:t>
      </w:r>
    </w:p>
    <w:tbl>
      <w:tblPr>
        <w:tblStyle w:val="TableGrid"/>
        <w:tblW w:w="0" w:type="auto"/>
        <w:tblLook w:val="04A0" w:firstRow="1" w:lastRow="0" w:firstColumn="1" w:lastColumn="0" w:noHBand="0" w:noVBand="1"/>
      </w:tblPr>
      <w:tblGrid>
        <w:gridCol w:w="937"/>
        <w:gridCol w:w="2910"/>
        <w:gridCol w:w="2569"/>
        <w:gridCol w:w="2440"/>
      </w:tblGrid>
      <w:tr w:rsidR="00DF68DF" w:rsidRPr="00537365" w14:paraId="0C189BBA" w14:textId="77777777" w:rsidTr="00096953">
        <w:tc>
          <w:tcPr>
            <w:tcW w:w="1008" w:type="dxa"/>
            <w:vAlign w:val="center"/>
          </w:tcPr>
          <w:p w14:paraId="5355B0D6" w14:textId="77777777" w:rsidR="00DF68DF" w:rsidRPr="00537365" w:rsidRDefault="00DF68DF" w:rsidP="0009695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S. No.</w:t>
            </w:r>
          </w:p>
        </w:tc>
        <w:tc>
          <w:tcPr>
            <w:tcW w:w="3150" w:type="dxa"/>
            <w:vAlign w:val="center"/>
          </w:tcPr>
          <w:p w14:paraId="196DE6C0" w14:textId="77777777" w:rsidR="00DF68DF" w:rsidRPr="00537365" w:rsidRDefault="00DF68DF" w:rsidP="0009695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Profile Variable</w:t>
            </w:r>
          </w:p>
        </w:tc>
        <w:tc>
          <w:tcPr>
            <w:tcW w:w="2790" w:type="dxa"/>
            <w:vAlign w:val="center"/>
          </w:tcPr>
          <w:p w14:paraId="283A0188" w14:textId="77777777" w:rsidR="00DF68DF" w:rsidRPr="00537365" w:rsidRDefault="00DF68DF" w:rsidP="0009695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Correlation Coefficient (r)</w:t>
            </w:r>
          </w:p>
        </w:tc>
        <w:tc>
          <w:tcPr>
            <w:tcW w:w="2628" w:type="dxa"/>
            <w:vAlign w:val="center"/>
          </w:tcPr>
          <w:p w14:paraId="54599792" w14:textId="77777777" w:rsidR="00DF68DF" w:rsidRPr="00537365" w:rsidRDefault="00DF68DF" w:rsidP="0009695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Significance</w:t>
            </w:r>
          </w:p>
        </w:tc>
      </w:tr>
      <w:tr w:rsidR="00DF68DF" w:rsidRPr="00537365" w14:paraId="2D465502" w14:textId="77777777" w:rsidTr="00096953">
        <w:tc>
          <w:tcPr>
            <w:tcW w:w="1008" w:type="dxa"/>
            <w:vAlign w:val="center"/>
          </w:tcPr>
          <w:p w14:paraId="271AE053"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1</w:t>
            </w:r>
          </w:p>
        </w:tc>
        <w:tc>
          <w:tcPr>
            <w:tcW w:w="3150" w:type="dxa"/>
            <w:vAlign w:val="center"/>
          </w:tcPr>
          <w:p w14:paraId="4D1C9B01"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Age</w:t>
            </w:r>
          </w:p>
        </w:tc>
        <w:tc>
          <w:tcPr>
            <w:tcW w:w="2790" w:type="dxa"/>
            <w:vAlign w:val="center"/>
          </w:tcPr>
          <w:p w14:paraId="5D7360CF"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-0.196</w:t>
            </w:r>
          </w:p>
        </w:tc>
        <w:tc>
          <w:tcPr>
            <w:tcW w:w="2628" w:type="dxa"/>
            <w:vAlign w:val="center"/>
          </w:tcPr>
          <w:p w14:paraId="2E55D12C"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4BC74962" w14:textId="77777777" w:rsidTr="00096953">
        <w:tc>
          <w:tcPr>
            <w:tcW w:w="1008" w:type="dxa"/>
            <w:vAlign w:val="center"/>
          </w:tcPr>
          <w:p w14:paraId="7E380743"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2</w:t>
            </w:r>
          </w:p>
        </w:tc>
        <w:tc>
          <w:tcPr>
            <w:tcW w:w="3150" w:type="dxa"/>
            <w:vAlign w:val="center"/>
          </w:tcPr>
          <w:p w14:paraId="467B97DD"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Education</w:t>
            </w:r>
          </w:p>
        </w:tc>
        <w:tc>
          <w:tcPr>
            <w:tcW w:w="2790" w:type="dxa"/>
            <w:vAlign w:val="center"/>
          </w:tcPr>
          <w:p w14:paraId="0E7DE350"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0.452</w:t>
            </w:r>
          </w:p>
        </w:tc>
        <w:tc>
          <w:tcPr>
            <w:tcW w:w="2628" w:type="dxa"/>
            <w:vAlign w:val="center"/>
          </w:tcPr>
          <w:p w14:paraId="0E86285E"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63A3466B" w14:textId="77777777" w:rsidTr="00096953">
        <w:tc>
          <w:tcPr>
            <w:tcW w:w="1008" w:type="dxa"/>
            <w:vAlign w:val="center"/>
          </w:tcPr>
          <w:p w14:paraId="37570706"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3</w:t>
            </w:r>
          </w:p>
        </w:tc>
        <w:tc>
          <w:tcPr>
            <w:tcW w:w="3150" w:type="dxa"/>
            <w:vAlign w:val="center"/>
          </w:tcPr>
          <w:p w14:paraId="20B54387"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Farm Size</w:t>
            </w:r>
          </w:p>
        </w:tc>
        <w:tc>
          <w:tcPr>
            <w:tcW w:w="2790" w:type="dxa"/>
            <w:vAlign w:val="center"/>
          </w:tcPr>
          <w:p w14:paraId="64EC5D6B"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0.228</w:t>
            </w:r>
          </w:p>
        </w:tc>
        <w:tc>
          <w:tcPr>
            <w:tcW w:w="2628" w:type="dxa"/>
            <w:vAlign w:val="center"/>
          </w:tcPr>
          <w:p w14:paraId="5AC8C7BB"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22CE66CA" w14:textId="77777777" w:rsidTr="00096953">
        <w:tc>
          <w:tcPr>
            <w:tcW w:w="1008" w:type="dxa"/>
            <w:vAlign w:val="center"/>
          </w:tcPr>
          <w:p w14:paraId="09D16FE2"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4</w:t>
            </w:r>
          </w:p>
        </w:tc>
        <w:tc>
          <w:tcPr>
            <w:tcW w:w="3150" w:type="dxa"/>
            <w:vAlign w:val="center"/>
          </w:tcPr>
          <w:p w14:paraId="42BDF1FD"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Farming Experience</w:t>
            </w:r>
          </w:p>
        </w:tc>
        <w:tc>
          <w:tcPr>
            <w:tcW w:w="2790" w:type="dxa"/>
            <w:vAlign w:val="center"/>
          </w:tcPr>
          <w:p w14:paraId="0BF95C4B"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0.081</w:t>
            </w:r>
          </w:p>
        </w:tc>
        <w:tc>
          <w:tcPr>
            <w:tcW w:w="2628" w:type="dxa"/>
            <w:vAlign w:val="center"/>
          </w:tcPr>
          <w:p w14:paraId="78565381"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NS</w:t>
            </w:r>
          </w:p>
        </w:tc>
      </w:tr>
      <w:tr w:rsidR="00DF68DF" w:rsidRPr="00537365" w14:paraId="135DEAB0" w14:textId="77777777" w:rsidTr="00096953">
        <w:tc>
          <w:tcPr>
            <w:tcW w:w="1008" w:type="dxa"/>
            <w:vAlign w:val="center"/>
          </w:tcPr>
          <w:p w14:paraId="634A0EA6"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5</w:t>
            </w:r>
          </w:p>
        </w:tc>
        <w:tc>
          <w:tcPr>
            <w:tcW w:w="3150" w:type="dxa"/>
            <w:vAlign w:val="center"/>
          </w:tcPr>
          <w:p w14:paraId="2B20EA25"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Training Undergone</w:t>
            </w:r>
          </w:p>
        </w:tc>
        <w:tc>
          <w:tcPr>
            <w:tcW w:w="2790" w:type="dxa"/>
            <w:vAlign w:val="center"/>
          </w:tcPr>
          <w:p w14:paraId="28C3603D"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0.497</w:t>
            </w:r>
          </w:p>
        </w:tc>
        <w:tc>
          <w:tcPr>
            <w:tcW w:w="2628" w:type="dxa"/>
            <w:vAlign w:val="center"/>
          </w:tcPr>
          <w:p w14:paraId="6A4FD2FC"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1B155F9E" w14:textId="77777777" w:rsidTr="00096953">
        <w:tc>
          <w:tcPr>
            <w:tcW w:w="1008" w:type="dxa"/>
            <w:vAlign w:val="center"/>
          </w:tcPr>
          <w:p w14:paraId="15010CF3"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6</w:t>
            </w:r>
          </w:p>
        </w:tc>
        <w:tc>
          <w:tcPr>
            <w:tcW w:w="3150" w:type="dxa"/>
            <w:vAlign w:val="center"/>
          </w:tcPr>
          <w:p w14:paraId="645A83CB"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Extension Contact</w:t>
            </w:r>
          </w:p>
        </w:tc>
        <w:tc>
          <w:tcPr>
            <w:tcW w:w="2790" w:type="dxa"/>
            <w:vAlign w:val="center"/>
          </w:tcPr>
          <w:p w14:paraId="7F7EE174"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0.534</w:t>
            </w:r>
          </w:p>
        </w:tc>
        <w:tc>
          <w:tcPr>
            <w:tcW w:w="2628" w:type="dxa"/>
            <w:vAlign w:val="center"/>
          </w:tcPr>
          <w:p w14:paraId="419C0FC2"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1DCBBAB2" w14:textId="77777777" w:rsidTr="00096953">
        <w:tc>
          <w:tcPr>
            <w:tcW w:w="1008" w:type="dxa"/>
            <w:vAlign w:val="center"/>
          </w:tcPr>
          <w:p w14:paraId="1E01F795"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7</w:t>
            </w:r>
          </w:p>
        </w:tc>
        <w:tc>
          <w:tcPr>
            <w:tcW w:w="3150" w:type="dxa"/>
            <w:vAlign w:val="center"/>
          </w:tcPr>
          <w:p w14:paraId="4C83D809"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Scientific Orientation</w:t>
            </w:r>
          </w:p>
        </w:tc>
        <w:tc>
          <w:tcPr>
            <w:tcW w:w="2790" w:type="dxa"/>
            <w:vAlign w:val="center"/>
          </w:tcPr>
          <w:p w14:paraId="7903A0FD"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0.468</w:t>
            </w:r>
          </w:p>
        </w:tc>
        <w:tc>
          <w:tcPr>
            <w:tcW w:w="2628" w:type="dxa"/>
            <w:vAlign w:val="center"/>
          </w:tcPr>
          <w:p w14:paraId="1B44144E"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262CECFE" w14:textId="77777777" w:rsidTr="00096953">
        <w:tc>
          <w:tcPr>
            <w:tcW w:w="1008" w:type="dxa"/>
            <w:vAlign w:val="center"/>
          </w:tcPr>
          <w:p w14:paraId="2BC607A5"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8</w:t>
            </w:r>
          </w:p>
        </w:tc>
        <w:tc>
          <w:tcPr>
            <w:tcW w:w="3150" w:type="dxa"/>
            <w:vAlign w:val="center"/>
          </w:tcPr>
          <w:p w14:paraId="67201BA2"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Economic Motivation</w:t>
            </w:r>
          </w:p>
        </w:tc>
        <w:tc>
          <w:tcPr>
            <w:tcW w:w="2790" w:type="dxa"/>
            <w:vAlign w:val="center"/>
          </w:tcPr>
          <w:p w14:paraId="55D0F5C2"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0.312</w:t>
            </w:r>
          </w:p>
        </w:tc>
        <w:tc>
          <w:tcPr>
            <w:tcW w:w="2628" w:type="dxa"/>
            <w:vAlign w:val="center"/>
          </w:tcPr>
          <w:p w14:paraId="4C71007F"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4F812CB2" w14:textId="77777777" w:rsidTr="00096953">
        <w:tc>
          <w:tcPr>
            <w:tcW w:w="1008" w:type="dxa"/>
            <w:vAlign w:val="center"/>
          </w:tcPr>
          <w:p w14:paraId="248C927C"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9</w:t>
            </w:r>
          </w:p>
        </w:tc>
        <w:tc>
          <w:tcPr>
            <w:tcW w:w="3150" w:type="dxa"/>
            <w:vAlign w:val="center"/>
          </w:tcPr>
          <w:p w14:paraId="3FDC5A17"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Achievement Motivation</w:t>
            </w:r>
          </w:p>
        </w:tc>
        <w:tc>
          <w:tcPr>
            <w:tcW w:w="2790" w:type="dxa"/>
            <w:vAlign w:val="center"/>
          </w:tcPr>
          <w:p w14:paraId="0379034B"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0.286</w:t>
            </w:r>
          </w:p>
        </w:tc>
        <w:tc>
          <w:tcPr>
            <w:tcW w:w="2628" w:type="dxa"/>
            <w:vAlign w:val="center"/>
          </w:tcPr>
          <w:p w14:paraId="54800D0A"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047E2406" w14:textId="77777777" w:rsidTr="00096953">
        <w:tc>
          <w:tcPr>
            <w:tcW w:w="1008" w:type="dxa"/>
            <w:vAlign w:val="center"/>
          </w:tcPr>
          <w:p w14:paraId="299C905E"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10</w:t>
            </w:r>
          </w:p>
        </w:tc>
        <w:tc>
          <w:tcPr>
            <w:tcW w:w="3150" w:type="dxa"/>
            <w:vAlign w:val="center"/>
          </w:tcPr>
          <w:p w14:paraId="765B289B" w14:textId="77777777" w:rsidR="00DF68DF" w:rsidRPr="00537365" w:rsidRDefault="00DF68DF" w:rsidP="00096953">
            <w:pPr>
              <w:pStyle w:val="NoSpacing"/>
              <w:rPr>
                <w:rFonts w:ascii="Times New Roman" w:hAnsi="Times New Roman" w:cs="Times New Roman"/>
                <w:sz w:val="24"/>
                <w:szCs w:val="24"/>
              </w:rPr>
            </w:pPr>
            <w:r w:rsidRPr="00537365">
              <w:rPr>
                <w:rFonts w:ascii="Times New Roman" w:hAnsi="Times New Roman" w:cs="Times New Roman"/>
                <w:sz w:val="24"/>
                <w:szCs w:val="24"/>
              </w:rPr>
              <w:t>Innovativeness</w:t>
            </w:r>
          </w:p>
        </w:tc>
        <w:tc>
          <w:tcPr>
            <w:tcW w:w="2790" w:type="dxa"/>
            <w:vAlign w:val="center"/>
          </w:tcPr>
          <w:p w14:paraId="2231C6EF"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0.443</w:t>
            </w:r>
          </w:p>
        </w:tc>
        <w:tc>
          <w:tcPr>
            <w:tcW w:w="2628" w:type="dxa"/>
            <w:vAlign w:val="center"/>
          </w:tcPr>
          <w:p w14:paraId="6AA985C7" w14:textId="77777777" w:rsidR="00DF68DF" w:rsidRPr="00537365" w:rsidRDefault="00DF68DF" w:rsidP="0009695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bl>
    <w:p w14:paraId="7638AFE6" w14:textId="77777777" w:rsidR="003427E3" w:rsidRPr="001768FC" w:rsidRDefault="00CC201C">
      <w:pPr>
        <w:rPr>
          <w:rFonts w:cs="Times New Roman"/>
          <w:szCs w:val="24"/>
        </w:rPr>
      </w:pPr>
      <w:r w:rsidRPr="001768FC">
        <w:rPr>
          <w:rFonts w:cs="Times New Roman"/>
          <w:szCs w:val="24"/>
        </w:rPr>
        <w:t>* Significant at 5% level; ** Significant at 1% level; NS - Non-significant</w:t>
      </w:r>
    </w:p>
    <w:p w14:paraId="77C113D2" w14:textId="77777777" w:rsidR="003427E3" w:rsidRPr="00DF68DF" w:rsidRDefault="00CC201C">
      <w:pPr>
        <w:pStyle w:val="Heading1"/>
        <w:rPr>
          <w:rFonts w:ascii="Times New Roman" w:hAnsi="Times New Roman" w:cs="Times New Roman"/>
          <w:color w:val="auto"/>
          <w:sz w:val="24"/>
          <w:szCs w:val="24"/>
        </w:rPr>
      </w:pPr>
      <w:r w:rsidRPr="00DF68DF">
        <w:rPr>
          <w:rFonts w:ascii="Times New Roman" w:hAnsi="Times New Roman" w:cs="Times New Roman"/>
          <w:color w:val="auto"/>
          <w:sz w:val="24"/>
          <w:szCs w:val="24"/>
        </w:rPr>
        <w:t>Conclusion</w:t>
      </w:r>
    </w:p>
    <w:p w14:paraId="45225680" w14:textId="77777777" w:rsidR="00DF68DF" w:rsidRDefault="00CC201C" w:rsidP="00DF68DF">
      <w:pPr>
        <w:ind w:firstLine="720"/>
        <w:jc w:val="both"/>
        <w:rPr>
          <w:rFonts w:cs="Times New Roman"/>
          <w:szCs w:val="24"/>
        </w:rPr>
      </w:pPr>
      <w:r w:rsidRPr="001768FC">
        <w:rPr>
          <w:rFonts w:cs="Times New Roman"/>
          <w:szCs w:val="24"/>
        </w:rPr>
        <w:t xml:space="preserve">The study reveals that majority of farmers (55.8%) in Karimnagar district exhibited medium level of adoption of soil health </w:t>
      </w:r>
      <w:proofErr w:type="gramStart"/>
      <w:r w:rsidRPr="001768FC">
        <w:rPr>
          <w:rFonts w:cs="Times New Roman"/>
          <w:szCs w:val="24"/>
        </w:rPr>
        <w:t>card based</w:t>
      </w:r>
      <w:proofErr w:type="gramEnd"/>
      <w:r w:rsidRPr="001768FC">
        <w:rPr>
          <w:rFonts w:cs="Times New Roman"/>
          <w:szCs w:val="24"/>
        </w:rPr>
        <w:t xml:space="preserve"> recommendations, with considerable scope for improvement. Among soil sampling procedures, zigzag pattern for sample collection showed highest adoption, while digital access to SHC information remained the lowest. Education, training, extension contact, scientific orientation, and innovativeness emerged as significant positive factors influencing adoption, highlighting the crucial role of extension ed</w:t>
      </w:r>
      <w:r w:rsidR="00DF68DF">
        <w:rPr>
          <w:rFonts w:cs="Times New Roman"/>
          <w:szCs w:val="24"/>
        </w:rPr>
        <w:t>ucation and capacity building.</w:t>
      </w:r>
    </w:p>
    <w:p w14:paraId="515D460A" w14:textId="77777777" w:rsidR="003427E3" w:rsidRPr="001768FC" w:rsidRDefault="00CC201C" w:rsidP="00DF68DF">
      <w:pPr>
        <w:ind w:firstLine="720"/>
        <w:jc w:val="both"/>
        <w:rPr>
          <w:rFonts w:cs="Times New Roman"/>
          <w:szCs w:val="24"/>
        </w:rPr>
      </w:pPr>
      <w:r w:rsidRPr="001768FC">
        <w:rPr>
          <w:rFonts w:cs="Times New Roman"/>
          <w:szCs w:val="24"/>
        </w:rPr>
        <w:t>The findings suggest that strengthening extension activities through regular training programs, field demonstrations, and simplified communication materials can significantly enhance adoption. Mobile soil testing vans, timely distribution of soil health cards, and improved availability of recommended inputs are necessary for effective implementation. Digital literacy programs and simplified SHC formats, as suggested by recent intervention studies, can address comprehension barriers. The study recommends a multi-pronged approach combining enhanced extension services, fa</w:t>
      </w:r>
      <w:r>
        <w:rPr>
          <w:rFonts w:cs="Times New Roman"/>
          <w:szCs w:val="24"/>
        </w:rPr>
        <w:t>rmer-friendly communication</w:t>
      </w:r>
      <w:r w:rsidRPr="001768FC">
        <w:rPr>
          <w:rFonts w:cs="Times New Roman"/>
          <w:szCs w:val="24"/>
        </w:rPr>
        <w:t xml:space="preserve"> and assured input availability to realize the full potential of the Soil Health Card scheme in improving soil health and agricultural productivity.</w:t>
      </w:r>
    </w:p>
    <w:p w14:paraId="0254C9CC" w14:textId="77777777" w:rsidR="003427E3" w:rsidRPr="00DF68DF" w:rsidRDefault="00CC201C">
      <w:pPr>
        <w:pStyle w:val="Heading1"/>
        <w:rPr>
          <w:rFonts w:ascii="Times New Roman" w:hAnsi="Times New Roman" w:cs="Times New Roman"/>
          <w:color w:val="auto"/>
          <w:sz w:val="24"/>
          <w:szCs w:val="24"/>
        </w:rPr>
      </w:pPr>
      <w:r w:rsidRPr="00DF68DF">
        <w:rPr>
          <w:rFonts w:ascii="Times New Roman" w:hAnsi="Times New Roman" w:cs="Times New Roman"/>
          <w:color w:val="auto"/>
          <w:sz w:val="24"/>
          <w:szCs w:val="24"/>
        </w:rPr>
        <w:t>References</w:t>
      </w:r>
    </w:p>
    <w:p w14:paraId="09CE5AA0" w14:textId="77777777" w:rsidR="00DF68DF" w:rsidRDefault="00CC201C" w:rsidP="00DF68DF">
      <w:pPr>
        <w:pStyle w:val="ListNumber"/>
        <w:numPr>
          <w:ilvl w:val="0"/>
          <w:numId w:val="0"/>
        </w:numPr>
        <w:ind w:left="360" w:hanging="360"/>
        <w:jc w:val="both"/>
        <w:rPr>
          <w:rFonts w:cs="Times New Roman"/>
          <w:szCs w:val="24"/>
        </w:rPr>
      </w:pPr>
      <w:proofErr w:type="spellStart"/>
      <w:r w:rsidRPr="001768FC">
        <w:rPr>
          <w:rFonts w:cs="Times New Roman"/>
          <w:szCs w:val="24"/>
        </w:rPr>
        <w:t>Ankhila</w:t>
      </w:r>
      <w:proofErr w:type="spellEnd"/>
      <w:r w:rsidRPr="001768FC">
        <w:rPr>
          <w:rFonts w:cs="Times New Roman"/>
          <w:szCs w:val="24"/>
        </w:rPr>
        <w:t xml:space="preserve">, R. H., Singh, A., Kumar, P., Kumar, S., Meena, M. C., Singh, R., Kumar, S. S., </w:t>
      </w:r>
      <w:proofErr w:type="spellStart"/>
      <w:r w:rsidRPr="001768FC">
        <w:rPr>
          <w:rFonts w:cs="Times New Roman"/>
          <w:szCs w:val="24"/>
        </w:rPr>
        <w:t>Adhilkary</w:t>
      </w:r>
      <w:proofErr w:type="spellEnd"/>
      <w:r w:rsidRPr="001768FC">
        <w:rPr>
          <w:rFonts w:cs="Times New Roman"/>
          <w:szCs w:val="24"/>
        </w:rPr>
        <w:t xml:space="preserve">, P. P., Kumar, D., Pradhan, S., &amp; Sunil, B. H. (2023). Socio-economic </w:t>
      </w:r>
      <w:r w:rsidRPr="001768FC">
        <w:rPr>
          <w:rFonts w:cs="Times New Roman"/>
          <w:szCs w:val="24"/>
        </w:rPr>
        <w:lastRenderedPageBreak/>
        <w:t>impact of soil health card scheme in the state of Andhra Pradesh. Indian Journal of Agricultural Sciences, 93(6), 683-686.</w:t>
      </w:r>
    </w:p>
    <w:p w14:paraId="4C77527D"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Bora, K. (2022). Spatial patterns of fertilizer use and imbalances: Evidence from rice cultivation in India. Environmental Challenges, 7, 100452. https://doi.org/10.1016/j.envc.2022.100452</w:t>
      </w:r>
    </w:p>
    <w:p w14:paraId="18A4763F"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 xml:space="preserve">Chand, R., &amp; Pavithra, S. (2015). </w:t>
      </w:r>
      <w:proofErr w:type="spellStart"/>
      <w:r w:rsidRPr="001768FC">
        <w:rPr>
          <w:rFonts w:cs="Times New Roman"/>
          <w:szCs w:val="24"/>
        </w:rPr>
        <w:t>Fertiliser</w:t>
      </w:r>
      <w:proofErr w:type="spellEnd"/>
      <w:r w:rsidRPr="001768FC">
        <w:rPr>
          <w:rFonts w:cs="Times New Roman"/>
          <w:szCs w:val="24"/>
        </w:rPr>
        <w:t xml:space="preserve"> use and imbalance in India. Economic and Political Weekly, 50(44), 98-104.</w:t>
      </w:r>
    </w:p>
    <w:p w14:paraId="78590834"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Extension MSU. (2023). Sampling soils for fertilizer and lime recommendations and frequency of soil sampling. Michigan State University Extension. Retrieved from https://www.canr.msu.edu/resources/farm_soil_sampling</w:t>
      </w:r>
    </w:p>
    <w:p w14:paraId="0A9CB160"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Extension Purdue. (2020). Soil sampling guidelines. Purdue University Cooperative Extension Service. Publication AY-368-W.</w:t>
      </w:r>
    </w:p>
    <w:p w14:paraId="384D545E"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 xml:space="preserve">Kumar, S. (2025). Analyzing adoption impediments in soil health </w:t>
      </w:r>
      <w:proofErr w:type="gramStart"/>
      <w:r w:rsidRPr="001768FC">
        <w:rPr>
          <w:rFonts w:cs="Times New Roman"/>
          <w:szCs w:val="24"/>
        </w:rPr>
        <w:t>card based</w:t>
      </w:r>
      <w:proofErr w:type="gramEnd"/>
      <w:r w:rsidRPr="001768FC">
        <w:rPr>
          <w:rFonts w:cs="Times New Roman"/>
          <w:szCs w:val="24"/>
        </w:rPr>
        <w:t xml:space="preserve"> fertilizer application by farmers. Indian Journal of Extension Education, 61(2), 114-117. https://doi.org/10.48165/IJEE.2025.612RN04</w:t>
      </w:r>
    </w:p>
    <w:p w14:paraId="09AA5F3C"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Myers, R. (2023). Soil sampling depth and collection techniques for soil fertility and soil health testing. University of Missouri Extension. Publication G9070.</w:t>
      </w:r>
    </w:p>
    <w:p w14:paraId="68144667" w14:textId="77777777" w:rsidR="003427E3" w:rsidRPr="001768FC" w:rsidRDefault="00CC201C" w:rsidP="00DF68DF">
      <w:pPr>
        <w:pStyle w:val="ListNumber"/>
        <w:numPr>
          <w:ilvl w:val="0"/>
          <w:numId w:val="0"/>
        </w:numPr>
        <w:ind w:left="360" w:hanging="360"/>
        <w:jc w:val="both"/>
        <w:rPr>
          <w:rFonts w:cs="Times New Roman"/>
          <w:szCs w:val="24"/>
        </w:rPr>
      </w:pPr>
      <w:proofErr w:type="spellStart"/>
      <w:r w:rsidRPr="001768FC">
        <w:rPr>
          <w:rFonts w:cs="Times New Roman"/>
          <w:szCs w:val="24"/>
        </w:rPr>
        <w:t>Ohlan</w:t>
      </w:r>
      <w:proofErr w:type="spellEnd"/>
      <w:r w:rsidRPr="001768FC">
        <w:rPr>
          <w:rFonts w:cs="Times New Roman"/>
          <w:szCs w:val="24"/>
        </w:rPr>
        <w:t xml:space="preserve">, R., </w:t>
      </w:r>
      <w:proofErr w:type="spellStart"/>
      <w:r w:rsidRPr="001768FC">
        <w:rPr>
          <w:rFonts w:cs="Times New Roman"/>
          <w:szCs w:val="24"/>
        </w:rPr>
        <w:t>Ohlan</w:t>
      </w:r>
      <w:proofErr w:type="spellEnd"/>
      <w:r w:rsidRPr="001768FC">
        <w:rPr>
          <w:rFonts w:cs="Times New Roman"/>
          <w:szCs w:val="24"/>
        </w:rPr>
        <w:t>, A., &amp; Singh, R. (2025). Adoption of soil health card by farmers in Haryana: Perceptions, challenges and way forward. Indian Journal of Extension Education, 61(1), 15-20.</w:t>
      </w:r>
    </w:p>
    <w:p w14:paraId="6CDDD3CD"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 xml:space="preserve">Patel, D. K., Dei, S., Singh, A., Kumar, P., &amp; Singh, U. (2021). Adoption behavior of soil health card holders in </w:t>
      </w:r>
      <w:proofErr w:type="spellStart"/>
      <w:r w:rsidRPr="001768FC">
        <w:rPr>
          <w:rFonts w:cs="Times New Roman"/>
          <w:szCs w:val="24"/>
        </w:rPr>
        <w:t>Saharsa</w:t>
      </w:r>
      <w:proofErr w:type="spellEnd"/>
      <w:r w:rsidRPr="001768FC">
        <w:rPr>
          <w:rFonts w:cs="Times New Roman"/>
          <w:szCs w:val="24"/>
        </w:rPr>
        <w:t xml:space="preserve"> district of Bihar. Indian Journal of Extension Education, 57(4), 131-135. https://doi.org/10.48165/IJEE.2023.59431</w:t>
      </w:r>
    </w:p>
    <w:p w14:paraId="15135F61" w14:textId="77777777" w:rsidR="003427E3" w:rsidRPr="001768FC" w:rsidRDefault="00CC201C" w:rsidP="00DF68DF">
      <w:pPr>
        <w:pStyle w:val="ListNumber"/>
        <w:numPr>
          <w:ilvl w:val="0"/>
          <w:numId w:val="0"/>
        </w:numPr>
        <w:ind w:left="360" w:hanging="360"/>
        <w:jc w:val="both"/>
        <w:rPr>
          <w:rFonts w:cs="Times New Roman"/>
          <w:szCs w:val="24"/>
        </w:rPr>
      </w:pPr>
      <w:proofErr w:type="spellStart"/>
      <w:r w:rsidRPr="001768FC">
        <w:rPr>
          <w:rFonts w:cs="Times New Roman"/>
          <w:szCs w:val="24"/>
        </w:rPr>
        <w:t>Ravikishore</w:t>
      </w:r>
      <w:proofErr w:type="spellEnd"/>
      <w:r w:rsidRPr="001768FC">
        <w:rPr>
          <w:rFonts w:cs="Times New Roman"/>
          <w:szCs w:val="24"/>
        </w:rPr>
        <w:t xml:space="preserve">, M., Johnson, M., &amp; </w:t>
      </w:r>
      <w:proofErr w:type="spellStart"/>
      <w:r w:rsidRPr="001768FC">
        <w:rPr>
          <w:rFonts w:cs="Times New Roman"/>
          <w:szCs w:val="24"/>
        </w:rPr>
        <w:t>Supriya</w:t>
      </w:r>
      <w:proofErr w:type="spellEnd"/>
      <w:r w:rsidRPr="001768FC">
        <w:rPr>
          <w:rFonts w:cs="Times New Roman"/>
          <w:szCs w:val="24"/>
        </w:rPr>
        <w:t xml:space="preserve">, P. (2021). Perception and adoption of soil health card (SHCS) recommendations by the farmers in </w:t>
      </w:r>
      <w:proofErr w:type="spellStart"/>
      <w:r w:rsidRPr="001768FC">
        <w:rPr>
          <w:rFonts w:cs="Times New Roman"/>
          <w:szCs w:val="24"/>
        </w:rPr>
        <w:t>Anantapuram</w:t>
      </w:r>
      <w:proofErr w:type="spellEnd"/>
      <w:r w:rsidRPr="001768FC">
        <w:rPr>
          <w:rFonts w:cs="Times New Roman"/>
          <w:szCs w:val="24"/>
        </w:rPr>
        <w:t xml:space="preserve"> district. Indian Journal of Extension Education, 57(1), 170-175. https://doi.org/10.5958/2454-552X.2021.00018.9</w:t>
      </w:r>
    </w:p>
    <w:p w14:paraId="233EC21D"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Reddy, A. A. (2017). Impact Study of Soil Health Card Scheme. National Institute of Agricultural Extension Management (MANAGE), Hyderabad. pp. 210.</w:t>
      </w:r>
    </w:p>
    <w:p w14:paraId="39A99D04"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Reddy, A. A. (2019). The Soil Health Card Scheme in India: Lessons learned and challenges for replication in other developing countries. Journal of Natural Resources Policy Research, 9(2), 124-154.</w:t>
      </w:r>
    </w:p>
    <w:p w14:paraId="3AF96B0F"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Rogers, E. M. (2003). Diffusion of Innovations (5th ed.). Free Press, New York.</w:t>
      </w:r>
    </w:p>
    <w:p w14:paraId="0D8CF8AB"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Sahay, R., Singh, A. K., Singh, A., Maurya, R. C., Tiwari, D. K., &amp; Singh, S. (2019). Impact of soil health card in Unnao District of Uttar Pradesh. Indian Journal of Extension Education, 55(3), 101-103.</w:t>
      </w:r>
    </w:p>
    <w:p w14:paraId="742C5FE8" w14:textId="77777777" w:rsidR="003427E3" w:rsidRPr="001768FC" w:rsidRDefault="00CC201C" w:rsidP="00DF68DF">
      <w:pPr>
        <w:pStyle w:val="ListNumber"/>
        <w:numPr>
          <w:ilvl w:val="0"/>
          <w:numId w:val="0"/>
        </w:numPr>
        <w:ind w:left="360" w:hanging="360"/>
        <w:jc w:val="both"/>
        <w:rPr>
          <w:rFonts w:cs="Times New Roman"/>
          <w:szCs w:val="24"/>
        </w:rPr>
      </w:pPr>
      <w:r w:rsidRPr="001768FC">
        <w:rPr>
          <w:rFonts w:cs="Times New Roman"/>
          <w:szCs w:val="24"/>
        </w:rPr>
        <w:t xml:space="preserve">Singh, B. P., Kumar, V., </w:t>
      </w:r>
      <w:proofErr w:type="spellStart"/>
      <w:r w:rsidRPr="001768FC">
        <w:rPr>
          <w:rFonts w:cs="Times New Roman"/>
          <w:szCs w:val="24"/>
        </w:rPr>
        <w:t>Chander</w:t>
      </w:r>
      <w:proofErr w:type="spellEnd"/>
      <w:r w:rsidRPr="001768FC">
        <w:rPr>
          <w:rFonts w:cs="Times New Roman"/>
          <w:szCs w:val="24"/>
        </w:rPr>
        <w:t>, M., Reddy, M. B., Singh, M., Suman, R. S., &amp; Yadav, V. (2023). Impact of soil health card scheme on soil fertility and crop production among the adopted farmers. Indian Journal of Extension Education, 59(1), 122-126.</w:t>
      </w:r>
    </w:p>
    <w:p w14:paraId="6568326D" w14:textId="77777777" w:rsidR="003427E3" w:rsidRDefault="00CC201C" w:rsidP="00DF68DF">
      <w:pPr>
        <w:pStyle w:val="ListNumber"/>
        <w:numPr>
          <w:ilvl w:val="0"/>
          <w:numId w:val="0"/>
        </w:numPr>
        <w:ind w:left="360" w:hanging="360"/>
        <w:jc w:val="both"/>
        <w:rPr>
          <w:rFonts w:cs="Times New Roman"/>
          <w:szCs w:val="24"/>
        </w:rPr>
      </w:pPr>
      <w:r w:rsidRPr="001768FC">
        <w:rPr>
          <w:rFonts w:cs="Times New Roman"/>
          <w:szCs w:val="24"/>
        </w:rPr>
        <w:lastRenderedPageBreak/>
        <w:t xml:space="preserve">Subhash, R., Monika, J., Himanshu, T., Vani, D. K., &amp; Gupta, M. K. (2019). Study on knowledge and adoption of soil health </w:t>
      </w:r>
      <w:proofErr w:type="gramStart"/>
      <w:r w:rsidRPr="001768FC">
        <w:rPr>
          <w:rFonts w:cs="Times New Roman"/>
          <w:szCs w:val="24"/>
        </w:rPr>
        <w:t>card based</w:t>
      </w:r>
      <w:proofErr w:type="gramEnd"/>
      <w:r w:rsidRPr="001768FC">
        <w:rPr>
          <w:rFonts w:cs="Times New Roman"/>
          <w:szCs w:val="24"/>
        </w:rPr>
        <w:t xml:space="preserve"> fertilizer application in Khandwa district (M.P.). International Journal of Chemical Studies, 7(3), 3152-3155.</w:t>
      </w:r>
    </w:p>
    <w:p w14:paraId="69637635" w14:textId="77777777" w:rsidR="00DF68DF" w:rsidRDefault="00DF68DF" w:rsidP="00DF68DF">
      <w:pPr>
        <w:pStyle w:val="ListNumber"/>
        <w:numPr>
          <w:ilvl w:val="0"/>
          <w:numId w:val="0"/>
        </w:numPr>
        <w:ind w:left="360" w:hanging="360"/>
        <w:jc w:val="both"/>
        <w:rPr>
          <w:rFonts w:cs="Times New Roman"/>
          <w:szCs w:val="24"/>
        </w:rPr>
      </w:pPr>
    </w:p>
    <w:p w14:paraId="27BABDB3" w14:textId="77777777" w:rsidR="00DF68DF" w:rsidRDefault="00DF68DF" w:rsidP="00DF68DF">
      <w:pPr>
        <w:pStyle w:val="ListNumber"/>
        <w:numPr>
          <w:ilvl w:val="0"/>
          <w:numId w:val="0"/>
        </w:numPr>
        <w:ind w:left="360" w:hanging="360"/>
        <w:jc w:val="center"/>
      </w:pPr>
      <w:r>
        <w:rPr>
          <w:rFonts w:cs="Times New Roman"/>
          <w:szCs w:val="24"/>
        </w:rPr>
        <w:t>***</w:t>
      </w:r>
    </w:p>
    <w:sectPr w:rsidR="00DF68D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55929" w14:textId="77777777" w:rsidR="00606856" w:rsidRDefault="00606856" w:rsidP="00622859">
      <w:pPr>
        <w:spacing w:after="0" w:line="240" w:lineRule="auto"/>
      </w:pPr>
      <w:r>
        <w:separator/>
      </w:r>
    </w:p>
  </w:endnote>
  <w:endnote w:type="continuationSeparator" w:id="0">
    <w:p w14:paraId="3ACA4D52" w14:textId="77777777" w:rsidR="00606856" w:rsidRDefault="00606856" w:rsidP="0062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DDA3" w14:textId="77777777" w:rsidR="00622859" w:rsidRDefault="00622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3FEE" w14:textId="77777777" w:rsidR="00622859" w:rsidRDefault="00622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25C8" w14:textId="77777777" w:rsidR="00622859" w:rsidRDefault="0062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4A4E5" w14:textId="77777777" w:rsidR="00606856" w:rsidRDefault="00606856" w:rsidP="00622859">
      <w:pPr>
        <w:spacing w:after="0" w:line="240" w:lineRule="auto"/>
      </w:pPr>
      <w:r>
        <w:separator/>
      </w:r>
    </w:p>
  </w:footnote>
  <w:footnote w:type="continuationSeparator" w:id="0">
    <w:p w14:paraId="02FD7434" w14:textId="77777777" w:rsidR="00606856" w:rsidRDefault="00606856" w:rsidP="0062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49D6" w14:textId="2F5A16EE" w:rsidR="00622859" w:rsidRDefault="00622859">
    <w:pPr>
      <w:pStyle w:val="Header"/>
    </w:pPr>
    <w:r>
      <w:rPr>
        <w:noProof/>
      </w:rPr>
      <w:pict w14:anchorId="503F8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EED3" w14:textId="69DE46DD" w:rsidR="00622859" w:rsidRDefault="00622859">
    <w:pPr>
      <w:pStyle w:val="Header"/>
    </w:pPr>
    <w:r>
      <w:rPr>
        <w:noProof/>
      </w:rPr>
      <w:pict w14:anchorId="0E5B9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73C3" w14:textId="6B1D4261" w:rsidR="00622859" w:rsidRDefault="00622859">
    <w:pPr>
      <w:pStyle w:val="Header"/>
    </w:pPr>
    <w:r>
      <w:rPr>
        <w:noProof/>
      </w:rPr>
      <w:pict w14:anchorId="26E2E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041F"/>
    <w:rsid w:val="00034616"/>
    <w:rsid w:val="0006063C"/>
    <w:rsid w:val="000A0C16"/>
    <w:rsid w:val="00145B59"/>
    <w:rsid w:val="0015074B"/>
    <w:rsid w:val="00153CB7"/>
    <w:rsid w:val="001768FC"/>
    <w:rsid w:val="0029639D"/>
    <w:rsid w:val="00311689"/>
    <w:rsid w:val="00326F90"/>
    <w:rsid w:val="003427E3"/>
    <w:rsid w:val="003E3E25"/>
    <w:rsid w:val="00606856"/>
    <w:rsid w:val="00622859"/>
    <w:rsid w:val="00732C15"/>
    <w:rsid w:val="008A4DD6"/>
    <w:rsid w:val="008B0CCB"/>
    <w:rsid w:val="00AA1D8D"/>
    <w:rsid w:val="00B47730"/>
    <w:rsid w:val="00CB0664"/>
    <w:rsid w:val="00CC201C"/>
    <w:rsid w:val="00D47B77"/>
    <w:rsid w:val="00DA650A"/>
    <w:rsid w:val="00DF68DF"/>
    <w:rsid w:val="00E03F58"/>
    <w:rsid w:val="00E73D58"/>
    <w:rsid w:val="00E90D09"/>
    <w:rsid w:val="00E970E4"/>
    <w:rsid w:val="00F149BC"/>
    <w:rsid w:val="00F44CB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885DD7"/>
  <w15:docId w15:val="{698C9489-869D-4D91-A9B1-1AA0DE96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32C15"/>
    <w:rPr>
      <w:color w:val="0000FF" w:themeColor="hyperlink"/>
      <w:u w:val="single"/>
    </w:rPr>
  </w:style>
  <w:style w:type="character" w:styleId="UnresolvedMention">
    <w:name w:val="Unresolved Mention"/>
    <w:basedOn w:val="DefaultParagraphFont"/>
    <w:uiPriority w:val="99"/>
    <w:semiHidden/>
    <w:unhideWhenUsed/>
    <w:rsid w:val="00732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80313-F2ED-4103-A2EA-B22A3393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17</cp:revision>
  <dcterms:created xsi:type="dcterms:W3CDTF">2013-12-23T23:15:00Z</dcterms:created>
  <dcterms:modified xsi:type="dcterms:W3CDTF">2026-02-06T12:27:00Z</dcterms:modified>
  <cp:category/>
</cp:coreProperties>
</file>