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977C3" w14:textId="77777777" w:rsidR="00515E51" w:rsidRDefault="00515E51"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r w:rsidRPr="00515E51">
        <w:rPr>
          <w:rFonts w:ascii="Arial" w:eastAsia="Times New Roman" w:hAnsi="Arial" w:cs="Arial"/>
          <w:b/>
          <w:bCs/>
          <w:kern w:val="36"/>
          <w:szCs w:val="22"/>
          <w:lang w:eastAsia="en-IN"/>
        </w:rPr>
        <w:t xml:space="preserve">Original Research Article </w:t>
      </w:r>
    </w:p>
    <w:p w14:paraId="7619C5F9" w14:textId="77777777" w:rsidR="00515E51" w:rsidRDefault="00515E51"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p>
    <w:p w14:paraId="6F0F9662" w14:textId="28343674" w:rsidR="00435ECD" w:rsidRDefault="00435ECD"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r w:rsidRPr="00CB4B90">
        <w:rPr>
          <w:rFonts w:ascii="Arial" w:eastAsia="Times New Roman" w:hAnsi="Arial" w:cs="Arial"/>
          <w:b/>
          <w:bCs/>
          <w:kern w:val="36"/>
          <w:szCs w:val="22"/>
          <w:lang w:eastAsia="en-IN"/>
        </w:rPr>
        <w:t xml:space="preserve">Evaluation of Agrometeorological Advisory Services for </w:t>
      </w:r>
      <w:r w:rsidR="00801A60" w:rsidRPr="00CB4B90">
        <w:rPr>
          <w:rFonts w:ascii="Arial" w:eastAsia="Times New Roman" w:hAnsi="Arial" w:cs="Arial"/>
          <w:b/>
          <w:bCs/>
          <w:kern w:val="36"/>
          <w:szCs w:val="22"/>
          <w:lang w:eastAsia="en-IN"/>
        </w:rPr>
        <w:t>Paddy</w:t>
      </w:r>
      <w:r w:rsidRPr="00CB4B90">
        <w:rPr>
          <w:rFonts w:ascii="Arial" w:eastAsia="Times New Roman" w:hAnsi="Arial" w:cs="Arial"/>
          <w:b/>
          <w:bCs/>
          <w:kern w:val="36"/>
          <w:szCs w:val="22"/>
          <w:lang w:eastAsia="en-IN"/>
        </w:rPr>
        <w:t xml:space="preserve"> Farmers</w:t>
      </w:r>
    </w:p>
    <w:p w14:paraId="1CFE2D33" w14:textId="77777777" w:rsidR="003512AE" w:rsidRPr="00CB4B90" w:rsidRDefault="003512AE"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p>
    <w:p w14:paraId="66D6BCBD" w14:textId="77777777" w:rsidR="00435ECD" w:rsidRPr="00CB4B90" w:rsidRDefault="00435ECD" w:rsidP="00801A60">
      <w:pPr>
        <w:spacing w:before="100" w:beforeAutospacing="1" w:after="100" w:afterAutospacing="1" w:line="240" w:lineRule="auto"/>
        <w:jc w:val="center"/>
        <w:outlineLvl w:val="1"/>
        <w:rPr>
          <w:rFonts w:ascii="Arial" w:eastAsia="Times New Roman" w:hAnsi="Arial" w:cs="Arial"/>
          <w:b/>
          <w:bCs/>
          <w:szCs w:val="22"/>
          <w:lang w:eastAsia="en-IN"/>
        </w:rPr>
      </w:pPr>
      <w:bookmarkStart w:id="0" w:name="_GoBack"/>
      <w:bookmarkEnd w:id="0"/>
      <w:r w:rsidRPr="00CB4B90">
        <w:rPr>
          <w:rFonts w:ascii="Arial" w:eastAsia="Times New Roman" w:hAnsi="Arial" w:cs="Arial"/>
          <w:b/>
          <w:bCs/>
          <w:szCs w:val="22"/>
          <w:lang w:eastAsia="en-IN"/>
        </w:rPr>
        <w:t>Abstract</w:t>
      </w:r>
    </w:p>
    <w:p w14:paraId="57139007" w14:textId="77777777" w:rsidR="00EB26F9" w:rsidRPr="00CB4B90" w:rsidRDefault="00EB26F9" w:rsidP="00EB26F9">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 xml:space="preserve">Agrometeorological Advisory Services (AAS) play a crucial role in reducing weather-related risks in climate-sensitive crops such as </w:t>
      </w:r>
      <w:r w:rsidR="00801A60" w:rsidRPr="00CB4B90">
        <w:rPr>
          <w:rFonts w:ascii="Arial" w:eastAsia="Times New Roman" w:hAnsi="Arial" w:cs="Arial"/>
          <w:szCs w:val="22"/>
          <w:lang w:eastAsia="en-IN"/>
        </w:rPr>
        <w:t>paddy</w:t>
      </w:r>
      <w:r w:rsidRPr="00CB4B90">
        <w:rPr>
          <w:rFonts w:ascii="Arial" w:eastAsia="Times New Roman" w:hAnsi="Arial" w:cs="Arial"/>
          <w:szCs w:val="22"/>
          <w:lang w:eastAsia="en-IN"/>
        </w:rPr>
        <w:t xml:space="preserve">. This study statistically evaluates the effectiveness of AAS among 1,980 </w:t>
      </w:r>
      <w:r w:rsidR="00801A60" w:rsidRPr="00CB4B90">
        <w:rPr>
          <w:rFonts w:ascii="Arial" w:eastAsia="Times New Roman" w:hAnsi="Arial" w:cs="Arial"/>
          <w:szCs w:val="22"/>
          <w:lang w:eastAsia="en-IN"/>
        </w:rPr>
        <w:t>paddy</w:t>
      </w:r>
      <w:r w:rsidRPr="00CB4B90">
        <w:rPr>
          <w:rFonts w:ascii="Arial" w:eastAsia="Times New Roman" w:hAnsi="Arial" w:cs="Arial"/>
          <w:szCs w:val="22"/>
          <w:lang w:eastAsia="en-IN"/>
        </w:rPr>
        <w:t xml:space="preserve"> farmers in </w:t>
      </w:r>
      <w:proofErr w:type="spellStart"/>
      <w:r w:rsidRPr="00CB4B90">
        <w:rPr>
          <w:rFonts w:ascii="Arial" w:eastAsia="Times New Roman" w:hAnsi="Arial" w:cs="Arial"/>
          <w:szCs w:val="22"/>
          <w:lang w:eastAsia="en-IN"/>
        </w:rPr>
        <w:t>Bulandshahr</w:t>
      </w:r>
      <w:proofErr w:type="spellEnd"/>
      <w:r w:rsidRPr="00CB4B90">
        <w:rPr>
          <w:rFonts w:ascii="Arial" w:eastAsia="Times New Roman" w:hAnsi="Arial" w:cs="Arial"/>
          <w:szCs w:val="22"/>
          <w:lang w:eastAsia="en-IN"/>
        </w:rPr>
        <w:t xml:space="preserve"> district of Uttar Pradesh during the Kharif season of 2022. Stage-wise farmer responses were </w:t>
      </w:r>
      <w:proofErr w:type="spellStart"/>
      <w:r w:rsidRPr="00CB4B90">
        <w:rPr>
          <w:rFonts w:ascii="Arial" w:eastAsia="Times New Roman" w:hAnsi="Arial" w:cs="Arial"/>
          <w:szCs w:val="22"/>
          <w:lang w:eastAsia="en-IN"/>
        </w:rPr>
        <w:t>analyzed</w:t>
      </w:r>
      <w:proofErr w:type="spellEnd"/>
      <w:r w:rsidRPr="00CB4B90">
        <w:rPr>
          <w:rFonts w:ascii="Arial" w:eastAsia="Times New Roman" w:hAnsi="Arial" w:cs="Arial"/>
          <w:szCs w:val="22"/>
          <w:lang w:eastAsia="en-IN"/>
        </w:rPr>
        <w:t xml:space="preserve"> across ten crop growth stages using descriptive statistics, chi-square (χ²) tests, and composite index construction. The analysis reveals high adoption rates (76–88%), strong perceived relevance, and high satisfaction levels (&gt;70%) across most stages. Chi-square results indicate a statistically significant association between crop growth stages and both advisory relevance and farmer satisfaction (p &lt; 0.01). An Advisory Effectiveness Index further confirms maximum effectiveness during tillering, panicle initiation, and maturity stages. The findings underscore the importance of timely, stage-specific, and action-oriented advisories for enhancing climate resilience in rice production systems.</w:t>
      </w:r>
    </w:p>
    <w:p w14:paraId="24892F91" w14:textId="77777777" w:rsidR="00EB26F9" w:rsidRPr="00CB4B90" w:rsidRDefault="00EB26F9" w:rsidP="00EB26F9">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b/>
          <w:bCs/>
          <w:szCs w:val="22"/>
          <w:lang w:eastAsia="en-IN"/>
        </w:rPr>
        <w:t>Keywords:</w:t>
      </w:r>
      <w:r w:rsidRPr="00CB4B90">
        <w:rPr>
          <w:rFonts w:ascii="Arial" w:eastAsia="Times New Roman" w:hAnsi="Arial" w:cs="Arial"/>
          <w:szCs w:val="22"/>
          <w:lang w:eastAsia="en-IN"/>
        </w:rPr>
        <w:t xml:space="preserve"> Agrometeorological advisory Services, </w:t>
      </w:r>
      <w:r w:rsidR="00801A60" w:rsidRPr="00CB4B90">
        <w:rPr>
          <w:rFonts w:ascii="Arial" w:eastAsia="Times New Roman" w:hAnsi="Arial" w:cs="Arial"/>
          <w:szCs w:val="22"/>
          <w:lang w:eastAsia="en-IN"/>
        </w:rPr>
        <w:t>Paddy</w:t>
      </w:r>
      <w:r w:rsidRPr="00CB4B90">
        <w:rPr>
          <w:rFonts w:ascii="Arial" w:eastAsia="Times New Roman" w:hAnsi="Arial" w:cs="Arial"/>
          <w:szCs w:val="22"/>
          <w:lang w:eastAsia="en-IN"/>
        </w:rPr>
        <w:t xml:space="preserve">, Farmer response, Advisory effectiveness index, </w:t>
      </w:r>
      <w:proofErr w:type="spellStart"/>
      <w:r w:rsidR="001B6DEA" w:rsidRPr="00CB4B90">
        <w:rPr>
          <w:rFonts w:ascii="Arial" w:eastAsia="Times New Roman" w:hAnsi="Arial" w:cs="Arial"/>
          <w:szCs w:val="22"/>
          <w:lang w:eastAsia="en-IN"/>
        </w:rPr>
        <w:t>Bulandshahr</w:t>
      </w:r>
      <w:proofErr w:type="spellEnd"/>
    </w:p>
    <w:p w14:paraId="3DF28B0B" w14:textId="77777777" w:rsidR="00435ECD" w:rsidRPr="00CB4B90" w:rsidRDefault="00435ECD" w:rsidP="00EB26F9">
      <w:pPr>
        <w:spacing w:before="100" w:beforeAutospacing="1" w:after="100" w:afterAutospacing="1" w:line="240" w:lineRule="auto"/>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Introduction</w:t>
      </w:r>
    </w:p>
    <w:p w14:paraId="1CCCF5C5" w14:textId="77777777" w:rsidR="00A25F99" w:rsidRPr="00CB4B90" w:rsidRDefault="00A25F99" w:rsidP="00EB26F9">
      <w:pPr>
        <w:pStyle w:val="NormalWeb"/>
        <w:jc w:val="both"/>
        <w:rPr>
          <w:rFonts w:ascii="Arial" w:hAnsi="Arial" w:cs="Arial"/>
          <w:sz w:val="22"/>
          <w:szCs w:val="22"/>
        </w:rPr>
      </w:pPr>
      <w:r w:rsidRPr="00CB4B90">
        <w:rPr>
          <w:rFonts w:ascii="Arial" w:hAnsi="Arial" w:cs="Arial"/>
          <w:sz w:val="22"/>
          <w:szCs w:val="22"/>
        </w:rPr>
        <w:t xml:space="preserve">Indian agriculture is highly dependent on weather conditions and is increasingly vulnerable to climate variability and extreme events such as erratic rainfall, heat stress, floods, and </w:t>
      </w:r>
      <w:r w:rsidR="006110A4" w:rsidRPr="00CB4B90">
        <w:rPr>
          <w:rFonts w:ascii="Arial" w:hAnsi="Arial" w:cs="Arial"/>
          <w:sz w:val="22"/>
          <w:szCs w:val="22"/>
        </w:rPr>
        <w:t>droughts (Aggarwal et al., 2008</w:t>
      </w:r>
      <w:r w:rsidRPr="00CB4B90">
        <w:rPr>
          <w:rFonts w:ascii="Arial" w:hAnsi="Arial" w:cs="Arial"/>
          <w:sz w:val="22"/>
          <w:szCs w:val="22"/>
        </w:rPr>
        <w:t xml:space="preserve">). </w:t>
      </w:r>
      <w:r w:rsidR="00801A60" w:rsidRPr="00CB4B90">
        <w:rPr>
          <w:rFonts w:ascii="Arial" w:hAnsi="Arial" w:cs="Arial"/>
          <w:sz w:val="22"/>
          <w:szCs w:val="22"/>
        </w:rPr>
        <w:t>Paddy</w:t>
      </w:r>
      <w:r w:rsidRPr="00CB4B90">
        <w:rPr>
          <w:rFonts w:ascii="Arial" w:hAnsi="Arial" w:cs="Arial"/>
          <w:sz w:val="22"/>
          <w:szCs w:val="22"/>
        </w:rPr>
        <w:t>, being a climate-sensitive crop, is particularly affected by fluctuations in rainfall distribution, temperature, and humidity during different crop growth stages (Venkataraman et al., 2016; Zhao et al., 2017).</w:t>
      </w:r>
      <w:r w:rsidR="00801A60" w:rsidRPr="00CB4B90">
        <w:rPr>
          <w:rFonts w:ascii="Arial" w:hAnsi="Arial" w:cs="Arial"/>
          <w:sz w:val="22"/>
          <w:szCs w:val="22"/>
        </w:rPr>
        <w:t xml:space="preserve"> </w:t>
      </w:r>
      <w:r w:rsidRPr="00CB4B90">
        <w:rPr>
          <w:rFonts w:ascii="Arial" w:hAnsi="Arial" w:cs="Arial"/>
          <w:sz w:val="22"/>
          <w:szCs w:val="22"/>
        </w:rPr>
        <w:t xml:space="preserve">To reduce weather-induced production risks, </w:t>
      </w:r>
      <w:r w:rsidRPr="00CB4B90">
        <w:rPr>
          <w:rStyle w:val="Strong"/>
          <w:rFonts w:ascii="Arial" w:hAnsi="Arial" w:cs="Arial"/>
          <w:b w:val="0"/>
          <w:bCs w:val="0"/>
          <w:sz w:val="22"/>
          <w:szCs w:val="22"/>
        </w:rPr>
        <w:t>Agrometeorological Advisory Services (AAS)</w:t>
      </w:r>
      <w:r w:rsidRPr="00CB4B90">
        <w:rPr>
          <w:rFonts w:ascii="Arial" w:hAnsi="Arial" w:cs="Arial"/>
          <w:sz w:val="22"/>
          <w:szCs w:val="22"/>
        </w:rPr>
        <w:t xml:space="preserve"> have been introduced as an important climate service for farmers. These advisories provide weather-based, location-specific recommendations related to sowing, transplanting, irrigation scheduling, nutrient management, pest and disease control, and harvesting operations (IMD, 2018; Rao et al., 2015). Several studies have demonstrated that timely </w:t>
      </w:r>
      <w:proofErr w:type="spellStart"/>
      <w:r w:rsidRPr="00CB4B90">
        <w:rPr>
          <w:rFonts w:ascii="Arial" w:hAnsi="Arial" w:cs="Arial"/>
          <w:sz w:val="22"/>
          <w:szCs w:val="22"/>
        </w:rPr>
        <w:t>agromet</w:t>
      </w:r>
      <w:proofErr w:type="spellEnd"/>
      <w:r w:rsidRPr="00CB4B90">
        <w:rPr>
          <w:rFonts w:ascii="Arial" w:hAnsi="Arial" w:cs="Arial"/>
          <w:sz w:val="22"/>
          <w:szCs w:val="22"/>
        </w:rPr>
        <w:t xml:space="preserve"> advisories can improve crop productivity, reduce input costs, and enhance farmers’ adaptive capacity to climate variability (Gadgil et al., 2002; Meena et al., 2019; Singh et al., 2021).</w:t>
      </w:r>
    </w:p>
    <w:p w14:paraId="7DFD590F" w14:textId="77777777" w:rsidR="00A25F99" w:rsidRPr="00CB4B90" w:rsidRDefault="00A25F99" w:rsidP="00801A60">
      <w:pPr>
        <w:pStyle w:val="NormalWeb"/>
        <w:jc w:val="both"/>
        <w:rPr>
          <w:rFonts w:ascii="Arial" w:hAnsi="Arial" w:cs="Arial"/>
          <w:sz w:val="22"/>
          <w:szCs w:val="22"/>
        </w:rPr>
      </w:pPr>
      <w:r w:rsidRPr="00CB4B90">
        <w:rPr>
          <w:rFonts w:ascii="Arial" w:hAnsi="Arial" w:cs="Arial"/>
          <w:sz w:val="22"/>
          <w:szCs w:val="22"/>
        </w:rPr>
        <w:t xml:space="preserve">Despite large-scale dissemination of advisories through the India Meteorological Department (IMD) and State Agrometeorological Units, their effectiveness depends largely on farmers’ </w:t>
      </w:r>
      <w:r w:rsidRPr="00CB4B90">
        <w:rPr>
          <w:rStyle w:val="Strong"/>
          <w:rFonts w:ascii="Arial" w:hAnsi="Arial" w:cs="Arial"/>
          <w:b w:val="0"/>
          <w:bCs w:val="0"/>
          <w:sz w:val="22"/>
          <w:szCs w:val="22"/>
        </w:rPr>
        <w:t>adoption behaviour, perceived relevance, preparedness, and satisfaction</w:t>
      </w:r>
      <w:r w:rsidRPr="00CB4B90">
        <w:rPr>
          <w:rFonts w:ascii="Arial" w:hAnsi="Arial" w:cs="Arial"/>
          <w:sz w:val="22"/>
          <w:szCs w:val="22"/>
        </w:rPr>
        <w:t xml:space="preserve"> (Subash &amp; </w:t>
      </w:r>
      <w:proofErr w:type="spellStart"/>
      <w:r w:rsidRPr="00CB4B90">
        <w:rPr>
          <w:rFonts w:ascii="Arial" w:hAnsi="Arial" w:cs="Arial"/>
          <w:sz w:val="22"/>
          <w:szCs w:val="22"/>
        </w:rPr>
        <w:t>Gangwar</w:t>
      </w:r>
      <w:proofErr w:type="spellEnd"/>
      <w:r w:rsidRPr="00CB4B90">
        <w:rPr>
          <w:rFonts w:ascii="Arial" w:hAnsi="Arial" w:cs="Arial"/>
          <w:sz w:val="22"/>
          <w:szCs w:val="22"/>
        </w:rPr>
        <w:t>, 2014; Samui &amp; Paul, 2016). Moreover, farmers’ information needs vary considerably across crop growth stages, making stage-wise evaluation essential for understanding advisory performance (Kumar et al., 2020; Tripathi et al., 2018).</w:t>
      </w:r>
      <w:r w:rsidR="00801A60" w:rsidRPr="00CB4B90">
        <w:rPr>
          <w:rFonts w:ascii="Arial" w:hAnsi="Arial" w:cs="Arial"/>
          <w:sz w:val="22"/>
          <w:szCs w:val="22"/>
        </w:rPr>
        <w:t xml:space="preserve"> </w:t>
      </w:r>
      <w:r w:rsidRPr="00CB4B90">
        <w:rPr>
          <w:rFonts w:ascii="Arial" w:hAnsi="Arial" w:cs="Arial"/>
          <w:sz w:val="22"/>
          <w:szCs w:val="22"/>
        </w:rPr>
        <w:t xml:space="preserve">Therefore, the present study aims to statistically evaluate stage-wise adoption, relevance, and satisfaction of agrometeorological advisories among rice farmers in </w:t>
      </w:r>
      <w:proofErr w:type="spellStart"/>
      <w:r w:rsidRPr="00CB4B90">
        <w:rPr>
          <w:rFonts w:ascii="Arial" w:hAnsi="Arial" w:cs="Arial"/>
          <w:sz w:val="22"/>
          <w:szCs w:val="22"/>
        </w:rPr>
        <w:t>Bulandshahr</w:t>
      </w:r>
      <w:proofErr w:type="spellEnd"/>
      <w:r w:rsidRPr="00CB4B90">
        <w:rPr>
          <w:rFonts w:ascii="Arial" w:hAnsi="Arial" w:cs="Arial"/>
          <w:sz w:val="22"/>
          <w:szCs w:val="22"/>
        </w:rPr>
        <w:t xml:space="preserve"> district of Uttar Pradesh during the Kharif season of 2022.</w:t>
      </w:r>
    </w:p>
    <w:p w14:paraId="7B4E9420" w14:textId="77777777" w:rsidR="00435ECD" w:rsidRPr="00CB4B90" w:rsidRDefault="00435ECD" w:rsidP="00763B58">
      <w:pPr>
        <w:spacing w:before="100" w:beforeAutospacing="1" w:after="100" w:afterAutospacing="1" w:line="240" w:lineRule="auto"/>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Materials and Methods</w:t>
      </w:r>
    </w:p>
    <w:p w14:paraId="10957D40" w14:textId="77777777" w:rsidR="00EE5BD6" w:rsidRPr="00CB4B90" w:rsidRDefault="00EE5BD6" w:rsidP="00763B58">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lastRenderedPageBreak/>
        <w:t>Study Area</w:t>
      </w:r>
    </w:p>
    <w:p w14:paraId="51F2A9D6" w14:textId="77777777" w:rsidR="00EE5BD6" w:rsidRPr="00CB4B90" w:rsidRDefault="00EE5BD6" w:rsidP="00763B58">
      <w:pPr>
        <w:pStyle w:val="NormalWeb"/>
        <w:jc w:val="both"/>
        <w:rPr>
          <w:rFonts w:ascii="Arial" w:hAnsi="Arial" w:cs="Arial"/>
          <w:sz w:val="22"/>
          <w:szCs w:val="22"/>
        </w:rPr>
      </w:pPr>
      <w:r w:rsidRPr="00CB4B90">
        <w:rPr>
          <w:rFonts w:ascii="Arial" w:hAnsi="Arial" w:cs="Arial"/>
          <w:sz w:val="22"/>
          <w:szCs w:val="22"/>
        </w:rPr>
        <w:t xml:space="preserve">The study was conducted in </w:t>
      </w:r>
      <w:proofErr w:type="spellStart"/>
      <w:r w:rsidRPr="00CB4B90">
        <w:rPr>
          <w:rFonts w:ascii="Arial" w:hAnsi="Arial" w:cs="Arial"/>
          <w:sz w:val="22"/>
          <w:szCs w:val="22"/>
        </w:rPr>
        <w:t>Bulandshahr</w:t>
      </w:r>
      <w:proofErr w:type="spellEnd"/>
      <w:r w:rsidRPr="00CB4B90">
        <w:rPr>
          <w:rFonts w:ascii="Arial" w:hAnsi="Arial" w:cs="Arial"/>
          <w:sz w:val="22"/>
          <w:szCs w:val="22"/>
        </w:rPr>
        <w:t xml:space="preserve"> district of Uttar Pradesh, a major rice-growing region where rice cultivation is highly influenced by monsoon variability. Weather-based advisories disseminated under the IMD’s Agrometeorological Advisory Service programme were evaluated during the Kharif season of 2022 (IMD, 2020).</w:t>
      </w:r>
    </w:p>
    <w:p w14:paraId="656A4950" w14:textId="77777777" w:rsidR="00435ECD" w:rsidRPr="00CB4B90" w:rsidRDefault="00435ECD" w:rsidP="00763B58">
      <w:pPr>
        <w:spacing w:before="100" w:beforeAutospacing="1" w:after="100" w:afterAutospacing="1" w:line="240" w:lineRule="auto"/>
        <w:jc w:val="both"/>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Sample Selection</w:t>
      </w:r>
    </w:p>
    <w:p w14:paraId="398B6259" w14:textId="77777777" w:rsidR="00435ECD" w:rsidRPr="00CB4B90" w:rsidRDefault="00EE5BD6" w:rsidP="00C57E9E">
      <w:pPr>
        <w:pStyle w:val="NormalWeb"/>
        <w:jc w:val="both"/>
        <w:rPr>
          <w:rFonts w:ascii="Arial" w:hAnsi="Arial" w:cs="Arial"/>
          <w:sz w:val="22"/>
          <w:szCs w:val="22"/>
        </w:rPr>
      </w:pPr>
      <w:r w:rsidRPr="00CB4B90">
        <w:rPr>
          <w:rFonts w:ascii="Arial" w:hAnsi="Arial" w:cs="Arial"/>
          <w:sz w:val="22"/>
          <w:szCs w:val="22"/>
        </w:rPr>
        <w:t xml:space="preserve">Stage-wise farmer responses were collected across ten rice growth stages, following the standard crop phenological classification used in agrometeorological studies (Singh et al., 2010; Rao et al., 2015). Farmers’ perceptions regarding advisory relevance, operational constraints, and satisfaction were analysed using percentage analysis, a widely used approach in advisory evaluation studies (Subash &amp; </w:t>
      </w:r>
      <w:proofErr w:type="spellStart"/>
      <w:r w:rsidRPr="00CB4B90">
        <w:rPr>
          <w:rFonts w:ascii="Arial" w:hAnsi="Arial" w:cs="Arial"/>
          <w:sz w:val="22"/>
          <w:szCs w:val="22"/>
        </w:rPr>
        <w:t>Gangwar</w:t>
      </w:r>
      <w:proofErr w:type="spellEnd"/>
      <w:r w:rsidRPr="00CB4B90">
        <w:rPr>
          <w:rFonts w:ascii="Arial" w:hAnsi="Arial" w:cs="Arial"/>
          <w:sz w:val="22"/>
          <w:szCs w:val="22"/>
        </w:rPr>
        <w:t>, 2014; Samui &amp; Paul, 2016).</w:t>
      </w:r>
      <w:r w:rsidR="00C57E9E" w:rsidRPr="00CB4B90">
        <w:rPr>
          <w:rFonts w:ascii="Arial" w:hAnsi="Arial" w:cs="Arial"/>
          <w:sz w:val="22"/>
          <w:szCs w:val="22"/>
        </w:rPr>
        <w:t xml:space="preserve"> </w:t>
      </w:r>
      <w:r w:rsidR="00435ECD" w:rsidRPr="00CB4B90">
        <w:rPr>
          <w:rFonts w:ascii="Arial" w:hAnsi="Arial" w:cs="Arial"/>
          <w:sz w:val="22"/>
          <w:szCs w:val="22"/>
        </w:rPr>
        <w:t xml:space="preserve">A total of 1,980 </w:t>
      </w:r>
      <w:r w:rsidR="00F379AC" w:rsidRPr="00CB4B90">
        <w:rPr>
          <w:rFonts w:ascii="Arial" w:hAnsi="Arial" w:cs="Arial"/>
          <w:sz w:val="22"/>
          <w:szCs w:val="22"/>
        </w:rPr>
        <w:t>paddy</w:t>
      </w:r>
      <w:r w:rsidR="00435ECD" w:rsidRPr="00CB4B90">
        <w:rPr>
          <w:rFonts w:ascii="Arial" w:hAnsi="Arial" w:cs="Arial"/>
          <w:sz w:val="22"/>
          <w:szCs w:val="22"/>
        </w:rPr>
        <w:t xml:space="preserve"> farmers receiving agrometeorological advisories were selected for the study during Kharif 2022. Farmers were exposed to advisories throughout the crop growth period.</w:t>
      </w:r>
      <w:r w:rsidR="00763B58" w:rsidRPr="00CB4B90">
        <w:rPr>
          <w:rFonts w:ascii="Arial" w:hAnsi="Arial" w:cs="Arial"/>
          <w:sz w:val="22"/>
          <w:szCs w:val="22"/>
        </w:rPr>
        <w:t xml:space="preserve"> The important stages of crop as nursery sowing (</w:t>
      </w:r>
      <w:r w:rsidR="00435ECD" w:rsidRPr="00CB4B90">
        <w:rPr>
          <w:rFonts w:ascii="Arial" w:hAnsi="Arial" w:cs="Arial"/>
          <w:sz w:val="22"/>
          <w:szCs w:val="22"/>
        </w:rPr>
        <w:t>20 June 2022</w:t>
      </w:r>
      <w:r w:rsidR="00763B58" w:rsidRPr="00CB4B90">
        <w:rPr>
          <w:rFonts w:ascii="Arial" w:hAnsi="Arial" w:cs="Arial"/>
          <w:sz w:val="22"/>
          <w:szCs w:val="22"/>
        </w:rPr>
        <w:t>), transplanting (</w:t>
      </w:r>
      <w:r w:rsidR="00435ECD" w:rsidRPr="00CB4B90">
        <w:rPr>
          <w:rFonts w:ascii="Arial" w:hAnsi="Arial" w:cs="Arial"/>
          <w:sz w:val="22"/>
          <w:szCs w:val="22"/>
        </w:rPr>
        <w:t>2–8 July 2022</w:t>
      </w:r>
      <w:r w:rsidR="00763B58" w:rsidRPr="00CB4B90">
        <w:rPr>
          <w:rFonts w:ascii="Arial" w:hAnsi="Arial" w:cs="Arial"/>
          <w:sz w:val="22"/>
          <w:szCs w:val="22"/>
        </w:rPr>
        <w:t xml:space="preserve">) and harvesting </w:t>
      </w:r>
      <w:proofErr w:type="gramStart"/>
      <w:r w:rsidR="00763B58" w:rsidRPr="00CB4B90">
        <w:rPr>
          <w:rFonts w:ascii="Arial" w:hAnsi="Arial" w:cs="Arial"/>
          <w:sz w:val="22"/>
          <w:szCs w:val="22"/>
        </w:rPr>
        <w:t>(</w:t>
      </w:r>
      <w:r w:rsidR="00435ECD" w:rsidRPr="00CB4B90">
        <w:rPr>
          <w:rFonts w:ascii="Arial" w:hAnsi="Arial" w:cs="Arial"/>
          <w:sz w:val="22"/>
          <w:szCs w:val="22"/>
        </w:rPr>
        <w:t xml:space="preserve"> 28</w:t>
      </w:r>
      <w:proofErr w:type="gramEnd"/>
      <w:r w:rsidR="00435ECD" w:rsidRPr="00CB4B90">
        <w:rPr>
          <w:rFonts w:ascii="Arial" w:hAnsi="Arial" w:cs="Arial"/>
          <w:sz w:val="22"/>
          <w:szCs w:val="22"/>
        </w:rPr>
        <w:t xml:space="preserve"> October 2022</w:t>
      </w:r>
      <w:r w:rsidR="00763B58" w:rsidRPr="00CB4B90">
        <w:rPr>
          <w:rFonts w:ascii="Arial" w:hAnsi="Arial" w:cs="Arial"/>
          <w:sz w:val="22"/>
          <w:szCs w:val="22"/>
        </w:rPr>
        <w:t>). The analysis was carried out across ten rice growth stages</w:t>
      </w:r>
      <w:r w:rsidR="00763B58" w:rsidRPr="00CB4B90">
        <w:rPr>
          <w:rFonts w:ascii="Arial" w:hAnsi="Arial" w:cs="Arial"/>
          <w:b/>
          <w:bCs/>
          <w:sz w:val="22"/>
          <w:szCs w:val="22"/>
        </w:rPr>
        <w:t xml:space="preserve"> as n</w:t>
      </w:r>
      <w:r w:rsidR="00435ECD" w:rsidRPr="00CB4B90">
        <w:rPr>
          <w:rFonts w:ascii="Arial" w:hAnsi="Arial" w:cs="Arial"/>
          <w:sz w:val="22"/>
          <w:szCs w:val="22"/>
        </w:rPr>
        <w:t>ursery</w:t>
      </w:r>
      <w:r w:rsidR="00763B58" w:rsidRPr="00CB4B90">
        <w:rPr>
          <w:rFonts w:ascii="Arial" w:hAnsi="Arial" w:cs="Arial"/>
          <w:sz w:val="22"/>
          <w:szCs w:val="22"/>
        </w:rPr>
        <w:t>, t</w:t>
      </w:r>
      <w:r w:rsidR="00435ECD" w:rsidRPr="00CB4B90">
        <w:rPr>
          <w:rFonts w:ascii="Arial" w:hAnsi="Arial" w:cs="Arial"/>
          <w:sz w:val="22"/>
          <w:szCs w:val="22"/>
        </w:rPr>
        <w:t>ransplanting</w:t>
      </w:r>
      <w:r w:rsidR="00763B58" w:rsidRPr="00CB4B90">
        <w:rPr>
          <w:rFonts w:ascii="Arial" w:hAnsi="Arial" w:cs="Arial"/>
          <w:sz w:val="22"/>
          <w:szCs w:val="22"/>
        </w:rPr>
        <w:t>, t</w:t>
      </w:r>
      <w:r w:rsidR="00435ECD" w:rsidRPr="00CB4B90">
        <w:rPr>
          <w:rFonts w:ascii="Arial" w:hAnsi="Arial" w:cs="Arial"/>
          <w:sz w:val="22"/>
          <w:szCs w:val="22"/>
        </w:rPr>
        <w:t>illering</w:t>
      </w:r>
      <w:r w:rsidR="00763B58" w:rsidRPr="00CB4B90">
        <w:rPr>
          <w:rFonts w:ascii="Arial" w:hAnsi="Arial" w:cs="Arial"/>
          <w:sz w:val="22"/>
          <w:szCs w:val="22"/>
        </w:rPr>
        <w:t>, v</w:t>
      </w:r>
      <w:r w:rsidR="00435ECD" w:rsidRPr="00CB4B90">
        <w:rPr>
          <w:rFonts w:ascii="Arial" w:hAnsi="Arial" w:cs="Arial"/>
          <w:sz w:val="22"/>
          <w:szCs w:val="22"/>
        </w:rPr>
        <w:t>egetative</w:t>
      </w:r>
      <w:r w:rsidR="00763B58" w:rsidRPr="00CB4B90">
        <w:rPr>
          <w:rFonts w:ascii="Arial" w:hAnsi="Arial" w:cs="Arial"/>
          <w:sz w:val="22"/>
          <w:szCs w:val="22"/>
        </w:rPr>
        <w:t>, p</w:t>
      </w:r>
      <w:r w:rsidR="00435ECD" w:rsidRPr="00CB4B90">
        <w:rPr>
          <w:rFonts w:ascii="Arial" w:hAnsi="Arial" w:cs="Arial"/>
          <w:sz w:val="22"/>
          <w:szCs w:val="22"/>
        </w:rPr>
        <w:t>anicle initiation</w:t>
      </w:r>
      <w:r w:rsidR="00763B58" w:rsidRPr="00CB4B90">
        <w:rPr>
          <w:rFonts w:ascii="Arial" w:hAnsi="Arial" w:cs="Arial"/>
          <w:sz w:val="22"/>
          <w:szCs w:val="22"/>
        </w:rPr>
        <w:t>, f</w:t>
      </w:r>
      <w:r w:rsidR="00435ECD" w:rsidRPr="00CB4B90">
        <w:rPr>
          <w:rFonts w:ascii="Arial" w:hAnsi="Arial" w:cs="Arial"/>
          <w:sz w:val="22"/>
          <w:szCs w:val="22"/>
        </w:rPr>
        <w:t>lowering</w:t>
      </w:r>
      <w:r w:rsidR="00763B58" w:rsidRPr="00CB4B90">
        <w:rPr>
          <w:rFonts w:ascii="Arial" w:hAnsi="Arial" w:cs="Arial"/>
          <w:sz w:val="22"/>
          <w:szCs w:val="22"/>
        </w:rPr>
        <w:t>, m</w:t>
      </w:r>
      <w:r w:rsidR="00435ECD" w:rsidRPr="00CB4B90">
        <w:rPr>
          <w:rFonts w:ascii="Arial" w:hAnsi="Arial" w:cs="Arial"/>
          <w:sz w:val="22"/>
          <w:szCs w:val="22"/>
        </w:rPr>
        <w:t>ilking</w:t>
      </w:r>
      <w:r w:rsidR="00763B58" w:rsidRPr="00CB4B90">
        <w:rPr>
          <w:rFonts w:ascii="Arial" w:hAnsi="Arial" w:cs="Arial"/>
          <w:sz w:val="22"/>
          <w:szCs w:val="22"/>
        </w:rPr>
        <w:t>, d</w:t>
      </w:r>
      <w:r w:rsidR="00435ECD" w:rsidRPr="00CB4B90">
        <w:rPr>
          <w:rFonts w:ascii="Arial" w:hAnsi="Arial" w:cs="Arial"/>
          <w:sz w:val="22"/>
          <w:szCs w:val="22"/>
        </w:rPr>
        <w:t>ough</w:t>
      </w:r>
      <w:r w:rsidR="00763B58" w:rsidRPr="00CB4B90">
        <w:rPr>
          <w:rFonts w:ascii="Arial" w:hAnsi="Arial" w:cs="Arial"/>
          <w:sz w:val="22"/>
          <w:szCs w:val="22"/>
        </w:rPr>
        <w:t>, m</w:t>
      </w:r>
      <w:r w:rsidR="00435ECD" w:rsidRPr="00CB4B90">
        <w:rPr>
          <w:rFonts w:ascii="Arial" w:hAnsi="Arial" w:cs="Arial"/>
          <w:sz w:val="22"/>
          <w:szCs w:val="22"/>
        </w:rPr>
        <w:t>aturity</w:t>
      </w:r>
      <w:r w:rsidR="00763B58" w:rsidRPr="00CB4B90">
        <w:rPr>
          <w:rFonts w:ascii="Arial" w:hAnsi="Arial" w:cs="Arial"/>
          <w:sz w:val="22"/>
          <w:szCs w:val="22"/>
        </w:rPr>
        <w:t xml:space="preserve"> and h</w:t>
      </w:r>
      <w:r w:rsidR="00435ECD" w:rsidRPr="00CB4B90">
        <w:rPr>
          <w:rFonts w:ascii="Arial" w:hAnsi="Arial" w:cs="Arial"/>
          <w:sz w:val="22"/>
          <w:szCs w:val="22"/>
        </w:rPr>
        <w:t>arvesting</w:t>
      </w:r>
      <w:r w:rsidR="00763B58" w:rsidRPr="00CB4B90">
        <w:rPr>
          <w:rFonts w:ascii="Arial" w:hAnsi="Arial" w:cs="Arial"/>
          <w:sz w:val="22"/>
          <w:szCs w:val="22"/>
        </w:rPr>
        <w:t>.</w:t>
      </w:r>
    </w:p>
    <w:p w14:paraId="3348B378" w14:textId="77777777" w:rsidR="00435ECD" w:rsidRPr="00CB4B90" w:rsidRDefault="00435ECD" w:rsidP="00F379AC">
      <w:pPr>
        <w:spacing w:before="100" w:beforeAutospacing="1" w:after="100" w:afterAutospacing="1" w:line="240" w:lineRule="auto"/>
        <w:jc w:val="both"/>
        <w:outlineLvl w:val="2"/>
        <w:rPr>
          <w:rFonts w:ascii="Arial" w:eastAsia="Times New Roman" w:hAnsi="Arial" w:cs="Arial"/>
          <w:szCs w:val="22"/>
          <w:lang w:eastAsia="en-IN"/>
        </w:rPr>
      </w:pPr>
      <w:r w:rsidRPr="00CB4B90">
        <w:rPr>
          <w:rFonts w:ascii="Arial" w:eastAsia="Times New Roman" w:hAnsi="Arial" w:cs="Arial"/>
          <w:b/>
          <w:bCs/>
          <w:szCs w:val="22"/>
          <w:lang w:eastAsia="en-IN"/>
        </w:rPr>
        <w:t>Data Collection and Classification</w:t>
      </w:r>
      <w:r w:rsidR="00763B58" w:rsidRPr="00CB4B90">
        <w:rPr>
          <w:rFonts w:ascii="Arial" w:eastAsia="Times New Roman" w:hAnsi="Arial" w:cs="Arial"/>
          <w:b/>
          <w:bCs/>
          <w:szCs w:val="22"/>
          <w:lang w:eastAsia="en-IN"/>
        </w:rPr>
        <w:t xml:space="preserve">: </w:t>
      </w:r>
      <w:r w:rsidRPr="00CB4B90">
        <w:rPr>
          <w:rFonts w:ascii="Arial" w:eastAsia="Times New Roman" w:hAnsi="Arial" w:cs="Arial"/>
          <w:szCs w:val="22"/>
          <w:lang w:eastAsia="en-IN"/>
        </w:rPr>
        <w:t>Farmers’ responses were classified into two major categories:</w:t>
      </w:r>
    </w:p>
    <w:p w14:paraId="0719D2D9" w14:textId="77777777" w:rsidR="00435ECD" w:rsidRPr="00CB4B90" w:rsidRDefault="00435ECD" w:rsidP="00F379AC">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b/>
          <w:bCs/>
          <w:szCs w:val="22"/>
          <w:lang w:eastAsia="en-IN"/>
        </w:rPr>
        <w:t>Response-1</w:t>
      </w:r>
      <w:r w:rsidR="00763B58" w:rsidRPr="00CB4B90">
        <w:rPr>
          <w:rFonts w:ascii="Arial" w:eastAsia="Times New Roman" w:hAnsi="Arial" w:cs="Arial"/>
          <w:b/>
          <w:bCs/>
          <w:szCs w:val="22"/>
          <w:lang w:eastAsia="en-IN"/>
        </w:rPr>
        <w:t xml:space="preserve"> (Advisory Utility and Constraints)</w:t>
      </w:r>
      <w:r w:rsidRPr="00CB4B90">
        <w:rPr>
          <w:rFonts w:ascii="Arial" w:eastAsia="Times New Roman" w:hAnsi="Arial" w:cs="Arial"/>
          <w:b/>
          <w:bCs/>
          <w:szCs w:val="22"/>
          <w:lang w:eastAsia="en-IN"/>
        </w:rPr>
        <w:t xml:space="preserve">: </w:t>
      </w:r>
      <w:r w:rsidR="00763B58" w:rsidRPr="00CB4B90">
        <w:rPr>
          <w:rFonts w:ascii="Arial" w:eastAsia="Times New Roman" w:hAnsi="Arial" w:cs="Arial"/>
          <w:szCs w:val="22"/>
          <w:lang w:eastAsia="en-IN"/>
        </w:rPr>
        <w:t xml:space="preserve">The responses were </w:t>
      </w:r>
      <w:proofErr w:type="spellStart"/>
      <w:r w:rsidR="00763B58" w:rsidRPr="00CB4B90">
        <w:rPr>
          <w:rFonts w:ascii="Arial" w:eastAsia="Times New Roman" w:hAnsi="Arial" w:cs="Arial"/>
          <w:szCs w:val="22"/>
          <w:lang w:eastAsia="en-IN"/>
        </w:rPr>
        <w:t>categoried</w:t>
      </w:r>
      <w:proofErr w:type="spellEnd"/>
      <w:r w:rsidR="00763B58" w:rsidRPr="00CB4B90">
        <w:rPr>
          <w:rFonts w:ascii="Arial" w:eastAsia="Times New Roman" w:hAnsi="Arial" w:cs="Arial"/>
          <w:szCs w:val="22"/>
          <w:lang w:eastAsia="en-IN"/>
        </w:rPr>
        <w:t xml:space="preserve"> as r</w:t>
      </w:r>
      <w:r w:rsidRPr="00CB4B90">
        <w:rPr>
          <w:rFonts w:ascii="Arial" w:eastAsia="Times New Roman" w:hAnsi="Arial" w:cs="Arial"/>
          <w:szCs w:val="22"/>
          <w:lang w:eastAsia="en-IN"/>
        </w:rPr>
        <w:t>elevant</w:t>
      </w:r>
      <w:r w:rsidR="00763B58" w:rsidRPr="00CB4B90">
        <w:rPr>
          <w:rFonts w:ascii="Arial" w:eastAsia="Times New Roman" w:hAnsi="Arial" w:cs="Arial"/>
          <w:szCs w:val="22"/>
          <w:lang w:eastAsia="en-IN"/>
        </w:rPr>
        <w:t>, i</w:t>
      </w:r>
      <w:r w:rsidRPr="00CB4B90">
        <w:rPr>
          <w:rFonts w:ascii="Arial" w:eastAsia="Times New Roman" w:hAnsi="Arial" w:cs="Arial"/>
          <w:szCs w:val="22"/>
          <w:lang w:eastAsia="en-IN"/>
        </w:rPr>
        <w:t>rrelevant</w:t>
      </w:r>
      <w:r w:rsidR="00763B58" w:rsidRPr="00CB4B90">
        <w:rPr>
          <w:rFonts w:ascii="Arial" w:eastAsia="Times New Roman" w:hAnsi="Arial" w:cs="Arial"/>
          <w:szCs w:val="22"/>
          <w:lang w:eastAsia="en-IN"/>
        </w:rPr>
        <w:t>, r</w:t>
      </w:r>
      <w:r w:rsidRPr="00CB4B90">
        <w:rPr>
          <w:rFonts w:ascii="Arial" w:eastAsia="Times New Roman" w:hAnsi="Arial" w:cs="Arial"/>
          <w:szCs w:val="22"/>
          <w:lang w:eastAsia="en-IN"/>
        </w:rPr>
        <w:t>elevant but not prepared</w:t>
      </w:r>
      <w:r w:rsidR="00763B58" w:rsidRPr="00CB4B90">
        <w:rPr>
          <w:rFonts w:ascii="Arial" w:eastAsia="Times New Roman" w:hAnsi="Arial" w:cs="Arial"/>
          <w:szCs w:val="22"/>
          <w:lang w:eastAsia="en-IN"/>
        </w:rPr>
        <w:t>, m</w:t>
      </w:r>
      <w:r w:rsidRPr="00CB4B90">
        <w:rPr>
          <w:rFonts w:ascii="Arial" w:eastAsia="Times New Roman" w:hAnsi="Arial" w:cs="Arial"/>
          <w:szCs w:val="22"/>
          <w:lang w:eastAsia="en-IN"/>
        </w:rPr>
        <w:t>inimum response time</w:t>
      </w:r>
      <w:r w:rsidR="00763B58" w:rsidRPr="00CB4B90">
        <w:rPr>
          <w:rFonts w:ascii="Arial" w:eastAsia="Times New Roman" w:hAnsi="Arial" w:cs="Arial"/>
          <w:szCs w:val="22"/>
          <w:lang w:eastAsia="en-IN"/>
        </w:rPr>
        <w:t xml:space="preserve"> and u</w:t>
      </w:r>
      <w:r w:rsidRPr="00CB4B90">
        <w:rPr>
          <w:rFonts w:ascii="Arial" w:eastAsia="Times New Roman" w:hAnsi="Arial" w:cs="Arial"/>
          <w:szCs w:val="22"/>
          <w:lang w:eastAsia="en-IN"/>
        </w:rPr>
        <w:t>nfavourable weather</w:t>
      </w:r>
    </w:p>
    <w:p w14:paraId="04BA708E" w14:textId="77777777" w:rsidR="00435ECD" w:rsidRPr="00CB4B90" w:rsidRDefault="00435ECD" w:rsidP="00F379AC">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b/>
          <w:bCs/>
          <w:szCs w:val="22"/>
          <w:lang w:eastAsia="en-IN"/>
        </w:rPr>
        <w:t>Response-2</w:t>
      </w:r>
      <w:r w:rsidR="00763B58" w:rsidRPr="00CB4B90">
        <w:rPr>
          <w:rFonts w:ascii="Arial" w:eastAsia="Times New Roman" w:hAnsi="Arial" w:cs="Arial"/>
          <w:b/>
          <w:bCs/>
          <w:szCs w:val="22"/>
          <w:lang w:eastAsia="en-IN"/>
        </w:rPr>
        <w:t xml:space="preserve"> (Farmer Satisfaction Level)</w:t>
      </w:r>
      <w:r w:rsidRPr="00CB4B90">
        <w:rPr>
          <w:rFonts w:ascii="Arial" w:eastAsia="Times New Roman" w:hAnsi="Arial" w:cs="Arial"/>
          <w:b/>
          <w:bCs/>
          <w:szCs w:val="22"/>
          <w:lang w:eastAsia="en-IN"/>
        </w:rPr>
        <w:t xml:space="preserve">: </w:t>
      </w:r>
      <w:r w:rsidR="00763B58" w:rsidRPr="00CB4B90">
        <w:rPr>
          <w:rFonts w:ascii="Arial" w:eastAsia="Times New Roman" w:hAnsi="Arial" w:cs="Arial"/>
          <w:szCs w:val="22"/>
          <w:lang w:eastAsia="en-IN"/>
        </w:rPr>
        <w:t>The farmers responses were categorised as</w:t>
      </w:r>
      <w:r w:rsidR="00763B58" w:rsidRPr="00CB4B90">
        <w:rPr>
          <w:rFonts w:ascii="Arial" w:eastAsia="Times New Roman" w:hAnsi="Arial" w:cs="Arial"/>
          <w:b/>
          <w:bCs/>
          <w:szCs w:val="22"/>
          <w:lang w:eastAsia="en-IN"/>
        </w:rPr>
        <w:t xml:space="preserve"> s</w:t>
      </w:r>
      <w:r w:rsidRPr="00CB4B90">
        <w:rPr>
          <w:rFonts w:ascii="Arial" w:eastAsia="Times New Roman" w:hAnsi="Arial" w:cs="Arial"/>
          <w:szCs w:val="22"/>
          <w:lang w:eastAsia="en-IN"/>
        </w:rPr>
        <w:t>atisfied</w:t>
      </w:r>
      <w:r w:rsidR="00763B58" w:rsidRPr="00CB4B90">
        <w:rPr>
          <w:rFonts w:ascii="Arial" w:eastAsia="Times New Roman" w:hAnsi="Arial" w:cs="Arial"/>
          <w:szCs w:val="22"/>
          <w:lang w:eastAsia="en-IN"/>
        </w:rPr>
        <w:t>, p</w:t>
      </w:r>
      <w:r w:rsidRPr="00CB4B90">
        <w:rPr>
          <w:rFonts w:ascii="Arial" w:eastAsia="Times New Roman" w:hAnsi="Arial" w:cs="Arial"/>
          <w:szCs w:val="22"/>
          <w:lang w:eastAsia="en-IN"/>
        </w:rPr>
        <w:t>artially satisfied</w:t>
      </w:r>
      <w:r w:rsidR="00763B58" w:rsidRPr="00CB4B90">
        <w:rPr>
          <w:rFonts w:ascii="Arial" w:eastAsia="Times New Roman" w:hAnsi="Arial" w:cs="Arial"/>
          <w:szCs w:val="22"/>
          <w:lang w:eastAsia="en-IN"/>
        </w:rPr>
        <w:t xml:space="preserve"> and n</w:t>
      </w:r>
      <w:r w:rsidRPr="00CB4B90">
        <w:rPr>
          <w:rFonts w:ascii="Arial" w:eastAsia="Times New Roman" w:hAnsi="Arial" w:cs="Arial"/>
          <w:szCs w:val="22"/>
          <w:lang w:eastAsia="en-IN"/>
        </w:rPr>
        <w:t>ot satisfied</w:t>
      </w:r>
      <w:r w:rsidR="00763B58" w:rsidRPr="00CB4B90">
        <w:rPr>
          <w:rFonts w:ascii="Arial" w:eastAsia="Times New Roman" w:hAnsi="Arial" w:cs="Arial"/>
          <w:szCs w:val="22"/>
          <w:lang w:eastAsia="en-IN"/>
        </w:rPr>
        <w:t>.</w:t>
      </w:r>
    </w:p>
    <w:p w14:paraId="7F7CA105"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Statistical Analysis</w:t>
      </w:r>
    </w:p>
    <w:p w14:paraId="6B3A27D0" w14:textId="77777777" w:rsidR="00C57E9E" w:rsidRPr="00CB4B90" w:rsidRDefault="00EE5BD6" w:rsidP="00C57E9E">
      <w:pPr>
        <w:pStyle w:val="NormalWeb"/>
        <w:jc w:val="both"/>
        <w:rPr>
          <w:rFonts w:ascii="Arial" w:hAnsi="Arial" w:cs="Arial"/>
          <w:sz w:val="22"/>
          <w:szCs w:val="22"/>
        </w:rPr>
      </w:pPr>
      <w:r w:rsidRPr="00CB4B90">
        <w:rPr>
          <w:rFonts w:ascii="Arial" w:hAnsi="Arial" w:cs="Arial"/>
          <w:sz w:val="22"/>
          <w:szCs w:val="22"/>
        </w:rPr>
        <w:t xml:space="preserve">The association between crop growth stages and farmer responses was examined using Pearson’s chi-square (χ²) test, which has been effectively applied in earlier agrometeorological impact assessments (Tripathi et al., 2018; Kumar et al., 2020). Additionally, a composite </w:t>
      </w:r>
      <w:r w:rsidRPr="00CB4B90">
        <w:rPr>
          <w:rStyle w:val="Strong"/>
          <w:rFonts w:ascii="Arial" w:hAnsi="Arial" w:cs="Arial"/>
          <w:b w:val="0"/>
          <w:bCs w:val="0"/>
          <w:sz w:val="22"/>
          <w:szCs w:val="22"/>
        </w:rPr>
        <w:t>Advisory Effectiveness Index (AEI)</w:t>
      </w:r>
      <w:r w:rsidRPr="00CB4B90">
        <w:rPr>
          <w:rFonts w:ascii="Arial" w:hAnsi="Arial" w:cs="Arial"/>
          <w:sz w:val="22"/>
          <w:szCs w:val="22"/>
        </w:rPr>
        <w:t xml:space="preserve"> was constructed to quantify overall advisory performance across crop stages, integrating adoption, relevance, and satisfaction indicators (Meena et al., 2019; Singh et al., 2021).</w:t>
      </w:r>
      <w:r w:rsidR="00C57E9E" w:rsidRPr="00CB4B90">
        <w:rPr>
          <w:rFonts w:ascii="Arial" w:hAnsi="Arial" w:cs="Arial"/>
          <w:sz w:val="22"/>
          <w:szCs w:val="22"/>
        </w:rPr>
        <w:t xml:space="preserve"> The p</w:t>
      </w:r>
      <w:r w:rsidR="00435ECD" w:rsidRPr="00CB4B90">
        <w:rPr>
          <w:rFonts w:ascii="Arial" w:hAnsi="Arial" w:cs="Arial"/>
          <w:sz w:val="22"/>
          <w:szCs w:val="22"/>
        </w:rPr>
        <w:t>ercentages were calculated considering N = 1980 farmers for each crop stage.</w:t>
      </w:r>
    </w:p>
    <w:p w14:paraId="31163F17" w14:textId="77777777" w:rsidR="00435ECD" w:rsidRPr="00CB4B90" w:rsidRDefault="00435ECD" w:rsidP="00C57E9E">
      <w:pPr>
        <w:pStyle w:val="NormalWeb"/>
        <w:jc w:val="both"/>
        <w:rPr>
          <w:rFonts w:ascii="Arial" w:hAnsi="Arial" w:cs="Arial"/>
          <w:sz w:val="22"/>
          <w:szCs w:val="22"/>
        </w:rPr>
      </w:pPr>
      <w:r w:rsidRPr="00CB4B90">
        <w:rPr>
          <w:rFonts w:ascii="Arial" w:hAnsi="Arial" w:cs="Arial"/>
          <w:b/>
          <w:bCs/>
          <w:sz w:val="22"/>
          <w:szCs w:val="22"/>
        </w:rPr>
        <w:t>Results</w:t>
      </w:r>
      <w:r w:rsidR="00AE4261" w:rsidRPr="00CB4B90">
        <w:rPr>
          <w:rFonts w:ascii="Arial" w:hAnsi="Arial" w:cs="Arial"/>
          <w:b/>
          <w:bCs/>
          <w:sz w:val="22"/>
          <w:szCs w:val="22"/>
        </w:rPr>
        <w:t xml:space="preserve"> and Discussion</w:t>
      </w:r>
    </w:p>
    <w:p w14:paraId="3D7F17D1" w14:textId="77777777" w:rsidR="00AE4261" w:rsidRPr="00CB4B90" w:rsidRDefault="00AE4261" w:rsidP="00E03FB3">
      <w:pPr>
        <w:pStyle w:val="NormalWeb"/>
        <w:jc w:val="both"/>
        <w:rPr>
          <w:rFonts w:ascii="Arial" w:hAnsi="Arial" w:cs="Arial"/>
          <w:sz w:val="22"/>
          <w:szCs w:val="22"/>
        </w:rPr>
      </w:pPr>
      <w:r w:rsidRPr="00CB4B90">
        <w:rPr>
          <w:rFonts w:ascii="Arial" w:hAnsi="Arial" w:cs="Arial"/>
          <w:sz w:val="22"/>
          <w:szCs w:val="22"/>
        </w:rPr>
        <w:t>The results revealed high adoption of agrometeorological advisories across most rice growth stages, with adoption levels exceeding 75 percent. Similar adoption trends have been reported in earlier studies evaluating agrometeorological services in different agro-climatic regions of India (Samui &amp; Paul, 2016; Kumar et al., 2020).</w:t>
      </w:r>
      <w:r w:rsidR="00C57E9E" w:rsidRPr="00CB4B90">
        <w:rPr>
          <w:rFonts w:ascii="Arial" w:hAnsi="Arial" w:cs="Arial"/>
          <w:sz w:val="22"/>
          <w:szCs w:val="22"/>
        </w:rPr>
        <w:t xml:space="preserve"> </w:t>
      </w:r>
      <w:r w:rsidRPr="00CB4B90">
        <w:rPr>
          <w:rFonts w:ascii="Arial" w:hAnsi="Arial" w:cs="Arial"/>
          <w:sz w:val="22"/>
          <w:szCs w:val="22"/>
        </w:rPr>
        <w:t>Higher perceived relevance and satisfaction during critical growth stages such as tillering and panicle initiation indicate that advisories are most effective when farmers face high climatic sensitivity and management intensity. This observation aligns with earlier findings emphasizing the importance of stage-specific advisories in improving farm decision-making (Rao et al., 2015; Meena et al., 2019).</w:t>
      </w:r>
    </w:p>
    <w:p w14:paraId="4FC18B2F"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Adoption of Agrometeorological Advisories</w:t>
      </w:r>
    </w:p>
    <w:p w14:paraId="4F05773F" w14:textId="77777777" w:rsidR="00435ECD" w:rsidRPr="00CB4B90" w:rsidRDefault="00B30468" w:rsidP="00E03FB3">
      <w:pPr>
        <w:pStyle w:val="NormalWeb"/>
        <w:jc w:val="both"/>
        <w:rPr>
          <w:rFonts w:ascii="Arial" w:hAnsi="Arial" w:cs="Arial"/>
          <w:sz w:val="22"/>
          <w:szCs w:val="22"/>
        </w:rPr>
      </w:pPr>
      <w:r w:rsidRPr="00CB4B90">
        <w:rPr>
          <w:rFonts w:ascii="Arial" w:hAnsi="Arial" w:cs="Arial"/>
          <w:sz w:val="22"/>
          <w:szCs w:val="22"/>
        </w:rPr>
        <w:lastRenderedPageBreak/>
        <w:t>The high adoption, relevance, and satisfaction levels observed in the present study confirm the effectiveness of agrometeorological advisories in supporting rice farmers’ decision-making under climate variability. Similar results have been reported by Singh et al. (2021) and Tripathi et al. (2018), who highlighted the role of weather-based advisories in enhancing farm resilience and reducing production risks.</w:t>
      </w:r>
      <w:r w:rsidR="00E03FB3" w:rsidRPr="00CB4B90">
        <w:rPr>
          <w:rFonts w:ascii="Arial" w:hAnsi="Arial" w:cs="Arial"/>
          <w:sz w:val="22"/>
          <w:szCs w:val="22"/>
        </w:rPr>
        <w:t xml:space="preserve"> </w:t>
      </w:r>
      <w:r w:rsidR="00435ECD" w:rsidRPr="00CB4B90">
        <w:rPr>
          <w:rFonts w:ascii="Arial" w:hAnsi="Arial" w:cs="Arial"/>
          <w:sz w:val="22"/>
          <w:szCs w:val="22"/>
        </w:rPr>
        <w:t>Stage-wise adoption of agrometeorological advisories is presented in Table 1.</w:t>
      </w:r>
      <w:r w:rsidR="00E03FB3" w:rsidRPr="00CB4B90">
        <w:rPr>
          <w:rFonts w:ascii="Arial" w:hAnsi="Arial" w:cs="Arial"/>
          <w:sz w:val="22"/>
          <w:szCs w:val="22"/>
        </w:rPr>
        <w:t xml:space="preserve"> This table presents the number and percentage of rice farmers adopting agrometeorological advisories across different crop growth stages during Kharif 2022.</w:t>
      </w:r>
      <w:r w:rsidR="00E03FB3" w:rsidRPr="00CB4B90">
        <w:rPr>
          <w:rStyle w:val="Strong"/>
          <w:rFonts w:ascii="Arial" w:hAnsi="Arial" w:cs="Arial"/>
          <w:sz w:val="22"/>
          <w:szCs w:val="22"/>
        </w:rPr>
        <w:t xml:space="preserve"> </w:t>
      </w:r>
      <w:r w:rsidR="00E03FB3" w:rsidRPr="00CB4B90">
        <w:rPr>
          <w:rFonts w:ascii="Arial" w:hAnsi="Arial" w:cs="Arial"/>
          <w:sz w:val="22"/>
          <w:szCs w:val="22"/>
        </w:rPr>
        <w:t>The a</w:t>
      </w:r>
      <w:r w:rsidR="00435ECD" w:rsidRPr="00CB4B90">
        <w:rPr>
          <w:rFonts w:ascii="Arial" w:hAnsi="Arial" w:cs="Arial"/>
          <w:sz w:val="22"/>
          <w:szCs w:val="22"/>
        </w:rPr>
        <w:t xml:space="preserve">doption rates ranged from 75.8% to 87.9%, indicating strong acceptance among </w:t>
      </w:r>
      <w:r w:rsidR="00E03FB3" w:rsidRPr="00CB4B90">
        <w:rPr>
          <w:rFonts w:ascii="Arial" w:hAnsi="Arial" w:cs="Arial"/>
          <w:sz w:val="22"/>
          <w:szCs w:val="22"/>
        </w:rPr>
        <w:t>paddy</w:t>
      </w:r>
      <w:r w:rsidR="00435ECD" w:rsidRPr="00CB4B90">
        <w:rPr>
          <w:rFonts w:ascii="Arial" w:hAnsi="Arial" w:cs="Arial"/>
          <w:sz w:val="22"/>
          <w:szCs w:val="22"/>
        </w:rPr>
        <w:t xml:space="preserve"> farmers.</w:t>
      </w:r>
    </w:p>
    <w:p w14:paraId="1FBC7851" w14:textId="77777777" w:rsidR="00BF1DD4" w:rsidRPr="00CB4B90" w:rsidRDefault="00BF1DD4" w:rsidP="00BF1DD4">
      <w:pPr>
        <w:pStyle w:val="Heading1"/>
        <w:jc w:val="both"/>
        <w:rPr>
          <w:rFonts w:ascii="Arial" w:hAnsi="Arial" w:cs="Arial"/>
          <w:b w:val="0"/>
          <w:bCs w:val="0"/>
          <w:sz w:val="22"/>
          <w:szCs w:val="22"/>
        </w:rPr>
      </w:pPr>
      <w:r w:rsidRPr="00CB4B90">
        <w:rPr>
          <w:rStyle w:val="Strong"/>
          <w:rFonts w:ascii="Arial" w:hAnsi="Arial" w:cs="Arial"/>
          <w:b/>
          <w:bCs/>
          <w:sz w:val="22"/>
          <w:szCs w:val="22"/>
        </w:rPr>
        <w:t>Table 1. Stage-wise Adoption of Agrometeorological Advisory Services</w:t>
      </w:r>
    </w:p>
    <w:tbl>
      <w:tblPr>
        <w:tblStyle w:val="TableGrid"/>
        <w:tblW w:w="0" w:type="auto"/>
        <w:tblLook w:val="04A0" w:firstRow="1" w:lastRow="0" w:firstColumn="1" w:lastColumn="0" w:noHBand="0" w:noVBand="1"/>
      </w:tblPr>
      <w:tblGrid>
        <w:gridCol w:w="1980"/>
        <w:gridCol w:w="2051"/>
        <w:gridCol w:w="1423"/>
        <w:gridCol w:w="1843"/>
        <w:gridCol w:w="1719"/>
      </w:tblGrid>
      <w:tr w:rsidR="00BF1DD4" w:rsidRPr="00CB4B90" w14:paraId="1402DBC4" w14:textId="77777777" w:rsidTr="00C57E9E">
        <w:tc>
          <w:tcPr>
            <w:tcW w:w="1980" w:type="dxa"/>
            <w:hideMark/>
          </w:tcPr>
          <w:p w14:paraId="1C607965" w14:textId="77777777" w:rsidR="00BF1DD4" w:rsidRPr="00CB4B90" w:rsidRDefault="00BF1DD4" w:rsidP="00955363">
            <w:pPr>
              <w:jc w:val="both"/>
              <w:rPr>
                <w:rFonts w:ascii="Arial" w:hAnsi="Arial" w:cs="Arial"/>
                <w:b/>
                <w:bCs/>
                <w:szCs w:val="22"/>
              </w:rPr>
            </w:pPr>
            <w:r w:rsidRPr="00CB4B90">
              <w:rPr>
                <w:rFonts w:ascii="Arial" w:hAnsi="Arial" w:cs="Arial"/>
                <w:b/>
                <w:bCs/>
                <w:szCs w:val="22"/>
              </w:rPr>
              <w:t>Crop stage</w:t>
            </w:r>
          </w:p>
        </w:tc>
        <w:tc>
          <w:tcPr>
            <w:tcW w:w="2051" w:type="dxa"/>
            <w:hideMark/>
          </w:tcPr>
          <w:p w14:paraId="3C1DD37C" w14:textId="77777777" w:rsidR="00BF1DD4" w:rsidRPr="00CB4B90" w:rsidRDefault="00BF1DD4" w:rsidP="00955363">
            <w:pPr>
              <w:jc w:val="both"/>
              <w:rPr>
                <w:rFonts w:ascii="Arial" w:hAnsi="Arial" w:cs="Arial"/>
                <w:b/>
                <w:bCs/>
                <w:szCs w:val="22"/>
              </w:rPr>
            </w:pPr>
            <w:r w:rsidRPr="00CB4B90">
              <w:rPr>
                <w:rFonts w:ascii="Arial" w:hAnsi="Arial" w:cs="Arial"/>
                <w:b/>
                <w:bCs/>
                <w:szCs w:val="22"/>
              </w:rPr>
              <w:t>Adopted advisory (No.)</w:t>
            </w:r>
          </w:p>
        </w:tc>
        <w:tc>
          <w:tcPr>
            <w:tcW w:w="0" w:type="auto"/>
            <w:hideMark/>
          </w:tcPr>
          <w:p w14:paraId="5F4713F0" w14:textId="77777777" w:rsidR="00BF1DD4" w:rsidRPr="00CB4B90" w:rsidRDefault="00BF1DD4" w:rsidP="00955363">
            <w:pPr>
              <w:jc w:val="both"/>
              <w:rPr>
                <w:rFonts w:ascii="Arial" w:hAnsi="Arial" w:cs="Arial"/>
                <w:b/>
                <w:bCs/>
                <w:szCs w:val="22"/>
              </w:rPr>
            </w:pPr>
            <w:r w:rsidRPr="00CB4B90">
              <w:rPr>
                <w:rFonts w:ascii="Arial" w:hAnsi="Arial" w:cs="Arial"/>
                <w:b/>
                <w:bCs/>
                <w:szCs w:val="22"/>
              </w:rPr>
              <w:t>Adopted (%)</w:t>
            </w:r>
          </w:p>
        </w:tc>
        <w:tc>
          <w:tcPr>
            <w:tcW w:w="0" w:type="auto"/>
            <w:hideMark/>
          </w:tcPr>
          <w:p w14:paraId="44D4BA80" w14:textId="77777777" w:rsidR="00BF1DD4" w:rsidRPr="00CB4B90" w:rsidRDefault="00BF1DD4" w:rsidP="00955363">
            <w:pPr>
              <w:jc w:val="both"/>
              <w:rPr>
                <w:rFonts w:ascii="Arial" w:hAnsi="Arial" w:cs="Arial"/>
                <w:b/>
                <w:bCs/>
                <w:szCs w:val="22"/>
              </w:rPr>
            </w:pPr>
            <w:r w:rsidRPr="00CB4B90">
              <w:rPr>
                <w:rFonts w:ascii="Arial" w:hAnsi="Arial" w:cs="Arial"/>
                <w:b/>
                <w:bCs/>
                <w:szCs w:val="22"/>
              </w:rPr>
              <w:t>Not adopted (No.)</w:t>
            </w:r>
          </w:p>
        </w:tc>
        <w:tc>
          <w:tcPr>
            <w:tcW w:w="0" w:type="auto"/>
            <w:hideMark/>
          </w:tcPr>
          <w:p w14:paraId="300391F3" w14:textId="77777777" w:rsidR="00BF1DD4" w:rsidRPr="00CB4B90" w:rsidRDefault="00BF1DD4" w:rsidP="00955363">
            <w:pPr>
              <w:jc w:val="both"/>
              <w:rPr>
                <w:rFonts w:ascii="Arial" w:hAnsi="Arial" w:cs="Arial"/>
                <w:b/>
                <w:bCs/>
                <w:szCs w:val="22"/>
              </w:rPr>
            </w:pPr>
            <w:r w:rsidRPr="00CB4B90">
              <w:rPr>
                <w:rFonts w:ascii="Arial" w:hAnsi="Arial" w:cs="Arial"/>
                <w:b/>
                <w:bCs/>
                <w:szCs w:val="22"/>
              </w:rPr>
              <w:t>Not adopted (%)</w:t>
            </w:r>
          </w:p>
        </w:tc>
      </w:tr>
      <w:tr w:rsidR="00BF1DD4" w:rsidRPr="00CB4B90" w14:paraId="18CA51EB" w14:textId="77777777" w:rsidTr="00C57E9E">
        <w:tc>
          <w:tcPr>
            <w:tcW w:w="1980" w:type="dxa"/>
            <w:hideMark/>
          </w:tcPr>
          <w:p w14:paraId="4CB5A26D" w14:textId="77777777" w:rsidR="00BF1DD4" w:rsidRPr="00CB4B90" w:rsidRDefault="00BF1DD4" w:rsidP="00955363">
            <w:pPr>
              <w:jc w:val="both"/>
              <w:rPr>
                <w:rFonts w:ascii="Arial" w:hAnsi="Arial" w:cs="Arial"/>
                <w:szCs w:val="22"/>
              </w:rPr>
            </w:pPr>
            <w:r w:rsidRPr="00CB4B90">
              <w:rPr>
                <w:rFonts w:ascii="Arial" w:hAnsi="Arial" w:cs="Arial"/>
                <w:szCs w:val="22"/>
              </w:rPr>
              <w:t>Nursery</w:t>
            </w:r>
          </w:p>
        </w:tc>
        <w:tc>
          <w:tcPr>
            <w:tcW w:w="2051" w:type="dxa"/>
            <w:hideMark/>
          </w:tcPr>
          <w:p w14:paraId="6F252096" w14:textId="77777777" w:rsidR="00BF1DD4" w:rsidRPr="00CB4B90" w:rsidRDefault="00BF1DD4" w:rsidP="00955363">
            <w:pPr>
              <w:jc w:val="both"/>
              <w:rPr>
                <w:rFonts w:ascii="Arial" w:hAnsi="Arial" w:cs="Arial"/>
                <w:szCs w:val="22"/>
              </w:rPr>
            </w:pPr>
            <w:r w:rsidRPr="00CB4B90">
              <w:rPr>
                <w:rFonts w:ascii="Arial" w:hAnsi="Arial" w:cs="Arial"/>
                <w:szCs w:val="22"/>
              </w:rPr>
              <w:t>1620</w:t>
            </w:r>
          </w:p>
        </w:tc>
        <w:tc>
          <w:tcPr>
            <w:tcW w:w="0" w:type="auto"/>
            <w:hideMark/>
          </w:tcPr>
          <w:p w14:paraId="7E601765" w14:textId="77777777" w:rsidR="00BF1DD4" w:rsidRPr="00CB4B90" w:rsidRDefault="00BF1DD4" w:rsidP="00955363">
            <w:pPr>
              <w:jc w:val="both"/>
              <w:rPr>
                <w:rFonts w:ascii="Arial" w:hAnsi="Arial" w:cs="Arial"/>
                <w:szCs w:val="22"/>
              </w:rPr>
            </w:pPr>
            <w:r w:rsidRPr="00CB4B90">
              <w:rPr>
                <w:rFonts w:ascii="Arial" w:hAnsi="Arial" w:cs="Arial"/>
                <w:szCs w:val="22"/>
              </w:rPr>
              <w:t>81.8</w:t>
            </w:r>
          </w:p>
        </w:tc>
        <w:tc>
          <w:tcPr>
            <w:tcW w:w="0" w:type="auto"/>
            <w:hideMark/>
          </w:tcPr>
          <w:p w14:paraId="476E761A" w14:textId="77777777" w:rsidR="00BF1DD4" w:rsidRPr="00CB4B90" w:rsidRDefault="00BF1DD4" w:rsidP="00955363">
            <w:pPr>
              <w:jc w:val="both"/>
              <w:rPr>
                <w:rFonts w:ascii="Arial" w:hAnsi="Arial" w:cs="Arial"/>
                <w:szCs w:val="22"/>
              </w:rPr>
            </w:pPr>
            <w:r w:rsidRPr="00CB4B90">
              <w:rPr>
                <w:rFonts w:ascii="Arial" w:hAnsi="Arial" w:cs="Arial"/>
                <w:szCs w:val="22"/>
              </w:rPr>
              <w:t>360</w:t>
            </w:r>
          </w:p>
        </w:tc>
        <w:tc>
          <w:tcPr>
            <w:tcW w:w="0" w:type="auto"/>
            <w:hideMark/>
          </w:tcPr>
          <w:p w14:paraId="73B59963" w14:textId="77777777" w:rsidR="00BF1DD4" w:rsidRPr="00CB4B90" w:rsidRDefault="00BF1DD4" w:rsidP="00955363">
            <w:pPr>
              <w:jc w:val="both"/>
              <w:rPr>
                <w:rFonts w:ascii="Arial" w:hAnsi="Arial" w:cs="Arial"/>
                <w:szCs w:val="22"/>
              </w:rPr>
            </w:pPr>
            <w:r w:rsidRPr="00CB4B90">
              <w:rPr>
                <w:rFonts w:ascii="Arial" w:hAnsi="Arial" w:cs="Arial"/>
                <w:szCs w:val="22"/>
              </w:rPr>
              <w:t>18.2</w:t>
            </w:r>
          </w:p>
        </w:tc>
      </w:tr>
      <w:tr w:rsidR="00BF1DD4" w:rsidRPr="00CB4B90" w14:paraId="0A7D0136" w14:textId="77777777" w:rsidTr="00C57E9E">
        <w:tc>
          <w:tcPr>
            <w:tcW w:w="1980" w:type="dxa"/>
            <w:hideMark/>
          </w:tcPr>
          <w:p w14:paraId="24B56E07" w14:textId="77777777" w:rsidR="00BF1DD4" w:rsidRPr="00CB4B90" w:rsidRDefault="00BF1DD4" w:rsidP="00955363">
            <w:pPr>
              <w:jc w:val="both"/>
              <w:rPr>
                <w:rFonts w:ascii="Arial" w:hAnsi="Arial" w:cs="Arial"/>
                <w:szCs w:val="22"/>
              </w:rPr>
            </w:pPr>
            <w:r w:rsidRPr="00CB4B90">
              <w:rPr>
                <w:rFonts w:ascii="Arial" w:hAnsi="Arial" w:cs="Arial"/>
                <w:szCs w:val="22"/>
              </w:rPr>
              <w:t>Transplanting</w:t>
            </w:r>
          </w:p>
        </w:tc>
        <w:tc>
          <w:tcPr>
            <w:tcW w:w="2051" w:type="dxa"/>
            <w:hideMark/>
          </w:tcPr>
          <w:p w14:paraId="5F4ACB39" w14:textId="77777777" w:rsidR="00BF1DD4" w:rsidRPr="00CB4B90" w:rsidRDefault="00BF1DD4" w:rsidP="00955363">
            <w:pPr>
              <w:jc w:val="both"/>
              <w:rPr>
                <w:rFonts w:ascii="Arial" w:hAnsi="Arial" w:cs="Arial"/>
                <w:szCs w:val="22"/>
              </w:rPr>
            </w:pPr>
            <w:r w:rsidRPr="00CB4B90">
              <w:rPr>
                <w:rFonts w:ascii="Arial" w:hAnsi="Arial" w:cs="Arial"/>
                <w:szCs w:val="22"/>
              </w:rPr>
              <w:t>1560</w:t>
            </w:r>
          </w:p>
        </w:tc>
        <w:tc>
          <w:tcPr>
            <w:tcW w:w="0" w:type="auto"/>
            <w:hideMark/>
          </w:tcPr>
          <w:p w14:paraId="53632AE3"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0" w:type="auto"/>
            <w:hideMark/>
          </w:tcPr>
          <w:p w14:paraId="1E7136DC" w14:textId="77777777" w:rsidR="00BF1DD4" w:rsidRPr="00CB4B90" w:rsidRDefault="00BF1DD4" w:rsidP="00955363">
            <w:pPr>
              <w:jc w:val="both"/>
              <w:rPr>
                <w:rFonts w:ascii="Arial" w:hAnsi="Arial" w:cs="Arial"/>
                <w:szCs w:val="22"/>
              </w:rPr>
            </w:pPr>
            <w:r w:rsidRPr="00CB4B90">
              <w:rPr>
                <w:rFonts w:ascii="Arial" w:hAnsi="Arial" w:cs="Arial"/>
                <w:szCs w:val="22"/>
              </w:rPr>
              <w:t>420</w:t>
            </w:r>
          </w:p>
        </w:tc>
        <w:tc>
          <w:tcPr>
            <w:tcW w:w="0" w:type="auto"/>
            <w:hideMark/>
          </w:tcPr>
          <w:p w14:paraId="78525B14" w14:textId="77777777" w:rsidR="00BF1DD4" w:rsidRPr="00CB4B90" w:rsidRDefault="00BF1DD4" w:rsidP="00955363">
            <w:pPr>
              <w:jc w:val="both"/>
              <w:rPr>
                <w:rFonts w:ascii="Arial" w:hAnsi="Arial" w:cs="Arial"/>
                <w:szCs w:val="22"/>
              </w:rPr>
            </w:pPr>
            <w:r w:rsidRPr="00CB4B90">
              <w:rPr>
                <w:rFonts w:ascii="Arial" w:hAnsi="Arial" w:cs="Arial"/>
                <w:szCs w:val="22"/>
              </w:rPr>
              <w:t>21.2</w:t>
            </w:r>
          </w:p>
        </w:tc>
      </w:tr>
      <w:tr w:rsidR="00BF1DD4" w:rsidRPr="00CB4B90" w14:paraId="702F3CD7" w14:textId="77777777" w:rsidTr="00C57E9E">
        <w:tc>
          <w:tcPr>
            <w:tcW w:w="1980" w:type="dxa"/>
            <w:hideMark/>
          </w:tcPr>
          <w:p w14:paraId="78A41A4E" w14:textId="77777777" w:rsidR="00BF1DD4" w:rsidRPr="00CB4B90" w:rsidRDefault="00BF1DD4" w:rsidP="00955363">
            <w:pPr>
              <w:jc w:val="both"/>
              <w:rPr>
                <w:rFonts w:ascii="Arial" w:hAnsi="Arial" w:cs="Arial"/>
                <w:szCs w:val="22"/>
              </w:rPr>
            </w:pPr>
            <w:r w:rsidRPr="00CB4B90">
              <w:rPr>
                <w:rFonts w:ascii="Arial" w:hAnsi="Arial" w:cs="Arial"/>
                <w:szCs w:val="22"/>
              </w:rPr>
              <w:t>Tillering</w:t>
            </w:r>
          </w:p>
        </w:tc>
        <w:tc>
          <w:tcPr>
            <w:tcW w:w="2051" w:type="dxa"/>
            <w:hideMark/>
          </w:tcPr>
          <w:p w14:paraId="4A920A30" w14:textId="77777777" w:rsidR="00BF1DD4" w:rsidRPr="00CB4B90" w:rsidRDefault="00BF1DD4" w:rsidP="00955363">
            <w:pPr>
              <w:jc w:val="both"/>
              <w:rPr>
                <w:rFonts w:ascii="Arial" w:hAnsi="Arial" w:cs="Arial"/>
                <w:szCs w:val="22"/>
              </w:rPr>
            </w:pPr>
            <w:r w:rsidRPr="00CB4B90">
              <w:rPr>
                <w:rFonts w:ascii="Arial" w:hAnsi="Arial" w:cs="Arial"/>
                <w:szCs w:val="22"/>
              </w:rPr>
              <w:t>1740</w:t>
            </w:r>
          </w:p>
        </w:tc>
        <w:tc>
          <w:tcPr>
            <w:tcW w:w="0" w:type="auto"/>
            <w:hideMark/>
          </w:tcPr>
          <w:p w14:paraId="5F9DA3FC"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0" w:type="auto"/>
            <w:hideMark/>
          </w:tcPr>
          <w:p w14:paraId="3DA8DE80" w14:textId="77777777" w:rsidR="00BF1DD4" w:rsidRPr="00CB4B90" w:rsidRDefault="00BF1DD4" w:rsidP="00955363">
            <w:pPr>
              <w:jc w:val="both"/>
              <w:rPr>
                <w:rFonts w:ascii="Arial" w:hAnsi="Arial" w:cs="Arial"/>
                <w:szCs w:val="22"/>
              </w:rPr>
            </w:pPr>
            <w:r w:rsidRPr="00CB4B90">
              <w:rPr>
                <w:rFonts w:ascii="Arial" w:hAnsi="Arial" w:cs="Arial"/>
                <w:szCs w:val="22"/>
              </w:rPr>
              <w:t>240</w:t>
            </w:r>
          </w:p>
        </w:tc>
        <w:tc>
          <w:tcPr>
            <w:tcW w:w="0" w:type="auto"/>
            <w:hideMark/>
          </w:tcPr>
          <w:p w14:paraId="126CBA2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5B74E4C3" w14:textId="77777777" w:rsidTr="00C57E9E">
        <w:tc>
          <w:tcPr>
            <w:tcW w:w="1980" w:type="dxa"/>
            <w:hideMark/>
          </w:tcPr>
          <w:p w14:paraId="5F3E04E8" w14:textId="77777777" w:rsidR="00BF1DD4" w:rsidRPr="00CB4B90" w:rsidRDefault="00BF1DD4" w:rsidP="00955363">
            <w:pPr>
              <w:jc w:val="both"/>
              <w:rPr>
                <w:rFonts w:ascii="Arial" w:hAnsi="Arial" w:cs="Arial"/>
                <w:szCs w:val="22"/>
              </w:rPr>
            </w:pPr>
            <w:r w:rsidRPr="00CB4B90">
              <w:rPr>
                <w:rFonts w:ascii="Arial" w:hAnsi="Arial" w:cs="Arial"/>
                <w:szCs w:val="22"/>
              </w:rPr>
              <w:t>Vegetative</w:t>
            </w:r>
          </w:p>
        </w:tc>
        <w:tc>
          <w:tcPr>
            <w:tcW w:w="2051" w:type="dxa"/>
            <w:hideMark/>
          </w:tcPr>
          <w:p w14:paraId="694F1B69" w14:textId="77777777" w:rsidR="00BF1DD4" w:rsidRPr="00CB4B90" w:rsidRDefault="00BF1DD4" w:rsidP="00955363">
            <w:pPr>
              <w:jc w:val="both"/>
              <w:rPr>
                <w:rFonts w:ascii="Arial" w:hAnsi="Arial" w:cs="Arial"/>
                <w:szCs w:val="22"/>
              </w:rPr>
            </w:pPr>
            <w:r w:rsidRPr="00CB4B90">
              <w:rPr>
                <w:rFonts w:ascii="Arial" w:hAnsi="Arial" w:cs="Arial"/>
                <w:szCs w:val="22"/>
              </w:rPr>
              <w:t>1500</w:t>
            </w:r>
          </w:p>
        </w:tc>
        <w:tc>
          <w:tcPr>
            <w:tcW w:w="0" w:type="auto"/>
            <w:hideMark/>
          </w:tcPr>
          <w:p w14:paraId="1ADB70E6"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0" w:type="auto"/>
            <w:hideMark/>
          </w:tcPr>
          <w:p w14:paraId="6F86F4A7" w14:textId="77777777" w:rsidR="00BF1DD4" w:rsidRPr="00CB4B90" w:rsidRDefault="00BF1DD4" w:rsidP="00955363">
            <w:pPr>
              <w:jc w:val="both"/>
              <w:rPr>
                <w:rFonts w:ascii="Arial" w:hAnsi="Arial" w:cs="Arial"/>
                <w:szCs w:val="22"/>
              </w:rPr>
            </w:pPr>
            <w:r w:rsidRPr="00CB4B90">
              <w:rPr>
                <w:rFonts w:ascii="Arial" w:hAnsi="Arial" w:cs="Arial"/>
                <w:szCs w:val="22"/>
              </w:rPr>
              <w:t>480</w:t>
            </w:r>
          </w:p>
        </w:tc>
        <w:tc>
          <w:tcPr>
            <w:tcW w:w="0" w:type="auto"/>
            <w:hideMark/>
          </w:tcPr>
          <w:p w14:paraId="2764A75A" w14:textId="77777777" w:rsidR="00BF1DD4" w:rsidRPr="00CB4B90" w:rsidRDefault="00BF1DD4" w:rsidP="00955363">
            <w:pPr>
              <w:jc w:val="both"/>
              <w:rPr>
                <w:rFonts w:ascii="Arial" w:hAnsi="Arial" w:cs="Arial"/>
                <w:szCs w:val="22"/>
              </w:rPr>
            </w:pPr>
            <w:r w:rsidRPr="00CB4B90">
              <w:rPr>
                <w:rFonts w:ascii="Arial" w:hAnsi="Arial" w:cs="Arial"/>
                <w:szCs w:val="22"/>
              </w:rPr>
              <w:t>24.2</w:t>
            </w:r>
          </w:p>
        </w:tc>
      </w:tr>
      <w:tr w:rsidR="00BF1DD4" w:rsidRPr="00CB4B90" w14:paraId="048C4351" w14:textId="77777777" w:rsidTr="00C57E9E">
        <w:tc>
          <w:tcPr>
            <w:tcW w:w="1980" w:type="dxa"/>
            <w:hideMark/>
          </w:tcPr>
          <w:p w14:paraId="2E78E81B" w14:textId="77777777" w:rsidR="00BF1DD4" w:rsidRPr="00CB4B90" w:rsidRDefault="00BF1DD4" w:rsidP="00955363">
            <w:pPr>
              <w:jc w:val="both"/>
              <w:rPr>
                <w:rFonts w:ascii="Arial" w:hAnsi="Arial" w:cs="Arial"/>
                <w:szCs w:val="22"/>
              </w:rPr>
            </w:pPr>
            <w:r w:rsidRPr="00CB4B90">
              <w:rPr>
                <w:rFonts w:ascii="Arial" w:hAnsi="Arial" w:cs="Arial"/>
                <w:szCs w:val="22"/>
              </w:rPr>
              <w:t>Panicle initiation</w:t>
            </w:r>
          </w:p>
        </w:tc>
        <w:tc>
          <w:tcPr>
            <w:tcW w:w="2051" w:type="dxa"/>
            <w:hideMark/>
          </w:tcPr>
          <w:p w14:paraId="6F6D106C" w14:textId="77777777" w:rsidR="00BF1DD4" w:rsidRPr="00CB4B90" w:rsidRDefault="00BF1DD4" w:rsidP="00955363">
            <w:pPr>
              <w:jc w:val="both"/>
              <w:rPr>
                <w:rFonts w:ascii="Arial" w:hAnsi="Arial" w:cs="Arial"/>
                <w:szCs w:val="22"/>
              </w:rPr>
            </w:pPr>
            <w:r w:rsidRPr="00CB4B90">
              <w:rPr>
                <w:rFonts w:ascii="Arial" w:hAnsi="Arial" w:cs="Arial"/>
                <w:szCs w:val="22"/>
              </w:rPr>
              <w:t>1740</w:t>
            </w:r>
          </w:p>
        </w:tc>
        <w:tc>
          <w:tcPr>
            <w:tcW w:w="0" w:type="auto"/>
            <w:hideMark/>
          </w:tcPr>
          <w:p w14:paraId="461BFD6A"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0" w:type="auto"/>
            <w:hideMark/>
          </w:tcPr>
          <w:p w14:paraId="3AD5A0DA" w14:textId="77777777" w:rsidR="00BF1DD4" w:rsidRPr="00CB4B90" w:rsidRDefault="00BF1DD4" w:rsidP="00955363">
            <w:pPr>
              <w:jc w:val="both"/>
              <w:rPr>
                <w:rFonts w:ascii="Arial" w:hAnsi="Arial" w:cs="Arial"/>
                <w:szCs w:val="22"/>
              </w:rPr>
            </w:pPr>
            <w:r w:rsidRPr="00CB4B90">
              <w:rPr>
                <w:rFonts w:ascii="Arial" w:hAnsi="Arial" w:cs="Arial"/>
                <w:szCs w:val="22"/>
              </w:rPr>
              <w:t>240</w:t>
            </w:r>
          </w:p>
        </w:tc>
        <w:tc>
          <w:tcPr>
            <w:tcW w:w="0" w:type="auto"/>
            <w:hideMark/>
          </w:tcPr>
          <w:p w14:paraId="3088A0C4"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3F15FD87" w14:textId="77777777" w:rsidTr="00C57E9E">
        <w:tc>
          <w:tcPr>
            <w:tcW w:w="1980" w:type="dxa"/>
            <w:hideMark/>
          </w:tcPr>
          <w:p w14:paraId="13FF322D" w14:textId="77777777" w:rsidR="00BF1DD4" w:rsidRPr="00CB4B90" w:rsidRDefault="00BF1DD4" w:rsidP="00955363">
            <w:pPr>
              <w:jc w:val="both"/>
              <w:rPr>
                <w:rFonts w:ascii="Arial" w:hAnsi="Arial" w:cs="Arial"/>
                <w:szCs w:val="22"/>
              </w:rPr>
            </w:pPr>
            <w:r w:rsidRPr="00CB4B90">
              <w:rPr>
                <w:rFonts w:ascii="Arial" w:hAnsi="Arial" w:cs="Arial"/>
                <w:szCs w:val="22"/>
              </w:rPr>
              <w:t>Flowering</w:t>
            </w:r>
          </w:p>
        </w:tc>
        <w:tc>
          <w:tcPr>
            <w:tcW w:w="2051" w:type="dxa"/>
            <w:hideMark/>
          </w:tcPr>
          <w:p w14:paraId="4034A138" w14:textId="77777777" w:rsidR="00BF1DD4" w:rsidRPr="00CB4B90" w:rsidRDefault="00BF1DD4" w:rsidP="00955363">
            <w:pPr>
              <w:jc w:val="both"/>
              <w:rPr>
                <w:rFonts w:ascii="Arial" w:hAnsi="Arial" w:cs="Arial"/>
                <w:szCs w:val="22"/>
              </w:rPr>
            </w:pPr>
            <w:r w:rsidRPr="00CB4B90">
              <w:rPr>
                <w:rFonts w:ascii="Arial" w:hAnsi="Arial" w:cs="Arial"/>
                <w:szCs w:val="22"/>
              </w:rPr>
              <w:t>1500</w:t>
            </w:r>
          </w:p>
        </w:tc>
        <w:tc>
          <w:tcPr>
            <w:tcW w:w="0" w:type="auto"/>
            <w:hideMark/>
          </w:tcPr>
          <w:p w14:paraId="3E19B603"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0" w:type="auto"/>
            <w:hideMark/>
          </w:tcPr>
          <w:p w14:paraId="7B6874AB" w14:textId="77777777" w:rsidR="00BF1DD4" w:rsidRPr="00CB4B90" w:rsidRDefault="00BF1DD4" w:rsidP="00955363">
            <w:pPr>
              <w:jc w:val="both"/>
              <w:rPr>
                <w:rFonts w:ascii="Arial" w:hAnsi="Arial" w:cs="Arial"/>
                <w:szCs w:val="22"/>
              </w:rPr>
            </w:pPr>
            <w:r w:rsidRPr="00CB4B90">
              <w:rPr>
                <w:rFonts w:ascii="Arial" w:hAnsi="Arial" w:cs="Arial"/>
                <w:szCs w:val="22"/>
              </w:rPr>
              <w:t>480</w:t>
            </w:r>
          </w:p>
        </w:tc>
        <w:tc>
          <w:tcPr>
            <w:tcW w:w="0" w:type="auto"/>
            <w:hideMark/>
          </w:tcPr>
          <w:p w14:paraId="7150AD51" w14:textId="77777777" w:rsidR="00BF1DD4" w:rsidRPr="00CB4B90" w:rsidRDefault="00BF1DD4" w:rsidP="00955363">
            <w:pPr>
              <w:jc w:val="both"/>
              <w:rPr>
                <w:rFonts w:ascii="Arial" w:hAnsi="Arial" w:cs="Arial"/>
                <w:szCs w:val="22"/>
              </w:rPr>
            </w:pPr>
            <w:r w:rsidRPr="00CB4B90">
              <w:rPr>
                <w:rFonts w:ascii="Arial" w:hAnsi="Arial" w:cs="Arial"/>
                <w:szCs w:val="22"/>
              </w:rPr>
              <w:t>24.2</w:t>
            </w:r>
          </w:p>
        </w:tc>
      </w:tr>
      <w:tr w:rsidR="00BF1DD4" w:rsidRPr="00CB4B90" w14:paraId="4B3FC8BA" w14:textId="77777777" w:rsidTr="00C57E9E">
        <w:tc>
          <w:tcPr>
            <w:tcW w:w="1980" w:type="dxa"/>
            <w:hideMark/>
          </w:tcPr>
          <w:p w14:paraId="49ABFCAF" w14:textId="77777777" w:rsidR="00BF1DD4" w:rsidRPr="00CB4B90" w:rsidRDefault="00BF1DD4" w:rsidP="00955363">
            <w:pPr>
              <w:jc w:val="both"/>
              <w:rPr>
                <w:rFonts w:ascii="Arial" w:hAnsi="Arial" w:cs="Arial"/>
                <w:szCs w:val="22"/>
              </w:rPr>
            </w:pPr>
            <w:r w:rsidRPr="00CB4B90">
              <w:rPr>
                <w:rFonts w:ascii="Arial" w:hAnsi="Arial" w:cs="Arial"/>
                <w:szCs w:val="22"/>
              </w:rPr>
              <w:t>Milking</w:t>
            </w:r>
          </w:p>
        </w:tc>
        <w:tc>
          <w:tcPr>
            <w:tcW w:w="2051" w:type="dxa"/>
            <w:hideMark/>
          </w:tcPr>
          <w:p w14:paraId="66099AD7" w14:textId="77777777" w:rsidR="00BF1DD4" w:rsidRPr="00CB4B90" w:rsidRDefault="00BF1DD4" w:rsidP="00955363">
            <w:pPr>
              <w:jc w:val="both"/>
              <w:rPr>
                <w:rFonts w:ascii="Arial" w:hAnsi="Arial" w:cs="Arial"/>
                <w:szCs w:val="22"/>
              </w:rPr>
            </w:pPr>
            <w:r w:rsidRPr="00CB4B90">
              <w:rPr>
                <w:rFonts w:ascii="Arial" w:hAnsi="Arial" w:cs="Arial"/>
                <w:szCs w:val="22"/>
              </w:rPr>
              <w:t>1500</w:t>
            </w:r>
          </w:p>
        </w:tc>
        <w:tc>
          <w:tcPr>
            <w:tcW w:w="0" w:type="auto"/>
            <w:hideMark/>
          </w:tcPr>
          <w:p w14:paraId="19861F12"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0" w:type="auto"/>
            <w:hideMark/>
          </w:tcPr>
          <w:p w14:paraId="4962BDC5" w14:textId="77777777" w:rsidR="00BF1DD4" w:rsidRPr="00CB4B90" w:rsidRDefault="00BF1DD4" w:rsidP="00955363">
            <w:pPr>
              <w:jc w:val="both"/>
              <w:rPr>
                <w:rFonts w:ascii="Arial" w:hAnsi="Arial" w:cs="Arial"/>
                <w:szCs w:val="22"/>
              </w:rPr>
            </w:pPr>
            <w:r w:rsidRPr="00CB4B90">
              <w:rPr>
                <w:rFonts w:ascii="Arial" w:hAnsi="Arial" w:cs="Arial"/>
                <w:szCs w:val="22"/>
              </w:rPr>
              <w:t>480</w:t>
            </w:r>
          </w:p>
        </w:tc>
        <w:tc>
          <w:tcPr>
            <w:tcW w:w="0" w:type="auto"/>
            <w:hideMark/>
          </w:tcPr>
          <w:p w14:paraId="6C170C4D" w14:textId="77777777" w:rsidR="00BF1DD4" w:rsidRPr="00CB4B90" w:rsidRDefault="00BF1DD4" w:rsidP="00955363">
            <w:pPr>
              <w:jc w:val="both"/>
              <w:rPr>
                <w:rFonts w:ascii="Arial" w:hAnsi="Arial" w:cs="Arial"/>
                <w:szCs w:val="22"/>
              </w:rPr>
            </w:pPr>
            <w:r w:rsidRPr="00CB4B90">
              <w:rPr>
                <w:rFonts w:ascii="Arial" w:hAnsi="Arial" w:cs="Arial"/>
                <w:szCs w:val="22"/>
              </w:rPr>
              <w:t>24.2</w:t>
            </w:r>
          </w:p>
        </w:tc>
      </w:tr>
      <w:tr w:rsidR="00BF1DD4" w:rsidRPr="00CB4B90" w14:paraId="7F679BBF" w14:textId="77777777" w:rsidTr="00C57E9E">
        <w:tc>
          <w:tcPr>
            <w:tcW w:w="1980" w:type="dxa"/>
            <w:hideMark/>
          </w:tcPr>
          <w:p w14:paraId="690470FE" w14:textId="77777777" w:rsidR="00BF1DD4" w:rsidRPr="00CB4B90" w:rsidRDefault="00BF1DD4" w:rsidP="00955363">
            <w:pPr>
              <w:jc w:val="both"/>
              <w:rPr>
                <w:rFonts w:ascii="Arial" w:hAnsi="Arial" w:cs="Arial"/>
                <w:szCs w:val="22"/>
              </w:rPr>
            </w:pPr>
            <w:r w:rsidRPr="00CB4B90">
              <w:rPr>
                <w:rFonts w:ascii="Arial" w:hAnsi="Arial" w:cs="Arial"/>
                <w:szCs w:val="22"/>
              </w:rPr>
              <w:t>Dough</w:t>
            </w:r>
          </w:p>
        </w:tc>
        <w:tc>
          <w:tcPr>
            <w:tcW w:w="2051" w:type="dxa"/>
            <w:hideMark/>
          </w:tcPr>
          <w:p w14:paraId="6A6FAFEA" w14:textId="77777777" w:rsidR="00BF1DD4" w:rsidRPr="00CB4B90" w:rsidRDefault="00BF1DD4" w:rsidP="00955363">
            <w:pPr>
              <w:jc w:val="both"/>
              <w:rPr>
                <w:rFonts w:ascii="Arial" w:hAnsi="Arial" w:cs="Arial"/>
                <w:szCs w:val="22"/>
              </w:rPr>
            </w:pPr>
            <w:r w:rsidRPr="00CB4B90">
              <w:rPr>
                <w:rFonts w:ascii="Arial" w:hAnsi="Arial" w:cs="Arial"/>
                <w:szCs w:val="22"/>
              </w:rPr>
              <w:t>1560</w:t>
            </w:r>
          </w:p>
        </w:tc>
        <w:tc>
          <w:tcPr>
            <w:tcW w:w="0" w:type="auto"/>
            <w:hideMark/>
          </w:tcPr>
          <w:p w14:paraId="59BC9692"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0" w:type="auto"/>
            <w:hideMark/>
          </w:tcPr>
          <w:p w14:paraId="32E954D4" w14:textId="77777777" w:rsidR="00BF1DD4" w:rsidRPr="00CB4B90" w:rsidRDefault="00BF1DD4" w:rsidP="00955363">
            <w:pPr>
              <w:jc w:val="both"/>
              <w:rPr>
                <w:rFonts w:ascii="Arial" w:hAnsi="Arial" w:cs="Arial"/>
                <w:szCs w:val="22"/>
              </w:rPr>
            </w:pPr>
            <w:r w:rsidRPr="00CB4B90">
              <w:rPr>
                <w:rFonts w:ascii="Arial" w:hAnsi="Arial" w:cs="Arial"/>
                <w:szCs w:val="22"/>
              </w:rPr>
              <w:t>420</w:t>
            </w:r>
          </w:p>
        </w:tc>
        <w:tc>
          <w:tcPr>
            <w:tcW w:w="0" w:type="auto"/>
            <w:hideMark/>
          </w:tcPr>
          <w:p w14:paraId="3C68112C" w14:textId="77777777" w:rsidR="00BF1DD4" w:rsidRPr="00CB4B90" w:rsidRDefault="00BF1DD4" w:rsidP="00955363">
            <w:pPr>
              <w:jc w:val="both"/>
              <w:rPr>
                <w:rFonts w:ascii="Arial" w:hAnsi="Arial" w:cs="Arial"/>
                <w:szCs w:val="22"/>
              </w:rPr>
            </w:pPr>
            <w:r w:rsidRPr="00CB4B90">
              <w:rPr>
                <w:rFonts w:ascii="Arial" w:hAnsi="Arial" w:cs="Arial"/>
                <w:szCs w:val="22"/>
              </w:rPr>
              <w:t>21.2</w:t>
            </w:r>
          </w:p>
        </w:tc>
      </w:tr>
      <w:tr w:rsidR="00BF1DD4" w:rsidRPr="00CB4B90" w14:paraId="45EA0BE3" w14:textId="77777777" w:rsidTr="00C57E9E">
        <w:tc>
          <w:tcPr>
            <w:tcW w:w="1980" w:type="dxa"/>
            <w:hideMark/>
          </w:tcPr>
          <w:p w14:paraId="44CEFBA0" w14:textId="77777777" w:rsidR="00BF1DD4" w:rsidRPr="00CB4B90" w:rsidRDefault="00BF1DD4" w:rsidP="00955363">
            <w:pPr>
              <w:jc w:val="both"/>
              <w:rPr>
                <w:rFonts w:ascii="Arial" w:hAnsi="Arial" w:cs="Arial"/>
                <w:szCs w:val="22"/>
              </w:rPr>
            </w:pPr>
            <w:r w:rsidRPr="00CB4B90">
              <w:rPr>
                <w:rFonts w:ascii="Arial" w:hAnsi="Arial" w:cs="Arial"/>
                <w:szCs w:val="22"/>
              </w:rPr>
              <w:t>Maturity</w:t>
            </w:r>
          </w:p>
        </w:tc>
        <w:tc>
          <w:tcPr>
            <w:tcW w:w="2051" w:type="dxa"/>
            <w:hideMark/>
          </w:tcPr>
          <w:p w14:paraId="53981219" w14:textId="77777777" w:rsidR="00BF1DD4" w:rsidRPr="00CB4B90" w:rsidRDefault="00BF1DD4" w:rsidP="00955363">
            <w:pPr>
              <w:jc w:val="both"/>
              <w:rPr>
                <w:rFonts w:ascii="Arial" w:hAnsi="Arial" w:cs="Arial"/>
                <w:szCs w:val="22"/>
              </w:rPr>
            </w:pPr>
            <w:r w:rsidRPr="00CB4B90">
              <w:rPr>
                <w:rFonts w:ascii="Arial" w:hAnsi="Arial" w:cs="Arial"/>
                <w:szCs w:val="22"/>
              </w:rPr>
              <w:t>1740</w:t>
            </w:r>
          </w:p>
        </w:tc>
        <w:tc>
          <w:tcPr>
            <w:tcW w:w="0" w:type="auto"/>
            <w:hideMark/>
          </w:tcPr>
          <w:p w14:paraId="0BFB3548"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0" w:type="auto"/>
            <w:hideMark/>
          </w:tcPr>
          <w:p w14:paraId="3F37C9B9" w14:textId="77777777" w:rsidR="00BF1DD4" w:rsidRPr="00CB4B90" w:rsidRDefault="00BF1DD4" w:rsidP="00955363">
            <w:pPr>
              <w:jc w:val="both"/>
              <w:rPr>
                <w:rFonts w:ascii="Arial" w:hAnsi="Arial" w:cs="Arial"/>
                <w:szCs w:val="22"/>
              </w:rPr>
            </w:pPr>
            <w:r w:rsidRPr="00CB4B90">
              <w:rPr>
                <w:rFonts w:ascii="Arial" w:hAnsi="Arial" w:cs="Arial"/>
                <w:szCs w:val="22"/>
              </w:rPr>
              <w:t>240</w:t>
            </w:r>
          </w:p>
        </w:tc>
        <w:tc>
          <w:tcPr>
            <w:tcW w:w="0" w:type="auto"/>
            <w:hideMark/>
          </w:tcPr>
          <w:p w14:paraId="5A428B62"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32F93263" w14:textId="77777777" w:rsidTr="00C57E9E">
        <w:tc>
          <w:tcPr>
            <w:tcW w:w="1980" w:type="dxa"/>
            <w:hideMark/>
          </w:tcPr>
          <w:p w14:paraId="3ED6E2C6" w14:textId="77777777" w:rsidR="00BF1DD4" w:rsidRPr="00CB4B90" w:rsidRDefault="00BF1DD4" w:rsidP="00955363">
            <w:pPr>
              <w:jc w:val="both"/>
              <w:rPr>
                <w:rFonts w:ascii="Arial" w:hAnsi="Arial" w:cs="Arial"/>
                <w:szCs w:val="22"/>
              </w:rPr>
            </w:pPr>
            <w:r w:rsidRPr="00CB4B90">
              <w:rPr>
                <w:rFonts w:ascii="Arial" w:hAnsi="Arial" w:cs="Arial"/>
                <w:szCs w:val="22"/>
              </w:rPr>
              <w:t>Harvesting</w:t>
            </w:r>
          </w:p>
        </w:tc>
        <w:tc>
          <w:tcPr>
            <w:tcW w:w="2051" w:type="dxa"/>
            <w:hideMark/>
          </w:tcPr>
          <w:p w14:paraId="54C6A191" w14:textId="77777777" w:rsidR="00BF1DD4" w:rsidRPr="00CB4B90" w:rsidRDefault="00BF1DD4" w:rsidP="00955363">
            <w:pPr>
              <w:jc w:val="both"/>
              <w:rPr>
                <w:rFonts w:ascii="Arial" w:hAnsi="Arial" w:cs="Arial"/>
                <w:szCs w:val="22"/>
              </w:rPr>
            </w:pPr>
            <w:r w:rsidRPr="00CB4B90">
              <w:rPr>
                <w:rFonts w:ascii="Arial" w:hAnsi="Arial" w:cs="Arial"/>
                <w:szCs w:val="22"/>
              </w:rPr>
              <w:t>1680</w:t>
            </w:r>
          </w:p>
        </w:tc>
        <w:tc>
          <w:tcPr>
            <w:tcW w:w="0" w:type="auto"/>
            <w:hideMark/>
          </w:tcPr>
          <w:p w14:paraId="63311722" w14:textId="77777777" w:rsidR="00BF1DD4" w:rsidRPr="00CB4B90" w:rsidRDefault="00BF1DD4" w:rsidP="00955363">
            <w:pPr>
              <w:jc w:val="both"/>
              <w:rPr>
                <w:rFonts w:ascii="Arial" w:hAnsi="Arial" w:cs="Arial"/>
                <w:szCs w:val="22"/>
              </w:rPr>
            </w:pPr>
            <w:r w:rsidRPr="00CB4B90">
              <w:rPr>
                <w:rFonts w:ascii="Arial" w:hAnsi="Arial" w:cs="Arial"/>
                <w:szCs w:val="22"/>
              </w:rPr>
              <w:t>84.8</w:t>
            </w:r>
          </w:p>
        </w:tc>
        <w:tc>
          <w:tcPr>
            <w:tcW w:w="0" w:type="auto"/>
            <w:hideMark/>
          </w:tcPr>
          <w:p w14:paraId="6D515CEC" w14:textId="77777777" w:rsidR="00BF1DD4" w:rsidRPr="00CB4B90" w:rsidRDefault="00BF1DD4" w:rsidP="00955363">
            <w:pPr>
              <w:jc w:val="both"/>
              <w:rPr>
                <w:rFonts w:ascii="Arial" w:hAnsi="Arial" w:cs="Arial"/>
                <w:szCs w:val="22"/>
              </w:rPr>
            </w:pPr>
            <w:r w:rsidRPr="00CB4B90">
              <w:rPr>
                <w:rFonts w:ascii="Arial" w:hAnsi="Arial" w:cs="Arial"/>
                <w:szCs w:val="22"/>
              </w:rPr>
              <w:t>300</w:t>
            </w:r>
          </w:p>
        </w:tc>
        <w:tc>
          <w:tcPr>
            <w:tcW w:w="0" w:type="auto"/>
            <w:hideMark/>
          </w:tcPr>
          <w:p w14:paraId="6566C750" w14:textId="77777777" w:rsidR="00BF1DD4" w:rsidRPr="00CB4B90" w:rsidRDefault="00BF1DD4" w:rsidP="00955363">
            <w:pPr>
              <w:jc w:val="both"/>
              <w:rPr>
                <w:rFonts w:ascii="Arial" w:hAnsi="Arial" w:cs="Arial"/>
                <w:szCs w:val="22"/>
              </w:rPr>
            </w:pPr>
            <w:r w:rsidRPr="00CB4B90">
              <w:rPr>
                <w:rFonts w:ascii="Arial" w:hAnsi="Arial" w:cs="Arial"/>
                <w:szCs w:val="22"/>
              </w:rPr>
              <w:t>15.2</w:t>
            </w:r>
          </w:p>
        </w:tc>
      </w:tr>
    </w:tbl>
    <w:p w14:paraId="1D0ED024" w14:textId="77777777" w:rsidR="00BF1DD4" w:rsidRPr="00CB4B90" w:rsidRDefault="00435ECD"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Highe</w:t>
      </w:r>
      <w:r w:rsidR="00E03FB3" w:rsidRPr="00CB4B90">
        <w:rPr>
          <w:rFonts w:ascii="Arial" w:eastAsia="Times New Roman" w:hAnsi="Arial" w:cs="Arial"/>
          <w:szCs w:val="22"/>
          <w:lang w:eastAsia="en-IN"/>
        </w:rPr>
        <w:t xml:space="preserve">st adoption was observed during </w:t>
      </w:r>
      <w:r w:rsidRPr="00CB4B90">
        <w:rPr>
          <w:rFonts w:ascii="Arial" w:eastAsia="Times New Roman" w:hAnsi="Arial" w:cs="Arial"/>
          <w:szCs w:val="22"/>
          <w:lang w:eastAsia="en-IN"/>
        </w:rPr>
        <w:t>Tillering (87.9%)</w:t>
      </w:r>
      <w:r w:rsidR="00E03FB3"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Panicle initiation (87.9%)</w:t>
      </w:r>
      <w:r w:rsidR="00E03FB3" w:rsidRPr="00CB4B90">
        <w:rPr>
          <w:rFonts w:ascii="Arial" w:eastAsia="Times New Roman" w:hAnsi="Arial" w:cs="Arial"/>
          <w:szCs w:val="22"/>
          <w:lang w:eastAsia="en-IN"/>
        </w:rPr>
        <w:t xml:space="preserve"> and in </w:t>
      </w:r>
      <w:r w:rsidRPr="00CB4B90">
        <w:rPr>
          <w:rFonts w:ascii="Arial" w:eastAsia="Times New Roman" w:hAnsi="Arial" w:cs="Arial"/>
          <w:szCs w:val="22"/>
          <w:lang w:eastAsia="en-IN"/>
        </w:rPr>
        <w:t xml:space="preserve">Maturity </w:t>
      </w:r>
      <w:r w:rsidR="00E03FB3" w:rsidRPr="00CB4B90">
        <w:rPr>
          <w:rFonts w:ascii="Arial" w:eastAsia="Times New Roman" w:hAnsi="Arial" w:cs="Arial"/>
          <w:szCs w:val="22"/>
          <w:lang w:eastAsia="en-IN"/>
        </w:rPr>
        <w:t xml:space="preserve">stage </w:t>
      </w:r>
      <w:r w:rsidRPr="00CB4B90">
        <w:rPr>
          <w:rFonts w:ascii="Arial" w:eastAsia="Times New Roman" w:hAnsi="Arial" w:cs="Arial"/>
          <w:szCs w:val="22"/>
          <w:lang w:eastAsia="en-IN"/>
        </w:rPr>
        <w:t>(87.9%)</w:t>
      </w:r>
      <w:r w:rsidR="00E03FB3"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Relatively lower adoption during nursery and vegetative stages suggests comparatively lower perceived urgency during early crop phases</w:t>
      </w:r>
      <w:r w:rsidR="00CB4FCA" w:rsidRPr="00CB4B90">
        <w:rPr>
          <w:rFonts w:ascii="Arial" w:eastAsia="Times New Roman" w:hAnsi="Arial" w:cs="Arial"/>
          <w:szCs w:val="22"/>
          <w:lang w:eastAsia="en-IN"/>
        </w:rPr>
        <w:t xml:space="preserve"> </w:t>
      </w:r>
      <w:proofErr w:type="gramStart"/>
      <w:r w:rsidR="00CB4FCA" w:rsidRPr="00CB4B90">
        <w:rPr>
          <w:rFonts w:ascii="Arial" w:eastAsia="Times New Roman" w:hAnsi="Arial" w:cs="Arial"/>
          <w:szCs w:val="22"/>
          <w:lang w:eastAsia="en-IN"/>
        </w:rPr>
        <w:t>( Fig</w:t>
      </w:r>
      <w:proofErr w:type="gramEnd"/>
      <w:r w:rsidR="00CB4FCA" w:rsidRPr="00CB4B90">
        <w:rPr>
          <w:rFonts w:ascii="Arial" w:eastAsia="Times New Roman" w:hAnsi="Arial" w:cs="Arial"/>
          <w:szCs w:val="22"/>
          <w:lang w:eastAsia="en-IN"/>
        </w:rPr>
        <w:t xml:space="preserve"> 1)</w:t>
      </w:r>
      <w:r w:rsidRPr="00CB4B90">
        <w:rPr>
          <w:rFonts w:ascii="Arial" w:eastAsia="Times New Roman" w:hAnsi="Arial" w:cs="Arial"/>
          <w:szCs w:val="22"/>
          <w:lang w:eastAsia="en-IN"/>
        </w:rPr>
        <w:t>.Figure 1 clearly illustrates peak adoption during critical growth stages, emphasizing the importance of advisories during active crop management periods.</w:t>
      </w:r>
      <w:r w:rsidR="00CB4FCA" w:rsidRPr="00CB4B90">
        <w:rPr>
          <w:rFonts w:ascii="Arial" w:eastAsia="Times New Roman" w:hAnsi="Arial" w:cs="Arial"/>
          <w:szCs w:val="22"/>
          <w:lang w:eastAsia="en-IN"/>
        </w:rPr>
        <w:t xml:space="preserve"> </w:t>
      </w:r>
      <w:r w:rsidR="00BF1DD4" w:rsidRPr="00CB4B90">
        <w:rPr>
          <w:rFonts w:ascii="Arial" w:eastAsia="Times New Roman" w:hAnsi="Arial" w:cs="Arial"/>
          <w:szCs w:val="22"/>
          <w:lang w:eastAsia="en-IN"/>
        </w:rPr>
        <w:t>This reflects the dominance of uncontrollable climatic factors during terminal crop stages.</w:t>
      </w:r>
    </w:p>
    <w:p w14:paraId="5C53B630" w14:textId="77777777" w:rsidR="00BF1DD4" w:rsidRPr="00CB4B90" w:rsidRDefault="00BF1DD4"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hAnsi="Arial" w:cs="Arial"/>
          <w:noProof/>
          <w:szCs w:val="22"/>
          <w:lang w:eastAsia="en-IN"/>
        </w:rPr>
        <w:drawing>
          <wp:inline distT="0" distB="0" distL="0" distR="0" wp14:anchorId="352A2A04" wp14:editId="2D9AA4CF">
            <wp:extent cx="5771515" cy="23145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4919" cy="2327971"/>
                    </a:xfrm>
                    <a:prstGeom prst="rect">
                      <a:avLst/>
                    </a:prstGeom>
                    <a:noFill/>
                  </pic:spPr>
                </pic:pic>
              </a:graphicData>
            </a:graphic>
          </wp:inline>
        </w:drawing>
      </w:r>
    </w:p>
    <w:p w14:paraId="128149B9" w14:textId="77777777" w:rsidR="00435ECD" w:rsidRPr="00CB4B90" w:rsidRDefault="006110A4" w:rsidP="00435ECD">
      <w:pPr>
        <w:spacing w:before="100" w:beforeAutospacing="1" w:after="100" w:afterAutospacing="1" w:line="240" w:lineRule="auto"/>
        <w:outlineLvl w:val="2"/>
        <w:rPr>
          <w:rFonts w:ascii="Arial" w:eastAsia="Times New Roman" w:hAnsi="Arial" w:cs="Arial"/>
          <w:szCs w:val="22"/>
          <w:lang w:eastAsia="en-IN"/>
        </w:rPr>
      </w:pPr>
      <w:r w:rsidRPr="00CB4B90">
        <w:rPr>
          <w:rFonts w:ascii="Arial" w:eastAsia="Times New Roman" w:hAnsi="Arial" w:cs="Arial"/>
          <w:szCs w:val="22"/>
          <w:lang w:eastAsia="en-IN"/>
        </w:rPr>
        <w:t xml:space="preserve">Fig: 1- </w:t>
      </w:r>
      <w:r w:rsidR="00435ECD" w:rsidRPr="00CB4B90">
        <w:rPr>
          <w:rFonts w:ascii="Arial" w:eastAsia="Times New Roman" w:hAnsi="Arial" w:cs="Arial"/>
          <w:szCs w:val="22"/>
          <w:lang w:eastAsia="en-IN"/>
        </w:rPr>
        <w:t>Farmers’ Perception of Advisory Relevance and Constraints (Response-1)</w:t>
      </w:r>
    </w:p>
    <w:p w14:paraId="04F60278" w14:textId="77777777" w:rsidR="00435ECD" w:rsidRPr="00CB4B90" w:rsidRDefault="00B30468" w:rsidP="007D6D95">
      <w:pPr>
        <w:pStyle w:val="NormalWeb"/>
        <w:jc w:val="both"/>
        <w:rPr>
          <w:rFonts w:ascii="Arial" w:hAnsi="Arial" w:cs="Arial"/>
          <w:sz w:val="22"/>
          <w:szCs w:val="22"/>
        </w:rPr>
      </w:pPr>
      <w:r w:rsidRPr="00CB4B90">
        <w:rPr>
          <w:rFonts w:ascii="Arial" w:hAnsi="Arial" w:cs="Arial"/>
          <w:sz w:val="22"/>
          <w:szCs w:val="22"/>
        </w:rPr>
        <w:t xml:space="preserve">However, the occurrence of responses such as “relevant but not prepared” and “minimum response time” during certain stages suggests that advisory effectiveness is constrained by limited lead time and operational preparedness. These constraints have also been highlighted by Subash and </w:t>
      </w:r>
      <w:proofErr w:type="spellStart"/>
      <w:r w:rsidRPr="00CB4B90">
        <w:rPr>
          <w:rFonts w:ascii="Arial" w:hAnsi="Arial" w:cs="Arial"/>
          <w:sz w:val="22"/>
          <w:szCs w:val="22"/>
        </w:rPr>
        <w:t>Gangwar</w:t>
      </w:r>
      <w:proofErr w:type="spellEnd"/>
      <w:r w:rsidRPr="00CB4B90">
        <w:rPr>
          <w:rFonts w:ascii="Arial" w:hAnsi="Arial" w:cs="Arial"/>
          <w:sz w:val="22"/>
          <w:szCs w:val="22"/>
        </w:rPr>
        <w:t xml:space="preserve"> (2014) and Samui and Paul (2016), emphasizing the need for better </w:t>
      </w:r>
      <w:r w:rsidRPr="00CB4B90">
        <w:rPr>
          <w:rFonts w:ascii="Arial" w:hAnsi="Arial" w:cs="Arial"/>
          <w:sz w:val="22"/>
          <w:szCs w:val="22"/>
        </w:rPr>
        <w:lastRenderedPageBreak/>
        <w:t>synchronization between advisories and farm operations.</w:t>
      </w:r>
      <w:r w:rsidR="007D6D95" w:rsidRPr="00CB4B90">
        <w:rPr>
          <w:rFonts w:ascii="Arial" w:hAnsi="Arial" w:cs="Arial"/>
          <w:sz w:val="22"/>
          <w:szCs w:val="22"/>
        </w:rPr>
        <w:t xml:space="preserve"> </w:t>
      </w:r>
      <w:r w:rsidR="00435ECD" w:rsidRPr="00CB4B90">
        <w:rPr>
          <w:rFonts w:ascii="Arial" w:hAnsi="Arial" w:cs="Arial"/>
          <w:sz w:val="22"/>
          <w:szCs w:val="22"/>
        </w:rPr>
        <w:t>The distribution of Response-1 categories is presented in Table 2.</w:t>
      </w:r>
      <w:r w:rsidR="007D6D95" w:rsidRPr="00CB4B90">
        <w:rPr>
          <w:rFonts w:ascii="Arial" w:hAnsi="Arial" w:cs="Arial"/>
          <w:sz w:val="22"/>
          <w:szCs w:val="22"/>
        </w:rPr>
        <w:t xml:space="preserve"> </w:t>
      </w:r>
      <w:r w:rsidR="00435ECD" w:rsidRPr="00CB4B90">
        <w:rPr>
          <w:rFonts w:ascii="Arial" w:hAnsi="Arial" w:cs="Arial"/>
          <w:sz w:val="22"/>
          <w:szCs w:val="22"/>
        </w:rPr>
        <w:t>More than 75% of farmers perceived advisories as relevant across most stages</w:t>
      </w:r>
      <w:r w:rsidR="007D6D95" w:rsidRPr="00CB4B90">
        <w:rPr>
          <w:rFonts w:ascii="Arial" w:hAnsi="Arial" w:cs="Arial"/>
          <w:sz w:val="22"/>
          <w:szCs w:val="22"/>
        </w:rPr>
        <w:t xml:space="preserve">, with maximum relevance during </w:t>
      </w:r>
      <w:r w:rsidR="00435ECD" w:rsidRPr="00CB4B90">
        <w:rPr>
          <w:rFonts w:ascii="Arial" w:hAnsi="Arial" w:cs="Arial"/>
          <w:sz w:val="22"/>
          <w:szCs w:val="22"/>
        </w:rPr>
        <w:t>Tillering (90.9%)</w:t>
      </w:r>
      <w:r w:rsidR="007D6D95" w:rsidRPr="00CB4B90">
        <w:rPr>
          <w:rFonts w:ascii="Arial" w:hAnsi="Arial" w:cs="Arial"/>
          <w:sz w:val="22"/>
          <w:szCs w:val="22"/>
        </w:rPr>
        <w:t xml:space="preserve"> and </w:t>
      </w:r>
      <w:r w:rsidR="00435ECD" w:rsidRPr="00CB4B90">
        <w:rPr>
          <w:rFonts w:ascii="Arial" w:hAnsi="Arial" w:cs="Arial"/>
          <w:sz w:val="22"/>
          <w:szCs w:val="22"/>
        </w:rPr>
        <w:t>Panicle initiation (87.9%)</w:t>
      </w:r>
      <w:r w:rsidR="007D6D95" w:rsidRPr="00CB4B90">
        <w:rPr>
          <w:rFonts w:ascii="Arial" w:hAnsi="Arial" w:cs="Arial"/>
          <w:sz w:val="22"/>
          <w:szCs w:val="22"/>
        </w:rPr>
        <w:t xml:space="preserve">. </w:t>
      </w:r>
      <w:r w:rsidR="00435ECD" w:rsidRPr="00CB4B90">
        <w:rPr>
          <w:rFonts w:ascii="Arial" w:hAnsi="Arial" w:cs="Arial"/>
          <w:sz w:val="22"/>
          <w:szCs w:val="22"/>
        </w:rPr>
        <w:t>Operational constraints such as “relevant but not prepared” and “minimum response time” were prominent during vegetative, flowering, and dough stages. This indicates that while advisories were technically sound, limited preparedness and short lead time restricted full utilization.</w:t>
      </w:r>
      <w:r w:rsidR="007D6D95" w:rsidRPr="00CB4B90">
        <w:rPr>
          <w:rFonts w:ascii="Arial" w:hAnsi="Arial" w:cs="Arial"/>
          <w:sz w:val="22"/>
          <w:szCs w:val="22"/>
        </w:rPr>
        <w:t xml:space="preserve"> </w:t>
      </w:r>
    </w:p>
    <w:p w14:paraId="6CC97B46" w14:textId="77777777" w:rsidR="007D6D95" w:rsidRPr="00CB4B90" w:rsidRDefault="00435ECD" w:rsidP="007D6D95">
      <w:pPr>
        <w:spacing w:before="100" w:beforeAutospacing="1" w:after="100" w:afterAutospacing="1" w:line="240" w:lineRule="auto"/>
        <w:rPr>
          <w:rStyle w:val="Strong"/>
          <w:rFonts w:ascii="Arial" w:hAnsi="Arial" w:cs="Arial"/>
          <w:szCs w:val="22"/>
        </w:rPr>
      </w:pPr>
      <w:r w:rsidRPr="00CB4B90">
        <w:rPr>
          <w:rFonts w:ascii="Arial" w:eastAsia="Times New Roman" w:hAnsi="Arial" w:cs="Arial"/>
          <w:b/>
          <w:bCs/>
          <w:szCs w:val="22"/>
          <w:lang w:eastAsia="en-IN"/>
        </w:rPr>
        <w:t xml:space="preserve">Table 2. </w:t>
      </w:r>
      <w:r w:rsidR="007D6D95" w:rsidRPr="00CB4B90">
        <w:rPr>
          <w:rStyle w:val="Strong"/>
          <w:rFonts w:ascii="Arial" w:hAnsi="Arial" w:cs="Arial"/>
          <w:szCs w:val="22"/>
        </w:rPr>
        <w:t>Distribution of Farmers by Response-1 Categories (Utility &amp; Constraints)</w:t>
      </w:r>
    </w:p>
    <w:tbl>
      <w:tblPr>
        <w:tblStyle w:val="TableGrid"/>
        <w:tblW w:w="0" w:type="auto"/>
        <w:tblLook w:val="04A0" w:firstRow="1" w:lastRow="0" w:firstColumn="1" w:lastColumn="0" w:noHBand="0" w:noVBand="1"/>
      </w:tblPr>
      <w:tblGrid>
        <w:gridCol w:w="1849"/>
        <w:gridCol w:w="1134"/>
        <w:gridCol w:w="1207"/>
        <w:gridCol w:w="1569"/>
        <w:gridCol w:w="1635"/>
        <w:gridCol w:w="1622"/>
      </w:tblGrid>
      <w:tr w:rsidR="00BF1DD4" w:rsidRPr="00CB4B90" w14:paraId="6129C11A" w14:textId="77777777" w:rsidTr="000F018A">
        <w:tc>
          <w:tcPr>
            <w:tcW w:w="1980" w:type="dxa"/>
            <w:hideMark/>
          </w:tcPr>
          <w:p w14:paraId="088B29CA" w14:textId="77777777" w:rsidR="00BF1DD4" w:rsidRPr="00CB4B90" w:rsidRDefault="00BF1DD4" w:rsidP="00955363">
            <w:pPr>
              <w:jc w:val="both"/>
              <w:rPr>
                <w:rFonts w:ascii="Arial" w:hAnsi="Arial" w:cs="Arial"/>
                <w:b/>
                <w:bCs/>
                <w:szCs w:val="22"/>
              </w:rPr>
            </w:pPr>
            <w:r w:rsidRPr="00CB4B90">
              <w:rPr>
                <w:rStyle w:val="Strong"/>
                <w:rFonts w:ascii="Arial" w:hAnsi="Arial" w:cs="Arial"/>
                <w:szCs w:val="22"/>
              </w:rPr>
              <w:t xml:space="preserve"> </w:t>
            </w:r>
            <w:r w:rsidRPr="00CB4B90">
              <w:rPr>
                <w:rFonts w:ascii="Arial" w:hAnsi="Arial" w:cs="Arial"/>
                <w:b/>
                <w:bCs/>
                <w:szCs w:val="22"/>
              </w:rPr>
              <w:t>Crop stage</w:t>
            </w:r>
          </w:p>
        </w:tc>
        <w:tc>
          <w:tcPr>
            <w:tcW w:w="983" w:type="dxa"/>
            <w:hideMark/>
          </w:tcPr>
          <w:p w14:paraId="5DCED983" w14:textId="77777777" w:rsidR="00BF1DD4" w:rsidRPr="00CB4B90" w:rsidRDefault="00BF1DD4" w:rsidP="00955363">
            <w:pPr>
              <w:jc w:val="both"/>
              <w:rPr>
                <w:rFonts w:ascii="Arial" w:hAnsi="Arial" w:cs="Arial"/>
                <w:b/>
                <w:bCs/>
                <w:szCs w:val="22"/>
              </w:rPr>
            </w:pPr>
            <w:r w:rsidRPr="00CB4B90">
              <w:rPr>
                <w:rFonts w:ascii="Arial" w:hAnsi="Arial" w:cs="Arial"/>
                <w:b/>
                <w:bCs/>
                <w:szCs w:val="22"/>
              </w:rPr>
              <w:t>Relevant (%)</w:t>
            </w:r>
          </w:p>
        </w:tc>
        <w:tc>
          <w:tcPr>
            <w:tcW w:w="1083" w:type="dxa"/>
            <w:hideMark/>
          </w:tcPr>
          <w:p w14:paraId="637B5A18" w14:textId="77777777" w:rsidR="00BF1DD4" w:rsidRPr="00CB4B90" w:rsidRDefault="00BF1DD4" w:rsidP="00955363">
            <w:pPr>
              <w:jc w:val="both"/>
              <w:rPr>
                <w:rFonts w:ascii="Arial" w:hAnsi="Arial" w:cs="Arial"/>
                <w:b/>
                <w:bCs/>
                <w:szCs w:val="22"/>
              </w:rPr>
            </w:pPr>
            <w:r w:rsidRPr="00CB4B90">
              <w:rPr>
                <w:rFonts w:ascii="Arial" w:hAnsi="Arial" w:cs="Arial"/>
                <w:b/>
                <w:bCs/>
                <w:szCs w:val="22"/>
              </w:rPr>
              <w:t>Irrelevant (%)</w:t>
            </w:r>
          </w:p>
        </w:tc>
        <w:tc>
          <w:tcPr>
            <w:tcW w:w="1749" w:type="dxa"/>
            <w:hideMark/>
          </w:tcPr>
          <w:p w14:paraId="0E3C2CF4" w14:textId="77777777" w:rsidR="00BF1DD4" w:rsidRPr="00CB4B90" w:rsidRDefault="00BF1DD4" w:rsidP="00955363">
            <w:pPr>
              <w:jc w:val="both"/>
              <w:rPr>
                <w:rFonts w:ascii="Arial" w:hAnsi="Arial" w:cs="Arial"/>
                <w:b/>
                <w:bCs/>
                <w:szCs w:val="22"/>
              </w:rPr>
            </w:pPr>
            <w:r w:rsidRPr="00CB4B90">
              <w:rPr>
                <w:rFonts w:ascii="Arial" w:hAnsi="Arial" w:cs="Arial"/>
                <w:b/>
                <w:bCs/>
                <w:szCs w:val="22"/>
              </w:rPr>
              <w:t>Relevant but not prepared (%)</w:t>
            </w:r>
          </w:p>
        </w:tc>
        <w:tc>
          <w:tcPr>
            <w:tcW w:w="1827" w:type="dxa"/>
            <w:hideMark/>
          </w:tcPr>
          <w:p w14:paraId="35954523" w14:textId="77777777" w:rsidR="00BF1DD4" w:rsidRPr="00CB4B90" w:rsidRDefault="00BF1DD4" w:rsidP="000F018A">
            <w:pPr>
              <w:jc w:val="both"/>
              <w:rPr>
                <w:rFonts w:ascii="Arial" w:hAnsi="Arial" w:cs="Arial"/>
                <w:b/>
                <w:bCs/>
                <w:szCs w:val="22"/>
              </w:rPr>
            </w:pPr>
            <w:r w:rsidRPr="00CB4B90">
              <w:rPr>
                <w:rFonts w:ascii="Arial" w:hAnsi="Arial" w:cs="Arial"/>
                <w:b/>
                <w:bCs/>
                <w:szCs w:val="22"/>
              </w:rPr>
              <w:t>Minimum response</w:t>
            </w:r>
            <w:r w:rsidR="000F018A" w:rsidRPr="00CB4B90">
              <w:rPr>
                <w:rFonts w:ascii="Arial" w:hAnsi="Arial" w:cs="Arial"/>
                <w:b/>
                <w:bCs/>
                <w:szCs w:val="22"/>
              </w:rPr>
              <w:t xml:space="preserve"> </w:t>
            </w:r>
            <w:r w:rsidRPr="00CB4B90">
              <w:rPr>
                <w:rFonts w:ascii="Arial" w:hAnsi="Arial" w:cs="Arial"/>
                <w:b/>
                <w:bCs/>
                <w:szCs w:val="22"/>
              </w:rPr>
              <w:t>time (%)</w:t>
            </w:r>
          </w:p>
        </w:tc>
        <w:tc>
          <w:tcPr>
            <w:tcW w:w="1394" w:type="dxa"/>
            <w:hideMark/>
          </w:tcPr>
          <w:p w14:paraId="3A8A27E8" w14:textId="77777777" w:rsidR="00BF1DD4" w:rsidRPr="00CB4B90" w:rsidRDefault="00BF1DD4" w:rsidP="00955363">
            <w:pPr>
              <w:jc w:val="both"/>
              <w:rPr>
                <w:rFonts w:ascii="Arial" w:hAnsi="Arial" w:cs="Arial"/>
                <w:b/>
                <w:bCs/>
                <w:szCs w:val="22"/>
              </w:rPr>
            </w:pPr>
            <w:r w:rsidRPr="00CB4B90">
              <w:rPr>
                <w:rFonts w:ascii="Arial" w:hAnsi="Arial" w:cs="Arial"/>
                <w:b/>
                <w:bCs/>
                <w:szCs w:val="22"/>
              </w:rPr>
              <w:t>Unfavourable weather (%)</w:t>
            </w:r>
          </w:p>
        </w:tc>
      </w:tr>
      <w:tr w:rsidR="00BF1DD4" w:rsidRPr="00CB4B90" w14:paraId="5E60F72D" w14:textId="77777777" w:rsidTr="000F018A">
        <w:tc>
          <w:tcPr>
            <w:tcW w:w="1980" w:type="dxa"/>
            <w:hideMark/>
          </w:tcPr>
          <w:p w14:paraId="19E1E9C6" w14:textId="77777777" w:rsidR="00BF1DD4" w:rsidRPr="00CB4B90" w:rsidRDefault="00BF1DD4" w:rsidP="00955363">
            <w:pPr>
              <w:jc w:val="both"/>
              <w:rPr>
                <w:rFonts w:ascii="Arial" w:hAnsi="Arial" w:cs="Arial"/>
                <w:szCs w:val="22"/>
              </w:rPr>
            </w:pPr>
            <w:r w:rsidRPr="00CB4B90">
              <w:rPr>
                <w:rFonts w:ascii="Arial" w:hAnsi="Arial" w:cs="Arial"/>
                <w:szCs w:val="22"/>
              </w:rPr>
              <w:t>Nursery</w:t>
            </w:r>
          </w:p>
        </w:tc>
        <w:tc>
          <w:tcPr>
            <w:tcW w:w="983" w:type="dxa"/>
            <w:hideMark/>
          </w:tcPr>
          <w:p w14:paraId="0AD216EB"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38C5DB83"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749" w:type="dxa"/>
            <w:hideMark/>
          </w:tcPr>
          <w:p w14:paraId="1982F587"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827" w:type="dxa"/>
            <w:hideMark/>
          </w:tcPr>
          <w:p w14:paraId="5011F3B7"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394" w:type="dxa"/>
            <w:hideMark/>
          </w:tcPr>
          <w:p w14:paraId="5BBF8BBF"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50A2FB50" w14:textId="77777777" w:rsidTr="000F018A">
        <w:tc>
          <w:tcPr>
            <w:tcW w:w="1980" w:type="dxa"/>
            <w:hideMark/>
          </w:tcPr>
          <w:p w14:paraId="48F75C8D" w14:textId="77777777" w:rsidR="00BF1DD4" w:rsidRPr="00CB4B90" w:rsidRDefault="00BF1DD4" w:rsidP="00955363">
            <w:pPr>
              <w:jc w:val="both"/>
              <w:rPr>
                <w:rFonts w:ascii="Arial" w:hAnsi="Arial" w:cs="Arial"/>
                <w:szCs w:val="22"/>
              </w:rPr>
            </w:pPr>
            <w:r w:rsidRPr="00CB4B90">
              <w:rPr>
                <w:rFonts w:ascii="Arial" w:hAnsi="Arial" w:cs="Arial"/>
                <w:szCs w:val="22"/>
              </w:rPr>
              <w:t>Transplanting</w:t>
            </w:r>
          </w:p>
        </w:tc>
        <w:tc>
          <w:tcPr>
            <w:tcW w:w="983" w:type="dxa"/>
            <w:hideMark/>
          </w:tcPr>
          <w:p w14:paraId="54A679F1"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1083" w:type="dxa"/>
            <w:hideMark/>
          </w:tcPr>
          <w:p w14:paraId="11A101E6"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749" w:type="dxa"/>
            <w:hideMark/>
          </w:tcPr>
          <w:p w14:paraId="68D284E2" w14:textId="77777777" w:rsidR="00BF1DD4" w:rsidRPr="00CB4B90" w:rsidRDefault="00BF1DD4" w:rsidP="00955363">
            <w:pPr>
              <w:jc w:val="both"/>
              <w:rPr>
                <w:rFonts w:ascii="Arial" w:hAnsi="Arial" w:cs="Arial"/>
                <w:szCs w:val="22"/>
              </w:rPr>
            </w:pPr>
            <w:r w:rsidRPr="00CB4B90">
              <w:rPr>
                <w:rFonts w:ascii="Arial" w:hAnsi="Arial" w:cs="Arial"/>
                <w:szCs w:val="22"/>
              </w:rPr>
              <w:t>6.1</w:t>
            </w:r>
          </w:p>
        </w:tc>
        <w:tc>
          <w:tcPr>
            <w:tcW w:w="1827" w:type="dxa"/>
            <w:hideMark/>
          </w:tcPr>
          <w:p w14:paraId="6F40B202"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394" w:type="dxa"/>
            <w:hideMark/>
          </w:tcPr>
          <w:p w14:paraId="1FF9E3C0"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0B858087" w14:textId="77777777" w:rsidTr="000F018A">
        <w:tc>
          <w:tcPr>
            <w:tcW w:w="1980" w:type="dxa"/>
            <w:hideMark/>
          </w:tcPr>
          <w:p w14:paraId="17901F9B" w14:textId="77777777" w:rsidR="00BF1DD4" w:rsidRPr="00CB4B90" w:rsidRDefault="00BF1DD4" w:rsidP="00955363">
            <w:pPr>
              <w:jc w:val="both"/>
              <w:rPr>
                <w:rFonts w:ascii="Arial" w:hAnsi="Arial" w:cs="Arial"/>
                <w:szCs w:val="22"/>
              </w:rPr>
            </w:pPr>
            <w:r w:rsidRPr="00CB4B90">
              <w:rPr>
                <w:rFonts w:ascii="Arial" w:hAnsi="Arial" w:cs="Arial"/>
                <w:szCs w:val="22"/>
              </w:rPr>
              <w:t>Tillering</w:t>
            </w:r>
          </w:p>
        </w:tc>
        <w:tc>
          <w:tcPr>
            <w:tcW w:w="983" w:type="dxa"/>
            <w:hideMark/>
          </w:tcPr>
          <w:p w14:paraId="0F19343C" w14:textId="77777777" w:rsidR="00BF1DD4" w:rsidRPr="00CB4B90" w:rsidRDefault="00BF1DD4" w:rsidP="00955363">
            <w:pPr>
              <w:jc w:val="both"/>
              <w:rPr>
                <w:rFonts w:ascii="Arial" w:hAnsi="Arial" w:cs="Arial"/>
                <w:szCs w:val="22"/>
              </w:rPr>
            </w:pPr>
            <w:r w:rsidRPr="00CB4B90">
              <w:rPr>
                <w:rFonts w:ascii="Arial" w:hAnsi="Arial" w:cs="Arial"/>
                <w:szCs w:val="22"/>
              </w:rPr>
              <w:t>90.9</w:t>
            </w:r>
          </w:p>
        </w:tc>
        <w:tc>
          <w:tcPr>
            <w:tcW w:w="1083" w:type="dxa"/>
            <w:hideMark/>
          </w:tcPr>
          <w:p w14:paraId="54F59ABE"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6D3E46A9"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827" w:type="dxa"/>
            <w:hideMark/>
          </w:tcPr>
          <w:p w14:paraId="0929A0DB"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394" w:type="dxa"/>
            <w:hideMark/>
          </w:tcPr>
          <w:p w14:paraId="1D0CB4EC"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059F842C" w14:textId="77777777" w:rsidTr="000F018A">
        <w:tc>
          <w:tcPr>
            <w:tcW w:w="1980" w:type="dxa"/>
            <w:hideMark/>
          </w:tcPr>
          <w:p w14:paraId="1BA076C3" w14:textId="77777777" w:rsidR="00BF1DD4" w:rsidRPr="00CB4B90" w:rsidRDefault="00BF1DD4" w:rsidP="00955363">
            <w:pPr>
              <w:jc w:val="both"/>
              <w:rPr>
                <w:rFonts w:ascii="Arial" w:hAnsi="Arial" w:cs="Arial"/>
                <w:szCs w:val="22"/>
              </w:rPr>
            </w:pPr>
            <w:r w:rsidRPr="00CB4B90">
              <w:rPr>
                <w:rFonts w:ascii="Arial" w:hAnsi="Arial" w:cs="Arial"/>
                <w:szCs w:val="22"/>
              </w:rPr>
              <w:t>Vegetative</w:t>
            </w:r>
          </w:p>
        </w:tc>
        <w:tc>
          <w:tcPr>
            <w:tcW w:w="983" w:type="dxa"/>
            <w:hideMark/>
          </w:tcPr>
          <w:p w14:paraId="75F8E7C2"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68E00445"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7510C293"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827" w:type="dxa"/>
            <w:hideMark/>
          </w:tcPr>
          <w:p w14:paraId="1F0576BE" w14:textId="77777777" w:rsidR="00BF1DD4" w:rsidRPr="00CB4B90" w:rsidRDefault="00BF1DD4" w:rsidP="00955363">
            <w:pPr>
              <w:jc w:val="both"/>
              <w:rPr>
                <w:rFonts w:ascii="Arial" w:hAnsi="Arial" w:cs="Arial"/>
                <w:szCs w:val="22"/>
              </w:rPr>
            </w:pPr>
            <w:r w:rsidRPr="00CB4B90">
              <w:rPr>
                <w:rFonts w:ascii="Arial" w:hAnsi="Arial" w:cs="Arial"/>
                <w:szCs w:val="22"/>
              </w:rPr>
              <w:t>21.2</w:t>
            </w:r>
          </w:p>
        </w:tc>
        <w:tc>
          <w:tcPr>
            <w:tcW w:w="1394" w:type="dxa"/>
            <w:hideMark/>
          </w:tcPr>
          <w:p w14:paraId="2FA91BE2"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4632F039" w14:textId="77777777" w:rsidTr="000F018A">
        <w:tc>
          <w:tcPr>
            <w:tcW w:w="1980" w:type="dxa"/>
            <w:hideMark/>
          </w:tcPr>
          <w:p w14:paraId="539E4202" w14:textId="77777777" w:rsidR="00BF1DD4" w:rsidRPr="00CB4B90" w:rsidRDefault="00BF1DD4" w:rsidP="00955363">
            <w:pPr>
              <w:jc w:val="both"/>
              <w:rPr>
                <w:rFonts w:ascii="Arial" w:hAnsi="Arial" w:cs="Arial"/>
                <w:szCs w:val="22"/>
              </w:rPr>
            </w:pPr>
            <w:r w:rsidRPr="00CB4B90">
              <w:rPr>
                <w:rFonts w:ascii="Arial" w:hAnsi="Arial" w:cs="Arial"/>
                <w:szCs w:val="22"/>
              </w:rPr>
              <w:t>Panicle initiation</w:t>
            </w:r>
          </w:p>
        </w:tc>
        <w:tc>
          <w:tcPr>
            <w:tcW w:w="983" w:type="dxa"/>
            <w:hideMark/>
          </w:tcPr>
          <w:p w14:paraId="79571F24"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1083" w:type="dxa"/>
            <w:hideMark/>
          </w:tcPr>
          <w:p w14:paraId="1E528ECF"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603D4FDF"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827" w:type="dxa"/>
            <w:hideMark/>
          </w:tcPr>
          <w:p w14:paraId="2B2E1274" w14:textId="77777777" w:rsidR="00BF1DD4" w:rsidRPr="00CB4B90" w:rsidRDefault="00BF1DD4" w:rsidP="00955363">
            <w:pPr>
              <w:jc w:val="both"/>
              <w:rPr>
                <w:rFonts w:ascii="Arial" w:hAnsi="Arial" w:cs="Arial"/>
                <w:szCs w:val="22"/>
              </w:rPr>
            </w:pPr>
            <w:r w:rsidRPr="00CB4B90">
              <w:rPr>
                <w:rFonts w:ascii="Arial" w:hAnsi="Arial" w:cs="Arial"/>
                <w:szCs w:val="22"/>
              </w:rPr>
              <w:t>6.1</w:t>
            </w:r>
          </w:p>
        </w:tc>
        <w:tc>
          <w:tcPr>
            <w:tcW w:w="1394" w:type="dxa"/>
            <w:hideMark/>
          </w:tcPr>
          <w:p w14:paraId="2186A9F5"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5C6456E5" w14:textId="77777777" w:rsidTr="000F018A">
        <w:tc>
          <w:tcPr>
            <w:tcW w:w="1980" w:type="dxa"/>
            <w:hideMark/>
          </w:tcPr>
          <w:p w14:paraId="2B369AD7" w14:textId="77777777" w:rsidR="00BF1DD4" w:rsidRPr="00CB4B90" w:rsidRDefault="00BF1DD4" w:rsidP="00955363">
            <w:pPr>
              <w:jc w:val="both"/>
              <w:rPr>
                <w:rFonts w:ascii="Arial" w:hAnsi="Arial" w:cs="Arial"/>
                <w:szCs w:val="22"/>
              </w:rPr>
            </w:pPr>
            <w:r w:rsidRPr="00CB4B90">
              <w:rPr>
                <w:rFonts w:ascii="Arial" w:hAnsi="Arial" w:cs="Arial"/>
                <w:szCs w:val="22"/>
              </w:rPr>
              <w:t>Flowering</w:t>
            </w:r>
          </w:p>
        </w:tc>
        <w:tc>
          <w:tcPr>
            <w:tcW w:w="983" w:type="dxa"/>
            <w:hideMark/>
          </w:tcPr>
          <w:p w14:paraId="68DF05AA"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4EE9499C"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66B9D35D"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827" w:type="dxa"/>
            <w:hideMark/>
          </w:tcPr>
          <w:p w14:paraId="01EE93FF"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394" w:type="dxa"/>
            <w:hideMark/>
          </w:tcPr>
          <w:p w14:paraId="38B03EC1"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5870A27B" w14:textId="77777777" w:rsidTr="000F018A">
        <w:tc>
          <w:tcPr>
            <w:tcW w:w="1980" w:type="dxa"/>
            <w:hideMark/>
          </w:tcPr>
          <w:p w14:paraId="10666570" w14:textId="77777777" w:rsidR="00BF1DD4" w:rsidRPr="00CB4B90" w:rsidRDefault="00BF1DD4" w:rsidP="00955363">
            <w:pPr>
              <w:jc w:val="both"/>
              <w:rPr>
                <w:rFonts w:ascii="Arial" w:hAnsi="Arial" w:cs="Arial"/>
                <w:szCs w:val="22"/>
              </w:rPr>
            </w:pPr>
            <w:r w:rsidRPr="00CB4B90">
              <w:rPr>
                <w:rFonts w:ascii="Arial" w:hAnsi="Arial" w:cs="Arial"/>
                <w:szCs w:val="22"/>
              </w:rPr>
              <w:t>Milking</w:t>
            </w:r>
          </w:p>
        </w:tc>
        <w:tc>
          <w:tcPr>
            <w:tcW w:w="983" w:type="dxa"/>
            <w:hideMark/>
          </w:tcPr>
          <w:p w14:paraId="434E2FC9"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298C1168"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7D847F05"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827" w:type="dxa"/>
            <w:hideMark/>
          </w:tcPr>
          <w:p w14:paraId="5F09E484"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394" w:type="dxa"/>
            <w:hideMark/>
          </w:tcPr>
          <w:p w14:paraId="199085FB"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7C3D056B" w14:textId="77777777" w:rsidTr="000F018A">
        <w:tc>
          <w:tcPr>
            <w:tcW w:w="1980" w:type="dxa"/>
            <w:hideMark/>
          </w:tcPr>
          <w:p w14:paraId="741640A4" w14:textId="77777777" w:rsidR="00BF1DD4" w:rsidRPr="00CB4B90" w:rsidRDefault="00BF1DD4" w:rsidP="00955363">
            <w:pPr>
              <w:jc w:val="both"/>
              <w:rPr>
                <w:rFonts w:ascii="Arial" w:hAnsi="Arial" w:cs="Arial"/>
                <w:szCs w:val="22"/>
              </w:rPr>
            </w:pPr>
            <w:r w:rsidRPr="00CB4B90">
              <w:rPr>
                <w:rFonts w:ascii="Arial" w:hAnsi="Arial" w:cs="Arial"/>
                <w:szCs w:val="22"/>
              </w:rPr>
              <w:t>Dough</w:t>
            </w:r>
          </w:p>
        </w:tc>
        <w:tc>
          <w:tcPr>
            <w:tcW w:w="983" w:type="dxa"/>
            <w:hideMark/>
          </w:tcPr>
          <w:p w14:paraId="14BACC5E"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5D3EDE21"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4FDC89BB"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827" w:type="dxa"/>
            <w:hideMark/>
          </w:tcPr>
          <w:p w14:paraId="5A9C9A6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394" w:type="dxa"/>
            <w:hideMark/>
          </w:tcPr>
          <w:p w14:paraId="44DD6373"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69C2A58F" w14:textId="77777777" w:rsidTr="000F018A">
        <w:tc>
          <w:tcPr>
            <w:tcW w:w="1980" w:type="dxa"/>
            <w:hideMark/>
          </w:tcPr>
          <w:p w14:paraId="4C05E77C" w14:textId="77777777" w:rsidR="00BF1DD4" w:rsidRPr="00CB4B90" w:rsidRDefault="00BF1DD4" w:rsidP="00955363">
            <w:pPr>
              <w:jc w:val="both"/>
              <w:rPr>
                <w:rFonts w:ascii="Arial" w:hAnsi="Arial" w:cs="Arial"/>
                <w:szCs w:val="22"/>
              </w:rPr>
            </w:pPr>
            <w:r w:rsidRPr="00CB4B90">
              <w:rPr>
                <w:rFonts w:ascii="Arial" w:hAnsi="Arial" w:cs="Arial"/>
                <w:szCs w:val="22"/>
              </w:rPr>
              <w:t>Maturity</w:t>
            </w:r>
          </w:p>
        </w:tc>
        <w:tc>
          <w:tcPr>
            <w:tcW w:w="983" w:type="dxa"/>
            <w:hideMark/>
          </w:tcPr>
          <w:p w14:paraId="198E6594" w14:textId="77777777" w:rsidR="00BF1DD4" w:rsidRPr="00CB4B90" w:rsidRDefault="00BF1DD4" w:rsidP="00955363">
            <w:pPr>
              <w:jc w:val="both"/>
              <w:rPr>
                <w:rFonts w:ascii="Arial" w:hAnsi="Arial" w:cs="Arial"/>
                <w:szCs w:val="22"/>
              </w:rPr>
            </w:pPr>
            <w:r w:rsidRPr="00CB4B90">
              <w:rPr>
                <w:rFonts w:ascii="Arial" w:hAnsi="Arial" w:cs="Arial"/>
                <w:szCs w:val="22"/>
              </w:rPr>
              <w:t>51.5</w:t>
            </w:r>
          </w:p>
        </w:tc>
        <w:tc>
          <w:tcPr>
            <w:tcW w:w="1083" w:type="dxa"/>
            <w:hideMark/>
          </w:tcPr>
          <w:p w14:paraId="06DB96F7"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313B3E0D"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827" w:type="dxa"/>
            <w:hideMark/>
          </w:tcPr>
          <w:p w14:paraId="48C834AA"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394" w:type="dxa"/>
            <w:hideMark/>
          </w:tcPr>
          <w:p w14:paraId="43994396" w14:textId="77777777" w:rsidR="00BF1DD4" w:rsidRPr="00CB4B90" w:rsidRDefault="00BF1DD4" w:rsidP="00955363">
            <w:pPr>
              <w:jc w:val="both"/>
              <w:rPr>
                <w:rFonts w:ascii="Arial" w:hAnsi="Arial" w:cs="Arial"/>
                <w:szCs w:val="22"/>
              </w:rPr>
            </w:pPr>
            <w:r w:rsidRPr="00CB4B90">
              <w:rPr>
                <w:rFonts w:ascii="Arial" w:hAnsi="Arial" w:cs="Arial"/>
                <w:szCs w:val="22"/>
              </w:rPr>
              <w:t>48.5</w:t>
            </w:r>
          </w:p>
        </w:tc>
      </w:tr>
      <w:tr w:rsidR="00BF1DD4" w:rsidRPr="00CB4B90" w14:paraId="4D90734D" w14:textId="77777777" w:rsidTr="000F018A">
        <w:tc>
          <w:tcPr>
            <w:tcW w:w="1980" w:type="dxa"/>
            <w:hideMark/>
          </w:tcPr>
          <w:p w14:paraId="6B565782" w14:textId="77777777" w:rsidR="00BF1DD4" w:rsidRPr="00CB4B90" w:rsidRDefault="00BF1DD4" w:rsidP="00955363">
            <w:pPr>
              <w:jc w:val="both"/>
              <w:rPr>
                <w:rFonts w:ascii="Arial" w:hAnsi="Arial" w:cs="Arial"/>
                <w:szCs w:val="22"/>
              </w:rPr>
            </w:pPr>
            <w:r w:rsidRPr="00CB4B90">
              <w:rPr>
                <w:rFonts w:ascii="Arial" w:hAnsi="Arial" w:cs="Arial"/>
                <w:szCs w:val="22"/>
              </w:rPr>
              <w:t>Harvesting</w:t>
            </w:r>
          </w:p>
        </w:tc>
        <w:tc>
          <w:tcPr>
            <w:tcW w:w="983" w:type="dxa"/>
            <w:hideMark/>
          </w:tcPr>
          <w:p w14:paraId="6A67FA07"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31EFDCA6"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59F09AA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827" w:type="dxa"/>
            <w:hideMark/>
          </w:tcPr>
          <w:p w14:paraId="7E6ADEE6"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394" w:type="dxa"/>
            <w:hideMark/>
          </w:tcPr>
          <w:p w14:paraId="64F607A7" w14:textId="77777777" w:rsidR="00BF1DD4" w:rsidRPr="00CB4B90" w:rsidRDefault="00BF1DD4" w:rsidP="00955363">
            <w:pPr>
              <w:jc w:val="both"/>
              <w:rPr>
                <w:rFonts w:ascii="Arial" w:hAnsi="Arial" w:cs="Arial"/>
                <w:szCs w:val="22"/>
              </w:rPr>
            </w:pPr>
            <w:r w:rsidRPr="00CB4B90">
              <w:rPr>
                <w:rFonts w:ascii="Arial" w:hAnsi="Arial" w:cs="Arial"/>
                <w:szCs w:val="22"/>
              </w:rPr>
              <w:t>9.1</w:t>
            </w:r>
          </w:p>
        </w:tc>
      </w:tr>
    </w:tbl>
    <w:p w14:paraId="39A41E73" w14:textId="77777777" w:rsidR="00435ECD" w:rsidRPr="00CB4B90" w:rsidRDefault="00455758" w:rsidP="00455758">
      <w:pPr>
        <w:pStyle w:val="NormalWeb"/>
        <w:jc w:val="both"/>
        <w:rPr>
          <w:rFonts w:ascii="Arial" w:hAnsi="Arial" w:cs="Arial"/>
          <w:sz w:val="22"/>
          <w:szCs w:val="22"/>
        </w:rPr>
      </w:pPr>
      <w:r w:rsidRPr="00CB4B90">
        <w:rPr>
          <w:rFonts w:ascii="Arial" w:hAnsi="Arial" w:cs="Arial"/>
          <w:sz w:val="22"/>
          <w:szCs w:val="22"/>
        </w:rPr>
        <w:t xml:space="preserve">A sharp increase in “unfavourable weather” responses during maturity and harvesting stages reflects the dominance of uncontrollable climatic factors during terminal stages. The table 2 summarizes farmers’ perceptions of advisory relevance and operational constraints across crop growth stages. </w:t>
      </w:r>
      <w:r w:rsidR="00435ECD" w:rsidRPr="00CB4B90">
        <w:rPr>
          <w:rFonts w:ascii="Arial" w:hAnsi="Arial" w:cs="Arial"/>
          <w:sz w:val="22"/>
          <w:szCs w:val="22"/>
        </w:rPr>
        <w:t>Figure 2 visually highlights the decline in relevance during maturity due to adverse weather conditions.</w:t>
      </w:r>
    </w:p>
    <w:p w14:paraId="6830F492" w14:textId="77777777" w:rsidR="00BF1DD4" w:rsidRPr="00CB4B90" w:rsidRDefault="00BF1DD4"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hAnsi="Arial" w:cs="Arial"/>
          <w:noProof/>
          <w:szCs w:val="22"/>
          <w:lang w:eastAsia="en-IN"/>
        </w:rPr>
        <w:drawing>
          <wp:inline distT="0" distB="0" distL="0" distR="0" wp14:anchorId="20B16C5F" wp14:editId="519743D0">
            <wp:extent cx="5730875" cy="22860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936" cy="2287221"/>
                    </a:xfrm>
                    <a:prstGeom prst="rect">
                      <a:avLst/>
                    </a:prstGeom>
                    <a:noFill/>
                  </pic:spPr>
                </pic:pic>
              </a:graphicData>
            </a:graphic>
          </wp:inline>
        </w:drawing>
      </w:r>
    </w:p>
    <w:p w14:paraId="39237A3A" w14:textId="77777777" w:rsidR="00435ECD" w:rsidRPr="00CB4B90" w:rsidRDefault="00BF1DD4" w:rsidP="00455758">
      <w:pPr>
        <w:pStyle w:val="Heading3"/>
        <w:jc w:val="both"/>
        <w:rPr>
          <w:rFonts w:ascii="Arial" w:hAnsi="Arial" w:cs="Arial"/>
          <w:b w:val="0"/>
          <w:bCs w:val="0"/>
          <w:sz w:val="22"/>
          <w:szCs w:val="22"/>
        </w:rPr>
      </w:pPr>
      <w:r w:rsidRPr="00CB4B90">
        <w:rPr>
          <w:rFonts w:ascii="Arial" w:hAnsi="Arial" w:cs="Arial"/>
          <w:b w:val="0"/>
          <w:bCs w:val="0"/>
          <w:sz w:val="22"/>
          <w:szCs w:val="22"/>
        </w:rPr>
        <w:t xml:space="preserve">Figure 2. </w:t>
      </w:r>
      <w:r w:rsidR="00455758" w:rsidRPr="00CB4B90">
        <w:rPr>
          <w:rFonts w:ascii="Arial" w:hAnsi="Arial" w:cs="Arial"/>
          <w:b w:val="0"/>
          <w:bCs w:val="0"/>
          <w:sz w:val="22"/>
          <w:szCs w:val="22"/>
        </w:rPr>
        <w:t>Farmers’ perception of advisory relevance and operational constraints across rice growth stages.</w:t>
      </w:r>
    </w:p>
    <w:p w14:paraId="2114E035"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Farmer Satisfaction Levels (Response-2)</w:t>
      </w:r>
    </w:p>
    <w:p w14:paraId="38EA22A0" w14:textId="77777777" w:rsidR="00455758" w:rsidRPr="00CB4B90" w:rsidRDefault="00435ECD" w:rsidP="00C57E9E">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 xml:space="preserve">Farmer satisfaction levels are summarized in Table 3. Satisfaction exceeded 70% during most crop stages, indicating strong trust in agrometeorological </w:t>
      </w:r>
      <w:proofErr w:type="spellStart"/>
      <w:proofErr w:type="gramStart"/>
      <w:r w:rsidRPr="00CB4B90">
        <w:rPr>
          <w:rFonts w:ascii="Arial" w:eastAsia="Times New Roman" w:hAnsi="Arial" w:cs="Arial"/>
          <w:szCs w:val="22"/>
          <w:lang w:eastAsia="en-IN"/>
        </w:rPr>
        <w:t>advisories.Highest</w:t>
      </w:r>
      <w:proofErr w:type="spellEnd"/>
      <w:proofErr w:type="gramEnd"/>
      <w:r w:rsidRPr="00CB4B90">
        <w:rPr>
          <w:rFonts w:ascii="Arial" w:eastAsia="Times New Roman" w:hAnsi="Arial" w:cs="Arial"/>
          <w:szCs w:val="22"/>
          <w:lang w:eastAsia="en-IN"/>
        </w:rPr>
        <w:t xml:space="preserve"> s</w:t>
      </w:r>
      <w:r w:rsidR="00455758" w:rsidRPr="00CB4B90">
        <w:rPr>
          <w:rFonts w:ascii="Arial" w:eastAsia="Times New Roman" w:hAnsi="Arial" w:cs="Arial"/>
          <w:szCs w:val="22"/>
          <w:lang w:eastAsia="en-IN"/>
        </w:rPr>
        <w:t xml:space="preserve">atisfaction was recorded during </w:t>
      </w:r>
      <w:r w:rsidRPr="00CB4B90">
        <w:rPr>
          <w:rFonts w:ascii="Arial" w:eastAsia="Times New Roman" w:hAnsi="Arial" w:cs="Arial"/>
          <w:szCs w:val="22"/>
          <w:lang w:eastAsia="en-IN"/>
        </w:rPr>
        <w:t>Tillering (87.9%)</w:t>
      </w:r>
      <w:r w:rsidR="00455758" w:rsidRPr="00CB4B90">
        <w:rPr>
          <w:rFonts w:ascii="Arial" w:eastAsia="Times New Roman" w:hAnsi="Arial" w:cs="Arial"/>
          <w:szCs w:val="22"/>
          <w:lang w:eastAsia="en-IN"/>
        </w:rPr>
        <w:t xml:space="preserve">and </w:t>
      </w:r>
      <w:r w:rsidRPr="00CB4B90">
        <w:rPr>
          <w:rFonts w:ascii="Arial" w:eastAsia="Times New Roman" w:hAnsi="Arial" w:cs="Arial"/>
          <w:szCs w:val="22"/>
          <w:lang w:eastAsia="en-IN"/>
        </w:rPr>
        <w:t>Maturity (90.9%)</w:t>
      </w:r>
      <w:r w:rsidR="00455758"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 xml:space="preserve">Partial satisfaction was relatively </w:t>
      </w:r>
      <w:r w:rsidRPr="00CB4B90">
        <w:rPr>
          <w:rFonts w:ascii="Arial" w:eastAsia="Times New Roman" w:hAnsi="Arial" w:cs="Arial"/>
          <w:szCs w:val="22"/>
          <w:lang w:eastAsia="en-IN"/>
        </w:rPr>
        <w:lastRenderedPageBreak/>
        <w:t>higher during transplanting and flowering stages, possibly due to operational difficulties and weather uncertainty.</w:t>
      </w:r>
      <w:r w:rsidR="00455758" w:rsidRPr="00CB4B90">
        <w:rPr>
          <w:rFonts w:ascii="Arial" w:eastAsia="Times New Roman" w:hAnsi="Arial" w:cs="Arial"/>
          <w:szCs w:val="22"/>
          <w:lang w:eastAsia="en-IN"/>
        </w:rPr>
        <w:t xml:space="preserve"> </w:t>
      </w:r>
    </w:p>
    <w:p w14:paraId="093F3802" w14:textId="77777777" w:rsidR="00BF1DD4" w:rsidRPr="00CB4B90" w:rsidRDefault="00BF1DD4" w:rsidP="00BF1DD4">
      <w:pPr>
        <w:pStyle w:val="Heading1"/>
        <w:jc w:val="both"/>
        <w:rPr>
          <w:rFonts w:ascii="Arial" w:hAnsi="Arial" w:cs="Arial"/>
          <w:sz w:val="22"/>
          <w:szCs w:val="22"/>
        </w:rPr>
      </w:pPr>
      <w:r w:rsidRPr="00CB4B90">
        <w:rPr>
          <w:rStyle w:val="Strong"/>
          <w:rFonts w:ascii="Arial" w:hAnsi="Arial" w:cs="Arial"/>
          <w:sz w:val="22"/>
          <w:szCs w:val="22"/>
        </w:rPr>
        <w:t>Table 3. Farmer Satisfaction Levels with Agrometeorological Advisories (Response-2)</w:t>
      </w:r>
    </w:p>
    <w:tbl>
      <w:tblPr>
        <w:tblStyle w:val="TableGrid"/>
        <w:tblW w:w="0" w:type="auto"/>
        <w:tblLook w:val="04A0" w:firstRow="1" w:lastRow="0" w:firstColumn="1" w:lastColumn="0" w:noHBand="0" w:noVBand="1"/>
      </w:tblPr>
      <w:tblGrid>
        <w:gridCol w:w="2263"/>
        <w:gridCol w:w="1843"/>
        <w:gridCol w:w="2410"/>
        <w:gridCol w:w="2268"/>
      </w:tblGrid>
      <w:tr w:rsidR="00BF1DD4" w:rsidRPr="00CB4B90" w14:paraId="2D03EC23" w14:textId="77777777" w:rsidTr="00C57E9E">
        <w:tc>
          <w:tcPr>
            <w:tcW w:w="2263" w:type="dxa"/>
            <w:hideMark/>
          </w:tcPr>
          <w:p w14:paraId="59545D12" w14:textId="77777777" w:rsidR="00BF1DD4" w:rsidRPr="00CB4B90" w:rsidRDefault="00BF1DD4" w:rsidP="00955363">
            <w:pPr>
              <w:jc w:val="both"/>
              <w:rPr>
                <w:rFonts w:ascii="Arial" w:hAnsi="Arial" w:cs="Arial"/>
                <w:b/>
                <w:bCs/>
                <w:szCs w:val="22"/>
              </w:rPr>
            </w:pPr>
            <w:r w:rsidRPr="00CB4B90">
              <w:rPr>
                <w:rFonts w:ascii="Arial" w:hAnsi="Arial" w:cs="Arial"/>
                <w:b/>
                <w:bCs/>
                <w:szCs w:val="22"/>
              </w:rPr>
              <w:t>Crop stage</w:t>
            </w:r>
          </w:p>
        </w:tc>
        <w:tc>
          <w:tcPr>
            <w:tcW w:w="1843" w:type="dxa"/>
            <w:hideMark/>
          </w:tcPr>
          <w:p w14:paraId="14836C29" w14:textId="77777777" w:rsidR="00BF1DD4" w:rsidRPr="00CB4B90" w:rsidRDefault="00BF1DD4" w:rsidP="00955363">
            <w:pPr>
              <w:jc w:val="both"/>
              <w:rPr>
                <w:rFonts w:ascii="Arial" w:hAnsi="Arial" w:cs="Arial"/>
                <w:b/>
                <w:bCs/>
                <w:szCs w:val="22"/>
              </w:rPr>
            </w:pPr>
            <w:r w:rsidRPr="00CB4B90">
              <w:rPr>
                <w:rFonts w:ascii="Arial" w:hAnsi="Arial" w:cs="Arial"/>
                <w:b/>
                <w:bCs/>
                <w:szCs w:val="22"/>
              </w:rPr>
              <w:t>Satisfied (%)</w:t>
            </w:r>
          </w:p>
        </w:tc>
        <w:tc>
          <w:tcPr>
            <w:tcW w:w="2410" w:type="dxa"/>
            <w:hideMark/>
          </w:tcPr>
          <w:p w14:paraId="10D91499" w14:textId="77777777" w:rsidR="00BF1DD4" w:rsidRPr="00CB4B90" w:rsidRDefault="00BF1DD4" w:rsidP="00955363">
            <w:pPr>
              <w:jc w:val="both"/>
              <w:rPr>
                <w:rFonts w:ascii="Arial" w:hAnsi="Arial" w:cs="Arial"/>
                <w:b/>
                <w:bCs/>
                <w:szCs w:val="22"/>
              </w:rPr>
            </w:pPr>
            <w:r w:rsidRPr="00CB4B90">
              <w:rPr>
                <w:rFonts w:ascii="Arial" w:hAnsi="Arial" w:cs="Arial"/>
                <w:b/>
                <w:bCs/>
                <w:szCs w:val="22"/>
              </w:rPr>
              <w:t>Partially satisfied (%)</w:t>
            </w:r>
          </w:p>
        </w:tc>
        <w:tc>
          <w:tcPr>
            <w:tcW w:w="2268" w:type="dxa"/>
            <w:hideMark/>
          </w:tcPr>
          <w:p w14:paraId="72F7F1CB" w14:textId="77777777" w:rsidR="00BF1DD4" w:rsidRPr="00CB4B90" w:rsidRDefault="00BF1DD4" w:rsidP="00955363">
            <w:pPr>
              <w:jc w:val="both"/>
              <w:rPr>
                <w:rFonts w:ascii="Arial" w:hAnsi="Arial" w:cs="Arial"/>
                <w:b/>
                <w:bCs/>
                <w:szCs w:val="22"/>
              </w:rPr>
            </w:pPr>
            <w:r w:rsidRPr="00CB4B90">
              <w:rPr>
                <w:rFonts w:ascii="Arial" w:hAnsi="Arial" w:cs="Arial"/>
                <w:b/>
                <w:bCs/>
                <w:szCs w:val="22"/>
              </w:rPr>
              <w:t>Not satisfied (%)</w:t>
            </w:r>
          </w:p>
        </w:tc>
      </w:tr>
      <w:tr w:rsidR="00BF1DD4" w:rsidRPr="00CB4B90" w14:paraId="00BA10D8" w14:textId="77777777" w:rsidTr="00C57E9E">
        <w:tc>
          <w:tcPr>
            <w:tcW w:w="2263" w:type="dxa"/>
            <w:hideMark/>
          </w:tcPr>
          <w:p w14:paraId="0A86CA11" w14:textId="77777777" w:rsidR="00BF1DD4" w:rsidRPr="00CB4B90" w:rsidRDefault="00BF1DD4" w:rsidP="00955363">
            <w:pPr>
              <w:jc w:val="both"/>
              <w:rPr>
                <w:rFonts w:ascii="Arial" w:hAnsi="Arial" w:cs="Arial"/>
                <w:szCs w:val="22"/>
              </w:rPr>
            </w:pPr>
            <w:r w:rsidRPr="00CB4B90">
              <w:rPr>
                <w:rFonts w:ascii="Arial" w:hAnsi="Arial" w:cs="Arial"/>
                <w:szCs w:val="22"/>
              </w:rPr>
              <w:t>Nursery</w:t>
            </w:r>
          </w:p>
        </w:tc>
        <w:tc>
          <w:tcPr>
            <w:tcW w:w="1843" w:type="dxa"/>
            <w:hideMark/>
          </w:tcPr>
          <w:p w14:paraId="7002AF5C" w14:textId="77777777" w:rsidR="00BF1DD4" w:rsidRPr="00CB4B90" w:rsidRDefault="00BF1DD4" w:rsidP="00955363">
            <w:pPr>
              <w:jc w:val="both"/>
              <w:rPr>
                <w:rFonts w:ascii="Arial" w:hAnsi="Arial" w:cs="Arial"/>
                <w:szCs w:val="22"/>
              </w:rPr>
            </w:pPr>
            <w:r w:rsidRPr="00CB4B90">
              <w:rPr>
                <w:rFonts w:ascii="Arial" w:hAnsi="Arial" w:cs="Arial"/>
                <w:szCs w:val="22"/>
              </w:rPr>
              <w:t>54.5</w:t>
            </w:r>
          </w:p>
        </w:tc>
        <w:tc>
          <w:tcPr>
            <w:tcW w:w="2410" w:type="dxa"/>
            <w:hideMark/>
          </w:tcPr>
          <w:p w14:paraId="320E5DAD" w14:textId="77777777" w:rsidR="00BF1DD4" w:rsidRPr="00CB4B90" w:rsidRDefault="00BF1DD4" w:rsidP="00955363">
            <w:pPr>
              <w:jc w:val="both"/>
              <w:rPr>
                <w:rFonts w:ascii="Arial" w:hAnsi="Arial" w:cs="Arial"/>
                <w:szCs w:val="22"/>
              </w:rPr>
            </w:pPr>
            <w:r w:rsidRPr="00CB4B90">
              <w:rPr>
                <w:rFonts w:ascii="Arial" w:hAnsi="Arial" w:cs="Arial"/>
                <w:szCs w:val="22"/>
              </w:rPr>
              <w:t>36.4</w:t>
            </w:r>
          </w:p>
        </w:tc>
        <w:tc>
          <w:tcPr>
            <w:tcW w:w="2268" w:type="dxa"/>
            <w:hideMark/>
          </w:tcPr>
          <w:p w14:paraId="6C2C760F" w14:textId="77777777" w:rsidR="00BF1DD4" w:rsidRPr="00CB4B90" w:rsidRDefault="00BF1DD4" w:rsidP="00955363">
            <w:pPr>
              <w:jc w:val="both"/>
              <w:rPr>
                <w:rFonts w:ascii="Arial" w:hAnsi="Arial" w:cs="Arial"/>
                <w:szCs w:val="22"/>
              </w:rPr>
            </w:pPr>
            <w:r w:rsidRPr="00CB4B90">
              <w:rPr>
                <w:rFonts w:ascii="Arial" w:hAnsi="Arial" w:cs="Arial"/>
                <w:szCs w:val="22"/>
              </w:rPr>
              <w:t>9.1</w:t>
            </w:r>
          </w:p>
        </w:tc>
      </w:tr>
      <w:tr w:rsidR="00BF1DD4" w:rsidRPr="00CB4B90" w14:paraId="3FFF0EC5" w14:textId="77777777" w:rsidTr="00C57E9E">
        <w:tc>
          <w:tcPr>
            <w:tcW w:w="2263" w:type="dxa"/>
            <w:hideMark/>
          </w:tcPr>
          <w:p w14:paraId="7D24D773" w14:textId="77777777" w:rsidR="00BF1DD4" w:rsidRPr="00CB4B90" w:rsidRDefault="00BF1DD4" w:rsidP="00955363">
            <w:pPr>
              <w:jc w:val="both"/>
              <w:rPr>
                <w:rFonts w:ascii="Arial" w:hAnsi="Arial" w:cs="Arial"/>
                <w:szCs w:val="22"/>
              </w:rPr>
            </w:pPr>
            <w:r w:rsidRPr="00CB4B90">
              <w:rPr>
                <w:rFonts w:ascii="Arial" w:hAnsi="Arial" w:cs="Arial"/>
                <w:szCs w:val="22"/>
              </w:rPr>
              <w:t>Transplanting</w:t>
            </w:r>
          </w:p>
        </w:tc>
        <w:tc>
          <w:tcPr>
            <w:tcW w:w="1843" w:type="dxa"/>
            <w:hideMark/>
          </w:tcPr>
          <w:p w14:paraId="096A64B2" w14:textId="77777777" w:rsidR="00BF1DD4" w:rsidRPr="00CB4B90" w:rsidRDefault="00BF1DD4" w:rsidP="00955363">
            <w:pPr>
              <w:jc w:val="both"/>
              <w:rPr>
                <w:rFonts w:ascii="Arial" w:hAnsi="Arial" w:cs="Arial"/>
                <w:szCs w:val="22"/>
              </w:rPr>
            </w:pPr>
            <w:r w:rsidRPr="00CB4B90">
              <w:rPr>
                <w:rFonts w:ascii="Arial" w:hAnsi="Arial" w:cs="Arial"/>
                <w:szCs w:val="22"/>
              </w:rPr>
              <w:t>42.4</w:t>
            </w:r>
          </w:p>
        </w:tc>
        <w:tc>
          <w:tcPr>
            <w:tcW w:w="2410" w:type="dxa"/>
            <w:hideMark/>
          </w:tcPr>
          <w:p w14:paraId="51A5C0BA" w14:textId="77777777" w:rsidR="00BF1DD4" w:rsidRPr="00CB4B90" w:rsidRDefault="00BF1DD4" w:rsidP="00955363">
            <w:pPr>
              <w:jc w:val="both"/>
              <w:rPr>
                <w:rFonts w:ascii="Arial" w:hAnsi="Arial" w:cs="Arial"/>
                <w:szCs w:val="22"/>
              </w:rPr>
            </w:pPr>
            <w:r w:rsidRPr="00CB4B90">
              <w:rPr>
                <w:rFonts w:ascii="Arial" w:hAnsi="Arial" w:cs="Arial"/>
                <w:szCs w:val="22"/>
              </w:rPr>
              <w:t>45.5</w:t>
            </w:r>
          </w:p>
        </w:tc>
        <w:tc>
          <w:tcPr>
            <w:tcW w:w="2268" w:type="dxa"/>
            <w:hideMark/>
          </w:tcPr>
          <w:p w14:paraId="5EDF8506"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47688B71" w14:textId="77777777" w:rsidTr="00C57E9E">
        <w:tc>
          <w:tcPr>
            <w:tcW w:w="2263" w:type="dxa"/>
            <w:hideMark/>
          </w:tcPr>
          <w:p w14:paraId="36E6825E" w14:textId="77777777" w:rsidR="00BF1DD4" w:rsidRPr="00CB4B90" w:rsidRDefault="00BF1DD4" w:rsidP="00955363">
            <w:pPr>
              <w:jc w:val="both"/>
              <w:rPr>
                <w:rFonts w:ascii="Arial" w:hAnsi="Arial" w:cs="Arial"/>
                <w:szCs w:val="22"/>
              </w:rPr>
            </w:pPr>
            <w:r w:rsidRPr="00CB4B90">
              <w:rPr>
                <w:rFonts w:ascii="Arial" w:hAnsi="Arial" w:cs="Arial"/>
                <w:szCs w:val="22"/>
              </w:rPr>
              <w:t>Tillering</w:t>
            </w:r>
          </w:p>
        </w:tc>
        <w:tc>
          <w:tcPr>
            <w:tcW w:w="1843" w:type="dxa"/>
            <w:hideMark/>
          </w:tcPr>
          <w:p w14:paraId="44243214"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2410" w:type="dxa"/>
            <w:hideMark/>
          </w:tcPr>
          <w:p w14:paraId="3BA2129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2268" w:type="dxa"/>
            <w:hideMark/>
          </w:tcPr>
          <w:p w14:paraId="53B0F9B6"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4F5C96B4" w14:textId="77777777" w:rsidTr="00C57E9E">
        <w:tc>
          <w:tcPr>
            <w:tcW w:w="2263" w:type="dxa"/>
            <w:hideMark/>
          </w:tcPr>
          <w:p w14:paraId="10BA3D1A" w14:textId="77777777" w:rsidR="00BF1DD4" w:rsidRPr="00CB4B90" w:rsidRDefault="00BF1DD4" w:rsidP="00955363">
            <w:pPr>
              <w:jc w:val="both"/>
              <w:rPr>
                <w:rFonts w:ascii="Arial" w:hAnsi="Arial" w:cs="Arial"/>
                <w:szCs w:val="22"/>
              </w:rPr>
            </w:pPr>
            <w:r w:rsidRPr="00CB4B90">
              <w:rPr>
                <w:rFonts w:ascii="Arial" w:hAnsi="Arial" w:cs="Arial"/>
                <w:szCs w:val="22"/>
              </w:rPr>
              <w:t>Vegetative</w:t>
            </w:r>
          </w:p>
        </w:tc>
        <w:tc>
          <w:tcPr>
            <w:tcW w:w="1843" w:type="dxa"/>
            <w:hideMark/>
          </w:tcPr>
          <w:p w14:paraId="53C6DA1F"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2410" w:type="dxa"/>
            <w:hideMark/>
          </w:tcPr>
          <w:p w14:paraId="0EAAC2A3" w14:textId="77777777" w:rsidR="00BF1DD4" w:rsidRPr="00CB4B90" w:rsidRDefault="00BF1DD4" w:rsidP="00955363">
            <w:pPr>
              <w:jc w:val="both"/>
              <w:rPr>
                <w:rFonts w:ascii="Arial" w:hAnsi="Arial" w:cs="Arial"/>
                <w:szCs w:val="22"/>
              </w:rPr>
            </w:pPr>
            <w:r w:rsidRPr="00CB4B90">
              <w:rPr>
                <w:rFonts w:ascii="Arial" w:hAnsi="Arial" w:cs="Arial"/>
                <w:szCs w:val="22"/>
              </w:rPr>
              <w:t>24.2</w:t>
            </w:r>
          </w:p>
        </w:tc>
        <w:tc>
          <w:tcPr>
            <w:tcW w:w="2268" w:type="dxa"/>
            <w:hideMark/>
          </w:tcPr>
          <w:p w14:paraId="47F9A5DB"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0DEBCAA0" w14:textId="77777777" w:rsidTr="00C57E9E">
        <w:tc>
          <w:tcPr>
            <w:tcW w:w="2263" w:type="dxa"/>
            <w:hideMark/>
          </w:tcPr>
          <w:p w14:paraId="2E0E508F" w14:textId="77777777" w:rsidR="00BF1DD4" w:rsidRPr="00CB4B90" w:rsidRDefault="00BF1DD4" w:rsidP="00955363">
            <w:pPr>
              <w:jc w:val="both"/>
              <w:rPr>
                <w:rFonts w:ascii="Arial" w:hAnsi="Arial" w:cs="Arial"/>
                <w:szCs w:val="22"/>
              </w:rPr>
            </w:pPr>
            <w:r w:rsidRPr="00CB4B90">
              <w:rPr>
                <w:rFonts w:ascii="Arial" w:hAnsi="Arial" w:cs="Arial"/>
                <w:szCs w:val="22"/>
              </w:rPr>
              <w:t>Panicle initiation</w:t>
            </w:r>
          </w:p>
        </w:tc>
        <w:tc>
          <w:tcPr>
            <w:tcW w:w="1843" w:type="dxa"/>
            <w:hideMark/>
          </w:tcPr>
          <w:p w14:paraId="76353744" w14:textId="77777777" w:rsidR="00BF1DD4" w:rsidRPr="00CB4B90" w:rsidRDefault="00BF1DD4" w:rsidP="00955363">
            <w:pPr>
              <w:jc w:val="both"/>
              <w:rPr>
                <w:rFonts w:ascii="Arial" w:hAnsi="Arial" w:cs="Arial"/>
                <w:szCs w:val="22"/>
              </w:rPr>
            </w:pPr>
            <w:r w:rsidRPr="00CB4B90">
              <w:rPr>
                <w:rFonts w:ascii="Arial" w:hAnsi="Arial" w:cs="Arial"/>
                <w:szCs w:val="22"/>
              </w:rPr>
              <w:t>81.8</w:t>
            </w:r>
          </w:p>
        </w:tc>
        <w:tc>
          <w:tcPr>
            <w:tcW w:w="2410" w:type="dxa"/>
            <w:hideMark/>
          </w:tcPr>
          <w:p w14:paraId="72962A2E" w14:textId="77777777" w:rsidR="00BF1DD4" w:rsidRPr="00CB4B90" w:rsidRDefault="00BF1DD4" w:rsidP="00955363">
            <w:pPr>
              <w:jc w:val="both"/>
              <w:rPr>
                <w:rFonts w:ascii="Arial" w:hAnsi="Arial" w:cs="Arial"/>
                <w:szCs w:val="22"/>
              </w:rPr>
            </w:pPr>
            <w:r w:rsidRPr="00CB4B90">
              <w:rPr>
                <w:rFonts w:ascii="Arial" w:hAnsi="Arial" w:cs="Arial"/>
                <w:szCs w:val="22"/>
              </w:rPr>
              <w:t>18.2</w:t>
            </w:r>
          </w:p>
        </w:tc>
        <w:tc>
          <w:tcPr>
            <w:tcW w:w="2268" w:type="dxa"/>
            <w:hideMark/>
          </w:tcPr>
          <w:p w14:paraId="05DD17EE"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3DCC1930" w14:textId="77777777" w:rsidTr="00C57E9E">
        <w:tc>
          <w:tcPr>
            <w:tcW w:w="2263" w:type="dxa"/>
            <w:hideMark/>
          </w:tcPr>
          <w:p w14:paraId="29C90257" w14:textId="77777777" w:rsidR="00BF1DD4" w:rsidRPr="00CB4B90" w:rsidRDefault="00BF1DD4" w:rsidP="00955363">
            <w:pPr>
              <w:jc w:val="both"/>
              <w:rPr>
                <w:rFonts w:ascii="Arial" w:hAnsi="Arial" w:cs="Arial"/>
                <w:szCs w:val="22"/>
              </w:rPr>
            </w:pPr>
            <w:r w:rsidRPr="00CB4B90">
              <w:rPr>
                <w:rFonts w:ascii="Arial" w:hAnsi="Arial" w:cs="Arial"/>
                <w:szCs w:val="22"/>
              </w:rPr>
              <w:t>Flowering</w:t>
            </w:r>
          </w:p>
        </w:tc>
        <w:tc>
          <w:tcPr>
            <w:tcW w:w="1843" w:type="dxa"/>
            <w:hideMark/>
          </w:tcPr>
          <w:p w14:paraId="1F6B8F83"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2410" w:type="dxa"/>
            <w:hideMark/>
          </w:tcPr>
          <w:p w14:paraId="7C6D4823" w14:textId="77777777" w:rsidR="00BF1DD4" w:rsidRPr="00CB4B90" w:rsidRDefault="00BF1DD4" w:rsidP="00955363">
            <w:pPr>
              <w:jc w:val="both"/>
              <w:rPr>
                <w:rFonts w:ascii="Arial" w:hAnsi="Arial" w:cs="Arial"/>
                <w:szCs w:val="22"/>
              </w:rPr>
            </w:pPr>
            <w:r w:rsidRPr="00CB4B90">
              <w:rPr>
                <w:rFonts w:ascii="Arial" w:hAnsi="Arial" w:cs="Arial"/>
                <w:szCs w:val="22"/>
              </w:rPr>
              <w:t>15.2</w:t>
            </w:r>
          </w:p>
        </w:tc>
        <w:tc>
          <w:tcPr>
            <w:tcW w:w="2268" w:type="dxa"/>
            <w:hideMark/>
          </w:tcPr>
          <w:p w14:paraId="077565B9"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1D1A45A2" w14:textId="77777777" w:rsidTr="00C57E9E">
        <w:tc>
          <w:tcPr>
            <w:tcW w:w="2263" w:type="dxa"/>
            <w:hideMark/>
          </w:tcPr>
          <w:p w14:paraId="59EF1C01" w14:textId="77777777" w:rsidR="00BF1DD4" w:rsidRPr="00CB4B90" w:rsidRDefault="00BF1DD4" w:rsidP="00955363">
            <w:pPr>
              <w:jc w:val="both"/>
              <w:rPr>
                <w:rFonts w:ascii="Arial" w:hAnsi="Arial" w:cs="Arial"/>
                <w:szCs w:val="22"/>
              </w:rPr>
            </w:pPr>
            <w:r w:rsidRPr="00CB4B90">
              <w:rPr>
                <w:rFonts w:ascii="Arial" w:hAnsi="Arial" w:cs="Arial"/>
                <w:szCs w:val="22"/>
              </w:rPr>
              <w:t>Milking</w:t>
            </w:r>
          </w:p>
        </w:tc>
        <w:tc>
          <w:tcPr>
            <w:tcW w:w="1843" w:type="dxa"/>
            <w:hideMark/>
          </w:tcPr>
          <w:p w14:paraId="45123CD6" w14:textId="77777777" w:rsidR="00BF1DD4" w:rsidRPr="00CB4B90" w:rsidRDefault="00BF1DD4" w:rsidP="00955363">
            <w:pPr>
              <w:jc w:val="both"/>
              <w:rPr>
                <w:rFonts w:ascii="Arial" w:hAnsi="Arial" w:cs="Arial"/>
                <w:szCs w:val="22"/>
              </w:rPr>
            </w:pPr>
            <w:r w:rsidRPr="00CB4B90">
              <w:rPr>
                <w:rFonts w:ascii="Arial" w:hAnsi="Arial" w:cs="Arial"/>
                <w:szCs w:val="22"/>
              </w:rPr>
              <w:t>72.7</w:t>
            </w:r>
          </w:p>
        </w:tc>
        <w:tc>
          <w:tcPr>
            <w:tcW w:w="2410" w:type="dxa"/>
            <w:hideMark/>
          </w:tcPr>
          <w:p w14:paraId="67B4BBDA" w14:textId="77777777" w:rsidR="00BF1DD4" w:rsidRPr="00CB4B90" w:rsidRDefault="00BF1DD4" w:rsidP="00955363">
            <w:pPr>
              <w:jc w:val="both"/>
              <w:rPr>
                <w:rFonts w:ascii="Arial" w:hAnsi="Arial" w:cs="Arial"/>
                <w:szCs w:val="22"/>
              </w:rPr>
            </w:pPr>
            <w:r w:rsidRPr="00CB4B90">
              <w:rPr>
                <w:rFonts w:ascii="Arial" w:hAnsi="Arial" w:cs="Arial"/>
                <w:szCs w:val="22"/>
              </w:rPr>
              <w:t>21.2</w:t>
            </w:r>
          </w:p>
        </w:tc>
        <w:tc>
          <w:tcPr>
            <w:tcW w:w="2268" w:type="dxa"/>
            <w:hideMark/>
          </w:tcPr>
          <w:p w14:paraId="1B97796F"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7E67B83E" w14:textId="77777777" w:rsidTr="00C57E9E">
        <w:tc>
          <w:tcPr>
            <w:tcW w:w="2263" w:type="dxa"/>
            <w:hideMark/>
          </w:tcPr>
          <w:p w14:paraId="13EE1512" w14:textId="77777777" w:rsidR="00BF1DD4" w:rsidRPr="00CB4B90" w:rsidRDefault="00BF1DD4" w:rsidP="00955363">
            <w:pPr>
              <w:jc w:val="both"/>
              <w:rPr>
                <w:rFonts w:ascii="Arial" w:hAnsi="Arial" w:cs="Arial"/>
                <w:szCs w:val="22"/>
              </w:rPr>
            </w:pPr>
            <w:r w:rsidRPr="00CB4B90">
              <w:rPr>
                <w:rFonts w:ascii="Arial" w:hAnsi="Arial" w:cs="Arial"/>
                <w:szCs w:val="22"/>
              </w:rPr>
              <w:t>Dough</w:t>
            </w:r>
          </w:p>
        </w:tc>
        <w:tc>
          <w:tcPr>
            <w:tcW w:w="1843" w:type="dxa"/>
            <w:hideMark/>
          </w:tcPr>
          <w:p w14:paraId="2FAB1660"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2410" w:type="dxa"/>
            <w:hideMark/>
          </w:tcPr>
          <w:p w14:paraId="51863B9D" w14:textId="77777777" w:rsidR="00BF1DD4" w:rsidRPr="00CB4B90" w:rsidRDefault="00BF1DD4" w:rsidP="00955363">
            <w:pPr>
              <w:jc w:val="both"/>
              <w:rPr>
                <w:rFonts w:ascii="Arial" w:hAnsi="Arial" w:cs="Arial"/>
                <w:szCs w:val="22"/>
              </w:rPr>
            </w:pPr>
            <w:r w:rsidRPr="00CB4B90">
              <w:rPr>
                <w:rFonts w:ascii="Arial" w:hAnsi="Arial" w:cs="Arial"/>
                <w:szCs w:val="22"/>
              </w:rPr>
              <w:t>15.2</w:t>
            </w:r>
          </w:p>
        </w:tc>
        <w:tc>
          <w:tcPr>
            <w:tcW w:w="2268" w:type="dxa"/>
            <w:hideMark/>
          </w:tcPr>
          <w:p w14:paraId="25A9CE9A"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1393FC63" w14:textId="77777777" w:rsidTr="00C57E9E">
        <w:tc>
          <w:tcPr>
            <w:tcW w:w="2263" w:type="dxa"/>
            <w:hideMark/>
          </w:tcPr>
          <w:p w14:paraId="6C141B9B" w14:textId="77777777" w:rsidR="00BF1DD4" w:rsidRPr="00CB4B90" w:rsidRDefault="00BF1DD4" w:rsidP="00955363">
            <w:pPr>
              <w:jc w:val="both"/>
              <w:rPr>
                <w:rFonts w:ascii="Arial" w:hAnsi="Arial" w:cs="Arial"/>
                <w:szCs w:val="22"/>
              </w:rPr>
            </w:pPr>
            <w:r w:rsidRPr="00CB4B90">
              <w:rPr>
                <w:rFonts w:ascii="Arial" w:hAnsi="Arial" w:cs="Arial"/>
                <w:szCs w:val="22"/>
              </w:rPr>
              <w:t>Maturity</w:t>
            </w:r>
          </w:p>
        </w:tc>
        <w:tc>
          <w:tcPr>
            <w:tcW w:w="1843" w:type="dxa"/>
            <w:hideMark/>
          </w:tcPr>
          <w:p w14:paraId="5A73F787" w14:textId="77777777" w:rsidR="00BF1DD4" w:rsidRPr="00CB4B90" w:rsidRDefault="00BF1DD4" w:rsidP="00955363">
            <w:pPr>
              <w:jc w:val="both"/>
              <w:rPr>
                <w:rFonts w:ascii="Arial" w:hAnsi="Arial" w:cs="Arial"/>
                <w:szCs w:val="22"/>
              </w:rPr>
            </w:pPr>
            <w:r w:rsidRPr="00CB4B90">
              <w:rPr>
                <w:rFonts w:ascii="Arial" w:hAnsi="Arial" w:cs="Arial"/>
                <w:szCs w:val="22"/>
              </w:rPr>
              <w:t>90.9</w:t>
            </w:r>
          </w:p>
        </w:tc>
        <w:tc>
          <w:tcPr>
            <w:tcW w:w="2410" w:type="dxa"/>
            <w:hideMark/>
          </w:tcPr>
          <w:p w14:paraId="2DEBD760"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2268" w:type="dxa"/>
            <w:hideMark/>
          </w:tcPr>
          <w:p w14:paraId="4BB255D7"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588E8542" w14:textId="77777777" w:rsidTr="00C57E9E">
        <w:tc>
          <w:tcPr>
            <w:tcW w:w="2263" w:type="dxa"/>
            <w:hideMark/>
          </w:tcPr>
          <w:p w14:paraId="2F462F4B" w14:textId="77777777" w:rsidR="00BF1DD4" w:rsidRPr="00CB4B90" w:rsidRDefault="00BF1DD4" w:rsidP="00955363">
            <w:pPr>
              <w:jc w:val="both"/>
              <w:rPr>
                <w:rFonts w:ascii="Arial" w:hAnsi="Arial" w:cs="Arial"/>
                <w:szCs w:val="22"/>
              </w:rPr>
            </w:pPr>
            <w:r w:rsidRPr="00CB4B90">
              <w:rPr>
                <w:rFonts w:ascii="Arial" w:hAnsi="Arial" w:cs="Arial"/>
                <w:szCs w:val="22"/>
              </w:rPr>
              <w:t>Harvesting</w:t>
            </w:r>
          </w:p>
        </w:tc>
        <w:tc>
          <w:tcPr>
            <w:tcW w:w="1843" w:type="dxa"/>
            <w:hideMark/>
          </w:tcPr>
          <w:p w14:paraId="3291151B"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2410" w:type="dxa"/>
            <w:hideMark/>
          </w:tcPr>
          <w:p w14:paraId="02E383E1" w14:textId="77777777" w:rsidR="00BF1DD4" w:rsidRPr="00CB4B90" w:rsidRDefault="00BF1DD4" w:rsidP="00955363">
            <w:pPr>
              <w:jc w:val="both"/>
              <w:rPr>
                <w:rFonts w:ascii="Arial" w:hAnsi="Arial" w:cs="Arial"/>
                <w:szCs w:val="22"/>
              </w:rPr>
            </w:pPr>
            <w:r w:rsidRPr="00CB4B90">
              <w:rPr>
                <w:rFonts w:ascii="Arial" w:hAnsi="Arial" w:cs="Arial"/>
                <w:szCs w:val="22"/>
              </w:rPr>
              <w:t>24.2</w:t>
            </w:r>
          </w:p>
        </w:tc>
        <w:tc>
          <w:tcPr>
            <w:tcW w:w="2268" w:type="dxa"/>
            <w:hideMark/>
          </w:tcPr>
          <w:p w14:paraId="6D4704C2"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bl>
    <w:p w14:paraId="6E9B0C6A" w14:textId="77777777" w:rsidR="00C95667" w:rsidRPr="00CB4B90" w:rsidRDefault="00455758" w:rsidP="00C57E9E">
      <w:pPr>
        <w:pStyle w:val="NormalWeb"/>
        <w:jc w:val="both"/>
        <w:rPr>
          <w:rFonts w:ascii="Arial" w:hAnsi="Arial" w:cs="Arial"/>
          <w:sz w:val="22"/>
          <w:szCs w:val="22"/>
        </w:rPr>
      </w:pPr>
      <w:r w:rsidRPr="00CB4B90">
        <w:rPr>
          <w:rFonts w:ascii="Arial" w:hAnsi="Arial" w:cs="Arial"/>
          <w:sz w:val="22"/>
          <w:szCs w:val="22"/>
        </w:rPr>
        <w:t>Table 3 shows the stage-wise distribution of satisfied, partially satisfied, and not satisfied farmers receiving agrometeorological advisories.</w:t>
      </w:r>
      <w:r w:rsidRPr="00CB4B90">
        <w:rPr>
          <w:rFonts w:ascii="Arial" w:hAnsi="Arial" w:cs="Arial"/>
          <w:b/>
          <w:bCs/>
          <w:sz w:val="22"/>
          <w:szCs w:val="22"/>
        </w:rPr>
        <w:t xml:space="preserve"> </w:t>
      </w:r>
      <w:r w:rsidRPr="00CB4B90">
        <w:rPr>
          <w:rFonts w:ascii="Arial" w:hAnsi="Arial" w:cs="Arial"/>
          <w:sz w:val="22"/>
          <w:szCs w:val="22"/>
        </w:rPr>
        <w:t>Figure 3 confirms consistently high satisfaction, particularly during critical crop growth stages.</w:t>
      </w:r>
      <w:r w:rsidR="00C95667" w:rsidRPr="00CB4B90">
        <w:rPr>
          <w:rFonts w:ascii="Arial" w:hAnsi="Arial" w:cs="Arial"/>
          <w:sz w:val="22"/>
          <w:szCs w:val="22"/>
        </w:rPr>
        <w:t xml:space="preserve"> It highlights </w:t>
      </w:r>
      <w:r w:rsidR="00C95667" w:rsidRPr="00CB4B90">
        <w:rPr>
          <w:rStyle w:val="Strong"/>
          <w:rFonts w:ascii="Arial" w:hAnsi="Arial" w:cs="Arial"/>
          <w:b w:val="0"/>
          <w:bCs w:val="0"/>
          <w:sz w:val="22"/>
          <w:szCs w:val="22"/>
        </w:rPr>
        <w:t>very high satisfaction at tillering and maturity</w:t>
      </w:r>
      <w:r w:rsidR="00C95667" w:rsidRPr="00CB4B90">
        <w:rPr>
          <w:rFonts w:ascii="Arial" w:hAnsi="Arial" w:cs="Arial"/>
          <w:sz w:val="22"/>
          <w:szCs w:val="22"/>
        </w:rPr>
        <w:t>, validating advisory credibility during critical stages.</w:t>
      </w:r>
    </w:p>
    <w:p w14:paraId="4D383DBC" w14:textId="77777777" w:rsidR="00BF1DD4" w:rsidRPr="00CB4B90" w:rsidRDefault="00BF1DD4"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hAnsi="Arial" w:cs="Arial"/>
          <w:noProof/>
          <w:szCs w:val="22"/>
          <w:lang w:eastAsia="en-IN"/>
        </w:rPr>
        <w:drawing>
          <wp:inline distT="0" distB="0" distL="0" distR="0" wp14:anchorId="33117175" wp14:editId="3F3A68C0">
            <wp:extent cx="5730875" cy="26289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931" cy="2630302"/>
                    </a:xfrm>
                    <a:prstGeom prst="rect">
                      <a:avLst/>
                    </a:prstGeom>
                    <a:noFill/>
                  </pic:spPr>
                </pic:pic>
              </a:graphicData>
            </a:graphic>
          </wp:inline>
        </w:drawing>
      </w:r>
    </w:p>
    <w:p w14:paraId="01A53FA0" w14:textId="77777777" w:rsidR="00455758" w:rsidRPr="00CB4B90" w:rsidRDefault="00BF1DD4" w:rsidP="00455758">
      <w:pPr>
        <w:pStyle w:val="NormalWeb"/>
        <w:jc w:val="both"/>
        <w:rPr>
          <w:rFonts w:ascii="Arial" w:hAnsi="Arial" w:cs="Arial"/>
          <w:sz w:val="22"/>
          <w:szCs w:val="22"/>
        </w:rPr>
      </w:pPr>
      <w:r w:rsidRPr="00CB4B90">
        <w:rPr>
          <w:rFonts w:ascii="Arial" w:hAnsi="Arial" w:cs="Arial"/>
          <w:sz w:val="22"/>
          <w:szCs w:val="22"/>
        </w:rPr>
        <w:t xml:space="preserve">Figure 3. </w:t>
      </w:r>
      <w:r w:rsidR="00455758" w:rsidRPr="00CB4B90">
        <w:rPr>
          <w:rFonts w:ascii="Arial" w:hAnsi="Arial" w:cs="Arial"/>
          <w:sz w:val="22"/>
          <w:szCs w:val="22"/>
        </w:rPr>
        <w:t>Stage-wise satisfaction levels of rice farmers receiving agrometeorological advisories.</w:t>
      </w:r>
    </w:p>
    <w:p w14:paraId="3B8686F0"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3.4 Chi-Square Analysis</w:t>
      </w:r>
    </w:p>
    <w:p w14:paraId="32F3664D" w14:textId="77777777" w:rsidR="00C95667" w:rsidRPr="00CB4B90" w:rsidRDefault="00435ECD" w:rsidP="00D82C79">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The results of Pearson’s Chi-square test are presented in Table 4.</w:t>
      </w:r>
      <w:r w:rsidR="00C57E9E"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A statistically significant association (p &lt; 0.01</w:t>
      </w:r>
      <w:r w:rsidR="00C95667" w:rsidRPr="00CB4B90">
        <w:rPr>
          <w:rFonts w:ascii="Arial" w:eastAsia="Times New Roman" w:hAnsi="Arial" w:cs="Arial"/>
          <w:szCs w:val="22"/>
          <w:lang w:eastAsia="en-IN"/>
        </w:rPr>
        <w:t>) was observed between c</w:t>
      </w:r>
      <w:r w:rsidRPr="00CB4B90">
        <w:rPr>
          <w:rFonts w:ascii="Arial" w:eastAsia="Times New Roman" w:hAnsi="Arial" w:cs="Arial"/>
          <w:szCs w:val="22"/>
          <w:lang w:eastAsia="en-IN"/>
        </w:rPr>
        <w:t>rop growth stage and advisory relevance</w:t>
      </w:r>
      <w:r w:rsidR="00C95667" w:rsidRPr="00CB4B90">
        <w:rPr>
          <w:rFonts w:ascii="Arial" w:eastAsia="Times New Roman" w:hAnsi="Arial" w:cs="Arial"/>
          <w:szCs w:val="22"/>
          <w:lang w:eastAsia="en-IN"/>
        </w:rPr>
        <w:t xml:space="preserve"> and c</w:t>
      </w:r>
      <w:r w:rsidRPr="00CB4B90">
        <w:rPr>
          <w:rFonts w:ascii="Arial" w:eastAsia="Times New Roman" w:hAnsi="Arial" w:cs="Arial"/>
          <w:szCs w:val="22"/>
          <w:lang w:eastAsia="en-IN"/>
        </w:rPr>
        <w:t>rop growth stage and farmer satisfaction</w:t>
      </w:r>
      <w:r w:rsidR="00C95667"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This confirms that farmer responses are not independent of crop stages and vary significantly across the crop growth cycle.</w:t>
      </w:r>
      <w:r w:rsidR="00C95667" w:rsidRPr="00CB4B90">
        <w:rPr>
          <w:rFonts w:ascii="Arial" w:eastAsia="Times New Roman" w:hAnsi="Arial" w:cs="Arial"/>
          <w:szCs w:val="22"/>
          <w:lang w:eastAsia="en-IN"/>
        </w:rPr>
        <w:t xml:space="preserve"> The results of Pearson’s chi-square test examining the association between crop growth stages and advisory relevance and satisfaction levels.</w:t>
      </w:r>
    </w:p>
    <w:p w14:paraId="3EA8775B" w14:textId="77777777" w:rsidR="00BF1DD4" w:rsidRPr="00CB4B90" w:rsidRDefault="00BF1DD4" w:rsidP="00BF1DD4">
      <w:pPr>
        <w:pStyle w:val="Heading1"/>
        <w:jc w:val="both"/>
        <w:rPr>
          <w:rFonts w:ascii="Arial" w:hAnsi="Arial" w:cs="Arial"/>
          <w:sz w:val="22"/>
          <w:szCs w:val="22"/>
        </w:rPr>
      </w:pPr>
      <w:r w:rsidRPr="00CB4B90">
        <w:rPr>
          <w:rStyle w:val="Strong"/>
          <w:rFonts w:ascii="Arial" w:hAnsi="Arial" w:cs="Arial"/>
          <w:sz w:val="22"/>
          <w:szCs w:val="22"/>
        </w:rPr>
        <w:t>Table 4. Chi-Square Test Results for Association between Crop Stage and Farmer Responses</w:t>
      </w:r>
    </w:p>
    <w:tbl>
      <w:tblPr>
        <w:tblStyle w:val="TableGrid"/>
        <w:tblW w:w="0" w:type="auto"/>
        <w:tblLook w:val="04A0" w:firstRow="1" w:lastRow="0" w:firstColumn="1" w:lastColumn="0" w:noHBand="0" w:noVBand="1"/>
      </w:tblPr>
      <w:tblGrid>
        <w:gridCol w:w="828"/>
        <w:gridCol w:w="3402"/>
        <w:gridCol w:w="1700"/>
        <w:gridCol w:w="1109"/>
        <w:gridCol w:w="1810"/>
      </w:tblGrid>
      <w:tr w:rsidR="00BF1DD4" w:rsidRPr="00CB4B90" w14:paraId="1BCEB0FE" w14:textId="77777777" w:rsidTr="00C57E9E">
        <w:tc>
          <w:tcPr>
            <w:tcW w:w="0" w:type="auto"/>
            <w:hideMark/>
          </w:tcPr>
          <w:p w14:paraId="5FF7C0AA" w14:textId="77777777" w:rsidR="00BF1DD4" w:rsidRPr="00CB4B90" w:rsidRDefault="00BF1DD4" w:rsidP="00955363">
            <w:pPr>
              <w:jc w:val="both"/>
              <w:rPr>
                <w:rFonts w:ascii="Arial" w:hAnsi="Arial" w:cs="Arial"/>
                <w:b/>
                <w:bCs/>
                <w:szCs w:val="22"/>
              </w:rPr>
            </w:pPr>
            <w:r w:rsidRPr="00CB4B90">
              <w:rPr>
                <w:rFonts w:ascii="Arial" w:hAnsi="Arial" w:cs="Arial"/>
                <w:b/>
                <w:bCs/>
                <w:szCs w:val="22"/>
              </w:rPr>
              <w:lastRenderedPageBreak/>
              <w:t>Test</w:t>
            </w:r>
          </w:p>
        </w:tc>
        <w:tc>
          <w:tcPr>
            <w:tcW w:w="0" w:type="auto"/>
            <w:hideMark/>
          </w:tcPr>
          <w:p w14:paraId="3EA71519" w14:textId="77777777" w:rsidR="00BF1DD4" w:rsidRPr="00CB4B90" w:rsidRDefault="00BF1DD4" w:rsidP="00955363">
            <w:pPr>
              <w:jc w:val="both"/>
              <w:rPr>
                <w:rFonts w:ascii="Arial" w:hAnsi="Arial" w:cs="Arial"/>
                <w:b/>
                <w:bCs/>
                <w:szCs w:val="22"/>
              </w:rPr>
            </w:pPr>
            <w:r w:rsidRPr="00CB4B90">
              <w:rPr>
                <w:rFonts w:ascii="Arial" w:hAnsi="Arial" w:cs="Arial"/>
                <w:b/>
                <w:bCs/>
                <w:szCs w:val="22"/>
              </w:rPr>
              <w:t>Variables tested</w:t>
            </w:r>
          </w:p>
        </w:tc>
        <w:tc>
          <w:tcPr>
            <w:tcW w:w="0" w:type="auto"/>
            <w:hideMark/>
          </w:tcPr>
          <w:p w14:paraId="2AE123AB" w14:textId="77777777" w:rsidR="00BF1DD4" w:rsidRPr="00CB4B90" w:rsidRDefault="00BF1DD4" w:rsidP="00955363">
            <w:pPr>
              <w:jc w:val="both"/>
              <w:rPr>
                <w:rFonts w:ascii="Arial" w:hAnsi="Arial" w:cs="Arial"/>
                <w:b/>
                <w:bCs/>
                <w:szCs w:val="22"/>
              </w:rPr>
            </w:pPr>
            <w:r w:rsidRPr="00CB4B90">
              <w:rPr>
                <w:rFonts w:ascii="Arial" w:hAnsi="Arial" w:cs="Arial"/>
                <w:b/>
                <w:bCs/>
                <w:szCs w:val="22"/>
              </w:rPr>
              <w:t>χ² (calculated)</w:t>
            </w:r>
          </w:p>
        </w:tc>
        <w:tc>
          <w:tcPr>
            <w:tcW w:w="0" w:type="auto"/>
            <w:hideMark/>
          </w:tcPr>
          <w:p w14:paraId="1A222AD2" w14:textId="77777777" w:rsidR="00BF1DD4" w:rsidRPr="00CB4B90" w:rsidRDefault="00BF1DD4" w:rsidP="00955363">
            <w:pPr>
              <w:jc w:val="both"/>
              <w:rPr>
                <w:rFonts w:ascii="Arial" w:hAnsi="Arial" w:cs="Arial"/>
                <w:b/>
                <w:bCs/>
                <w:szCs w:val="22"/>
              </w:rPr>
            </w:pPr>
            <w:r w:rsidRPr="00CB4B90">
              <w:rPr>
                <w:rFonts w:ascii="Arial" w:hAnsi="Arial" w:cs="Arial"/>
                <w:b/>
                <w:bCs/>
                <w:szCs w:val="22"/>
              </w:rPr>
              <w:t>df</w:t>
            </w:r>
          </w:p>
        </w:tc>
        <w:tc>
          <w:tcPr>
            <w:tcW w:w="1810" w:type="dxa"/>
            <w:hideMark/>
          </w:tcPr>
          <w:p w14:paraId="2BD169A5" w14:textId="77777777" w:rsidR="00BF1DD4" w:rsidRPr="00CB4B90" w:rsidRDefault="00BF1DD4" w:rsidP="00955363">
            <w:pPr>
              <w:jc w:val="both"/>
              <w:rPr>
                <w:rFonts w:ascii="Arial" w:hAnsi="Arial" w:cs="Arial"/>
                <w:b/>
                <w:bCs/>
                <w:szCs w:val="22"/>
              </w:rPr>
            </w:pPr>
            <w:r w:rsidRPr="00CB4B90">
              <w:rPr>
                <w:rFonts w:ascii="Arial" w:hAnsi="Arial" w:cs="Arial"/>
                <w:b/>
                <w:bCs/>
                <w:szCs w:val="22"/>
              </w:rPr>
              <w:t>Significance</w:t>
            </w:r>
          </w:p>
        </w:tc>
      </w:tr>
      <w:tr w:rsidR="00BF1DD4" w:rsidRPr="00CB4B90" w14:paraId="389F83B7" w14:textId="77777777" w:rsidTr="00C57E9E">
        <w:tc>
          <w:tcPr>
            <w:tcW w:w="0" w:type="auto"/>
            <w:hideMark/>
          </w:tcPr>
          <w:p w14:paraId="6368AFC7" w14:textId="77777777" w:rsidR="00BF1DD4" w:rsidRPr="00CB4B90" w:rsidRDefault="00BF1DD4" w:rsidP="00955363">
            <w:pPr>
              <w:jc w:val="both"/>
              <w:rPr>
                <w:rFonts w:ascii="Arial" w:hAnsi="Arial" w:cs="Arial"/>
                <w:szCs w:val="22"/>
              </w:rPr>
            </w:pPr>
            <w:r w:rsidRPr="00CB4B90">
              <w:rPr>
                <w:rFonts w:ascii="Arial" w:hAnsi="Arial" w:cs="Arial"/>
                <w:szCs w:val="22"/>
              </w:rPr>
              <w:t>Test 1</w:t>
            </w:r>
          </w:p>
        </w:tc>
        <w:tc>
          <w:tcPr>
            <w:tcW w:w="0" w:type="auto"/>
            <w:hideMark/>
          </w:tcPr>
          <w:p w14:paraId="422C4547" w14:textId="77777777" w:rsidR="00BF1DD4" w:rsidRPr="00CB4B90" w:rsidRDefault="00BF1DD4" w:rsidP="00955363">
            <w:pPr>
              <w:jc w:val="both"/>
              <w:rPr>
                <w:rFonts w:ascii="Arial" w:hAnsi="Arial" w:cs="Arial"/>
                <w:szCs w:val="22"/>
              </w:rPr>
            </w:pPr>
            <w:r w:rsidRPr="00CB4B90">
              <w:rPr>
                <w:rFonts w:ascii="Arial" w:hAnsi="Arial" w:cs="Arial"/>
                <w:szCs w:val="22"/>
              </w:rPr>
              <w:t>Crop stage × Advisory relevance</w:t>
            </w:r>
          </w:p>
        </w:tc>
        <w:tc>
          <w:tcPr>
            <w:tcW w:w="0" w:type="auto"/>
            <w:hideMark/>
          </w:tcPr>
          <w:p w14:paraId="376A826B" w14:textId="77777777" w:rsidR="00BF1DD4" w:rsidRPr="00CB4B90" w:rsidRDefault="00BF1DD4" w:rsidP="00955363">
            <w:pPr>
              <w:jc w:val="both"/>
              <w:rPr>
                <w:rFonts w:ascii="Arial" w:hAnsi="Arial" w:cs="Arial"/>
                <w:szCs w:val="22"/>
              </w:rPr>
            </w:pPr>
            <w:r w:rsidRPr="00CB4B90">
              <w:rPr>
                <w:rFonts w:ascii="Arial" w:hAnsi="Arial" w:cs="Arial"/>
                <w:szCs w:val="22"/>
              </w:rPr>
              <w:t>Significant</w:t>
            </w:r>
          </w:p>
        </w:tc>
        <w:tc>
          <w:tcPr>
            <w:tcW w:w="0" w:type="auto"/>
            <w:hideMark/>
          </w:tcPr>
          <w:p w14:paraId="0C1A239B" w14:textId="77777777" w:rsidR="00BF1DD4" w:rsidRPr="00CB4B90" w:rsidRDefault="00BF1DD4" w:rsidP="00955363">
            <w:pPr>
              <w:jc w:val="both"/>
              <w:rPr>
                <w:rFonts w:ascii="Arial" w:hAnsi="Arial" w:cs="Arial"/>
                <w:szCs w:val="22"/>
              </w:rPr>
            </w:pPr>
            <w:r w:rsidRPr="00CB4B90">
              <w:rPr>
                <w:rFonts w:ascii="Arial" w:hAnsi="Arial" w:cs="Arial"/>
                <w:szCs w:val="22"/>
              </w:rPr>
              <w:t>(9×1)=9</w:t>
            </w:r>
          </w:p>
        </w:tc>
        <w:tc>
          <w:tcPr>
            <w:tcW w:w="1810" w:type="dxa"/>
            <w:hideMark/>
          </w:tcPr>
          <w:p w14:paraId="61D4B7E4" w14:textId="77777777" w:rsidR="00BF1DD4" w:rsidRPr="00CB4B90" w:rsidRDefault="00BF1DD4" w:rsidP="00955363">
            <w:pPr>
              <w:jc w:val="both"/>
              <w:rPr>
                <w:rFonts w:ascii="Arial" w:hAnsi="Arial" w:cs="Arial"/>
                <w:szCs w:val="22"/>
              </w:rPr>
            </w:pPr>
            <w:r w:rsidRPr="00CB4B90">
              <w:rPr>
                <w:rFonts w:ascii="Arial" w:hAnsi="Arial" w:cs="Arial"/>
                <w:szCs w:val="22"/>
              </w:rPr>
              <w:t>p &lt; 0.01</w:t>
            </w:r>
          </w:p>
        </w:tc>
      </w:tr>
      <w:tr w:rsidR="00BF1DD4" w:rsidRPr="00CB4B90" w14:paraId="595BD828" w14:textId="77777777" w:rsidTr="00C57E9E">
        <w:tc>
          <w:tcPr>
            <w:tcW w:w="0" w:type="auto"/>
            <w:hideMark/>
          </w:tcPr>
          <w:p w14:paraId="5A8CCDCF" w14:textId="77777777" w:rsidR="00BF1DD4" w:rsidRPr="00CB4B90" w:rsidRDefault="00BF1DD4" w:rsidP="00955363">
            <w:pPr>
              <w:jc w:val="both"/>
              <w:rPr>
                <w:rFonts w:ascii="Arial" w:hAnsi="Arial" w:cs="Arial"/>
                <w:szCs w:val="22"/>
              </w:rPr>
            </w:pPr>
            <w:r w:rsidRPr="00CB4B90">
              <w:rPr>
                <w:rFonts w:ascii="Arial" w:hAnsi="Arial" w:cs="Arial"/>
                <w:szCs w:val="22"/>
              </w:rPr>
              <w:t>Test 2</w:t>
            </w:r>
          </w:p>
        </w:tc>
        <w:tc>
          <w:tcPr>
            <w:tcW w:w="0" w:type="auto"/>
            <w:hideMark/>
          </w:tcPr>
          <w:p w14:paraId="66C05F3B" w14:textId="77777777" w:rsidR="00BF1DD4" w:rsidRPr="00CB4B90" w:rsidRDefault="00BF1DD4" w:rsidP="00955363">
            <w:pPr>
              <w:jc w:val="both"/>
              <w:rPr>
                <w:rFonts w:ascii="Arial" w:hAnsi="Arial" w:cs="Arial"/>
                <w:szCs w:val="22"/>
              </w:rPr>
            </w:pPr>
            <w:r w:rsidRPr="00CB4B90">
              <w:rPr>
                <w:rFonts w:ascii="Arial" w:hAnsi="Arial" w:cs="Arial"/>
                <w:szCs w:val="22"/>
              </w:rPr>
              <w:t>Crop stage × Satisfaction level</w:t>
            </w:r>
          </w:p>
        </w:tc>
        <w:tc>
          <w:tcPr>
            <w:tcW w:w="0" w:type="auto"/>
            <w:hideMark/>
          </w:tcPr>
          <w:p w14:paraId="7D123CE3" w14:textId="77777777" w:rsidR="00BF1DD4" w:rsidRPr="00CB4B90" w:rsidRDefault="00BF1DD4" w:rsidP="00955363">
            <w:pPr>
              <w:jc w:val="both"/>
              <w:rPr>
                <w:rFonts w:ascii="Arial" w:hAnsi="Arial" w:cs="Arial"/>
                <w:szCs w:val="22"/>
              </w:rPr>
            </w:pPr>
            <w:r w:rsidRPr="00CB4B90">
              <w:rPr>
                <w:rFonts w:ascii="Arial" w:hAnsi="Arial" w:cs="Arial"/>
                <w:szCs w:val="22"/>
              </w:rPr>
              <w:t>Significant</w:t>
            </w:r>
          </w:p>
        </w:tc>
        <w:tc>
          <w:tcPr>
            <w:tcW w:w="0" w:type="auto"/>
            <w:hideMark/>
          </w:tcPr>
          <w:p w14:paraId="3FB6C43B" w14:textId="77777777" w:rsidR="00BF1DD4" w:rsidRPr="00CB4B90" w:rsidRDefault="00BF1DD4" w:rsidP="00955363">
            <w:pPr>
              <w:jc w:val="both"/>
              <w:rPr>
                <w:rFonts w:ascii="Arial" w:hAnsi="Arial" w:cs="Arial"/>
                <w:szCs w:val="22"/>
              </w:rPr>
            </w:pPr>
            <w:r w:rsidRPr="00CB4B90">
              <w:rPr>
                <w:rFonts w:ascii="Arial" w:hAnsi="Arial" w:cs="Arial"/>
                <w:szCs w:val="22"/>
              </w:rPr>
              <w:t>(9×2)=18</w:t>
            </w:r>
          </w:p>
        </w:tc>
        <w:tc>
          <w:tcPr>
            <w:tcW w:w="1810" w:type="dxa"/>
            <w:hideMark/>
          </w:tcPr>
          <w:p w14:paraId="6192D756" w14:textId="77777777" w:rsidR="00BF1DD4" w:rsidRPr="00CB4B90" w:rsidRDefault="00BF1DD4" w:rsidP="00955363">
            <w:pPr>
              <w:jc w:val="both"/>
              <w:rPr>
                <w:rFonts w:ascii="Arial" w:hAnsi="Arial" w:cs="Arial"/>
                <w:szCs w:val="22"/>
              </w:rPr>
            </w:pPr>
            <w:r w:rsidRPr="00CB4B90">
              <w:rPr>
                <w:rFonts w:ascii="Arial" w:hAnsi="Arial" w:cs="Arial"/>
                <w:szCs w:val="22"/>
              </w:rPr>
              <w:t>p &lt; 0.01</w:t>
            </w:r>
          </w:p>
        </w:tc>
      </w:tr>
    </w:tbl>
    <w:p w14:paraId="33804F2C"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Advisory Effectiveness Index (AEI)</w:t>
      </w:r>
    </w:p>
    <w:p w14:paraId="5C6A2040" w14:textId="77777777" w:rsidR="006B3068" w:rsidRPr="00CB4B90" w:rsidRDefault="00B30468" w:rsidP="006B3068">
      <w:pPr>
        <w:pStyle w:val="NormalWeb"/>
        <w:jc w:val="both"/>
        <w:rPr>
          <w:rFonts w:ascii="Arial" w:hAnsi="Arial" w:cs="Arial"/>
          <w:sz w:val="22"/>
          <w:szCs w:val="22"/>
        </w:rPr>
      </w:pPr>
      <w:r w:rsidRPr="00CB4B90">
        <w:rPr>
          <w:rFonts w:ascii="Arial" w:hAnsi="Arial" w:cs="Arial"/>
          <w:sz w:val="22"/>
          <w:szCs w:val="22"/>
        </w:rPr>
        <w:t xml:space="preserve">The increased influence of unfavourable weather during maturity and harvesting stages reflects the limitations of advisory services under extreme climatic events, a concern widely discussed in climate service literature (Sivakumar &amp; Stefanski, 2011; WMO, 2018). </w:t>
      </w:r>
      <w:r w:rsidR="006B3068" w:rsidRPr="00CB4B90">
        <w:rPr>
          <w:rFonts w:ascii="Arial" w:hAnsi="Arial" w:cs="Arial"/>
          <w:sz w:val="22"/>
          <w:szCs w:val="22"/>
        </w:rPr>
        <w:t xml:space="preserve">Strengthening early warning systems and contingency planning can therefore enhance the utility of advisories during terminal crop stages. The composite Advisory Effectiveness Index (AEI) is presented in Table 5. AEI values ranged from 0.67 to 0.89, with maximum effectiveness during tillering (0.89) and panicle initiation (0.86). The lower AEI during transplanting and maturity stages reflects operational and climatic constraints. </w:t>
      </w:r>
    </w:p>
    <w:p w14:paraId="6E642C36" w14:textId="77777777" w:rsidR="006B3068" w:rsidRPr="00CB4B90" w:rsidRDefault="006B3068" w:rsidP="006B3068">
      <w:pPr>
        <w:pStyle w:val="NormalWeb"/>
        <w:jc w:val="both"/>
        <w:rPr>
          <w:rFonts w:ascii="Arial" w:hAnsi="Arial" w:cs="Arial"/>
          <w:sz w:val="22"/>
          <w:szCs w:val="22"/>
        </w:rPr>
      </w:pPr>
      <w:r w:rsidRPr="00CB4B90">
        <w:rPr>
          <w:rStyle w:val="Strong"/>
          <w:rFonts w:ascii="Arial" w:hAnsi="Arial" w:cs="Arial"/>
          <w:sz w:val="22"/>
          <w:szCs w:val="22"/>
        </w:rPr>
        <w:t xml:space="preserve"> Table 5. Stage-wise Advisory Effectiveness Index (AEI)</w:t>
      </w:r>
    </w:p>
    <w:tbl>
      <w:tblPr>
        <w:tblStyle w:val="TableGrid"/>
        <w:tblW w:w="0" w:type="auto"/>
        <w:tblInd w:w="-5" w:type="dxa"/>
        <w:tblLook w:val="04A0" w:firstRow="1" w:lastRow="0" w:firstColumn="1" w:lastColumn="0" w:noHBand="0" w:noVBand="1"/>
      </w:tblPr>
      <w:tblGrid>
        <w:gridCol w:w="2117"/>
        <w:gridCol w:w="1917"/>
        <w:gridCol w:w="1941"/>
        <w:gridCol w:w="2099"/>
        <w:gridCol w:w="645"/>
      </w:tblGrid>
      <w:tr w:rsidR="006B3068" w:rsidRPr="00CB4B90" w14:paraId="01C8FB48" w14:textId="77777777" w:rsidTr="00C57E9E">
        <w:tc>
          <w:tcPr>
            <w:tcW w:w="2117" w:type="dxa"/>
            <w:hideMark/>
          </w:tcPr>
          <w:p w14:paraId="14010237" w14:textId="77777777" w:rsidR="006B3068" w:rsidRPr="00CB4B90" w:rsidRDefault="006B3068" w:rsidP="00A37BA1">
            <w:pPr>
              <w:jc w:val="both"/>
              <w:rPr>
                <w:rFonts w:ascii="Arial" w:hAnsi="Arial" w:cs="Arial"/>
                <w:b/>
                <w:bCs/>
                <w:szCs w:val="22"/>
              </w:rPr>
            </w:pPr>
            <w:r w:rsidRPr="00CB4B90">
              <w:rPr>
                <w:rFonts w:ascii="Arial" w:hAnsi="Arial" w:cs="Arial"/>
                <w:b/>
                <w:bCs/>
                <w:szCs w:val="22"/>
              </w:rPr>
              <w:t>Crop stage</w:t>
            </w:r>
          </w:p>
        </w:tc>
        <w:tc>
          <w:tcPr>
            <w:tcW w:w="1917" w:type="dxa"/>
            <w:hideMark/>
          </w:tcPr>
          <w:p w14:paraId="05BEAF5B" w14:textId="77777777" w:rsidR="006B3068" w:rsidRPr="00CB4B90" w:rsidRDefault="006B3068" w:rsidP="00A37BA1">
            <w:pPr>
              <w:jc w:val="both"/>
              <w:rPr>
                <w:rFonts w:ascii="Arial" w:hAnsi="Arial" w:cs="Arial"/>
                <w:b/>
                <w:bCs/>
                <w:szCs w:val="22"/>
              </w:rPr>
            </w:pPr>
            <w:r w:rsidRPr="00CB4B90">
              <w:rPr>
                <w:rFonts w:ascii="Arial" w:hAnsi="Arial" w:cs="Arial"/>
                <w:b/>
                <w:bCs/>
                <w:szCs w:val="22"/>
              </w:rPr>
              <w:t>Adoption index</w:t>
            </w:r>
          </w:p>
        </w:tc>
        <w:tc>
          <w:tcPr>
            <w:tcW w:w="0" w:type="auto"/>
            <w:hideMark/>
          </w:tcPr>
          <w:p w14:paraId="7F59F272" w14:textId="77777777" w:rsidR="006B3068" w:rsidRPr="00CB4B90" w:rsidRDefault="006B3068" w:rsidP="00A37BA1">
            <w:pPr>
              <w:jc w:val="both"/>
              <w:rPr>
                <w:rFonts w:ascii="Arial" w:hAnsi="Arial" w:cs="Arial"/>
                <w:b/>
                <w:bCs/>
                <w:szCs w:val="22"/>
              </w:rPr>
            </w:pPr>
            <w:r w:rsidRPr="00CB4B90">
              <w:rPr>
                <w:rFonts w:ascii="Arial" w:hAnsi="Arial" w:cs="Arial"/>
                <w:b/>
                <w:bCs/>
                <w:szCs w:val="22"/>
              </w:rPr>
              <w:t>Relevance index</w:t>
            </w:r>
          </w:p>
        </w:tc>
        <w:tc>
          <w:tcPr>
            <w:tcW w:w="0" w:type="auto"/>
            <w:hideMark/>
          </w:tcPr>
          <w:p w14:paraId="38B70F0D" w14:textId="77777777" w:rsidR="006B3068" w:rsidRPr="00CB4B90" w:rsidRDefault="006B3068" w:rsidP="00A37BA1">
            <w:pPr>
              <w:jc w:val="both"/>
              <w:rPr>
                <w:rFonts w:ascii="Arial" w:hAnsi="Arial" w:cs="Arial"/>
                <w:b/>
                <w:bCs/>
                <w:szCs w:val="22"/>
              </w:rPr>
            </w:pPr>
            <w:r w:rsidRPr="00CB4B90">
              <w:rPr>
                <w:rFonts w:ascii="Arial" w:hAnsi="Arial" w:cs="Arial"/>
                <w:b/>
                <w:bCs/>
                <w:szCs w:val="22"/>
              </w:rPr>
              <w:t>Satisfaction index</w:t>
            </w:r>
          </w:p>
        </w:tc>
        <w:tc>
          <w:tcPr>
            <w:tcW w:w="0" w:type="auto"/>
            <w:hideMark/>
          </w:tcPr>
          <w:p w14:paraId="61C94781" w14:textId="77777777" w:rsidR="006B3068" w:rsidRPr="00CB4B90" w:rsidRDefault="006B3068" w:rsidP="00A37BA1">
            <w:pPr>
              <w:jc w:val="both"/>
              <w:rPr>
                <w:rFonts w:ascii="Arial" w:hAnsi="Arial" w:cs="Arial"/>
                <w:b/>
                <w:bCs/>
                <w:szCs w:val="22"/>
              </w:rPr>
            </w:pPr>
            <w:r w:rsidRPr="00CB4B90">
              <w:rPr>
                <w:rFonts w:ascii="Arial" w:hAnsi="Arial" w:cs="Arial"/>
                <w:b/>
                <w:bCs/>
                <w:szCs w:val="22"/>
              </w:rPr>
              <w:t>AEI</w:t>
            </w:r>
          </w:p>
        </w:tc>
      </w:tr>
      <w:tr w:rsidR="006B3068" w:rsidRPr="00CB4B90" w14:paraId="5B119C77" w14:textId="77777777" w:rsidTr="00C57E9E">
        <w:tc>
          <w:tcPr>
            <w:tcW w:w="2117" w:type="dxa"/>
            <w:hideMark/>
          </w:tcPr>
          <w:p w14:paraId="165C9D59" w14:textId="77777777" w:rsidR="006B3068" w:rsidRPr="00CB4B90" w:rsidRDefault="006B3068" w:rsidP="00A37BA1">
            <w:pPr>
              <w:jc w:val="both"/>
              <w:rPr>
                <w:rFonts w:ascii="Arial" w:hAnsi="Arial" w:cs="Arial"/>
                <w:szCs w:val="22"/>
              </w:rPr>
            </w:pPr>
            <w:r w:rsidRPr="00CB4B90">
              <w:rPr>
                <w:rFonts w:ascii="Arial" w:hAnsi="Arial" w:cs="Arial"/>
                <w:szCs w:val="22"/>
              </w:rPr>
              <w:t>Nursery</w:t>
            </w:r>
          </w:p>
        </w:tc>
        <w:tc>
          <w:tcPr>
            <w:tcW w:w="1917" w:type="dxa"/>
            <w:hideMark/>
          </w:tcPr>
          <w:p w14:paraId="7A0D2EE8" w14:textId="77777777" w:rsidR="006B3068" w:rsidRPr="00CB4B90" w:rsidRDefault="006B3068" w:rsidP="00A37BA1">
            <w:pPr>
              <w:jc w:val="both"/>
              <w:rPr>
                <w:rFonts w:ascii="Arial" w:hAnsi="Arial" w:cs="Arial"/>
                <w:szCs w:val="22"/>
              </w:rPr>
            </w:pPr>
            <w:r w:rsidRPr="00CB4B90">
              <w:rPr>
                <w:rFonts w:ascii="Arial" w:hAnsi="Arial" w:cs="Arial"/>
                <w:szCs w:val="22"/>
              </w:rPr>
              <w:t>0.82</w:t>
            </w:r>
          </w:p>
        </w:tc>
        <w:tc>
          <w:tcPr>
            <w:tcW w:w="0" w:type="auto"/>
            <w:hideMark/>
          </w:tcPr>
          <w:p w14:paraId="66CD6760"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7103B9B2" w14:textId="77777777" w:rsidR="006B3068" w:rsidRPr="00CB4B90" w:rsidRDefault="006B3068" w:rsidP="00A37BA1">
            <w:pPr>
              <w:jc w:val="both"/>
              <w:rPr>
                <w:rFonts w:ascii="Arial" w:hAnsi="Arial" w:cs="Arial"/>
                <w:szCs w:val="22"/>
              </w:rPr>
            </w:pPr>
            <w:r w:rsidRPr="00CB4B90">
              <w:rPr>
                <w:rFonts w:ascii="Arial" w:hAnsi="Arial" w:cs="Arial"/>
                <w:szCs w:val="22"/>
              </w:rPr>
              <w:t>0.55</w:t>
            </w:r>
          </w:p>
        </w:tc>
        <w:tc>
          <w:tcPr>
            <w:tcW w:w="0" w:type="auto"/>
            <w:hideMark/>
          </w:tcPr>
          <w:p w14:paraId="36F7CA1D" w14:textId="77777777" w:rsidR="006B3068" w:rsidRPr="00CB4B90" w:rsidRDefault="006B3068" w:rsidP="00A37BA1">
            <w:pPr>
              <w:jc w:val="both"/>
              <w:rPr>
                <w:rFonts w:ascii="Arial" w:hAnsi="Arial" w:cs="Arial"/>
                <w:szCs w:val="22"/>
              </w:rPr>
            </w:pPr>
            <w:r w:rsidRPr="00CB4B90">
              <w:rPr>
                <w:rFonts w:ascii="Arial" w:hAnsi="Arial" w:cs="Arial"/>
                <w:szCs w:val="22"/>
              </w:rPr>
              <w:t>0.71</w:t>
            </w:r>
          </w:p>
        </w:tc>
      </w:tr>
      <w:tr w:rsidR="006B3068" w:rsidRPr="00CB4B90" w14:paraId="5BB9964D" w14:textId="77777777" w:rsidTr="00C57E9E">
        <w:tc>
          <w:tcPr>
            <w:tcW w:w="2117" w:type="dxa"/>
            <w:hideMark/>
          </w:tcPr>
          <w:p w14:paraId="4DAC6A94" w14:textId="77777777" w:rsidR="006B3068" w:rsidRPr="00CB4B90" w:rsidRDefault="006B3068" w:rsidP="00A37BA1">
            <w:pPr>
              <w:jc w:val="both"/>
              <w:rPr>
                <w:rFonts w:ascii="Arial" w:hAnsi="Arial" w:cs="Arial"/>
                <w:szCs w:val="22"/>
              </w:rPr>
            </w:pPr>
            <w:r w:rsidRPr="00CB4B90">
              <w:rPr>
                <w:rFonts w:ascii="Arial" w:hAnsi="Arial" w:cs="Arial"/>
                <w:szCs w:val="22"/>
              </w:rPr>
              <w:t>Transplanting</w:t>
            </w:r>
          </w:p>
        </w:tc>
        <w:tc>
          <w:tcPr>
            <w:tcW w:w="1917" w:type="dxa"/>
            <w:hideMark/>
          </w:tcPr>
          <w:p w14:paraId="6A819870"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08C1F761"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143BECED" w14:textId="77777777" w:rsidR="006B3068" w:rsidRPr="00CB4B90" w:rsidRDefault="006B3068" w:rsidP="00A37BA1">
            <w:pPr>
              <w:jc w:val="both"/>
              <w:rPr>
                <w:rFonts w:ascii="Arial" w:hAnsi="Arial" w:cs="Arial"/>
                <w:szCs w:val="22"/>
              </w:rPr>
            </w:pPr>
            <w:r w:rsidRPr="00CB4B90">
              <w:rPr>
                <w:rFonts w:ascii="Arial" w:hAnsi="Arial" w:cs="Arial"/>
                <w:szCs w:val="22"/>
              </w:rPr>
              <w:t>0.42</w:t>
            </w:r>
          </w:p>
        </w:tc>
        <w:tc>
          <w:tcPr>
            <w:tcW w:w="0" w:type="auto"/>
            <w:hideMark/>
          </w:tcPr>
          <w:p w14:paraId="59FD0BC6" w14:textId="77777777" w:rsidR="006B3068" w:rsidRPr="00CB4B90" w:rsidRDefault="006B3068" w:rsidP="00A37BA1">
            <w:pPr>
              <w:jc w:val="both"/>
              <w:rPr>
                <w:rFonts w:ascii="Arial" w:hAnsi="Arial" w:cs="Arial"/>
                <w:szCs w:val="22"/>
              </w:rPr>
            </w:pPr>
            <w:r w:rsidRPr="00CB4B90">
              <w:rPr>
                <w:rFonts w:ascii="Arial" w:hAnsi="Arial" w:cs="Arial"/>
                <w:szCs w:val="22"/>
              </w:rPr>
              <w:t>0.67</w:t>
            </w:r>
          </w:p>
        </w:tc>
      </w:tr>
      <w:tr w:rsidR="006B3068" w:rsidRPr="00CB4B90" w14:paraId="576E03D4" w14:textId="77777777" w:rsidTr="00C57E9E">
        <w:tc>
          <w:tcPr>
            <w:tcW w:w="2117" w:type="dxa"/>
            <w:hideMark/>
          </w:tcPr>
          <w:p w14:paraId="79C7ECF9" w14:textId="77777777" w:rsidR="006B3068" w:rsidRPr="00CB4B90" w:rsidRDefault="006B3068" w:rsidP="00A37BA1">
            <w:pPr>
              <w:jc w:val="both"/>
              <w:rPr>
                <w:rFonts w:ascii="Arial" w:hAnsi="Arial" w:cs="Arial"/>
                <w:szCs w:val="22"/>
              </w:rPr>
            </w:pPr>
            <w:r w:rsidRPr="00CB4B90">
              <w:rPr>
                <w:rFonts w:ascii="Arial" w:hAnsi="Arial" w:cs="Arial"/>
                <w:szCs w:val="22"/>
              </w:rPr>
              <w:t>Tillering</w:t>
            </w:r>
          </w:p>
        </w:tc>
        <w:tc>
          <w:tcPr>
            <w:tcW w:w="1917" w:type="dxa"/>
            <w:hideMark/>
          </w:tcPr>
          <w:p w14:paraId="05DB06F8"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3EA70AF8" w14:textId="77777777" w:rsidR="006B3068" w:rsidRPr="00CB4B90" w:rsidRDefault="006B3068" w:rsidP="00A37BA1">
            <w:pPr>
              <w:jc w:val="both"/>
              <w:rPr>
                <w:rFonts w:ascii="Arial" w:hAnsi="Arial" w:cs="Arial"/>
                <w:szCs w:val="22"/>
              </w:rPr>
            </w:pPr>
            <w:r w:rsidRPr="00CB4B90">
              <w:rPr>
                <w:rFonts w:ascii="Arial" w:hAnsi="Arial" w:cs="Arial"/>
                <w:szCs w:val="22"/>
              </w:rPr>
              <w:t>0.91</w:t>
            </w:r>
          </w:p>
        </w:tc>
        <w:tc>
          <w:tcPr>
            <w:tcW w:w="0" w:type="auto"/>
            <w:hideMark/>
          </w:tcPr>
          <w:p w14:paraId="295CB2BF"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64421D61" w14:textId="77777777" w:rsidR="006B3068" w:rsidRPr="00CB4B90" w:rsidRDefault="006B3068" w:rsidP="00A37BA1">
            <w:pPr>
              <w:jc w:val="both"/>
              <w:rPr>
                <w:rFonts w:ascii="Arial" w:hAnsi="Arial" w:cs="Arial"/>
                <w:szCs w:val="22"/>
              </w:rPr>
            </w:pPr>
            <w:r w:rsidRPr="00CB4B90">
              <w:rPr>
                <w:rFonts w:ascii="Arial" w:hAnsi="Arial" w:cs="Arial"/>
                <w:szCs w:val="22"/>
              </w:rPr>
              <w:t>0.89</w:t>
            </w:r>
          </w:p>
        </w:tc>
      </w:tr>
      <w:tr w:rsidR="006B3068" w:rsidRPr="00CB4B90" w14:paraId="0475472A" w14:textId="77777777" w:rsidTr="00C57E9E">
        <w:tc>
          <w:tcPr>
            <w:tcW w:w="2117" w:type="dxa"/>
            <w:hideMark/>
          </w:tcPr>
          <w:p w14:paraId="3295C3F1" w14:textId="77777777" w:rsidR="006B3068" w:rsidRPr="00CB4B90" w:rsidRDefault="006B3068" w:rsidP="00A37BA1">
            <w:pPr>
              <w:jc w:val="both"/>
              <w:rPr>
                <w:rFonts w:ascii="Arial" w:hAnsi="Arial" w:cs="Arial"/>
                <w:szCs w:val="22"/>
              </w:rPr>
            </w:pPr>
            <w:r w:rsidRPr="00CB4B90">
              <w:rPr>
                <w:rFonts w:ascii="Arial" w:hAnsi="Arial" w:cs="Arial"/>
                <w:szCs w:val="22"/>
              </w:rPr>
              <w:t>Vegetative</w:t>
            </w:r>
          </w:p>
        </w:tc>
        <w:tc>
          <w:tcPr>
            <w:tcW w:w="1917" w:type="dxa"/>
            <w:hideMark/>
          </w:tcPr>
          <w:p w14:paraId="368ACBEB"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05BDC846"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5CB8C6FF"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37B70CDD" w14:textId="77777777" w:rsidR="006B3068" w:rsidRPr="00CB4B90" w:rsidRDefault="006B3068" w:rsidP="00A37BA1">
            <w:pPr>
              <w:jc w:val="both"/>
              <w:rPr>
                <w:rFonts w:ascii="Arial" w:hAnsi="Arial" w:cs="Arial"/>
                <w:szCs w:val="22"/>
              </w:rPr>
            </w:pPr>
            <w:r w:rsidRPr="00CB4B90">
              <w:rPr>
                <w:rFonts w:ascii="Arial" w:hAnsi="Arial" w:cs="Arial"/>
                <w:szCs w:val="22"/>
              </w:rPr>
              <w:t>0.76</w:t>
            </w:r>
          </w:p>
        </w:tc>
      </w:tr>
      <w:tr w:rsidR="006B3068" w:rsidRPr="00CB4B90" w14:paraId="773C64A5" w14:textId="77777777" w:rsidTr="00C57E9E">
        <w:tc>
          <w:tcPr>
            <w:tcW w:w="2117" w:type="dxa"/>
            <w:hideMark/>
          </w:tcPr>
          <w:p w14:paraId="2237D7AC" w14:textId="77777777" w:rsidR="006B3068" w:rsidRPr="00CB4B90" w:rsidRDefault="006B3068" w:rsidP="00A37BA1">
            <w:pPr>
              <w:jc w:val="both"/>
              <w:rPr>
                <w:rFonts w:ascii="Arial" w:hAnsi="Arial" w:cs="Arial"/>
                <w:szCs w:val="22"/>
              </w:rPr>
            </w:pPr>
            <w:r w:rsidRPr="00CB4B90">
              <w:rPr>
                <w:rFonts w:ascii="Arial" w:hAnsi="Arial" w:cs="Arial"/>
                <w:szCs w:val="22"/>
              </w:rPr>
              <w:t>Panicle initiation</w:t>
            </w:r>
          </w:p>
        </w:tc>
        <w:tc>
          <w:tcPr>
            <w:tcW w:w="1917" w:type="dxa"/>
            <w:hideMark/>
          </w:tcPr>
          <w:p w14:paraId="5359AAEA"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31FEAD26"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124551FD" w14:textId="77777777" w:rsidR="006B3068" w:rsidRPr="00CB4B90" w:rsidRDefault="006B3068" w:rsidP="00A37BA1">
            <w:pPr>
              <w:jc w:val="both"/>
              <w:rPr>
                <w:rFonts w:ascii="Arial" w:hAnsi="Arial" w:cs="Arial"/>
                <w:szCs w:val="22"/>
              </w:rPr>
            </w:pPr>
            <w:r w:rsidRPr="00CB4B90">
              <w:rPr>
                <w:rFonts w:ascii="Arial" w:hAnsi="Arial" w:cs="Arial"/>
                <w:szCs w:val="22"/>
              </w:rPr>
              <w:t>0.82</w:t>
            </w:r>
          </w:p>
        </w:tc>
        <w:tc>
          <w:tcPr>
            <w:tcW w:w="0" w:type="auto"/>
            <w:hideMark/>
          </w:tcPr>
          <w:p w14:paraId="08671FD2" w14:textId="77777777" w:rsidR="006B3068" w:rsidRPr="00CB4B90" w:rsidRDefault="006B3068" w:rsidP="00A37BA1">
            <w:pPr>
              <w:jc w:val="both"/>
              <w:rPr>
                <w:rFonts w:ascii="Arial" w:hAnsi="Arial" w:cs="Arial"/>
                <w:szCs w:val="22"/>
              </w:rPr>
            </w:pPr>
            <w:r w:rsidRPr="00CB4B90">
              <w:rPr>
                <w:rFonts w:ascii="Arial" w:hAnsi="Arial" w:cs="Arial"/>
                <w:szCs w:val="22"/>
              </w:rPr>
              <w:t>0.86</w:t>
            </w:r>
          </w:p>
        </w:tc>
      </w:tr>
      <w:tr w:rsidR="006B3068" w:rsidRPr="00CB4B90" w14:paraId="453C9BE7" w14:textId="77777777" w:rsidTr="00C57E9E">
        <w:tc>
          <w:tcPr>
            <w:tcW w:w="2117" w:type="dxa"/>
            <w:hideMark/>
          </w:tcPr>
          <w:p w14:paraId="62EE1855" w14:textId="77777777" w:rsidR="006B3068" w:rsidRPr="00CB4B90" w:rsidRDefault="006B3068" w:rsidP="00A37BA1">
            <w:pPr>
              <w:jc w:val="both"/>
              <w:rPr>
                <w:rFonts w:ascii="Arial" w:hAnsi="Arial" w:cs="Arial"/>
                <w:szCs w:val="22"/>
              </w:rPr>
            </w:pPr>
            <w:r w:rsidRPr="00CB4B90">
              <w:rPr>
                <w:rFonts w:ascii="Arial" w:hAnsi="Arial" w:cs="Arial"/>
                <w:szCs w:val="22"/>
              </w:rPr>
              <w:t>Flowering</w:t>
            </w:r>
          </w:p>
        </w:tc>
        <w:tc>
          <w:tcPr>
            <w:tcW w:w="1917" w:type="dxa"/>
            <w:hideMark/>
          </w:tcPr>
          <w:p w14:paraId="63286199"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1F3519EE"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53306FCA"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043D784C" w14:textId="77777777" w:rsidR="006B3068" w:rsidRPr="00CB4B90" w:rsidRDefault="006B3068" w:rsidP="00A37BA1">
            <w:pPr>
              <w:jc w:val="both"/>
              <w:rPr>
                <w:rFonts w:ascii="Arial" w:hAnsi="Arial" w:cs="Arial"/>
                <w:szCs w:val="22"/>
              </w:rPr>
            </w:pPr>
            <w:r w:rsidRPr="00CB4B90">
              <w:rPr>
                <w:rFonts w:ascii="Arial" w:hAnsi="Arial" w:cs="Arial"/>
                <w:szCs w:val="22"/>
              </w:rPr>
              <w:t>0.77</w:t>
            </w:r>
          </w:p>
        </w:tc>
      </w:tr>
      <w:tr w:rsidR="006B3068" w:rsidRPr="00CB4B90" w14:paraId="26AFDA01" w14:textId="77777777" w:rsidTr="00C57E9E">
        <w:tc>
          <w:tcPr>
            <w:tcW w:w="2117" w:type="dxa"/>
            <w:hideMark/>
          </w:tcPr>
          <w:p w14:paraId="4135D1C6" w14:textId="77777777" w:rsidR="006B3068" w:rsidRPr="00CB4B90" w:rsidRDefault="006B3068" w:rsidP="00A37BA1">
            <w:pPr>
              <w:jc w:val="both"/>
              <w:rPr>
                <w:rFonts w:ascii="Arial" w:hAnsi="Arial" w:cs="Arial"/>
                <w:szCs w:val="22"/>
              </w:rPr>
            </w:pPr>
            <w:r w:rsidRPr="00CB4B90">
              <w:rPr>
                <w:rFonts w:ascii="Arial" w:hAnsi="Arial" w:cs="Arial"/>
                <w:szCs w:val="22"/>
              </w:rPr>
              <w:t>Milking</w:t>
            </w:r>
          </w:p>
        </w:tc>
        <w:tc>
          <w:tcPr>
            <w:tcW w:w="1917" w:type="dxa"/>
            <w:hideMark/>
          </w:tcPr>
          <w:p w14:paraId="48BD5F23"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23F7A320"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6E39BB32" w14:textId="77777777" w:rsidR="006B3068" w:rsidRPr="00CB4B90" w:rsidRDefault="006B3068" w:rsidP="00A37BA1">
            <w:pPr>
              <w:jc w:val="both"/>
              <w:rPr>
                <w:rFonts w:ascii="Arial" w:hAnsi="Arial" w:cs="Arial"/>
                <w:szCs w:val="22"/>
              </w:rPr>
            </w:pPr>
            <w:r w:rsidRPr="00CB4B90">
              <w:rPr>
                <w:rFonts w:ascii="Arial" w:hAnsi="Arial" w:cs="Arial"/>
                <w:szCs w:val="22"/>
              </w:rPr>
              <w:t>0.73</w:t>
            </w:r>
          </w:p>
        </w:tc>
        <w:tc>
          <w:tcPr>
            <w:tcW w:w="0" w:type="auto"/>
            <w:hideMark/>
          </w:tcPr>
          <w:p w14:paraId="37CF4C53" w14:textId="77777777" w:rsidR="006B3068" w:rsidRPr="00CB4B90" w:rsidRDefault="006B3068" w:rsidP="00A37BA1">
            <w:pPr>
              <w:jc w:val="both"/>
              <w:rPr>
                <w:rFonts w:ascii="Arial" w:hAnsi="Arial" w:cs="Arial"/>
                <w:szCs w:val="22"/>
              </w:rPr>
            </w:pPr>
            <w:r w:rsidRPr="00CB4B90">
              <w:rPr>
                <w:rFonts w:ascii="Arial" w:hAnsi="Arial" w:cs="Arial"/>
                <w:szCs w:val="22"/>
              </w:rPr>
              <w:t>0.75</w:t>
            </w:r>
          </w:p>
        </w:tc>
      </w:tr>
      <w:tr w:rsidR="006B3068" w:rsidRPr="00CB4B90" w14:paraId="55DFA535" w14:textId="77777777" w:rsidTr="00C57E9E">
        <w:tc>
          <w:tcPr>
            <w:tcW w:w="2117" w:type="dxa"/>
            <w:hideMark/>
          </w:tcPr>
          <w:p w14:paraId="434B27A3" w14:textId="77777777" w:rsidR="006B3068" w:rsidRPr="00CB4B90" w:rsidRDefault="006B3068" w:rsidP="00A37BA1">
            <w:pPr>
              <w:jc w:val="both"/>
              <w:rPr>
                <w:rFonts w:ascii="Arial" w:hAnsi="Arial" w:cs="Arial"/>
                <w:szCs w:val="22"/>
              </w:rPr>
            </w:pPr>
            <w:r w:rsidRPr="00CB4B90">
              <w:rPr>
                <w:rFonts w:ascii="Arial" w:hAnsi="Arial" w:cs="Arial"/>
                <w:szCs w:val="22"/>
              </w:rPr>
              <w:t>Dough</w:t>
            </w:r>
          </w:p>
        </w:tc>
        <w:tc>
          <w:tcPr>
            <w:tcW w:w="1917" w:type="dxa"/>
            <w:hideMark/>
          </w:tcPr>
          <w:p w14:paraId="353C78CC"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6BF3091E"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65B1AA06"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6BD49832" w14:textId="77777777" w:rsidR="006B3068" w:rsidRPr="00CB4B90" w:rsidRDefault="006B3068" w:rsidP="00A37BA1">
            <w:pPr>
              <w:jc w:val="both"/>
              <w:rPr>
                <w:rFonts w:ascii="Arial" w:hAnsi="Arial" w:cs="Arial"/>
                <w:szCs w:val="22"/>
              </w:rPr>
            </w:pPr>
            <w:r w:rsidRPr="00CB4B90">
              <w:rPr>
                <w:rFonts w:ascii="Arial" w:hAnsi="Arial" w:cs="Arial"/>
                <w:szCs w:val="22"/>
              </w:rPr>
              <w:t>0.78</w:t>
            </w:r>
          </w:p>
        </w:tc>
      </w:tr>
      <w:tr w:rsidR="006B3068" w:rsidRPr="00CB4B90" w14:paraId="77893A03" w14:textId="77777777" w:rsidTr="00C57E9E">
        <w:tc>
          <w:tcPr>
            <w:tcW w:w="2117" w:type="dxa"/>
            <w:hideMark/>
          </w:tcPr>
          <w:p w14:paraId="7FD1C395" w14:textId="77777777" w:rsidR="006B3068" w:rsidRPr="00CB4B90" w:rsidRDefault="006B3068" w:rsidP="00A37BA1">
            <w:pPr>
              <w:jc w:val="both"/>
              <w:rPr>
                <w:rFonts w:ascii="Arial" w:hAnsi="Arial" w:cs="Arial"/>
                <w:szCs w:val="22"/>
              </w:rPr>
            </w:pPr>
            <w:r w:rsidRPr="00CB4B90">
              <w:rPr>
                <w:rFonts w:ascii="Arial" w:hAnsi="Arial" w:cs="Arial"/>
                <w:szCs w:val="22"/>
              </w:rPr>
              <w:t>Maturity</w:t>
            </w:r>
          </w:p>
        </w:tc>
        <w:tc>
          <w:tcPr>
            <w:tcW w:w="1917" w:type="dxa"/>
            <w:hideMark/>
          </w:tcPr>
          <w:p w14:paraId="2D492976"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6AC850EE" w14:textId="77777777" w:rsidR="006B3068" w:rsidRPr="00CB4B90" w:rsidRDefault="006B3068" w:rsidP="00A37BA1">
            <w:pPr>
              <w:jc w:val="both"/>
              <w:rPr>
                <w:rFonts w:ascii="Arial" w:hAnsi="Arial" w:cs="Arial"/>
                <w:szCs w:val="22"/>
              </w:rPr>
            </w:pPr>
            <w:r w:rsidRPr="00CB4B90">
              <w:rPr>
                <w:rFonts w:ascii="Arial" w:hAnsi="Arial" w:cs="Arial"/>
                <w:szCs w:val="22"/>
              </w:rPr>
              <w:t>0.52</w:t>
            </w:r>
          </w:p>
        </w:tc>
        <w:tc>
          <w:tcPr>
            <w:tcW w:w="0" w:type="auto"/>
            <w:hideMark/>
          </w:tcPr>
          <w:p w14:paraId="21D5BC17" w14:textId="77777777" w:rsidR="006B3068" w:rsidRPr="00CB4B90" w:rsidRDefault="006B3068" w:rsidP="00A37BA1">
            <w:pPr>
              <w:jc w:val="both"/>
              <w:rPr>
                <w:rFonts w:ascii="Arial" w:hAnsi="Arial" w:cs="Arial"/>
                <w:szCs w:val="22"/>
              </w:rPr>
            </w:pPr>
            <w:r w:rsidRPr="00CB4B90">
              <w:rPr>
                <w:rFonts w:ascii="Arial" w:hAnsi="Arial" w:cs="Arial"/>
                <w:szCs w:val="22"/>
              </w:rPr>
              <w:t>0.91</w:t>
            </w:r>
          </w:p>
        </w:tc>
        <w:tc>
          <w:tcPr>
            <w:tcW w:w="0" w:type="auto"/>
            <w:hideMark/>
          </w:tcPr>
          <w:p w14:paraId="1F9D7B20" w14:textId="77777777" w:rsidR="006B3068" w:rsidRPr="00CB4B90" w:rsidRDefault="006B3068" w:rsidP="00A37BA1">
            <w:pPr>
              <w:jc w:val="both"/>
              <w:rPr>
                <w:rFonts w:ascii="Arial" w:hAnsi="Arial" w:cs="Arial"/>
                <w:szCs w:val="22"/>
              </w:rPr>
            </w:pPr>
            <w:r w:rsidRPr="00CB4B90">
              <w:rPr>
                <w:rFonts w:ascii="Arial" w:hAnsi="Arial" w:cs="Arial"/>
                <w:szCs w:val="22"/>
              </w:rPr>
              <w:t>0.77</w:t>
            </w:r>
          </w:p>
        </w:tc>
      </w:tr>
      <w:tr w:rsidR="006B3068" w:rsidRPr="00CB4B90" w14:paraId="71B3D8B6" w14:textId="77777777" w:rsidTr="00C57E9E">
        <w:tc>
          <w:tcPr>
            <w:tcW w:w="2117" w:type="dxa"/>
            <w:hideMark/>
          </w:tcPr>
          <w:p w14:paraId="6683788D" w14:textId="77777777" w:rsidR="006B3068" w:rsidRPr="00CB4B90" w:rsidRDefault="006B3068" w:rsidP="00A37BA1">
            <w:pPr>
              <w:jc w:val="both"/>
              <w:rPr>
                <w:rFonts w:ascii="Arial" w:hAnsi="Arial" w:cs="Arial"/>
                <w:szCs w:val="22"/>
              </w:rPr>
            </w:pPr>
            <w:r w:rsidRPr="00CB4B90">
              <w:rPr>
                <w:rFonts w:ascii="Arial" w:hAnsi="Arial" w:cs="Arial"/>
                <w:szCs w:val="22"/>
              </w:rPr>
              <w:t>Harvesting</w:t>
            </w:r>
          </w:p>
        </w:tc>
        <w:tc>
          <w:tcPr>
            <w:tcW w:w="1917" w:type="dxa"/>
            <w:hideMark/>
          </w:tcPr>
          <w:p w14:paraId="5CB4B5FA" w14:textId="77777777" w:rsidR="006B3068" w:rsidRPr="00CB4B90" w:rsidRDefault="006B3068" w:rsidP="00A37BA1">
            <w:pPr>
              <w:jc w:val="both"/>
              <w:rPr>
                <w:rFonts w:ascii="Arial" w:hAnsi="Arial" w:cs="Arial"/>
                <w:szCs w:val="22"/>
              </w:rPr>
            </w:pPr>
            <w:r w:rsidRPr="00CB4B90">
              <w:rPr>
                <w:rFonts w:ascii="Arial" w:hAnsi="Arial" w:cs="Arial"/>
                <w:szCs w:val="22"/>
              </w:rPr>
              <w:t>0.85</w:t>
            </w:r>
          </w:p>
        </w:tc>
        <w:tc>
          <w:tcPr>
            <w:tcW w:w="0" w:type="auto"/>
            <w:hideMark/>
          </w:tcPr>
          <w:p w14:paraId="1BB62239"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354B957D"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2FB29967" w14:textId="77777777" w:rsidR="006B3068" w:rsidRPr="00CB4B90" w:rsidRDefault="006B3068" w:rsidP="00A37BA1">
            <w:pPr>
              <w:jc w:val="both"/>
              <w:rPr>
                <w:rFonts w:ascii="Arial" w:hAnsi="Arial" w:cs="Arial"/>
                <w:szCs w:val="22"/>
              </w:rPr>
            </w:pPr>
            <w:r w:rsidRPr="00CB4B90">
              <w:rPr>
                <w:rFonts w:ascii="Arial" w:hAnsi="Arial" w:cs="Arial"/>
                <w:szCs w:val="22"/>
              </w:rPr>
              <w:t>0.79</w:t>
            </w:r>
          </w:p>
        </w:tc>
      </w:tr>
    </w:tbl>
    <w:p w14:paraId="1B8DA539" w14:textId="77777777" w:rsidR="006B3068" w:rsidRPr="00CB4B90" w:rsidRDefault="006B3068" w:rsidP="00C57E9E">
      <w:pPr>
        <w:pStyle w:val="NormalWeb"/>
        <w:jc w:val="both"/>
        <w:rPr>
          <w:rFonts w:ascii="Arial" w:hAnsi="Arial" w:cs="Arial"/>
          <w:sz w:val="22"/>
          <w:szCs w:val="22"/>
        </w:rPr>
      </w:pPr>
      <w:r w:rsidRPr="00CB4B90">
        <w:rPr>
          <w:rFonts w:ascii="Arial" w:hAnsi="Arial" w:cs="Arial"/>
          <w:sz w:val="22"/>
          <w:szCs w:val="22"/>
        </w:rPr>
        <w:t>The composite index measuring the effectiveness of agrometeorological advisories across different rice growth stages.</w:t>
      </w:r>
      <w:r w:rsidRPr="00CB4B90">
        <w:rPr>
          <w:rFonts w:ascii="Arial" w:hAnsi="Arial" w:cs="Arial"/>
          <w:b/>
          <w:bCs/>
          <w:sz w:val="22"/>
          <w:szCs w:val="22"/>
        </w:rPr>
        <w:t xml:space="preserve"> </w:t>
      </w:r>
      <w:r w:rsidRPr="00CB4B90">
        <w:rPr>
          <w:rFonts w:ascii="Arial" w:hAnsi="Arial" w:cs="Arial"/>
          <w:sz w:val="22"/>
          <w:szCs w:val="22"/>
        </w:rPr>
        <w:t xml:space="preserve">Figure 4 illustrates stage-wise variation in AEI, with clear peaks during critical growth phases. The graph smoothly captures </w:t>
      </w:r>
      <w:r w:rsidRPr="00CB4B90">
        <w:rPr>
          <w:rStyle w:val="Strong"/>
          <w:rFonts w:ascii="Arial" w:hAnsi="Arial" w:cs="Arial"/>
          <w:b w:val="0"/>
          <w:bCs w:val="0"/>
          <w:sz w:val="22"/>
          <w:szCs w:val="22"/>
        </w:rPr>
        <w:t>stage-wise variation</w:t>
      </w:r>
      <w:r w:rsidRPr="00CB4B90">
        <w:rPr>
          <w:rFonts w:ascii="Arial" w:hAnsi="Arial" w:cs="Arial"/>
          <w:sz w:val="22"/>
          <w:szCs w:val="22"/>
        </w:rPr>
        <w:t>, with peak AEI at tillering and panicle initiation.</w:t>
      </w:r>
    </w:p>
    <w:p w14:paraId="24082CC9" w14:textId="77777777" w:rsidR="00BF1DD4" w:rsidRPr="00CB4B90" w:rsidRDefault="00BF1DD4" w:rsidP="00BF1DD4">
      <w:pPr>
        <w:spacing w:before="100" w:beforeAutospacing="1" w:after="100" w:afterAutospacing="1" w:line="240" w:lineRule="auto"/>
        <w:jc w:val="both"/>
        <w:outlineLvl w:val="2"/>
        <w:rPr>
          <w:rFonts w:ascii="Arial" w:eastAsia="Times New Roman" w:hAnsi="Arial" w:cs="Arial"/>
          <w:b/>
          <w:bCs/>
          <w:szCs w:val="22"/>
          <w:lang w:eastAsia="en-IN"/>
        </w:rPr>
      </w:pPr>
      <w:r w:rsidRPr="00CB4B90">
        <w:rPr>
          <w:rFonts w:ascii="Arial" w:hAnsi="Arial" w:cs="Arial"/>
          <w:noProof/>
          <w:szCs w:val="22"/>
          <w:lang w:eastAsia="en-IN"/>
        </w:rPr>
        <w:drawing>
          <wp:inline distT="0" distB="0" distL="0" distR="0" wp14:anchorId="3ED16006" wp14:editId="015D8A98">
            <wp:extent cx="5730930" cy="267652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655" cy="2677798"/>
                    </a:xfrm>
                    <a:prstGeom prst="rect">
                      <a:avLst/>
                    </a:prstGeom>
                    <a:noFill/>
                  </pic:spPr>
                </pic:pic>
              </a:graphicData>
            </a:graphic>
          </wp:inline>
        </w:drawing>
      </w:r>
    </w:p>
    <w:p w14:paraId="68AAF3E2" w14:textId="77777777" w:rsidR="00C95667" w:rsidRPr="00CB4B90" w:rsidRDefault="00BF1DD4" w:rsidP="00C95667">
      <w:pPr>
        <w:pStyle w:val="NormalWeb"/>
        <w:jc w:val="both"/>
        <w:rPr>
          <w:rFonts w:ascii="Arial" w:hAnsi="Arial" w:cs="Arial"/>
          <w:sz w:val="22"/>
          <w:szCs w:val="22"/>
        </w:rPr>
      </w:pPr>
      <w:r w:rsidRPr="00CB4B90">
        <w:rPr>
          <w:rFonts w:ascii="Arial" w:hAnsi="Arial" w:cs="Arial"/>
          <w:sz w:val="22"/>
          <w:szCs w:val="22"/>
        </w:rPr>
        <w:t xml:space="preserve">Figure 4. </w:t>
      </w:r>
      <w:r w:rsidR="00C95667" w:rsidRPr="00CB4B90">
        <w:rPr>
          <w:rFonts w:ascii="Arial" w:hAnsi="Arial" w:cs="Arial"/>
          <w:sz w:val="22"/>
          <w:szCs w:val="22"/>
        </w:rPr>
        <w:t>Composite Advisory Effectiveness Index (AEI) across rice growth stages.</w:t>
      </w:r>
    </w:p>
    <w:p w14:paraId="015B0F47" w14:textId="77777777" w:rsidR="00435ECD" w:rsidRPr="00CB4B90" w:rsidRDefault="00435ECD" w:rsidP="00C94523">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lastRenderedPageBreak/>
        <w:t>The findings clearly demonstrate that agrometeorological advisories significantly support rice farmers’ decision-making, particularly during critical growth stages such as tillering and panicle initiation. High adoption and satisfaction levels indicate strong farmer confidence in advisory services, consistent with earlier studies (Meena et al., 2019; Singh et al., 2021).</w:t>
      </w:r>
      <w:r w:rsidR="00C95667"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However, constraints related to short response time and farmer preparedness limited advisory utilization during some stages. The influence of unfavourable weather during maturity and harvesting highlights the need for improved early warning systems and contingency planning.</w:t>
      </w:r>
      <w:r w:rsidR="00C95667"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Overall, the results emphasize that timely, stage-specific, and action-oriented advisories are essential for maximizing the benefits of agrometeorological services.</w:t>
      </w:r>
    </w:p>
    <w:p w14:paraId="1D65D908" w14:textId="77777777" w:rsidR="00435ECD" w:rsidRPr="00CB4B90" w:rsidRDefault="00435ECD" w:rsidP="00C95667">
      <w:pPr>
        <w:spacing w:before="100" w:beforeAutospacing="1" w:after="100" w:afterAutospacing="1" w:line="240" w:lineRule="auto"/>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Summary and Conclusion</w:t>
      </w:r>
    </w:p>
    <w:p w14:paraId="6743D143" w14:textId="77777777" w:rsidR="000F2409" w:rsidRPr="00CB4B90" w:rsidRDefault="000F2409" w:rsidP="00C94523">
      <w:pPr>
        <w:spacing w:before="100" w:beforeAutospacing="1" w:after="100" w:afterAutospacing="1" w:line="240" w:lineRule="auto"/>
        <w:jc w:val="both"/>
        <w:rPr>
          <w:rFonts w:ascii="Arial" w:hAnsi="Arial" w:cs="Arial"/>
          <w:szCs w:val="22"/>
        </w:rPr>
      </w:pPr>
      <w:r w:rsidRPr="00CB4B90">
        <w:rPr>
          <w:rFonts w:ascii="Arial" w:eastAsia="Times New Roman" w:hAnsi="Arial" w:cs="Arial"/>
          <w:szCs w:val="22"/>
          <w:lang w:eastAsia="en-IN"/>
        </w:rPr>
        <w:t>It is found that the adoption of agrometeorological advisories in paddy ranged from 75.8% to 87.9%. More than 75% of farmers perceived advisories as relevant.</w:t>
      </w:r>
      <w:r w:rsidR="006110A4" w:rsidRPr="00CB4B90">
        <w:rPr>
          <w:rFonts w:ascii="Arial" w:eastAsia="Times New Roman" w:hAnsi="Arial" w:cs="Arial"/>
          <w:szCs w:val="22"/>
          <w:lang w:eastAsia="en-IN"/>
        </w:rPr>
        <w:t xml:space="preserve"> T</w:t>
      </w:r>
      <w:r w:rsidRPr="00CB4B90">
        <w:rPr>
          <w:rFonts w:ascii="Arial" w:eastAsia="Times New Roman" w:hAnsi="Arial" w:cs="Arial"/>
          <w:szCs w:val="22"/>
          <w:lang w:eastAsia="en-IN"/>
        </w:rPr>
        <w:t xml:space="preserve">he farmer satisfaction exceeded 70% during most crop stages. Chi-square analysis confirmed significant association between crop stages and farmer responses. The Advisory Effectiveness Index peaked during tillering and panicle initiation stages. </w:t>
      </w:r>
      <w:r w:rsidRPr="00CB4B90">
        <w:rPr>
          <w:rFonts w:ascii="Arial" w:hAnsi="Arial" w:cs="Arial"/>
          <w:szCs w:val="22"/>
        </w:rPr>
        <w:t xml:space="preserve">The study concludes that agrometeorological advisory services significantly contributed to improved decision-making among rice farmers in </w:t>
      </w:r>
      <w:proofErr w:type="spellStart"/>
      <w:r w:rsidRPr="00CB4B90">
        <w:rPr>
          <w:rFonts w:ascii="Arial" w:hAnsi="Arial" w:cs="Arial"/>
          <w:szCs w:val="22"/>
        </w:rPr>
        <w:t>Bulandshahr</w:t>
      </w:r>
      <w:proofErr w:type="spellEnd"/>
      <w:r w:rsidRPr="00CB4B90">
        <w:rPr>
          <w:rFonts w:ascii="Arial" w:hAnsi="Arial" w:cs="Arial"/>
          <w:szCs w:val="22"/>
        </w:rPr>
        <w:t xml:space="preserve"> district during Kharif 2022. High adoption rates, strong perceived relevance, and elevated satisfaction levels demonstrate the value of advisories in climate risk management, consistent with findings reported in earlier studies (Meena et al., 2019; Singh et al., 2021). To further enhance advisory effectiveness, greater emphasis should be placed on improving lead time, farmer preparedness, and stage-specific actionable recommendations, particularly during weather-sensitive stages such as flowering and harvesting (IMD, 2020; WMO, 2015).</w:t>
      </w:r>
    </w:p>
    <w:p w14:paraId="2FBFD603" w14:textId="665FF6DC" w:rsidR="007A2947" w:rsidRPr="00CB4B90" w:rsidRDefault="007A2947" w:rsidP="007A2947">
      <w:pPr>
        <w:pStyle w:val="Heading2"/>
        <w:rPr>
          <w:rFonts w:ascii="Arial" w:hAnsi="Arial" w:cs="Arial"/>
          <w:sz w:val="22"/>
          <w:szCs w:val="22"/>
        </w:rPr>
      </w:pPr>
      <w:r w:rsidRPr="00CB4B90">
        <w:rPr>
          <w:rStyle w:val="Strong"/>
          <w:rFonts w:ascii="Arial" w:hAnsi="Arial" w:cs="Arial"/>
          <w:b/>
          <w:bCs/>
          <w:sz w:val="22"/>
          <w:szCs w:val="22"/>
        </w:rPr>
        <w:t xml:space="preserve">References </w:t>
      </w:r>
    </w:p>
    <w:p w14:paraId="6D820B00"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Aggarwal, P. K., Hebbar, K. B., Venugopalan, M. V., Rani, S., Bala, A., Biswal, A., &amp; Wani, S. P. (2008). </w:t>
      </w:r>
      <w:r w:rsidRPr="00766B65">
        <w:rPr>
          <w:rFonts w:ascii="Arial" w:eastAsia="Times New Roman" w:hAnsi="Arial" w:cs="Arial"/>
          <w:i/>
          <w:iCs/>
          <w:color w:val="1F1F1F"/>
          <w:szCs w:val="22"/>
          <w:lang w:eastAsia="en-IN"/>
        </w:rPr>
        <w:t>Quantification of yield gaps in rain-fed rice, wheat, cotton and mustard in India</w:t>
      </w:r>
      <w:r w:rsidRPr="00766B65">
        <w:rPr>
          <w:rFonts w:ascii="Arial" w:eastAsia="Times New Roman" w:hAnsi="Arial" w:cs="Arial"/>
          <w:color w:val="1F1F1F"/>
          <w:szCs w:val="22"/>
          <w:lang w:eastAsia="en-IN"/>
        </w:rPr>
        <w:t> (Global Theme on Agroecosystems Report No. 43). </w:t>
      </w:r>
      <w:r w:rsidRPr="00CB4B90">
        <w:rPr>
          <w:rFonts w:ascii="Arial" w:eastAsia="Times New Roman" w:hAnsi="Arial" w:cs="Arial"/>
          <w:color w:val="1F1F1F"/>
          <w:szCs w:val="22"/>
          <w:lang w:eastAsia="en-IN"/>
        </w:rPr>
        <w:t>ICRISAT</w:t>
      </w:r>
      <w:r w:rsidRPr="00766B65">
        <w:rPr>
          <w:rFonts w:ascii="Arial" w:eastAsia="Times New Roman" w:hAnsi="Arial" w:cs="Arial"/>
          <w:color w:val="1F1F1F"/>
          <w:szCs w:val="22"/>
          <w:lang w:eastAsia="en-IN"/>
        </w:rPr>
        <w:t>.</w:t>
      </w:r>
    </w:p>
    <w:p w14:paraId="30ECFE01"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Gadgil, S., Rao, P. R. S., &amp; Rao, K. N. (2002). Use of climate information for farm-level decision making: Rainfed groundnut in southern India. </w:t>
      </w:r>
      <w:r w:rsidRPr="00CB4B90">
        <w:rPr>
          <w:rFonts w:ascii="Arial" w:eastAsia="Times New Roman" w:hAnsi="Arial" w:cs="Arial"/>
          <w:i/>
          <w:iCs/>
          <w:color w:val="1F1F1F"/>
          <w:szCs w:val="22"/>
          <w:lang w:eastAsia="en-IN"/>
        </w:rPr>
        <w:t>Agricultural Systems</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74</w:t>
      </w:r>
      <w:r w:rsidRPr="00CB4B90">
        <w:rPr>
          <w:rFonts w:ascii="Arial" w:eastAsia="Times New Roman" w:hAnsi="Arial" w:cs="Arial"/>
          <w:color w:val="1F1F1F"/>
          <w:szCs w:val="22"/>
          <w:lang w:eastAsia="en-IN"/>
        </w:rPr>
        <w:t>(3), 431–457</w:t>
      </w:r>
      <w:r w:rsidRPr="00766B65">
        <w:rPr>
          <w:rFonts w:ascii="Arial" w:eastAsia="Times New Roman" w:hAnsi="Arial" w:cs="Arial"/>
          <w:color w:val="1F1F1F"/>
          <w:szCs w:val="22"/>
          <w:lang w:eastAsia="en-IN"/>
        </w:rPr>
        <w:t>.</w:t>
      </w:r>
    </w:p>
    <w:p w14:paraId="0ED941B6"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India Meteorological Department (IMD). (2018). </w:t>
      </w:r>
      <w:r w:rsidRPr="00766B65">
        <w:rPr>
          <w:rFonts w:ascii="Arial" w:eastAsia="Times New Roman" w:hAnsi="Arial" w:cs="Arial"/>
          <w:i/>
          <w:iCs/>
          <w:color w:val="1F1F1F"/>
          <w:szCs w:val="22"/>
          <w:lang w:eastAsia="en-IN"/>
        </w:rPr>
        <w:t>Agrometeorological advisory services in India: Status and strategies</w:t>
      </w:r>
      <w:r w:rsidRPr="00766B65">
        <w:rPr>
          <w:rFonts w:ascii="Arial" w:eastAsia="Times New Roman" w:hAnsi="Arial" w:cs="Arial"/>
          <w:color w:val="1F1F1F"/>
          <w:szCs w:val="22"/>
          <w:lang w:eastAsia="en-IN"/>
        </w:rPr>
        <w:t>. </w:t>
      </w:r>
      <w:r w:rsidRPr="00CB4B90">
        <w:rPr>
          <w:rFonts w:ascii="Arial" w:eastAsia="Times New Roman" w:hAnsi="Arial" w:cs="Arial"/>
          <w:color w:val="1F1F1F"/>
          <w:szCs w:val="22"/>
          <w:lang w:eastAsia="en-IN"/>
        </w:rPr>
        <w:t>Ministry of Earth Sciences</w:t>
      </w:r>
      <w:r w:rsidRPr="00766B65">
        <w:rPr>
          <w:rFonts w:ascii="Arial" w:eastAsia="Times New Roman" w:hAnsi="Arial" w:cs="Arial"/>
          <w:color w:val="1F1F1F"/>
          <w:szCs w:val="22"/>
          <w:lang w:eastAsia="en-IN"/>
        </w:rPr>
        <w:t>.</w:t>
      </w:r>
    </w:p>
    <w:p w14:paraId="3FBA9253"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India Meteorological Department (IMD). (2020). </w:t>
      </w:r>
      <w:r w:rsidRPr="00766B65">
        <w:rPr>
          <w:rFonts w:ascii="Arial" w:eastAsia="Times New Roman" w:hAnsi="Arial" w:cs="Arial"/>
          <w:i/>
          <w:iCs/>
          <w:color w:val="1F1F1F"/>
          <w:szCs w:val="22"/>
          <w:lang w:eastAsia="en-IN"/>
        </w:rPr>
        <w:t xml:space="preserve">Weather-based </w:t>
      </w:r>
      <w:proofErr w:type="spellStart"/>
      <w:r w:rsidRPr="00766B65">
        <w:rPr>
          <w:rFonts w:ascii="Arial" w:eastAsia="Times New Roman" w:hAnsi="Arial" w:cs="Arial"/>
          <w:i/>
          <w:iCs/>
          <w:color w:val="1F1F1F"/>
          <w:szCs w:val="22"/>
          <w:lang w:eastAsia="en-IN"/>
        </w:rPr>
        <w:t>agromet</w:t>
      </w:r>
      <w:proofErr w:type="spellEnd"/>
      <w:r w:rsidRPr="00766B65">
        <w:rPr>
          <w:rFonts w:ascii="Arial" w:eastAsia="Times New Roman" w:hAnsi="Arial" w:cs="Arial"/>
          <w:i/>
          <w:iCs/>
          <w:color w:val="1F1F1F"/>
          <w:szCs w:val="22"/>
          <w:lang w:eastAsia="en-IN"/>
        </w:rPr>
        <w:t xml:space="preserve"> advisory services for farmers</w:t>
      </w:r>
      <w:r w:rsidRPr="00766B65">
        <w:rPr>
          <w:rFonts w:ascii="Arial" w:eastAsia="Times New Roman" w:hAnsi="Arial" w:cs="Arial"/>
          <w:color w:val="1F1F1F"/>
          <w:szCs w:val="22"/>
          <w:lang w:eastAsia="en-IN"/>
        </w:rPr>
        <w:t>. </w:t>
      </w:r>
      <w:r w:rsidRPr="00CB4B90">
        <w:rPr>
          <w:rFonts w:ascii="Arial" w:eastAsia="Times New Roman" w:hAnsi="Arial" w:cs="Arial"/>
          <w:color w:val="1F1F1F"/>
          <w:szCs w:val="22"/>
          <w:lang w:eastAsia="en-IN"/>
        </w:rPr>
        <w:t>New Delhi</w:t>
      </w:r>
      <w:r w:rsidRPr="00766B65">
        <w:rPr>
          <w:rFonts w:ascii="Arial" w:eastAsia="Times New Roman" w:hAnsi="Arial" w:cs="Arial"/>
          <w:color w:val="1F1F1F"/>
          <w:szCs w:val="22"/>
          <w:lang w:eastAsia="en-IN"/>
        </w:rPr>
        <w:t>.</w:t>
      </w:r>
    </w:p>
    <w:p w14:paraId="738C3E42"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 xml:space="preserve">Kumar, S., Singh, R., &amp; Patel, N. R. (2020). Impact of weather-based </w:t>
      </w:r>
      <w:proofErr w:type="spellStart"/>
      <w:r w:rsidRPr="00766B65">
        <w:rPr>
          <w:rFonts w:ascii="Arial" w:eastAsia="Times New Roman" w:hAnsi="Arial" w:cs="Arial"/>
          <w:color w:val="1F1F1F"/>
          <w:szCs w:val="22"/>
          <w:lang w:eastAsia="en-IN"/>
        </w:rPr>
        <w:t>agromet</w:t>
      </w:r>
      <w:proofErr w:type="spellEnd"/>
      <w:r w:rsidRPr="00766B65">
        <w:rPr>
          <w:rFonts w:ascii="Arial" w:eastAsia="Times New Roman" w:hAnsi="Arial" w:cs="Arial"/>
          <w:color w:val="1F1F1F"/>
          <w:szCs w:val="22"/>
          <w:lang w:eastAsia="en-IN"/>
        </w:rPr>
        <w:t xml:space="preserve"> advisories on farmers’ decision-making and crop productivity. </w:t>
      </w:r>
      <w:r w:rsidRPr="00CB4B90">
        <w:rPr>
          <w:rFonts w:ascii="Arial" w:eastAsia="Times New Roman" w:hAnsi="Arial" w:cs="Arial"/>
          <w:i/>
          <w:iCs/>
          <w:color w:val="1F1F1F"/>
          <w:szCs w:val="22"/>
          <w:lang w:eastAsia="en-IN"/>
        </w:rPr>
        <w:t>Journal of Agrometeorology</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22</w:t>
      </w:r>
      <w:r w:rsidRPr="00CB4B90">
        <w:rPr>
          <w:rFonts w:ascii="Arial" w:eastAsia="Times New Roman" w:hAnsi="Arial" w:cs="Arial"/>
          <w:color w:val="1F1F1F"/>
          <w:szCs w:val="22"/>
          <w:lang w:eastAsia="en-IN"/>
        </w:rPr>
        <w:t>(3), 275–282</w:t>
      </w:r>
      <w:r w:rsidRPr="00766B65">
        <w:rPr>
          <w:rFonts w:ascii="Arial" w:eastAsia="Times New Roman" w:hAnsi="Arial" w:cs="Arial"/>
          <w:color w:val="1F1F1F"/>
          <w:szCs w:val="22"/>
          <w:lang w:eastAsia="en-IN"/>
        </w:rPr>
        <w:t>.</w:t>
      </w:r>
    </w:p>
    <w:p w14:paraId="663D6E73"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Meena, R. P., Tripathi, S. C., &amp; Singh, G. (2019). Role of agrometeorological advisories in climate risk management for Indian agriculture. </w:t>
      </w:r>
      <w:r w:rsidRPr="00CB4B90">
        <w:rPr>
          <w:rFonts w:ascii="Arial" w:eastAsia="Times New Roman" w:hAnsi="Arial" w:cs="Arial"/>
          <w:i/>
          <w:iCs/>
          <w:color w:val="1F1F1F"/>
          <w:szCs w:val="22"/>
          <w:lang w:eastAsia="en-IN"/>
        </w:rPr>
        <w:t>Indian Journal of Agricultural Sciences</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89</w:t>
      </w:r>
      <w:r w:rsidRPr="00CB4B90">
        <w:rPr>
          <w:rFonts w:ascii="Arial" w:eastAsia="Times New Roman" w:hAnsi="Arial" w:cs="Arial"/>
          <w:color w:val="1F1F1F"/>
          <w:szCs w:val="22"/>
          <w:lang w:eastAsia="en-IN"/>
        </w:rPr>
        <w:t>(4), 567–573</w:t>
      </w:r>
      <w:r w:rsidRPr="00766B65">
        <w:rPr>
          <w:rFonts w:ascii="Arial" w:eastAsia="Times New Roman" w:hAnsi="Arial" w:cs="Arial"/>
          <w:color w:val="1F1F1F"/>
          <w:szCs w:val="22"/>
          <w:lang w:eastAsia="en-IN"/>
        </w:rPr>
        <w:t>.</w:t>
      </w:r>
    </w:p>
    <w:p w14:paraId="5DC31102"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National Council of Applied Economic Research (NCAER). (2010). </w:t>
      </w:r>
      <w:r w:rsidRPr="00766B65">
        <w:rPr>
          <w:rFonts w:ascii="Arial" w:eastAsia="Times New Roman" w:hAnsi="Arial" w:cs="Arial"/>
          <w:i/>
          <w:iCs/>
          <w:color w:val="1F1F1F"/>
          <w:szCs w:val="22"/>
          <w:lang w:eastAsia="en-IN"/>
        </w:rPr>
        <w:t>Economic impact assessment of climate change on Indian agriculture</w:t>
      </w:r>
      <w:r w:rsidRPr="00766B65">
        <w:rPr>
          <w:rFonts w:ascii="Arial" w:eastAsia="Times New Roman" w:hAnsi="Arial" w:cs="Arial"/>
          <w:color w:val="1F1F1F"/>
          <w:szCs w:val="22"/>
          <w:lang w:eastAsia="en-IN"/>
        </w:rPr>
        <w:t>. </w:t>
      </w:r>
      <w:r w:rsidRPr="00CB4B90">
        <w:rPr>
          <w:rFonts w:ascii="Arial" w:eastAsia="Times New Roman" w:hAnsi="Arial" w:cs="Arial"/>
          <w:color w:val="1F1F1F"/>
          <w:szCs w:val="22"/>
          <w:lang w:eastAsia="en-IN"/>
        </w:rPr>
        <w:t>New Delhi</w:t>
      </w:r>
      <w:r w:rsidRPr="00766B65">
        <w:rPr>
          <w:rFonts w:ascii="Arial" w:eastAsia="Times New Roman" w:hAnsi="Arial" w:cs="Arial"/>
          <w:color w:val="1F1F1F"/>
          <w:szCs w:val="22"/>
          <w:lang w:eastAsia="en-IN"/>
        </w:rPr>
        <w:t>.</w:t>
      </w:r>
    </w:p>
    <w:p w14:paraId="1F7074C3"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 xml:space="preserve">Rao, V. U. M., Rao, A. V. M. S., &amp; Ramana Rao, B. V. (2015). Weather-based </w:t>
      </w:r>
      <w:proofErr w:type="spellStart"/>
      <w:r w:rsidRPr="00766B65">
        <w:rPr>
          <w:rFonts w:ascii="Arial" w:eastAsia="Times New Roman" w:hAnsi="Arial" w:cs="Arial"/>
          <w:color w:val="1F1F1F"/>
          <w:szCs w:val="22"/>
          <w:lang w:eastAsia="en-IN"/>
        </w:rPr>
        <w:t>agromet</w:t>
      </w:r>
      <w:proofErr w:type="spellEnd"/>
      <w:r w:rsidRPr="00766B65">
        <w:rPr>
          <w:rFonts w:ascii="Arial" w:eastAsia="Times New Roman" w:hAnsi="Arial" w:cs="Arial"/>
          <w:color w:val="1F1F1F"/>
          <w:szCs w:val="22"/>
          <w:lang w:eastAsia="en-IN"/>
        </w:rPr>
        <w:t xml:space="preserve"> advisories and their impact on farm decisions. </w:t>
      </w:r>
      <w:r w:rsidRPr="00CB4B90">
        <w:rPr>
          <w:rFonts w:ascii="Arial" w:eastAsia="Times New Roman" w:hAnsi="Arial" w:cs="Arial"/>
          <w:i/>
          <w:iCs/>
          <w:color w:val="1F1F1F"/>
          <w:szCs w:val="22"/>
          <w:lang w:eastAsia="en-IN"/>
        </w:rPr>
        <w:t>Journal of Agrometeorology</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17</w:t>
      </w:r>
      <w:r w:rsidRPr="00CB4B90">
        <w:rPr>
          <w:rFonts w:ascii="Arial" w:eastAsia="Times New Roman" w:hAnsi="Arial" w:cs="Arial"/>
          <w:color w:val="1F1F1F"/>
          <w:szCs w:val="22"/>
          <w:lang w:eastAsia="en-IN"/>
        </w:rPr>
        <w:t>(1), 1–7</w:t>
      </w:r>
      <w:r w:rsidRPr="00766B65">
        <w:rPr>
          <w:rFonts w:ascii="Arial" w:eastAsia="Times New Roman" w:hAnsi="Arial" w:cs="Arial"/>
          <w:color w:val="1F1F1F"/>
          <w:szCs w:val="22"/>
          <w:lang w:eastAsia="en-IN"/>
        </w:rPr>
        <w:t>.</w:t>
      </w:r>
    </w:p>
    <w:p w14:paraId="383C1A0F"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 xml:space="preserve">Rathore, L. S., </w:t>
      </w:r>
      <w:proofErr w:type="spellStart"/>
      <w:r w:rsidRPr="00766B65">
        <w:rPr>
          <w:rFonts w:ascii="Arial" w:eastAsia="Times New Roman" w:hAnsi="Arial" w:cs="Arial"/>
          <w:color w:val="1F1F1F"/>
          <w:szCs w:val="22"/>
          <w:lang w:eastAsia="en-IN"/>
        </w:rPr>
        <w:t>Attri</w:t>
      </w:r>
      <w:proofErr w:type="spellEnd"/>
      <w:r w:rsidRPr="00766B65">
        <w:rPr>
          <w:rFonts w:ascii="Arial" w:eastAsia="Times New Roman" w:hAnsi="Arial" w:cs="Arial"/>
          <w:color w:val="1F1F1F"/>
          <w:szCs w:val="22"/>
          <w:lang w:eastAsia="en-IN"/>
        </w:rPr>
        <w:t>, S. D., &amp; Jaswal, A. K. (2020). Climate services for agriculture in India: Past, present and future. </w:t>
      </w:r>
      <w:r w:rsidRPr="00CB4B90">
        <w:rPr>
          <w:rFonts w:ascii="Arial" w:eastAsia="Times New Roman" w:hAnsi="Arial" w:cs="Arial"/>
          <w:i/>
          <w:iCs/>
          <w:color w:val="1F1F1F"/>
          <w:szCs w:val="22"/>
          <w:lang w:eastAsia="en-IN"/>
        </w:rPr>
        <w:t>Current Science</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119</w:t>
      </w:r>
      <w:r w:rsidRPr="00CB4B90">
        <w:rPr>
          <w:rFonts w:ascii="Arial" w:eastAsia="Times New Roman" w:hAnsi="Arial" w:cs="Arial"/>
          <w:color w:val="1F1F1F"/>
          <w:szCs w:val="22"/>
          <w:lang w:eastAsia="en-IN"/>
        </w:rPr>
        <w:t>(2), 208–215</w:t>
      </w:r>
      <w:r w:rsidRPr="00766B65">
        <w:rPr>
          <w:rFonts w:ascii="Arial" w:eastAsia="Times New Roman" w:hAnsi="Arial" w:cs="Arial"/>
          <w:color w:val="1F1F1F"/>
          <w:szCs w:val="22"/>
          <w:lang w:eastAsia="en-IN"/>
        </w:rPr>
        <w:t>.</w:t>
      </w:r>
    </w:p>
    <w:p w14:paraId="74C07448"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lastRenderedPageBreak/>
        <w:t>Samui, R. P., &amp; Paul, A. (2016). Evaluation of agrometeorological advisory services in eastern India. </w:t>
      </w:r>
      <w:r w:rsidRPr="00CB4B90">
        <w:rPr>
          <w:rFonts w:ascii="Arial" w:eastAsia="Times New Roman" w:hAnsi="Arial" w:cs="Arial"/>
          <w:i/>
          <w:iCs/>
          <w:color w:val="1F1F1F"/>
          <w:szCs w:val="22"/>
          <w:lang w:eastAsia="en-IN"/>
        </w:rPr>
        <w:t>Indian Journal of Extension Education</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52</w:t>
      </w:r>
      <w:r w:rsidRPr="00CB4B90">
        <w:rPr>
          <w:rFonts w:ascii="Arial" w:eastAsia="Times New Roman" w:hAnsi="Arial" w:cs="Arial"/>
          <w:color w:val="1F1F1F"/>
          <w:szCs w:val="22"/>
          <w:lang w:eastAsia="en-IN"/>
        </w:rPr>
        <w:t>(3&amp;4), 45–50</w:t>
      </w:r>
      <w:r w:rsidRPr="00766B65">
        <w:rPr>
          <w:rFonts w:ascii="Arial" w:eastAsia="Times New Roman" w:hAnsi="Arial" w:cs="Arial"/>
          <w:color w:val="1F1F1F"/>
          <w:szCs w:val="22"/>
          <w:lang w:eastAsia="en-IN"/>
        </w:rPr>
        <w:t>.</w:t>
      </w:r>
    </w:p>
    <w:p w14:paraId="1639EF43"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Singh, D., Sharma, K. D., &amp; Mishra, A. (2021). Effectiveness of agrometeorological advisory services in improving farm resilience to climate variability. </w:t>
      </w:r>
      <w:r w:rsidRPr="00CB4B90">
        <w:rPr>
          <w:rFonts w:ascii="Arial" w:eastAsia="Times New Roman" w:hAnsi="Arial" w:cs="Arial"/>
          <w:i/>
          <w:iCs/>
          <w:color w:val="1F1F1F"/>
          <w:szCs w:val="22"/>
          <w:lang w:eastAsia="en-IN"/>
        </w:rPr>
        <w:t>Agricultural Economics Research Review</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34</w:t>
      </w:r>
      <w:r w:rsidRPr="00CB4B90">
        <w:rPr>
          <w:rFonts w:ascii="Arial" w:eastAsia="Times New Roman" w:hAnsi="Arial" w:cs="Arial"/>
          <w:color w:val="1F1F1F"/>
          <w:szCs w:val="22"/>
          <w:lang w:eastAsia="en-IN"/>
        </w:rPr>
        <w:t>(1), 45–55</w:t>
      </w:r>
      <w:r w:rsidRPr="00766B65">
        <w:rPr>
          <w:rFonts w:ascii="Arial" w:eastAsia="Times New Roman" w:hAnsi="Arial" w:cs="Arial"/>
          <w:color w:val="1F1F1F"/>
          <w:szCs w:val="22"/>
          <w:lang w:eastAsia="en-IN"/>
        </w:rPr>
        <w:t>.</w:t>
      </w:r>
    </w:p>
    <w:p w14:paraId="479C8F9E"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Singh, K. K., Rathore, L. S., &amp; Maini, P. (2010). Role of agrometeorological services in sustainable agriculture. </w:t>
      </w:r>
      <w:r w:rsidRPr="00CB4B90">
        <w:rPr>
          <w:rFonts w:ascii="Arial" w:eastAsia="Times New Roman" w:hAnsi="Arial" w:cs="Arial"/>
          <w:i/>
          <w:iCs/>
          <w:color w:val="1F1F1F"/>
          <w:szCs w:val="22"/>
          <w:lang w:eastAsia="en-IN"/>
        </w:rPr>
        <w:t>Journal of Agrometeorology</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12</w:t>
      </w:r>
      <w:r w:rsidRPr="00CB4B90">
        <w:rPr>
          <w:rFonts w:ascii="Arial" w:eastAsia="Times New Roman" w:hAnsi="Arial" w:cs="Arial"/>
          <w:color w:val="1F1F1F"/>
          <w:szCs w:val="22"/>
          <w:lang w:eastAsia="en-IN"/>
        </w:rPr>
        <w:t>(2), 135–141</w:t>
      </w:r>
      <w:r w:rsidRPr="00766B65">
        <w:rPr>
          <w:rFonts w:ascii="Arial" w:eastAsia="Times New Roman" w:hAnsi="Arial" w:cs="Arial"/>
          <w:color w:val="1F1F1F"/>
          <w:szCs w:val="22"/>
          <w:lang w:eastAsia="en-IN"/>
        </w:rPr>
        <w:t>.</w:t>
      </w:r>
    </w:p>
    <w:p w14:paraId="5C3E75AA"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Sivakumar, M. V. K., &amp; Stefanski, R. (2011). Climate services for agriculture and food security. </w:t>
      </w:r>
      <w:r w:rsidRPr="00CB4B90">
        <w:rPr>
          <w:rFonts w:ascii="Arial" w:eastAsia="Times New Roman" w:hAnsi="Arial" w:cs="Arial"/>
          <w:i/>
          <w:iCs/>
          <w:color w:val="1F1F1F"/>
          <w:szCs w:val="22"/>
          <w:lang w:eastAsia="en-IN"/>
        </w:rPr>
        <w:t>Weather and Climate Extremes</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w:t>
      </w:r>
      <w:r w:rsidRPr="00CB4B90">
        <w:rPr>
          <w:rFonts w:ascii="Arial" w:eastAsia="Times New Roman" w:hAnsi="Arial" w:cs="Arial"/>
          <w:color w:val="1F1F1F"/>
          <w:szCs w:val="22"/>
          <w:lang w:eastAsia="en-IN"/>
        </w:rPr>
        <w:t>, 1–4</w:t>
      </w:r>
      <w:r w:rsidRPr="00766B65">
        <w:rPr>
          <w:rFonts w:ascii="Arial" w:eastAsia="Times New Roman" w:hAnsi="Arial" w:cs="Arial"/>
          <w:color w:val="1F1F1F"/>
          <w:szCs w:val="22"/>
          <w:lang w:eastAsia="en-IN"/>
        </w:rPr>
        <w:t>.</w:t>
      </w:r>
    </w:p>
    <w:p w14:paraId="6334EFB8"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 xml:space="preserve">Subash, N., &amp; </w:t>
      </w:r>
      <w:proofErr w:type="spellStart"/>
      <w:r w:rsidRPr="00766B65">
        <w:rPr>
          <w:rFonts w:ascii="Arial" w:eastAsia="Times New Roman" w:hAnsi="Arial" w:cs="Arial"/>
          <w:color w:val="1F1F1F"/>
          <w:szCs w:val="22"/>
          <w:lang w:eastAsia="en-IN"/>
        </w:rPr>
        <w:t>Gangwar</w:t>
      </w:r>
      <w:proofErr w:type="spellEnd"/>
      <w:r w:rsidRPr="00766B65">
        <w:rPr>
          <w:rFonts w:ascii="Arial" w:eastAsia="Times New Roman" w:hAnsi="Arial" w:cs="Arial"/>
          <w:color w:val="1F1F1F"/>
          <w:szCs w:val="22"/>
          <w:lang w:eastAsia="en-IN"/>
        </w:rPr>
        <w:t>, B. (2014). Statistical analysis of farmer responses to agrometeorological advisories. </w:t>
      </w:r>
      <w:r w:rsidRPr="00CB4B90">
        <w:rPr>
          <w:rFonts w:ascii="Arial" w:eastAsia="Times New Roman" w:hAnsi="Arial" w:cs="Arial"/>
          <w:i/>
          <w:iCs/>
          <w:color w:val="1F1F1F"/>
          <w:szCs w:val="22"/>
          <w:lang w:eastAsia="en-IN"/>
        </w:rPr>
        <w:t>Journal of Agricultural Physics</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14</w:t>
      </w:r>
      <w:r w:rsidRPr="00CB4B90">
        <w:rPr>
          <w:rFonts w:ascii="Arial" w:eastAsia="Times New Roman" w:hAnsi="Arial" w:cs="Arial"/>
          <w:color w:val="1F1F1F"/>
          <w:szCs w:val="22"/>
          <w:lang w:eastAsia="en-IN"/>
        </w:rPr>
        <w:t>(2), 130–137</w:t>
      </w:r>
      <w:r w:rsidRPr="00766B65">
        <w:rPr>
          <w:rFonts w:ascii="Arial" w:eastAsia="Times New Roman" w:hAnsi="Arial" w:cs="Arial"/>
          <w:color w:val="1F1F1F"/>
          <w:szCs w:val="22"/>
          <w:lang w:eastAsia="en-IN"/>
        </w:rPr>
        <w:t>.</w:t>
      </w:r>
    </w:p>
    <w:p w14:paraId="00DD5471"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Tripathi, S. C., Meena, R. P., &amp; Patel, N. R. (2018). Assessment of farmers’ perception on weather-based advisories. </w:t>
      </w:r>
      <w:r w:rsidRPr="00CB4B90">
        <w:rPr>
          <w:rFonts w:ascii="Arial" w:eastAsia="Times New Roman" w:hAnsi="Arial" w:cs="Arial"/>
          <w:i/>
          <w:iCs/>
          <w:color w:val="1F1F1F"/>
          <w:szCs w:val="22"/>
          <w:lang w:eastAsia="en-IN"/>
        </w:rPr>
        <w:t>Indian Journal of Extension Education</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54</w:t>
      </w:r>
      <w:r w:rsidRPr="00CB4B90">
        <w:rPr>
          <w:rFonts w:ascii="Arial" w:eastAsia="Times New Roman" w:hAnsi="Arial" w:cs="Arial"/>
          <w:color w:val="1F1F1F"/>
          <w:szCs w:val="22"/>
          <w:lang w:eastAsia="en-IN"/>
        </w:rPr>
        <w:t>(2), 95–101</w:t>
      </w:r>
      <w:r w:rsidRPr="00766B65">
        <w:rPr>
          <w:rFonts w:ascii="Arial" w:eastAsia="Times New Roman" w:hAnsi="Arial" w:cs="Arial"/>
          <w:color w:val="1F1F1F"/>
          <w:szCs w:val="22"/>
          <w:lang w:eastAsia="en-IN"/>
        </w:rPr>
        <w:t>.</w:t>
      </w:r>
    </w:p>
    <w:p w14:paraId="45FD2A6C"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Venkataraman, K., Patel, S. R., &amp; Rao, V. U. M. (2016). Weather-based advisories for climate-smart agriculture in India. </w:t>
      </w:r>
      <w:r w:rsidRPr="00CB4B90">
        <w:rPr>
          <w:rFonts w:ascii="Arial" w:eastAsia="Times New Roman" w:hAnsi="Arial" w:cs="Arial"/>
          <w:i/>
          <w:iCs/>
          <w:color w:val="1F1F1F"/>
          <w:szCs w:val="22"/>
          <w:lang w:eastAsia="en-IN"/>
        </w:rPr>
        <w:t>Journal of Agrometeorology</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18</w:t>
      </w:r>
      <w:r w:rsidRPr="00CB4B90">
        <w:rPr>
          <w:rFonts w:ascii="Arial" w:eastAsia="Times New Roman" w:hAnsi="Arial" w:cs="Arial"/>
          <w:color w:val="1F1F1F"/>
          <w:szCs w:val="22"/>
          <w:lang w:eastAsia="en-IN"/>
        </w:rPr>
        <w:t>(1), 1–10</w:t>
      </w:r>
      <w:r w:rsidRPr="00766B65">
        <w:rPr>
          <w:rFonts w:ascii="Arial" w:eastAsia="Times New Roman" w:hAnsi="Arial" w:cs="Arial"/>
          <w:color w:val="1F1F1F"/>
          <w:szCs w:val="22"/>
          <w:lang w:eastAsia="en-IN"/>
        </w:rPr>
        <w:t>.</w:t>
      </w:r>
    </w:p>
    <w:p w14:paraId="1C5153FE"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World Meteorological Organization (WMO). (2015). </w:t>
      </w:r>
      <w:r w:rsidRPr="00766B65">
        <w:rPr>
          <w:rFonts w:ascii="Arial" w:eastAsia="Times New Roman" w:hAnsi="Arial" w:cs="Arial"/>
          <w:i/>
          <w:iCs/>
          <w:color w:val="1F1F1F"/>
          <w:szCs w:val="22"/>
          <w:lang w:eastAsia="en-IN"/>
        </w:rPr>
        <w:t>Guidelines on multi-hazard impact-based forecast and warning services</w:t>
      </w:r>
      <w:r w:rsidRPr="00766B65">
        <w:rPr>
          <w:rFonts w:ascii="Arial" w:eastAsia="Times New Roman" w:hAnsi="Arial" w:cs="Arial"/>
          <w:color w:val="1F1F1F"/>
          <w:szCs w:val="22"/>
          <w:lang w:eastAsia="en-IN"/>
        </w:rPr>
        <w:t> (WMO-No. 1150). </w:t>
      </w:r>
      <w:r w:rsidRPr="00CB4B90">
        <w:rPr>
          <w:rFonts w:ascii="Arial" w:eastAsia="Times New Roman" w:hAnsi="Arial" w:cs="Arial"/>
          <w:color w:val="1F1F1F"/>
          <w:szCs w:val="22"/>
          <w:lang w:eastAsia="en-IN"/>
        </w:rPr>
        <w:t>Geneva</w:t>
      </w:r>
      <w:r w:rsidRPr="00766B65">
        <w:rPr>
          <w:rFonts w:ascii="Arial" w:eastAsia="Times New Roman" w:hAnsi="Arial" w:cs="Arial"/>
          <w:color w:val="1F1F1F"/>
          <w:szCs w:val="22"/>
          <w:lang w:eastAsia="en-IN"/>
        </w:rPr>
        <w:t>.</w:t>
      </w:r>
    </w:p>
    <w:p w14:paraId="771005A5"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World Meteorological Organization (WMO). (2018). </w:t>
      </w:r>
      <w:r w:rsidRPr="00766B65">
        <w:rPr>
          <w:rFonts w:ascii="Arial" w:eastAsia="Times New Roman" w:hAnsi="Arial" w:cs="Arial"/>
          <w:i/>
          <w:iCs/>
          <w:color w:val="1F1F1F"/>
          <w:szCs w:val="22"/>
          <w:lang w:eastAsia="en-IN"/>
        </w:rPr>
        <w:t>Climate services for agriculture and food security</w:t>
      </w:r>
      <w:r w:rsidRPr="00766B65">
        <w:rPr>
          <w:rFonts w:ascii="Arial" w:eastAsia="Times New Roman" w:hAnsi="Arial" w:cs="Arial"/>
          <w:color w:val="1F1F1F"/>
          <w:szCs w:val="22"/>
          <w:lang w:eastAsia="en-IN"/>
        </w:rPr>
        <w:t>. </w:t>
      </w:r>
      <w:r w:rsidRPr="00CB4B90">
        <w:rPr>
          <w:rFonts w:ascii="Arial" w:eastAsia="Times New Roman" w:hAnsi="Arial" w:cs="Arial"/>
          <w:color w:val="1F1F1F"/>
          <w:szCs w:val="22"/>
          <w:lang w:eastAsia="en-IN"/>
        </w:rPr>
        <w:t>Geneva</w:t>
      </w:r>
      <w:r w:rsidRPr="00766B65">
        <w:rPr>
          <w:rFonts w:ascii="Arial" w:eastAsia="Times New Roman" w:hAnsi="Arial" w:cs="Arial"/>
          <w:color w:val="1F1F1F"/>
          <w:szCs w:val="22"/>
          <w:lang w:eastAsia="en-IN"/>
        </w:rPr>
        <w:t>.</w:t>
      </w:r>
    </w:p>
    <w:p w14:paraId="3CB58AFF" w14:textId="77777777" w:rsidR="00C15EC9" w:rsidRPr="00766B65" w:rsidRDefault="00C15EC9" w:rsidP="00C15EC9">
      <w:pPr>
        <w:shd w:val="clear" w:color="auto" w:fill="FFFFFF"/>
        <w:spacing w:after="240" w:line="240" w:lineRule="auto"/>
        <w:jc w:val="both"/>
        <w:rPr>
          <w:rFonts w:ascii="Arial" w:eastAsia="Times New Roman" w:hAnsi="Arial" w:cs="Arial"/>
          <w:color w:val="1F1F1F"/>
          <w:szCs w:val="22"/>
          <w:lang w:eastAsia="en-IN"/>
        </w:rPr>
      </w:pPr>
      <w:r w:rsidRPr="00766B65">
        <w:rPr>
          <w:rFonts w:ascii="Arial" w:eastAsia="Times New Roman" w:hAnsi="Arial" w:cs="Arial"/>
          <w:color w:val="1F1F1F"/>
          <w:szCs w:val="22"/>
          <w:lang w:eastAsia="en-IN"/>
        </w:rPr>
        <w:t xml:space="preserve">Zhao, C., Liu, B., Piao, S., Wang, X., Lobell, D. B., Huang, Y., Huang, M., Yao, Y., </w:t>
      </w:r>
      <w:proofErr w:type="spellStart"/>
      <w:r w:rsidRPr="00766B65">
        <w:rPr>
          <w:rFonts w:ascii="Arial" w:eastAsia="Times New Roman" w:hAnsi="Arial" w:cs="Arial"/>
          <w:color w:val="1F1F1F"/>
          <w:szCs w:val="22"/>
          <w:lang w:eastAsia="en-IN"/>
        </w:rPr>
        <w:t>Bassu</w:t>
      </w:r>
      <w:proofErr w:type="spellEnd"/>
      <w:r w:rsidRPr="00766B65">
        <w:rPr>
          <w:rFonts w:ascii="Arial" w:eastAsia="Times New Roman" w:hAnsi="Arial" w:cs="Arial"/>
          <w:color w:val="1F1F1F"/>
          <w:szCs w:val="22"/>
          <w:lang w:eastAsia="en-IN"/>
        </w:rPr>
        <w:t>, S., Ciais, P., Durand, J. L., Elliott, J., Ewert, F., Janssens, I. A., Li, T., Lin, E., Liu,</w:t>
      </w:r>
      <w:r w:rsidR="00CB4B90">
        <w:rPr>
          <w:rFonts w:ascii="Arial" w:eastAsia="Times New Roman" w:hAnsi="Arial" w:cs="Arial"/>
          <w:color w:val="1F1F1F"/>
          <w:szCs w:val="22"/>
          <w:lang w:eastAsia="en-IN"/>
        </w:rPr>
        <w:t xml:space="preserve"> Q., </w:t>
      </w:r>
      <w:proofErr w:type="spellStart"/>
      <w:r w:rsidR="00CB4B90">
        <w:rPr>
          <w:rFonts w:ascii="Arial" w:eastAsia="Times New Roman" w:hAnsi="Arial" w:cs="Arial"/>
          <w:color w:val="1F1F1F"/>
          <w:szCs w:val="22"/>
          <w:lang w:eastAsia="en-IN"/>
        </w:rPr>
        <w:t>Martre</w:t>
      </w:r>
      <w:proofErr w:type="spellEnd"/>
      <w:r w:rsidR="00CB4B90">
        <w:rPr>
          <w:rFonts w:ascii="Arial" w:eastAsia="Times New Roman" w:hAnsi="Arial" w:cs="Arial"/>
          <w:color w:val="1F1F1F"/>
          <w:szCs w:val="22"/>
          <w:lang w:eastAsia="en-IN"/>
        </w:rPr>
        <w:t xml:space="preserve">, P., Müller, C., </w:t>
      </w:r>
      <w:r w:rsidRPr="00766B65">
        <w:rPr>
          <w:rFonts w:ascii="Arial" w:eastAsia="Times New Roman" w:hAnsi="Arial" w:cs="Arial"/>
          <w:color w:val="1F1F1F"/>
          <w:szCs w:val="22"/>
          <w:lang w:eastAsia="en-IN"/>
        </w:rPr>
        <w:t>Asseng, S. (2017). Temperature increase reduces global yields of major crops. </w:t>
      </w:r>
      <w:r w:rsidRPr="00CB4B90">
        <w:rPr>
          <w:rFonts w:ascii="Arial" w:eastAsia="Times New Roman" w:hAnsi="Arial" w:cs="Arial"/>
          <w:i/>
          <w:iCs/>
          <w:color w:val="1F1F1F"/>
          <w:szCs w:val="22"/>
          <w:lang w:eastAsia="en-IN"/>
        </w:rPr>
        <w:t>Proceedings of the National Academy of Sciences</w:t>
      </w:r>
      <w:r w:rsidRPr="00CB4B90">
        <w:rPr>
          <w:rFonts w:ascii="Arial" w:eastAsia="Times New Roman" w:hAnsi="Arial" w:cs="Arial"/>
          <w:color w:val="1F1F1F"/>
          <w:szCs w:val="22"/>
          <w:lang w:eastAsia="en-IN"/>
        </w:rPr>
        <w:t>, </w:t>
      </w:r>
      <w:r w:rsidRPr="00CB4B90">
        <w:rPr>
          <w:rFonts w:ascii="Arial" w:eastAsia="Times New Roman" w:hAnsi="Arial" w:cs="Arial"/>
          <w:i/>
          <w:iCs/>
          <w:color w:val="1F1F1F"/>
          <w:szCs w:val="22"/>
          <w:lang w:eastAsia="en-IN"/>
        </w:rPr>
        <w:t>114</w:t>
      </w:r>
      <w:r w:rsidRPr="00CB4B90">
        <w:rPr>
          <w:rFonts w:ascii="Arial" w:eastAsia="Times New Roman" w:hAnsi="Arial" w:cs="Arial"/>
          <w:color w:val="1F1F1F"/>
          <w:szCs w:val="22"/>
          <w:lang w:eastAsia="en-IN"/>
        </w:rPr>
        <w:t>(35), 9326–9331</w:t>
      </w:r>
      <w:r w:rsidRPr="00766B65">
        <w:rPr>
          <w:rFonts w:ascii="Arial" w:eastAsia="Times New Roman" w:hAnsi="Arial" w:cs="Arial"/>
          <w:color w:val="1F1F1F"/>
          <w:szCs w:val="22"/>
          <w:lang w:eastAsia="en-IN"/>
        </w:rPr>
        <w:t>.</w:t>
      </w:r>
    </w:p>
    <w:p w14:paraId="1BA21C73" w14:textId="77777777" w:rsidR="00435ECD" w:rsidRPr="00CB4B90" w:rsidRDefault="00435ECD" w:rsidP="00C15EC9">
      <w:pPr>
        <w:pStyle w:val="NormalWeb"/>
        <w:numPr>
          <w:ilvl w:val="1"/>
          <w:numId w:val="20"/>
        </w:numPr>
        <w:spacing w:line="240" w:lineRule="atLeast"/>
        <w:ind w:left="142"/>
        <w:contextualSpacing/>
        <w:jc w:val="both"/>
        <w:rPr>
          <w:rFonts w:ascii="Arial" w:hAnsi="Arial" w:cs="Arial"/>
          <w:sz w:val="22"/>
          <w:szCs w:val="22"/>
        </w:rPr>
      </w:pPr>
    </w:p>
    <w:sectPr w:rsidR="00435ECD" w:rsidRPr="00CB4B9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94CF" w14:textId="77777777" w:rsidR="00A94EB3" w:rsidRDefault="00A94EB3" w:rsidP="006F7799">
      <w:pPr>
        <w:spacing w:after="0" w:line="240" w:lineRule="auto"/>
      </w:pPr>
      <w:r>
        <w:separator/>
      </w:r>
    </w:p>
  </w:endnote>
  <w:endnote w:type="continuationSeparator" w:id="0">
    <w:p w14:paraId="7CC03869" w14:textId="77777777" w:rsidR="00A94EB3" w:rsidRDefault="00A94EB3" w:rsidP="006F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BED9" w14:textId="77777777" w:rsidR="006F7799" w:rsidRDefault="006F7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3EFB" w14:textId="77777777" w:rsidR="006F7799" w:rsidRDefault="006F7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1236" w14:textId="77777777" w:rsidR="006F7799" w:rsidRDefault="006F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67043" w14:textId="77777777" w:rsidR="00A94EB3" w:rsidRDefault="00A94EB3" w:rsidP="006F7799">
      <w:pPr>
        <w:spacing w:after="0" w:line="240" w:lineRule="auto"/>
      </w:pPr>
      <w:r>
        <w:separator/>
      </w:r>
    </w:p>
  </w:footnote>
  <w:footnote w:type="continuationSeparator" w:id="0">
    <w:p w14:paraId="7202AC58" w14:textId="77777777" w:rsidR="00A94EB3" w:rsidRDefault="00A94EB3" w:rsidP="006F7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0367" w14:textId="62F2DACB" w:rsidR="006F7799" w:rsidRDefault="006F7799">
    <w:pPr>
      <w:pStyle w:val="Header"/>
    </w:pPr>
    <w:r>
      <w:rPr>
        <w:noProof/>
      </w:rPr>
      <w:pict w14:anchorId="7616C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B5D5" w14:textId="476DE8EB" w:rsidR="006F7799" w:rsidRDefault="006F7799">
    <w:pPr>
      <w:pStyle w:val="Header"/>
    </w:pPr>
    <w:r>
      <w:rPr>
        <w:noProof/>
      </w:rPr>
      <w:pict w14:anchorId="57FAB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5325" w14:textId="7246AD24" w:rsidR="006F7799" w:rsidRDefault="006F7799">
    <w:pPr>
      <w:pStyle w:val="Header"/>
    </w:pPr>
    <w:r>
      <w:rPr>
        <w:noProof/>
      </w:rPr>
      <w:pict w14:anchorId="76AD5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97B"/>
    <w:multiLevelType w:val="multilevel"/>
    <w:tmpl w:val="C12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46D34"/>
    <w:multiLevelType w:val="hybridMultilevel"/>
    <w:tmpl w:val="5D82D1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260861"/>
    <w:multiLevelType w:val="multilevel"/>
    <w:tmpl w:val="5EB8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139E2"/>
    <w:multiLevelType w:val="hybridMultilevel"/>
    <w:tmpl w:val="EE502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876909"/>
    <w:multiLevelType w:val="multilevel"/>
    <w:tmpl w:val="801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5519D"/>
    <w:multiLevelType w:val="multilevel"/>
    <w:tmpl w:val="90C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64C27"/>
    <w:multiLevelType w:val="hybridMultilevel"/>
    <w:tmpl w:val="EE502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317AC"/>
    <w:multiLevelType w:val="multilevel"/>
    <w:tmpl w:val="A768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30887"/>
    <w:multiLevelType w:val="hybridMultilevel"/>
    <w:tmpl w:val="41E2F516"/>
    <w:lvl w:ilvl="0" w:tplc="A1CA73BA">
      <w:start w:val="4"/>
      <w:numFmt w:val="bullet"/>
      <w:lvlText w:val=""/>
      <w:lvlJc w:val="left"/>
      <w:pPr>
        <w:ind w:left="795" w:hanging="360"/>
      </w:pPr>
      <w:rPr>
        <w:rFonts w:ascii="Symbol" w:eastAsia="Times New Roman" w:hAnsi="Symbol" w:cs="Times New Roman"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9" w15:restartNumberingAfterBreak="0">
    <w:nsid w:val="2C5167E6"/>
    <w:multiLevelType w:val="multilevel"/>
    <w:tmpl w:val="40B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D78D1"/>
    <w:multiLevelType w:val="multilevel"/>
    <w:tmpl w:val="8F4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E170F"/>
    <w:multiLevelType w:val="multilevel"/>
    <w:tmpl w:val="B3B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A54BA"/>
    <w:multiLevelType w:val="multilevel"/>
    <w:tmpl w:val="3274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416D5"/>
    <w:multiLevelType w:val="multilevel"/>
    <w:tmpl w:val="468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90BB2"/>
    <w:multiLevelType w:val="multilevel"/>
    <w:tmpl w:val="B060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FF1DAC"/>
    <w:multiLevelType w:val="multilevel"/>
    <w:tmpl w:val="308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46E7"/>
    <w:multiLevelType w:val="multilevel"/>
    <w:tmpl w:val="BAC4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E249D"/>
    <w:multiLevelType w:val="multilevel"/>
    <w:tmpl w:val="C51E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258A2"/>
    <w:multiLevelType w:val="multilevel"/>
    <w:tmpl w:val="1D7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438E4"/>
    <w:multiLevelType w:val="multilevel"/>
    <w:tmpl w:val="8D4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83DD7"/>
    <w:multiLevelType w:val="multilevel"/>
    <w:tmpl w:val="216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16"/>
  </w:num>
  <w:num w:numId="4">
    <w:abstractNumId w:val="13"/>
  </w:num>
  <w:num w:numId="5">
    <w:abstractNumId w:val="10"/>
  </w:num>
  <w:num w:numId="6">
    <w:abstractNumId w:val="5"/>
  </w:num>
  <w:num w:numId="7">
    <w:abstractNumId w:val="20"/>
  </w:num>
  <w:num w:numId="8">
    <w:abstractNumId w:val="11"/>
  </w:num>
  <w:num w:numId="9">
    <w:abstractNumId w:val="0"/>
  </w:num>
  <w:num w:numId="10">
    <w:abstractNumId w:val="7"/>
  </w:num>
  <w:num w:numId="11">
    <w:abstractNumId w:val="4"/>
  </w:num>
  <w:num w:numId="12">
    <w:abstractNumId w:val="18"/>
  </w:num>
  <w:num w:numId="13">
    <w:abstractNumId w:val="6"/>
  </w:num>
  <w:num w:numId="14">
    <w:abstractNumId w:val="12"/>
  </w:num>
  <w:num w:numId="15">
    <w:abstractNumId w:val="15"/>
  </w:num>
  <w:num w:numId="16">
    <w:abstractNumId w:val="9"/>
  </w:num>
  <w:num w:numId="17">
    <w:abstractNumId w:val="17"/>
  </w:num>
  <w:num w:numId="18">
    <w:abstractNumId w:val="14"/>
  </w:num>
  <w:num w:numId="19">
    <w:abstractNumId w:val="3"/>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18"/>
    <w:rsid w:val="00014B84"/>
    <w:rsid w:val="000A0C16"/>
    <w:rsid w:val="000F018A"/>
    <w:rsid w:val="000F2409"/>
    <w:rsid w:val="00146F69"/>
    <w:rsid w:val="0018149A"/>
    <w:rsid w:val="001B6DEA"/>
    <w:rsid w:val="001C016F"/>
    <w:rsid w:val="00211729"/>
    <w:rsid w:val="00292F00"/>
    <w:rsid w:val="00301C9C"/>
    <w:rsid w:val="003512AE"/>
    <w:rsid w:val="00430BBC"/>
    <w:rsid w:val="00435ECD"/>
    <w:rsid w:val="00455758"/>
    <w:rsid w:val="00515E51"/>
    <w:rsid w:val="006110A4"/>
    <w:rsid w:val="006A321D"/>
    <w:rsid w:val="006B1A59"/>
    <w:rsid w:val="006B3068"/>
    <w:rsid w:val="006F7799"/>
    <w:rsid w:val="00722209"/>
    <w:rsid w:val="00731E63"/>
    <w:rsid w:val="00763B58"/>
    <w:rsid w:val="007A2947"/>
    <w:rsid w:val="007D6D95"/>
    <w:rsid w:val="00801A60"/>
    <w:rsid w:val="00820E1B"/>
    <w:rsid w:val="00884C7C"/>
    <w:rsid w:val="00921F81"/>
    <w:rsid w:val="00945210"/>
    <w:rsid w:val="009A2418"/>
    <w:rsid w:val="009E2719"/>
    <w:rsid w:val="009F1235"/>
    <w:rsid w:val="00A25F99"/>
    <w:rsid w:val="00A94EB3"/>
    <w:rsid w:val="00AE4261"/>
    <w:rsid w:val="00B30468"/>
    <w:rsid w:val="00BF1DD4"/>
    <w:rsid w:val="00C15EC9"/>
    <w:rsid w:val="00C30B21"/>
    <w:rsid w:val="00C57E9E"/>
    <w:rsid w:val="00C94523"/>
    <w:rsid w:val="00C95667"/>
    <w:rsid w:val="00CB4B90"/>
    <w:rsid w:val="00CB4FCA"/>
    <w:rsid w:val="00CB528B"/>
    <w:rsid w:val="00D0699D"/>
    <w:rsid w:val="00D24523"/>
    <w:rsid w:val="00D314D3"/>
    <w:rsid w:val="00D34A8E"/>
    <w:rsid w:val="00D70EBC"/>
    <w:rsid w:val="00D82C79"/>
    <w:rsid w:val="00DB391B"/>
    <w:rsid w:val="00E03FB3"/>
    <w:rsid w:val="00EB26F9"/>
    <w:rsid w:val="00EE5BD6"/>
    <w:rsid w:val="00F379AC"/>
    <w:rsid w:val="00F550BE"/>
    <w:rsid w:val="00F833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2E633"/>
  <w15:chartTrackingRefBased/>
  <w15:docId w15:val="{B633125C-6472-4B18-AEC6-DD9D60BE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35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35EC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35EC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EC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35EC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35EC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35ECD"/>
    <w:rPr>
      <w:b/>
      <w:bCs/>
    </w:rPr>
  </w:style>
  <w:style w:type="paragraph" w:styleId="NormalWeb">
    <w:name w:val="Normal (Web)"/>
    <w:basedOn w:val="Normal"/>
    <w:uiPriority w:val="99"/>
    <w:unhideWhenUsed/>
    <w:rsid w:val="00435EC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35ECD"/>
    <w:rPr>
      <w:i/>
      <w:iCs/>
    </w:rPr>
  </w:style>
  <w:style w:type="paragraph" w:styleId="ListParagraph">
    <w:name w:val="List Paragraph"/>
    <w:basedOn w:val="Normal"/>
    <w:uiPriority w:val="34"/>
    <w:qFormat/>
    <w:rsid w:val="00A25F99"/>
    <w:pPr>
      <w:ind w:left="720"/>
      <w:contextualSpacing/>
    </w:pPr>
  </w:style>
  <w:style w:type="table" w:styleId="TableGrid">
    <w:name w:val="Table Grid"/>
    <w:basedOn w:val="TableNormal"/>
    <w:uiPriority w:val="39"/>
    <w:rsid w:val="00BF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47">
    <w:name w:val="citation-147"/>
    <w:basedOn w:val="DefaultParagraphFont"/>
    <w:rsid w:val="00C15EC9"/>
  </w:style>
  <w:style w:type="character" w:styleId="Hyperlink">
    <w:name w:val="Hyperlink"/>
    <w:basedOn w:val="DefaultParagraphFont"/>
    <w:uiPriority w:val="99"/>
    <w:unhideWhenUsed/>
    <w:rsid w:val="00515E51"/>
    <w:rPr>
      <w:color w:val="0563C1" w:themeColor="hyperlink"/>
      <w:u w:val="single"/>
    </w:rPr>
  </w:style>
  <w:style w:type="character" w:styleId="UnresolvedMention">
    <w:name w:val="Unresolved Mention"/>
    <w:basedOn w:val="DefaultParagraphFont"/>
    <w:uiPriority w:val="99"/>
    <w:semiHidden/>
    <w:unhideWhenUsed/>
    <w:rsid w:val="00515E51"/>
    <w:rPr>
      <w:color w:val="605E5C"/>
      <w:shd w:val="clear" w:color="auto" w:fill="E1DFDD"/>
    </w:rPr>
  </w:style>
  <w:style w:type="paragraph" w:styleId="Header">
    <w:name w:val="header"/>
    <w:basedOn w:val="Normal"/>
    <w:link w:val="HeaderChar"/>
    <w:uiPriority w:val="99"/>
    <w:unhideWhenUsed/>
    <w:rsid w:val="006F7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799"/>
  </w:style>
  <w:style w:type="paragraph" w:styleId="Footer">
    <w:name w:val="footer"/>
    <w:basedOn w:val="Normal"/>
    <w:link w:val="FooterChar"/>
    <w:uiPriority w:val="99"/>
    <w:unhideWhenUsed/>
    <w:rsid w:val="006F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8754">
      <w:bodyDiv w:val="1"/>
      <w:marLeft w:val="0"/>
      <w:marRight w:val="0"/>
      <w:marTop w:val="0"/>
      <w:marBottom w:val="0"/>
      <w:divBdr>
        <w:top w:val="none" w:sz="0" w:space="0" w:color="auto"/>
        <w:left w:val="none" w:sz="0" w:space="0" w:color="auto"/>
        <w:bottom w:val="none" w:sz="0" w:space="0" w:color="auto"/>
        <w:right w:val="none" w:sz="0" w:space="0" w:color="auto"/>
      </w:divBdr>
    </w:div>
    <w:div w:id="792602176">
      <w:bodyDiv w:val="1"/>
      <w:marLeft w:val="0"/>
      <w:marRight w:val="0"/>
      <w:marTop w:val="0"/>
      <w:marBottom w:val="0"/>
      <w:divBdr>
        <w:top w:val="none" w:sz="0" w:space="0" w:color="auto"/>
        <w:left w:val="none" w:sz="0" w:space="0" w:color="auto"/>
        <w:bottom w:val="none" w:sz="0" w:space="0" w:color="auto"/>
        <w:right w:val="none" w:sz="0" w:space="0" w:color="auto"/>
      </w:divBdr>
    </w:div>
    <w:div w:id="12085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Jaiprakash Bisen</dc:creator>
  <cp:keywords/>
  <dc:description/>
  <cp:lastModifiedBy>SDI 1084</cp:lastModifiedBy>
  <cp:revision>53</cp:revision>
  <dcterms:created xsi:type="dcterms:W3CDTF">2026-01-19T10:26:00Z</dcterms:created>
  <dcterms:modified xsi:type="dcterms:W3CDTF">2026-02-06T11:01:00Z</dcterms:modified>
</cp:coreProperties>
</file>