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A3E" w:rsidRDefault="00781A3E" w:rsidP="00544FB2">
      <w:pPr>
        <w:spacing w:after="0"/>
        <w:jc w:val="both"/>
        <w:rPr>
          <w:rFonts w:ascii="TimesNewRomanPS-BoldMT" w:eastAsia="Times New Roman" w:hAnsi="TimesNewRomanPS-BoldMT" w:cs="Times New Roman"/>
          <w:b/>
          <w:bCs/>
          <w:color w:val="000000"/>
          <w:sz w:val="28"/>
          <w:szCs w:val="28"/>
        </w:rPr>
      </w:pPr>
      <w:r w:rsidRPr="00AD1C44">
        <w:rPr>
          <w:rFonts w:ascii="Times New Roman" w:hAnsi="Times New Roman" w:cs="Times New Roman"/>
          <w:b/>
          <w:bCs/>
          <w:sz w:val="28"/>
          <w:szCs w:val="28"/>
        </w:rPr>
        <w:t>EVALUATION OF</w:t>
      </w:r>
      <w:r w:rsidRPr="00B16FFC">
        <w:rPr>
          <w:sz w:val="28"/>
          <w:szCs w:val="28"/>
        </w:rPr>
        <w:t xml:space="preserve"> </w:t>
      </w:r>
      <w:r w:rsidRPr="00AD1C44">
        <w:rPr>
          <w:rFonts w:ascii="TimesNewRomanPS-BoldMT" w:eastAsia="Times New Roman" w:hAnsi="TimesNewRomanPS-BoldMT" w:cs="Times New Roman"/>
          <w:b/>
          <w:bCs/>
          <w:color w:val="000000"/>
          <w:sz w:val="28"/>
          <w:szCs w:val="28"/>
        </w:rPr>
        <w:t>GENETIC VARIABILITY</w:t>
      </w:r>
      <w:r w:rsidR="00655478">
        <w:rPr>
          <w:rFonts w:ascii="TimesNewRomanPS-BoldMT" w:eastAsia="Times New Roman" w:hAnsi="TimesNewRomanPS-BoldMT" w:cs="Times New Roman"/>
          <w:b/>
          <w:bCs/>
          <w:color w:val="000000"/>
          <w:sz w:val="28"/>
          <w:szCs w:val="28"/>
        </w:rPr>
        <w:t>,</w:t>
      </w:r>
      <w:r w:rsidRPr="00AD1C44">
        <w:rPr>
          <w:rFonts w:ascii="TimesNewRomanPS-BoldMT" w:eastAsia="Times New Roman" w:hAnsi="TimesNewRomanPS-BoldMT" w:cs="Times New Roman"/>
          <w:b/>
          <w:bCs/>
          <w:color w:val="000000"/>
          <w:sz w:val="28"/>
          <w:szCs w:val="28"/>
        </w:rPr>
        <w:t xml:space="preserve"> HERITABILITY</w:t>
      </w:r>
      <w:r w:rsidR="00655478">
        <w:rPr>
          <w:rFonts w:ascii="TimesNewRomanPS-BoldMT" w:eastAsia="Times New Roman" w:hAnsi="TimesNewRomanPS-BoldMT" w:cs="Times New Roman"/>
          <w:b/>
          <w:bCs/>
          <w:color w:val="000000"/>
          <w:sz w:val="28"/>
          <w:szCs w:val="28"/>
        </w:rPr>
        <w:t xml:space="preserve"> AND CORRELATION</w:t>
      </w:r>
      <w:r w:rsidR="00655478" w:rsidRPr="00AD1C44">
        <w:rPr>
          <w:rFonts w:ascii="TimesNewRomanPS-BoldMT" w:eastAsia="Times New Roman" w:hAnsi="TimesNewRomanPS-BoldMT" w:cs="Times New Roman"/>
          <w:b/>
          <w:bCs/>
          <w:color w:val="000000"/>
          <w:sz w:val="28"/>
          <w:szCs w:val="28"/>
        </w:rPr>
        <w:t xml:space="preserve"> </w:t>
      </w:r>
      <w:r w:rsidRPr="00AD1C44">
        <w:rPr>
          <w:rFonts w:ascii="TimesNewRomanPS-BoldMT" w:eastAsia="Times New Roman" w:hAnsi="TimesNewRomanPS-BoldMT" w:cs="Times New Roman"/>
          <w:b/>
          <w:bCs/>
          <w:color w:val="000000"/>
          <w:sz w:val="28"/>
          <w:szCs w:val="28"/>
        </w:rPr>
        <w:t>AMONG MANDARIN (</w:t>
      </w:r>
      <w:r w:rsidRPr="00AD1C44">
        <w:rPr>
          <w:rFonts w:ascii="TimesNewRomanPS-BoldItalicMT" w:eastAsia="Times New Roman" w:hAnsi="TimesNewRomanPS-BoldItalicMT" w:cs="Times New Roman"/>
          <w:b/>
          <w:bCs/>
          <w:i/>
          <w:iCs/>
          <w:color w:val="000000"/>
          <w:sz w:val="28"/>
          <w:szCs w:val="28"/>
        </w:rPr>
        <w:t xml:space="preserve">CITRUS RETICULATA </w:t>
      </w:r>
      <w:r w:rsidRPr="00AD1C44">
        <w:rPr>
          <w:rFonts w:ascii="TimesNewRomanPS-BoldMT" w:eastAsia="Times New Roman" w:hAnsi="TimesNewRomanPS-BoldMT" w:cs="Times New Roman"/>
          <w:b/>
          <w:bCs/>
          <w:color w:val="000000"/>
          <w:sz w:val="28"/>
          <w:szCs w:val="28"/>
        </w:rPr>
        <w:t>BLANCO) GENOTYPES</w:t>
      </w:r>
    </w:p>
    <w:p w:rsidR="008A03CE" w:rsidRDefault="008A03CE" w:rsidP="00544FB2">
      <w:pPr>
        <w:spacing w:after="0" w:line="240" w:lineRule="auto"/>
        <w:outlineLvl w:val="1"/>
        <w:rPr>
          <w:rFonts w:ascii="Times New Roman" w:eastAsia="Times New Roman" w:hAnsi="Times New Roman" w:cs="Times New Roman"/>
          <w:b/>
          <w:bCs/>
          <w:sz w:val="36"/>
          <w:szCs w:val="36"/>
        </w:rPr>
      </w:pPr>
    </w:p>
    <w:p w:rsidR="005066FD" w:rsidRDefault="005066FD" w:rsidP="00544FB2">
      <w:pPr>
        <w:spacing w:after="0" w:line="240" w:lineRule="auto"/>
        <w:outlineLvl w:val="1"/>
        <w:rPr>
          <w:rFonts w:ascii="Times New Roman" w:eastAsia="Times New Roman" w:hAnsi="Times New Roman" w:cs="Times New Roman"/>
          <w:b/>
          <w:bCs/>
          <w:sz w:val="36"/>
          <w:szCs w:val="36"/>
        </w:rPr>
      </w:pPr>
      <w:bookmarkStart w:id="0" w:name="_GoBack"/>
      <w:bookmarkEnd w:id="0"/>
    </w:p>
    <w:p w:rsidR="00781A3E" w:rsidRPr="00781A3E" w:rsidRDefault="00781A3E" w:rsidP="00544FB2">
      <w:pPr>
        <w:spacing w:after="0" w:line="240" w:lineRule="auto"/>
        <w:outlineLvl w:val="1"/>
        <w:rPr>
          <w:rFonts w:ascii="Times New Roman" w:eastAsia="Times New Roman" w:hAnsi="Times New Roman" w:cs="Times New Roman"/>
          <w:b/>
          <w:bCs/>
          <w:sz w:val="36"/>
          <w:szCs w:val="36"/>
        </w:rPr>
      </w:pPr>
      <w:r w:rsidRPr="00781A3E">
        <w:rPr>
          <w:rFonts w:ascii="Times New Roman" w:eastAsia="Times New Roman" w:hAnsi="Times New Roman" w:cs="Times New Roman"/>
          <w:b/>
          <w:bCs/>
          <w:sz w:val="36"/>
          <w:szCs w:val="36"/>
        </w:rPr>
        <w:t>Abstract</w:t>
      </w:r>
    </w:p>
    <w:p w:rsidR="00781A3E" w:rsidRPr="00781A3E" w:rsidRDefault="00781A3E" w:rsidP="00B87332">
      <w:pPr>
        <w:spacing w:after="0" w:line="240" w:lineRule="auto"/>
        <w:ind w:firstLine="720"/>
        <w:jc w:val="both"/>
        <w:rPr>
          <w:rFonts w:ascii="Times New Roman" w:eastAsia="Times New Roman" w:hAnsi="Times New Roman" w:cs="Times New Roman"/>
          <w:sz w:val="24"/>
          <w:szCs w:val="24"/>
        </w:rPr>
      </w:pPr>
      <w:r w:rsidRPr="00781A3E">
        <w:rPr>
          <w:rFonts w:ascii="Times New Roman" w:eastAsia="Times New Roman" w:hAnsi="Times New Roman" w:cs="Times New Roman"/>
          <w:sz w:val="24"/>
          <w:szCs w:val="24"/>
        </w:rPr>
        <w:t xml:space="preserve">The present investigation </w:t>
      </w:r>
      <w:r w:rsidR="00B87332" w:rsidRPr="00B87332">
        <w:rPr>
          <w:rFonts w:ascii="Times New Roman" w:eastAsia="Times New Roman" w:hAnsi="Times New Roman" w:cs="Times New Roman"/>
          <w:sz w:val="24"/>
          <w:szCs w:val="24"/>
        </w:rPr>
        <w:t xml:space="preserve">was conducted at the </w:t>
      </w:r>
      <w:r w:rsidR="00B87332">
        <w:rPr>
          <w:rFonts w:ascii="Times New Roman" w:eastAsia="Times New Roman" w:hAnsi="Times New Roman" w:cs="Times New Roman"/>
          <w:sz w:val="24"/>
          <w:szCs w:val="24"/>
        </w:rPr>
        <w:t xml:space="preserve">Agriculture Research Station, </w:t>
      </w:r>
      <w:proofErr w:type="spellStart"/>
      <w:r w:rsidR="00B87332" w:rsidRPr="00B87332">
        <w:rPr>
          <w:rFonts w:ascii="Times New Roman" w:eastAsia="Times New Roman" w:hAnsi="Times New Roman" w:cs="Times New Roman"/>
          <w:sz w:val="24"/>
          <w:szCs w:val="24"/>
        </w:rPr>
        <w:t>Sriganganagar</w:t>
      </w:r>
      <w:proofErr w:type="spellEnd"/>
      <w:r w:rsidR="00B87332" w:rsidRPr="00B87332">
        <w:rPr>
          <w:rFonts w:ascii="Times New Roman" w:eastAsia="Times New Roman" w:hAnsi="Times New Roman" w:cs="Times New Roman"/>
          <w:sz w:val="24"/>
          <w:szCs w:val="24"/>
        </w:rPr>
        <w:t>, Rajasthan, utilizing seven mandarin genotypes—</w:t>
      </w:r>
      <w:proofErr w:type="spellStart"/>
      <w:r w:rsidR="00B87332" w:rsidRPr="00B87332">
        <w:rPr>
          <w:rFonts w:ascii="Times New Roman" w:eastAsia="Times New Roman" w:hAnsi="Times New Roman" w:cs="Times New Roman"/>
          <w:sz w:val="24"/>
          <w:szCs w:val="24"/>
        </w:rPr>
        <w:t>Mudkhed</w:t>
      </w:r>
      <w:proofErr w:type="spellEnd"/>
      <w:r w:rsidR="00B87332" w:rsidRPr="00B87332">
        <w:rPr>
          <w:rFonts w:ascii="Times New Roman" w:eastAsia="Times New Roman" w:hAnsi="Times New Roman" w:cs="Times New Roman"/>
          <w:sz w:val="24"/>
          <w:szCs w:val="24"/>
        </w:rPr>
        <w:t xml:space="preserve"> Seedless, Nagpur Seedless, Nagpur Mandarin, </w:t>
      </w:r>
      <w:proofErr w:type="spellStart"/>
      <w:r w:rsidR="00B87332" w:rsidRPr="00B87332">
        <w:rPr>
          <w:rFonts w:ascii="Times New Roman" w:eastAsia="Times New Roman" w:hAnsi="Times New Roman" w:cs="Times New Roman"/>
          <w:sz w:val="24"/>
          <w:szCs w:val="24"/>
        </w:rPr>
        <w:t>Kinnow</w:t>
      </w:r>
      <w:proofErr w:type="spellEnd"/>
      <w:r w:rsidR="00B87332" w:rsidRPr="00B87332">
        <w:rPr>
          <w:rFonts w:ascii="Times New Roman" w:eastAsia="Times New Roman" w:hAnsi="Times New Roman" w:cs="Times New Roman"/>
          <w:sz w:val="24"/>
          <w:szCs w:val="24"/>
        </w:rPr>
        <w:t xml:space="preserve"> Mandarin, Coorg Mandarin, Khasi Mandarin, and Darjeeling Mandarin—grafted onto Rough lemon rootstock within a randomized block design featuring three replications.</w:t>
      </w:r>
      <w:r w:rsidR="00B87332">
        <w:rPr>
          <w:rFonts w:ascii="Times New Roman" w:eastAsia="Times New Roman" w:hAnsi="Times New Roman" w:cs="Times New Roman"/>
          <w:sz w:val="24"/>
          <w:szCs w:val="24"/>
        </w:rPr>
        <w:t xml:space="preserve"> </w:t>
      </w:r>
      <w:r w:rsidR="00B87332" w:rsidRPr="00B87332">
        <w:rPr>
          <w:rFonts w:ascii="Times New Roman" w:eastAsia="Times New Roman" w:hAnsi="Times New Roman" w:cs="Times New Roman"/>
          <w:sz w:val="24"/>
          <w:szCs w:val="24"/>
        </w:rPr>
        <w:t xml:space="preserve">Data collected over a four-year period were analyzed to evaluate genetic variability, heritability, and phenotypic correlations among various morphological and fruit-quality traits. Notable variation was detected among the genotypes concerning plant height, canopy volume, stem girth, fruit weight, fruit yield, total soluble solids (TSS), and the </w:t>
      </w:r>
      <w:proofErr w:type="spellStart"/>
      <w:r w:rsidR="00B87332" w:rsidRPr="00B87332">
        <w:rPr>
          <w:rFonts w:ascii="Times New Roman" w:eastAsia="Times New Roman" w:hAnsi="Times New Roman" w:cs="Times New Roman"/>
          <w:sz w:val="24"/>
          <w:szCs w:val="24"/>
        </w:rPr>
        <w:t>TSS:acidity</w:t>
      </w:r>
      <w:proofErr w:type="spellEnd"/>
      <w:r w:rsidR="00B87332" w:rsidRPr="00B87332">
        <w:rPr>
          <w:rFonts w:ascii="Times New Roman" w:eastAsia="Times New Roman" w:hAnsi="Times New Roman" w:cs="Times New Roman"/>
          <w:sz w:val="24"/>
          <w:szCs w:val="24"/>
        </w:rPr>
        <w:t xml:space="preserve"> ratio, indicating a significant level of genetic diversity. High genotypic (GCV) and phenotypic (PCV) coefficients of variation were observed for fruit weight and fruit yield, corroborated by exceptionally high heritability estimates (H² &gt; 0.98), implying that these traits are primarily influenced by additive gene action and can be effectively enhanced through selection.</w:t>
      </w:r>
      <w:r w:rsidR="00B87332">
        <w:rPr>
          <w:rFonts w:ascii="Times New Roman" w:eastAsia="Times New Roman" w:hAnsi="Times New Roman" w:cs="Times New Roman"/>
          <w:sz w:val="24"/>
          <w:szCs w:val="24"/>
        </w:rPr>
        <w:t xml:space="preserve"> </w:t>
      </w:r>
      <w:r w:rsidR="00B87332" w:rsidRPr="00B87332">
        <w:rPr>
          <w:rFonts w:ascii="Times New Roman" w:eastAsia="Times New Roman" w:hAnsi="Times New Roman" w:cs="Times New Roman"/>
          <w:sz w:val="24"/>
          <w:szCs w:val="24"/>
        </w:rPr>
        <w:t xml:space="preserve">Moderate variability along with high heritability was noted for TSS and the </w:t>
      </w:r>
      <w:proofErr w:type="spellStart"/>
      <w:r w:rsidR="00B87332" w:rsidRPr="00B87332">
        <w:rPr>
          <w:rFonts w:ascii="Times New Roman" w:eastAsia="Times New Roman" w:hAnsi="Times New Roman" w:cs="Times New Roman"/>
          <w:sz w:val="24"/>
          <w:szCs w:val="24"/>
        </w:rPr>
        <w:t>TSS:acidity</w:t>
      </w:r>
      <w:proofErr w:type="spellEnd"/>
      <w:r w:rsidR="00B87332" w:rsidRPr="00B87332">
        <w:rPr>
          <w:rFonts w:ascii="Times New Roman" w:eastAsia="Times New Roman" w:hAnsi="Times New Roman" w:cs="Times New Roman"/>
          <w:sz w:val="24"/>
          <w:szCs w:val="24"/>
        </w:rPr>
        <w:t xml:space="preserve"> ratio, suggesting reliable inheritance to subsequent generations. Correlation analysis indicated strong positive relationships between fruit yield and fruit weight (r = 0.983) as well as TSS (r = 0.921), indicating that simultaneous enhancement of yield and quality traits is achievable. In summary, </w:t>
      </w:r>
      <w:proofErr w:type="spellStart"/>
      <w:r w:rsidR="00B87332" w:rsidRPr="00B87332">
        <w:rPr>
          <w:rFonts w:ascii="Times New Roman" w:eastAsia="Times New Roman" w:hAnsi="Times New Roman" w:cs="Times New Roman"/>
          <w:sz w:val="24"/>
          <w:szCs w:val="24"/>
        </w:rPr>
        <w:t>Kinnow</w:t>
      </w:r>
      <w:proofErr w:type="spellEnd"/>
      <w:r w:rsidR="00B87332" w:rsidRPr="00B87332">
        <w:rPr>
          <w:rFonts w:ascii="Times New Roman" w:eastAsia="Times New Roman" w:hAnsi="Times New Roman" w:cs="Times New Roman"/>
          <w:sz w:val="24"/>
          <w:szCs w:val="24"/>
        </w:rPr>
        <w:t xml:space="preserve"> Mandarin demonstrated outstanding performance in terms of canopy volume, fruit weight, TSS, and overall productivity, underscoring its potential as a high-yielding genotype in semi-arid environments.</w:t>
      </w:r>
    </w:p>
    <w:p w:rsidR="00303E7A" w:rsidRDefault="00303E7A" w:rsidP="00544FB2">
      <w:pPr>
        <w:spacing w:after="0"/>
        <w:jc w:val="both"/>
        <w:rPr>
          <w:rFonts w:ascii="Times New Roman" w:hAnsi="Times New Roman" w:cs="Times New Roman"/>
          <w:sz w:val="24"/>
          <w:szCs w:val="24"/>
        </w:rPr>
      </w:pPr>
    </w:p>
    <w:p w:rsidR="00781A3E" w:rsidRDefault="00781A3E" w:rsidP="00544FB2">
      <w:pPr>
        <w:spacing w:after="0"/>
        <w:jc w:val="both"/>
        <w:rPr>
          <w:rFonts w:ascii="Times New Roman" w:hAnsi="Times New Roman" w:cs="Times New Roman"/>
          <w:sz w:val="24"/>
          <w:szCs w:val="24"/>
        </w:rPr>
      </w:pPr>
      <w:r w:rsidRPr="006479E7">
        <w:rPr>
          <w:rFonts w:ascii="Times New Roman" w:hAnsi="Times New Roman" w:cs="Times New Roman"/>
          <w:b/>
          <w:bCs/>
          <w:sz w:val="24"/>
          <w:szCs w:val="24"/>
        </w:rPr>
        <w:t>Key words:</w:t>
      </w:r>
      <w:r>
        <w:rPr>
          <w:rFonts w:ascii="Times New Roman" w:hAnsi="Times New Roman" w:cs="Times New Roman"/>
          <w:sz w:val="24"/>
          <w:szCs w:val="24"/>
        </w:rPr>
        <w:t xml:space="preserve"> Mandarin genotypes, Genetic variability, Herita</w:t>
      </w:r>
      <w:r w:rsidR="00303E7A">
        <w:rPr>
          <w:rFonts w:ascii="Times New Roman" w:hAnsi="Times New Roman" w:cs="Times New Roman"/>
          <w:sz w:val="24"/>
          <w:szCs w:val="24"/>
        </w:rPr>
        <w:t>bility, Correlation coefficient.</w:t>
      </w:r>
      <w:r>
        <w:rPr>
          <w:rFonts w:ascii="Times New Roman" w:hAnsi="Times New Roman" w:cs="Times New Roman"/>
          <w:sz w:val="24"/>
          <w:szCs w:val="24"/>
        </w:rPr>
        <w:t xml:space="preserve"> </w:t>
      </w:r>
    </w:p>
    <w:p w:rsidR="00781A3E" w:rsidRDefault="00781A3E" w:rsidP="00544FB2">
      <w:pPr>
        <w:spacing w:after="0"/>
        <w:jc w:val="both"/>
        <w:rPr>
          <w:rFonts w:ascii="Times New Roman" w:hAnsi="Times New Roman" w:cs="Times New Roman"/>
          <w:sz w:val="24"/>
          <w:szCs w:val="24"/>
        </w:rPr>
      </w:pPr>
    </w:p>
    <w:p w:rsidR="00781A3E" w:rsidRPr="00B5220A" w:rsidRDefault="00781A3E" w:rsidP="00544FB2">
      <w:pPr>
        <w:spacing w:after="0"/>
        <w:jc w:val="both"/>
        <w:rPr>
          <w:rFonts w:ascii="Times New Roman" w:hAnsi="Times New Roman" w:cs="Times New Roman"/>
          <w:b/>
          <w:bCs/>
          <w:sz w:val="24"/>
          <w:szCs w:val="24"/>
        </w:rPr>
      </w:pPr>
      <w:r w:rsidRPr="00B5220A">
        <w:rPr>
          <w:rFonts w:ascii="Times New Roman" w:hAnsi="Times New Roman" w:cs="Times New Roman"/>
          <w:b/>
          <w:bCs/>
          <w:sz w:val="24"/>
          <w:szCs w:val="24"/>
        </w:rPr>
        <w:t>INTRODUCTION</w:t>
      </w:r>
    </w:p>
    <w:p w:rsidR="00B87332" w:rsidRDefault="00B87332" w:rsidP="00B87332">
      <w:pPr>
        <w:spacing w:after="0"/>
        <w:ind w:firstLine="720"/>
        <w:jc w:val="both"/>
        <w:rPr>
          <w:rFonts w:ascii="Times New Roman" w:hAnsi="Times New Roman" w:cs="Times New Roman"/>
          <w:sz w:val="24"/>
          <w:szCs w:val="24"/>
        </w:rPr>
      </w:pPr>
      <w:r w:rsidRPr="00B87332">
        <w:rPr>
          <w:rFonts w:ascii="Times New Roman" w:hAnsi="Times New Roman" w:cs="Times New Roman"/>
          <w:sz w:val="24"/>
          <w:szCs w:val="24"/>
        </w:rPr>
        <w:t>Mandarin (</w:t>
      </w:r>
      <w:r w:rsidRPr="00B87332">
        <w:rPr>
          <w:rFonts w:ascii="Times New Roman" w:hAnsi="Times New Roman" w:cs="Times New Roman"/>
          <w:i/>
          <w:iCs/>
          <w:sz w:val="24"/>
          <w:szCs w:val="24"/>
        </w:rPr>
        <w:t>Citrus reticulata Blanco</w:t>
      </w:r>
      <w:r w:rsidRPr="00B87332">
        <w:rPr>
          <w:rFonts w:ascii="Times New Roman" w:hAnsi="Times New Roman" w:cs="Times New Roman"/>
          <w:sz w:val="24"/>
          <w:szCs w:val="24"/>
        </w:rPr>
        <w:t>) represents one of the most economically important citrus groups cultivated globally, appreciated for its appealing flavor, ease of peeling, broad consumer acceptance, and adaptability for both fresh consumption and processing.</w:t>
      </w:r>
      <w:r>
        <w:rPr>
          <w:rFonts w:ascii="Times New Roman" w:hAnsi="Times New Roman" w:cs="Times New Roman"/>
          <w:sz w:val="24"/>
          <w:szCs w:val="24"/>
        </w:rPr>
        <w:t xml:space="preserve"> </w:t>
      </w:r>
      <w:r w:rsidRPr="00B87332">
        <w:rPr>
          <w:rFonts w:ascii="Times New Roman" w:hAnsi="Times New Roman" w:cs="Times New Roman"/>
          <w:sz w:val="24"/>
          <w:szCs w:val="24"/>
        </w:rPr>
        <w:t xml:space="preserve">India ranks among the leading mandarin-producing nations, with significant commercial cultivars such as Nagpur mandarin, Khasi mandarin, </w:t>
      </w:r>
      <w:proofErr w:type="spellStart"/>
      <w:r w:rsidRPr="00B87332">
        <w:rPr>
          <w:rFonts w:ascii="Times New Roman" w:hAnsi="Times New Roman" w:cs="Times New Roman"/>
          <w:sz w:val="24"/>
          <w:szCs w:val="24"/>
        </w:rPr>
        <w:t>Kinnow</w:t>
      </w:r>
      <w:proofErr w:type="spellEnd"/>
      <w:r w:rsidRPr="00B87332">
        <w:rPr>
          <w:rFonts w:ascii="Times New Roman" w:hAnsi="Times New Roman" w:cs="Times New Roman"/>
          <w:sz w:val="24"/>
          <w:szCs w:val="24"/>
        </w:rPr>
        <w:t xml:space="preserve">, and Coorg mandarin making substantial contributions to the citrus sector (Tripathi </w:t>
      </w:r>
      <w:r w:rsidRPr="00B87332">
        <w:rPr>
          <w:rFonts w:ascii="Times New Roman" w:hAnsi="Times New Roman" w:cs="Times New Roman"/>
          <w:i/>
          <w:iCs/>
          <w:sz w:val="24"/>
          <w:szCs w:val="24"/>
        </w:rPr>
        <w:t>et al.</w:t>
      </w:r>
      <w:r w:rsidRPr="00B87332">
        <w:rPr>
          <w:rFonts w:ascii="Times New Roman" w:hAnsi="Times New Roman" w:cs="Times New Roman"/>
          <w:sz w:val="24"/>
          <w:szCs w:val="24"/>
        </w:rPr>
        <w:t xml:space="preserve"> 2016).</w:t>
      </w:r>
      <w:r>
        <w:rPr>
          <w:rFonts w:ascii="Times New Roman" w:hAnsi="Times New Roman" w:cs="Times New Roman"/>
          <w:sz w:val="24"/>
          <w:szCs w:val="24"/>
        </w:rPr>
        <w:t xml:space="preserve"> </w:t>
      </w:r>
      <w:r w:rsidRPr="00B87332">
        <w:rPr>
          <w:rFonts w:ascii="Times New Roman" w:hAnsi="Times New Roman" w:cs="Times New Roman"/>
          <w:sz w:val="24"/>
          <w:szCs w:val="24"/>
        </w:rPr>
        <w:t>Despite its economic significance, the productivity and fruit quality of mandarins are frequently limited by insufficient genetic enhancement, restricted genetic diversity, and the occurrence of variation induced by environmental factors. Consequently, evaluating genetic variability, heritability, and the interrelationships of traits among mandarin genotypes is crucial for effective cultivar selection and breeding strategies.</w:t>
      </w:r>
      <w:r>
        <w:rPr>
          <w:rFonts w:ascii="Times New Roman" w:hAnsi="Times New Roman" w:cs="Times New Roman"/>
          <w:sz w:val="24"/>
          <w:szCs w:val="24"/>
        </w:rPr>
        <w:t xml:space="preserve"> </w:t>
      </w:r>
    </w:p>
    <w:p w:rsidR="00552C12" w:rsidRDefault="00B87332" w:rsidP="00544FB2">
      <w:pPr>
        <w:spacing w:after="0"/>
        <w:ind w:firstLine="720"/>
        <w:jc w:val="both"/>
        <w:rPr>
          <w:rFonts w:ascii="Times New Roman" w:hAnsi="Times New Roman" w:cs="Times New Roman"/>
          <w:sz w:val="24"/>
          <w:szCs w:val="24"/>
        </w:rPr>
      </w:pPr>
      <w:r w:rsidRPr="00B87332">
        <w:rPr>
          <w:rFonts w:ascii="Times New Roman" w:hAnsi="Times New Roman" w:cs="Times New Roman"/>
          <w:sz w:val="24"/>
          <w:szCs w:val="24"/>
        </w:rPr>
        <w:t xml:space="preserve">Genetic variability serves as the essential foundation for enhancing crops, as it influences the potential for selection gains (Allard, 1999). In the case of perennial fruit crops like citrus, where the breeding cycles are extended, it becomes increasingly vital to comprehend the extent of both phenotypic and genotypic variation. Quantitative traits, including fruit yield, fruit weight, plant height, and </w:t>
      </w:r>
      <w:r w:rsidRPr="00B87332">
        <w:rPr>
          <w:rFonts w:ascii="Times New Roman" w:hAnsi="Times New Roman" w:cs="Times New Roman"/>
          <w:sz w:val="24"/>
          <w:szCs w:val="24"/>
        </w:rPr>
        <w:lastRenderedPageBreak/>
        <w:t xml:space="preserve">biochemical characteristics (such as TSS and acidity), are significantly affected by both genetic factors and environmental conditions; therefore, it is imperative to partition phenotypic variance into its genotypic and environmental components (Falconer &amp; Mackay, 1996). Metrics such as the genotypic coefficient of variation (GCV), phenotypic coefficient of variation (PCV), and broad-sense heritability (H²) are instrumental in assessing the reliability of phenotypic selection (Burton &amp; </w:t>
      </w:r>
      <w:proofErr w:type="spellStart"/>
      <w:r w:rsidRPr="00B87332">
        <w:rPr>
          <w:rFonts w:ascii="Times New Roman" w:hAnsi="Times New Roman" w:cs="Times New Roman"/>
          <w:sz w:val="24"/>
          <w:szCs w:val="24"/>
        </w:rPr>
        <w:t>DeVane</w:t>
      </w:r>
      <w:proofErr w:type="spellEnd"/>
      <w:r w:rsidRPr="00B87332">
        <w:rPr>
          <w:rFonts w:ascii="Times New Roman" w:hAnsi="Times New Roman" w:cs="Times New Roman"/>
          <w:sz w:val="24"/>
          <w:szCs w:val="24"/>
        </w:rPr>
        <w:t xml:space="preserve">, 1953; Johnson </w:t>
      </w:r>
      <w:r w:rsidRPr="00B87332">
        <w:rPr>
          <w:rFonts w:ascii="Times New Roman" w:hAnsi="Times New Roman" w:cs="Times New Roman"/>
          <w:i/>
          <w:iCs/>
          <w:sz w:val="24"/>
          <w:szCs w:val="24"/>
        </w:rPr>
        <w:t>et al.,</w:t>
      </w:r>
      <w:r w:rsidRPr="00B87332">
        <w:rPr>
          <w:rFonts w:ascii="Times New Roman" w:hAnsi="Times New Roman" w:cs="Times New Roman"/>
          <w:sz w:val="24"/>
          <w:szCs w:val="24"/>
        </w:rPr>
        <w:t xml:space="preserve"> 1955).</w:t>
      </w:r>
      <w:r>
        <w:rPr>
          <w:rFonts w:ascii="Times New Roman" w:hAnsi="Times New Roman" w:cs="Times New Roman"/>
          <w:sz w:val="24"/>
          <w:szCs w:val="24"/>
        </w:rPr>
        <w:t xml:space="preserve"> </w:t>
      </w:r>
      <w:r w:rsidR="00552C12" w:rsidRPr="00552C12">
        <w:rPr>
          <w:rFonts w:ascii="Times New Roman" w:hAnsi="Times New Roman" w:cs="Times New Roman"/>
          <w:sz w:val="24"/>
          <w:szCs w:val="24"/>
        </w:rPr>
        <w:t xml:space="preserve">Genetic variability is the basis of any crop improvement program. However, little effort has been made to study the genotypic variance, heritability, and genetic advance among collected accessions. Such a study reveals the nature of inheritance of fruit quantitative and qualitative parameters to design citrus breeding strategies. Moreover, there is a necessity to diversify scion cultivars of citrus for North Indian regions to reduce the new insect-pest load scattering over a narrow genetic pool. Secondly, mandarins represent maximum phenotypic heterozygosity and variation in characters in comparison to other citrus species (Moore, 2001; </w:t>
      </w:r>
      <w:proofErr w:type="spellStart"/>
      <w:r w:rsidR="00552C12" w:rsidRPr="00552C12">
        <w:rPr>
          <w:rFonts w:ascii="Times New Roman" w:hAnsi="Times New Roman" w:cs="Times New Roman"/>
          <w:sz w:val="24"/>
          <w:szCs w:val="24"/>
        </w:rPr>
        <w:t>Faralli</w:t>
      </w:r>
      <w:proofErr w:type="spellEnd"/>
      <w:r w:rsidR="00552C12" w:rsidRPr="00552C12">
        <w:rPr>
          <w:rFonts w:ascii="Times New Roman" w:hAnsi="Times New Roman" w:cs="Times New Roman"/>
          <w:sz w:val="24"/>
          <w:szCs w:val="24"/>
        </w:rPr>
        <w:t xml:space="preserve"> </w:t>
      </w:r>
      <w:r w:rsidR="00552C12" w:rsidRPr="00552C12">
        <w:rPr>
          <w:rFonts w:ascii="Times New Roman" w:hAnsi="Times New Roman" w:cs="Times New Roman"/>
          <w:i/>
          <w:iCs/>
          <w:sz w:val="24"/>
          <w:szCs w:val="24"/>
        </w:rPr>
        <w:t xml:space="preserve">et al., </w:t>
      </w:r>
      <w:r w:rsidR="00552C12" w:rsidRPr="00552C12">
        <w:rPr>
          <w:rFonts w:ascii="Times New Roman" w:hAnsi="Times New Roman" w:cs="Times New Roman"/>
          <w:sz w:val="24"/>
          <w:szCs w:val="24"/>
        </w:rPr>
        <w:t>2019).</w:t>
      </w:r>
    </w:p>
    <w:p w:rsidR="007071FF" w:rsidRDefault="00B87332" w:rsidP="00544FB2">
      <w:pPr>
        <w:spacing w:after="0"/>
        <w:ind w:firstLine="720"/>
        <w:jc w:val="both"/>
        <w:rPr>
          <w:rFonts w:ascii="Times New Roman" w:hAnsi="Times New Roman" w:cs="Times New Roman"/>
          <w:sz w:val="24"/>
          <w:szCs w:val="24"/>
        </w:rPr>
      </w:pPr>
      <w:r w:rsidRPr="00B87332">
        <w:rPr>
          <w:rFonts w:ascii="Times New Roman" w:hAnsi="Times New Roman" w:cs="Times New Roman"/>
          <w:sz w:val="24"/>
          <w:szCs w:val="24"/>
        </w:rPr>
        <w:t>Mandarin and allied cultivars have significant genetic variability for growth, production, and fruit quality traits, according to earlier citrus research (</w:t>
      </w:r>
      <w:proofErr w:type="spellStart"/>
      <w:r w:rsidRPr="00B87332">
        <w:rPr>
          <w:rFonts w:ascii="Times New Roman" w:hAnsi="Times New Roman" w:cs="Times New Roman"/>
          <w:sz w:val="24"/>
          <w:szCs w:val="24"/>
        </w:rPr>
        <w:t>Ladaniya</w:t>
      </w:r>
      <w:proofErr w:type="spellEnd"/>
      <w:r w:rsidRPr="00B87332">
        <w:rPr>
          <w:rFonts w:ascii="Times New Roman" w:hAnsi="Times New Roman" w:cs="Times New Roman"/>
          <w:sz w:val="24"/>
          <w:szCs w:val="24"/>
        </w:rPr>
        <w:t xml:space="preserve">, 2008; Ahmad </w:t>
      </w:r>
      <w:r w:rsidRPr="00B87332">
        <w:rPr>
          <w:rFonts w:ascii="Times New Roman" w:hAnsi="Times New Roman" w:cs="Times New Roman"/>
          <w:i/>
          <w:iCs/>
          <w:sz w:val="24"/>
          <w:szCs w:val="24"/>
        </w:rPr>
        <w:t>et al.,</w:t>
      </w:r>
      <w:r w:rsidRPr="00B87332">
        <w:rPr>
          <w:rFonts w:ascii="Times New Roman" w:hAnsi="Times New Roman" w:cs="Times New Roman"/>
          <w:sz w:val="24"/>
          <w:szCs w:val="24"/>
        </w:rPr>
        <w:t xml:space="preserve"> 2018). For instance, Khasi and Coorg mandarins show considerable variation in plant vigor, flavor profile, and adaptability to particular </w:t>
      </w:r>
      <w:proofErr w:type="spellStart"/>
      <w:r w:rsidRPr="00B87332">
        <w:rPr>
          <w:rFonts w:ascii="Times New Roman" w:hAnsi="Times New Roman" w:cs="Times New Roman"/>
          <w:sz w:val="24"/>
          <w:szCs w:val="24"/>
        </w:rPr>
        <w:t>agro</w:t>
      </w:r>
      <w:proofErr w:type="spellEnd"/>
      <w:r w:rsidRPr="00B87332">
        <w:rPr>
          <w:rFonts w:ascii="Times New Roman" w:hAnsi="Times New Roman" w:cs="Times New Roman"/>
          <w:sz w:val="24"/>
          <w:szCs w:val="24"/>
        </w:rPr>
        <w:t xml:space="preserve">-climatic zones, but </w:t>
      </w:r>
      <w:proofErr w:type="spellStart"/>
      <w:r w:rsidRPr="00B87332">
        <w:rPr>
          <w:rFonts w:ascii="Times New Roman" w:hAnsi="Times New Roman" w:cs="Times New Roman"/>
          <w:sz w:val="24"/>
          <w:szCs w:val="24"/>
        </w:rPr>
        <w:t>Kinnow</w:t>
      </w:r>
      <w:proofErr w:type="spellEnd"/>
      <w:r w:rsidRPr="00B87332">
        <w:rPr>
          <w:rFonts w:ascii="Times New Roman" w:hAnsi="Times New Roman" w:cs="Times New Roman"/>
          <w:sz w:val="24"/>
          <w:szCs w:val="24"/>
        </w:rPr>
        <w:t xml:space="preserve"> mandarin is well known for its high productivity and huge fruit weight (Kumar </w:t>
      </w:r>
      <w:r w:rsidRPr="00B87332">
        <w:rPr>
          <w:rFonts w:ascii="Times New Roman" w:hAnsi="Times New Roman" w:cs="Times New Roman"/>
          <w:i/>
          <w:iCs/>
          <w:sz w:val="24"/>
          <w:szCs w:val="24"/>
        </w:rPr>
        <w:t>et al.,</w:t>
      </w:r>
      <w:r w:rsidRPr="00B87332">
        <w:rPr>
          <w:rFonts w:ascii="Times New Roman" w:hAnsi="Times New Roman" w:cs="Times New Roman"/>
          <w:sz w:val="24"/>
          <w:szCs w:val="24"/>
        </w:rPr>
        <w:t xml:space="preserve"> 2010). In semi-arid areas like Rajasthan, where environmental limitations affect trait expression, it is especially crucial to comprehend such diversity. Citrus heredity evaluation has revealed that while vegetative factors occasionally show moderate heritability due to environmental interactions, fruit quality traits typically show significant inheritance.</w:t>
      </w:r>
      <w:r>
        <w:rPr>
          <w:rFonts w:ascii="Times New Roman" w:hAnsi="Times New Roman" w:cs="Times New Roman"/>
          <w:sz w:val="24"/>
          <w:szCs w:val="24"/>
        </w:rPr>
        <w:t xml:space="preserve"> </w:t>
      </w:r>
      <w:r w:rsidR="007071FF" w:rsidRPr="007071FF">
        <w:rPr>
          <w:rFonts w:ascii="Times New Roman" w:hAnsi="Times New Roman" w:cs="Times New Roman"/>
          <w:sz w:val="24"/>
          <w:szCs w:val="24"/>
        </w:rPr>
        <w:t xml:space="preserve">It is generally accepted that a quantitative trait is governed by a combination of genetic and environmental effects. The variance of a phenotype in a cross population includes the variance caused by genetic and environmental effects. The proportion of the phenotypic variance caused by all potential sources of genetic variance indicates broad-sense heritability. That is, broad-sense heritability represents an index of the proportion of phenotypic variance explainable by genetic effects </w:t>
      </w:r>
      <w:r w:rsidR="007071FF">
        <w:rPr>
          <w:rFonts w:ascii="Times New Roman" w:hAnsi="Times New Roman" w:cs="Times New Roman"/>
          <w:sz w:val="24"/>
          <w:szCs w:val="24"/>
        </w:rPr>
        <w:t>(</w:t>
      </w:r>
      <w:r w:rsidR="007071FF" w:rsidRPr="007071FF">
        <w:rPr>
          <w:rFonts w:ascii="Times New Roman" w:hAnsi="Times New Roman" w:cs="Times New Roman"/>
          <w:sz w:val="24"/>
          <w:szCs w:val="24"/>
        </w:rPr>
        <w:t xml:space="preserve">Visscher </w:t>
      </w:r>
      <w:r w:rsidR="007071FF" w:rsidRPr="00552C12">
        <w:rPr>
          <w:rFonts w:ascii="Times New Roman" w:hAnsi="Times New Roman" w:cs="Times New Roman"/>
          <w:i/>
          <w:iCs/>
          <w:sz w:val="24"/>
          <w:szCs w:val="24"/>
        </w:rPr>
        <w:t>et al.,</w:t>
      </w:r>
      <w:r w:rsidR="007071FF">
        <w:rPr>
          <w:rFonts w:ascii="Times New Roman" w:hAnsi="Times New Roman" w:cs="Times New Roman"/>
          <w:sz w:val="24"/>
          <w:szCs w:val="24"/>
        </w:rPr>
        <w:t xml:space="preserve"> 2008). </w:t>
      </w:r>
      <w:r w:rsidR="007071FF" w:rsidRPr="007071FF">
        <w:rPr>
          <w:rFonts w:ascii="Times New Roman" w:hAnsi="Times New Roman" w:cs="Times New Roman"/>
          <w:sz w:val="24"/>
          <w:szCs w:val="24"/>
        </w:rPr>
        <w:t>Therefore, estimation of heritability facilitates selection of promising crosses and improves the efficiency of a breeding program. Estimating heritability also enables development of DNA markers linked to a trait of interest for marker-assisted selection. A trait that shows high heritability will make an important contribution to citrus breeding; therefore, accurate and reliable estimation of genetic effects on phenotypic variance is essential.</w:t>
      </w:r>
    </w:p>
    <w:p w:rsidR="00781A3E" w:rsidRPr="00781A3E" w:rsidRDefault="00781A3E" w:rsidP="00544FB2">
      <w:pPr>
        <w:spacing w:after="0"/>
        <w:ind w:firstLine="720"/>
        <w:jc w:val="both"/>
        <w:rPr>
          <w:rFonts w:ascii="Times New Roman" w:hAnsi="Times New Roman" w:cs="Times New Roman"/>
          <w:sz w:val="24"/>
          <w:szCs w:val="24"/>
        </w:rPr>
      </w:pPr>
      <w:r w:rsidRPr="00781A3E">
        <w:rPr>
          <w:rFonts w:ascii="Times New Roman" w:hAnsi="Times New Roman" w:cs="Times New Roman"/>
          <w:sz w:val="24"/>
          <w:szCs w:val="24"/>
        </w:rPr>
        <w:t>Correlation studies further strengthen breeding strategies by identifying trait associations that can guide indirect selection. Positive correlations between yield components such as fruit weight, stem girth, and canopy volume have been reported in mandarin and sweet oran</w:t>
      </w:r>
      <w:r w:rsidR="007071FF">
        <w:rPr>
          <w:rFonts w:ascii="Times New Roman" w:hAnsi="Times New Roman" w:cs="Times New Roman"/>
          <w:sz w:val="24"/>
          <w:szCs w:val="24"/>
        </w:rPr>
        <w:t xml:space="preserve">ge genotypes (Kumar </w:t>
      </w:r>
      <w:r w:rsidR="007071FF" w:rsidRPr="00B87332">
        <w:rPr>
          <w:rFonts w:ascii="Times New Roman" w:hAnsi="Times New Roman" w:cs="Times New Roman"/>
          <w:i/>
          <w:iCs/>
          <w:sz w:val="24"/>
          <w:szCs w:val="24"/>
        </w:rPr>
        <w:t>et al.,</w:t>
      </w:r>
      <w:r w:rsidR="007071FF">
        <w:rPr>
          <w:rFonts w:ascii="Times New Roman" w:hAnsi="Times New Roman" w:cs="Times New Roman"/>
          <w:sz w:val="24"/>
          <w:szCs w:val="24"/>
        </w:rPr>
        <w:t xml:space="preserve"> 2015)</w:t>
      </w:r>
      <w:r w:rsidRPr="00781A3E">
        <w:rPr>
          <w:rFonts w:ascii="Times New Roman" w:hAnsi="Times New Roman" w:cs="Times New Roman"/>
          <w:sz w:val="24"/>
          <w:szCs w:val="24"/>
        </w:rPr>
        <w:t>. In long-lived species like citrus, correlation coefficients help breeders identify traits that, when selected, simultaneously improve yield and fruit quality.</w:t>
      </w:r>
    </w:p>
    <w:p w:rsidR="0032585E" w:rsidRDefault="00781A3E" w:rsidP="004369F1">
      <w:pPr>
        <w:spacing w:after="120"/>
        <w:ind w:firstLine="720"/>
        <w:jc w:val="both"/>
        <w:rPr>
          <w:rFonts w:ascii="Times New Roman" w:hAnsi="Times New Roman" w:cs="Times New Roman"/>
          <w:sz w:val="24"/>
          <w:szCs w:val="24"/>
        </w:rPr>
      </w:pPr>
      <w:r w:rsidRPr="00781A3E">
        <w:rPr>
          <w:rFonts w:ascii="Times New Roman" w:hAnsi="Times New Roman" w:cs="Times New Roman"/>
          <w:sz w:val="24"/>
          <w:szCs w:val="24"/>
        </w:rPr>
        <w:t>The present investigation was conducted to assess the genetic variability, heritability, and correlation coefficients among seven commercially important mandarin genotypes—</w:t>
      </w:r>
      <w:proofErr w:type="spellStart"/>
      <w:r w:rsidRPr="00781A3E">
        <w:rPr>
          <w:rFonts w:ascii="Times New Roman" w:hAnsi="Times New Roman" w:cs="Times New Roman"/>
          <w:sz w:val="24"/>
          <w:szCs w:val="24"/>
        </w:rPr>
        <w:t>Mudkhed</w:t>
      </w:r>
      <w:proofErr w:type="spellEnd"/>
      <w:r w:rsidRPr="00781A3E">
        <w:rPr>
          <w:rFonts w:ascii="Times New Roman" w:hAnsi="Times New Roman" w:cs="Times New Roman"/>
          <w:sz w:val="24"/>
          <w:szCs w:val="24"/>
        </w:rPr>
        <w:t xml:space="preserve"> Seedless, Nagpur Seedless, Nagpur Mandarin, </w:t>
      </w:r>
      <w:proofErr w:type="spellStart"/>
      <w:r w:rsidRPr="00781A3E">
        <w:rPr>
          <w:rFonts w:ascii="Times New Roman" w:hAnsi="Times New Roman" w:cs="Times New Roman"/>
          <w:sz w:val="24"/>
          <w:szCs w:val="24"/>
        </w:rPr>
        <w:t>Kinnow</w:t>
      </w:r>
      <w:proofErr w:type="spellEnd"/>
      <w:r w:rsidRPr="00781A3E">
        <w:rPr>
          <w:rFonts w:ascii="Times New Roman" w:hAnsi="Times New Roman" w:cs="Times New Roman"/>
          <w:sz w:val="24"/>
          <w:szCs w:val="24"/>
        </w:rPr>
        <w:t xml:space="preserve">, Coorg Mandarin, Khasi Mandarin, and Darjeeling Mandarin—grown at the Agricultural Research Station, </w:t>
      </w:r>
      <w:proofErr w:type="spellStart"/>
      <w:r w:rsidRPr="00781A3E">
        <w:rPr>
          <w:rFonts w:ascii="Times New Roman" w:hAnsi="Times New Roman" w:cs="Times New Roman"/>
          <w:sz w:val="24"/>
          <w:szCs w:val="24"/>
        </w:rPr>
        <w:t>Sriganganagar</w:t>
      </w:r>
      <w:proofErr w:type="spellEnd"/>
      <w:r w:rsidRPr="00781A3E">
        <w:rPr>
          <w:rFonts w:ascii="Times New Roman" w:hAnsi="Times New Roman" w:cs="Times New Roman"/>
          <w:sz w:val="24"/>
          <w:szCs w:val="24"/>
        </w:rPr>
        <w:t xml:space="preserve">, Rajasthan. By analyzing multi-year pooled observations for growth, yield, and fruit quality </w:t>
      </w:r>
      <w:r w:rsidR="008250E7" w:rsidRPr="00781A3E">
        <w:rPr>
          <w:rFonts w:ascii="Times New Roman" w:hAnsi="Times New Roman" w:cs="Times New Roman"/>
          <w:sz w:val="24"/>
          <w:szCs w:val="24"/>
        </w:rPr>
        <w:t xml:space="preserve">traits under a randomized block design, this study </w:t>
      </w:r>
      <w:proofErr w:type="gramStart"/>
      <w:r w:rsidR="008250E7" w:rsidRPr="00781A3E">
        <w:rPr>
          <w:rFonts w:ascii="Times New Roman" w:hAnsi="Times New Roman" w:cs="Times New Roman"/>
          <w:sz w:val="24"/>
          <w:szCs w:val="24"/>
        </w:rPr>
        <w:t>aim</w:t>
      </w:r>
      <w:proofErr w:type="gramEnd"/>
      <w:r w:rsidRPr="00781A3E">
        <w:rPr>
          <w:rFonts w:ascii="Times New Roman" w:hAnsi="Times New Roman" w:cs="Times New Roman"/>
          <w:sz w:val="24"/>
          <w:szCs w:val="24"/>
        </w:rPr>
        <w:t xml:space="preserve"> to identify promising genotypes and traits with high genetic gain potential. The outcomes will </w:t>
      </w:r>
      <w:r w:rsidRPr="00781A3E">
        <w:rPr>
          <w:rFonts w:ascii="Times New Roman" w:hAnsi="Times New Roman" w:cs="Times New Roman"/>
          <w:sz w:val="24"/>
          <w:szCs w:val="24"/>
        </w:rPr>
        <w:lastRenderedPageBreak/>
        <w:t>contribute valuable information for mandarin improvement programs and cultivar recommendation for semi-arid regions.</w:t>
      </w:r>
    </w:p>
    <w:p w:rsidR="00B5220A" w:rsidRPr="00206C4B" w:rsidRDefault="00B5220A" w:rsidP="00544FB2">
      <w:pPr>
        <w:pStyle w:val="Heading1"/>
        <w:spacing w:before="0"/>
        <w:rPr>
          <w:rFonts w:ascii="Times New Roman" w:hAnsi="Times New Roman" w:cs="Times New Roman"/>
          <w:b w:val="0"/>
          <w:bCs w:val="0"/>
          <w:color w:val="000000" w:themeColor="text1"/>
          <w:sz w:val="24"/>
          <w:szCs w:val="24"/>
        </w:rPr>
      </w:pPr>
      <w:r w:rsidRPr="00206C4B">
        <w:rPr>
          <w:rStyle w:val="Strong"/>
          <w:rFonts w:ascii="Times New Roman" w:hAnsi="Times New Roman" w:cs="Times New Roman"/>
          <w:b/>
          <w:bCs/>
          <w:color w:val="000000" w:themeColor="text1"/>
          <w:sz w:val="24"/>
          <w:szCs w:val="24"/>
        </w:rPr>
        <w:t>MATERIALS AND METHODS</w:t>
      </w:r>
    </w:p>
    <w:p w:rsidR="00B5220A" w:rsidRPr="000A114D" w:rsidRDefault="00B5220A" w:rsidP="00544FB2">
      <w:pPr>
        <w:pStyle w:val="Heading2"/>
        <w:spacing w:before="0" w:beforeAutospacing="0" w:after="0" w:afterAutospacing="0"/>
        <w:rPr>
          <w:rStyle w:val="Strong"/>
          <w:b/>
          <w:bCs/>
          <w:sz w:val="24"/>
          <w:szCs w:val="24"/>
        </w:rPr>
      </w:pPr>
      <w:r w:rsidRPr="000A114D">
        <w:rPr>
          <w:rStyle w:val="Strong"/>
          <w:b/>
          <w:bCs/>
          <w:sz w:val="24"/>
          <w:szCs w:val="24"/>
        </w:rPr>
        <w:t>Experimental Site:</w:t>
      </w:r>
    </w:p>
    <w:p w:rsidR="00B5220A" w:rsidRPr="00B5220A" w:rsidRDefault="00B5220A" w:rsidP="00544FB2">
      <w:pPr>
        <w:pStyle w:val="Heading2"/>
        <w:spacing w:before="0" w:beforeAutospacing="0" w:after="0" w:afterAutospacing="0"/>
        <w:ind w:firstLine="720"/>
        <w:jc w:val="both"/>
        <w:rPr>
          <w:rStyle w:val="relative"/>
          <w:b w:val="0"/>
          <w:bCs w:val="0"/>
          <w:sz w:val="24"/>
          <w:szCs w:val="24"/>
        </w:rPr>
      </w:pPr>
      <w:r w:rsidRPr="00B5220A">
        <w:rPr>
          <w:b w:val="0"/>
          <w:bCs w:val="0"/>
          <w:sz w:val="24"/>
          <w:szCs w:val="24"/>
        </w:rPr>
        <w:t xml:space="preserve">The field experiment was conducted at the </w:t>
      </w:r>
      <w:r w:rsidRPr="000A114D">
        <w:rPr>
          <w:rStyle w:val="Strong"/>
          <w:sz w:val="24"/>
          <w:szCs w:val="24"/>
        </w:rPr>
        <w:t xml:space="preserve">Agriculture Research Station, </w:t>
      </w:r>
      <w:proofErr w:type="spellStart"/>
      <w:r w:rsidRPr="000A114D">
        <w:rPr>
          <w:rStyle w:val="Strong"/>
          <w:sz w:val="24"/>
          <w:szCs w:val="24"/>
        </w:rPr>
        <w:t>Shriganganagar</w:t>
      </w:r>
      <w:proofErr w:type="spellEnd"/>
      <w:r w:rsidRPr="000A114D">
        <w:rPr>
          <w:rStyle w:val="Strong"/>
          <w:sz w:val="24"/>
          <w:szCs w:val="24"/>
        </w:rPr>
        <w:t>, Rajasthan</w:t>
      </w:r>
      <w:r w:rsidRPr="000A114D">
        <w:rPr>
          <w:sz w:val="24"/>
          <w:szCs w:val="24"/>
        </w:rPr>
        <w:t>,</w:t>
      </w:r>
      <w:r w:rsidRPr="00B5220A">
        <w:rPr>
          <w:b w:val="0"/>
          <w:bCs w:val="0"/>
          <w:sz w:val="24"/>
          <w:szCs w:val="24"/>
        </w:rPr>
        <w:t xml:space="preserve"> located in the north-western arid region of India. The site is characterized by hot summers, cool winters, and low annual rainfall, typical of the semi-arid </w:t>
      </w:r>
      <w:proofErr w:type="spellStart"/>
      <w:r w:rsidRPr="00B5220A">
        <w:rPr>
          <w:b w:val="0"/>
          <w:bCs w:val="0"/>
          <w:sz w:val="24"/>
          <w:szCs w:val="24"/>
        </w:rPr>
        <w:t>agro</w:t>
      </w:r>
      <w:proofErr w:type="spellEnd"/>
      <w:r w:rsidRPr="00B5220A">
        <w:rPr>
          <w:b w:val="0"/>
          <w:bCs w:val="0"/>
          <w:sz w:val="24"/>
          <w:szCs w:val="24"/>
        </w:rPr>
        <w:t xml:space="preserve">-climatic zone. The soil of the experimental orchard is deep, well-drained sandy loam, suitable for citrus cultivation. </w:t>
      </w:r>
    </w:p>
    <w:p w:rsidR="00B5220A" w:rsidRPr="000A114D" w:rsidRDefault="00B5220A" w:rsidP="00544FB2">
      <w:pPr>
        <w:pStyle w:val="Heading2"/>
        <w:spacing w:before="0" w:beforeAutospacing="0" w:after="0" w:afterAutospacing="0"/>
        <w:rPr>
          <w:b w:val="0"/>
          <w:bCs w:val="0"/>
          <w:sz w:val="24"/>
          <w:szCs w:val="24"/>
        </w:rPr>
      </w:pPr>
      <w:r w:rsidRPr="000A114D">
        <w:rPr>
          <w:rStyle w:val="Strong"/>
          <w:b/>
          <w:bCs/>
          <w:sz w:val="24"/>
          <w:szCs w:val="24"/>
        </w:rPr>
        <w:t>Plant Material and Treatments</w:t>
      </w:r>
      <w:r w:rsidR="000A114D" w:rsidRPr="000A114D">
        <w:rPr>
          <w:rStyle w:val="Strong"/>
          <w:b/>
          <w:bCs/>
          <w:sz w:val="24"/>
          <w:szCs w:val="24"/>
        </w:rPr>
        <w:t>:</w:t>
      </w:r>
    </w:p>
    <w:p w:rsidR="00B5220A" w:rsidRDefault="00B5220A" w:rsidP="00544FB2">
      <w:pPr>
        <w:pStyle w:val="NormalWeb"/>
        <w:spacing w:before="0" w:beforeAutospacing="0" w:after="0" w:afterAutospacing="0"/>
        <w:ind w:firstLine="360"/>
        <w:jc w:val="both"/>
      </w:pPr>
      <w:r>
        <w:t xml:space="preserve">The study involved </w:t>
      </w:r>
      <w:r w:rsidRPr="000A114D">
        <w:rPr>
          <w:rStyle w:val="Strong"/>
          <w:b w:val="0"/>
          <w:bCs w:val="0"/>
        </w:rPr>
        <w:t>seven mandarin (Citrus reticulata Blanco)</w:t>
      </w:r>
      <w:r>
        <w:rPr>
          <w:rStyle w:val="Strong"/>
        </w:rPr>
        <w:t xml:space="preserve"> </w:t>
      </w:r>
      <w:r w:rsidRPr="000A114D">
        <w:rPr>
          <w:rStyle w:val="Strong"/>
          <w:b w:val="0"/>
          <w:bCs w:val="0"/>
        </w:rPr>
        <w:t>genotypes</w:t>
      </w:r>
      <w:r w:rsidRPr="000A114D">
        <w:rPr>
          <w:b/>
          <w:bCs/>
        </w:rPr>
        <w:t>,</w:t>
      </w:r>
      <w:r>
        <w:t xml:space="preserve"> each constituting a treatment. All genotypes were grafted on </w:t>
      </w:r>
      <w:r w:rsidRPr="000A114D">
        <w:rPr>
          <w:rStyle w:val="Strong"/>
          <w:b w:val="0"/>
          <w:bCs w:val="0"/>
        </w:rPr>
        <w:t xml:space="preserve">Rough Lemon (Citrus </w:t>
      </w:r>
      <w:proofErr w:type="spellStart"/>
      <w:r w:rsidRPr="000A114D">
        <w:rPr>
          <w:rStyle w:val="Strong"/>
          <w:b w:val="0"/>
          <w:bCs w:val="0"/>
        </w:rPr>
        <w:t>jambhiri</w:t>
      </w:r>
      <w:proofErr w:type="spellEnd"/>
      <w:r w:rsidRPr="000A114D">
        <w:rPr>
          <w:rStyle w:val="Strong"/>
          <w:b w:val="0"/>
          <w:bCs w:val="0"/>
        </w:rPr>
        <w:t>)</w:t>
      </w:r>
      <w:r>
        <w:t xml:space="preserve"> rootstock, following standard propagation procedures. The treatments included:</w:t>
      </w:r>
    </w:p>
    <w:p w:rsidR="00B5220A" w:rsidRDefault="00B5220A" w:rsidP="00544FB2">
      <w:pPr>
        <w:pStyle w:val="NormalWeb"/>
        <w:numPr>
          <w:ilvl w:val="0"/>
          <w:numId w:val="1"/>
        </w:numPr>
        <w:spacing w:before="0" w:beforeAutospacing="0" w:after="0" w:afterAutospacing="0"/>
      </w:pPr>
      <w:r>
        <w:rPr>
          <w:rStyle w:val="Strong"/>
        </w:rPr>
        <w:t>T1:</w:t>
      </w:r>
      <w:r>
        <w:t xml:space="preserve"> </w:t>
      </w:r>
      <w:proofErr w:type="spellStart"/>
      <w:r>
        <w:t>Mudkhed</w:t>
      </w:r>
      <w:proofErr w:type="spellEnd"/>
      <w:r>
        <w:t xml:space="preserve"> Seedless</w:t>
      </w:r>
    </w:p>
    <w:p w:rsidR="00B5220A" w:rsidRDefault="00B5220A" w:rsidP="00544FB2">
      <w:pPr>
        <w:pStyle w:val="NormalWeb"/>
        <w:numPr>
          <w:ilvl w:val="0"/>
          <w:numId w:val="1"/>
        </w:numPr>
        <w:spacing w:before="0" w:beforeAutospacing="0" w:after="0" w:afterAutospacing="0"/>
      </w:pPr>
      <w:r>
        <w:rPr>
          <w:rStyle w:val="Strong"/>
        </w:rPr>
        <w:t>T2:</w:t>
      </w:r>
      <w:r>
        <w:t xml:space="preserve"> Nagpur Seedless</w:t>
      </w:r>
    </w:p>
    <w:p w:rsidR="00B5220A" w:rsidRDefault="00B5220A" w:rsidP="00544FB2">
      <w:pPr>
        <w:pStyle w:val="NormalWeb"/>
        <w:numPr>
          <w:ilvl w:val="0"/>
          <w:numId w:val="1"/>
        </w:numPr>
        <w:spacing w:before="0" w:beforeAutospacing="0" w:after="0" w:afterAutospacing="0"/>
      </w:pPr>
      <w:r>
        <w:rPr>
          <w:rStyle w:val="Strong"/>
        </w:rPr>
        <w:t>T3:</w:t>
      </w:r>
      <w:r>
        <w:t xml:space="preserve"> Nagpur Mandarin</w:t>
      </w:r>
    </w:p>
    <w:p w:rsidR="00B5220A" w:rsidRDefault="00B5220A" w:rsidP="00544FB2">
      <w:pPr>
        <w:pStyle w:val="NormalWeb"/>
        <w:numPr>
          <w:ilvl w:val="0"/>
          <w:numId w:val="1"/>
        </w:numPr>
        <w:spacing w:before="0" w:beforeAutospacing="0" w:after="0" w:afterAutospacing="0"/>
      </w:pPr>
      <w:r>
        <w:rPr>
          <w:rStyle w:val="Strong"/>
        </w:rPr>
        <w:t>T4:</w:t>
      </w:r>
      <w:r>
        <w:t xml:space="preserve"> </w:t>
      </w:r>
      <w:proofErr w:type="spellStart"/>
      <w:r>
        <w:t>Kinnow</w:t>
      </w:r>
      <w:proofErr w:type="spellEnd"/>
      <w:r>
        <w:t xml:space="preserve"> Mandarin</w:t>
      </w:r>
    </w:p>
    <w:p w:rsidR="00B5220A" w:rsidRDefault="00B5220A" w:rsidP="00544FB2">
      <w:pPr>
        <w:pStyle w:val="NormalWeb"/>
        <w:numPr>
          <w:ilvl w:val="0"/>
          <w:numId w:val="1"/>
        </w:numPr>
        <w:spacing w:before="0" w:beforeAutospacing="0" w:after="0" w:afterAutospacing="0"/>
      </w:pPr>
      <w:r>
        <w:rPr>
          <w:rStyle w:val="Strong"/>
        </w:rPr>
        <w:t>T5:</w:t>
      </w:r>
      <w:r>
        <w:t xml:space="preserve"> Coorg Mandarin</w:t>
      </w:r>
    </w:p>
    <w:p w:rsidR="00B5220A" w:rsidRDefault="00B5220A" w:rsidP="00544FB2">
      <w:pPr>
        <w:pStyle w:val="NormalWeb"/>
        <w:numPr>
          <w:ilvl w:val="0"/>
          <w:numId w:val="1"/>
        </w:numPr>
        <w:spacing w:before="0" w:beforeAutospacing="0" w:after="0" w:afterAutospacing="0"/>
      </w:pPr>
      <w:r>
        <w:rPr>
          <w:rStyle w:val="Strong"/>
        </w:rPr>
        <w:t>T6:</w:t>
      </w:r>
      <w:r>
        <w:t xml:space="preserve"> Khasi Mandarin</w:t>
      </w:r>
    </w:p>
    <w:p w:rsidR="00B5220A" w:rsidRDefault="00B5220A" w:rsidP="00544FB2">
      <w:pPr>
        <w:pStyle w:val="NormalWeb"/>
        <w:numPr>
          <w:ilvl w:val="0"/>
          <w:numId w:val="1"/>
        </w:numPr>
        <w:spacing w:before="0" w:beforeAutospacing="0" w:after="0" w:afterAutospacing="0"/>
        <w:rPr>
          <w:rStyle w:val="relative"/>
        </w:rPr>
      </w:pPr>
      <w:r>
        <w:rPr>
          <w:rStyle w:val="Strong"/>
        </w:rPr>
        <w:t>T7:</w:t>
      </w:r>
      <w:r>
        <w:t xml:space="preserve"> Darjeeling Mandarin</w:t>
      </w:r>
      <w:r>
        <w:br/>
      </w:r>
    </w:p>
    <w:p w:rsidR="00B5220A" w:rsidRPr="000A114D" w:rsidRDefault="00B5220A" w:rsidP="00544FB2">
      <w:pPr>
        <w:pStyle w:val="Heading2"/>
        <w:spacing w:before="0" w:beforeAutospacing="0" w:after="0" w:afterAutospacing="0"/>
        <w:rPr>
          <w:b w:val="0"/>
          <w:bCs w:val="0"/>
          <w:sz w:val="24"/>
          <w:szCs w:val="24"/>
        </w:rPr>
      </w:pPr>
      <w:r w:rsidRPr="000A114D">
        <w:rPr>
          <w:rStyle w:val="Strong"/>
          <w:b/>
          <w:bCs/>
          <w:sz w:val="24"/>
          <w:szCs w:val="24"/>
        </w:rPr>
        <w:t>Experimental Design</w:t>
      </w:r>
      <w:r w:rsidR="000A114D">
        <w:rPr>
          <w:rStyle w:val="Strong"/>
          <w:b/>
          <w:bCs/>
          <w:sz w:val="24"/>
          <w:szCs w:val="24"/>
        </w:rPr>
        <w:t>:</w:t>
      </w:r>
    </w:p>
    <w:p w:rsidR="00B5220A" w:rsidRDefault="00B5220A" w:rsidP="00544FB2">
      <w:pPr>
        <w:pStyle w:val="NormalWeb"/>
        <w:spacing w:before="0" w:beforeAutospacing="0" w:after="0" w:afterAutospacing="0"/>
        <w:ind w:firstLine="720"/>
        <w:jc w:val="both"/>
        <w:rPr>
          <w:rStyle w:val="relative"/>
        </w:rPr>
      </w:pPr>
      <w:r>
        <w:t xml:space="preserve">The experiment was laid out in a </w:t>
      </w:r>
      <w:r w:rsidRPr="000A114D">
        <w:rPr>
          <w:rStyle w:val="Strong"/>
          <w:b w:val="0"/>
          <w:bCs w:val="0"/>
        </w:rPr>
        <w:t>Randomized Block Design (RBD)</w:t>
      </w:r>
      <w:r>
        <w:t xml:space="preserve"> with </w:t>
      </w:r>
      <w:r w:rsidRPr="000A114D">
        <w:rPr>
          <w:rStyle w:val="Strong"/>
          <w:b w:val="0"/>
          <w:bCs w:val="0"/>
        </w:rPr>
        <w:t>three replications</w:t>
      </w:r>
      <w:r w:rsidRPr="000A114D">
        <w:rPr>
          <w:b/>
          <w:bCs/>
        </w:rPr>
        <w:t xml:space="preserve">. </w:t>
      </w:r>
      <w:r>
        <w:t xml:space="preserve">Each treatment plot consisted of </w:t>
      </w:r>
      <w:r w:rsidRPr="000A114D">
        <w:rPr>
          <w:rStyle w:val="Strong"/>
          <w:b w:val="0"/>
          <w:bCs w:val="0"/>
        </w:rPr>
        <w:t>10 plants per row</w:t>
      </w:r>
      <w:r>
        <w:t xml:space="preserve"> spaced at </w:t>
      </w:r>
      <w:r w:rsidRPr="000A114D">
        <w:rPr>
          <w:rStyle w:val="Strong"/>
          <w:b w:val="0"/>
          <w:bCs w:val="0"/>
        </w:rPr>
        <w:t>6 × 6 m</w:t>
      </w:r>
      <w:r w:rsidRPr="000A114D">
        <w:rPr>
          <w:b/>
          <w:bCs/>
        </w:rPr>
        <w:t>.</w:t>
      </w:r>
      <w:r>
        <w:t xml:space="preserve"> Standard orchard management practices for mandarin production were followed throughout the study period. Irrigation was provided through a </w:t>
      </w:r>
      <w:r w:rsidRPr="000A114D">
        <w:rPr>
          <w:rStyle w:val="Strong"/>
          <w:b w:val="0"/>
          <w:bCs w:val="0"/>
        </w:rPr>
        <w:t>drip irrigation system</w:t>
      </w:r>
      <w:r>
        <w:t xml:space="preserve"> to maintain optimal soil moisture and enhance uniformity across treatments. </w:t>
      </w:r>
    </w:p>
    <w:p w:rsidR="00B5220A" w:rsidRPr="000A114D" w:rsidRDefault="00B5220A" w:rsidP="00544FB2">
      <w:pPr>
        <w:pStyle w:val="Heading2"/>
        <w:spacing w:before="0" w:beforeAutospacing="0" w:after="0" w:afterAutospacing="0"/>
        <w:rPr>
          <w:b w:val="0"/>
          <w:bCs w:val="0"/>
          <w:sz w:val="24"/>
          <w:szCs w:val="24"/>
        </w:rPr>
      </w:pPr>
      <w:r w:rsidRPr="000A114D">
        <w:rPr>
          <w:rStyle w:val="Strong"/>
          <w:b/>
          <w:bCs/>
          <w:sz w:val="24"/>
          <w:szCs w:val="24"/>
        </w:rPr>
        <w:t>Data Recording</w:t>
      </w:r>
      <w:r w:rsidR="000A114D" w:rsidRPr="000A114D">
        <w:rPr>
          <w:rStyle w:val="Strong"/>
          <w:b/>
          <w:bCs/>
          <w:sz w:val="24"/>
          <w:szCs w:val="24"/>
        </w:rPr>
        <w:t>:</w:t>
      </w:r>
    </w:p>
    <w:p w:rsidR="00B5220A" w:rsidRDefault="00B5220A" w:rsidP="00544FB2">
      <w:pPr>
        <w:pStyle w:val="NormalWeb"/>
        <w:spacing w:before="0" w:beforeAutospacing="0" w:after="0" w:afterAutospacing="0"/>
        <w:ind w:firstLine="720"/>
      </w:pPr>
      <w:r>
        <w:t xml:space="preserve">Observations were recorded </w:t>
      </w:r>
      <w:r w:rsidRPr="000A114D">
        <w:t>for</w:t>
      </w:r>
      <w:r w:rsidRPr="000A114D">
        <w:rPr>
          <w:b/>
          <w:bCs/>
        </w:rPr>
        <w:t xml:space="preserve"> </w:t>
      </w:r>
      <w:r w:rsidRPr="000A114D">
        <w:rPr>
          <w:rStyle w:val="Strong"/>
          <w:b w:val="0"/>
          <w:bCs w:val="0"/>
        </w:rPr>
        <w:t>four consecutive years</w:t>
      </w:r>
      <w:r w:rsidRPr="000A114D">
        <w:rPr>
          <w:b/>
          <w:bCs/>
        </w:rPr>
        <w:t>,</w:t>
      </w:r>
      <w:r>
        <w:t xml:space="preserve"> and </w:t>
      </w:r>
      <w:r w:rsidRPr="007D5022">
        <w:t>the</w:t>
      </w:r>
      <w:r w:rsidRPr="000A114D">
        <w:rPr>
          <w:b/>
          <w:bCs/>
        </w:rPr>
        <w:t xml:space="preserve"> </w:t>
      </w:r>
      <w:r w:rsidRPr="000A114D">
        <w:rPr>
          <w:rStyle w:val="Strong"/>
          <w:b w:val="0"/>
          <w:bCs w:val="0"/>
        </w:rPr>
        <w:t>pooled mean data</w:t>
      </w:r>
      <w:r>
        <w:t xml:space="preserve"> were used for statistical analysis. The following growth, yield, and fruit quality parameters were assessed:</w:t>
      </w:r>
    </w:p>
    <w:p w:rsidR="00B5220A" w:rsidRPr="000A114D" w:rsidRDefault="00B5220A" w:rsidP="00544FB2">
      <w:pPr>
        <w:pStyle w:val="Heading3"/>
        <w:spacing w:before="0"/>
        <w:rPr>
          <w:rFonts w:ascii="Times New Roman" w:hAnsi="Times New Roman" w:cs="Times New Roman"/>
          <w:b w:val="0"/>
          <w:bCs w:val="0"/>
          <w:sz w:val="24"/>
          <w:szCs w:val="24"/>
        </w:rPr>
      </w:pPr>
      <w:r w:rsidRPr="000A114D">
        <w:rPr>
          <w:rStyle w:val="Strong"/>
          <w:rFonts w:ascii="Times New Roman" w:hAnsi="Times New Roman" w:cs="Times New Roman"/>
          <w:b/>
          <w:bCs/>
          <w:color w:val="auto"/>
          <w:sz w:val="24"/>
          <w:szCs w:val="24"/>
        </w:rPr>
        <w:t>Growth Parameters</w:t>
      </w:r>
      <w:r w:rsidR="000A114D">
        <w:rPr>
          <w:rStyle w:val="Strong"/>
          <w:rFonts w:ascii="Times New Roman" w:hAnsi="Times New Roman" w:cs="Times New Roman"/>
          <w:b/>
          <w:bCs/>
          <w:color w:val="auto"/>
          <w:sz w:val="24"/>
          <w:szCs w:val="24"/>
        </w:rPr>
        <w:t>:</w:t>
      </w:r>
    </w:p>
    <w:p w:rsidR="00B5220A" w:rsidRPr="000A114D" w:rsidRDefault="00B5220A" w:rsidP="00544FB2">
      <w:pPr>
        <w:pStyle w:val="NormalWeb"/>
        <w:numPr>
          <w:ilvl w:val="0"/>
          <w:numId w:val="2"/>
        </w:numPr>
        <w:spacing w:before="0" w:beforeAutospacing="0" w:after="0" w:afterAutospacing="0"/>
        <w:rPr>
          <w:b/>
          <w:bCs/>
        </w:rPr>
      </w:pPr>
      <w:r w:rsidRPr="000A114D">
        <w:rPr>
          <w:rStyle w:val="Strong"/>
          <w:b w:val="0"/>
          <w:bCs w:val="0"/>
        </w:rPr>
        <w:t>Plant height (m)</w:t>
      </w:r>
    </w:p>
    <w:p w:rsidR="00B5220A" w:rsidRPr="000A114D" w:rsidRDefault="00B5220A" w:rsidP="00544FB2">
      <w:pPr>
        <w:pStyle w:val="NormalWeb"/>
        <w:numPr>
          <w:ilvl w:val="0"/>
          <w:numId w:val="2"/>
        </w:numPr>
        <w:spacing w:before="0" w:beforeAutospacing="0" w:after="0" w:afterAutospacing="0"/>
        <w:rPr>
          <w:b/>
          <w:bCs/>
        </w:rPr>
      </w:pPr>
      <w:r w:rsidRPr="000A114D">
        <w:rPr>
          <w:rStyle w:val="Strong"/>
          <w:b w:val="0"/>
          <w:bCs w:val="0"/>
        </w:rPr>
        <w:t>Canopy volume (m³)</w:t>
      </w:r>
    </w:p>
    <w:p w:rsidR="00B5220A" w:rsidRPr="000A114D" w:rsidRDefault="00B5220A" w:rsidP="00544FB2">
      <w:pPr>
        <w:pStyle w:val="NormalWeb"/>
        <w:numPr>
          <w:ilvl w:val="0"/>
          <w:numId w:val="2"/>
        </w:numPr>
        <w:spacing w:before="0" w:beforeAutospacing="0" w:after="0" w:afterAutospacing="0"/>
        <w:rPr>
          <w:b/>
          <w:bCs/>
        </w:rPr>
      </w:pPr>
      <w:r w:rsidRPr="000A114D">
        <w:rPr>
          <w:rStyle w:val="Strong"/>
          <w:b w:val="0"/>
          <w:bCs w:val="0"/>
        </w:rPr>
        <w:t>Stem girth (cm)</w:t>
      </w:r>
    </w:p>
    <w:p w:rsidR="00B5220A" w:rsidRPr="000A114D" w:rsidRDefault="00B5220A" w:rsidP="00544FB2">
      <w:pPr>
        <w:pStyle w:val="Heading3"/>
        <w:spacing w:before="0"/>
        <w:rPr>
          <w:rFonts w:ascii="Times New Roman" w:hAnsi="Times New Roman" w:cs="Times New Roman"/>
          <w:b w:val="0"/>
          <w:bCs w:val="0"/>
          <w:color w:val="auto"/>
          <w:sz w:val="24"/>
          <w:szCs w:val="24"/>
        </w:rPr>
      </w:pPr>
      <w:r w:rsidRPr="000A114D">
        <w:rPr>
          <w:rStyle w:val="Strong"/>
          <w:rFonts w:ascii="Times New Roman" w:hAnsi="Times New Roman" w:cs="Times New Roman"/>
          <w:b/>
          <w:bCs/>
          <w:color w:val="auto"/>
          <w:sz w:val="24"/>
          <w:szCs w:val="24"/>
        </w:rPr>
        <w:t>Yield and Yield Attributes</w:t>
      </w:r>
      <w:r w:rsidR="000A114D">
        <w:rPr>
          <w:rStyle w:val="Strong"/>
          <w:rFonts w:ascii="Times New Roman" w:hAnsi="Times New Roman" w:cs="Times New Roman"/>
          <w:b/>
          <w:bCs/>
          <w:color w:val="auto"/>
          <w:sz w:val="24"/>
          <w:szCs w:val="24"/>
        </w:rPr>
        <w:t>:</w:t>
      </w:r>
    </w:p>
    <w:p w:rsidR="00B5220A" w:rsidRPr="000A114D" w:rsidRDefault="00B5220A" w:rsidP="00544FB2">
      <w:pPr>
        <w:pStyle w:val="NormalWeb"/>
        <w:numPr>
          <w:ilvl w:val="0"/>
          <w:numId w:val="3"/>
        </w:numPr>
        <w:spacing w:before="0" w:beforeAutospacing="0" w:after="0" w:afterAutospacing="0"/>
        <w:rPr>
          <w:b/>
          <w:bCs/>
        </w:rPr>
      </w:pPr>
      <w:r w:rsidRPr="000A114D">
        <w:rPr>
          <w:rStyle w:val="Strong"/>
          <w:b w:val="0"/>
          <w:bCs w:val="0"/>
        </w:rPr>
        <w:t>Fruit weight (g)</w:t>
      </w:r>
    </w:p>
    <w:p w:rsidR="00B5220A" w:rsidRPr="000A114D" w:rsidRDefault="00B5220A" w:rsidP="00544FB2">
      <w:pPr>
        <w:pStyle w:val="NormalWeb"/>
        <w:numPr>
          <w:ilvl w:val="0"/>
          <w:numId w:val="3"/>
        </w:numPr>
        <w:spacing w:before="0" w:beforeAutospacing="0" w:after="0" w:afterAutospacing="0"/>
        <w:rPr>
          <w:b/>
          <w:bCs/>
        </w:rPr>
      </w:pPr>
      <w:r w:rsidRPr="000A114D">
        <w:rPr>
          <w:rStyle w:val="Strong"/>
          <w:b w:val="0"/>
          <w:bCs w:val="0"/>
        </w:rPr>
        <w:t>Fruit yield (t/ha)</w:t>
      </w:r>
    </w:p>
    <w:p w:rsidR="00B5220A" w:rsidRPr="000A114D" w:rsidRDefault="00B5220A" w:rsidP="00544FB2">
      <w:pPr>
        <w:pStyle w:val="Heading3"/>
        <w:spacing w:before="0"/>
        <w:rPr>
          <w:rFonts w:ascii="Times New Roman" w:hAnsi="Times New Roman" w:cs="Times New Roman"/>
          <w:b w:val="0"/>
          <w:bCs w:val="0"/>
          <w:color w:val="auto"/>
          <w:sz w:val="24"/>
          <w:szCs w:val="24"/>
        </w:rPr>
      </w:pPr>
      <w:r w:rsidRPr="000A114D">
        <w:rPr>
          <w:rStyle w:val="Strong"/>
          <w:rFonts w:ascii="Times New Roman" w:hAnsi="Times New Roman" w:cs="Times New Roman"/>
          <w:b/>
          <w:bCs/>
          <w:color w:val="auto"/>
          <w:sz w:val="24"/>
          <w:szCs w:val="24"/>
        </w:rPr>
        <w:t>Fruit Quality Parameters</w:t>
      </w:r>
      <w:r w:rsidR="000A114D">
        <w:rPr>
          <w:rStyle w:val="Strong"/>
          <w:rFonts w:ascii="Times New Roman" w:hAnsi="Times New Roman" w:cs="Times New Roman"/>
          <w:b/>
          <w:bCs/>
          <w:color w:val="auto"/>
          <w:sz w:val="24"/>
          <w:szCs w:val="24"/>
        </w:rPr>
        <w:t>:</w:t>
      </w:r>
    </w:p>
    <w:p w:rsidR="00B5220A" w:rsidRPr="000A114D" w:rsidRDefault="00B5220A" w:rsidP="00544FB2">
      <w:pPr>
        <w:pStyle w:val="NormalWeb"/>
        <w:numPr>
          <w:ilvl w:val="0"/>
          <w:numId w:val="4"/>
        </w:numPr>
        <w:spacing w:before="0" w:beforeAutospacing="0" w:after="0" w:afterAutospacing="0"/>
        <w:rPr>
          <w:b/>
          <w:bCs/>
        </w:rPr>
      </w:pPr>
      <w:r w:rsidRPr="000A114D">
        <w:rPr>
          <w:rStyle w:val="Strong"/>
          <w:b w:val="0"/>
          <w:bCs w:val="0"/>
        </w:rPr>
        <w:t>Total Soluble Solids (TSS, °Brix)</w:t>
      </w:r>
    </w:p>
    <w:p w:rsidR="00B5220A" w:rsidRPr="000A114D" w:rsidRDefault="00B5220A" w:rsidP="00544FB2">
      <w:pPr>
        <w:pStyle w:val="NormalWeb"/>
        <w:numPr>
          <w:ilvl w:val="0"/>
          <w:numId w:val="4"/>
        </w:numPr>
        <w:spacing w:before="0" w:beforeAutospacing="0" w:after="0" w:afterAutospacing="0"/>
        <w:rPr>
          <w:b/>
          <w:bCs/>
        </w:rPr>
      </w:pPr>
      <w:proofErr w:type="spellStart"/>
      <w:r w:rsidRPr="000A114D">
        <w:rPr>
          <w:rStyle w:val="Strong"/>
          <w:b w:val="0"/>
          <w:bCs w:val="0"/>
        </w:rPr>
        <w:t>TSS:Acidity</w:t>
      </w:r>
      <w:proofErr w:type="spellEnd"/>
      <w:r w:rsidRPr="000A114D">
        <w:rPr>
          <w:rStyle w:val="Strong"/>
          <w:b w:val="0"/>
          <w:bCs w:val="0"/>
        </w:rPr>
        <w:t xml:space="preserve"> ratio</w:t>
      </w:r>
    </w:p>
    <w:p w:rsidR="00B5220A" w:rsidRPr="000A114D" w:rsidRDefault="00B5220A" w:rsidP="00544FB2">
      <w:pPr>
        <w:pStyle w:val="Heading2"/>
        <w:spacing w:before="0" w:beforeAutospacing="0" w:after="0" w:afterAutospacing="0"/>
        <w:rPr>
          <w:b w:val="0"/>
          <w:bCs w:val="0"/>
          <w:sz w:val="24"/>
          <w:szCs w:val="24"/>
        </w:rPr>
      </w:pPr>
      <w:r w:rsidRPr="000A114D">
        <w:rPr>
          <w:rStyle w:val="Strong"/>
          <w:b/>
          <w:bCs/>
          <w:sz w:val="24"/>
          <w:szCs w:val="24"/>
        </w:rPr>
        <w:t>Statistical Analysis</w:t>
      </w:r>
      <w:r w:rsidR="000A114D">
        <w:rPr>
          <w:rStyle w:val="Strong"/>
          <w:b/>
          <w:bCs/>
          <w:sz w:val="24"/>
          <w:szCs w:val="24"/>
        </w:rPr>
        <w:t>:</w:t>
      </w:r>
    </w:p>
    <w:p w:rsidR="00B5220A" w:rsidRDefault="00B5220A" w:rsidP="00544FB2">
      <w:pPr>
        <w:pStyle w:val="NormalWeb"/>
        <w:spacing w:before="0" w:beforeAutospacing="0" w:after="0" w:afterAutospacing="0"/>
        <w:ind w:firstLine="720"/>
        <w:jc w:val="both"/>
        <w:rPr>
          <w:rStyle w:val="relative"/>
        </w:rPr>
      </w:pPr>
      <w:r>
        <w:t xml:space="preserve">Data were analyzed using analysis of variance (ANOVA) appropriate for the RBD as described by </w:t>
      </w:r>
      <w:proofErr w:type="spellStart"/>
      <w:r>
        <w:t>Panse</w:t>
      </w:r>
      <w:proofErr w:type="spellEnd"/>
      <w:r>
        <w:t xml:space="preserve"> and </w:t>
      </w:r>
      <w:proofErr w:type="spellStart"/>
      <w:r>
        <w:t>Sukhatme</w:t>
      </w:r>
      <w:proofErr w:type="spellEnd"/>
      <w:r>
        <w:t xml:space="preserve"> (1985). Treatment means were compared using the </w:t>
      </w:r>
      <w:r w:rsidRPr="000A114D">
        <w:rPr>
          <w:rStyle w:val="Strong"/>
          <w:b w:val="0"/>
          <w:bCs w:val="0"/>
        </w:rPr>
        <w:t>Critical Difference (CD) at 5% probability level</w:t>
      </w:r>
      <w:r>
        <w:t xml:space="preserve"> to determine statistical significance. Standard error of the difference (</w:t>
      </w:r>
      <w:proofErr w:type="spellStart"/>
      <w:proofErr w:type="gramStart"/>
      <w:r>
        <w:t>S.Ed</w:t>
      </w:r>
      <w:proofErr w:type="spellEnd"/>
      <w:proofErr w:type="gramEnd"/>
      <w:r>
        <w:t xml:space="preserve"> ±) was also calculated for all traits, as provided in the experimental dataset.</w:t>
      </w:r>
    </w:p>
    <w:p w:rsidR="000A114D" w:rsidRDefault="002E03BF" w:rsidP="00544FB2">
      <w:pPr>
        <w:pStyle w:val="NormalWeb"/>
        <w:spacing w:before="0" w:beforeAutospacing="0" w:after="0" w:afterAutospacing="0"/>
        <w:ind w:firstLine="720"/>
        <w:jc w:val="both"/>
      </w:pPr>
      <w:r>
        <w:lastRenderedPageBreak/>
        <w:t>Genetic variability parameters—such as</w:t>
      </w:r>
      <w:r w:rsidR="000A114D">
        <w:t xml:space="preserve"> genetic variance (GV) (Eq.1), phenotypic variance (PV) (Eq.2), genotypic coefficient of variance (GCV) (Eq.3) and phenotypic coefficient of variance (PCV) (Eq.4), were computed (</w:t>
      </w:r>
      <w:proofErr w:type="spellStart"/>
      <w:r w:rsidR="000A114D">
        <w:t>Mulualem</w:t>
      </w:r>
      <w:proofErr w:type="spellEnd"/>
      <w:r w:rsidR="000A114D">
        <w:t xml:space="preserve"> and Mohammed, 2012).</w:t>
      </w:r>
    </w:p>
    <w:p w:rsidR="000A114D" w:rsidRDefault="000A114D" w:rsidP="00544FB2">
      <w:pPr>
        <w:pStyle w:val="NormalWeb"/>
        <w:spacing w:before="0" w:beforeAutospacing="0" w:after="0" w:afterAutospacing="0"/>
        <w:ind w:firstLine="720"/>
        <w:jc w:val="both"/>
      </w:pPr>
      <w:r>
        <w:rPr>
          <w:rFonts w:ascii="Cambria Math" w:hAnsi="Cambria Math" w:cs="Cambria Math"/>
        </w:rPr>
        <w:t>𝐺𝑒𝑛𝑜𝑡𝑦𝑝𝑖𝑐</w:t>
      </w:r>
      <w:r>
        <w:t xml:space="preserve"> </w:t>
      </w:r>
      <w:r>
        <w:rPr>
          <w:rFonts w:ascii="Cambria Math" w:hAnsi="Cambria Math" w:cs="Cambria Math"/>
        </w:rPr>
        <w:t>𝑣𝑎𝑟𝑖𝑎𝑛𝑐𝑒</w:t>
      </w:r>
      <w:r>
        <w:t>=</w:t>
      </w:r>
      <w:r>
        <w:rPr>
          <w:rFonts w:ascii="Cambria Math" w:hAnsi="Cambria Math" w:cs="Cambria Math"/>
        </w:rPr>
        <w:t>𝑀𝑆𝑔</w:t>
      </w:r>
      <w:r>
        <w:t>−</w:t>
      </w:r>
      <w:r>
        <w:rPr>
          <w:rFonts w:ascii="Cambria Math" w:hAnsi="Cambria Math" w:cs="Cambria Math"/>
        </w:rPr>
        <w:t>𝑀𝑆𝑒/𝑛𝑟</w:t>
      </w:r>
      <w:r>
        <w:t xml:space="preserve"> (Eq.1)</w:t>
      </w:r>
    </w:p>
    <w:p w:rsidR="000A114D" w:rsidRDefault="000A114D" w:rsidP="00544FB2">
      <w:pPr>
        <w:pStyle w:val="NormalWeb"/>
        <w:spacing w:before="0" w:beforeAutospacing="0" w:after="0" w:afterAutospacing="0"/>
        <w:ind w:firstLine="720"/>
        <w:jc w:val="both"/>
      </w:pPr>
      <w:r>
        <w:rPr>
          <w:rFonts w:ascii="Cambria Math" w:hAnsi="Cambria Math" w:cs="Cambria Math"/>
        </w:rPr>
        <w:t>𝑃ℎ𝑒𝑛𝑜𝑡𝑦𝑝𝑖𝑐</w:t>
      </w:r>
      <w:r>
        <w:t xml:space="preserve"> </w:t>
      </w:r>
      <w:r>
        <w:rPr>
          <w:rFonts w:ascii="Cambria Math" w:hAnsi="Cambria Math" w:cs="Cambria Math"/>
        </w:rPr>
        <w:t>𝑣𝑎𝑟𝑖𝑎𝑛𝑐𝑒</w:t>
      </w:r>
      <w:r>
        <w:t>=</w:t>
      </w:r>
      <w:r>
        <w:rPr>
          <w:rFonts w:ascii="Cambria Math" w:hAnsi="Cambria Math" w:cs="Cambria Math"/>
        </w:rPr>
        <w:t>𝑀𝑆𝑔</w:t>
      </w:r>
      <w:r w:rsidR="007B04FB">
        <w:rPr>
          <w:rFonts w:ascii="Cambria Math" w:hAnsi="Cambria Math" w:cs="Cambria Math"/>
        </w:rPr>
        <w:t>/</w:t>
      </w:r>
      <w:r>
        <w:rPr>
          <w:rFonts w:ascii="Cambria Math" w:hAnsi="Cambria Math" w:cs="Cambria Math"/>
        </w:rPr>
        <w:t>𝑛𝑟</w:t>
      </w:r>
      <w:r>
        <w:t xml:space="preserve"> (Eq.2)</w:t>
      </w:r>
    </w:p>
    <w:p w:rsidR="000A114D" w:rsidRDefault="007B04FB" w:rsidP="00544FB2">
      <w:pPr>
        <w:pStyle w:val="NormalWeb"/>
        <w:spacing w:before="0" w:beforeAutospacing="0" w:after="0" w:afterAutospacing="0"/>
        <w:ind w:firstLine="720"/>
        <w:jc w:val="both"/>
      </w:pPr>
      <w:r>
        <w:t>W</w:t>
      </w:r>
      <w:r w:rsidR="000A114D">
        <w:t xml:space="preserve">here </w:t>
      </w:r>
      <w:proofErr w:type="spellStart"/>
      <w:r w:rsidR="000A114D">
        <w:t>MSg</w:t>
      </w:r>
      <w:proofErr w:type="spellEnd"/>
      <w:r w:rsidR="000A114D">
        <w:t xml:space="preserve"> is genotypic mean square, </w:t>
      </w:r>
      <w:proofErr w:type="spellStart"/>
      <w:r w:rsidR="000A114D">
        <w:t>MSe</w:t>
      </w:r>
      <w:proofErr w:type="spellEnd"/>
      <w:r w:rsidR="000A114D">
        <w:t xml:space="preserve"> is error mean square and nr is number of </w:t>
      </w:r>
      <w:proofErr w:type="gramStart"/>
      <w:r w:rsidR="000A114D">
        <w:t>replication</w:t>
      </w:r>
      <w:proofErr w:type="gramEnd"/>
      <w:r w:rsidR="000A114D">
        <w:t>.</w:t>
      </w:r>
    </w:p>
    <w:p w:rsidR="007B04FB" w:rsidRPr="007B04FB" w:rsidRDefault="007B04FB" w:rsidP="00544FB2">
      <w:pPr>
        <w:spacing w:after="0"/>
        <w:ind w:firstLine="720"/>
        <w:jc w:val="both"/>
        <w:rPr>
          <w:rFonts w:ascii="Times New Roman" w:hAnsi="Times New Roman" w:cs="Times New Roman"/>
          <w:sz w:val="24"/>
          <w:szCs w:val="24"/>
        </w:rPr>
      </w:pPr>
      <w:r w:rsidRPr="007B04FB">
        <w:rPr>
          <w:rFonts w:ascii="Cambria Math" w:hAnsi="Cambria Math" w:cs="Cambria Math"/>
          <w:sz w:val="24"/>
          <w:szCs w:val="24"/>
        </w:rPr>
        <w:t>𝐺𝐶𝑉</w:t>
      </w:r>
      <w:r w:rsidRPr="007B04FB">
        <w:rPr>
          <w:rFonts w:ascii="Times New Roman" w:hAnsi="Times New Roman" w:cs="Times New Roman"/>
          <w:sz w:val="24"/>
          <w:szCs w:val="24"/>
        </w:rPr>
        <w:t xml:space="preserve"> = √</w:t>
      </w:r>
      <w:r w:rsidRPr="007B04FB">
        <w:rPr>
          <w:rFonts w:ascii="Cambria Math" w:hAnsi="Cambria Math" w:cs="Cambria Math"/>
          <w:sz w:val="24"/>
          <w:szCs w:val="24"/>
        </w:rPr>
        <w:t>𝑉𝐺</w:t>
      </w:r>
      <w:r>
        <w:rPr>
          <w:rFonts w:ascii="Cambria Math" w:hAnsi="Cambria Math" w:cs="Cambria Math"/>
          <w:sz w:val="24"/>
          <w:szCs w:val="24"/>
        </w:rPr>
        <w:t>/</w:t>
      </w:r>
      <w:r w:rsidRPr="007B04FB">
        <w:rPr>
          <w:rFonts w:ascii="Cambria Math" w:hAnsi="Cambria Math" w:cs="Cambria Math"/>
          <w:sz w:val="24"/>
          <w:szCs w:val="24"/>
        </w:rPr>
        <w:t>𝐺𝑟𝑎𝑛𝑑</w:t>
      </w:r>
      <w:r w:rsidRPr="007B04FB">
        <w:rPr>
          <w:rFonts w:ascii="Times New Roman" w:hAnsi="Times New Roman" w:cs="Times New Roman"/>
          <w:sz w:val="24"/>
          <w:szCs w:val="24"/>
        </w:rPr>
        <w:t xml:space="preserve"> </w:t>
      </w:r>
      <w:r w:rsidRPr="007B04FB">
        <w:rPr>
          <w:rFonts w:ascii="Cambria Math" w:hAnsi="Cambria Math" w:cs="Cambria Math"/>
          <w:sz w:val="24"/>
          <w:szCs w:val="24"/>
        </w:rPr>
        <w:t>𝑀𝑒𝑎𝑛</w:t>
      </w:r>
      <w:r w:rsidRPr="007B04FB">
        <w:rPr>
          <w:rFonts w:ascii="Times New Roman" w:hAnsi="Times New Roman" w:cs="Times New Roman"/>
          <w:sz w:val="24"/>
          <w:szCs w:val="24"/>
        </w:rPr>
        <w:t>×100 (Eq.3)</w:t>
      </w:r>
    </w:p>
    <w:p w:rsidR="007B04FB" w:rsidRPr="007B04FB" w:rsidRDefault="007B04FB" w:rsidP="00544FB2">
      <w:pPr>
        <w:spacing w:after="0"/>
        <w:ind w:firstLine="720"/>
        <w:jc w:val="both"/>
        <w:rPr>
          <w:rFonts w:ascii="Times New Roman" w:hAnsi="Times New Roman" w:cs="Times New Roman"/>
          <w:sz w:val="24"/>
          <w:szCs w:val="24"/>
        </w:rPr>
      </w:pPr>
      <w:r w:rsidRPr="007B04FB">
        <w:rPr>
          <w:rFonts w:ascii="Cambria Math" w:hAnsi="Cambria Math" w:cs="Cambria Math"/>
          <w:sz w:val="24"/>
          <w:szCs w:val="24"/>
        </w:rPr>
        <w:t>𝑃𝐶𝑉</w:t>
      </w:r>
      <w:r w:rsidRPr="007B04FB">
        <w:rPr>
          <w:rFonts w:ascii="Times New Roman" w:hAnsi="Times New Roman" w:cs="Times New Roman"/>
          <w:sz w:val="24"/>
          <w:szCs w:val="24"/>
        </w:rPr>
        <w:t xml:space="preserve"> = √</w:t>
      </w:r>
      <w:r w:rsidRPr="007B04FB">
        <w:rPr>
          <w:rFonts w:ascii="Cambria Math" w:hAnsi="Cambria Math" w:cs="Cambria Math"/>
          <w:sz w:val="24"/>
          <w:szCs w:val="24"/>
        </w:rPr>
        <w:t>𝑉𝑃</w:t>
      </w:r>
      <w:r>
        <w:rPr>
          <w:rFonts w:ascii="Cambria Math" w:hAnsi="Cambria Math" w:cs="Cambria Math"/>
          <w:sz w:val="24"/>
          <w:szCs w:val="24"/>
        </w:rPr>
        <w:t>/</w:t>
      </w:r>
      <w:r w:rsidRPr="007B04FB">
        <w:rPr>
          <w:rFonts w:ascii="Cambria Math" w:hAnsi="Cambria Math" w:cs="Cambria Math"/>
          <w:sz w:val="24"/>
          <w:szCs w:val="24"/>
        </w:rPr>
        <w:t>𝐺𝑟𝑎𝑛𝑑</w:t>
      </w:r>
      <w:r w:rsidRPr="007B04FB">
        <w:rPr>
          <w:rFonts w:ascii="Times New Roman" w:hAnsi="Times New Roman" w:cs="Times New Roman"/>
          <w:sz w:val="24"/>
          <w:szCs w:val="24"/>
        </w:rPr>
        <w:t xml:space="preserve"> </w:t>
      </w:r>
      <w:r w:rsidRPr="007B04FB">
        <w:rPr>
          <w:rFonts w:ascii="Cambria Math" w:hAnsi="Cambria Math" w:cs="Cambria Math"/>
          <w:sz w:val="24"/>
          <w:szCs w:val="24"/>
        </w:rPr>
        <w:t>𝑀𝑒𝑎𝑛</w:t>
      </w:r>
      <w:r w:rsidRPr="007B04FB">
        <w:rPr>
          <w:rFonts w:ascii="Times New Roman" w:hAnsi="Times New Roman" w:cs="Times New Roman"/>
          <w:sz w:val="24"/>
          <w:szCs w:val="24"/>
        </w:rPr>
        <w:t>×100 (Eq.4)</w:t>
      </w:r>
    </w:p>
    <w:p w:rsidR="007B04FB" w:rsidRPr="007B04FB" w:rsidRDefault="007B04FB" w:rsidP="00544FB2">
      <w:pPr>
        <w:spacing w:after="0"/>
        <w:ind w:firstLine="720"/>
        <w:jc w:val="both"/>
        <w:rPr>
          <w:rFonts w:ascii="Times New Roman" w:hAnsi="Times New Roman" w:cs="Times New Roman"/>
          <w:sz w:val="24"/>
          <w:szCs w:val="24"/>
        </w:rPr>
      </w:pPr>
      <w:r w:rsidRPr="007B04FB">
        <w:rPr>
          <w:rFonts w:ascii="Times New Roman" w:hAnsi="Times New Roman" w:cs="Times New Roman"/>
          <w:sz w:val="24"/>
          <w:szCs w:val="24"/>
        </w:rPr>
        <w:t>Broad sense heritability (h2) (Eq.5) in percentage was estimated in each character using variance components as described (</w:t>
      </w:r>
      <w:proofErr w:type="spellStart"/>
      <w:r w:rsidRPr="007B04FB">
        <w:rPr>
          <w:rFonts w:ascii="Times New Roman" w:hAnsi="Times New Roman" w:cs="Times New Roman"/>
          <w:sz w:val="24"/>
          <w:szCs w:val="24"/>
        </w:rPr>
        <w:t>DeLacy</w:t>
      </w:r>
      <w:proofErr w:type="spellEnd"/>
      <w:r w:rsidRPr="007B04FB">
        <w:rPr>
          <w:rFonts w:ascii="Times New Roman" w:hAnsi="Times New Roman" w:cs="Times New Roman"/>
          <w:sz w:val="24"/>
          <w:szCs w:val="24"/>
        </w:rPr>
        <w:t xml:space="preserve"> </w:t>
      </w:r>
      <w:r w:rsidRPr="007B04FB">
        <w:rPr>
          <w:rFonts w:ascii="Times New Roman" w:hAnsi="Times New Roman" w:cs="Times New Roman"/>
          <w:i/>
          <w:iCs/>
          <w:sz w:val="24"/>
          <w:szCs w:val="24"/>
        </w:rPr>
        <w:t>et al.,</w:t>
      </w:r>
      <w:r w:rsidRPr="007B04FB">
        <w:rPr>
          <w:rFonts w:ascii="Times New Roman" w:hAnsi="Times New Roman" w:cs="Times New Roman"/>
          <w:sz w:val="24"/>
          <w:szCs w:val="24"/>
        </w:rPr>
        <w:t xml:space="preserve"> 1996). </w:t>
      </w:r>
    </w:p>
    <w:p w:rsidR="00B5220A" w:rsidRDefault="007B04FB" w:rsidP="00544FB2">
      <w:pPr>
        <w:spacing w:after="0"/>
        <w:ind w:firstLine="720"/>
        <w:jc w:val="both"/>
        <w:rPr>
          <w:rFonts w:ascii="Times New Roman" w:hAnsi="Times New Roman" w:cs="Times New Roman"/>
          <w:sz w:val="24"/>
          <w:szCs w:val="24"/>
        </w:rPr>
      </w:pPr>
      <w:r w:rsidRPr="007B04FB">
        <w:rPr>
          <w:rFonts w:ascii="Cambria Math" w:hAnsi="Cambria Math" w:cs="Cambria Math"/>
          <w:sz w:val="24"/>
          <w:szCs w:val="24"/>
        </w:rPr>
        <w:t>𝐻𝑒𝑟𝑖𝑡𝑎𝑏𝑖𝑙𝑖𝑡𝑦</w:t>
      </w:r>
      <w:r w:rsidRPr="007B04FB">
        <w:rPr>
          <w:rFonts w:ascii="Times New Roman" w:hAnsi="Times New Roman" w:cs="Times New Roman"/>
          <w:sz w:val="24"/>
          <w:szCs w:val="24"/>
        </w:rPr>
        <w:t xml:space="preserve"> (ℎ2)</w:t>
      </w:r>
      <w:r>
        <w:rPr>
          <w:rFonts w:ascii="Times New Roman" w:hAnsi="Times New Roman" w:cs="Times New Roman"/>
          <w:sz w:val="24"/>
          <w:szCs w:val="24"/>
        </w:rPr>
        <w:t xml:space="preserve"> </w:t>
      </w:r>
      <w:r w:rsidRPr="007B04FB">
        <w:rPr>
          <w:rFonts w:ascii="Times New Roman" w:hAnsi="Times New Roman" w:cs="Times New Roman"/>
          <w:sz w:val="24"/>
          <w:szCs w:val="24"/>
        </w:rPr>
        <w:t>=</w:t>
      </w:r>
      <w:r>
        <w:rPr>
          <w:rFonts w:ascii="Times New Roman" w:hAnsi="Times New Roman" w:cs="Times New Roman"/>
          <w:sz w:val="24"/>
          <w:szCs w:val="24"/>
        </w:rPr>
        <w:t xml:space="preserve"> </w:t>
      </w:r>
      <w:r w:rsidRPr="007B04FB">
        <w:rPr>
          <w:rFonts w:ascii="Cambria Math" w:hAnsi="Cambria Math" w:cs="Cambria Math"/>
          <w:sz w:val="24"/>
          <w:szCs w:val="24"/>
        </w:rPr>
        <w:t>𝐺𝑒𝑛𝑜𝑡𝑦𝑝𝑖𝑐</w:t>
      </w:r>
      <w:r w:rsidRPr="007B04FB">
        <w:rPr>
          <w:rFonts w:ascii="Times New Roman" w:hAnsi="Times New Roman" w:cs="Times New Roman"/>
          <w:sz w:val="24"/>
          <w:szCs w:val="24"/>
        </w:rPr>
        <w:t xml:space="preserve"> </w:t>
      </w:r>
      <w:r w:rsidRPr="007B04FB">
        <w:rPr>
          <w:rFonts w:ascii="Cambria Math" w:hAnsi="Cambria Math" w:cs="Cambria Math"/>
          <w:sz w:val="24"/>
          <w:szCs w:val="24"/>
        </w:rPr>
        <w:t>𝑉𝑎𝑟𝑖𝑎𝑛𝑐𝑒</w:t>
      </w:r>
      <w:r>
        <w:rPr>
          <w:rFonts w:ascii="Cambria Math" w:hAnsi="Cambria Math" w:cs="Cambria Math"/>
          <w:sz w:val="24"/>
          <w:szCs w:val="24"/>
        </w:rPr>
        <w:t>/</w:t>
      </w:r>
      <w:r w:rsidRPr="007B04FB">
        <w:rPr>
          <w:rFonts w:ascii="Cambria Math" w:hAnsi="Cambria Math" w:cs="Cambria Math"/>
          <w:sz w:val="24"/>
          <w:szCs w:val="24"/>
        </w:rPr>
        <w:t>𝑃</w:t>
      </w:r>
      <w:r w:rsidRPr="007B04FB">
        <w:rPr>
          <w:rFonts w:ascii="Times New Roman" w:hAnsi="Times New Roman" w:cs="Times New Roman"/>
          <w:sz w:val="24"/>
          <w:szCs w:val="24"/>
        </w:rPr>
        <w:t>ℎ</w:t>
      </w:r>
      <w:r w:rsidRPr="007B04FB">
        <w:rPr>
          <w:rFonts w:ascii="Cambria Math" w:hAnsi="Cambria Math" w:cs="Cambria Math"/>
          <w:sz w:val="24"/>
          <w:szCs w:val="24"/>
        </w:rPr>
        <w:t>𝑒𝑛𝑜𝑡𝑦𝑝𝑖𝑐</w:t>
      </w:r>
      <w:r w:rsidRPr="007B04FB">
        <w:rPr>
          <w:rFonts w:ascii="Times New Roman" w:hAnsi="Times New Roman" w:cs="Times New Roman"/>
          <w:sz w:val="24"/>
          <w:szCs w:val="24"/>
        </w:rPr>
        <w:t xml:space="preserve"> </w:t>
      </w:r>
      <w:r w:rsidRPr="007B04FB">
        <w:rPr>
          <w:rFonts w:ascii="Cambria Math" w:hAnsi="Cambria Math" w:cs="Cambria Math"/>
          <w:sz w:val="24"/>
          <w:szCs w:val="24"/>
        </w:rPr>
        <w:t>𝑉𝑎𝑟𝑖𝑎𝑛𝑐𝑒</w:t>
      </w:r>
      <w:r w:rsidRPr="007B04FB">
        <w:rPr>
          <w:rFonts w:ascii="Times New Roman" w:hAnsi="Times New Roman" w:cs="Times New Roman"/>
          <w:sz w:val="24"/>
          <w:szCs w:val="24"/>
        </w:rPr>
        <w:t xml:space="preserve"> (Eq.5)</w:t>
      </w:r>
    </w:p>
    <w:p w:rsidR="00D3310F" w:rsidRDefault="00D3310F" w:rsidP="007D5022">
      <w:pPr>
        <w:spacing w:before="120" w:after="0"/>
        <w:ind w:firstLine="720"/>
        <w:jc w:val="both"/>
        <w:rPr>
          <w:rFonts w:ascii="Times New Roman" w:hAnsi="Times New Roman" w:cs="Times New Roman"/>
          <w:sz w:val="24"/>
          <w:szCs w:val="24"/>
        </w:rPr>
      </w:pPr>
      <w:r w:rsidRPr="00D3310F">
        <w:rPr>
          <w:rFonts w:ascii="Times New Roman" w:hAnsi="Times New Roman" w:cs="Times New Roman"/>
          <w:sz w:val="24"/>
          <w:szCs w:val="24"/>
        </w:rPr>
        <w:t>Correlations among fruit physiochemical</w:t>
      </w:r>
      <w:r>
        <w:rPr>
          <w:rFonts w:ascii="Times New Roman" w:hAnsi="Times New Roman" w:cs="Times New Roman"/>
          <w:sz w:val="24"/>
          <w:szCs w:val="24"/>
        </w:rPr>
        <w:t xml:space="preserve"> </w:t>
      </w:r>
      <w:r w:rsidRPr="00D3310F">
        <w:rPr>
          <w:rFonts w:ascii="Times New Roman" w:hAnsi="Times New Roman" w:cs="Times New Roman"/>
          <w:sz w:val="24"/>
          <w:szCs w:val="24"/>
        </w:rPr>
        <w:t>characters of different mandarin genotypes were</w:t>
      </w:r>
      <w:r>
        <w:rPr>
          <w:rFonts w:ascii="Times New Roman" w:hAnsi="Times New Roman" w:cs="Times New Roman"/>
          <w:sz w:val="24"/>
          <w:szCs w:val="24"/>
        </w:rPr>
        <w:t xml:space="preserve"> </w:t>
      </w:r>
      <w:r w:rsidRPr="00D3310F">
        <w:rPr>
          <w:rFonts w:ascii="Times New Roman" w:hAnsi="Times New Roman" w:cs="Times New Roman"/>
          <w:sz w:val="24"/>
          <w:szCs w:val="24"/>
        </w:rPr>
        <w:t>carried out with partial correlation method and test</w:t>
      </w:r>
      <w:r>
        <w:rPr>
          <w:rFonts w:ascii="Times New Roman" w:hAnsi="Times New Roman" w:cs="Times New Roman"/>
          <w:sz w:val="24"/>
          <w:szCs w:val="24"/>
        </w:rPr>
        <w:t xml:space="preserve"> </w:t>
      </w:r>
      <w:r w:rsidRPr="00D3310F">
        <w:rPr>
          <w:rFonts w:ascii="Times New Roman" w:hAnsi="Times New Roman" w:cs="Times New Roman"/>
          <w:sz w:val="24"/>
          <w:szCs w:val="24"/>
        </w:rPr>
        <w:t>of significance was considered at 5 and 1 per cent</w:t>
      </w:r>
      <w:r>
        <w:rPr>
          <w:rFonts w:ascii="Times New Roman" w:hAnsi="Times New Roman" w:cs="Times New Roman"/>
          <w:sz w:val="24"/>
          <w:szCs w:val="24"/>
        </w:rPr>
        <w:t xml:space="preserve"> </w:t>
      </w:r>
      <w:r w:rsidRPr="00D3310F">
        <w:rPr>
          <w:rFonts w:ascii="Times New Roman" w:hAnsi="Times New Roman" w:cs="Times New Roman"/>
          <w:sz w:val="24"/>
          <w:szCs w:val="24"/>
        </w:rPr>
        <w:t xml:space="preserve">level of probability </w:t>
      </w:r>
      <w:proofErr w:type="gramStart"/>
      <w:r w:rsidRPr="00D3310F">
        <w:rPr>
          <w:rFonts w:ascii="Times New Roman" w:hAnsi="Times New Roman" w:cs="Times New Roman"/>
          <w:sz w:val="24"/>
          <w:szCs w:val="24"/>
        </w:rPr>
        <w:t>( P</w:t>
      </w:r>
      <w:proofErr w:type="gramEnd"/>
      <w:r w:rsidRPr="00D3310F">
        <w:rPr>
          <w:rFonts w:ascii="Times New Roman" w:hAnsi="Times New Roman" w:cs="Times New Roman"/>
          <w:sz w:val="24"/>
          <w:szCs w:val="24"/>
        </w:rPr>
        <w:t>&lt;0.05) and P&lt;0.01).</w:t>
      </w:r>
    </w:p>
    <w:p w:rsidR="009335CC" w:rsidRDefault="009335CC" w:rsidP="007D5022">
      <w:pPr>
        <w:pStyle w:val="Heading1"/>
        <w:spacing w:before="120"/>
        <w:rPr>
          <w:rFonts w:ascii="Times New Roman" w:eastAsia="Times New Roman" w:hAnsi="Times New Roman" w:cs="Times New Roman"/>
          <w:sz w:val="24"/>
          <w:szCs w:val="24"/>
        </w:rPr>
      </w:pPr>
      <w:r w:rsidRPr="009335CC">
        <w:rPr>
          <w:rStyle w:val="Strong"/>
          <w:b/>
          <w:bCs/>
          <w:color w:val="auto"/>
          <w:sz w:val="24"/>
          <w:szCs w:val="24"/>
        </w:rPr>
        <w:t>RESULTS AND DISCUSSION</w:t>
      </w:r>
    </w:p>
    <w:p w:rsidR="003A69AB" w:rsidRPr="003A69AB" w:rsidRDefault="003A69AB" w:rsidP="003A69AB">
      <w:pPr>
        <w:spacing w:after="0" w:line="240" w:lineRule="auto"/>
        <w:ind w:firstLine="360"/>
        <w:jc w:val="both"/>
        <w:rPr>
          <w:rFonts w:ascii="Times New Roman" w:eastAsia="Times New Roman" w:hAnsi="Times New Roman" w:cs="Times New Roman"/>
          <w:sz w:val="24"/>
          <w:szCs w:val="24"/>
        </w:rPr>
      </w:pPr>
      <w:r w:rsidRPr="003A69AB">
        <w:rPr>
          <w:rFonts w:ascii="Times New Roman" w:eastAsia="Times New Roman" w:hAnsi="Times New Roman" w:cs="Times New Roman"/>
          <w:sz w:val="24"/>
          <w:szCs w:val="24"/>
        </w:rPr>
        <w:t xml:space="preserve">Significant differences were noted among the seven mandarin genotypes concerning canopy-related characteristics, such as plant height and canopy volume, suggesting a considerable degree of genetic variability that can be utilized for enhancement programs. The aggregated data over four years clearly indicated that the genotypes exhibit unique canopy structures when cultivated under consistent conditions on Rough Lemon rootstock in a Randomized Block Design (RBD) at the Agricultural Research Station in </w:t>
      </w:r>
      <w:proofErr w:type="spellStart"/>
      <w:r w:rsidRPr="003A69AB">
        <w:rPr>
          <w:rFonts w:ascii="Times New Roman" w:eastAsia="Times New Roman" w:hAnsi="Times New Roman" w:cs="Times New Roman"/>
          <w:sz w:val="24"/>
          <w:szCs w:val="24"/>
        </w:rPr>
        <w:t>Sriganganagar</w:t>
      </w:r>
      <w:proofErr w:type="spellEnd"/>
      <w:r w:rsidRPr="003A69AB">
        <w:rPr>
          <w:rFonts w:ascii="Times New Roman" w:eastAsia="Times New Roman" w:hAnsi="Times New Roman" w:cs="Times New Roman"/>
          <w:sz w:val="24"/>
          <w:szCs w:val="24"/>
        </w:rPr>
        <w:t>, Rajasthan.</w:t>
      </w:r>
    </w:p>
    <w:p w:rsidR="003A69AB" w:rsidRDefault="003A69AB" w:rsidP="003A69AB">
      <w:pPr>
        <w:spacing w:after="0" w:line="240" w:lineRule="auto"/>
        <w:ind w:firstLine="360"/>
        <w:jc w:val="both"/>
        <w:rPr>
          <w:rFonts w:ascii="Times New Roman" w:eastAsia="Times New Roman" w:hAnsi="Times New Roman" w:cs="Times New Roman"/>
          <w:sz w:val="24"/>
          <w:szCs w:val="24"/>
        </w:rPr>
      </w:pPr>
      <w:r w:rsidRPr="003A69AB">
        <w:rPr>
          <w:rFonts w:ascii="Times New Roman" w:eastAsia="Times New Roman" w:hAnsi="Times New Roman" w:cs="Times New Roman"/>
          <w:sz w:val="24"/>
          <w:szCs w:val="24"/>
        </w:rPr>
        <w:t xml:space="preserve">Plant height showed considerable variation across treatments, with measurements ranging from 2.50 m (Nagpur Seedless) to 3.04 m (Coorg Mandarin). Coorg Mandarin (3.04 m), </w:t>
      </w:r>
      <w:proofErr w:type="spellStart"/>
      <w:r w:rsidRPr="003A69AB">
        <w:rPr>
          <w:rFonts w:ascii="Times New Roman" w:eastAsia="Times New Roman" w:hAnsi="Times New Roman" w:cs="Times New Roman"/>
          <w:sz w:val="24"/>
          <w:szCs w:val="24"/>
        </w:rPr>
        <w:t>Kinnow</w:t>
      </w:r>
      <w:proofErr w:type="spellEnd"/>
      <w:r w:rsidRPr="003A69AB">
        <w:rPr>
          <w:rFonts w:ascii="Times New Roman" w:eastAsia="Times New Roman" w:hAnsi="Times New Roman" w:cs="Times New Roman"/>
          <w:sz w:val="24"/>
          <w:szCs w:val="24"/>
        </w:rPr>
        <w:t xml:space="preserve"> Mandarin (3.02 m), and </w:t>
      </w:r>
      <w:proofErr w:type="spellStart"/>
      <w:r w:rsidRPr="003A69AB">
        <w:rPr>
          <w:rFonts w:ascii="Times New Roman" w:eastAsia="Times New Roman" w:hAnsi="Times New Roman" w:cs="Times New Roman"/>
          <w:sz w:val="24"/>
          <w:szCs w:val="24"/>
        </w:rPr>
        <w:t>Mudkhed</w:t>
      </w:r>
      <w:proofErr w:type="spellEnd"/>
      <w:r w:rsidRPr="003A69AB">
        <w:rPr>
          <w:rFonts w:ascii="Times New Roman" w:eastAsia="Times New Roman" w:hAnsi="Times New Roman" w:cs="Times New Roman"/>
          <w:sz w:val="24"/>
          <w:szCs w:val="24"/>
        </w:rPr>
        <w:t xml:space="preserve"> Seedless (2.97 m) emerged as the tallest genotypes, forming a distinct category of robust canopies. Conversely, Nagpur Seedless (2.50 m) exhibited the shortest plant height, reflecting a more compact growth pattern</w:t>
      </w:r>
      <w:r>
        <w:rPr>
          <w:rFonts w:ascii="Times New Roman" w:eastAsia="Times New Roman" w:hAnsi="Times New Roman" w:cs="Times New Roman"/>
          <w:sz w:val="24"/>
          <w:szCs w:val="24"/>
        </w:rPr>
        <w:t xml:space="preserve"> (Table 1)</w:t>
      </w:r>
      <w:r w:rsidRPr="003A69AB">
        <w:rPr>
          <w:rFonts w:ascii="Times New Roman" w:eastAsia="Times New Roman" w:hAnsi="Times New Roman" w:cs="Times New Roman"/>
          <w:sz w:val="24"/>
          <w:szCs w:val="24"/>
        </w:rPr>
        <w:t>. The critical difference at 5% (0.30 m) confirmed that these variations are statistically significant. The observed differences may be linked to genetic factors and their interaction with local soil and climatic conditions. Prior research in citrus has reported similar genotypic variations in plant height, where canopy vigor is significantly affected by inherent genetic potential and the compatibility between scion and rootstock (</w:t>
      </w:r>
      <w:proofErr w:type="spellStart"/>
      <w:r w:rsidRPr="003A69AB">
        <w:rPr>
          <w:rFonts w:ascii="Times New Roman" w:eastAsia="Times New Roman" w:hAnsi="Times New Roman" w:cs="Times New Roman"/>
          <w:sz w:val="24"/>
          <w:szCs w:val="24"/>
        </w:rPr>
        <w:t>Ladaniya</w:t>
      </w:r>
      <w:proofErr w:type="spellEnd"/>
      <w:r w:rsidRPr="003A69AB">
        <w:rPr>
          <w:rFonts w:ascii="Times New Roman" w:eastAsia="Times New Roman" w:hAnsi="Times New Roman" w:cs="Times New Roman"/>
          <w:sz w:val="24"/>
          <w:szCs w:val="24"/>
        </w:rPr>
        <w:t>, 2008; Castle, 2010).</w:t>
      </w:r>
    </w:p>
    <w:p w:rsidR="003A69AB" w:rsidRPr="003A69AB" w:rsidRDefault="003A69AB" w:rsidP="003A69AB">
      <w:pPr>
        <w:ind w:firstLine="360"/>
        <w:jc w:val="both"/>
        <w:rPr>
          <w:rFonts w:ascii="Times New Roman" w:eastAsia="Times New Roman" w:hAnsi="Times New Roman" w:cs="Times New Roman"/>
          <w:sz w:val="24"/>
          <w:szCs w:val="24"/>
        </w:rPr>
      </w:pPr>
      <w:r w:rsidRPr="003A69AB">
        <w:rPr>
          <w:rFonts w:ascii="Times New Roman" w:eastAsia="Times New Roman" w:hAnsi="Times New Roman" w:cs="Times New Roman"/>
          <w:sz w:val="24"/>
          <w:szCs w:val="24"/>
        </w:rPr>
        <w:t xml:space="preserve">A diverse array of canopy volumes was noted among the genotypes, underscoring the variety of canopy structures. </w:t>
      </w:r>
      <w:proofErr w:type="spellStart"/>
      <w:r w:rsidRPr="003A69AB">
        <w:rPr>
          <w:rFonts w:ascii="Times New Roman" w:eastAsia="Times New Roman" w:hAnsi="Times New Roman" w:cs="Times New Roman"/>
          <w:sz w:val="24"/>
          <w:szCs w:val="24"/>
        </w:rPr>
        <w:t>Kinnow</w:t>
      </w:r>
      <w:proofErr w:type="spellEnd"/>
      <w:r w:rsidRPr="003A69AB">
        <w:rPr>
          <w:rFonts w:ascii="Times New Roman" w:eastAsia="Times New Roman" w:hAnsi="Times New Roman" w:cs="Times New Roman"/>
          <w:sz w:val="24"/>
          <w:szCs w:val="24"/>
        </w:rPr>
        <w:t xml:space="preserve"> Mandarin (12.64 m³) displayed the largest canopy volume, closely followed by </w:t>
      </w:r>
      <w:proofErr w:type="spellStart"/>
      <w:r w:rsidRPr="003A69AB">
        <w:rPr>
          <w:rFonts w:ascii="Times New Roman" w:eastAsia="Times New Roman" w:hAnsi="Times New Roman" w:cs="Times New Roman"/>
          <w:sz w:val="24"/>
          <w:szCs w:val="24"/>
        </w:rPr>
        <w:t>Mudkhed</w:t>
      </w:r>
      <w:proofErr w:type="spellEnd"/>
      <w:r w:rsidRPr="003A69AB">
        <w:rPr>
          <w:rFonts w:ascii="Times New Roman" w:eastAsia="Times New Roman" w:hAnsi="Times New Roman" w:cs="Times New Roman"/>
          <w:sz w:val="24"/>
          <w:szCs w:val="24"/>
        </w:rPr>
        <w:t xml:space="preserve"> Seedless (11.42 m³). Medium canopy volumes were recorded for Nagpur Mandarin (8.39 m³), Coorg Mandarin (6.91 m³), and Darjeeling Mandarin (6.93 m³). The smallest canopy volume was found in Nagpur Seedless (4.44 m³), indicating a more compact and less expansive canopy form. The critical difference at 5% (3.56 m³) validates the importance of the observed variations. The substantial canopy volumes in </w:t>
      </w:r>
      <w:proofErr w:type="spellStart"/>
      <w:r w:rsidRPr="003A69AB">
        <w:rPr>
          <w:rFonts w:ascii="Times New Roman" w:eastAsia="Times New Roman" w:hAnsi="Times New Roman" w:cs="Times New Roman"/>
          <w:sz w:val="24"/>
          <w:szCs w:val="24"/>
        </w:rPr>
        <w:t>Kinnow</w:t>
      </w:r>
      <w:proofErr w:type="spellEnd"/>
      <w:r w:rsidRPr="003A69AB">
        <w:rPr>
          <w:rFonts w:ascii="Times New Roman" w:eastAsia="Times New Roman" w:hAnsi="Times New Roman" w:cs="Times New Roman"/>
          <w:sz w:val="24"/>
          <w:szCs w:val="24"/>
        </w:rPr>
        <w:t xml:space="preserve"> and </w:t>
      </w:r>
      <w:proofErr w:type="spellStart"/>
      <w:r w:rsidRPr="003A69AB">
        <w:rPr>
          <w:rFonts w:ascii="Times New Roman" w:eastAsia="Times New Roman" w:hAnsi="Times New Roman" w:cs="Times New Roman"/>
          <w:sz w:val="24"/>
          <w:szCs w:val="24"/>
        </w:rPr>
        <w:t>Mudkhed</w:t>
      </w:r>
      <w:proofErr w:type="spellEnd"/>
      <w:r w:rsidRPr="003A69AB">
        <w:rPr>
          <w:rFonts w:ascii="Times New Roman" w:eastAsia="Times New Roman" w:hAnsi="Times New Roman" w:cs="Times New Roman"/>
          <w:sz w:val="24"/>
          <w:szCs w:val="24"/>
        </w:rPr>
        <w:t xml:space="preserve"> Seedless imply robust vegetative growth, corroborated by their tall plant heights and greater stem girth measurements. Larger canopies are typically linked to better light interception, increased photosynthetic efficiency, and thus a higher potential for fruit yield—a trend that aligns with the significant yield recorded in </w:t>
      </w:r>
      <w:proofErr w:type="spellStart"/>
      <w:r w:rsidRPr="003A69AB">
        <w:rPr>
          <w:rFonts w:ascii="Times New Roman" w:eastAsia="Times New Roman" w:hAnsi="Times New Roman" w:cs="Times New Roman"/>
          <w:sz w:val="24"/>
          <w:szCs w:val="24"/>
        </w:rPr>
        <w:t>Kinnow</w:t>
      </w:r>
      <w:proofErr w:type="spellEnd"/>
      <w:r w:rsidRPr="003A69AB">
        <w:rPr>
          <w:rFonts w:ascii="Times New Roman" w:eastAsia="Times New Roman" w:hAnsi="Times New Roman" w:cs="Times New Roman"/>
          <w:sz w:val="24"/>
          <w:szCs w:val="24"/>
        </w:rPr>
        <w:t xml:space="preserve"> Mandarin (40.41 t/ha)</w:t>
      </w:r>
      <w:r>
        <w:rPr>
          <w:rFonts w:ascii="Times New Roman" w:eastAsia="Times New Roman" w:hAnsi="Times New Roman" w:cs="Times New Roman"/>
          <w:sz w:val="24"/>
          <w:szCs w:val="24"/>
        </w:rPr>
        <w:t xml:space="preserve"> (Table 1)</w:t>
      </w:r>
      <w:r w:rsidRPr="003A69AB">
        <w:rPr>
          <w:rFonts w:ascii="Times New Roman" w:eastAsia="Times New Roman" w:hAnsi="Times New Roman" w:cs="Times New Roman"/>
          <w:sz w:val="24"/>
          <w:szCs w:val="24"/>
        </w:rPr>
        <w:t xml:space="preserve">. These results are consistent with previous studies indicating that canopy volume is a vital factor in productivity and is highly specific to genotype in citrus (Sharma </w:t>
      </w:r>
      <w:r w:rsidRPr="003A69AB">
        <w:rPr>
          <w:rFonts w:ascii="Times New Roman" w:eastAsia="Times New Roman" w:hAnsi="Times New Roman" w:cs="Times New Roman"/>
          <w:i/>
          <w:iCs/>
          <w:sz w:val="24"/>
          <w:szCs w:val="24"/>
        </w:rPr>
        <w:t>et al.,</w:t>
      </w:r>
      <w:r w:rsidRPr="003A69AB">
        <w:rPr>
          <w:rFonts w:ascii="Times New Roman" w:eastAsia="Times New Roman" w:hAnsi="Times New Roman" w:cs="Times New Roman"/>
          <w:sz w:val="24"/>
          <w:szCs w:val="24"/>
        </w:rPr>
        <w:t xml:space="preserve"> 2015). Canopy volume holds particular significance in </w:t>
      </w:r>
      <w:r w:rsidRPr="003A69AB">
        <w:rPr>
          <w:rFonts w:ascii="Times New Roman" w:eastAsia="Times New Roman" w:hAnsi="Times New Roman" w:cs="Times New Roman"/>
          <w:sz w:val="24"/>
          <w:szCs w:val="24"/>
        </w:rPr>
        <w:lastRenderedPageBreak/>
        <w:t>contemporary orchard systems as it affects pruning needs, disease microclimate, and the feasibility of high-density planting.</w:t>
      </w:r>
    </w:p>
    <w:p w:rsidR="003A69AB" w:rsidRDefault="003A69AB" w:rsidP="00502AE7">
      <w:pPr>
        <w:spacing w:before="120" w:after="0" w:line="240" w:lineRule="auto"/>
        <w:ind w:firstLine="360"/>
        <w:jc w:val="both"/>
        <w:rPr>
          <w:rFonts w:ascii="Times New Roman" w:eastAsia="Times New Roman" w:hAnsi="Times New Roman" w:cs="Times New Roman"/>
          <w:sz w:val="24"/>
          <w:szCs w:val="24"/>
        </w:rPr>
      </w:pPr>
      <w:r w:rsidRPr="003A69AB">
        <w:rPr>
          <w:rFonts w:ascii="Times New Roman" w:eastAsia="Times New Roman" w:hAnsi="Times New Roman" w:cs="Times New Roman"/>
          <w:sz w:val="24"/>
          <w:szCs w:val="24"/>
        </w:rPr>
        <w:t xml:space="preserve">A clear positive correlation between canopy volume and yield was evident in the present study. </w:t>
      </w:r>
      <w:proofErr w:type="spellStart"/>
      <w:r w:rsidRPr="003A69AB">
        <w:rPr>
          <w:rFonts w:ascii="Times New Roman" w:eastAsia="Times New Roman" w:hAnsi="Times New Roman" w:cs="Times New Roman"/>
          <w:sz w:val="24"/>
          <w:szCs w:val="24"/>
        </w:rPr>
        <w:t>Kinnow</w:t>
      </w:r>
      <w:proofErr w:type="spellEnd"/>
      <w:r w:rsidRPr="003A69AB">
        <w:rPr>
          <w:rFonts w:ascii="Times New Roman" w:eastAsia="Times New Roman" w:hAnsi="Times New Roman" w:cs="Times New Roman"/>
          <w:sz w:val="24"/>
          <w:szCs w:val="24"/>
        </w:rPr>
        <w:t xml:space="preserve"> Mandarin, which exhibited the largest canopy size (12.64 m³), also achieved the highest fruit yield (40.41 t/ha). In contrast, Nagpur Seedless, characterized by the smallest canopy (4.44 m³), yielded comparatively less despite possessing high-quality fruit attributes. Such relationships between canopy vigor and yield potential have been extensively documented in citrus, highlighting the significance of balanced vegetative growth for enhanced productivity (Kumar </w:t>
      </w:r>
      <w:r w:rsidRPr="003A69AB">
        <w:rPr>
          <w:rFonts w:ascii="Times New Roman" w:eastAsia="Times New Roman" w:hAnsi="Times New Roman" w:cs="Times New Roman"/>
          <w:i/>
          <w:iCs/>
          <w:sz w:val="24"/>
          <w:szCs w:val="24"/>
        </w:rPr>
        <w:t>et al.,</w:t>
      </w:r>
      <w:r w:rsidRPr="003A69AB">
        <w:rPr>
          <w:rFonts w:ascii="Times New Roman" w:eastAsia="Times New Roman" w:hAnsi="Times New Roman" w:cs="Times New Roman"/>
          <w:sz w:val="24"/>
          <w:szCs w:val="24"/>
        </w:rPr>
        <w:t xml:space="preserve"> 2015). Nevertheless, excessively vigorous canopies may hinder light penetration into the inner canopy, which could adversely impact fruit color and TSS accumulation, underscoring the necessity for effective canopy management in high-vigor cultivars like </w:t>
      </w:r>
      <w:proofErr w:type="spellStart"/>
      <w:r w:rsidRPr="003A69AB">
        <w:rPr>
          <w:rFonts w:ascii="Times New Roman" w:eastAsia="Times New Roman" w:hAnsi="Times New Roman" w:cs="Times New Roman"/>
          <w:sz w:val="24"/>
          <w:szCs w:val="24"/>
        </w:rPr>
        <w:t>Kinnow</w:t>
      </w:r>
      <w:proofErr w:type="spellEnd"/>
      <w:r w:rsidRPr="003A69AB">
        <w:rPr>
          <w:rFonts w:ascii="Times New Roman" w:eastAsia="Times New Roman" w:hAnsi="Times New Roman" w:cs="Times New Roman"/>
          <w:sz w:val="24"/>
          <w:szCs w:val="24"/>
        </w:rPr>
        <w:t>. The notable genetic variability in canopy traits among the mandarin genotypes illustrates their potential for selection in breeding initiatives aimed at optimizing canopy architecture for various orchard types. High-vigor genotypes (</w:t>
      </w:r>
      <w:proofErr w:type="spellStart"/>
      <w:r w:rsidRPr="003A69AB">
        <w:rPr>
          <w:rFonts w:ascii="Times New Roman" w:eastAsia="Times New Roman" w:hAnsi="Times New Roman" w:cs="Times New Roman"/>
          <w:sz w:val="24"/>
          <w:szCs w:val="24"/>
        </w:rPr>
        <w:t>Kinnow</w:t>
      </w:r>
      <w:proofErr w:type="spellEnd"/>
      <w:r w:rsidRPr="003A69AB">
        <w:rPr>
          <w:rFonts w:ascii="Times New Roman" w:eastAsia="Times New Roman" w:hAnsi="Times New Roman" w:cs="Times New Roman"/>
          <w:sz w:val="24"/>
          <w:szCs w:val="24"/>
        </w:rPr>
        <w:t xml:space="preserve">, Coorg, </w:t>
      </w:r>
      <w:proofErr w:type="spellStart"/>
      <w:r w:rsidRPr="003A69AB">
        <w:rPr>
          <w:rFonts w:ascii="Times New Roman" w:eastAsia="Times New Roman" w:hAnsi="Times New Roman" w:cs="Times New Roman"/>
          <w:sz w:val="24"/>
          <w:szCs w:val="24"/>
        </w:rPr>
        <w:t>Mudkhed</w:t>
      </w:r>
      <w:proofErr w:type="spellEnd"/>
      <w:r w:rsidRPr="003A69AB">
        <w:rPr>
          <w:rFonts w:ascii="Times New Roman" w:eastAsia="Times New Roman" w:hAnsi="Times New Roman" w:cs="Times New Roman"/>
          <w:sz w:val="24"/>
          <w:szCs w:val="24"/>
        </w:rPr>
        <w:t>) are well-suited for traditional planting systems where a large canopy size is preferred for maximizing yield. Conversely, moderate to compact genotypes (Nagpur Seedless, Darjeeling Mandarin, Khasi) are ideal for high-density orchards, where a reduced canopy volume improves light distribution and management efficiency. The heritable differences observed in canopy traits offer valuable insights for future improvements in mandarins and orchard system design in arid and semi-arid regions such as Rajasthan.</w:t>
      </w:r>
    </w:p>
    <w:p w:rsidR="004A2459" w:rsidRPr="004A2459" w:rsidRDefault="004A2459" w:rsidP="00502AE7">
      <w:pPr>
        <w:spacing w:before="120" w:after="0" w:line="240" w:lineRule="auto"/>
        <w:ind w:firstLine="360"/>
        <w:jc w:val="both"/>
        <w:rPr>
          <w:sz w:val="24"/>
          <w:szCs w:val="24"/>
        </w:rPr>
      </w:pPr>
      <w:r w:rsidRPr="004A2459">
        <w:rPr>
          <w:rStyle w:val="Strong"/>
          <w:rFonts w:eastAsiaTheme="majorEastAsia"/>
          <w:b w:val="0"/>
          <w:bCs w:val="0"/>
          <w:sz w:val="24"/>
          <w:szCs w:val="24"/>
        </w:rPr>
        <w:t>Table 1</w:t>
      </w:r>
      <w:r w:rsidRPr="004A2459">
        <w:rPr>
          <w:rStyle w:val="Strong"/>
          <w:b w:val="0"/>
          <w:bCs w:val="0"/>
          <w:sz w:val="24"/>
          <w:szCs w:val="24"/>
        </w:rPr>
        <w:t xml:space="preserve">. </w:t>
      </w:r>
      <w:r w:rsidRPr="004A2459">
        <w:rPr>
          <w:rStyle w:val="Strong"/>
          <w:rFonts w:eastAsiaTheme="majorEastAsia"/>
          <w:b w:val="0"/>
          <w:bCs w:val="0"/>
          <w:sz w:val="24"/>
          <w:szCs w:val="24"/>
        </w:rPr>
        <w:t>Variability in different characteristics in mandarin genotypes</w:t>
      </w:r>
    </w:p>
    <w:tbl>
      <w:tblPr>
        <w:tblStyle w:val="TableGrid"/>
        <w:tblW w:w="5000" w:type="pct"/>
        <w:tblLook w:val="04A0" w:firstRow="1" w:lastRow="0" w:firstColumn="1" w:lastColumn="0" w:noHBand="0" w:noVBand="1"/>
      </w:tblPr>
      <w:tblGrid>
        <w:gridCol w:w="2381"/>
        <w:gridCol w:w="1094"/>
        <w:gridCol w:w="1083"/>
        <w:gridCol w:w="926"/>
        <w:gridCol w:w="1046"/>
        <w:gridCol w:w="1008"/>
        <w:gridCol w:w="1534"/>
        <w:gridCol w:w="1404"/>
      </w:tblGrid>
      <w:tr w:rsidR="004A2459" w:rsidTr="003A69AB">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Treatment</w:t>
            </w: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Plant Height (m)</w:t>
            </w:r>
          </w:p>
        </w:tc>
        <w:tc>
          <w:tcPr>
            <w:tcW w:w="5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Canopy Volume (m</w:t>
            </w:r>
            <w:r>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jc w:val="both"/>
              <w:rPr>
                <w:rFonts w:ascii="Times New Roman" w:hAnsi="Times New Roman" w:cs="Times New Roman"/>
                <w:sz w:val="24"/>
                <w:szCs w:val="24"/>
              </w:rPr>
            </w:pPr>
            <w:r>
              <w:rPr>
                <w:rFonts w:ascii="Times New Roman" w:hAnsi="Times New Roman" w:cs="Times New Roman"/>
                <w:sz w:val="24"/>
                <w:szCs w:val="24"/>
              </w:rPr>
              <w:t>Stem girth (cm)</w:t>
            </w:r>
          </w:p>
        </w:tc>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jc w:val="both"/>
              <w:rPr>
                <w:rFonts w:ascii="Times New Roman" w:hAnsi="Times New Roman" w:cs="Times New Roman"/>
                <w:sz w:val="24"/>
                <w:szCs w:val="24"/>
              </w:rPr>
            </w:pPr>
            <w:r>
              <w:rPr>
                <w:rFonts w:ascii="Times New Roman" w:hAnsi="Times New Roman" w:cs="Times New Roman"/>
                <w:sz w:val="24"/>
                <w:szCs w:val="24"/>
              </w:rPr>
              <w:t>Fruit weight (g)</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jc w:val="both"/>
              <w:rPr>
                <w:rFonts w:ascii="Times New Roman" w:hAnsi="Times New Roman" w:cs="Times New Roman"/>
                <w:sz w:val="24"/>
                <w:szCs w:val="24"/>
              </w:rPr>
            </w:pPr>
            <w:r>
              <w:rPr>
                <w:rFonts w:ascii="Times New Roman" w:hAnsi="Times New Roman" w:cs="Times New Roman"/>
                <w:sz w:val="24"/>
                <w:szCs w:val="24"/>
              </w:rPr>
              <w:t>Fruit Yield (t/ha)</w:t>
            </w:r>
          </w:p>
        </w:tc>
        <w:tc>
          <w:tcPr>
            <w:tcW w:w="7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jc w:val="both"/>
              <w:rPr>
                <w:rFonts w:ascii="Times New Roman" w:hAnsi="Times New Roman" w:cs="Times New Roman"/>
                <w:sz w:val="24"/>
                <w:szCs w:val="24"/>
              </w:rPr>
            </w:pPr>
            <w:r>
              <w:rPr>
                <w:rFonts w:ascii="Times New Roman" w:hAnsi="Times New Roman" w:cs="Times New Roman"/>
                <w:sz w:val="24"/>
                <w:szCs w:val="24"/>
              </w:rPr>
              <w:t>TSS (</w:t>
            </w:r>
            <w:r>
              <w:rPr>
                <w:rFonts w:ascii="Times New Roman" w:hAnsi="Times New Roman" w:cs="Times New Roman"/>
                <w:sz w:val="24"/>
                <w:szCs w:val="24"/>
                <w:vertAlign w:val="subscript"/>
              </w:rPr>
              <w:t>0</w:t>
            </w:r>
            <w:r>
              <w:rPr>
                <w:rFonts w:ascii="Times New Roman" w:hAnsi="Times New Roman" w:cs="Times New Roman"/>
                <w:sz w:val="24"/>
                <w:szCs w:val="24"/>
              </w:rPr>
              <w:t>B)</w:t>
            </w:r>
          </w:p>
        </w:tc>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Pr="00685065" w:rsidRDefault="004A2459" w:rsidP="00544FB2">
            <w:pPr>
              <w:ind w:firstLine="0"/>
              <w:jc w:val="both"/>
              <w:rPr>
                <w:rFonts w:ascii="Times New Roman" w:hAnsi="Times New Roman" w:cs="Times New Roman"/>
                <w:sz w:val="24"/>
                <w:szCs w:val="24"/>
                <w:lang w:val="en-US"/>
              </w:rPr>
            </w:pPr>
            <w:r w:rsidRPr="00685065">
              <w:rPr>
                <w:rFonts w:ascii="Times New Roman" w:hAnsi="Times New Roman" w:cs="Times New Roman"/>
                <w:sz w:val="24"/>
                <w:szCs w:val="24"/>
                <w:lang w:val="en-US"/>
              </w:rPr>
              <w:t>TSS: Acidity ratio</w:t>
            </w:r>
          </w:p>
          <w:p w:rsidR="004A2459" w:rsidRDefault="004A2459" w:rsidP="00544FB2">
            <w:pPr>
              <w:jc w:val="both"/>
              <w:rPr>
                <w:rFonts w:ascii="Times New Roman" w:hAnsi="Times New Roman" w:cs="Times New Roman"/>
                <w:sz w:val="24"/>
                <w:szCs w:val="24"/>
              </w:rPr>
            </w:pPr>
          </w:p>
        </w:tc>
      </w:tr>
      <w:tr w:rsidR="004A2459" w:rsidTr="003A69AB">
        <w:trPr>
          <w:trHeight w:val="287"/>
        </w:trPr>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Pr="00665325" w:rsidRDefault="004A2459" w:rsidP="00544FB2">
            <w:pPr>
              <w:ind w:firstLine="0"/>
              <w:rPr>
                <w:rFonts w:ascii="Calibri" w:eastAsia="Times New Roman" w:hAnsi="Calibri" w:cs="Calibri"/>
                <w:color w:val="000000"/>
                <w:sz w:val="24"/>
                <w:szCs w:val="24"/>
              </w:rPr>
            </w:pPr>
            <w:proofErr w:type="spellStart"/>
            <w:r w:rsidRPr="00665325">
              <w:rPr>
                <w:rFonts w:ascii="Calibri" w:eastAsia="Times New Roman" w:hAnsi="Calibri" w:cs="Calibri"/>
                <w:color w:val="000000"/>
                <w:sz w:val="24"/>
                <w:szCs w:val="24"/>
              </w:rPr>
              <w:t>Mudkhed</w:t>
            </w:r>
            <w:proofErr w:type="spellEnd"/>
            <w:r w:rsidRPr="00665325">
              <w:rPr>
                <w:rFonts w:ascii="Calibri" w:eastAsia="Times New Roman" w:hAnsi="Calibri" w:cs="Calibri"/>
                <w:color w:val="000000"/>
                <w:sz w:val="24"/>
                <w:szCs w:val="24"/>
              </w:rPr>
              <w:t xml:space="preserve"> seedless</w:t>
            </w: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2.97</w:t>
            </w:r>
          </w:p>
        </w:tc>
        <w:tc>
          <w:tcPr>
            <w:tcW w:w="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11.42</w:t>
            </w:r>
          </w:p>
        </w:t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spacing w:line="276"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36.88</w:t>
            </w:r>
          </w:p>
        </w:tc>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134.32</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23.40</w:t>
            </w:r>
          </w:p>
        </w:tc>
        <w:tc>
          <w:tcPr>
            <w:tcW w:w="7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7.82</w:t>
            </w:r>
          </w:p>
        </w:tc>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1.13</w:t>
            </w:r>
          </w:p>
        </w:tc>
      </w:tr>
      <w:tr w:rsidR="004A2459" w:rsidTr="003A69AB">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Pr="00665325" w:rsidRDefault="004A2459" w:rsidP="00544FB2">
            <w:pPr>
              <w:ind w:firstLine="0"/>
              <w:rPr>
                <w:rFonts w:ascii="Calibri" w:eastAsia="Times New Roman" w:hAnsi="Calibri" w:cs="Calibri"/>
                <w:color w:val="000000"/>
                <w:sz w:val="24"/>
                <w:szCs w:val="24"/>
              </w:rPr>
            </w:pPr>
            <w:r w:rsidRPr="00665325">
              <w:rPr>
                <w:rFonts w:ascii="Calibri" w:eastAsia="Times New Roman" w:hAnsi="Calibri" w:cs="Calibri"/>
                <w:color w:val="000000"/>
                <w:sz w:val="24"/>
                <w:szCs w:val="24"/>
              </w:rPr>
              <w:t>Nagpur seedless</w:t>
            </w: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2.50</w:t>
            </w:r>
          </w:p>
        </w:tc>
        <w:tc>
          <w:tcPr>
            <w:tcW w:w="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4.44</w:t>
            </w:r>
          </w:p>
        </w:t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spacing w:line="276"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24.14</w:t>
            </w:r>
          </w:p>
        </w:tc>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123.99</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22.82</w:t>
            </w:r>
          </w:p>
        </w:tc>
        <w:tc>
          <w:tcPr>
            <w:tcW w:w="7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7.55</w:t>
            </w:r>
          </w:p>
        </w:tc>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1.09</w:t>
            </w:r>
          </w:p>
        </w:tc>
      </w:tr>
      <w:tr w:rsidR="004A2459" w:rsidTr="003A69AB">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Pr="00665325" w:rsidRDefault="004A2459" w:rsidP="00544FB2">
            <w:pPr>
              <w:ind w:firstLine="0"/>
              <w:rPr>
                <w:rFonts w:ascii="Calibri" w:eastAsia="Times New Roman" w:hAnsi="Calibri" w:cs="Calibri"/>
                <w:color w:val="000000"/>
                <w:sz w:val="24"/>
                <w:szCs w:val="24"/>
              </w:rPr>
            </w:pPr>
            <w:r w:rsidRPr="00665325">
              <w:rPr>
                <w:rFonts w:ascii="Calibri" w:eastAsia="Times New Roman" w:hAnsi="Calibri" w:cs="Calibri"/>
                <w:color w:val="000000"/>
                <w:sz w:val="24"/>
                <w:szCs w:val="24"/>
              </w:rPr>
              <w:t>Nagpur mandarin</w:t>
            </w: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2.91</w:t>
            </w:r>
          </w:p>
        </w:tc>
        <w:tc>
          <w:tcPr>
            <w:tcW w:w="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8.39</w:t>
            </w:r>
          </w:p>
        </w:t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Times New Roman" w:hAnsi="Times New Roman" w:cs="Times New Roman"/>
                <w:color w:val="000000"/>
                <w:sz w:val="24"/>
                <w:szCs w:val="24"/>
              </w:rPr>
            </w:pPr>
            <w:r>
              <w:rPr>
                <w:rFonts w:ascii="Times New Roman" w:hAnsi="Times New Roman" w:cs="Times New Roman"/>
                <w:color w:val="000000"/>
                <w:sz w:val="24"/>
                <w:szCs w:val="24"/>
              </w:rPr>
              <w:t>34.0</w:t>
            </w:r>
          </w:p>
        </w:tc>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114.89</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20.04</w:t>
            </w:r>
          </w:p>
        </w:tc>
        <w:tc>
          <w:tcPr>
            <w:tcW w:w="7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7.06</w:t>
            </w:r>
          </w:p>
        </w:tc>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1.08</w:t>
            </w:r>
          </w:p>
        </w:tc>
      </w:tr>
      <w:tr w:rsidR="004A2459" w:rsidTr="003A69AB">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Pr="00665325" w:rsidRDefault="004A2459" w:rsidP="00544FB2">
            <w:pPr>
              <w:ind w:firstLine="0"/>
              <w:rPr>
                <w:rFonts w:ascii="Calibri" w:eastAsia="Times New Roman" w:hAnsi="Calibri" w:cs="Calibri"/>
                <w:color w:val="000000"/>
                <w:sz w:val="24"/>
                <w:szCs w:val="24"/>
              </w:rPr>
            </w:pPr>
            <w:proofErr w:type="spellStart"/>
            <w:r w:rsidRPr="00665325">
              <w:rPr>
                <w:rFonts w:ascii="Calibri" w:eastAsia="Times New Roman" w:hAnsi="Calibri" w:cs="Calibri"/>
                <w:color w:val="000000"/>
                <w:sz w:val="24"/>
                <w:szCs w:val="24"/>
              </w:rPr>
              <w:t>Kinnow</w:t>
            </w:r>
            <w:proofErr w:type="spellEnd"/>
            <w:r w:rsidRPr="00665325">
              <w:rPr>
                <w:rFonts w:ascii="Calibri" w:eastAsia="Times New Roman" w:hAnsi="Calibri" w:cs="Calibri"/>
                <w:color w:val="000000"/>
                <w:sz w:val="24"/>
                <w:szCs w:val="24"/>
              </w:rPr>
              <w:t xml:space="preserve"> mandarin</w:t>
            </w: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3.02</w:t>
            </w:r>
          </w:p>
        </w:tc>
        <w:tc>
          <w:tcPr>
            <w:tcW w:w="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12.64</w:t>
            </w:r>
          </w:p>
        </w:t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Times New Roman" w:hAnsi="Times New Roman" w:cs="Times New Roman"/>
                <w:color w:val="000000"/>
                <w:sz w:val="24"/>
                <w:szCs w:val="24"/>
              </w:rPr>
            </w:pPr>
            <w:r>
              <w:rPr>
                <w:rFonts w:ascii="Times New Roman" w:hAnsi="Times New Roman" w:cs="Times New Roman"/>
                <w:color w:val="000000"/>
                <w:sz w:val="24"/>
                <w:szCs w:val="24"/>
              </w:rPr>
              <w:t>37.89</w:t>
            </w:r>
          </w:p>
        </w:tc>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234.89</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40.41</w:t>
            </w:r>
          </w:p>
        </w:tc>
        <w:tc>
          <w:tcPr>
            <w:tcW w:w="7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12.12</w:t>
            </w:r>
          </w:p>
        </w:tc>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0.93</w:t>
            </w:r>
          </w:p>
        </w:tc>
      </w:tr>
      <w:tr w:rsidR="004A2459" w:rsidTr="003A69AB">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Pr="00665325" w:rsidRDefault="004A2459" w:rsidP="00544FB2">
            <w:pPr>
              <w:ind w:firstLine="0"/>
              <w:rPr>
                <w:rFonts w:ascii="Calibri" w:eastAsia="Times New Roman" w:hAnsi="Calibri" w:cs="Calibri"/>
                <w:color w:val="000000"/>
                <w:sz w:val="24"/>
                <w:szCs w:val="24"/>
              </w:rPr>
            </w:pPr>
            <w:r w:rsidRPr="00665325">
              <w:rPr>
                <w:rFonts w:ascii="Calibri" w:eastAsia="Times New Roman" w:hAnsi="Calibri" w:cs="Calibri"/>
                <w:color w:val="000000"/>
                <w:sz w:val="24"/>
                <w:szCs w:val="24"/>
              </w:rPr>
              <w:t>Coorg mandarin</w:t>
            </w: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3.04</w:t>
            </w:r>
          </w:p>
        </w:tc>
        <w:tc>
          <w:tcPr>
            <w:tcW w:w="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6.91</w:t>
            </w:r>
          </w:p>
        </w:t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Times New Roman" w:hAnsi="Times New Roman" w:cs="Times New Roman"/>
                <w:color w:val="000000"/>
                <w:sz w:val="24"/>
                <w:szCs w:val="24"/>
              </w:rPr>
            </w:pPr>
            <w:r>
              <w:rPr>
                <w:rFonts w:ascii="Times New Roman" w:hAnsi="Times New Roman" w:cs="Times New Roman"/>
                <w:color w:val="000000"/>
                <w:sz w:val="24"/>
                <w:szCs w:val="24"/>
              </w:rPr>
              <w:t>30.40</w:t>
            </w:r>
          </w:p>
        </w:tc>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178.98</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27.86</w:t>
            </w:r>
          </w:p>
        </w:tc>
        <w:tc>
          <w:tcPr>
            <w:tcW w:w="7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8.04</w:t>
            </w:r>
          </w:p>
        </w:tc>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1.13</w:t>
            </w:r>
          </w:p>
        </w:tc>
      </w:tr>
      <w:tr w:rsidR="004A2459" w:rsidTr="003A69AB">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Pr="00665325" w:rsidRDefault="004A2459" w:rsidP="00544FB2">
            <w:pPr>
              <w:ind w:firstLine="0"/>
              <w:rPr>
                <w:rFonts w:ascii="Calibri" w:eastAsia="Times New Roman" w:hAnsi="Calibri" w:cs="Calibri"/>
                <w:color w:val="000000"/>
                <w:sz w:val="24"/>
                <w:szCs w:val="24"/>
              </w:rPr>
            </w:pPr>
            <w:r w:rsidRPr="00665325">
              <w:rPr>
                <w:rFonts w:ascii="Calibri" w:eastAsia="Times New Roman" w:hAnsi="Calibri" w:cs="Calibri"/>
                <w:color w:val="000000"/>
                <w:sz w:val="24"/>
                <w:szCs w:val="24"/>
              </w:rPr>
              <w:t>Khasi mandarin</w:t>
            </w: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2.65</w:t>
            </w:r>
          </w:p>
        </w:tc>
        <w:tc>
          <w:tcPr>
            <w:tcW w:w="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6.14</w:t>
            </w:r>
          </w:p>
        </w:t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Times New Roman" w:hAnsi="Times New Roman" w:cs="Times New Roman"/>
                <w:color w:val="000000"/>
                <w:sz w:val="24"/>
                <w:szCs w:val="24"/>
              </w:rPr>
            </w:pPr>
            <w:r>
              <w:rPr>
                <w:rFonts w:ascii="Times New Roman" w:hAnsi="Times New Roman" w:cs="Times New Roman"/>
                <w:color w:val="000000"/>
                <w:sz w:val="24"/>
                <w:szCs w:val="24"/>
              </w:rPr>
              <w:t>31.17</w:t>
            </w:r>
          </w:p>
        </w:tc>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151.46</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24.55</w:t>
            </w:r>
          </w:p>
        </w:tc>
        <w:tc>
          <w:tcPr>
            <w:tcW w:w="7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6.55</w:t>
            </w:r>
          </w:p>
        </w:tc>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1.26</w:t>
            </w:r>
          </w:p>
        </w:tc>
      </w:tr>
      <w:tr w:rsidR="004A2459" w:rsidTr="003A69AB">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Pr="00665325" w:rsidRDefault="004A2459" w:rsidP="00544FB2">
            <w:pPr>
              <w:ind w:firstLine="0"/>
              <w:rPr>
                <w:rFonts w:ascii="Calibri" w:eastAsia="Times New Roman" w:hAnsi="Calibri" w:cs="Calibri"/>
                <w:color w:val="000000"/>
                <w:sz w:val="24"/>
                <w:szCs w:val="24"/>
              </w:rPr>
            </w:pPr>
            <w:proofErr w:type="spellStart"/>
            <w:r w:rsidRPr="00665325">
              <w:rPr>
                <w:rFonts w:ascii="Calibri" w:eastAsia="Times New Roman" w:hAnsi="Calibri" w:cs="Calibri"/>
                <w:color w:val="000000"/>
                <w:sz w:val="24"/>
                <w:szCs w:val="24"/>
              </w:rPr>
              <w:t>Darziling</w:t>
            </w:r>
            <w:proofErr w:type="spellEnd"/>
            <w:r w:rsidRPr="00665325">
              <w:rPr>
                <w:rFonts w:ascii="Calibri" w:eastAsia="Times New Roman" w:hAnsi="Calibri" w:cs="Calibri"/>
                <w:color w:val="000000"/>
                <w:sz w:val="24"/>
                <w:szCs w:val="24"/>
              </w:rPr>
              <w:t xml:space="preserve"> mandarin</w:t>
            </w: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2.70</w:t>
            </w:r>
          </w:p>
        </w:tc>
        <w:tc>
          <w:tcPr>
            <w:tcW w:w="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6.93</w:t>
            </w:r>
          </w:p>
        </w:t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Times New Roman" w:hAnsi="Times New Roman" w:cs="Times New Roman"/>
                <w:color w:val="000000"/>
                <w:sz w:val="24"/>
                <w:szCs w:val="24"/>
              </w:rPr>
            </w:pPr>
            <w:r>
              <w:rPr>
                <w:rFonts w:ascii="Times New Roman" w:hAnsi="Times New Roman" w:cs="Times New Roman"/>
                <w:color w:val="000000"/>
                <w:sz w:val="24"/>
                <w:szCs w:val="24"/>
              </w:rPr>
              <w:t>30.87</w:t>
            </w:r>
          </w:p>
        </w:tc>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110.62</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19.10</w:t>
            </w:r>
          </w:p>
        </w:tc>
        <w:tc>
          <w:tcPr>
            <w:tcW w:w="7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7.37</w:t>
            </w:r>
          </w:p>
        </w:tc>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1.33</w:t>
            </w:r>
          </w:p>
        </w:tc>
      </w:tr>
      <w:tr w:rsidR="004A2459" w:rsidTr="003A69AB">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459" w:rsidRDefault="004A2459" w:rsidP="00544FB2">
            <w:pPr>
              <w:ind w:firstLine="0"/>
              <w:rPr>
                <w:rFonts w:ascii="Times New Roman" w:hAnsi="Times New Roman" w:cs="Times New Roman"/>
                <w:sz w:val="24"/>
                <w:szCs w:val="24"/>
              </w:rPr>
            </w:pPr>
            <w:proofErr w:type="spellStart"/>
            <w:proofErr w:type="gramStart"/>
            <w:r>
              <w:rPr>
                <w:rFonts w:ascii="Times New Roman" w:hAnsi="Times New Roman" w:cs="Times New Roman"/>
                <w:sz w:val="24"/>
                <w:szCs w:val="24"/>
              </w:rPr>
              <w:t>S.Ed</w:t>
            </w:r>
            <w:proofErr w:type="spellEnd"/>
            <w:proofErr w:type="gramEnd"/>
            <w:r>
              <w:rPr>
                <w:rFonts w:ascii="Times New Roman" w:hAnsi="Times New Roman" w:cs="Times New Roman"/>
                <w:sz w:val="24"/>
                <w:szCs w:val="24"/>
              </w:rPr>
              <w:t xml:space="preserve"> ±</w:t>
            </w: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0.10</w:t>
            </w:r>
          </w:p>
        </w:tc>
        <w:tc>
          <w:tcPr>
            <w:tcW w:w="5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1.16</w:t>
            </w:r>
          </w:p>
        </w:t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1.39</w:t>
            </w:r>
          </w:p>
        </w:tc>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2.88</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0.54</w:t>
            </w:r>
          </w:p>
        </w:tc>
        <w:tc>
          <w:tcPr>
            <w:tcW w:w="7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0.19</w:t>
            </w:r>
          </w:p>
        </w:tc>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0.09</w:t>
            </w:r>
          </w:p>
        </w:tc>
      </w:tr>
      <w:tr w:rsidR="004A2459" w:rsidTr="003A69AB">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CD (P:0.05)</w:t>
            </w: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0.30</w:t>
            </w:r>
          </w:p>
        </w:tc>
        <w:tc>
          <w:tcPr>
            <w:tcW w:w="5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3.56</w:t>
            </w:r>
          </w:p>
        </w:t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4.34</w:t>
            </w:r>
          </w:p>
        </w:tc>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8.87</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1.67</w:t>
            </w:r>
          </w:p>
        </w:tc>
        <w:tc>
          <w:tcPr>
            <w:tcW w:w="7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0.58</w:t>
            </w:r>
          </w:p>
        </w:tc>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0.27</w:t>
            </w:r>
          </w:p>
        </w:tc>
      </w:tr>
    </w:tbl>
    <w:p w:rsidR="004A2459" w:rsidRPr="004158F8" w:rsidRDefault="004158F8" w:rsidP="00502AE7">
      <w:pPr>
        <w:pStyle w:val="Heading1"/>
        <w:spacing w:before="120"/>
        <w:rPr>
          <w:rFonts w:ascii="Times New Roman" w:eastAsia="Times New Roman" w:hAnsi="Times New Roman" w:cs="Times New Roman"/>
          <w:color w:val="auto"/>
          <w:sz w:val="24"/>
          <w:szCs w:val="24"/>
        </w:rPr>
      </w:pPr>
      <w:r w:rsidRPr="004158F8">
        <w:rPr>
          <w:rStyle w:val="Strong"/>
          <w:rFonts w:ascii="Times New Roman" w:hAnsi="Times New Roman" w:cs="Times New Roman"/>
          <w:color w:val="auto"/>
          <w:sz w:val="24"/>
          <w:szCs w:val="24"/>
        </w:rPr>
        <w:t>Table 2. Genetic Variance, Phenotypic Variance, GCV, PCV &amp; Heritability (H²)</w:t>
      </w:r>
    </w:p>
    <w:tbl>
      <w:tblPr>
        <w:tblStyle w:val="TableGrid"/>
        <w:tblW w:w="5000" w:type="pct"/>
        <w:tblLook w:val="04A0" w:firstRow="1" w:lastRow="0" w:firstColumn="1" w:lastColumn="0" w:noHBand="0" w:noVBand="1"/>
      </w:tblPr>
      <w:tblGrid>
        <w:gridCol w:w="2284"/>
        <w:gridCol w:w="1280"/>
        <w:gridCol w:w="1674"/>
        <w:gridCol w:w="1576"/>
        <w:gridCol w:w="1083"/>
        <w:gridCol w:w="1031"/>
        <w:gridCol w:w="1548"/>
      </w:tblGrid>
      <w:tr w:rsidR="004158F8" w:rsidRPr="004158F8" w:rsidTr="003A69AB">
        <w:tc>
          <w:tcPr>
            <w:tcW w:w="1090" w:type="pct"/>
            <w:vAlign w:val="center"/>
          </w:tcPr>
          <w:p w:rsidR="004A2459" w:rsidRPr="004158F8" w:rsidRDefault="004A2459" w:rsidP="00544FB2">
            <w:pPr>
              <w:ind w:firstLine="0"/>
              <w:rPr>
                <w:rFonts w:ascii="Times New Roman" w:hAnsi="Times New Roman" w:cs="Times New Roman"/>
                <w:b/>
                <w:bCs/>
                <w:sz w:val="24"/>
                <w:szCs w:val="24"/>
              </w:rPr>
            </w:pPr>
            <w:r w:rsidRPr="004158F8">
              <w:rPr>
                <w:rFonts w:ascii="Times New Roman" w:hAnsi="Times New Roman" w:cs="Times New Roman"/>
                <w:b/>
                <w:bCs/>
                <w:sz w:val="24"/>
                <w:szCs w:val="24"/>
              </w:rPr>
              <w:t>Trait</w:t>
            </w:r>
          </w:p>
        </w:tc>
        <w:tc>
          <w:tcPr>
            <w:tcW w:w="611" w:type="pct"/>
            <w:vAlign w:val="center"/>
          </w:tcPr>
          <w:p w:rsidR="004A2459" w:rsidRPr="004158F8" w:rsidRDefault="004A2459" w:rsidP="00544FB2">
            <w:pPr>
              <w:ind w:firstLine="0"/>
              <w:rPr>
                <w:rFonts w:ascii="Times New Roman" w:hAnsi="Times New Roman" w:cs="Times New Roman"/>
                <w:b/>
                <w:bCs/>
                <w:sz w:val="24"/>
                <w:szCs w:val="24"/>
              </w:rPr>
            </w:pPr>
            <w:r w:rsidRPr="004158F8">
              <w:rPr>
                <w:rFonts w:ascii="Times New Roman" w:hAnsi="Times New Roman" w:cs="Times New Roman"/>
                <w:b/>
                <w:bCs/>
                <w:sz w:val="24"/>
                <w:szCs w:val="24"/>
              </w:rPr>
              <w:t>Mean</w:t>
            </w:r>
          </w:p>
        </w:tc>
        <w:tc>
          <w:tcPr>
            <w:tcW w:w="799" w:type="pct"/>
            <w:vAlign w:val="center"/>
          </w:tcPr>
          <w:p w:rsidR="004A2459" w:rsidRPr="004158F8" w:rsidRDefault="004A2459" w:rsidP="00544FB2">
            <w:pPr>
              <w:ind w:firstLine="0"/>
              <w:rPr>
                <w:rFonts w:ascii="Times New Roman" w:hAnsi="Times New Roman" w:cs="Times New Roman"/>
                <w:b/>
                <w:bCs/>
                <w:sz w:val="24"/>
                <w:szCs w:val="24"/>
              </w:rPr>
            </w:pPr>
            <w:r w:rsidRPr="004158F8">
              <w:rPr>
                <w:rFonts w:ascii="Times New Roman" w:hAnsi="Times New Roman" w:cs="Times New Roman"/>
                <w:b/>
                <w:bCs/>
                <w:sz w:val="24"/>
                <w:szCs w:val="24"/>
              </w:rPr>
              <w:t>Genotypic Variance (σ²g)</w:t>
            </w:r>
          </w:p>
        </w:tc>
        <w:tc>
          <w:tcPr>
            <w:tcW w:w="752" w:type="pct"/>
            <w:vAlign w:val="center"/>
          </w:tcPr>
          <w:p w:rsidR="004A2459" w:rsidRPr="004158F8" w:rsidRDefault="004A2459" w:rsidP="00544FB2">
            <w:pPr>
              <w:ind w:firstLine="0"/>
              <w:rPr>
                <w:rFonts w:ascii="Times New Roman" w:hAnsi="Times New Roman" w:cs="Times New Roman"/>
                <w:b/>
                <w:bCs/>
                <w:sz w:val="24"/>
                <w:szCs w:val="24"/>
              </w:rPr>
            </w:pPr>
            <w:r w:rsidRPr="004158F8">
              <w:rPr>
                <w:rFonts w:ascii="Times New Roman" w:hAnsi="Times New Roman" w:cs="Times New Roman"/>
                <w:b/>
                <w:bCs/>
                <w:sz w:val="24"/>
                <w:szCs w:val="24"/>
              </w:rPr>
              <w:t>Phenotypic Variance (σ²p)</w:t>
            </w:r>
          </w:p>
        </w:tc>
        <w:tc>
          <w:tcPr>
            <w:tcW w:w="517" w:type="pct"/>
            <w:vAlign w:val="center"/>
          </w:tcPr>
          <w:p w:rsidR="004A2459" w:rsidRPr="004158F8" w:rsidRDefault="004A2459" w:rsidP="00544FB2">
            <w:pPr>
              <w:ind w:firstLine="0"/>
              <w:rPr>
                <w:rFonts w:ascii="Times New Roman" w:hAnsi="Times New Roman" w:cs="Times New Roman"/>
                <w:b/>
                <w:bCs/>
                <w:sz w:val="24"/>
                <w:szCs w:val="24"/>
              </w:rPr>
            </w:pPr>
            <w:r w:rsidRPr="004158F8">
              <w:rPr>
                <w:rFonts w:ascii="Times New Roman" w:hAnsi="Times New Roman" w:cs="Times New Roman"/>
                <w:b/>
                <w:bCs/>
                <w:sz w:val="24"/>
                <w:szCs w:val="24"/>
              </w:rPr>
              <w:t>GCV (%)</w:t>
            </w:r>
          </w:p>
        </w:tc>
        <w:tc>
          <w:tcPr>
            <w:tcW w:w="492" w:type="pct"/>
            <w:vAlign w:val="center"/>
          </w:tcPr>
          <w:p w:rsidR="004A2459" w:rsidRPr="004158F8" w:rsidRDefault="004A2459" w:rsidP="00544FB2">
            <w:pPr>
              <w:ind w:firstLine="0"/>
              <w:rPr>
                <w:rFonts w:ascii="Times New Roman" w:hAnsi="Times New Roman" w:cs="Times New Roman"/>
                <w:b/>
                <w:bCs/>
                <w:sz w:val="24"/>
                <w:szCs w:val="24"/>
              </w:rPr>
            </w:pPr>
            <w:r w:rsidRPr="004158F8">
              <w:rPr>
                <w:rFonts w:ascii="Times New Roman" w:hAnsi="Times New Roman" w:cs="Times New Roman"/>
                <w:b/>
                <w:bCs/>
                <w:sz w:val="24"/>
                <w:szCs w:val="24"/>
              </w:rPr>
              <w:t>PCV (%)</w:t>
            </w:r>
          </w:p>
        </w:tc>
        <w:tc>
          <w:tcPr>
            <w:tcW w:w="739" w:type="pct"/>
            <w:vAlign w:val="center"/>
          </w:tcPr>
          <w:p w:rsidR="004A2459" w:rsidRPr="004158F8" w:rsidRDefault="004A2459" w:rsidP="00544FB2">
            <w:pPr>
              <w:ind w:firstLine="0"/>
              <w:rPr>
                <w:rFonts w:ascii="Times New Roman" w:hAnsi="Times New Roman" w:cs="Times New Roman"/>
                <w:b/>
                <w:bCs/>
                <w:sz w:val="24"/>
                <w:szCs w:val="24"/>
              </w:rPr>
            </w:pPr>
            <w:r w:rsidRPr="004158F8">
              <w:rPr>
                <w:rFonts w:ascii="Times New Roman" w:hAnsi="Times New Roman" w:cs="Times New Roman"/>
                <w:b/>
                <w:bCs/>
                <w:sz w:val="24"/>
                <w:szCs w:val="24"/>
              </w:rPr>
              <w:t>Heritability H² (BS)</w:t>
            </w:r>
          </w:p>
        </w:tc>
      </w:tr>
      <w:tr w:rsidR="004158F8" w:rsidRPr="004158F8" w:rsidTr="003A69AB">
        <w:tc>
          <w:tcPr>
            <w:tcW w:w="1090"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Fruit weight (g)</w:t>
            </w:r>
          </w:p>
        </w:tc>
        <w:tc>
          <w:tcPr>
            <w:tcW w:w="611"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149.88</w:t>
            </w:r>
          </w:p>
        </w:tc>
        <w:tc>
          <w:tcPr>
            <w:tcW w:w="799"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1953.58</w:t>
            </w:r>
          </w:p>
        </w:tc>
        <w:tc>
          <w:tcPr>
            <w:tcW w:w="752"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1970.14</w:t>
            </w:r>
          </w:p>
        </w:tc>
        <w:tc>
          <w:tcPr>
            <w:tcW w:w="517"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29.49</w:t>
            </w:r>
          </w:p>
        </w:tc>
        <w:tc>
          <w:tcPr>
            <w:tcW w:w="492"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29.61</w:t>
            </w:r>
          </w:p>
        </w:tc>
        <w:tc>
          <w:tcPr>
            <w:tcW w:w="739"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0.992</w:t>
            </w:r>
          </w:p>
        </w:tc>
      </w:tr>
      <w:tr w:rsidR="004158F8" w:rsidRPr="004158F8" w:rsidTr="003A69AB">
        <w:tc>
          <w:tcPr>
            <w:tcW w:w="1090"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Fruit yield (kg/ha)</w:t>
            </w:r>
          </w:p>
        </w:tc>
        <w:tc>
          <w:tcPr>
            <w:tcW w:w="611"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25454.38</w:t>
            </w:r>
          </w:p>
        </w:tc>
        <w:tc>
          <w:tcPr>
            <w:tcW w:w="799"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51,672,880</w:t>
            </w:r>
          </w:p>
        </w:tc>
        <w:tc>
          <w:tcPr>
            <w:tcW w:w="752"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52,263,390</w:t>
            </w:r>
          </w:p>
        </w:tc>
        <w:tc>
          <w:tcPr>
            <w:tcW w:w="517"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28.24</w:t>
            </w:r>
          </w:p>
        </w:tc>
        <w:tc>
          <w:tcPr>
            <w:tcW w:w="492"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28.40</w:t>
            </w:r>
          </w:p>
        </w:tc>
        <w:tc>
          <w:tcPr>
            <w:tcW w:w="739"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0.989</w:t>
            </w:r>
          </w:p>
        </w:tc>
      </w:tr>
      <w:tr w:rsidR="004158F8" w:rsidRPr="004158F8" w:rsidTr="003A69AB">
        <w:tc>
          <w:tcPr>
            <w:tcW w:w="1090"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TSS (°Brix)</w:t>
            </w:r>
          </w:p>
        </w:tc>
        <w:tc>
          <w:tcPr>
            <w:tcW w:w="611"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8.07</w:t>
            </w:r>
          </w:p>
        </w:tc>
        <w:tc>
          <w:tcPr>
            <w:tcW w:w="799"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3.40</w:t>
            </w:r>
          </w:p>
        </w:tc>
        <w:tc>
          <w:tcPr>
            <w:tcW w:w="752"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3.47</w:t>
            </w:r>
          </w:p>
        </w:tc>
        <w:tc>
          <w:tcPr>
            <w:tcW w:w="517"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22.84</w:t>
            </w:r>
          </w:p>
        </w:tc>
        <w:tc>
          <w:tcPr>
            <w:tcW w:w="492"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23.08</w:t>
            </w:r>
          </w:p>
        </w:tc>
        <w:tc>
          <w:tcPr>
            <w:tcW w:w="739"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0.980</w:t>
            </w:r>
          </w:p>
        </w:tc>
      </w:tr>
      <w:tr w:rsidR="004158F8" w:rsidRPr="004158F8" w:rsidTr="003A69AB">
        <w:tc>
          <w:tcPr>
            <w:tcW w:w="1090" w:type="pct"/>
            <w:vAlign w:val="center"/>
          </w:tcPr>
          <w:p w:rsidR="004A2459" w:rsidRPr="004158F8" w:rsidRDefault="004A2459" w:rsidP="00544FB2">
            <w:pPr>
              <w:ind w:firstLine="0"/>
              <w:rPr>
                <w:rFonts w:ascii="Times New Roman" w:hAnsi="Times New Roman" w:cs="Times New Roman"/>
                <w:sz w:val="24"/>
                <w:szCs w:val="24"/>
              </w:rPr>
            </w:pPr>
            <w:proofErr w:type="spellStart"/>
            <w:r w:rsidRPr="004158F8">
              <w:rPr>
                <w:rFonts w:ascii="Times New Roman" w:hAnsi="Times New Roman" w:cs="Times New Roman"/>
                <w:sz w:val="24"/>
                <w:szCs w:val="24"/>
              </w:rPr>
              <w:t>TSS:Acidity</w:t>
            </w:r>
            <w:proofErr w:type="spellEnd"/>
            <w:r w:rsidRPr="004158F8">
              <w:rPr>
                <w:rFonts w:ascii="Times New Roman" w:hAnsi="Times New Roman" w:cs="Times New Roman"/>
                <w:sz w:val="24"/>
                <w:szCs w:val="24"/>
              </w:rPr>
              <w:t xml:space="preserve"> ratio</w:t>
            </w:r>
          </w:p>
        </w:tc>
        <w:tc>
          <w:tcPr>
            <w:tcW w:w="611"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8.07</w:t>
            </w:r>
          </w:p>
        </w:tc>
        <w:tc>
          <w:tcPr>
            <w:tcW w:w="799"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3.40</w:t>
            </w:r>
          </w:p>
        </w:tc>
        <w:tc>
          <w:tcPr>
            <w:tcW w:w="752"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3.47</w:t>
            </w:r>
          </w:p>
        </w:tc>
        <w:tc>
          <w:tcPr>
            <w:tcW w:w="517"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22.84</w:t>
            </w:r>
          </w:p>
        </w:tc>
        <w:tc>
          <w:tcPr>
            <w:tcW w:w="492"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23.08</w:t>
            </w:r>
          </w:p>
        </w:tc>
        <w:tc>
          <w:tcPr>
            <w:tcW w:w="739"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0.980</w:t>
            </w:r>
          </w:p>
        </w:tc>
      </w:tr>
      <w:tr w:rsidR="004158F8" w:rsidRPr="004158F8" w:rsidTr="003A69AB">
        <w:tc>
          <w:tcPr>
            <w:tcW w:w="1090"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Stem girth (cm)</w:t>
            </w:r>
          </w:p>
        </w:tc>
        <w:tc>
          <w:tcPr>
            <w:tcW w:w="611"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32.18</w:t>
            </w:r>
          </w:p>
        </w:tc>
        <w:tc>
          <w:tcPr>
            <w:tcW w:w="799"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19.96</w:t>
            </w:r>
          </w:p>
        </w:tc>
        <w:tc>
          <w:tcPr>
            <w:tcW w:w="752"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23.85</w:t>
            </w:r>
          </w:p>
        </w:tc>
        <w:tc>
          <w:tcPr>
            <w:tcW w:w="517"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13.88</w:t>
            </w:r>
          </w:p>
        </w:tc>
        <w:tc>
          <w:tcPr>
            <w:tcW w:w="492"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15.17</w:t>
            </w:r>
          </w:p>
        </w:tc>
        <w:tc>
          <w:tcPr>
            <w:tcW w:w="739"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0.837</w:t>
            </w:r>
          </w:p>
        </w:tc>
      </w:tr>
      <w:tr w:rsidR="004158F8" w:rsidRPr="004158F8" w:rsidTr="003A69AB">
        <w:tc>
          <w:tcPr>
            <w:tcW w:w="1090"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Plant height (m)</w:t>
            </w:r>
          </w:p>
        </w:tc>
        <w:tc>
          <w:tcPr>
            <w:tcW w:w="611"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2.83</w:t>
            </w:r>
          </w:p>
        </w:tc>
        <w:tc>
          <w:tcPr>
            <w:tcW w:w="799"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0.0373</w:t>
            </w:r>
          </w:p>
        </w:tc>
        <w:tc>
          <w:tcPr>
            <w:tcW w:w="752"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0.0564</w:t>
            </w:r>
          </w:p>
        </w:tc>
        <w:tc>
          <w:tcPr>
            <w:tcW w:w="517"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6.84</w:t>
            </w:r>
          </w:p>
        </w:tc>
        <w:tc>
          <w:tcPr>
            <w:tcW w:w="492"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8.41</w:t>
            </w:r>
          </w:p>
        </w:tc>
        <w:tc>
          <w:tcPr>
            <w:tcW w:w="739"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0.662</w:t>
            </w:r>
          </w:p>
        </w:tc>
      </w:tr>
    </w:tbl>
    <w:p w:rsidR="00544FB2" w:rsidRPr="00544FB2" w:rsidRDefault="00544FB2" w:rsidP="00502AE7">
      <w:pPr>
        <w:pStyle w:val="Heading1"/>
        <w:spacing w:before="120"/>
        <w:rPr>
          <w:rFonts w:ascii="Times New Roman" w:hAnsi="Times New Roman" w:cs="Times New Roman"/>
          <w:color w:val="auto"/>
          <w:sz w:val="24"/>
          <w:szCs w:val="24"/>
        </w:rPr>
      </w:pPr>
      <w:r w:rsidRPr="00544FB2">
        <w:rPr>
          <w:rStyle w:val="Strong"/>
          <w:rFonts w:ascii="Times New Roman" w:hAnsi="Times New Roman" w:cs="Times New Roman"/>
          <w:color w:val="auto"/>
          <w:sz w:val="24"/>
          <w:szCs w:val="24"/>
        </w:rPr>
        <w:lastRenderedPageBreak/>
        <w:t xml:space="preserve">Table 3. Phenotypic </w:t>
      </w:r>
      <w:r w:rsidR="00502AE7">
        <w:rPr>
          <w:rStyle w:val="Strong"/>
          <w:rFonts w:ascii="Times New Roman" w:hAnsi="Times New Roman" w:cs="Times New Roman"/>
          <w:color w:val="auto"/>
          <w:sz w:val="24"/>
          <w:szCs w:val="24"/>
        </w:rPr>
        <w:t>Correlation Coefficient Matrix a</w:t>
      </w:r>
      <w:r w:rsidRPr="00544FB2">
        <w:rPr>
          <w:rStyle w:val="Strong"/>
          <w:rFonts w:ascii="Times New Roman" w:hAnsi="Times New Roman" w:cs="Times New Roman"/>
          <w:color w:val="auto"/>
          <w:sz w:val="24"/>
          <w:szCs w:val="24"/>
        </w:rPr>
        <w:t>mong Traits</w:t>
      </w:r>
    </w:p>
    <w:tbl>
      <w:tblPr>
        <w:tblStyle w:val="TableGrid"/>
        <w:tblW w:w="5000" w:type="pct"/>
        <w:tblLook w:val="04A0" w:firstRow="1" w:lastRow="0" w:firstColumn="1" w:lastColumn="0" w:noHBand="0" w:noVBand="1"/>
      </w:tblPr>
      <w:tblGrid>
        <w:gridCol w:w="2284"/>
        <w:gridCol w:w="1280"/>
        <w:gridCol w:w="1674"/>
        <w:gridCol w:w="1280"/>
        <w:gridCol w:w="1674"/>
        <w:gridCol w:w="985"/>
        <w:gridCol w:w="1299"/>
      </w:tblGrid>
      <w:tr w:rsidR="00544FB2" w:rsidRPr="00544FB2" w:rsidTr="006F2DB2">
        <w:tc>
          <w:tcPr>
            <w:tcW w:w="1090" w:type="pct"/>
            <w:vAlign w:val="center"/>
          </w:tcPr>
          <w:p w:rsidR="00544FB2" w:rsidRPr="00544FB2" w:rsidRDefault="00544FB2" w:rsidP="00544FB2">
            <w:pPr>
              <w:ind w:firstLine="0"/>
              <w:rPr>
                <w:rFonts w:ascii="Times New Roman" w:hAnsi="Times New Roman" w:cs="Times New Roman"/>
                <w:b/>
                <w:bCs/>
                <w:sz w:val="24"/>
                <w:szCs w:val="24"/>
              </w:rPr>
            </w:pPr>
            <w:r w:rsidRPr="00544FB2">
              <w:rPr>
                <w:rFonts w:ascii="Times New Roman" w:hAnsi="Times New Roman" w:cs="Times New Roman"/>
                <w:b/>
                <w:bCs/>
                <w:sz w:val="24"/>
                <w:szCs w:val="24"/>
              </w:rPr>
              <w:t>Trait</w:t>
            </w:r>
          </w:p>
        </w:tc>
        <w:tc>
          <w:tcPr>
            <w:tcW w:w="611" w:type="pct"/>
            <w:vAlign w:val="center"/>
          </w:tcPr>
          <w:p w:rsidR="00544FB2" w:rsidRPr="00544FB2" w:rsidRDefault="00544FB2" w:rsidP="00544FB2">
            <w:pPr>
              <w:ind w:firstLine="0"/>
              <w:rPr>
                <w:rFonts w:ascii="Times New Roman" w:hAnsi="Times New Roman" w:cs="Times New Roman"/>
                <w:b/>
                <w:bCs/>
                <w:sz w:val="24"/>
                <w:szCs w:val="24"/>
              </w:rPr>
            </w:pPr>
            <w:r w:rsidRPr="00544FB2">
              <w:rPr>
                <w:rFonts w:ascii="Times New Roman" w:hAnsi="Times New Roman" w:cs="Times New Roman"/>
                <w:b/>
                <w:bCs/>
                <w:sz w:val="24"/>
                <w:szCs w:val="24"/>
              </w:rPr>
              <w:t>Fruit Weight</w:t>
            </w:r>
          </w:p>
        </w:tc>
        <w:tc>
          <w:tcPr>
            <w:tcW w:w="799" w:type="pct"/>
            <w:vAlign w:val="center"/>
          </w:tcPr>
          <w:p w:rsidR="00544FB2" w:rsidRPr="00544FB2" w:rsidRDefault="00544FB2" w:rsidP="00544FB2">
            <w:pPr>
              <w:ind w:firstLine="0"/>
              <w:rPr>
                <w:rFonts w:ascii="Times New Roman" w:hAnsi="Times New Roman" w:cs="Times New Roman"/>
                <w:b/>
                <w:bCs/>
                <w:sz w:val="24"/>
                <w:szCs w:val="24"/>
              </w:rPr>
            </w:pPr>
            <w:r w:rsidRPr="00544FB2">
              <w:rPr>
                <w:rFonts w:ascii="Times New Roman" w:hAnsi="Times New Roman" w:cs="Times New Roman"/>
                <w:b/>
                <w:bCs/>
                <w:sz w:val="24"/>
                <w:szCs w:val="24"/>
              </w:rPr>
              <w:t xml:space="preserve">Fruit yield </w:t>
            </w:r>
          </w:p>
        </w:tc>
        <w:tc>
          <w:tcPr>
            <w:tcW w:w="611" w:type="pct"/>
            <w:vAlign w:val="center"/>
          </w:tcPr>
          <w:p w:rsidR="00544FB2" w:rsidRPr="00544FB2" w:rsidRDefault="00544FB2" w:rsidP="00544FB2">
            <w:pPr>
              <w:ind w:firstLine="0"/>
              <w:rPr>
                <w:rFonts w:ascii="Times New Roman" w:hAnsi="Times New Roman" w:cs="Times New Roman"/>
                <w:b/>
                <w:bCs/>
                <w:sz w:val="24"/>
                <w:szCs w:val="24"/>
              </w:rPr>
            </w:pPr>
            <w:r w:rsidRPr="00544FB2">
              <w:rPr>
                <w:rFonts w:ascii="Times New Roman" w:hAnsi="Times New Roman" w:cs="Times New Roman"/>
                <w:b/>
                <w:bCs/>
                <w:sz w:val="24"/>
                <w:szCs w:val="24"/>
              </w:rPr>
              <w:t>TSS</w:t>
            </w:r>
          </w:p>
        </w:tc>
        <w:tc>
          <w:tcPr>
            <w:tcW w:w="799" w:type="pct"/>
            <w:vAlign w:val="center"/>
          </w:tcPr>
          <w:p w:rsidR="00544FB2" w:rsidRPr="00544FB2" w:rsidRDefault="00544FB2" w:rsidP="00544FB2">
            <w:pPr>
              <w:ind w:firstLine="0"/>
              <w:rPr>
                <w:rFonts w:ascii="Times New Roman" w:hAnsi="Times New Roman" w:cs="Times New Roman"/>
                <w:b/>
                <w:bCs/>
                <w:sz w:val="24"/>
                <w:szCs w:val="24"/>
              </w:rPr>
            </w:pPr>
            <w:r w:rsidRPr="00544FB2">
              <w:rPr>
                <w:rFonts w:ascii="Times New Roman" w:hAnsi="Times New Roman" w:cs="Times New Roman"/>
                <w:b/>
                <w:bCs/>
                <w:sz w:val="24"/>
                <w:szCs w:val="24"/>
              </w:rPr>
              <w:t>TSS: Acidity Ratio</w:t>
            </w:r>
          </w:p>
        </w:tc>
        <w:tc>
          <w:tcPr>
            <w:tcW w:w="470" w:type="pct"/>
            <w:vAlign w:val="center"/>
          </w:tcPr>
          <w:p w:rsidR="00544FB2" w:rsidRPr="00544FB2" w:rsidRDefault="00544FB2" w:rsidP="00544FB2">
            <w:pPr>
              <w:ind w:firstLine="0"/>
              <w:rPr>
                <w:rFonts w:ascii="Times New Roman" w:hAnsi="Times New Roman" w:cs="Times New Roman"/>
                <w:b/>
                <w:bCs/>
                <w:sz w:val="24"/>
                <w:szCs w:val="24"/>
              </w:rPr>
            </w:pPr>
            <w:r w:rsidRPr="00544FB2">
              <w:rPr>
                <w:rFonts w:ascii="Times New Roman" w:hAnsi="Times New Roman" w:cs="Times New Roman"/>
                <w:b/>
                <w:bCs/>
                <w:sz w:val="24"/>
                <w:szCs w:val="24"/>
              </w:rPr>
              <w:t xml:space="preserve">Stem girth </w:t>
            </w:r>
          </w:p>
        </w:tc>
        <w:tc>
          <w:tcPr>
            <w:tcW w:w="620" w:type="pct"/>
            <w:vAlign w:val="center"/>
          </w:tcPr>
          <w:p w:rsidR="00544FB2" w:rsidRPr="00544FB2" w:rsidRDefault="00544FB2" w:rsidP="00544FB2">
            <w:pPr>
              <w:ind w:firstLine="0"/>
              <w:rPr>
                <w:rFonts w:ascii="Times New Roman" w:hAnsi="Times New Roman" w:cs="Times New Roman"/>
                <w:b/>
                <w:bCs/>
                <w:sz w:val="24"/>
                <w:szCs w:val="24"/>
              </w:rPr>
            </w:pPr>
            <w:r w:rsidRPr="00544FB2">
              <w:rPr>
                <w:rFonts w:ascii="Times New Roman" w:hAnsi="Times New Roman" w:cs="Times New Roman"/>
                <w:b/>
                <w:bCs/>
                <w:sz w:val="24"/>
                <w:szCs w:val="24"/>
              </w:rPr>
              <w:t>Plant Height</w:t>
            </w:r>
          </w:p>
        </w:tc>
      </w:tr>
      <w:tr w:rsidR="00544FB2" w:rsidRPr="00544FB2" w:rsidTr="006F2DB2">
        <w:tc>
          <w:tcPr>
            <w:tcW w:w="109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Fruit weight (g)</w:t>
            </w:r>
          </w:p>
        </w:tc>
        <w:tc>
          <w:tcPr>
            <w:tcW w:w="611"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1.00</w:t>
            </w:r>
          </w:p>
        </w:tc>
        <w:tc>
          <w:tcPr>
            <w:tcW w:w="799"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0.983</w:t>
            </w:r>
          </w:p>
        </w:tc>
        <w:tc>
          <w:tcPr>
            <w:tcW w:w="611"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0.857</w:t>
            </w:r>
          </w:p>
        </w:tc>
        <w:tc>
          <w:tcPr>
            <w:tcW w:w="799"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0.857</w:t>
            </w:r>
          </w:p>
        </w:tc>
        <w:tc>
          <w:tcPr>
            <w:tcW w:w="47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0.446</w:t>
            </w:r>
          </w:p>
        </w:tc>
        <w:tc>
          <w:tcPr>
            <w:tcW w:w="62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0.555</w:t>
            </w:r>
          </w:p>
        </w:tc>
      </w:tr>
      <w:tr w:rsidR="00544FB2" w:rsidRPr="00544FB2" w:rsidTr="006F2DB2">
        <w:tc>
          <w:tcPr>
            <w:tcW w:w="109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Fruit yield (kg/ha)</w:t>
            </w:r>
          </w:p>
        </w:tc>
        <w:tc>
          <w:tcPr>
            <w:tcW w:w="611"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0.983</w:t>
            </w:r>
          </w:p>
        </w:tc>
        <w:tc>
          <w:tcPr>
            <w:tcW w:w="799"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1.00</w:t>
            </w:r>
          </w:p>
        </w:tc>
        <w:tc>
          <w:tcPr>
            <w:tcW w:w="611"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0.921</w:t>
            </w:r>
          </w:p>
        </w:tc>
        <w:tc>
          <w:tcPr>
            <w:tcW w:w="799"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0.921</w:t>
            </w:r>
          </w:p>
        </w:tc>
        <w:tc>
          <w:tcPr>
            <w:tcW w:w="47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0.455</w:t>
            </w:r>
          </w:p>
        </w:tc>
        <w:tc>
          <w:tcPr>
            <w:tcW w:w="62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0.498</w:t>
            </w:r>
          </w:p>
        </w:tc>
      </w:tr>
      <w:tr w:rsidR="00544FB2" w:rsidRPr="00544FB2" w:rsidTr="006F2DB2">
        <w:tc>
          <w:tcPr>
            <w:tcW w:w="109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TSS (°Brix)</w:t>
            </w:r>
          </w:p>
        </w:tc>
        <w:tc>
          <w:tcPr>
            <w:tcW w:w="611"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0.857</w:t>
            </w:r>
          </w:p>
        </w:tc>
        <w:tc>
          <w:tcPr>
            <w:tcW w:w="799"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0.921</w:t>
            </w:r>
          </w:p>
        </w:tc>
        <w:tc>
          <w:tcPr>
            <w:tcW w:w="611"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1.00</w:t>
            </w:r>
          </w:p>
        </w:tc>
        <w:tc>
          <w:tcPr>
            <w:tcW w:w="799"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1.00</w:t>
            </w:r>
          </w:p>
        </w:tc>
        <w:tc>
          <w:tcPr>
            <w:tcW w:w="47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0.515</w:t>
            </w:r>
          </w:p>
        </w:tc>
        <w:tc>
          <w:tcPr>
            <w:tcW w:w="62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0.505</w:t>
            </w:r>
          </w:p>
        </w:tc>
      </w:tr>
      <w:tr w:rsidR="00544FB2" w:rsidRPr="00544FB2" w:rsidTr="006F2DB2">
        <w:tc>
          <w:tcPr>
            <w:tcW w:w="1090" w:type="pct"/>
            <w:vAlign w:val="center"/>
          </w:tcPr>
          <w:p w:rsidR="00544FB2" w:rsidRPr="00544FB2" w:rsidRDefault="00544FB2" w:rsidP="00544FB2">
            <w:pPr>
              <w:ind w:firstLine="0"/>
              <w:rPr>
                <w:rFonts w:ascii="Times New Roman" w:hAnsi="Times New Roman" w:cs="Times New Roman"/>
                <w:sz w:val="24"/>
                <w:szCs w:val="24"/>
              </w:rPr>
            </w:pPr>
            <w:proofErr w:type="spellStart"/>
            <w:r w:rsidRPr="00544FB2">
              <w:rPr>
                <w:rFonts w:ascii="Times New Roman" w:hAnsi="Times New Roman" w:cs="Times New Roman"/>
                <w:sz w:val="24"/>
                <w:szCs w:val="24"/>
              </w:rPr>
              <w:t>TSS:Acidity</w:t>
            </w:r>
            <w:proofErr w:type="spellEnd"/>
            <w:r w:rsidRPr="00544FB2">
              <w:rPr>
                <w:rFonts w:ascii="Times New Roman" w:hAnsi="Times New Roman" w:cs="Times New Roman"/>
                <w:sz w:val="24"/>
                <w:szCs w:val="24"/>
              </w:rPr>
              <w:t xml:space="preserve"> ratio</w:t>
            </w:r>
          </w:p>
        </w:tc>
        <w:tc>
          <w:tcPr>
            <w:tcW w:w="611"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0.857</w:t>
            </w:r>
          </w:p>
        </w:tc>
        <w:tc>
          <w:tcPr>
            <w:tcW w:w="799"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0.921</w:t>
            </w:r>
          </w:p>
        </w:tc>
        <w:tc>
          <w:tcPr>
            <w:tcW w:w="611"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1.00</w:t>
            </w:r>
          </w:p>
        </w:tc>
        <w:tc>
          <w:tcPr>
            <w:tcW w:w="799"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1.00</w:t>
            </w:r>
          </w:p>
        </w:tc>
        <w:tc>
          <w:tcPr>
            <w:tcW w:w="47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0.515</w:t>
            </w:r>
          </w:p>
        </w:tc>
        <w:tc>
          <w:tcPr>
            <w:tcW w:w="62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0.505</w:t>
            </w:r>
          </w:p>
        </w:tc>
      </w:tr>
      <w:tr w:rsidR="00544FB2" w:rsidRPr="00544FB2" w:rsidTr="006F2DB2">
        <w:tc>
          <w:tcPr>
            <w:tcW w:w="109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Stem girth (cm)</w:t>
            </w:r>
          </w:p>
        </w:tc>
        <w:tc>
          <w:tcPr>
            <w:tcW w:w="611"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0.446</w:t>
            </w:r>
          </w:p>
        </w:tc>
        <w:tc>
          <w:tcPr>
            <w:tcW w:w="799"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0.455</w:t>
            </w:r>
          </w:p>
        </w:tc>
        <w:tc>
          <w:tcPr>
            <w:tcW w:w="611"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0.515</w:t>
            </w:r>
          </w:p>
        </w:tc>
        <w:tc>
          <w:tcPr>
            <w:tcW w:w="799"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0.515</w:t>
            </w:r>
          </w:p>
        </w:tc>
        <w:tc>
          <w:tcPr>
            <w:tcW w:w="47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1.00</w:t>
            </w:r>
          </w:p>
        </w:tc>
        <w:tc>
          <w:tcPr>
            <w:tcW w:w="62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0.773</w:t>
            </w:r>
          </w:p>
        </w:tc>
      </w:tr>
      <w:tr w:rsidR="00544FB2" w:rsidRPr="00544FB2" w:rsidTr="006F2DB2">
        <w:tc>
          <w:tcPr>
            <w:tcW w:w="109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Plant height (m)</w:t>
            </w:r>
          </w:p>
        </w:tc>
        <w:tc>
          <w:tcPr>
            <w:tcW w:w="611"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0.555</w:t>
            </w:r>
          </w:p>
        </w:tc>
        <w:tc>
          <w:tcPr>
            <w:tcW w:w="799"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0.498</w:t>
            </w:r>
          </w:p>
        </w:tc>
        <w:tc>
          <w:tcPr>
            <w:tcW w:w="611"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0.505</w:t>
            </w:r>
          </w:p>
        </w:tc>
        <w:tc>
          <w:tcPr>
            <w:tcW w:w="799"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0.505</w:t>
            </w:r>
          </w:p>
        </w:tc>
        <w:tc>
          <w:tcPr>
            <w:tcW w:w="47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0.773</w:t>
            </w:r>
          </w:p>
        </w:tc>
        <w:tc>
          <w:tcPr>
            <w:tcW w:w="62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1.00</w:t>
            </w:r>
          </w:p>
        </w:tc>
      </w:tr>
    </w:tbl>
    <w:p w:rsidR="006F2DB2" w:rsidRDefault="006F2DB2" w:rsidP="0096587D">
      <w:pPr>
        <w:spacing w:after="0" w:line="240" w:lineRule="auto"/>
        <w:ind w:firstLine="360"/>
        <w:jc w:val="both"/>
        <w:rPr>
          <w:rFonts w:ascii="Times New Roman" w:eastAsia="Times New Roman" w:hAnsi="Times New Roman" w:cs="Times New Roman"/>
          <w:sz w:val="24"/>
          <w:szCs w:val="24"/>
        </w:rPr>
      </w:pPr>
    </w:p>
    <w:p w:rsidR="00292390" w:rsidRPr="0096587D" w:rsidRDefault="00292390" w:rsidP="00292390">
      <w:pPr>
        <w:spacing w:after="0" w:line="240" w:lineRule="auto"/>
        <w:ind w:firstLine="360"/>
        <w:jc w:val="both"/>
        <w:rPr>
          <w:rFonts w:ascii="Times New Roman" w:eastAsia="Times New Roman" w:hAnsi="Times New Roman" w:cs="Times New Roman"/>
          <w:sz w:val="24"/>
          <w:szCs w:val="24"/>
        </w:rPr>
      </w:pPr>
      <w:r w:rsidRPr="0096587D">
        <w:rPr>
          <w:rFonts w:ascii="Times New Roman" w:eastAsia="Times New Roman" w:hAnsi="Times New Roman" w:cs="Times New Roman"/>
          <w:sz w:val="24"/>
          <w:szCs w:val="24"/>
        </w:rPr>
        <w:t>A notable variation in fruit weight was detected among the seven mandarin genotypes assessed over a pooled period of four years.</w:t>
      </w:r>
      <w:r>
        <w:rPr>
          <w:rFonts w:ascii="Times New Roman" w:eastAsia="Times New Roman" w:hAnsi="Times New Roman" w:cs="Times New Roman"/>
          <w:sz w:val="24"/>
          <w:szCs w:val="24"/>
        </w:rPr>
        <w:t xml:space="preserve"> </w:t>
      </w:r>
      <w:r w:rsidRPr="0096587D">
        <w:rPr>
          <w:rFonts w:ascii="Times New Roman" w:eastAsia="Times New Roman" w:hAnsi="Times New Roman" w:cs="Times New Roman"/>
          <w:sz w:val="24"/>
          <w:szCs w:val="24"/>
        </w:rPr>
        <w:t xml:space="preserve">Fruit weight varied from 110.62 g in Darjeeling Mandarin (T7) to 234.89 g in </w:t>
      </w:r>
      <w:proofErr w:type="spellStart"/>
      <w:r w:rsidRPr="0096587D">
        <w:rPr>
          <w:rFonts w:ascii="Times New Roman" w:eastAsia="Times New Roman" w:hAnsi="Times New Roman" w:cs="Times New Roman"/>
          <w:sz w:val="24"/>
          <w:szCs w:val="24"/>
        </w:rPr>
        <w:t>Kinnow</w:t>
      </w:r>
      <w:proofErr w:type="spellEnd"/>
      <w:r w:rsidRPr="0096587D">
        <w:rPr>
          <w:rFonts w:ascii="Times New Roman" w:eastAsia="Times New Roman" w:hAnsi="Times New Roman" w:cs="Times New Roman"/>
          <w:sz w:val="24"/>
          <w:szCs w:val="24"/>
        </w:rPr>
        <w:t xml:space="preserve"> Mandarin (T4</w:t>
      </w:r>
      <w:proofErr w:type="gramStart"/>
      <w:r w:rsidRPr="0096587D">
        <w:rPr>
          <w:rFonts w:ascii="Times New Roman" w:eastAsia="Times New Roman" w:hAnsi="Times New Roman" w:cs="Times New Roman"/>
          <w:sz w:val="24"/>
          <w:szCs w:val="24"/>
        </w:rPr>
        <w:t>).</w:t>
      </w:r>
      <w:proofErr w:type="spellStart"/>
      <w:r w:rsidRPr="0096587D">
        <w:rPr>
          <w:rFonts w:ascii="Times New Roman" w:eastAsia="Times New Roman" w:hAnsi="Times New Roman" w:cs="Times New Roman"/>
          <w:sz w:val="24"/>
          <w:szCs w:val="24"/>
        </w:rPr>
        <w:t>Kinnow</w:t>
      </w:r>
      <w:proofErr w:type="spellEnd"/>
      <w:proofErr w:type="gramEnd"/>
      <w:r w:rsidRPr="0096587D">
        <w:rPr>
          <w:rFonts w:ascii="Times New Roman" w:eastAsia="Times New Roman" w:hAnsi="Times New Roman" w:cs="Times New Roman"/>
          <w:sz w:val="24"/>
          <w:szCs w:val="24"/>
        </w:rPr>
        <w:t xml:space="preserve"> Mandarin exhibited the highest fruit weight (234.89 g), which was statistically superior to all other genotypes, as indicated by the critical difference at 5% (8.87 g).</w:t>
      </w:r>
      <w:r>
        <w:rPr>
          <w:rFonts w:ascii="Times New Roman" w:eastAsia="Times New Roman" w:hAnsi="Times New Roman" w:cs="Times New Roman"/>
          <w:sz w:val="24"/>
          <w:szCs w:val="24"/>
        </w:rPr>
        <w:t xml:space="preserve"> </w:t>
      </w:r>
      <w:r w:rsidRPr="0096587D">
        <w:rPr>
          <w:rFonts w:ascii="Times New Roman" w:eastAsia="Times New Roman" w:hAnsi="Times New Roman" w:cs="Times New Roman"/>
          <w:sz w:val="24"/>
          <w:szCs w:val="24"/>
        </w:rPr>
        <w:t>This was succeeded by Coorg Mandarin (178.98 g) and Khasi Mandarin (151.46 g).</w:t>
      </w:r>
      <w:r>
        <w:rPr>
          <w:rFonts w:ascii="Times New Roman" w:eastAsia="Times New Roman" w:hAnsi="Times New Roman" w:cs="Times New Roman"/>
          <w:sz w:val="24"/>
          <w:szCs w:val="24"/>
        </w:rPr>
        <w:t xml:space="preserve"> </w:t>
      </w:r>
      <w:r w:rsidRPr="0096587D">
        <w:rPr>
          <w:rFonts w:ascii="Times New Roman" w:eastAsia="Times New Roman" w:hAnsi="Times New Roman" w:cs="Times New Roman"/>
          <w:sz w:val="24"/>
          <w:szCs w:val="24"/>
        </w:rPr>
        <w:t>The lowest fruit weight was noted in Darjeeling Mandarin (110.62 g), closely followed by Nagpur Mandarin (114.89 g).</w:t>
      </w:r>
      <w:r>
        <w:rPr>
          <w:rFonts w:ascii="Times New Roman" w:eastAsia="Times New Roman" w:hAnsi="Times New Roman" w:cs="Times New Roman"/>
          <w:sz w:val="24"/>
          <w:szCs w:val="24"/>
        </w:rPr>
        <w:t xml:space="preserve"> </w:t>
      </w:r>
      <w:r w:rsidRPr="0096587D">
        <w:rPr>
          <w:rFonts w:ascii="Times New Roman" w:eastAsia="Times New Roman" w:hAnsi="Times New Roman" w:cs="Times New Roman"/>
          <w:sz w:val="24"/>
          <w:szCs w:val="24"/>
        </w:rPr>
        <w:t xml:space="preserve">The significant superiority of </w:t>
      </w:r>
      <w:proofErr w:type="spellStart"/>
      <w:r w:rsidRPr="0096587D">
        <w:rPr>
          <w:rFonts w:ascii="Times New Roman" w:eastAsia="Times New Roman" w:hAnsi="Times New Roman" w:cs="Times New Roman"/>
          <w:sz w:val="24"/>
          <w:szCs w:val="24"/>
        </w:rPr>
        <w:t>Kinnow</w:t>
      </w:r>
      <w:proofErr w:type="spellEnd"/>
      <w:r w:rsidRPr="0096587D">
        <w:rPr>
          <w:rFonts w:ascii="Times New Roman" w:eastAsia="Times New Roman" w:hAnsi="Times New Roman" w:cs="Times New Roman"/>
          <w:sz w:val="24"/>
          <w:szCs w:val="24"/>
        </w:rPr>
        <w:t xml:space="preserve"> Mandarin in terms of fruit size supports previous findings that hybrid mandarins, especially </w:t>
      </w:r>
      <w:proofErr w:type="spellStart"/>
      <w:r w:rsidRPr="0096587D">
        <w:rPr>
          <w:rFonts w:ascii="Times New Roman" w:eastAsia="Times New Roman" w:hAnsi="Times New Roman" w:cs="Times New Roman"/>
          <w:sz w:val="24"/>
          <w:szCs w:val="24"/>
        </w:rPr>
        <w:t>Kinnow</w:t>
      </w:r>
      <w:proofErr w:type="spellEnd"/>
      <w:r w:rsidRPr="0096587D">
        <w:rPr>
          <w:rFonts w:ascii="Times New Roman" w:eastAsia="Times New Roman" w:hAnsi="Times New Roman" w:cs="Times New Roman"/>
          <w:sz w:val="24"/>
          <w:szCs w:val="24"/>
        </w:rPr>
        <w:t xml:space="preserve">, demonstrate enhanced vigor and fruit development potential due to their genetic lineage (C. </w:t>
      </w:r>
      <w:proofErr w:type="spellStart"/>
      <w:r w:rsidRPr="0096587D">
        <w:rPr>
          <w:rFonts w:ascii="Times New Roman" w:eastAsia="Times New Roman" w:hAnsi="Times New Roman" w:cs="Times New Roman"/>
          <w:sz w:val="24"/>
          <w:szCs w:val="24"/>
        </w:rPr>
        <w:t>nobilis</w:t>
      </w:r>
      <w:proofErr w:type="spellEnd"/>
      <w:r w:rsidRPr="0096587D">
        <w:rPr>
          <w:rFonts w:ascii="Times New Roman" w:eastAsia="Times New Roman" w:hAnsi="Times New Roman" w:cs="Times New Roman"/>
          <w:sz w:val="24"/>
          <w:szCs w:val="24"/>
        </w:rPr>
        <w:t xml:space="preserve"> × C. </w:t>
      </w:r>
      <w:proofErr w:type="spellStart"/>
      <w:r w:rsidRPr="0096587D">
        <w:rPr>
          <w:rFonts w:ascii="Times New Roman" w:eastAsia="Times New Roman" w:hAnsi="Times New Roman" w:cs="Times New Roman"/>
          <w:sz w:val="24"/>
          <w:szCs w:val="24"/>
        </w:rPr>
        <w:t>deliciosa</w:t>
      </w:r>
      <w:proofErr w:type="spellEnd"/>
      <w:r w:rsidRPr="0096587D">
        <w:rPr>
          <w:rFonts w:ascii="Times New Roman" w:eastAsia="Times New Roman" w:hAnsi="Times New Roman" w:cs="Times New Roman"/>
          <w:sz w:val="24"/>
          <w:szCs w:val="24"/>
        </w:rPr>
        <w:t xml:space="preserve">) (Chadha &amp; Awasthi, 2005; Dhillon </w:t>
      </w:r>
      <w:r w:rsidRPr="0096587D">
        <w:rPr>
          <w:rFonts w:ascii="Times New Roman" w:eastAsia="Times New Roman" w:hAnsi="Times New Roman" w:cs="Times New Roman"/>
          <w:i/>
          <w:iCs/>
          <w:sz w:val="24"/>
          <w:szCs w:val="24"/>
        </w:rPr>
        <w:t>et al.,</w:t>
      </w:r>
      <w:r w:rsidRPr="0096587D">
        <w:rPr>
          <w:rFonts w:ascii="Times New Roman" w:eastAsia="Times New Roman" w:hAnsi="Times New Roman" w:cs="Times New Roman"/>
          <w:sz w:val="24"/>
          <w:szCs w:val="24"/>
        </w:rPr>
        <w:t xml:space="preserve"> 2017</w:t>
      </w:r>
      <w:proofErr w:type="gramStart"/>
      <w:r w:rsidRPr="0096587D">
        <w:rPr>
          <w:rFonts w:ascii="Times New Roman" w:eastAsia="Times New Roman" w:hAnsi="Times New Roman" w:cs="Times New Roman"/>
          <w:sz w:val="24"/>
          <w:szCs w:val="24"/>
        </w:rPr>
        <w:t>).The</w:t>
      </w:r>
      <w:proofErr w:type="gramEnd"/>
      <w:r w:rsidRPr="0096587D">
        <w:rPr>
          <w:rFonts w:ascii="Times New Roman" w:eastAsia="Times New Roman" w:hAnsi="Times New Roman" w:cs="Times New Roman"/>
          <w:sz w:val="24"/>
          <w:szCs w:val="24"/>
        </w:rPr>
        <w:t xml:space="preserve"> larger fruit size observed in </w:t>
      </w:r>
      <w:proofErr w:type="spellStart"/>
      <w:r w:rsidRPr="0096587D">
        <w:rPr>
          <w:rFonts w:ascii="Times New Roman" w:eastAsia="Times New Roman" w:hAnsi="Times New Roman" w:cs="Times New Roman"/>
          <w:sz w:val="24"/>
          <w:szCs w:val="24"/>
        </w:rPr>
        <w:t>Kinnow</w:t>
      </w:r>
      <w:proofErr w:type="spellEnd"/>
      <w:r w:rsidRPr="0096587D">
        <w:rPr>
          <w:rFonts w:ascii="Times New Roman" w:eastAsia="Times New Roman" w:hAnsi="Times New Roman" w:cs="Times New Roman"/>
          <w:sz w:val="24"/>
          <w:szCs w:val="24"/>
        </w:rPr>
        <w:t xml:space="preserve"> is frequently linked to its robust canopy vigor and greater efficiency in assimilate allocation.</w:t>
      </w:r>
      <w:r>
        <w:rPr>
          <w:rFonts w:ascii="Times New Roman" w:eastAsia="Times New Roman" w:hAnsi="Times New Roman" w:cs="Times New Roman"/>
          <w:sz w:val="24"/>
          <w:szCs w:val="24"/>
        </w:rPr>
        <w:t xml:space="preserve"> </w:t>
      </w:r>
      <w:r w:rsidRPr="0096587D">
        <w:rPr>
          <w:rFonts w:ascii="Times New Roman" w:eastAsia="Times New Roman" w:hAnsi="Times New Roman" w:cs="Times New Roman"/>
          <w:sz w:val="24"/>
          <w:szCs w:val="24"/>
        </w:rPr>
        <w:t xml:space="preserve">The relatively moderate fruit weights in </w:t>
      </w:r>
      <w:proofErr w:type="spellStart"/>
      <w:r w:rsidRPr="0096587D">
        <w:rPr>
          <w:rFonts w:ascii="Times New Roman" w:eastAsia="Times New Roman" w:hAnsi="Times New Roman" w:cs="Times New Roman"/>
          <w:sz w:val="24"/>
          <w:szCs w:val="24"/>
        </w:rPr>
        <w:t>Mudkhed</w:t>
      </w:r>
      <w:proofErr w:type="spellEnd"/>
      <w:r w:rsidRPr="0096587D">
        <w:rPr>
          <w:rFonts w:ascii="Times New Roman" w:eastAsia="Times New Roman" w:hAnsi="Times New Roman" w:cs="Times New Roman"/>
          <w:sz w:val="24"/>
          <w:szCs w:val="24"/>
        </w:rPr>
        <w:t xml:space="preserve"> Seedless (134.32 g) and Nagpur Seedless (123.99 g) correspond with earlier studies indicating that seedless mandarins typically yield smaller fruit, as the absence of seeds diminishes the hormonal stimuli necessary for optimal cell enlargement (</w:t>
      </w:r>
      <w:proofErr w:type="spellStart"/>
      <w:r w:rsidRPr="0096587D">
        <w:rPr>
          <w:rFonts w:ascii="Times New Roman" w:eastAsia="Times New Roman" w:hAnsi="Times New Roman" w:cs="Times New Roman"/>
          <w:sz w:val="24"/>
          <w:szCs w:val="24"/>
        </w:rPr>
        <w:t>Agustí</w:t>
      </w:r>
      <w:proofErr w:type="spellEnd"/>
      <w:r w:rsidRPr="0096587D">
        <w:rPr>
          <w:rFonts w:ascii="Times New Roman" w:eastAsia="Times New Roman" w:hAnsi="Times New Roman" w:cs="Times New Roman"/>
          <w:sz w:val="24"/>
          <w:szCs w:val="24"/>
        </w:rPr>
        <w:t xml:space="preserve"> </w:t>
      </w:r>
      <w:r w:rsidRPr="0096587D">
        <w:rPr>
          <w:rFonts w:ascii="Times New Roman" w:eastAsia="Times New Roman" w:hAnsi="Times New Roman" w:cs="Times New Roman"/>
          <w:i/>
          <w:iCs/>
          <w:sz w:val="24"/>
          <w:szCs w:val="24"/>
        </w:rPr>
        <w:t>et al.,</w:t>
      </w:r>
      <w:r w:rsidRPr="0096587D">
        <w:rPr>
          <w:rFonts w:ascii="Times New Roman" w:eastAsia="Times New Roman" w:hAnsi="Times New Roman" w:cs="Times New Roman"/>
          <w:sz w:val="24"/>
          <w:szCs w:val="24"/>
        </w:rPr>
        <w:t xml:space="preserve"> 2003).</w:t>
      </w:r>
    </w:p>
    <w:p w:rsidR="006F2DB2" w:rsidRDefault="006F2DB2" w:rsidP="0096587D">
      <w:pPr>
        <w:spacing w:after="0" w:line="240" w:lineRule="auto"/>
        <w:ind w:firstLine="360"/>
        <w:jc w:val="both"/>
        <w:rPr>
          <w:rFonts w:ascii="Times New Roman" w:eastAsia="Times New Roman" w:hAnsi="Times New Roman" w:cs="Times New Roman"/>
          <w:sz w:val="24"/>
          <w:szCs w:val="24"/>
        </w:rPr>
      </w:pPr>
    </w:p>
    <w:p w:rsidR="006F2DB2" w:rsidRDefault="006F2DB2" w:rsidP="0096587D">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1. </w:t>
      </w:r>
      <w:r w:rsidR="00843A09" w:rsidRPr="004A2459">
        <w:rPr>
          <w:rStyle w:val="Strong"/>
          <w:rFonts w:eastAsiaTheme="majorEastAsia"/>
          <w:b w:val="0"/>
          <w:bCs w:val="0"/>
          <w:sz w:val="24"/>
          <w:szCs w:val="24"/>
        </w:rPr>
        <w:t xml:space="preserve">Variability in different </w:t>
      </w:r>
      <w:r w:rsidR="00E855EB">
        <w:rPr>
          <w:rStyle w:val="Strong"/>
          <w:rFonts w:eastAsiaTheme="majorEastAsia"/>
          <w:b w:val="0"/>
          <w:bCs w:val="0"/>
          <w:sz w:val="24"/>
          <w:szCs w:val="24"/>
        </w:rPr>
        <w:t xml:space="preserve">growth </w:t>
      </w:r>
      <w:r w:rsidR="00843A09" w:rsidRPr="004A2459">
        <w:rPr>
          <w:rStyle w:val="Strong"/>
          <w:rFonts w:eastAsiaTheme="majorEastAsia"/>
          <w:b w:val="0"/>
          <w:bCs w:val="0"/>
          <w:sz w:val="24"/>
          <w:szCs w:val="24"/>
        </w:rPr>
        <w:t>characteristics in mandarin genotypes</w:t>
      </w:r>
    </w:p>
    <w:p w:rsidR="006F2DB2" w:rsidRDefault="000F5250" w:rsidP="006F2DB2">
      <w:pPr>
        <w:spacing w:after="0" w:line="240" w:lineRule="auto"/>
        <w:ind w:hanging="9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581775" cy="320040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43A09" w:rsidRDefault="00843A09" w:rsidP="0096587D">
      <w:pPr>
        <w:spacing w:after="0" w:line="240" w:lineRule="auto"/>
        <w:ind w:firstLine="360"/>
        <w:jc w:val="both"/>
        <w:rPr>
          <w:rFonts w:ascii="Times New Roman" w:eastAsia="Times New Roman" w:hAnsi="Times New Roman" w:cs="Times New Roman"/>
          <w:sz w:val="24"/>
          <w:szCs w:val="24"/>
        </w:rPr>
      </w:pPr>
    </w:p>
    <w:p w:rsidR="00ED0C12" w:rsidRDefault="00ED0C12" w:rsidP="00ED0C12">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Fig. 2. </w:t>
      </w:r>
      <w:r w:rsidRPr="004A2459">
        <w:rPr>
          <w:rStyle w:val="Strong"/>
          <w:rFonts w:eastAsiaTheme="majorEastAsia"/>
          <w:b w:val="0"/>
          <w:bCs w:val="0"/>
          <w:sz w:val="24"/>
          <w:szCs w:val="24"/>
        </w:rPr>
        <w:t xml:space="preserve">Variability in different </w:t>
      </w:r>
      <w:r w:rsidR="00E855EB">
        <w:rPr>
          <w:rStyle w:val="Strong"/>
          <w:rFonts w:eastAsiaTheme="majorEastAsia"/>
          <w:b w:val="0"/>
          <w:bCs w:val="0"/>
          <w:sz w:val="24"/>
          <w:szCs w:val="24"/>
        </w:rPr>
        <w:t xml:space="preserve">yield </w:t>
      </w:r>
      <w:r w:rsidRPr="004A2459">
        <w:rPr>
          <w:rStyle w:val="Strong"/>
          <w:rFonts w:eastAsiaTheme="majorEastAsia"/>
          <w:b w:val="0"/>
          <w:bCs w:val="0"/>
          <w:sz w:val="24"/>
          <w:szCs w:val="24"/>
        </w:rPr>
        <w:t>characteristics in mandarin genotypes</w:t>
      </w:r>
      <w:r>
        <w:rPr>
          <w:rFonts w:ascii="Times New Roman" w:eastAsia="Times New Roman" w:hAnsi="Times New Roman" w:cs="Times New Roman"/>
          <w:noProof/>
          <w:sz w:val="24"/>
          <w:szCs w:val="24"/>
        </w:rPr>
        <w:drawing>
          <wp:inline distT="0" distB="0" distL="0" distR="0">
            <wp:extent cx="6219825" cy="2724150"/>
            <wp:effectExtent l="0" t="0" r="9525"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D0C12" w:rsidRDefault="00ED0C12" w:rsidP="0096587D">
      <w:pPr>
        <w:spacing w:after="0" w:line="240" w:lineRule="auto"/>
        <w:ind w:firstLine="360"/>
        <w:jc w:val="both"/>
        <w:rPr>
          <w:rFonts w:ascii="Times New Roman" w:eastAsia="Times New Roman" w:hAnsi="Times New Roman" w:cs="Times New Roman"/>
          <w:sz w:val="24"/>
          <w:szCs w:val="24"/>
        </w:rPr>
      </w:pPr>
    </w:p>
    <w:p w:rsidR="00ED0C12" w:rsidRDefault="00194BF9" w:rsidP="0096587D">
      <w:pPr>
        <w:spacing w:after="0" w:line="240" w:lineRule="auto"/>
        <w:ind w:firstLine="360"/>
        <w:jc w:val="both"/>
        <w:rPr>
          <w:rStyle w:val="Strong"/>
          <w:rFonts w:eastAsiaTheme="majorEastAsia"/>
          <w:b w:val="0"/>
          <w:bCs w:val="0"/>
          <w:sz w:val="24"/>
          <w:szCs w:val="24"/>
        </w:rPr>
      </w:pPr>
      <w:r>
        <w:rPr>
          <w:rFonts w:ascii="Times New Roman" w:eastAsia="Times New Roman" w:hAnsi="Times New Roman" w:cs="Times New Roman"/>
          <w:sz w:val="24"/>
          <w:szCs w:val="24"/>
        </w:rPr>
        <w:t>Fig. 3</w:t>
      </w:r>
      <w:r w:rsidR="00ED0C12">
        <w:rPr>
          <w:rFonts w:ascii="Times New Roman" w:eastAsia="Times New Roman" w:hAnsi="Times New Roman" w:cs="Times New Roman"/>
          <w:sz w:val="24"/>
          <w:szCs w:val="24"/>
        </w:rPr>
        <w:t xml:space="preserve">. </w:t>
      </w:r>
      <w:r w:rsidR="00ED0C12" w:rsidRPr="004A2459">
        <w:rPr>
          <w:rStyle w:val="Strong"/>
          <w:rFonts w:eastAsiaTheme="majorEastAsia"/>
          <w:b w:val="0"/>
          <w:bCs w:val="0"/>
          <w:sz w:val="24"/>
          <w:szCs w:val="24"/>
        </w:rPr>
        <w:t xml:space="preserve">Variability in different </w:t>
      </w:r>
      <w:r w:rsidR="00E855EB">
        <w:rPr>
          <w:rStyle w:val="Strong"/>
          <w:rFonts w:eastAsiaTheme="majorEastAsia"/>
          <w:b w:val="0"/>
          <w:bCs w:val="0"/>
          <w:sz w:val="24"/>
          <w:szCs w:val="24"/>
        </w:rPr>
        <w:t xml:space="preserve">quality </w:t>
      </w:r>
      <w:r w:rsidR="00ED0C12" w:rsidRPr="004A2459">
        <w:rPr>
          <w:rStyle w:val="Strong"/>
          <w:rFonts w:eastAsiaTheme="majorEastAsia"/>
          <w:b w:val="0"/>
          <w:bCs w:val="0"/>
          <w:sz w:val="24"/>
          <w:szCs w:val="24"/>
        </w:rPr>
        <w:t>characteristics in mandarin genotypes</w:t>
      </w:r>
    </w:p>
    <w:p w:rsidR="00ED0C12" w:rsidRDefault="00ED0C12" w:rsidP="001C50F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296025" cy="3200400"/>
            <wp:effectExtent l="0" t="0" r="9525"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94BF9" w:rsidRDefault="00194BF9" w:rsidP="0096587D">
      <w:pPr>
        <w:spacing w:after="0" w:line="240" w:lineRule="auto"/>
        <w:ind w:firstLine="360"/>
        <w:jc w:val="both"/>
        <w:rPr>
          <w:rFonts w:ascii="Times New Roman" w:eastAsia="Times New Roman" w:hAnsi="Times New Roman" w:cs="Times New Roman"/>
          <w:sz w:val="24"/>
          <w:szCs w:val="24"/>
        </w:rPr>
      </w:pPr>
    </w:p>
    <w:p w:rsidR="0096587D" w:rsidRPr="0096587D" w:rsidRDefault="0096587D" w:rsidP="0096587D">
      <w:pPr>
        <w:spacing w:after="0" w:line="240" w:lineRule="auto"/>
        <w:ind w:firstLine="360"/>
        <w:jc w:val="both"/>
        <w:rPr>
          <w:rFonts w:ascii="Times New Roman" w:eastAsia="Times New Roman" w:hAnsi="Times New Roman" w:cs="Times New Roman"/>
          <w:sz w:val="24"/>
          <w:szCs w:val="24"/>
        </w:rPr>
      </w:pPr>
      <w:r w:rsidRPr="0096587D">
        <w:rPr>
          <w:rFonts w:ascii="Times New Roman" w:eastAsia="Times New Roman" w:hAnsi="Times New Roman" w:cs="Times New Roman"/>
          <w:sz w:val="24"/>
          <w:szCs w:val="24"/>
        </w:rPr>
        <w:t>Genotypic variations in fruit weight are generally ascribed to intrinsic genetic regulation of fruit cell division, expansion, and the peel-pulp ratio; however, environmental factors such as temperature, irrigation consistency, and rootstock compatibility also influence the final fruit size (</w:t>
      </w:r>
      <w:proofErr w:type="spellStart"/>
      <w:r w:rsidRPr="0096587D">
        <w:rPr>
          <w:rFonts w:ascii="Times New Roman" w:eastAsia="Times New Roman" w:hAnsi="Times New Roman" w:cs="Times New Roman"/>
          <w:sz w:val="24"/>
          <w:szCs w:val="24"/>
        </w:rPr>
        <w:t>Ladaniya</w:t>
      </w:r>
      <w:proofErr w:type="spellEnd"/>
      <w:r w:rsidRPr="0096587D">
        <w:rPr>
          <w:rFonts w:ascii="Times New Roman" w:eastAsia="Times New Roman" w:hAnsi="Times New Roman" w:cs="Times New Roman"/>
          <w:sz w:val="24"/>
          <w:szCs w:val="24"/>
        </w:rPr>
        <w:t>, 2008).</w:t>
      </w:r>
    </w:p>
    <w:p w:rsidR="009335CC" w:rsidRPr="00C81ACE" w:rsidRDefault="0096587D" w:rsidP="0096587D">
      <w:pPr>
        <w:spacing w:after="0" w:line="240" w:lineRule="auto"/>
        <w:ind w:firstLine="360"/>
        <w:jc w:val="both"/>
        <w:rPr>
          <w:rFonts w:ascii="Times New Roman" w:eastAsia="Times New Roman" w:hAnsi="Times New Roman" w:cs="Times New Roman"/>
          <w:sz w:val="24"/>
          <w:szCs w:val="24"/>
        </w:rPr>
      </w:pPr>
      <w:r w:rsidRPr="0096587D">
        <w:rPr>
          <w:rFonts w:ascii="Times New Roman" w:eastAsia="Times New Roman" w:hAnsi="Times New Roman" w:cs="Times New Roman"/>
          <w:sz w:val="24"/>
          <w:szCs w:val="24"/>
        </w:rPr>
        <w:t>The uniform rootstock (Rough Lemon) utilized in this study ensured that the variability observed primarily reflects genotypic potential rather than the effects of rootstock.</w:t>
      </w:r>
      <w:r>
        <w:rPr>
          <w:rFonts w:ascii="Times New Roman" w:eastAsia="Times New Roman" w:hAnsi="Times New Roman" w:cs="Times New Roman"/>
          <w:sz w:val="24"/>
          <w:szCs w:val="24"/>
        </w:rPr>
        <w:t xml:space="preserve"> </w:t>
      </w:r>
      <w:r w:rsidR="009335CC" w:rsidRPr="00C81ACE">
        <w:rPr>
          <w:rFonts w:ascii="Times New Roman" w:eastAsia="Times New Roman" w:hAnsi="Times New Roman" w:cs="Times New Roman"/>
          <w:sz w:val="24"/>
          <w:szCs w:val="24"/>
        </w:rPr>
        <w:t>Fruit yield also varied significantly across genotypes, with values ranging from 19.10 t/ha (</w:t>
      </w:r>
      <w:r w:rsidR="009335CC" w:rsidRPr="00C81ACE">
        <w:rPr>
          <w:rFonts w:ascii="Times New Roman" w:eastAsia="Times New Roman" w:hAnsi="Times New Roman" w:cs="Times New Roman"/>
          <w:i/>
          <w:iCs/>
          <w:sz w:val="24"/>
          <w:szCs w:val="24"/>
        </w:rPr>
        <w:t>Darjeeling Mandarin</w:t>
      </w:r>
      <w:r w:rsidR="009335CC" w:rsidRPr="00C81ACE">
        <w:rPr>
          <w:rFonts w:ascii="Times New Roman" w:eastAsia="Times New Roman" w:hAnsi="Times New Roman" w:cs="Times New Roman"/>
          <w:sz w:val="24"/>
          <w:szCs w:val="24"/>
        </w:rPr>
        <w:t xml:space="preserve">) to 40.41 t/ha in </w:t>
      </w:r>
      <w:proofErr w:type="spellStart"/>
      <w:r w:rsidR="009335CC" w:rsidRPr="00C81ACE">
        <w:rPr>
          <w:rFonts w:ascii="Times New Roman" w:eastAsia="Times New Roman" w:hAnsi="Times New Roman" w:cs="Times New Roman"/>
          <w:i/>
          <w:iCs/>
          <w:sz w:val="24"/>
          <w:szCs w:val="24"/>
        </w:rPr>
        <w:t>Kinnow</w:t>
      </w:r>
      <w:proofErr w:type="spellEnd"/>
      <w:r w:rsidR="009335CC" w:rsidRPr="00C81ACE">
        <w:rPr>
          <w:rFonts w:ascii="Times New Roman" w:eastAsia="Times New Roman" w:hAnsi="Times New Roman" w:cs="Times New Roman"/>
          <w:i/>
          <w:iCs/>
          <w:sz w:val="24"/>
          <w:szCs w:val="24"/>
        </w:rPr>
        <w:t xml:space="preserve"> Mandarin</w:t>
      </w:r>
      <w:r w:rsidR="009335CC" w:rsidRPr="00C81ACE">
        <w:rPr>
          <w:rFonts w:ascii="Times New Roman" w:eastAsia="Times New Roman" w:hAnsi="Times New Roman" w:cs="Times New Roman"/>
          <w:sz w:val="24"/>
          <w:szCs w:val="24"/>
        </w:rPr>
        <w:t xml:space="preserve"> (T4), which produced the highest yield, significantly exceeding all other treatments based on the CD (1.67 t/ha). This was followed by </w:t>
      </w:r>
      <w:r w:rsidR="009335CC" w:rsidRPr="00C81ACE">
        <w:rPr>
          <w:rFonts w:ascii="Times New Roman" w:eastAsia="Times New Roman" w:hAnsi="Times New Roman" w:cs="Times New Roman"/>
          <w:i/>
          <w:iCs/>
          <w:sz w:val="24"/>
          <w:szCs w:val="24"/>
        </w:rPr>
        <w:t>Coorg Mandarin</w:t>
      </w:r>
      <w:r w:rsidR="009335CC" w:rsidRPr="00C81ACE">
        <w:rPr>
          <w:rFonts w:ascii="Times New Roman" w:eastAsia="Times New Roman" w:hAnsi="Times New Roman" w:cs="Times New Roman"/>
          <w:sz w:val="24"/>
          <w:szCs w:val="24"/>
        </w:rPr>
        <w:t xml:space="preserve"> (27.86 t/ha), </w:t>
      </w:r>
      <w:r w:rsidR="009335CC" w:rsidRPr="00C81ACE">
        <w:rPr>
          <w:rFonts w:ascii="Times New Roman" w:eastAsia="Times New Roman" w:hAnsi="Times New Roman" w:cs="Times New Roman"/>
          <w:i/>
          <w:iCs/>
          <w:sz w:val="24"/>
          <w:szCs w:val="24"/>
        </w:rPr>
        <w:t>Khasi Mandarin</w:t>
      </w:r>
      <w:r w:rsidR="009335CC" w:rsidRPr="00C81ACE">
        <w:rPr>
          <w:rFonts w:ascii="Times New Roman" w:eastAsia="Times New Roman" w:hAnsi="Times New Roman" w:cs="Times New Roman"/>
          <w:sz w:val="24"/>
          <w:szCs w:val="24"/>
        </w:rPr>
        <w:t xml:space="preserve"> (24.55 </w:t>
      </w:r>
      <w:r w:rsidR="009335CC" w:rsidRPr="00C81ACE">
        <w:rPr>
          <w:rFonts w:ascii="Times New Roman" w:eastAsia="Times New Roman" w:hAnsi="Times New Roman" w:cs="Times New Roman"/>
          <w:sz w:val="24"/>
          <w:szCs w:val="24"/>
        </w:rPr>
        <w:lastRenderedPageBreak/>
        <w:t xml:space="preserve">t/ha), and </w:t>
      </w:r>
      <w:proofErr w:type="spellStart"/>
      <w:r w:rsidR="009335CC" w:rsidRPr="00C81ACE">
        <w:rPr>
          <w:rFonts w:ascii="Times New Roman" w:eastAsia="Times New Roman" w:hAnsi="Times New Roman" w:cs="Times New Roman"/>
          <w:i/>
          <w:iCs/>
          <w:sz w:val="24"/>
          <w:szCs w:val="24"/>
        </w:rPr>
        <w:t>Mudkhed</w:t>
      </w:r>
      <w:proofErr w:type="spellEnd"/>
      <w:r w:rsidR="009335CC" w:rsidRPr="00C81ACE">
        <w:rPr>
          <w:rFonts w:ascii="Times New Roman" w:eastAsia="Times New Roman" w:hAnsi="Times New Roman" w:cs="Times New Roman"/>
          <w:i/>
          <w:iCs/>
          <w:sz w:val="24"/>
          <w:szCs w:val="24"/>
        </w:rPr>
        <w:t xml:space="preserve"> Seedless</w:t>
      </w:r>
      <w:r w:rsidR="009335CC" w:rsidRPr="00C81ACE">
        <w:rPr>
          <w:rFonts w:ascii="Times New Roman" w:eastAsia="Times New Roman" w:hAnsi="Times New Roman" w:cs="Times New Roman"/>
          <w:sz w:val="24"/>
          <w:szCs w:val="24"/>
        </w:rPr>
        <w:t xml:space="preserve"> (23.40 t/ha). The lowest yield corresponded to </w:t>
      </w:r>
      <w:r w:rsidR="009335CC" w:rsidRPr="00C81ACE">
        <w:rPr>
          <w:rFonts w:ascii="Times New Roman" w:eastAsia="Times New Roman" w:hAnsi="Times New Roman" w:cs="Times New Roman"/>
          <w:i/>
          <w:iCs/>
          <w:sz w:val="24"/>
          <w:szCs w:val="24"/>
        </w:rPr>
        <w:t>Darjeeling Mandarin</w:t>
      </w:r>
      <w:r w:rsidR="009335CC" w:rsidRPr="00C81ACE">
        <w:rPr>
          <w:rFonts w:ascii="Times New Roman" w:eastAsia="Times New Roman" w:hAnsi="Times New Roman" w:cs="Times New Roman"/>
          <w:sz w:val="24"/>
          <w:szCs w:val="24"/>
        </w:rPr>
        <w:t xml:space="preserve"> and </w:t>
      </w:r>
      <w:r w:rsidR="009335CC" w:rsidRPr="00C81ACE">
        <w:rPr>
          <w:rFonts w:ascii="Times New Roman" w:eastAsia="Times New Roman" w:hAnsi="Times New Roman" w:cs="Times New Roman"/>
          <w:i/>
          <w:iCs/>
          <w:sz w:val="24"/>
          <w:szCs w:val="24"/>
        </w:rPr>
        <w:t>Nagpur Mandarin</w:t>
      </w:r>
      <w:r w:rsidR="009335CC" w:rsidRPr="00C81ACE">
        <w:rPr>
          <w:rFonts w:ascii="Times New Roman" w:eastAsia="Times New Roman" w:hAnsi="Times New Roman" w:cs="Times New Roman"/>
          <w:sz w:val="24"/>
          <w:szCs w:val="24"/>
        </w:rPr>
        <w:t xml:space="preserve"> (20.04 t/ha).</w:t>
      </w:r>
    </w:p>
    <w:p w:rsidR="009335CC" w:rsidRPr="003A0669" w:rsidRDefault="009335CC" w:rsidP="00544FB2">
      <w:pPr>
        <w:spacing w:after="0" w:line="240" w:lineRule="auto"/>
        <w:ind w:firstLine="360"/>
        <w:jc w:val="both"/>
        <w:rPr>
          <w:rFonts w:ascii="Times New Roman" w:eastAsia="Times New Roman" w:hAnsi="Times New Roman" w:cs="Times New Roman"/>
          <w:sz w:val="24"/>
          <w:szCs w:val="24"/>
        </w:rPr>
      </w:pPr>
      <w:r w:rsidRPr="003A0669">
        <w:rPr>
          <w:rFonts w:ascii="Times New Roman" w:eastAsia="Times New Roman" w:hAnsi="Times New Roman" w:cs="Times New Roman"/>
          <w:sz w:val="24"/>
          <w:szCs w:val="24"/>
        </w:rPr>
        <w:t xml:space="preserve">The outstanding yield performance of </w:t>
      </w:r>
      <w:proofErr w:type="spellStart"/>
      <w:r w:rsidRPr="003A0669">
        <w:rPr>
          <w:rFonts w:ascii="Times New Roman" w:eastAsia="Times New Roman" w:hAnsi="Times New Roman" w:cs="Times New Roman"/>
          <w:sz w:val="24"/>
          <w:szCs w:val="24"/>
        </w:rPr>
        <w:t>Kinnow</w:t>
      </w:r>
      <w:proofErr w:type="spellEnd"/>
      <w:r w:rsidRPr="003A0669">
        <w:rPr>
          <w:rFonts w:ascii="Times New Roman" w:eastAsia="Times New Roman" w:hAnsi="Times New Roman" w:cs="Times New Roman"/>
          <w:sz w:val="24"/>
          <w:szCs w:val="24"/>
        </w:rPr>
        <w:t xml:space="preserve"> is consistent with national and international reports that identify </w:t>
      </w:r>
      <w:proofErr w:type="spellStart"/>
      <w:r w:rsidRPr="003A0669">
        <w:rPr>
          <w:rFonts w:ascii="Times New Roman" w:eastAsia="Times New Roman" w:hAnsi="Times New Roman" w:cs="Times New Roman"/>
          <w:sz w:val="24"/>
          <w:szCs w:val="24"/>
        </w:rPr>
        <w:t>Kinnow</w:t>
      </w:r>
      <w:proofErr w:type="spellEnd"/>
      <w:r w:rsidRPr="003A0669">
        <w:rPr>
          <w:rFonts w:ascii="Times New Roman" w:eastAsia="Times New Roman" w:hAnsi="Times New Roman" w:cs="Times New Roman"/>
          <w:sz w:val="24"/>
          <w:szCs w:val="24"/>
        </w:rPr>
        <w:t xml:space="preserve"> as one of the highest-yielding mandarin hybrids due to its prolific bearing habit, vigorous canopy, and h</w:t>
      </w:r>
      <w:r w:rsidR="003B3D21">
        <w:rPr>
          <w:rFonts w:ascii="Times New Roman" w:eastAsia="Times New Roman" w:hAnsi="Times New Roman" w:cs="Times New Roman"/>
          <w:sz w:val="24"/>
          <w:szCs w:val="24"/>
        </w:rPr>
        <w:t>igh fruit set percentage</w:t>
      </w:r>
      <w:r w:rsidRPr="003A0669">
        <w:rPr>
          <w:rFonts w:ascii="Times New Roman" w:eastAsia="Times New Roman" w:hAnsi="Times New Roman" w:cs="Times New Roman"/>
          <w:sz w:val="24"/>
          <w:szCs w:val="24"/>
        </w:rPr>
        <w:t xml:space="preserve">. The greater canopy volume observed for </w:t>
      </w:r>
      <w:proofErr w:type="spellStart"/>
      <w:r w:rsidRPr="003A0669">
        <w:rPr>
          <w:rFonts w:ascii="Times New Roman" w:eastAsia="Times New Roman" w:hAnsi="Times New Roman" w:cs="Times New Roman"/>
          <w:sz w:val="24"/>
          <w:szCs w:val="24"/>
        </w:rPr>
        <w:t>Kinnow</w:t>
      </w:r>
      <w:proofErr w:type="spellEnd"/>
      <w:r w:rsidRPr="003A0669">
        <w:rPr>
          <w:rFonts w:ascii="Times New Roman" w:eastAsia="Times New Roman" w:hAnsi="Times New Roman" w:cs="Times New Roman"/>
          <w:sz w:val="24"/>
          <w:szCs w:val="24"/>
        </w:rPr>
        <w:t xml:space="preserve"> (12.64 m³) compared to other genotypes supports the widely documented positive correlation between canopy size and total yield in citrus (Castle, 2010).</w:t>
      </w:r>
      <w:r w:rsidR="00962A5A">
        <w:rPr>
          <w:rFonts w:ascii="Times New Roman" w:eastAsia="Times New Roman" w:hAnsi="Times New Roman" w:cs="Times New Roman"/>
          <w:sz w:val="24"/>
          <w:szCs w:val="24"/>
        </w:rPr>
        <w:t xml:space="preserve"> </w:t>
      </w:r>
      <w:r w:rsidRPr="003A0669">
        <w:rPr>
          <w:rFonts w:ascii="Times New Roman" w:eastAsia="Times New Roman" w:hAnsi="Times New Roman" w:cs="Times New Roman"/>
          <w:sz w:val="24"/>
          <w:szCs w:val="24"/>
        </w:rPr>
        <w:t xml:space="preserve">Seedless cultivars like </w:t>
      </w:r>
      <w:r w:rsidRPr="003A0669">
        <w:rPr>
          <w:rFonts w:ascii="Times New Roman" w:eastAsia="Times New Roman" w:hAnsi="Times New Roman" w:cs="Times New Roman"/>
          <w:i/>
          <w:iCs/>
          <w:sz w:val="24"/>
          <w:szCs w:val="24"/>
        </w:rPr>
        <w:t>Nagpur Seedless</w:t>
      </w:r>
      <w:r w:rsidRPr="003A0669">
        <w:rPr>
          <w:rFonts w:ascii="Times New Roman" w:eastAsia="Times New Roman" w:hAnsi="Times New Roman" w:cs="Times New Roman"/>
          <w:sz w:val="24"/>
          <w:szCs w:val="24"/>
        </w:rPr>
        <w:t xml:space="preserve"> and </w:t>
      </w:r>
      <w:proofErr w:type="spellStart"/>
      <w:r w:rsidRPr="003A0669">
        <w:rPr>
          <w:rFonts w:ascii="Times New Roman" w:eastAsia="Times New Roman" w:hAnsi="Times New Roman" w:cs="Times New Roman"/>
          <w:i/>
          <w:iCs/>
          <w:sz w:val="24"/>
          <w:szCs w:val="24"/>
        </w:rPr>
        <w:t>Mudkhed</w:t>
      </w:r>
      <w:proofErr w:type="spellEnd"/>
      <w:r w:rsidRPr="003A0669">
        <w:rPr>
          <w:rFonts w:ascii="Times New Roman" w:eastAsia="Times New Roman" w:hAnsi="Times New Roman" w:cs="Times New Roman"/>
          <w:i/>
          <w:iCs/>
          <w:sz w:val="24"/>
          <w:szCs w:val="24"/>
        </w:rPr>
        <w:t xml:space="preserve"> Seedless</w:t>
      </w:r>
      <w:r w:rsidRPr="003A0669">
        <w:rPr>
          <w:rFonts w:ascii="Times New Roman" w:eastAsia="Times New Roman" w:hAnsi="Times New Roman" w:cs="Times New Roman"/>
          <w:sz w:val="24"/>
          <w:szCs w:val="24"/>
        </w:rPr>
        <w:t xml:space="preserve"> showed moderate yields (22.82 and 23.40 t/ha, respectively). While </w:t>
      </w:r>
      <w:proofErr w:type="spellStart"/>
      <w:r w:rsidRPr="003A0669">
        <w:rPr>
          <w:rFonts w:ascii="Times New Roman" w:eastAsia="Times New Roman" w:hAnsi="Times New Roman" w:cs="Times New Roman"/>
          <w:sz w:val="24"/>
          <w:szCs w:val="24"/>
        </w:rPr>
        <w:t>seedlessness</w:t>
      </w:r>
      <w:proofErr w:type="spellEnd"/>
      <w:r w:rsidRPr="003A0669">
        <w:rPr>
          <w:rFonts w:ascii="Times New Roman" w:eastAsia="Times New Roman" w:hAnsi="Times New Roman" w:cs="Times New Roman"/>
          <w:sz w:val="24"/>
          <w:szCs w:val="24"/>
        </w:rPr>
        <w:t xml:space="preserve"> enhances market preference, it may sometimes reduce fruit set and overall yield due to limited hormonal support during early fruit development (</w:t>
      </w:r>
      <w:proofErr w:type="spellStart"/>
      <w:r w:rsidRPr="003A0669">
        <w:rPr>
          <w:rFonts w:ascii="Times New Roman" w:eastAsia="Times New Roman" w:hAnsi="Times New Roman" w:cs="Times New Roman"/>
          <w:sz w:val="24"/>
          <w:szCs w:val="24"/>
        </w:rPr>
        <w:t>Agustí</w:t>
      </w:r>
      <w:proofErr w:type="spellEnd"/>
      <w:r w:rsidRPr="003A0669">
        <w:rPr>
          <w:rFonts w:ascii="Times New Roman" w:eastAsia="Times New Roman" w:hAnsi="Times New Roman" w:cs="Times New Roman"/>
          <w:sz w:val="24"/>
          <w:szCs w:val="24"/>
        </w:rPr>
        <w:t xml:space="preserve"> </w:t>
      </w:r>
      <w:r w:rsidRPr="00962A5A">
        <w:rPr>
          <w:rFonts w:ascii="Times New Roman" w:eastAsia="Times New Roman" w:hAnsi="Times New Roman" w:cs="Times New Roman"/>
          <w:i/>
          <w:iCs/>
          <w:sz w:val="24"/>
          <w:szCs w:val="24"/>
        </w:rPr>
        <w:t>et al.,</w:t>
      </w:r>
      <w:r w:rsidRPr="003A0669">
        <w:rPr>
          <w:rFonts w:ascii="Times New Roman" w:eastAsia="Times New Roman" w:hAnsi="Times New Roman" w:cs="Times New Roman"/>
          <w:sz w:val="24"/>
          <w:szCs w:val="24"/>
        </w:rPr>
        <w:t xml:space="preserve"> 2003). The lower yield range in </w:t>
      </w:r>
      <w:r w:rsidRPr="003A0669">
        <w:rPr>
          <w:rFonts w:ascii="Times New Roman" w:eastAsia="Times New Roman" w:hAnsi="Times New Roman" w:cs="Times New Roman"/>
          <w:i/>
          <w:iCs/>
          <w:sz w:val="24"/>
          <w:szCs w:val="24"/>
        </w:rPr>
        <w:t>Darjeeling Mandarin</w:t>
      </w:r>
      <w:r w:rsidRPr="003A0669">
        <w:rPr>
          <w:rFonts w:ascii="Times New Roman" w:eastAsia="Times New Roman" w:hAnsi="Times New Roman" w:cs="Times New Roman"/>
          <w:sz w:val="24"/>
          <w:szCs w:val="24"/>
        </w:rPr>
        <w:t xml:space="preserve"> and </w:t>
      </w:r>
      <w:r w:rsidRPr="003A0669">
        <w:rPr>
          <w:rFonts w:ascii="Times New Roman" w:eastAsia="Times New Roman" w:hAnsi="Times New Roman" w:cs="Times New Roman"/>
          <w:i/>
          <w:iCs/>
          <w:sz w:val="24"/>
          <w:szCs w:val="24"/>
        </w:rPr>
        <w:t>Nagpur Mandarin</w:t>
      </w:r>
      <w:r w:rsidRPr="003A0669">
        <w:rPr>
          <w:rFonts w:ascii="Times New Roman" w:eastAsia="Times New Roman" w:hAnsi="Times New Roman" w:cs="Times New Roman"/>
          <w:sz w:val="24"/>
          <w:szCs w:val="24"/>
        </w:rPr>
        <w:t xml:space="preserve"> could be attributed to their smaller fruit size, relatively reduced canopy volume, and possibly lower genetic yield potential.</w:t>
      </w:r>
    </w:p>
    <w:p w:rsidR="009335CC" w:rsidRDefault="009335CC" w:rsidP="00544FB2">
      <w:pPr>
        <w:spacing w:after="0" w:line="240" w:lineRule="auto"/>
        <w:ind w:firstLine="360"/>
        <w:jc w:val="both"/>
        <w:rPr>
          <w:rFonts w:ascii="Times New Roman" w:eastAsia="Times New Roman" w:hAnsi="Times New Roman" w:cs="Times New Roman"/>
          <w:sz w:val="24"/>
          <w:szCs w:val="24"/>
        </w:rPr>
      </w:pPr>
      <w:r w:rsidRPr="003A0669">
        <w:rPr>
          <w:rFonts w:ascii="Times New Roman" w:eastAsia="Times New Roman" w:hAnsi="Times New Roman" w:cs="Times New Roman"/>
          <w:sz w:val="24"/>
          <w:szCs w:val="24"/>
        </w:rPr>
        <w:t xml:space="preserve">Yield differences among genotypes ultimately reflect cumulative effects of fruit weight, number of fruits per plant, canopy </w:t>
      </w:r>
      <w:proofErr w:type="spellStart"/>
      <w:r w:rsidRPr="003A0669">
        <w:rPr>
          <w:rFonts w:ascii="Times New Roman" w:eastAsia="Times New Roman" w:hAnsi="Times New Roman" w:cs="Times New Roman"/>
          <w:sz w:val="24"/>
          <w:szCs w:val="24"/>
        </w:rPr>
        <w:t>vigour</w:t>
      </w:r>
      <w:proofErr w:type="spellEnd"/>
      <w:r w:rsidRPr="003A0669">
        <w:rPr>
          <w:rFonts w:ascii="Times New Roman" w:eastAsia="Times New Roman" w:hAnsi="Times New Roman" w:cs="Times New Roman"/>
          <w:sz w:val="24"/>
          <w:szCs w:val="24"/>
        </w:rPr>
        <w:t>, and environmental adaptability. The long-term pooled data used in this study minimize annual environmental variability, thus reinforcing that the yield differences observed are predominantly genetic.</w:t>
      </w:r>
    </w:p>
    <w:p w:rsidR="009335CC" w:rsidRPr="003A0669" w:rsidRDefault="004A2459" w:rsidP="00394A8C">
      <w:pPr>
        <w:pStyle w:val="NormalWeb"/>
        <w:spacing w:before="0" w:beforeAutospacing="0" w:after="0" w:afterAutospacing="0"/>
        <w:ind w:firstLine="720"/>
        <w:jc w:val="both"/>
      </w:pPr>
      <w:r>
        <w:t xml:space="preserve">Genetic variance for yield attributes was exceptionally high (σ²g = </w:t>
      </w:r>
      <w:r w:rsidRPr="0038116A">
        <w:rPr>
          <w:rStyle w:val="Strong"/>
          <w:b w:val="0"/>
          <w:bCs w:val="0"/>
        </w:rPr>
        <w:t>51.67 × 10⁶</w:t>
      </w:r>
      <w:r>
        <w:t xml:space="preserve"> for fruit yield), with </w:t>
      </w:r>
      <w:r w:rsidRPr="0038116A">
        <w:rPr>
          <w:rStyle w:val="Strong"/>
          <w:b w:val="0"/>
          <w:bCs w:val="0"/>
        </w:rPr>
        <w:t>very high heritability (H² = 0.989)</w:t>
      </w:r>
      <w:r>
        <w:t xml:space="preserve"> and closely similar GCV (28.24%) and PCV (28.40%) (Table 2). Such closeness of GCV and PCV indicates minimal environmental influence on yield expression, suggesting that </w:t>
      </w:r>
      <w:r w:rsidRPr="0038116A">
        <w:rPr>
          <w:rStyle w:val="Strong"/>
          <w:b w:val="0"/>
          <w:bCs w:val="0"/>
        </w:rPr>
        <w:t>direct selection based on phenotype would be highly effective</w:t>
      </w:r>
      <w:r w:rsidRPr="0038116A">
        <w:rPr>
          <w:b/>
          <w:bCs/>
        </w:rPr>
        <w:t>.</w:t>
      </w:r>
      <w:r>
        <w:t xml:space="preserve"> </w:t>
      </w:r>
      <w:r w:rsidR="009335CC" w:rsidRPr="004E0524">
        <w:t xml:space="preserve">A positive association was evident between fruit weight and yield, where genotypes with larger fruit—particularly </w:t>
      </w:r>
      <w:proofErr w:type="spellStart"/>
      <w:r w:rsidR="009335CC" w:rsidRPr="004E0524">
        <w:rPr>
          <w:i/>
          <w:iCs/>
        </w:rPr>
        <w:t>Kinnow</w:t>
      </w:r>
      <w:proofErr w:type="spellEnd"/>
      <w:r w:rsidR="009335CC" w:rsidRPr="004E0524">
        <w:rPr>
          <w:i/>
          <w:iCs/>
        </w:rPr>
        <w:t xml:space="preserve"> Mandarin</w:t>
      </w:r>
      <w:r w:rsidR="009335CC" w:rsidRPr="004E0524">
        <w:t>—also exhibited higher yield performance. This relationship is well established in citrus, where fruit size contributes substantially to yield unless compensated by very high fruit numbers in small-fruited genotypes (</w:t>
      </w:r>
      <w:proofErr w:type="spellStart"/>
      <w:r w:rsidR="009335CC" w:rsidRPr="004E0524">
        <w:t>Ladaniya</w:t>
      </w:r>
      <w:proofErr w:type="spellEnd"/>
      <w:r w:rsidR="009335CC" w:rsidRPr="004E0524">
        <w:t xml:space="preserve">, 2008). The data support the proposition that </w:t>
      </w:r>
      <w:proofErr w:type="spellStart"/>
      <w:r w:rsidR="009335CC" w:rsidRPr="004E0524">
        <w:t>Kinnow’s</w:t>
      </w:r>
      <w:proofErr w:type="spellEnd"/>
      <w:r w:rsidR="009335CC" w:rsidRPr="004E0524">
        <w:t xml:space="preserve"> superiority in both fruit weight and yield makes it a highly suitable cultivar for commercial production under the </w:t>
      </w:r>
      <w:proofErr w:type="spellStart"/>
      <w:r w:rsidR="009335CC" w:rsidRPr="004E0524">
        <w:t>agro</w:t>
      </w:r>
      <w:proofErr w:type="spellEnd"/>
      <w:r w:rsidR="009335CC" w:rsidRPr="004E0524">
        <w:t xml:space="preserve">-climatic conditions of </w:t>
      </w:r>
      <w:proofErr w:type="spellStart"/>
      <w:r w:rsidR="009335CC" w:rsidRPr="004E0524">
        <w:t>Shriganganagar</w:t>
      </w:r>
      <w:proofErr w:type="spellEnd"/>
      <w:r w:rsidR="009335CC" w:rsidRPr="004E0524">
        <w:t>, Rajasthan</w:t>
      </w:r>
      <w:r w:rsidR="009335CC" w:rsidRPr="003A0669">
        <w:t>.</w:t>
      </w:r>
    </w:p>
    <w:p w:rsidR="009335CC" w:rsidRPr="00B02BCE" w:rsidRDefault="009335CC" w:rsidP="00544FB2">
      <w:pPr>
        <w:spacing w:after="0" w:line="240" w:lineRule="auto"/>
        <w:ind w:firstLine="360"/>
        <w:jc w:val="both"/>
        <w:rPr>
          <w:rFonts w:ascii="Times New Roman" w:eastAsia="Times New Roman" w:hAnsi="Times New Roman" w:cs="Times New Roman"/>
          <w:sz w:val="24"/>
          <w:szCs w:val="24"/>
        </w:rPr>
      </w:pPr>
      <w:r w:rsidRPr="004E0524">
        <w:rPr>
          <w:rFonts w:ascii="Times New Roman" w:eastAsia="Times New Roman" w:hAnsi="Times New Roman" w:cs="Times New Roman"/>
          <w:sz w:val="24"/>
          <w:szCs w:val="24"/>
        </w:rPr>
        <w:t>Significant variation in TSS (°Brix) was observed among the seven mandarin genotypes evaluated over four years. TSS values ranged from 6.55°Brix (Khasi mandarin) to 12.12°Brix (</w:t>
      </w:r>
      <w:proofErr w:type="spellStart"/>
      <w:r w:rsidRPr="004E0524">
        <w:rPr>
          <w:rFonts w:ascii="Times New Roman" w:eastAsia="Times New Roman" w:hAnsi="Times New Roman" w:cs="Times New Roman"/>
          <w:sz w:val="24"/>
          <w:szCs w:val="24"/>
        </w:rPr>
        <w:t>Kinnow</w:t>
      </w:r>
      <w:proofErr w:type="spellEnd"/>
      <w:r w:rsidRPr="004E0524">
        <w:rPr>
          <w:rFonts w:ascii="Times New Roman" w:eastAsia="Times New Roman" w:hAnsi="Times New Roman" w:cs="Times New Roman"/>
          <w:sz w:val="24"/>
          <w:szCs w:val="24"/>
        </w:rPr>
        <w:t xml:space="preserve"> mandarin), indicating a wide diversity in sweetness levels among the cultivars.</w:t>
      </w:r>
      <w:r w:rsidR="004E0524">
        <w:rPr>
          <w:rFonts w:ascii="Times New Roman" w:eastAsia="Times New Roman" w:hAnsi="Times New Roman" w:cs="Times New Roman"/>
          <w:sz w:val="24"/>
          <w:szCs w:val="24"/>
        </w:rPr>
        <w:t xml:space="preserve"> </w:t>
      </w:r>
      <w:proofErr w:type="spellStart"/>
      <w:r w:rsidRPr="004E0524">
        <w:rPr>
          <w:rFonts w:ascii="Times New Roman" w:eastAsia="Times New Roman" w:hAnsi="Times New Roman" w:cs="Times New Roman"/>
          <w:sz w:val="24"/>
          <w:szCs w:val="24"/>
        </w:rPr>
        <w:t>Kinnow</w:t>
      </w:r>
      <w:proofErr w:type="spellEnd"/>
      <w:r w:rsidRPr="004E0524">
        <w:rPr>
          <w:rFonts w:ascii="Times New Roman" w:eastAsia="Times New Roman" w:hAnsi="Times New Roman" w:cs="Times New Roman"/>
          <w:sz w:val="24"/>
          <w:szCs w:val="24"/>
        </w:rPr>
        <w:t xml:space="preserve"> mandarin record</w:t>
      </w:r>
      <w:r w:rsidR="00394A8C">
        <w:rPr>
          <w:rFonts w:ascii="Times New Roman" w:eastAsia="Times New Roman" w:hAnsi="Times New Roman" w:cs="Times New Roman"/>
          <w:sz w:val="24"/>
          <w:szCs w:val="24"/>
        </w:rPr>
        <w:t>ed the highest TSS (12.12°Brix).</w:t>
      </w:r>
      <w:r w:rsidRPr="004E0524">
        <w:rPr>
          <w:rFonts w:ascii="Times New Roman" w:eastAsia="Times New Roman" w:hAnsi="Times New Roman" w:cs="Times New Roman"/>
          <w:sz w:val="24"/>
          <w:szCs w:val="24"/>
        </w:rPr>
        <w:t xml:space="preserve"> The </w:t>
      </w:r>
      <w:proofErr w:type="spellStart"/>
      <w:proofErr w:type="gramStart"/>
      <w:r w:rsidRPr="004E0524">
        <w:rPr>
          <w:rFonts w:ascii="Times New Roman" w:eastAsia="Times New Roman" w:hAnsi="Times New Roman" w:cs="Times New Roman"/>
          <w:sz w:val="24"/>
          <w:szCs w:val="24"/>
        </w:rPr>
        <w:t>S.Ed</w:t>
      </w:r>
      <w:proofErr w:type="spellEnd"/>
      <w:proofErr w:type="gramEnd"/>
      <w:r w:rsidRPr="004E0524">
        <w:rPr>
          <w:rFonts w:ascii="Times New Roman" w:eastAsia="Times New Roman" w:hAnsi="Times New Roman" w:cs="Times New Roman"/>
          <w:sz w:val="24"/>
          <w:szCs w:val="24"/>
        </w:rPr>
        <w:t xml:space="preserve"> (±0.19) and CD at 5% (0.58) values further confirm that these differences were statistically significant.</w:t>
      </w:r>
      <w:r w:rsidR="004E0524">
        <w:rPr>
          <w:rFonts w:ascii="Times New Roman" w:eastAsia="Times New Roman" w:hAnsi="Times New Roman" w:cs="Times New Roman"/>
          <w:sz w:val="24"/>
          <w:szCs w:val="24"/>
        </w:rPr>
        <w:t xml:space="preserve"> </w:t>
      </w:r>
      <w:r w:rsidRPr="004E0524">
        <w:rPr>
          <w:rFonts w:ascii="Times New Roman" w:eastAsia="Times New Roman" w:hAnsi="Times New Roman" w:cs="Times New Roman"/>
          <w:sz w:val="24"/>
          <w:szCs w:val="24"/>
        </w:rPr>
        <w:t xml:space="preserve">Higher TSS is a desirable trait because it directly contributes to sweetness and enhances consumer preference. The superior sweetness in </w:t>
      </w:r>
      <w:proofErr w:type="spellStart"/>
      <w:r w:rsidRPr="004E0524">
        <w:rPr>
          <w:rFonts w:ascii="Times New Roman" w:eastAsia="Times New Roman" w:hAnsi="Times New Roman" w:cs="Times New Roman"/>
          <w:sz w:val="24"/>
          <w:szCs w:val="24"/>
        </w:rPr>
        <w:t>Kinnow</w:t>
      </w:r>
      <w:proofErr w:type="spellEnd"/>
      <w:r w:rsidRPr="004E0524">
        <w:rPr>
          <w:rFonts w:ascii="Times New Roman" w:eastAsia="Times New Roman" w:hAnsi="Times New Roman" w:cs="Times New Roman"/>
          <w:sz w:val="24"/>
          <w:szCs w:val="24"/>
        </w:rPr>
        <w:t xml:space="preserve"> may be attributed to its genetic potential, higher carbohydrate accumulation, and favorable source–sink relationship. Similar findings were reported by Dhillon </w:t>
      </w:r>
      <w:r w:rsidRPr="004E0524">
        <w:rPr>
          <w:rFonts w:ascii="Times New Roman" w:eastAsia="Times New Roman" w:hAnsi="Times New Roman" w:cs="Times New Roman"/>
          <w:i/>
          <w:iCs/>
          <w:sz w:val="24"/>
          <w:szCs w:val="24"/>
        </w:rPr>
        <w:t>et al.</w:t>
      </w:r>
      <w:r w:rsidRPr="004E0524">
        <w:rPr>
          <w:rFonts w:ascii="Times New Roman" w:eastAsia="Times New Roman" w:hAnsi="Times New Roman" w:cs="Times New Roman"/>
          <w:sz w:val="24"/>
          <w:szCs w:val="24"/>
        </w:rPr>
        <w:t xml:space="preserve"> (2017) and Singh </w:t>
      </w:r>
      <w:r w:rsidR="004E0524" w:rsidRPr="004E0524">
        <w:rPr>
          <w:rFonts w:ascii="Times New Roman" w:eastAsia="Times New Roman" w:hAnsi="Times New Roman" w:cs="Times New Roman"/>
          <w:i/>
          <w:iCs/>
          <w:sz w:val="24"/>
          <w:szCs w:val="24"/>
        </w:rPr>
        <w:t>et al.</w:t>
      </w:r>
      <w:r w:rsidR="004E0524" w:rsidRPr="004E0524">
        <w:rPr>
          <w:rFonts w:ascii="Times New Roman" w:eastAsia="Times New Roman" w:hAnsi="Times New Roman" w:cs="Times New Roman"/>
          <w:sz w:val="24"/>
          <w:szCs w:val="24"/>
        </w:rPr>
        <w:t xml:space="preserve"> </w:t>
      </w:r>
      <w:r w:rsidR="004E0524">
        <w:rPr>
          <w:rFonts w:ascii="Times New Roman" w:eastAsia="Times New Roman" w:hAnsi="Times New Roman" w:cs="Times New Roman"/>
          <w:sz w:val="24"/>
          <w:szCs w:val="24"/>
        </w:rPr>
        <w:t>(2021</w:t>
      </w:r>
      <w:r w:rsidRPr="004E0524">
        <w:rPr>
          <w:rFonts w:ascii="Times New Roman" w:eastAsia="Times New Roman" w:hAnsi="Times New Roman" w:cs="Times New Roman"/>
          <w:sz w:val="24"/>
          <w:szCs w:val="24"/>
        </w:rPr>
        <w:t xml:space="preserve">), who noted that </w:t>
      </w:r>
      <w:proofErr w:type="spellStart"/>
      <w:r w:rsidRPr="004E0524">
        <w:rPr>
          <w:rFonts w:ascii="Times New Roman" w:eastAsia="Times New Roman" w:hAnsi="Times New Roman" w:cs="Times New Roman"/>
          <w:sz w:val="24"/>
          <w:szCs w:val="24"/>
        </w:rPr>
        <w:t>Kinnow</w:t>
      </w:r>
      <w:proofErr w:type="spellEnd"/>
      <w:r w:rsidRPr="004E0524">
        <w:rPr>
          <w:rFonts w:ascii="Times New Roman" w:eastAsia="Times New Roman" w:hAnsi="Times New Roman" w:cs="Times New Roman"/>
          <w:sz w:val="24"/>
          <w:szCs w:val="24"/>
        </w:rPr>
        <w:t xml:space="preserve"> consistently exhibits high TSS among commercial mandarins. </w:t>
      </w:r>
      <w:r w:rsidRPr="00B02BCE">
        <w:rPr>
          <w:rFonts w:ascii="Times New Roman" w:eastAsia="Times New Roman" w:hAnsi="Times New Roman" w:cs="Times New Roman"/>
          <w:sz w:val="24"/>
          <w:szCs w:val="24"/>
        </w:rPr>
        <w:t xml:space="preserve">The </w:t>
      </w:r>
      <w:proofErr w:type="spellStart"/>
      <w:r w:rsidRPr="00B02BCE">
        <w:rPr>
          <w:rFonts w:ascii="Times New Roman" w:eastAsia="Times New Roman" w:hAnsi="Times New Roman" w:cs="Times New Roman"/>
          <w:sz w:val="24"/>
          <w:szCs w:val="24"/>
        </w:rPr>
        <w:t>TSS:acidity</w:t>
      </w:r>
      <w:proofErr w:type="spellEnd"/>
      <w:r w:rsidRPr="00B02BCE">
        <w:rPr>
          <w:rFonts w:ascii="Times New Roman" w:eastAsia="Times New Roman" w:hAnsi="Times New Roman" w:cs="Times New Roman"/>
          <w:sz w:val="24"/>
          <w:szCs w:val="24"/>
        </w:rPr>
        <w:t xml:space="preserve"> ratio, a key indicator of flavor balance, showed considerable diversity across the genotypes, ranging from 0.93 (</w:t>
      </w:r>
      <w:proofErr w:type="spellStart"/>
      <w:r w:rsidRPr="00B02BCE">
        <w:rPr>
          <w:rFonts w:ascii="Times New Roman" w:eastAsia="Times New Roman" w:hAnsi="Times New Roman" w:cs="Times New Roman"/>
          <w:sz w:val="24"/>
          <w:szCs w:val="24"/>
        </w:rPr>
        <w:t>Kinnow</w:t>
      </w:r>
      <w:proofErr w:type="spellEnd"/>
      <w:r w:rsidRPr="00B02BCE">
        <w:rPr>
          <w:rFonts w:ascii="Times New Roman" w:eastAsia="Times New Roman" w:hAnsi="Times New Roman" w:cs="Times New Roman"/>
          <w:sz w:val="24"/>
          <w:szCs w:val="24"/>
        </w:rPr>
        <w:t xml:space="preserve"> mandarin) to 1.33 (Darjeeling mandarin).</w:t>
      </w:r>
      <w:r w:rsidR="00B02BCE">
        <w:rPr>
          <w:rFonts w:ascii="Times New Roman" w:eastAsia="Times New Roman" w:hAnsi="Times New Roman" w:cs="Times New Roman"/>
          <w:sz w:val="24"/>
          <w:szCs w:val="24"/>
        </w:rPr>
        <w:t xml:space="preserve"> </w:t>
      </w:r>
      <w:r w:rsidRPr="00B02BCE">
        <w:rPr>
          <w:rFonts w:ascii="Times New Roman" w:eastAsia="Times New Roman" w:hAnsi="Times New Roman" w:cs="Times New Roman"/>
          <w:sz w:val="24"/>
          <w:szCs w:val="24"/>
        </w:rPr>
        <w:t xml:space="preserve">Interestingly, although </w:t>
      </w:r>
      <w:proofErr w:type="spellStart"/>
      <w:r w:rsidRPr="00B02BCE">
        <w:rPr>
          <w:rFonts w:ascii="Times New Roman" w:eastAsia="Times New Roman" w:hAnsi="Times New Roman" w:cs="Times New Roman"/>
          <w:sz w:val="24"/>
          <w:szCs w:val="24"/>
        </w:rPr>
        <w:t>Kinnow</w:t>
      </w:r>
      <w:proofErr w:type="spellEnd"/>
      <w:r w:rsidRPr="00B02BCE">
        <w:rPr>
          <w:rFonts w:ascii="Times New Roman" w:eastAsia="Times New Roman" w:hAnsi="Times New Roman" w:cs="Times New Roman"/>
          <w:sz w:val="24"/>
          <w:szCs w:val="24"/>
        </w:rPr>
        <w:t xml:space="preserve"> had the highest TSS, it exhibited the lowest </w:t>
      </w:r>
      <w:proofErr w:type="spellStart"/>
      <w:r w:rsidRPr="00B02BCE">
        <w:rPr>
          <w:rFonts w:ascii="Times New Roman" w:eastAsia="Times New Roman" w:hAnsi="Times New Roman" w:cs="Times New Roman"/>
          <w:sz w:val="24"/>
          <w:szCs w:val="24"/>
        </w:rPr>
        <w:t>TSS:acidity</w:t>
      </w:r>
      <w:proofErr w:type="spellEnd"/>
      <w:r w:rsidRPr="00B02BCE">
        <w:rPr>
          <w:rFonts w:ascii="Times New Roman" w:eastAsia="Times New Roman" w:hAnsi="Times New Roman" w:cs="Times New Roman"/>
          <w:sz w:val="24"/>
          <w:szCs w:val="24"/>
        </w:rPr>
        <w:t xml:space="preserve"> ratio (0.93) because of proportionally higher acidity—a known characteristic of </w:t>
      </w:r>
      <w:proofErr w:type="spellStart"/>
      <w:r w:rsidRPr="00B02BCE">
        <w:rPr>
          <w:rFonts w:ascii="Times New Roman" w:eastAsia="Times New Roman" w:hAnsi="Times New Roman" w:cs="Times New Roman"/>
          <w:sz w:val="24"/>
          <w:szCs w:val="24"/>
        </w:rPr>
        <w:t>Kinnow</w:t>
      </w:r>
      <w:proofErr w:type="spellEnd"/>
      <w:r w:rsidRPr="00B02BCE">
        <w:rPr>
          <w:rFonts w:ascii="Times New Roman" w:eastAsia="Times New Roman" w:hAnsi="Times New Roman" w:cs="Times New Roman"/>
          <w:sz w:val="24"/>
          <w:szCs w:val="24"/>
        </w:rPr>
        <w:t xml:space="preserve"> fruit at full maturity. This results in a tangier taste despite its sweetness. Similar observations were docu</w:t>
      </w:r>
      <w:r w:rsidR="00B02BCE">
        <w:rPr>
          <w:rFonts w:ascii="Times New Roman" w:eastAsia="Times New Roman" w:hAnsi="Times New Roman" w:cs="Times New Roman"/>
          <w:sz w:val="24"/>
          <w:szCs w:val="24"/>
        </w:rPr>
        <w:t xml:space="preserve">mented by </w:t>
      </w:r>
      <w:proofErr w:type="spellStart"/>
      <w:r w:rsidR="00B02BCE">
        <w:rPr>
          <w:rFonts w:ascii="Times New Roman" w:eastAsia="Times New Roman" w:hAnsi="Times New Roman" w:cs="Times New Roman"/>
          <w:sz w:val="24"/>
          <w:szCs w:val="24"/>
        </w:rPr>
        <w:t>Rattanpal</w:t>
      </w:r>
      <w:proofErr w:type="spellEnd"/>
      <w:r w:rsidR="00B02BCE">
        <w:rPr>
          <w:rFonts w:ascii="Times New Roman" w:eastAsia="Times New Roman" w:hAnsi="Times New Roman" w:cs="Times New Roman"/>
          <w:sz w:val="24"/>
          <w:szCs w:val="24"/>
        </w:rPr>
        <w:t xml:space="preserve"> </w:t>
      </w:r>
      <w:r w:rsidR="00B02BCE" w:rsidRPr="008250E7">
        <w:rPr>
          <w:rFonts w:ascii="Times New Roman" w:eastAsia="Times New Roman" w:hAnsi="Times New Roman" w:cs="Times New Roman"/>
          <w:i/>
          <w:iCs/>
          <w:sz w:val="24"/>
          <w:szCs w:val="24"/>
        </w:rPr>
        <w:t>et al.</w:t>
      </w:r>
      <w:r w:rsidR="00B02BCE">
        <w:rPr>
          <w:rFonts w:ascii="Times New Roman" w:eastAsia="Times New Roman" w:hAnsi="Times New Roman" w:cs="Times New Roman"/>
          <w:sz w:val="24"/>
          <w:szCs w:val="24"/>
        </w:rPr>
        <w:t xml:space="preserve"> (2018</w:t>
      </w:r>
      <w:r w:rsidRPr="00B02BCE">
        <w:rPr>
          <w:rFonts w:ascii="Times New Roman" w:eastAsia="Times New Roman" w:hAnsi="Times New Roman" w:cs="Times New Roman"/>
          <w:sz w:val="24"/>
          <w:szCs w:val="24"/>
        </w:rPr>
        <w:t xml:space="preserve">), indicating that </w:t>
      </w:r>
      <w:proofErr w:type="spellStart"/>
      <w:r w:rsidRPr="00B02BCE">
        <w:rPr>
          <w:rFonts w:ascii="Times New Roman" w:eastAsia="Times New Roman" w:hAnsi="Times New Roman" w:cs="Times New Roman"/>
          <w:sz w:val="24"/>
          <w:szCs w:val="24"/>
        </w:rPr>
        <w:t>Kinnow's</w:t>
      </w:r>
      <w:proofErr w:type="spellEnd"/>
      <w:r w:rsidRPr="00B02BCE">
        <w:rPr>
          <w:rFonts w:ascii="Times New Roman" w:eastAsia="Times New Roman" w:hAnsi="Times New Roman" w:cs="Times New Roman"/>
          <w:sz w:val="24"/>
          <w:szCs w:val="24"/>
        </w:rPr>
        <w:t xml:space="preserve"> strong acidity often depresses its sweetness-to-acid balance.</w:t>
      </w:r>
    </w:p>
    <w:p w:rsidR="004A2459" w:rsidRDefault="004A2459" w:rsidP="00544FB2">
      <w:pPr>
        <w:pStyle w:val="NormalWeb"/>
        <w:spacing w:before="0" w:beforeAutospacing="0" w:after="0" w:afterAutospacing="0"/>
        <w:ind w:firstLine="720"/>
        <w:jc w:val="both"/>
      </w:pPr>
      <w:r>
        <w:t xml:space="preserve">Heritability for both TSS and </w:t>
      </w:r>
      <w:proofErr w:type="spellStart"/>
      <w:r>
        <w:t>TSS:Acidity</w:t>
      </w:r>
      <w:proofErr w:type="spellEnd"/>
      <w:r>
        <w:t xml:space="preserve"> ratio was extremely high (</w:t>
      </w:r>
      <w:r w:rsidRPr="0038116A">
        <w:rPr>
          <w:rStyle w:val="Strong"/>
          <w:b w:val="0"/>
          <w:bCs w:val="0"/>
        </w:rPr>
        <w:t>0.980</w:t>
      </w:r>
      <w:r>
        <w:t>), with high GCV (22.84%) and PCV (23.08%), indicating strong genetic control (Table 2). Similar high heritability for TSS in mandarins has been reported in studies from South India, reinforcing the effectiveness of selection for sweetness-related attributes.</w:t>
      </w:r>
    </w:p>
    <w:p w:rsidR="009335CC" w:rsidRDefault="009335CC" w:rsidP="00544FB2">
      <w:pPr>
        <w:pStyle w:val="NormalWeb"/>
        <w:spacing w:before="0" w:beforeAutospacing="0" w:after="0" w:afterAutospacing="0"/>
        <w:ind w:firstLine="360"/>
        <w:jc w:val="both"/>
      </w:pPr>
      <w:r>
        <w:lastRenderedPageBreak/>
        <w:t>The pooled four-year data revealed significant differences in stem girth among the seven mandarin (</w:t>
      </w:r>
      <w:r w:rsidRPr="009C6D43">
        <w:rPr>
          <w:i/>
          <w:iCs/>
        </w:rPr>
        <w:t>Citrus reticulata</w:t>
      </w:r>
      <w:r>
        <w:t xml:space="preserve"> Blanco) genotypes evaluated on Rough Lemon rootstock under the semi-arid conditions of </w:t>
      </w:r>
      <w:proofErr w:type="spellStart"/>
      <w:r>
        <w:t>Shriganganagar</w:t>
      </w:r>
      <w:proofErr w:type="spellEnd"/>
      <w:r>
        <w:t xml:space="preserve">, Rajasthan. Stem girth values ranged from </w:t>
      </w:r>
      <w:r w:rsidRPr="009C6D43">
        <w:rPr>
          <w:rStyle w:val="Strong"/>
          <w:b w:val="0"/>
          <w:bCs w:val="0"/>
        </w:rPr>
        <w:t>24.14 cm</w:t>
      </w:r>
      <w:r>
        <w:t xml:space="preserve"> in Nagpur Seedless to </w:t>
      </w:r>
      <w:r w:rsidRPr="009C6D43">
        <w:rPr>
          <w:rStyle w:val="Strong"/>
          <w:b w:val="0"/>
          <w:bCs w:val="0"/>
        </w:rPr>
        <w:t>37.89 cm</w:t>
      </w:r>
      <w:r>
        <w:t xml:space="preserve"> in </w:t>
      </w:r>
      <w:proofErr w:type="spellStart"/>
      <w:r>
        <w:t>Kinnow</w:t>
      </w:r>
      <w:proofErr w:type="spellEnd"/>
      <w:r>
        <w:t xml:space="preserve"> Mandarin, indicating considerable genetic variability for this vegetative growth parameter.</w:t>
      </w:r>
      <w:r w:rsidR="009C6D43">
        <w:t xml:space="preserve"> </w:t>
      </w:r>
      <w:proofErr w:type="spellStart"/>
      <w:r>
        <w:t>Kinnow</w:t>
      </w:r>
      <w:proofErr w:type="spellEnd"/>
      <w:r>
        <w:t xml:space="preserve"> Mandarin </w:t>
      </w:r>
      <w:r w:rsidRPr="009C6D43">
        <w:rPr>
          <w:b/>
          <w:bCs/>
        </w:rPr>
        <w:t>(</w:t>
      </w:r>
      <w:r w:rsidRPr="009C6D43">
        <w:rPr>
          <w:rStyle w:val="Strong"/>
          <w:b w:val="0"/>
          <w:bCs w:val="0"/>
        </w:rPr>
        <w:t>37.89 cm</w:t>
      </w:r>
      <w:r w:rsidRPr="009C6D43">
        <w:rPr>
          <w:b/>
          <w:bCs/>
        </w:rPr>
        <w:t>)</w:t>
      </w:r>
      <w:r>
        <w:t xml:space="preserve"> exhibited the </w:t>
      </w:r>
      <w:r w:rsidRPr="009C6D43">
        <w:rPr>
          <w:rStyle w:val="Strong"/>
          <w:b w:val="0"/>
          <w:bCs w:val="0"/>
        </w:rPr>
        <w:t>maximum stem girth</w:t>
      </w:r>
      <w:r w:rsidRPr="009C6D43">
        <w:rPr>
          <w:b/>
          <w:bCs/>
        </w:rPr>
        <w:t>,</w:t>
      </w:r>
      <w:r>
        <w:t xml:space="preserve"> closely followed by </w:t>
      </w:r>
      <w:proofErr w:type="spellStart"/>
      <w:r>
        <w:t>Mudkhed</w:t>
      </w:r>
      <w:proofErr w:type="spellEnd"/>
      <w:r>
        <w:t xml:space="preserve"> Seedless </w:t>
      </w:r>
      <w:r w:rsidRPr="009C6D43">
        <w:rPr>
          <w:b/>
          <w:bCs/>
        </w:rPr>
        <w:t>(</w:t>
      </w:r>
      <w:r w:rsidRPr="009C6D43">
        <w:rPr>
          <w:rStyle w:val="Strong"/>
          <w:b w:val="0"/>
          <w:bCs w:val="0"/>
        </w:rPr>
        <w:t>36.88 cm</w:t>
      </w:r>
      <w:r w:rsidRPr="009C6D43">
        <w:rPr>
          <w:b/>
          <w:bCs/>
        </w:rPr>
        <w:t>)</w:t>
      </w:r>
      <w:r w:rsidR="00394A8C">
        <w:rPr>
          <w:b/>
          <w:bCs/>
        </w:rPr>
        <w:t>.</w:t>
      </w:r>
      <w:r>
        <w:t xml:space="preserve"> The superior stem girth observed in </w:t>
      </w:r>
      <w:proofErr w:type="spellStart"/>
      <w:r>
        <w:t>Kinnow</w:t>
      </w:r>
      <w:proofErr w:type="spellEnd"/>
      <w:r>
        <w:t xml:space="preserve"> Mandarin and </w:t>
      </w:r>
      <w:proofErr w:type="spellStart"/>
      <w:r>
        <w:t>Mudkhed</w:t>
      </w:r>
      <w:proofErr w:type="spellEnd"/>
      <w:r>
        <w:t xml:space="preserve"> Seedless suggests a strong inherent </w:t>
      </w:r>
      <w:proofErr w:type="spellStart"/>
      <w:r>
        <w:t>vigour</w:t>
      </w:r>
      <w:proofErr w:type="spellEnd"/>
      <w:r>
        <w:t xml:space="preserve"> and better adaptability under the given </w:t>
      </w:r>
      <w:proofErr w:type="spellStart"/>
      <w:r>
        <w:t>edapho</w:t>
      </w:r>
      <w:proofErr w:type="spellEnd"/>
      <w:r>
        <w:t xml:space="preserve">-climatic conditions. Larger trunk girth is often correlated with enhanced translocation efficiency, nutrient absorption, canopy development, and ultimately higher fruiting potential. Similar observations have been reported in vigorous citrus cultivars by </w:t>
      </w:r>
      <w:r w:rsidR="009C6D43" w:rsidRPr="009C6D43">
        <w:rPr>
          <w:rStyle w:val="Strong"/>
          <w:b w:val="0"/>
          <w:bCs w:val="0"/>
        </w:rPr>
        <w:t xml:space="preserve">Sharma </w:t>
      </w:r>
      <w:r w:rsidR="009C6D43" w:rsidRPr="009C6D43">
        <w:rPr>
          <w:rStyle w:val="Strong"/>
          <w:b w:val="0"/>
          <w:bCs w:val="0"/>
          <w:i/>
          <w:iCs/>
        </w:rPr>
        <w:t>et al.</w:t>
      </w:r>
      <w:r w:rsidR="009C6D43" w:rsidRPr="009C6D43">
        <w:rPr>
          <w:rStyle w:val="Strong"/>
          <w:b w:val="0"/>
          <w:bCs w:val="0"/>
        </w:rPr>
        <w:t xml:space="preserve"> (2015</w:t>
      </w:r>
      <w:r w:rsidRPr="009C6D43">
        <w:rPr>
          <w:rStyle w:val="Strong"/>
          <w:b w:val="0"/>
          <w:bCs w:val="0"/>
        </w:rPr>
        <w:t>)</w:t>
      </w:r>
      <w:r w:rsidRPr="009C6D43">
        <w:rPr>
          <w:b/>
          <w:bCs/>
        </w:rPr>
        <w:t>,</w:t>
      </w:r>
      <w:r>
        <w:t xml:space="preserve"> who noted that trunk girth serves as a robust indicator of vegetative </w:t>
      </w:r>
      <w:proofErr w:type="spellStart"/>
      <w:r>
        <w:t>vigour</w:t>
      </w:r>
      <w:proofErr w:type="spellEnd"/>
      <w:r>
        <w:t xml:space="preserve"> and productivity.</w:t>
      </w:r>
      <w:r w:rsidR="009C6D43">
        <w:t xml:space="preserve"> </w:t>
      </w:r>
      <w:r>
        <w:t xml:space="preserve">Since all genotypes were grafted on Rough Lemon, the observed variation can be attributed primarily to genetic differences rather than rootstock effects. Rough Lemon is known to induce vigorous growth across citrus types, as also highlighted by </w:t>
      </w:r>
      <w:r w:rsidRPr="009C6D43">
        <w:rPr>
          <w:rStyle w:val="Strong"/>
          <w:b w:val="0"/>
          <w:bCs w:val="0"/>
        </w:rPr>
        <w:t>Castle (2010)</w:t>
      </w:r>
      <w:r w:rsidRPr="009C6D43">
        <w:rPr>
          <w:b/>
          <w:bCs/>
        </w:rPr>
        <w:t>.</w:t>
      </w:r>
      <w:r>
        <w:t xml:space="preserve"> Therefore, the significant variation in stem girth strongly supports the presence of substantial genetic diversity among the tested mandarin genotypes.</w:t>
      </w:r>
    </w:p>
    <w:p w:rsidR="004A2459" w:rsidRDefault="004A2459" w:rsidP="00544FB2">
      <w:pPr>
        <w:pStyle w:val="NormalWeb"/>
        <w:spacing w:before="0" w:beforeAutospacing="0" w:after="0" w:afterAutospacing="0"/>
        <w:ind w:firstLine="720"/>
        <w:jc w:val="both"/>
      </w:pPr>
      <w:r>
        <w:t xml:space="preserve">Phenotypic correlation analysis (Table 3) revealed strong positive associations among yield components. Fruit weight had a </w:t>
      </w:r>
      <w:r w:rsidRPr="0038116A">
        <w:rPr>
          <w:rStyle w:val="Strong"/>
          <w:b w:val="0"/>
          <w:bCs w:val="0"/>
        </w:rPr>
        <w:t>very high correlation with fruit yield (r = 0.983)</w:t>
      </w:r>
      <w:r w:rsidRPr="0038116A">
        <w:rPr>
          <w:b/>
          <w:bCs/>
        </w:rPr>
        <w:t>,</w:t>
      </w:r>
      <w:r>
        <w:t xml:space="preserve"> suggesting that heavier fruits directly contribute to higher yield per plant. This positive linkage is supported by earlier studies indicating that fruit weight is one of the strongest contributors to citrus productivity (</w:t>
      </w:r>
      <w:r w:rsidR="001D29D2">
        <w:t xml:space="preserve">Kumar </w:t>
      </w:r>
      <w:r w:rsidR="001D29D2" w:rsidRPr="00962A5A">
        <w:rPr>
          <w:i/>
          <w:iCs/>
        </w:rPr>
        <w:t>et al.,</w:t>
      </w:r>
      <w:r w:rsidR="001D29D2" w:rsidRPr="003A0669">
        <w:t xml:space="preserve"> </w:t>
      </w:r>
      <w:r w:rsidR="001D29D2">
        <w:t>2015</w:t>
      </w:r>
      <w:r>
        <w:t>).</w:t>
      </w:r>
    </w:p>
    <w:p w:rsidR="004A2459" w:rsidRDefault="004A2459" w:rsidP="00544FB2">
      <w:pPr>
        <w:pStyle w:val="NormalWeb"/>
        <w:spacing w:before="0" w:beforeAutospacing="0" w:after="0" w:afterAutospacing="0"/>
        <w:ind w:firstLine="720"/>
        <w:jc w:val="both"/>
      </w:pPr>
      <w:r>
        <w:t xml:space="preserve">Fruit quality traits (TSS and </w:t>
      </w:r>
      <w:proofErr w:type="spellStart"/>
      <w:r>
        <w:t>TSS:Acidity</w:t>
      </w:r>
      <w:proofErr w:type="spellEnd"/>
      <w:r>
        <w:t xml:space="preserve"> ratio) were also strongly and positively correlated with fruit weight and fruit yield (r = 0.857–0.921). This indicates that high-yielding cultivars also tend to exhibit superior sweetness, though </w:t>
      </w:r>
      <w:proofErr w:type="spellStart"/>
      <w:r>
        <w:t>Kinnow</w:t>
      </w:r>
      <w:proofErr w:type="spellEnd"/>
      <w:r>
        <w:t xml:space="preserve"> presents a unique case of high TSS but lower maturity index due to higher acidity.</w:t>
      </w:r>
      <w:r w:rsidR="001D29D2">
        <w:t xml:space="preserve"> </w:t>
      </w:r>
      <w:r>
        <w:t xml:space="preserve">Stem girth showed moderate correlations with fruit weight (r = 0.446) and yield (r = 0.455), implying that trunk thickness influences overall plant </w:t>
      </w:r>
      <w:proofErr w:type="spellStart"/>
      <w:r>
        <w:t>vigour</w:t>
      </w:r>
      <w:proofErr w:type="spellEnd"/>
      <w:r>
        <w:t xml:space="preserve"> but is not the sole determinant of yield. Plant height also displayed moderate correlation with yield attributes (r = 0.498–0.555), consistent with citrus growth–yield relationships reported by </w:t>
      </w:r>
      <w:r w:rsidR="001D29D2">
        <w:t xml:space="preserve">(Singh </w:t>
      </w:r>
      <w:r w:rsidR="001D29D2" w:rsidRPr="00962A5A">
        <w:rPr>
          <w:i/>
          <w:iCs/>
        </w:rPr>
        <w:t>et al.,</w:t>
      </w:r>
      <w:r w:rsidR="001D29D2" w:rsidRPr="003A0669">
        <w:t xml:space="preserve"> </w:t>
      </w:r>
      <w:r w:rsidR="001D29D2">
        <w:t>2017</w:t>
      </w:r>
      <w:r>
        <w:t>).</w:t>
      </w:r>
    </w:p>
    <w:p w:rsidR="009335CC" w:rsidRDefault="004A2459" w:rsidP="001D29D2">
      <w:pPr>
        <w:pStyle w:val="NormalWeb"/>
        <w:spacing w:before="0" w:beforeAutospacing="0" w:after="0" w:afterAutospacing="0"/>
        <w:ind w:firstLine="720"/>
        <w:jc w:val="both"/>
      </w:pPr>
      <w:r>
        <w:t xml:space="preserve">The high correlation among TSS, </w:t>
      </w:r>
      <w:proofErr w:type="spellStart"/>
      <w:r>
        <w:t>TSS:Acidity</w:t>
      </w:r>
      <w:proofErr w:type="spellEnd"/>
      <w:r>
        <w:t xml:space="preserve"> ratio, and yield traits suggests possible pleiotropy or tight linkage between sugar accumulation and fruit development pathways, a phenomenon previously documented in citrus genetics (</w:t>
      </w:r>
      <w:proofErr w:type="spellStart"/>
      <w:r>
        <w:t>Ladaniya</w:t>
      </w:r>
      <w:proofErr w:type="spellEnd"/>
      <w:r>
        <w:t>, 2008).</w:t>
      </w:r>
      <w:r w:rsidR="001D29D2">
        <w:t xml:space="preserve"> </w:t>
      </w:r>
      <w:r w:rsidR="009335CC">
        <w:t xml:space="preserve">The semi-arid climate of </w:t>
      </w:r>
      <w:proofErr w:type="spellStart"/>
      <w:r w:rsidR="009335CC">
        <w:t>Shriganganagar</w:t>
      </w:r>
      <w:proofErr w:type="spellEnd"/>
      <w:r w:rsidR="009335CC">
        <w:t>, characterized by hot summers and high evaporative demand, can influence trunk thickening through effects on water availability and biomass accumulation. The genotypes with higher stem girth likely possess superior physiological resilience and resource-use efficiency, which may contribute to their better field performance.</w:t>
      </w:r>
      <w:r w:rsidR="009C6D43">
        <w:t xml:space="preserve"> </w:t>
      </w:r>
      <w:r w:rsidR="009335CC">
        <w:t xml:space="preserve">Stem girth is a critical vegetative trait in citrus, often positively associated with </w:t>
      </w:r>
      <w:proofErr w:type="spellStart"/>
      <w:r w:rsidR="009335CC">
        <w:t>vigour</w:t>
      </w:r>
      <w:proofErr w:type="spellEnd"/>
      <w:r w:rsidR="009335CC">
        <w:t xml:space="preserve">, canopy size, and yield potential. In this study, genotypes that exhibited superior stem girth—particularly </w:t>
      </w:r>
      <w:proofErr w:type="spellStart"/>
      <w:r w:rsidR="009335CC" w:rsidRPr="009C6D43">
        <w:rPr>
          <w:rStyle w:val="Strong"/>
          <w:b w:val="0"/>
          <w:bCs w:val="0"/>
        </w:rPr>
        <w:t>Kinnow</w:t>
      </w:r>
      <w:proofErr w:type="spellEnd"/>
      <w:r w:rsidR="009335CC" w:rsidRPr="009C6D43">
        <w:rPr>
          <w:rStyle w:val="Strong"/>
          <w:b w:val="0"/>
          <w:bCs w:val="0"/>
        </w:rPr>
        <w:t xml:space="preserve"> Mandarin</w:t>
      </w:r>
      <w:r w:rsidR="009335CC" w:rsidRPr="009C6D43">
        <w:rPr>
          <w:b/>
          <w:bCs/>
        </w:rPr>
        <w:t xml:space="preserve">, </w:t>
      </w:r>
      <w:proofErr w:type="spellStart"/>
      <w:r w:rsidR="009335CC" w:rsidRPr="009C6D43">
        <w:rPr>
          <w:rStyle w:val="Strong"/>
          <w:b w:val="0"/>
          <w:bCs w:val="0"/>
        </w:rPr>
        <w:t>Mudkhed</w:t>
      </w:r>
      <w:proofErr w:type="spellEnd"/>
      <w:r w:rsidR="009335CC" w:rsidRPr="009C6D43">
        <w:rPr>
          <w:rStyle w:val="Strong"/>
          <w:b w:val="0"/>
          <w:bCs w:val="0"/>
        </w:rPr>
        <w:t xml:space="preserve"> Seedless</w:t>
      </w:r>
      <w:r w:rsidR="009335CC" w:rsidRPr="009C6D43">
        <w:rPr>
          <w:b/>
          <w:bCs/>
        </w:rPr>
        <w:t xml:space="preserve">, </w:t>
      </w:r>
      <w:r w:rsidR="009335CC" w:rsidRPr="009C6D43">
        <w:t>and</w:t>
      </w:r>
      <w:r w:rsidR="009335CC" w:rsidRPr="009C6D43">
        <w:rPr>
          <w:b/>
          <w:bCs/>
        </w:rPr>
        <w:t xml:space="preserve"> </w:t>
      </w:r>
      <w:r w:rsidR="009335CC" w:rsidRPr="009C6D43">
        <w:rPr>
          <w:rStyle w:val="Strong"/>
          <w:b w:val="0"/>
          <w:bCs w:val="0"/>
        </w:rPr>
        <w:t>Nagpur Mandarin</w:t>
      </w:r>
      <w:r w:rsidR="009335CC" w:rsidRPr="009C6D43">
        <w:rPr>
          <w:b/>
          <w:bCs/>
        </w:rPr>
        <w:t>—</w:t>
      </w:r>
      <w:r w:rsidR="009335CC">
        <w:t xml:space="preserve">also tended to have comparatively higher values for fruit yield and canopy volume (as seen in the dataset), indicating a possible correlation between </w:t>
      </w:r>
      <w:proofErr w:type="spellStart"/>
      <w:r w:rsidR="009335CC">
        <w:t>vigour</w:t>
      </w:r>
      <w:proofErr w:type="spellEnd"/>
      <w:r w:rsidR="009335CC">
        <w:t xml:space="preserve"> and productivity.</w:t>
      </w:r>
    </w:p>
    <w:p w:rsidR="001D29D2" w:rsidRPr="001D29D2" w:rsidRDefault="001D29D2" w:rsidP="001D29D2">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Based on pooled multi-year data, </w:t>
      </w:r>
      <w:proofErr w:type="spellStart"/>
      <w:r>
        <w:rPr>
          <w:rFonts w:ascii="Times New Roman" w:hAnsi="Times New Roman" w:cs="Times New Roman"/>
          <w:sz w:val="24"/>
          <w:szCs w:val="24"/>
        </w:rPr>
        <w:t>k</w:t>
      </w:r>
      <w:r w:rsidRPr="001D29D2">
        <w:rPr>
          <w:rFonts w:ascii="Times New Roman" w:hAnsi="Times New Roman" w:cs="Times New Roman"/>
          <w:sz w:val="24"/>
          <w:szCs w:val="24"/>
        </w:rPr>
        <w:t>innow</w:t>
      </w:r>
      <w:proofErr w:type="spellEnd"/>
      <w:r w:rsidRPr="001D29D2">
        <w:rPr>
          <w:rFonts w:ascii="Times New Roman" w:hAnsi="Times New Roman" w:cs="Times New Roman"/>
          <w:sz w:val="24"/>
          <w:szCs w:val="24"/>
        </w:rPr>
        <w:t xml:space="preserve"> Mandarin was the best-performing genotype across growth, yield, and quality traits.</w:t>
      </w:r>
      <w:r>
        <w:rPr>
          <w:rFonts w:ascii="Times New Roman" w:hAnsi="Times New Roman" w:cs="Times New Roman"/>
          <w:sz w:val="24"/>
          <w:szCs w:val="24"/>
        </w:rPr>
        <w:t xml:space="preserve"> </w:t>
      </w:r>
      <w:proofErr w:type="spellStart"/>
      <w:r w:rsidRPr="001D29D2">
        <w:rPr>
          <w:rFonts w:ascii="Times New Roman" w:hAnsi="Times New Roman" w:cs="Times New Roman"/>
          <w:sz w:val="24"/>
          <w:szCs w:val="24"/>
        </w:rPr>
        <w:t>Mudkhed</w:t>
      </w:r>
      <w:proofErr w:type="spellEnd"/>
      <w:r w:rsidRPr="001D29D2">
        <w:rPr>
          <w:rFonts w:ascii="Times New Roman" w:hAnsi="Times New Roman" w:cs="Times New Roman"/>
          <w:sz w:val="24"/>
          <w:szCs w:val="24"/>
        </w:rPr>
        <w:t xml:space="preserve"> Seedless and Coorg Mandarin emerged as promising high-yielding and good-quality cultivars.</w:t>
      </w:r>
      <w:r w:rsidRPr="001D29D2">
        <w:rPr>
          <w:rFonts w:ascii="Times New Roman" w:hAnsi="Times New Roman" w:cs="Times New Roman"/>
          <w:sz w:val="24"/>
          <w:szCs w:val="24"/>
        </w:rPr>
        <w:tab/>
        <w:t>Khasi and Darjeeling Mandarin, despite smaller fruit size, exhibited high maturity index values and may be suitable for table/juicing purposes in niche markets.</w:t>
      </w:r>
      <w:r>
        <w:rPr>
          <w:rFonts w:ascii="Times New Roman" w:hAnsi="Times New Roman" w:cs="Times New Roman"/>
          <w:sz w:val="24"/>
          <w:szCs w:val="24"/>
        </w:rPr>
        <w:t xml:space="preserve"> </w:t>
      </w:r>
      <w:r w:rsidRPr="001D29D2">
        <w:rPr>
          <w:rFonts w:ascii="Times New Roman" w:hAnsi="Times New Roman" w:cs="Times New Roman"/>
          <w:sz w:val="24"/>
          <w:szCs w:val="24"/>
        </w:rPr>
        <w:t>Nagpur Seedless, though less vigorous, maintained stable yield performance and desirable fruit characteristics.</w:t>
      </w:r>
    </w:p>
    <w:p w:rsidR="00F53F57" w:rsidRDefault="001D29D2" w:rsidP="001D29D2">
      <w:pPr>
        <w:spacing w:after="0"/>
        <w:ind w:firstLine="720"/>
        <w:jc w:val="both"/>
        <w:rPr>
          <w:rFonts w:ascii="Times New Roman" w:hAnsi="Times New Roman" w:cs="Times New Roman"/>
          <w:sz w:val="24"/>
          <w:szCs w:val="24"/>
        </w:rPr>
      </w:pPr>
      <w:r w:rsidRPr="001D29D2">
        <w:rPr>
          <w:rFonts w:ascii="Times New Roman" w:hAnsi="Times New Roman" w:cs="Times New Roman"/>
          <w:sz w:val="24"/>
          <w:szCs w:val="24"/>
        </w:rPr>
        <w:t xml:space="preserve">The results clearly indicate substantial genetic diversity among mandarin genotypes grown on Rough Lemon rootstock under arid drip-irrigated conditions. The high heritability values suggest that </w:t>
      </w:r>
      <w:r w:rsidRPr="001D29D2">
        <w:rPr>
          <w:rFonts w:ascii="Times New Roman" w:hAnsi="Times New Roman" w:cs="Times New Roman"/>
          <w:sz w:val="24"/>
          <w:szCs w:val="24"/>
        </w:rPr>
        <w:lastRenderedPageBreak/>
        <w:t>most traits can be improved through direct phenotypic selection, making these genotypes strong candidates for breeding and commercial expansion in North-Western India</w:t>
      </w:r>
      <w:r w:rsidR="00566763">
        <w:rPr>
          <w:rFonts w:ascii="Times New Roman" w:hAnsi="Times New Roman" w:cs="Times New Roman"/>
          <w:sz w:val="24"/>
          <w:szCs w:val="24"/>
        </w:rPr>
        <w:t>.</w:t>
      </w:r>
    </w:p>
    <w:p w:rsidR="00566763" w:rsidRDefault="00566763" w:rsidP="001D29D2">
      <w:pPr>
        <w:spacing w:after="0"/>
        <w:ind w:firstLine="720"/>
        <w:jc w:val="both"/>
        <w:rPr>
          <w:rFonts w:ascii="Times New Roman" w:hAnsi="Times New Roman" w:cs="Times New Roman"/>
          <w:sz w:val="24"/>
          <w:szCs w:val="24"/>
        </w:rPr>
      </w:pPr>
    </w:p>
    <w:p w:rsidR="00FE5FF3" w:rsidRPr="00566763" w:rsidRDefault="00FE5FF3" w:rsidP="00544FB2">
      <w:pPr>
        <w:spacing w:after="0"/>
        <w:jc w:val="both"/>
        <w:rPr>
          <w:rFonts w:ascii="Verdana" w:hAnsi="Verdana"/>
          <w:b/>
          <w:bCs/>
          <w:color w:val="232323"/>
          <w:sz w:val="21"/>
          <w:szCs w:val="21"/>
          <w:shd w:val="clear" w:color="auto" w:fill="FFFFFF"/>
        </w:rPr>
      </w:pPr>
      <w:r w:rsidRPr="00566763">
        <w:rPr>
          <w:rFonts w:ascii="Verdana" w:hAnsi="Verdana"/>
          <w:b/>
          <w:bCs/>
          <w:color w:val="232323"/>
          <w:sz w:val="21"/>
          <w:szCs w:val="21"/>
          <w:shd w:val="clear" w:color="auto" w:fill="FFFFFF"/>
        </w:rPr>
        <w:t>REFERENCES</w:t>
      </w:r>
    </w:p>
    <w:p w:rsidR="00566763" w:rsidRPr="008C2D4F" w:rsidRDefault="00566763" w:rsidP="00566763">
      <w:pPr>
        <w:shd w:val="clear" w:color="auto" w:fill="FFFFFF"/>
        <w:spacing w:after="0" w:line="0" w:lineRule="auto"/>
        <w:ind w:left="720" w:hanging="720"/>
        <w:rPr>
          <w:rFonts w:ascii="ff2" w:eastAsia="Times New Roman" w:hAnsi="ff2" w:cs="Times New Roman"/>
          <w:color w:val="231F20"/>
          <w:sz w:val="54"/>
          <w:szCs w:val="54"/>
        </w:rPr>
      </w:pPr>
      <w:r w:rsidRPr="008C2D4F">
        <w:rPr>
          <w:rFonts w:ascii="ff2" w:eastAsia="Times New Roman" w:hAnsi="ff2" w:cs="Times New Roman"/>
          <w:color w:val="231F20"/>
          <w:sz w:val="54"/>
          <w:szCs w:val="54"/>
        </w:rPr>
        <w:t>Agricultural Sciences</w:t>
      </w:r>
      <w:r w:rsidRPr="008C2D4F">
        <w:rPr>
          <w:rFonts w:ascii="ff4" w:eastAsia="Times New Roman" w:hAnsi="ff4" w:cs="Times New Roman"/>
          <w:color w:val="231F20"/>
          <w:sz w:val="54"/>
          <w:szCs w:val="54"/>
        </w:rPr>
        <w:t xml:space="preserve"> 86</w:t>
      </w:r>
      <w:r w:rsidRPr="008C2D4F">
        <w:rPr>
          <w:rFonts w:ascii="ff3" w:eastAsia="Times New Roman" w:hAnsi="ff3" w:cs="Times New Roman"/>
          <w:color w:val="231F20"/>
          <w:sz w:val="54"/>
          <w:szCs w:val="54"/>
        </w:rPr>
        <w:t>(7): 901–05.</w:t>
      </w:r>
    </w:p>
    <w:p w:rsidR="00566763" w:rsidRPr="008C2D4F" w:rsidRDefault="00566763" w:rsidP="00566763">
      <w:pPr>
        <w:shd w:val="clear" w:color="auto" w:fill="FFFFFF"/>
        <w:spacing w:after="0" w:line="0" w:lineRule="auto"/>
        <w:ind w:left="720" w:hanging="720"/>
        <w:rPr>
          <w:rFonts w:ascii="ff2" w:eastAsia="Times New Roman" w:hAnsi="ff2" w:cs="Times New Roman"/>
          <w:color w:val="231F20"/>
          <w:sz w:val="54"/>
          <w:szCs w:val="54"/>
        </w:rPr>
      </w:pPr>
      <w:r w:rsidRPr="008C2D4F">
        <w:rPr>
          <w:rFonts w:ascii="ff2" w:eastAsia="Times New Roman" w:hAnsi="ff2" w:cs="Times New Roman"/>
          <w:color w:val="231F20"/>
          <w:sz w:val="54"/>
          <w:szCs w:val="54"/>
        </w:rPr>
        <w:t>Agricultural Sciences</w:t>
      </w:r>
      <w:r w:rsidRPr="008C2D4F">
        <w:rPr>
          <w:rFonts w:ascii="ff4" w:eastAsia="Times New Roman" w:hAnsi="ff4" w:cs="Times New Roman"/>
          <w:color w:val="231F20"/>
          <w:sz w:val="54"/>
          <w:szCs w:val="54"/>
        </w:rPr>
        <w:t xml:space="preserve"> 86</w:t>
      </w:r>
      <w:r w:rsidRPr="008C2D4F">
        <w:rPr>
          <w:rFonts w:ascii="ff3" w:eastAsia="Times New Roman" w:hAnsi="ff3" w:cs="Times New Roman"/>
          <w:color w:val="231F20"/>
          <w:sz w:val="54"/>
          <w:szCs w:val="54"/>
        </w:rPr>
        <w:t>(7): 901–05.</w:t>
      </w:r>
    </w:p>
    <w:p w:rsidR="00566763" w:rsidRPr="008C2D4F" w:rsidRDefault="00566763" w:rsidP="00566763">
      <w:pPr>
        <w:shd w:val="clear" w:color="auto" w:fill="FFFFFF"/>
        <w:spacing w:after="0" w:line="0" w:lineRule="auto"/>
        <w:ind w:left="720" w:hanging="720"/>
        <w:rPr>
          <w:rFonts w:ascii="ff2" w:eastAsia="Times New Roman" w:hAnsi="ff2" w:cs="Times New Roman"/>
          <w:color w:val="231F20"/>
          <w:sz w:val="54"/>
          <w:szCs w:val="54"/>
        </w:rPr>
      </w:pPr>
      <w:r w:rsidRPr="008C2D4F">
        <w:rPr>
          <w:rFonts w:ascii="ff2" w:eastAsia="Times New Roman" w:hAnsi="ff2" w:cs="Times New Roman"/>
          <w:color w:val="231F20"/>
          <w:sz w:val="54"/>
          <w:szCs w:val="54"/>
        </w:rPr>
        <w:t>Agricultural Sciences</w:t>
      </w:r>
      <w:r w:rsidRPr="008C2D4F">
        <w:rPr>
          <w:rFonts w:ascii="ff4" w:eastAsia="Times New Roman" w:hAnsi="ff4" w:cs="Times New Roman"/>
          <w:color w:val="231F20"/>
          <w:sz w:val="54"/>
          <w:szCs w:val="54"/>
        </w:rPr>
        <w:t xml:space="preserve"> 86</w:t>
      </w:r>
      <w:r w:rsidRPr="008C2D4F">
        <w:rPr>
          <w:rFonts w:ascii="ff3" w:eastAsia="Times New Roman" w:hAnsi="ff3" w:cs="Times New Roman"/>
          <w:color w:val="231F20"/>
          <w:sz w:val="54"/>
          <w:szCs w:val="54"/>
        </w:rPr>
        <w:t>(7): 901–05.</w:t>
      </w:r>
    </w:p>
    <w:p w:rsidR="00566763" w:rsidRDefault="00566763" w:rsidP="00566763">
      <w:pPr>
        <w:spacing w:after="0"/>
        <w:ind w:left="720" w:hanging="720"/>
        <w:jc w:val="both"/>
        <w:rPr>
          <w:rFonts w:ascii="Times New Roman" w:hAnsi="Times New Roman" w:cs="Times New Roman"/>
          <w:sz w:val="24"/>
          <w:szCs w:val="24"/>
        </w:rPr>
      </w:pPr>
      <w:proofErr w:type="spellStart"/>
      <w:r w:rsidRPr="00C81ACE">
        <w:rPr>
          <w:rFonts w:ascii="Times New Roman" w:hAnsi="Times New Roman" w:cs="Times New Roman"/>
          <w:sz w:val="24"/>
          <w:szCs w:val="24"/>
        </w:rPr>
        <w:t>Agustí</w:t>
      </w:r>
      <w:proofErr w:type="spellEnd"/>
      <w:r w:rsidRPr="00C81ACE">
        <w:rPr>
          <w:rFonts w:ascii="Times New Roman" w:hAnsi="Times New Roman" w:cs="Times New Roman"/>
          <w:sz w:val="24"/>
          <w:szCs w:val="24"/>
        </w:rPr>
        <w:t>, M., Zaragoza, S., Iglesias, D.,</w:t>
      </w:r>
      <w:r w:rsidR="00EF0BBE">
        <w:rPr>
          <w:rFonts w:ascii="Times New Roman" w:hAnsi="Times New Roman" w:cs="Times New Roman"/>
          <w:sz w:val="24"/>
          <w:szCs w:val="24"/>
        </w:rPr>
        <w:t xml:space="preserve"> </w:t>
      </w:r>
      <w:proofErr w:type="spellStart"/>
      <w:r w:rsidR="00EF0BBE">
        <w:rPr>
          <w:rFonts w:ascii="Times New Roman" w:hAnsi="Times New Roman" w:cs="Times New Roman"/>
          <w:sz w:val="24"/>
          <w:szCs w:val="24"/>
        </w:rPr>
        <w:t>Almela</w:t>
      </w:r>
      <w:proofErr w:type="spellEnd"/>
      <w:r w:rsidR="00EF0BBE">
        <w:rPr>
          <w:rFonts w:ascii="Times New Roman" w:hAnsi="Times New Roman" w:cs="Times New Roman"/>
          <w:sz w:val="24"/>
          <w:szCs w:val="24"/>
        </w:rPr>
        <w:t>, V., &amp; Primo-</w:t>
      </w:r>
      <w:proofErr w:type="spellStart"/>
      <w:r w:rsidR="00EF0BBE">
        <w:rPr>
          <w:rFonts w:ascii="Times New Roman" w:hAnsi="Times New Roman" w:cs="Times New Roman"/>
          <w:sz w:val="24"/>
          <w:szCs w:val="24"/>
        </w:rPr>
        <w:t>Millo</w:t>
      </w:r>
      <w:proofErr w:type="spellEnd"/>
      <w:r w:rsidR="00EF0BBE">
        <w:rPr>
          <w:rFonts w:ascii="Times New Roman" w:hAnsi="Times New Roman" w:cs="Times New Roman"/>
          <w:sz w:val="24"/>
          <w:szCs w:val="24"/>
        </w:rPr>
        <w:t xml:space="preserve">, E. </w:t>
      </w:r>
      <w:r w:rsidRPr="00C81ACE">
        <w:rPr>
          <w:rFonts w:ascii="Times New Roman" w:hAnsi="Times New Roman" w:cs="Times New Roman"/>
          <w:sz w:val="24"/>
          <w:szCs w:val="24"/>
        </w:rPr>
        <w:t>2003. The synthetic auxin 2,4-D prolongs cell division in citrus fruit. Plant Growth Regulation, 41, 1–6.</w:t>
      </w:r>
    </w:p>
    <w:p w:rsidR="00566763" w:rsidRDefault="00566763" w:rsidP="00566763">
      <w:pPr>
        <w:spacing w:after="0"/>
        <w:ind w:left="720" w:hanging="720"/>
        <w:jc w:val="both"/>
        <w:rPr>
          <w:rFonts w:ascii="Times New Roman" w:hAnsi="Times New Roman" w:cs="Times New Roman"/>
          <w:sz w:val="24"/>
          <w:szCs w:val="24"/>
        </w:rPr>
      </w:pPr>
      <w:r w:rsidRPr="001E1DF3">
        <w:rPr>
          <w:rFonts w:ascii="Times New Roman" w:hAnsi="Times New Roman" w:cs="Times New Roman"/>
          <w:sz w:val="24"/>
          <w:szCs w:val="24"/>
        </w:rPr>
        <w:t xml:space="preserve">Ahmed, S., </w:t>
      </w:r>
      <w:proofErr w:type="spellStart"/>
      <w:r w:rsidRPr="001E1DF3">
        <w:rPr>
          <w:rFonts w:ascii="Times New Roman" w:hAnsi="Times New Roman" w:cs="Times New Roman"/>
          <w:sz w:val="24"/>
          <w:szCs w:val="24"/>
        </w:rPr>
        <w:t>Rattanpal</w:t>
      </w:r>
      <w:proofErr w:type="spellEnd"/>
      <w:r w:rsidRPr="001E1DF3">
        <w:rPr>
          <w:rFonts w:ascii="Times New Roman" w:hAnsi="Times New Roman" w:cs="Times New Roman"/>
          <w:sz w:val="24"/>
          <w:szCs w:val="24"/>
        </w:rPr>
        <w:t xml:space="preserve">, H. S., Singh, G. </w:t>
      </w:r>
      <w:r w:rsidR="00EF0BBE">
        <w:rPr>
          <w:rFonts w:ascii="Times New Roman" w:hAnsi="Times New Roman" w:cs="Times New Roman"/>
          <w:sz w:val="24"/>
          <w:szCs w:val="24"/>
        </w:rPr>
        <w:t>2018.</w:t>
      </w:r>
      <w:r w:rsidRPr="001E1DF3">
        <w:rPr>
          <w:rFonts w:ascii="Times New Roman" w:hAnsi="Times New Roman" w:cs="Times New Roman"/>
          <w:sz w:val="24"/>
          <w:szCs w:val="24"/>
        </w:rPr>
        <w:t xml:space="preserve"> Diversity assessment of grapefruit (Citrus × </w:t>
      </w:r>
      <w:proofErr w:type="spellStart"/>
      <w:r w:rsidRPr="001E1DF3">
        <w:rPr>
          <w:rFonts w:ascii="Times New Roman" w:hAnsi="Times New Roman" w:cs="Times New Roman"/>
          <w:sz w:val="24"/>
          <w:szCs w:val="24"/>
        </w:rPr>
        <w:t>paradisi</w:t>
      </w:r>
      <w:proofErr w:type="spellEnd"/>
      <w:r w:rsidRPr="001E1DF3">
        <w:rPr>
          <w:rFonts w:ascii="Times New Roman" w:hAnsi="Times New Roman" w:cs="Times New Roman"/>
          <w:sz w:val="24"/>
          <w:szCs w:val="24"/>
        </w:rPr>
        <w:t xml:space="preserve">) and tangelo (Citrus × tangelo) under Indian conditions using </w:t>
      </w:r>
      <w:proofErr w:type="spellStart"/>
      <w:r w:rsidRPr="001E1DF3">
        <w:rPr>
          <w:rFonts w:ascii="Times New Roman" w:hAnsi="Times New Roman" w:cs="Times New Roman"/>
          <w:sz w:val="24"/>
          <w:szCs w:val="24"/>
        </w:rPr>
        <w:t>physico</w:t>
      </w:r>
      <w:proofErr w:type="spellEnd"/>
      <w:r w:rsidRPr="001E1DF3">
        <w:rPr>
          <w:rFonts w:ascii="Times New Roman" w:hAnsi="Times New Roman" w:cs="Times New Roman"/>
          <w:sz w:val="24"/>
          <w:szCs w:val="24"/>
        </w:rPr>
        <w:t>-chemica</w:t>
      </w:r>
      <w:r w:rsidR="00EF0BBE">
        <w:rPr>
          <w:rFonts w:ascii="Times New Roman" w:hAnsi="Times New Roman" w:cs="Times New Roman"/>
          <w:sz w:val="24"/>
          <w:szCs w:val="24"/>
        </w:rPr>
        <w:t xml:space="preserve">l parameters and SSR markers. </w:t>
      </w:r>
      <w:r w:rsidRPr="00EF0BBE">
        <w:rPr>
          <w:rFonts w:ascii="Times New Roman" w:hAnsi="Times New Roman" w:cs="Times New Roman"/>
          <w:i/>
          <w:iCs/>
          <w:sz w:val="24"/>
          <w:szCs w:val="24"/>
        </w:rPr>
        <w:t>Applied Ecology and Environmental Research</w:t>
      </w:r>
      <w:r w:rsidR="00EF0BBE">
        <w:rPr>
          <w:rFonts w:ascii="Times New Roman" w:hAnsi="Times New Roman" w:cs="Times New Roman"/>
          <w:sz w:val="24"/>
          <w:szCs w:val="24"/>
        </w:rPr>
        <w:t>,</w:t>
      </w:r>
      <w:r w:rsidRPr="001E1DF3">
        <w:rPr>
          <w:rFonts w:ascii="Times New Roman" w:hAnsi="Times New Roman" w:cs="Times New Roman"/>
          <w:sz w:val="24"/>
          <w:szCs w:val="24"/>
        </w:rPr>
        <w:t xml:space="preserve"> 16: 5343-5358.</w:t>
      </w:r>
    </w:p>
    <w:p w:rsidR="00566763" w:rsidRDefault="00566763" w:rsidP="00566763">
      <w:pPr>
        <w:spacing w:after="0"/>
        <w:ind w:left="720" w:hanging="720"/>
        <w:jc w:val="both"/>
        <w:rPr>
          <w:rFonts w:ascii="Verdana" w:hAnsi="Verdana"/>
          <w:color w:val="232323"/>
          <w:sz w:val="21"/>
          <w:szCs w:val="21"/>
          <w:shd w:val="clear" w:color="auto" w:fill="FFFFFF"/>
        </w:rPr>
      </w:pPr>
      <w:r>
        <w:rPr>
          <w:rFonts w:ascii="Verdana" w:hAnsi="Verdana"/>
          <w:color w:val="232323"/>
          <w:sz w:val="21"/>
          <w:szCs w:val="21"/>
          <w:shd w:val="clear" w:color="auto" w:fill="FFFFFF"/>
        </w:rPr>
        <w:t>Allard, R.W. 1999. Principles of Plant Breeding. 2nd Edition, John Willey and Sons Inc., New York.</w:t>
      </w:r>
    </w:p>
    <w:p w:rsidR="00566763" w:rsidRDefault="00566763" w:rsidP="00566763">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Burton, G. W., &amp; </w:t>
      </w:r>
      <w:proofErr w:type="spellStart"/>
      <w:r>
        <w:rPr>
          <w:rFonts w:ascii="Times New Roman" w:hAnsi="Times New Roman" w:cs="Times New Roman"/>
          <w:sz w:val="24"/>
          <w:szCs w:val="24"/>
        </w:rPr>
        <w:t>DeVane</w:t>
      </w:r>
      <w:proofErr w:type="spellEnd"/>
      <w:r>
        <w:rPr>
          <w:rFonts w:ascii="Times New Roman" w:hAnsi="Times New Roman" w:cs="Times New Roman"/>
          <w:sz w:val="24"/>
          <w:szCs w:val="24"/>
        </w:rPr>
        <w:t>, E. H. 1953</w:t>
      </w:r>
      <w:r w:rsidRPr="00FE5FF3">
        <w:rPr>
          <w:rFonts w:ascii="Times New Roman" w:hAnsi="Times New Roman" w:cs="Times New Roman"/>
          <w:sz w:val="24"/>
          <w:szCs w:val="24"/>
        </w:rPr>
        <w:t xml:space="preserve">. Estimating heritability in tall fescue from replicated clonal material. </w:t>
      </w:r>
      <w:r w:rsidRPr="00FE5FF3">
        <w:rPr>
          <w:rFonts w:ascii="Times New Roman" w:hAnsi="Times New Roman" w:cs="Times New Roman"/>
          <w:i/>
          <w:iCs/>
          <w:sz w:val="24"/>
          <w:szCs w:val="24"/>
        </w:rPr>
        <w:t>Agronomy Journal,</w:t>
      </w:r>
      <w:r w:rsidRPr="00FE5FF3">
        <w:rPr>
          <w:rFonts w:ascii="Times New Roman" w:hAnsi="Times New Roman" w:cs="Times New Roman"/>
          <w:sz w:val="24"/>
          <w:szCs w:val="24"/>
        </w:rPr>
        <w:t xml:space="preserve"> 45(10), 478–481.</w:t>
      </w:r>
    </w:p>
    <w:p w:rsidR="00566763" w:rsidRDefault="00EF0BBE" w:rsidP="00566763">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Castle, W.S. </w:t>
      </w:r>
      <w:r w:rsidR="00566763" w:rsidRPr="009E3BB9">
        <w:rPr>
          <w:rFonts w:ascii="Times New Roman" w:hAnsi="Times New Roman" w:cs="Times New Roman"/>
          <w:sz w:val="24"/>
          <w:szCs w:val="24"/>
        </w:rPr>
        <w:t>2</w:t>
      </w:r>
      <w:r>
        <w:rPr>
          <w:rFonts w:ascii="Times New Roman" w:hAnsi="Times New Roman" w:cs="Times New Roman"/>
          <w:sz w:val="24"/>
          <w:szCs w:val="24"/>
        </w:rPr>
        <w:t>010</w:t>
      </w:r>
      <w:r w:rsidR="00566763" w:rsidRPr="009E3BB9">
        <w:rPr>
          <w:rFonts w:ascii="Times New Roman" w:hAnsi="Times New Roman" w:cs="Times New Roman"/>
          <w:sz w:val="24"/>
          <w:szCs w:val="24"/>
        </w:rPr>
        <w:t xml:space="preserve">. A career perspective on citrus rootstocks, their development, and commercialization. </w:t>
      </w:r>
      <w:proofErr w:type="spellStart"/>
      <w:r w:rsidR="00566763" w:rsidRPr="00566763">
        <w:rPr>
          <w:rFonts w:ascii="Times New Roman" w:hAnsi="Times New Roman" w:cs="Times New Roman"/>
          <w:i/>
          <w:iCs/>
          <w:sz w:val="24"/>
          <w:szCs w:val="24"/>
        </w:rPr>
        <w:t>HortScience</w:t>
      </w:r>
      <w:proofErr w:type="spellEnd"/>
      <w:r w:rsidR="00566763" w:rsidRPr="009E3BB9">
        <w:rPr>
          <w:rFonts w:ascii="Times New Roman" w:hAnsi="Times New Roman" w:cs="Times New Roman"/>
          <w:sz w:val="24"/>
          <w:szCs w:val="24"/>
        </w:rPr>
        <w:t>, 45(1), 11–15.</w:t>
      </w:r>
    </w:p>
    <w:p w:rsidR="00566763" w:rsidRPr="00326D4C" w:rsidRDefault="00566763" w:rsidP="00566763">
      <w:pPr>
        <w:spacing w:after="0"/>
        <w:ind w:left="720" w:hanging="720"/>
        <w:jc w:val="both"/>
        <w:rPr>
          <w:rFonts w:ascii="Times New Roman" w:hAnsi="Times New Roman" w:cs="Times New Roman"/>
          <w:sz w:val="24"/>
          <w:szCs w:val="24"/>
        </w:rPr>
      </w:pPr>
      <w:r w:rsidRPr="00326D4C">
        <w:rPr>
          <w:rFonts w:ascii="Times New Roman" w:hAnsi="Times New Roman" w:cs="Times New Roman"/>
          <w:sz w:val="24"/>
          <w:szCs w:val="24"/>
        </w:rPr>
        <w:t>Chadha, K. L., &amp; A</w:t>
      </w:r>
      <w:r w:rsidR="00EF0BBE">
        <w:rPr>
          <w:rFonts w:ascii="Times New Roman" w:hAnsi="Times New Roman" w:cs="Times New Roman"/>
          <w:sz w:val="24"/>
          <w:szCs w:val="24"/>
        </w:rPr>
        <w:t>wasthi, R. P. 2005</w:t>
      </w:r>
      <w:r w:rsidRPr="00326D4C">
        <w:rPr>
          <w:rFonts w:ascii="Times New Roman" w:hAnsi="Times New Roman" w:cs="Times New Roman"/>
          <w:sz w:val="24"/>
          <w:szCs w:val="24"/>
        </w:rPr>
        <w:t xml:space="preserve">. The </w:t>
      </w:r>
      <w:proofErr w:type="spellStart"/>
      <w:r w:rsidRPr="00326D4C">
        <w:rPr>
          <w:rFonts w:ascii="Times New Roman" w:hAnsi="Times New Roman" w:cs="Times New Roman"/>
          <w:sz w:val="24"/>
          <w:szCs w:val="24"/>
        </w:rPr>
        <w:t>Kinnow</w:t>
      </w:r>
      <w:proofErr w:type="spellEnd"/>
      <w:r w:rsidRPr="00326D4C">
        <w:rPr>
          <w:rFonts w:ascii="Times New Roman" w:hAnsi="Times New Roman" w:cs="Times New Roman"/>
          <w:sz w:val="24"/>
          <w:szCs w:val="24"/>
        </w:rPr>
        <w:t>: A high performance mandarin hybrid. Indian Horticulture, 50, 7–8.</w:t>
      </w:r>
    </w:p>
    <w:p w:rsidR="00566763" w:rsidRDefault="00566763" w:rsidP="00566763">
      <w:pPr>
        <w:spacing w:after="0"/>
        <w:ind w:left="720" w:hanging="720"/>
        <w:jc w:val="both"/>
        <w:rPr>
          <w:rFonts w:ascii="Times New Roman" w:hAnsi="Times New Roman" w:cs="Times New Roman"/>
          <w:sz w:val="24"/>
          <w:szCs w:val="24"/>
        </w:rPr>
      </w:pPr>
      <w:proofErr w:type="spellStart"/>
      <w:r w:rsidRPr="004C1D3F">
        <w:rPr>
          <w:rFonts w:ascii="Times New Roman" w:hAnsi="Times New Roman" w:cs="Times New Roman"/>
          <w:sz w:val="24"/>
          <w:szCs w:val="24"/>
        </w:rPr>
        <w:t>DeLacy</w:t>
      </w:r>
      <w:proofErr w:type="spellEnd"/>
      <w:r w:rsidRPr="004C1D3F">
        <w:rPr>
          <w:rFonts w:ascii="Times New Roman" w:hAnsi="Times New Roman" w:cs="Times New Roman"/>
          <w:sz w:val="24"/>
          <w:szCs w:val="24"/>
        </w:rPr>
        <w:t>, I. H., Basford, K. E., Cooper, M</w:t>
      </w:r>
      <w:r w:rsidR="00EF0BBE">
        <w:rPr>
          <w:rFonts w:ascii="Times New Roman" w:hAnsi="Times New Roman" w:cs="Times New Roman"/>
          <w:sz w:val="24"/>
          <w:szCs w:val="24"/>
        </w:rPr>
        <w:t>., Bull, J. K., McLaren, C. G. 1996.</w:t>
      </w:r>
      <w:r w:rsidRPr="004C1D3F">
        <w:rPr>
          <w:rFonts w:ascii="Times New Roman" w:hAnsi="Times New Roman" w:cs="Times New Roman"/>
          <w:sz w:val="24"/>
          <w:szCs w:val="24"/>
        </w:rPr>
        <w:t xml:space="preserve"> Analysis of Multi-Environment Trials - An Historical Perspective. – In: Cooper, M., Hammer, G. L. (eds.) Plant Adaptation and Crop Improvement. CAB Intl.</w:t>
      </w:r>
    </w:p>
    <w:p w:rsidR="00566763" w:rsidRDefault="00566763" w:rsidP="00566763">
      <w:pPr>
        <w:spacing w:after="0"/>
        <w:ind w:left="720" w:hanging="720"/>
        <w:jc w:val="both"/>
        <w:rPr>
          <w:rFonts w:ascii="Times New Roman" w:hAnsi="Times New Roman" w:cs="Times New Roman"/>
          <w:sz w:val="24"/>
          <w:szCs w:val="24"/>
        </w:rPr>
      </w:pPr>
      <w:r w:rsidRPr="00326D4C">
        <w:rPr>
          <w:rFonts w:ascii="Times New Roman" w:hAnsi="Times New Roman" w:cs="Times New Roman"/>
          <w:sz w:val="24"/>
          <w:szCs w:val="24"/>
        </w:rPr>
        <w:t xml:space="preserve">Dhillon, W. S., </w:t>
      </w:r>
      <w:proofErr w:type="spellStart"/>
      <w:r w:rsidRPr="00326D4C">
        <w:rPr>
          <w:rFonts w:ascii="Times New Roman" w:hAnsi="Times New Roman" w:cs="Times New Roman"/>
          <w:sz w:val="24"/>
          <w:szCs w:val="24"/>
        </w:rPr>
        <w:t>Bin</w:t>
      </w:r>
      <w:r w:rsidR="00EF0BBE">
        <w:rPr>
          <w:rFonts w:ascii="Times New Roman" w:hAnsi="Times New Roman" w:cs="Times New Roman"/>
          <w:sz w:val="24"/>
          <w:szCs w:val="24"/>
        </w:rPr>
        <w:t>dra</w:t>
      </w:r>
      <w:proofErr w:type="spellEnd"/>
      <w:r w:rsidR="00EF0BBE">
        <w:rPr>
          <w:rFonts w:ascii="Times New Roman" w:hAnsi="Times New Roman" w:cs="Times New Roman"/>
          <w:sz w:val="24"/>
          <w:szCs w:val="24"/>
        </w:rPr>
        <w:t xml:space="preserve">, A. S., &amp; </w:t>
      </w:r>
      <w:proofErr w:type="spellStart"/>
      <w:r w:rsidR="00EF0BBE">
        <w:rPr>
          <w:rFonts w:ascii="Times New Roman" w:hAnsi="Times New Roman" w:cs="Times New Roman"/>
          <w:sz w:val="24"/>
          <w:szCs w:val="24"/>
        </w:rPr>
        <w:t>Rattanpal</w:t>
      </w:r>
      <w:proofErr w:type="spellEnd"/>
      <w:r w:rsidR="00EF0BBE">
        <w:rPr>
          <w:rFonts w:ascii="Times New Roman" w:hAnsi="Times New Roman" w:cs="Times New Roman"/>
          <w:sz w:val="24"/>
          <w:szCs w:val="24"/>
        </w:rPr>
        <w:t>, H. S. 2017</w:t>
      </w:r>
      <w:r w:rsidRPr="00326D4C">
        <w:rPr>
          <w:rFonts w:ascii="Times New Roman" w:hAnsi="Times New Roman" w:cs="Times New Roman"/>
          <w:sz w:val="24"/>
          <w:szCs w:val="24"/>
        </w:rPr>
        <w:t xml:space="preserve">. Productivity </w:t>
      </w:r>
      <w:proofErr w:type="spellStart"/>
      <w:r w:rsidRPr="00326D4C">
        <w:rPr>
          <w:rFonts w:ascii="Times New Roman" w:hAnsi="Times New Roman" w:cs="Times New Roman"/>
          <w:sz w:val="24"/>
          <w:szCs w:val="24"/>
        </w:rPr>
        <w:t>behaviour</w:t>
      </w:r>
      <w:proofErr w:type="spellEnd"/>
      <w:r w:rsidRPr="00326D4C">
        <w:rPr>
          <w:rFonts w:ascii="Times New Roman" w:hAnsi="Times New Roman" w:cs="Times New Roman"/>
          <w:sz w:val="24"/>
          <w:szCs w:val="24"/>
        </w:rPr>
        <w:t xml:space="preserve"> of </w:t>
      </w:r>
      <w:proofErr w:type="spellStart"/>
      <w:r w:rsidRPr="00326D4C">
        <w:rPr>
          <w:rFonts w:ascii="Times New Roman" w:hAnsi="Times New Roman" w:cs="Times New Roman"/>
          <w:sz w:val="24"/>
          <w:szCs w:val="24"/>
        </w:rPr>
        <w:t>Kinnow</w:t>
      </w:r>
      <w:proofErr w:type="spellEnd"/>
      <w:r w:rsidRPr="00326D4C">
        <w:rPr>
          <w:rFonts w:ascii="Times New Roman" w:hAnsi="Times New Roman" w:cs="Times New Roman"/>
          <w:sz w:val="24"/>
          <w:szCs w:val="24"/>
        </w:rPr>
        <w:t xml:space="preserve"> mandarin in relation to canopy management. </w:t>
      </w:r>
      <w:r w:rsidRPr="00566763">
        <w:rPr>
          <w:rFonts w:ascii="Times New Roman" w:hAnsi="Times New Roman" w:cs="Times New Roman"/>
          <w:i/>
          <w:iCs/>
          <w:sz w:val="24"/>
          <w:szCs w:val="24"/>
        </w:rPr>
        <w:t>Journal of Applied and Natural Science</w:t>
      </w:r>
      <w:r w:rsidRPr="00326D4C">
        <w:rPr>
          <w:rFonts w:ascii="Times New Roman" w:hAnsi="Times New Roman" w:cs="Times New Roman"/>
          <w:sz w:val="24"/>
          <w:szCs w:val="24"/>
        </w:rPr>
        <w:t>, 9(1), 487–492.</w:t>
      </w:r>
    </w:p>
    <w:p w:rsidR="00566763" w:rsidRPr="00EF0BBE" w:rsidRDefault="00566763" w:rsidP="00566763">
      <w:pPr>
        <w:spacing w:after="0"/>
        <w:ind w:left="720" w:hanging="720"/>
        <w:jc w:val="both"/>
        <w:rPr>
          <w:rFonts w:ascii="Times New Roman" w:hAnsi="Times New Roman" w:cs="Times New Roman"/>
          <w:color w:val="1B1B1B"/>
          <w:sz w:val="24"/>
          <w:szCs w:val="24"/>
          <w:shd w:val="clear" w:color="auto" w:fill="FFFFFF"/>
        </w:rPr>
      </w:pPr>
      <w:r w:rsidRPr="00EF0BBE">
        <w:rPr>
          <w:rFonts w:ascii="Times New Roman" w:hAnsi="Times New Roman" w:cs="Times New Roman"/>
          <w:color w:val="1B1B1B"/>
          <w:sz w:val="24"/>
          <w:szCs w:val="24"/>
          <w:shd w:val="clear" w:color="auto" w:fill="FFFFFF"/>
        </w:rPr>
        <w:t>Falconer, D.S., Mackay, T.F.C. 1996. Introduction to Quantitative Genetics. 4th Edition, Addison Wesley Longman, Harlow.</w:t>
      </w:r>
    </w:p>
    <w:p w:rsidR="00566763" w:rsidRDefault="00566763" w:rsidP="00566763">
      <w:pPr>
        <w:spacing w:after="0"/>
        <w:ind w:left="720" w:hanging="720"/>
        <w:jc w:val="both"/>
        <w:rPr>
          <w:rFonts w:ascii="Times New Roman" w:hAnsi="Times New Roman" w:cs="Times New Roman"/>
          <w:sz w:val="24"/>
          <w:szCs w:val="24"/>
        </w:rPr>
      </w:pPr>
      <w:proofErr w:type="spellStart"/>
      <w:r w:rsidRPr="00552C12">
        <w:rPr>
          <w:rFonts w:ascii="Times New Roman" w:hAnsi="Times New Roman" w:cs="Times New Roman"/>
          <w:sz w:val="24"/>
          <w:szCs w:val="24"/>
        </w:rPr>
        <w:t>Faralli</w:t>
      </w:r>
      <w:proofErr w:type="spellEnd"/>
      <w:r w:rsidR="00EF0BBE">
        <w:rPr>
          <w:rFonts w:ascii="Times New Roman" w:hAnsi="Times New Roman" w:cs="Times New Roman"/>
          <w:sz w:val="24"/>
          <w:szCs w:val="24"/>
        </w:rPr>
        <w:t>, M., Matthews, J., Lawson, T. 2019.</w:t>
      </w:r>
      <w:r w:rsidRPr="00552C12">
        <w:rPr>
          <w:rFonts w:ascii="Times New Roman" w:hAnsi="Times New Roman" w:cs="Times New Roman"/>
          <w:sz w:val="24"/>
          <w:szCs w:val="24"/>
        </w:rPr>
        <w:t xml:space="preserve"> Exploiting natural variation and genetic manipulation of stomatal cond</w:t>
      </w:r>
      <w:r>
        <w:rPr>
          <w:rFonts w:ascii="Times New Roman" w:hAnsi="Times New Roman" w:cs="Times New Roman"/>
          <w:sz w:val="24"/>
          <w:szCs w:val="24"/>
        </w:rPr>
        <w:t xml:space="preserve">uctance for crop improvement. </w:t>
      </w:r>
      <w:r w:rsidRPr="00566763">
        <w:rPr>
          <w:rFonts w:ascii="Times New Roman" w:hAnsi="Times New Roman" w:cs="Times New Roman"/>
          <w:i/>
          <w:iCs/>
          <w:sz w:val="24"/>
          <w:szCs w:val="24"/>
        </w:rPr>
        <w:t>Current Opinion in Plant Biology</w:t>
      </w:r>
      <w:r>
        <w:rPr>
          <w:rFonts w:ascii="Times New Roman" w:hAnsi="Times New Roman" w:cs="Times New Roman"/>
          <w:i/>
          <w:iCs/>
          <w:sz w:val="24"/>
          <w:szCs w:val="24"/>
        </w:rPr>
        <w:t>,</w:t>
      </w:r>
      <w:r w:rsidRPr="00552C12">
        <w:rPr>
          <w:rFonts w:ascii="Times New Roman" w:hAnsi="Times New Roman" w:cs="Times New Roman"/>
          <w:sz w:val="24"/>
          <w:szCs w:val="24"/>
        </w:rPr>
        <w:t xml:space="preserve"> 49: 1-7.</w:t>
      </w:r>
    </w:p>
    <w:p w:rsidR="00566763" w:rsidRPr="00FE5FF3" w:rsidRDefault="00566763" w:rsidP="00566763">
      <w:pPr>
        <w:spacing w:after="0"/>
        <w:ind w:left="720" w:hanging="720"/>
        <w:jc w:val="both"/>
        <w:rPr>
          <w:rFonts w:ascii="Times New Roman" w:hAnsi="Times New Roman" w:cs="Times New Roman"/>
          <w:sz w:val="24"/>
          <w:szCs w:val="24"/>
        </w:rPr>
      </w:pPr>
      <w:r w:rsidRPr="00FE5FF3">
        <w:rPr>
          <w:rFonts w:ascii="Times New Roman" w:hAnsi="Times New Roman" w:cs="Times New Roman"/>
          <w:sz w:val="24"/>
          <w:szCs w:val="24"/>
        </w:rPr>
        <w:t>Johnson, H. W., Robi</w:t>
      </w:r>
      <w:r>
        <w:rPr>
          <w:rFonts w:ascii="Times New Roman" w:hAnsi="Times New Roman" w:cs="Times New Roman"/>
          <w:sz w:val="24"/>
          <w:szCs w:val="24"/>
        </w:rPr>
        <w:t>nson, H. F., &amp; Comstock, R. E. 1955</w:t>
      </w:r>
      <w:r w:rsidRPr="00FE5FF3">
        <w:rPr>
          <w:rFonts w:ascii="Times New Roman" w:hAnsi="Times New Roman" w:cs="Times New Roman"/>
          <w:sz w:val="24"/>
          <w:szCs w:val="24"/>
        </w:rPr>
        <w:t xml:space="preserve">. Estimates of genetic and environmental variability in soybeans. </w:t>
      </w:r>
      <w:r w:rsidRPr="00FE5FF3">
        <w:rPr>
          <w:rFonts w:ascii="Times New Roman" w:hAnsi="Times New Roman" w:cs="Times New Roman"/>
          <w:i/>
          <w:iCs/>
          <w:sz w:val="24"/>
          <w:szCs w:val="24"/>
        </w:rPr>
        <w:t>Agronomy Journal,</w:t>
      </w:r>
      <w:r w:rsidRPr="00FE5FF3">
        <w:rPr>
          <w:rFonts w:ascii="Times New Roman" w:hAnsi="Times New Roman" w:cs="Times New Roman"/>
          <w:sz w:val="24"/>
          <w:szCs w:val="24"/>
        </w:rPr>
        <w:t xml:space="preserve"> 47, 314–318.</w:t>
      </w:r>
    </w:p>
    <w:p w:rsidR="00566763" w:rsidRDefault="00566763" w:rsidP="00566763">
      <w:pPr>
        <w:spacing w:after="0"/>
        <w:ind w:left="720" w:hanging="720"/>
        <w:jc w:val="both"/>
        <w:rPr>
          <w:rFonts w:ascii="Times New Roman" w:hAnsi="Times New Roman" w:cs="Times New Roman"/>
          <w:sz w:val="24"/>
          <w:szCs w:val="24"/>
        </w:rPr>
      </w:pPr>
      <w:r w:rsidRPr="007071FF">
        <w:rPr>
          <w:rFonts w:ascii="Times New Roman" w:hAnsi="Times New Roman" w:cs="Times New Roman"/>
          <w:sz w:val="24"/>
          <w:szCs w:val="24"/>
        </w:rPr>
        <w:t xml:space="preserve">Kumar A, </w:t>
      </w:r>
      <w:proofErr w:type="spellStart"/>
      <w:r w:rsidRPr="007071FF">
        <w:rPr>
          <w:rFonts w:ascii="Times New Roman" w:hAnsi="Times New Roman" w:cs="Times New Roman"/>
          <w:sz w:val="24"/>
          <w:szCs w:val="24"/>
        </w:rPr>
        <w:t>Avasthe</w:t>
      </w:r>
      <w:proofErr w:type="spellEnd"/>
      <w:r w:rsidRPr="007071FF">
        <w:rPr>
          <w:rFonts w:ascii="Times New Roman" w:hAnsi="Times New Roman" w:cs="Times New Roman"/>
          <w:sz w:val="24"/>
          <w:szCs w:val="24"/>
        </w:rPr>
        <w:t xml:space="preserve"> R K, Pandey B, </w:t>
      </w:r>
      <w:proofErr w:type="spellStart"/>
      <w:r w:rsidRPr="007071FF">
        <w:rPr>
          <w:rFonts w:ascii="Times New Roman" w:hAnsi="Times New Roman" w:cs="Times New Roman"/>
          <w:sz w:val="24"/>
          <w:szCs w:val="24"/>
        </w:rPr>
        <w:t>Lepcha</w:t>
      </w:r>
      <w:proofErr w:type="spellEnd"/>
      <w:r w:rsidR="00EF0BBE">
        <w:rPr>
          <w:rFonts w:ascii="Times New Roman" w:hAnsi="Times New Roman" w:cs="Times New Roman"/>
          <w:sz w:val="24"/>
          <w:szCs w:val="24"/>
        </w:rPr>
        <w:t>,</w:t>
      </w:r>
      <w:r w:rsidRPr="007071FF">
        <w:rPr>
          <w:rFonts w:ascii="Times New Roman" w:hAnsi="Times New Roman" w:cs="Times New Roman"/>
          <w:sz w:val="24"/>
          <w:szCs w:val="24"/>
        </w:rPr>
        <w:t xml:space="preserve"> B</w:t>
      </w:r>
      <w:r w:rsidR="00EF0BBE">
        <w:rPr>
          <w:rFonts w:ascii="Times New Roman" w:hAnsi="Times New Roman" w:cs="Times New Roman"/>
          <w:sz w:val="24"/>
          <w:szCs w:val="24"/>
        </w:rPr>
        <w:t>.</w:t>
      </w:r>
      <w:r w:rsidRPr="007071FF">
        <w:rPr>
          <w:rFonts w:ascii="Times New Roman" w:hAnsi="Times New Roman" w:cs="Times New Roman"/>
          <w:sz w:val="24"/>
          <w:szCs w:val="24"/>
        </w:rPr>
        <w:t xml:space="preserve"> and Rahman</w:t>
      </w:r>
      <w:r w:rsidR="00EF0BBE">
        <w:rPr>
          <w:rFonts w:ascii="Times New Roman" w:hAnsi="Times New Roman" w:cs="Times New Roman"/>
          <w:sz w:val="24"/>
          <w:szCs w:val="24"/>
        </w:rPr>
        <w:t>,</w:t>
      </w:r>
      <w:r>
        <w:rPr>
          <w:rFonts w:ascii="Times New Roman" w:hAnsi="Times New Roman" w:cs="Times New Roman"/>
          <w:sz w:val="24"/>
          <w:szCs w:val="24"/>
        </w:rPr>
        <w:t xml:space="preserve"> </w:t>
      </w:r>
      <w:r w:rsidRPr="007071FF">
        <w:rPr>
          <w:rFonts w:ascii="Times New Roman" w:hAnsi="Times New Roman" w:cs="Times New Roman"/>
          <w:sz w:val="24"/>
          <w:szCs w:val="24"/>
        </w:rPr>
        <w:t>H</w:t>
      </w:r>
      <w:r w:rsidR="00EF0BBE">
        <w:rPr>
          <w:rFonts w:ascii="Times New Roman" w:hAnsi="Times New Roman" w:cs="Times New Roman"/>
          <w:sz w:val="24"/>
          <w:szCs w:val="24"/>
        </w:rPr>
        <w:t>. 2015</w:t>
      </w:r>
      <w:r w:rsidRPr="007071FF">
        <w:rPr>
          <w:rFonts w:ascii="Times New Roman" w:hAnsi="Times New Roman" w:cs="Times New Roman"/>
          <w:sz w:val="24"/>
          <w:szCs w:val="24"/>
        </w:rPr>
        <w:t>. Correlation studies for effect of fruit grade on</w:t>
      </w:r>
      <w:r>
        <w:rPr>
          <w:rFonts w:ascii="Times New Roman" w:hAnsi="Times New Roman" w:cs="Times New Roman"/>
          <w:sz w:val="24"/>
          <w:szCs w:val="24"/>
        </w:rPr>
        <w:t xml:space="preserve"> </w:t>
      </w:r>
      <w:r w:rsidRPr="007071FF">
        <w:rPr>
          <w:rFonts w:ascii="Times New Roman" w:hAnsi="Times New Roman" w:cs="Times New Roman"/>
          <w:sz w:val="24"/>
          <w:szCs w:val="24"/>
        </w:rPr>
        <w:t>fruit quality and seed traits of mandarin variants in North</w:t>
      </w:r>
      <w:r>
        <w:rPr>
          <w:rFonts w:ascii="Times New Roman" w:hAnsi="Times New Roman" w:cs="Times New Roman"/>
          <w:sz w:val="24"/>
          <w:szCs w:val="24"/>
        </w:rPr>
        <w:t xml:space="preserve"> </w:t>
      </w:r>
      <w:r w:rsidRPr="007071FF">
        <w:rPr>
          <w:rFonts w:ascii="Times New Roman" w:hAnsi="Times New Roman" w:cs="Times New Roman"/>
          <w:sz w:val="24"/>
          <w:szCs w:val="24"/>
        </w:rPr>
        <w:t xml:space="preserve">East India. </w:t>
      </w:r>
      <w:r w:rsidRPr="00566763">
        <w:rPr>
          <w:rFonts w:ascii="Times New Roman" w:hAnsi="Times New Roman" w:cs="Times New Roman"/>
          <w:i/>
          <w:iCs/>
          <w:sz w:val="24"/>
          <w:szCs w:val="24"/>
        </w:rPr>
        <w:t>Indian J</w:t>
      </w:r>
      <w:r>
        <w:rPr>
          <w:rFonts w:ascii="Times New Roman" w:hAnsi="Times New Roman" w:cs="Times New Roman"/>
          <w:i/>
          <w:iCs/>
          <w:sz w:val="24"/>
          <w:szCs w:val="24"/>
        </w:rPr>
        <w:t>.</w:t>
      </w:r>
      <w:r w:rsidRPr="00566763">
        <w:rPr>
          <w:rFonts w:ascii="Times New Roman" w:hAnsi="Times New Roman" w:cs="Times New Roman"/>
          <w:i/>
          <w:iCs/>
          <w:sz w:val="24"/>
          <w:szCs w:val="24"/>
        </w:rPr>
        <w:t xml:space="preserve"> Hort</w:t>
      </w:r>
      <w:r>
        <w:rPr>
          <w:rFonts w:ascii="Times New Roman" w:hAnsi="Times New Roman" w:cs="Times New Roman"/>
          <w:sz w:val="24"/>
          <w:szCs w:val="24"/>
        </w:rPr>
        <w:t>.,</w:t>
      </w:r>
      <w:r w:rsidRPr="007071FF">
        <w:rPr>
          <w:rFonts w:ascii="Times New Roman" w:hAnsi="Times New Roman" w:cs="Times New Roman"/>
          <w:sz w:val="24"/>
          <w:szCs w:val="24"/>
        </w:rPr>
        <w:t xml:space="preserve"> 72: 162-166.</w:t>
      </w:r>
    </w:p>
    <w:p w:rsidR="00566763" w:rsidRPr="008C2D4F" w:rsidRDefault="00566763" w:rsidP="00566763">
      <w:pPr>
        <w:shd w:val="clear" w:color="auto" w:fill="FFFFFF"/>
        <w:spacing w:after="0" w:line="0" w:lineRule="auto"/>
        <w:ind w:left="720" w:hanging="720"/>
        <w:rPr>
          <w:rFonts w:ascii="ff3" w:eastAsia="Times New Roman" w:hAnsi="ff3" w:cs="Times New Roman"/>
          <w:color w:val="231F20"/>
          <w:sz w:val="54"/>
          <w:szCs w:val="54"/>
        </w:rPr>
      </w:pPr>
      <w:r w:rsidRPr="008C2D4F">
        <w:rPr>
          <w:rFonts w:ascii="ff3" w:eastAsia="Times New Roman" w:hAnsi="ff3" w:cs="Times New Roman"/>
          <w:color w:val="231F20"/>
          <w:sz w:val="54"/>
          <w:szCs w:val="54"/>
        </w:rPr>
        <w:t>Kumar R S. 2016. Evaluation of Coorg mandarin (</w:t>
      </w:r>
      <w:r w:rsidRPr="008C2D4F">
        <w:rPr>
          <w:rFonts w:ascii="ff2" w:eastAsia="Times New Roman" w:hAnsi="ff2" w:cs="Times New Roman"/>
          <w:color w:val="231F20"/>
          <w:sz w:val="54"/>
          <w:szCs w:val="54"/>
        </w:rPr>
        <w:t xml:space="preserve">Citrus </w:t>
      </w:r>
    </w:p>
    <w:p w:rsidR="00566763" w:rsidRPr="008C2D4F" w:rsidRDefault="00566763" w:rsidP="00566763">
      <w:pPr>
        <w:shd w:val="clear" w:color="auto" w:fill="FFFFFF"/>
        <w:spacing w:after="0" w:line="0" w:lineRule="auto"/>
        <w:ind w:left="720" w:hanging="720"/>
        <w:rPr>
          <w:rFonts w:ascii="ff3" w:eastAsia="Times New Roman" w:hAnsi="ff3" w:cs="Times New Roman"/>
          <w:color w:val="231F20"/>
          <w:sz w:val="54"/>
          <w:szCs w:val="54"/>
        </w:rPr>
      </w:pPr>
      <w:r w:rsidRPr="008C2D4F">
        <w:rPr>
          <w:rFonts w:ascii="ff3" w:eastAsia="Times New Roman" w:hAnsi="ff3" w:cs="Times New Roman"/>
          <w:color w:val="231F20"/>
          <w:sz w:val="54"/>
          <w:szCs w:val="54"/>
        </w:rPr>
        <w:t>Kumar R S. 2016. Evaluation of Coorg mandarin (</w:t>
      </w:r>
      <w:r w:rsidRPr="008C2D4F">
        <w:rPr>
          <w:rFonts w:ascii="ff2" w:eastAsia="Times New Roman" w:hAnsi="ff2" w:cs="Times New Roman"/>
          <w:color w:val="231F20"/>
          <w:sz w:val="54"/>
          <w:szCs w:val="54"/>
        </w:rPr>
        <w:t xml:space="preserve">Citrus </w:t>
      </w:r>
    </w:p>
    <w:p w:rsidR="00566763" w:rsidRPr="008C2D4F" w:rsidRDefault="00566763" w:rsidP="00566763">
      <w:pPr>
        <w:shd w:val="clear" w:color="auto" w:fill="FFFFFF"/>
        <w:spacing w:after="0" w:line="0" w:lineRule="auto"/>
        <w:ind w:left="720" w:hanging="720"/>
        <w:rPr>
          <w:rFonts w:ascii="ff3" w:eastAsia="Times New Roman" w:hAnsi="ff3" w:cs="Times New Roman"/>
          <w:color w:val="231F20"/>
          <w:sz w:val="54"/>
          <w:szCs w:val="54"/>
        </w:rPr>
      </w:pPr>
      <w:r w:rsidRPr="008C2D4F">
        <w:rPr>
          <w:rFonts w:ascii="ff3" w:eastAsia="Times New Roman" w:hAnsi="ff3" w:cs="Times New Roman"/>
          <w:color w:val="231F20"/>
          <w:sz w:val="54"/>
          <w:szCs w:val="54"/>
        </w:rPr>
        <w:t>Kumar R S. 2016. Evaluation of Coorg mandarin (</w:t>
      </w:r>
      <w:r w:rsidRPr="008C2D4F">
        <w:rPr>
          <w:rFonts w:ascii="ff2" w:eastAsia="Times New Roman" w:hAnsi="ff2" w:cs="Times New Roman"/>
          <w:color w:val="231F20"/>
          <w:sz w:val="54"/>
          <w:szCs w:val="54"/>
        </w:rPr>
        <w:t xml:space="preserve">Citrus </w:t>
      </w:r>
    </w:p>
    <w:p w:rsidR="00566763" w:rsidRDefault="00EF0BBE" w:rsidP="00566763">
      <w:pPr>
        <w:spacing w:after="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Ladaniya</w:t>
      </w:r>
      <w:proofErr w:type="spellEnd"/>
      <w:r>
        <w:rPr>
          <w:rFonts w:ascii="Times New Roman" w:hAnsi="Times New Roman" w:cs="Times New Roman"/>
          <w:sz w:val="24"/>
          <w:szCs w:val="24"/>
        </w:rPr>
        <w:t>, M. S. 2008</w:t>
      </w:r>
      <w:r w:rsidR="00566763" w:rsidRPr="00066373">
        <w:rPr>
          <w:rFonts w:ascii="Times New Roman" w:hAnsi="Times New Roman" w:cs="Times New Roman"/>
          <w:sz w:val="24"/>
          <w:szCs w:val="24"/>
        </w:rPr>
        <w:t>. Citrus Fruit: Biology, Technology and Evaluation. Academic Press.</w:t>
      </w:r>
    </w:p>
    <w:p w:rsidR="00566763" w:rsidRDefault="00566763" w:rsidP="00566763">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Moore, G. A. 2001.</w:t>
      </w:r>
      <w:r w:rsidRPr="00552C12">
        <w:rPr>
          <w:rFonts w:ascii="Times New Roman" w:hAnsi="Times New Roman" w:cs="Times New Roman"/>
          <w:sz w:val="24"/>
          <w:szCs w:val="24"/>
        </w:rPr>
        <w:t xml:space="preserve"> Oranges and lemons, clues to the taxonomy of Citrus from molecular markers. – Trends Genetics 17: 536-540.</w:t>
      </w:r>
    </w:p>
    <w:p w:rsidR="00566763" w:rsidRDefault="00EF0BBE" w:rsidP="00566763">
      <w:pPr>
        <w:spacing w:after="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Mulualem</w:t>
      </w:r>
      <w:proofErr w:type="spellEnd"/>
      <w:r>
        <w:rPr>
          <w:rFonts w:ascii="Times New Roman" w:hAnsi="Times New Roman" w:cs="Times New Roman"/>
          <w:sz w:val="24"/>
          <w:szCs w:val="24"/>
        </w:rPr>
        <w:t>, T., Mohammed, H. 2012.</w:t>
      </w:r>
      <w:r w:rsidR="00566763" w:rsidRPr="004C1D3F">
        <w:rPr>
          <w:rFonts w:ascii="Times New Roman" w:hAnsi="Times New Roman" w:cs="Times New Roman"/>
          <w:sz w:val="24"/>
          <w:szCs w:val="24"/>
        </w:rPr>
        <w:t xml:space="preserve"> Genetic variability and association among yield and yield related traits in Aerial Yam (</w:t>
      </w:r>
      <w:proofErr w:type="spellStart"/>
      <w:r w:rsidR="00566763" w:rsidRPr="004C1D3F">
        <w:rPr>
          <w:rFonts w:ascii="Times New Roman" w:hAnsi="Times New Roman" w:cs="Times New Roman"/>
          <w:sz w:val="24"/>
          <w:szCs w:val="24"/>
        </w:rPr>
        <w:t>Dioscorea</w:t>
      </w:r>
      <w:proofErr w:type="spellEnd"/>
      <w:r w:rsidR="00566763" w:rsidRPr="004C1D3F">
        <w:rPr>
          <w:rFonts w:ascii="Times New Roman" w:hAnsi="Times New Roman" w:cs="Times New Roman"/>
          <w:sz w:val="24"/>
          <w:szCs w:val="24"/>
        </w:rPr>
        <w:t xml:space="preserve"> </w:t>
      </w:r>
      <w:proofErr w:type="spellStart"/>
      <w:r w:rsidR="00566763" w:rsidRPr="004C1D3F">
        <w:rPr>
          <w:rFonts w:ascii="Times New Roman" w:hAnsi="Times New Roman" w:cs="Times New Roman"/>
          <w:sz w:val="24"/>
          <w:szCs w:val="24"/>
        </w:rPr>
        <w:t>bulbifera</w:t>
      </w:r>
      <w:proofErr w:type="spellEnd"/>
      <w:r w:rsidR="00566763" w:rsidRPr="004C1D3F">
        <w:rPr>
          <w:rFonts w:ascii="Times New Roman" w:hAnsi="Times New Roman" w:cs="Times New Roman"/>
          <w:sz w:val="24"/>
          <w:szCs w:val="24"/>
        </w:rPr>
        <w:t xml:space="preserve"> L.) accessi</w:t>
      </w:r>
      <w:r w:rsidR="00566763">
        <w:rPr>
          <w:rFonts w:ascii="Times New Roman" w:hAnsi="Times New Roman" w:cs="Times New Roman"/>
          <w:sz w:val="24"/>
          <w:szCs w:val="24"/>
        </w:rPr>
        <w:t xml:space="preserve">ons at South-western Ethiopia. </w:t>
      </w:r>
      <w:r w:rsidR="00566763" w:rsidRPr="00566763">
        <w:rPr>
          <w:rFonts w:ascii="Times New Roman" w:hAnsi="Times New Roman" w:cs="Times New Roman"/>
          <w:i/>
          <w:iCs/>
          <w:sz w:val="24"/>
          <w:szCs w:val="24"/>
        </w:rPr>
        <w:t>Journal of Natural Sciences and Research</w:t>
      </w:r>
      <w:r w:rsidR="00566763">
        <w:rPr>
          <w:rFonts w:ascii="Times New Roman" w:hAnsi="Times New Roman" w:cs="Times New Roman"/>
          <w:sz w:val="24"/>
          <w:szCs w:val="24"/>
        </w:rPr>
        <w:t>,</w:t>
      </w:r>
      <w:r w:rsidR="00566763" w:rsidRPr="004C1D3F">
        <w:rPr>
          <w:rFonts w:ascii="Times New Roman" w:hAnsi="Times New Roman" w:cs="Times New Roman"/>
          <w:sz w:val="24"/>
          <w:szCs w:val="24"/>
        </w:rPr>
        <w:t xml:space="preserve"> 2(9): 123-129.</w:t>
      </w:r>
    </w:p>
    <w:p w:rsidR="00566763" w:rsidRDefault="00566763" w:rsidP="00566763">
      <w:pPr>
        <w:spacing w:after="0"/>
        <w:ind w:left="720" w:hanging="720"/>
        <w:jc w:val="both"/>
        <w:rPr>
          <w:rFonts w:ascii="Times New Roman" w:hAnsi="Times New Roman" w:cs="Times New Roman"/>
          <w:sz w:val="24"/>
          <w:szCs w:val="24"/>
        </w:rPr>
      </w:pPr>
      <w:proofErr w:type="spellStart"/>
      <w:r w:rsidRPr="00B02BCE">
        <w:rPr>
          <w:rFonts w:ascii="Times New Roman" w:hAnsi="Times New Roman" w:cs="Times New Roman"/>
          <w:sz w:val="24"/>
          <w:szCs w:val="24"/>
        </w:rPr>
        <w:t>Rattanpal</w:t>
      </w:r>
      <w:proofErr w:type="spellEnd"/>
      <w:r w:rsidRPr="00B02BCE">
        <w:rPr>
          <w:rFonts w:ascii="Times New Roman" w:hAnsi="Times New Roman" w:cs="Times New Roman"/>
          <w:sz w:val="24"/>
          <w:szCs w:val="24"/>
        </w:rPr>
        <w:t>, H. S.,</w:t>
      </w:r>
      <w:r w:rsidR="00EF0BBE">
        <w:rPr>
          <w:rFonts w:ascii="Times New Roman" w:hAnsi="Times New Roman" w:cs="Times New Roman"/>
          <w:sz w:val="24"/>
          <w:szCs w:val="24"/>
        </w:rPr>
        <w:t xml:space="preserve"> Singh, H., Uppal, G. S. 2018.</w:t>
      </w:r>
      <w:r w:rsidRPr="00B02BCE">
        <w:rPr>
          <w:rFonts w:ascii="Times New Roman" w:hAnsi="Times New Roman" w:cs="Times New Roman"/>
          <w:sz w:val="24"/>
          <w:szCs w:val="24"/>
        </w:rPr>
        <w:t xml:space="preserve"> Genetic divergence in trifoliate citrus rootstocks under sub-t</w:t>
      </w:r>
      <w:r>
        <w:rPr>
          <w:rFonts w:ascii="Times New Roman" w:hAnsi="Times New Roman" w:cs="Times New Roman"/>
          <w:sz w:val="24"/>
          <w:szCs w:val="24"/>
        </w:rPr>
        <w:t xml:space="preserve">ropical conditions of Punjab. </w:t>
      </w:r>
      <w:r w:rsidRPr="00566763">
        <w:rPr>
          <w:rFonts w:ascii="Times New Roman" w:hAnsi="Times New Roman" w:cs="Times New Roman"/>
          <w:i/>
          <w:iCs/>
          <w:sz w:val="24"/>
          <w:szCs w:val="24"/>
        </w:rPr>
        <w:t>Journal of Pharmacognosy and Photochemistry</w:t>
      </w:r>
      <w:r>
        <w:rPr>
          <w:rFonts w:ascii="Times New Roman" w:hAnsi="Times New Roman" w:cs="Times New Roman"/>
          <w:i/>
          <w:iCs/>
          <w:sz w:val="24"/>
          <w:szCs w:val="24"/>
        </w:rPr>
        <w:t>,</w:t>
      </w:r>
      <w:r w:rsidRPr="00B02BCE">
        <w:rPr>
          <w:rFonts w:ascii="Times New Roman" w:hAnsi="Times New Roman" w:cs="Times New Roman"/>
          <w:sz w:val="24"/>
          <w:szCs w:val="24"/>
        </w:rPr>
        <w:t xml:space="preserve"> 7: 953-957.</w:t>
      </w:r>
    </w:p>
    <w:p w:rsidR="00566763" w:rsidRPr="008C2D4F" w:rsidRDefault="00566763" w:rsidP="00566763">
      <w:pPr>
        <w:shd w:val="clear" w:color="auto" w:fill="FFFFFF"/>
        <w:spacing w:after="0" w:line="0" w:lineRule="auto"/>
        <w:ind w:left="720" w:hanging="720"/>
        <w:rPr>
          <w:rFonts w:ascii="ff2" w:eastAsia="Times New Roman" w:hAnsi="ff2" w:cs="Times New Roman"/>
          <w:color w:val="231F20"/>
          <w:sz w:val="54"/>
          <w:szCs w:val="54"/>
        </w:rPr>
      </w:pPr>
      <w:r w:rsidRPr="008C2D4F">
        <w:rPr>
          <w:rFonts w:ascii="ff2" w:eastAsia="Times New Roman" w:hAnsi="ff2" w:cs="Times New Roman"/>
          <w:color w:val="231F20"/>
          <w:sz w:val="54"/>
          <w:szCs w:val="54"/>
        </w:rPr>
        <w:t>reticulata</w:t>
      </w:r>
      <w:r w:rsidRPr="008C2D4F">
        <w:rPr>
          <w:rFonts w:ascii="ff3" w:eastAsia="Times New Roman" w:hAnsi="ff3" w:cs="Times New Roman"/>
          <w:color w:val="231F20"/>
          <w:sz w:val="54"/>
          <w:szCs w:val="54"/>
        </w:rPr>
        <w:t>) clones for yield and quality.</w:t>
      </w:r>
      <w:r w:rsidRPr="008C2D4F">
        <w:rPr>
          <w:rFonts w:ascii="ff4" w:eastAsia="Times New Roman" w:hAnsi="ff4" w:cs="Times New Roman"/>
          <w:color w:val="231F20"/>
          <w:spacing w:val="11"/>
          <w:sz w:val="54"/>
          <w:szCs w:val="54"/>
        </w:rPr>
        <w:t xml:space="preserve"> </w:t>
      </w:r>
      <w:r w:rsidRPr="008C2D4F">
        <w:rPr>
          <w:rFonts w:ascii="ff2" w:eastAsia="Times New Roman" w:hAnsi="ff2" w:cs="Times New Roman"/>
          <w:color w:val="231F20"/>
          <w:sz w:val="54"/>
          <w:szCs w:val="54"/>
        </w:rPr>
        <w:t xml:space="preserve">The Indian Journal of </w:t>
      </w:r>
    </w:p>
    <w:p w:rsidR="00566763" w:rsidRPr="008C2D4F" w:rsidRDefault="00566763" w:rsidP="00566763">
      <w:pPr>
        <w:shd w:val="clear" w:color="auto" w:fill="FFFFFF"/>
        <w:spacing w:after="0" w:line="0" w:lineRule="auto"/>
        <w:ind w:left="720" w:hanging="720"/>
        <w:rPr>
          <w:rFonts w:ascii="ff2" w:eastAsia="Times New Roman" w:hAnsi="ff2" w:cs="Times New Roman"/>
          <w:color w:val="231F20"/>
          <w:sz w:val="54"/>
          <w:szCs w:val="54"/>
        </w:rPr>
      </w:pPr>
      <w:r w:rsidRPr="008C2D4F">
        <w:rPr>
          <w:rFonts w:ascii="ff2" w:eastAsia="Times New Roman" w:hAnsi="ff2" w:cs="Times New Roman"/>
          <w:color w:val="231F20"/>
          <w:sz w:val="54"/>
          <w:szCs w:val="54"/>
        </w:rPr>
        <w:t>reticulata</w:t>
      </w:r>
      <w:r w:rsidRPr="008C2D4F">
        <w:rPr>
          <w:rFonts w:ascii="ff3" w:eastAsia="Times New Roman" w:hAnsi="ff3" w:cs="Times New Roman"/>
          <w:color w:val="231F20"/>
          <w:sz w:val="54"/>
          <w:szCs w:val="54"/>
        </w:rPr>
        <w:t>) clones for yield and quality.</w:t>
      </w:r>
      <w:r w:rsidRPr="008C2D4F">
        <w:rPr>
          <w:rFonts w:ascii="ff4" w:eastAsia="Times New Roman" w:hAnsi="ff4" w:cs="Times New Roman"/>
          <w:color w:val="231F20"/>
          <w:spacing w:val="11"/>
          <w:sz w:val="54"/>
          <w:szCs w:val="54"/>
        </w:rPr>
        <w:t xml:space="preserve"> </w:t>
      </w:r>
      <w:r w:rsidRPr="008C2D4F">
        <w:rPr>
          <w:rFonts w:ascii="ff2" w:eastAsia="Times New Roman" w:hAnsi="ff2" w:cs="Times New Roman"/>
          <w:color w:val="231F20"/>
          <w:sz w:val="54"/>
          <w:szCs w:val="54"/>
        </w:rPr>
        <w:t xml:space="preserve">The Indian Journal of </w:t>
      </w:r>
    </w:p>
    <w:p w:rsidR="00566763" w:rsidRPr="008C2D4F" w:rsidRDefault="00566763" w:rsidP="00566763">
      <w:pPr>
        <w:shd w:val="clear" w:color="auto" w:fill="FFFFFF"/>
        <w:spacing w:after="0" w:line="0" w:lineRule="auto"/>
        <w:ind w:left="720" w:hanging="720"/>
        <w:rPr>
          <w:rFonts w:ascii="ff2" w:eastAsia="Times New Roman" w:hAnsi="ff2" w:cs="Times New Roman"/>
          <w:color w:val="231F20"/>
          <w:sz w:val="54"/>
          <w:szCs w:val="54"/>
        </w:rPr>
      </w:pPr>
      <w:r w:rsidRPr="008C2D4F">
        <w:rPr>
          <w:rFonts w:ascii="ff2" w:eastAsia="Times New Roman" w:hAnsi="ff2" w:cs="Times New Roman"/>
          <w:color w:val="231F20"/>
          <w:sz w:val="54"/>
          <w:szCs w:val="54"/>
        </w:rPr>
        <w:t>reticulata</w:t>
      </w:r>
      <w:r w:rsidRPr="008C2D4F">
        <w:rPr>
          <w:rFonts w:ascii="ff3" w:eastAsia="Times New Roman" w:hAnsi="ff3" w:cs="Times New Roman"/>
          <w:color w:val="231F20"/>
          <w:sz w:val="54"/>
          <w:szCs w:val="54"/>
        </w:rPr>
        <w:t>) clones for yield and quality.</w:t>
      </w:r>
      <w:r w:rsidRPr="008C2D4F">
        <w:rPr>
          <w:rFonts w:ascii="ff4" w:eastAsia="Times New Roman" w:hAnsi="ff4" w:cs="Times New Roman"/>
          <w:color w:val="231F20"/>
          <w:spacing w:val="11"/>
          <w:sz w:val="54"/>
          <w:szCs w:val="54"/>
        </w:rPr>
        <w:t xml:space="preserve"> </w:t>
      </w:r>
      <w:r w:rsidRPr="008C2D4F">
        <w:rPr>
          <w:rFonts w:ascii="ff2" w:eastAsia="Times New Roman" w:hAnsi="ff2" w:cs="Times New Roman"/>
          <w:color w:val="231F20"/>
          <w:sz w:val="54"/>
          <w:szCs w:val="54"/>
        </w:rPr>
        <w:t xml:space="preserve">The Indian Journal of </w:t>
      </w:r>
    </w:p>
    <w:p w:rsidR="00566763" w:rsidRDefault="00566763" w:rsidP="00566763">
      <w:pPr>
        <w:spacing w:after="0"/>
        <w:ind w:left="720" w:hanging="720"/>
        <w:jc w:val="both"/>
        <w:rPr>
          <w:rFonts w:ascii="Times New Roman" w:hAnsi="Times New Roman" w:cs="Times New Roman"/>
          <w:sz w:val="24"/>
          <w:szCs w:val="24"/>
        </w:rPr>
      </w:pPr>
      <w:r w:rsidRPr="009E3BB9">
        <w:rPr>
          <w:rFonts w:ascii="Times New Roman" w:hAnsi="Times New Roman" w:cs="Times New Roman"/>
          <w:sz w:val="24"/>
          <w:szCs w:val="24"/>
        </w:rPr>
        <w:lastRenderedPageBreak/>
        <w:t xml:space="preserve">Sharma, N., Dubey, A. K., Srivastav, M., Singh, B. </w:t>
      </w:r>
      <w:r w:rsidR="00EF0BBE">
        <w:rPr>
          <w:rFonts w:ascii="Times New Roman" w:hAnsi="Times New Roman" w:cs="Times New Roman"/>
          <w:sz w:val="24"/>
          <w:szCs w:val="24"/>
        </w:rPr>
        <w:t xml:space="preserve">P., Singh, A. K., Singh, N. K. </w:t>
      </w:r>
      <w:r w:rsidRPr="009E3BB9">
        <w:rPr>
          <w:rFonts w:ascii="Times New Roman" w:hAnsi="Times New Roman" w:cs="Times New Roman"/>
          <w:sz w:val="24"/>
          <w:szCs w:val="24"/>
        </w:rPr>
        <w:t>2015</w:t>
      </w:r>
      <w:r w:rsidR="00EF0BBE">
        <w:rPr>
          <w:rFonts w:ascii="Times New Roman" w:hAnsi="Times New Roman" w:cs="Times New Roman"/>
          <w:sz w:val="24"/>
          <w:szCs w:val="24"/>
        </w:rPr>
        <w:t>.</w:t>
      </w:r>
      <w:r w:rsidRPr="009E3BB9">
        <w:rPr>
          <w:rFonts w:ascii="Times New Roman" w:hAnsi="Times New Roman" w:cs="Times New Roman"/>
          <w:sz w:val="24"/>
          <w:szCs w:val="24"/>
        </w:rPr>
        <w:t xml:space="preserve"> Assessment of genetic diversity in grapefruit (Citrus paradise </w:t>
      </w:r>
      <w:proofErr w:type="spellStart"/>
      <w:r w:rsidRPr="009E3BB9">
        <w:rPr>
          <w:rFonts w:ascii="Times New Roman" w:hAnsi="Times New Roman" w:cs="Times New Roman"/>
          <w:sz w:val="24"/>
          <w:szCs w:val="24"/>
        </w:rPr>
        <w:t>Macf</w:t>
      </w:r>
      <w:proofErr w:type="spellEnd"/>
      <w:r w:rsidRPr="009E3BB9">
        <w:rPr>
          <w:rFonts w:ascii="Times New Roman" w:hAnsi="Times New Roman" w:cs="Times New Roman"/>
          <w:sz w:val="24"/>
          <w:szCs w:val="24"/>
        </w:rPr>
        <w:t xml:space="preserve">) cultivars using </w:t>
      </w:r>
      <w:proofErr w:type="spellStart"/>
      <w:r w:rsidRPr="009E3BB9">
        <w:rPr>
          <w:rFonts w:ascii="Times New Roman" w:hAnsi="Times New Roman" w:cs="Times New Roman"/>
          <w:sz w:val="24"/>
          <w:szCs w:val="24"/>
        </w:rPr>
        <w:t>physico</w:t>
      </w:r>
      <w:proofErr w:type="spellEnd"/>
      <w:r w:rsidRPr="009E3BB9">
        <w:rPr>
          <w:rFonts w:ascii="Times New Roman" w:hAnsi="Times New Roman" w:cs="Times New Roman"/>
          <w:sz w:val="24"/>
          <w:szCs w:val="24"/>
        </w:rPr>
        <w:t>-chemical parameter</w:t>
      </w:r>
      <w:r>
        <w:rPr>
          <w:rFonts w:ascii="Times New Roman" w:hAnsi="Times New Roman" w:cs="Times New Roman"/>
          <w:sz w:val="24"/>
          <w:szCs w:val="24"/>
        </w:rPr>
        <w:t xml:space="preserve">s and microsatellite markers. </w:t>
      </w:r>
      <w:r w:rsidRPr="00566763">
        <w:rPr>
          <w:rFonts w:ascii="Times New Roman" w:hAnsi="Times New Roman" w:cs="Times New Roman"/>
          <w:i/>
          <w:iCs/>
          <w:sz w:val="24"/>
          <w:szCs w:val="24"/>
        </w:rPr>
        <w:t>Australian Journal of Crop Sciences</w:t>
      </w:r>
      <w:r>
        <w:rPr>
          <w:rFonts w:ascii="Times New Roman" w:hAnsi="Times New Roman" w:cs="Times New Roman"/>
          <w:i/>
          <w:iCs/>
          <w:sz w:val="24"/>
          <w:szCs w:val="24"/>
        </w:rPr>
        <w:t>,</w:t>
      </w:r>
      <w:r w:rsidRPr="009E3BB9">
        <w:rPr>
          <w:rFonts w:ascii="Times New Roman" w:hAnsi="Times New Roman" w:cs="Times New Roman"/>
          <w:sz w:val="24"/>
          <w:szCs w:val="24"/>
        </w:rPr>
        <w:t xml:space="preserve"> 9: 62-68.</w:t>
      </w:r>
    </w:p>
    <w:p w:rsidR="00566763" w:rsidRDefault="00566763" w:rsidP="00566763">
      <w:pPr>
        <w:spacing w:after="0"/>
        <w:ind w:left="720" w:hanging="720"/>
        <w:jc w:val="both"/>
        <w:rPr>
          <w:rFonts w:ascii="Times New Roman" w:hAnsi="Times New Roman" w:cs="Times New Roman"/>
          <w:sz w:val="24"/>
          <w:szCs w:val="24"/>
        </w:rPr>
      </w:pPr>
      <w:r w:rsidRPr="004E0524">
        <w:rPr>
          <w:rFonts w:ascii="Times New Roman" w:hAnsi="Times New Roman" w:cs="Times New Roman"/>
          <w:sz w:val="24"/>
          <w:szCs w:val="24"/>
        </w:rPr>
        <w:t xml:space="preserve">Singh, A., Singh, G., </w:t>
      </w:r>
      <w:proofErr w:type="spellStart"/>
      <w:r w:rsidRPr="004E0524">
        <w:rPr>
          <w:rFonts w:ascii="Times New Roman" w:hAnsi="Times New Roman" w:cs="Times New Roman"/>
          <w:sz w:val="24"/>
          <w:szCs w:val="24"/>
        </w:rPr>
        <w:t>Rattanpal</w:t>
      </w:r>
      <w:proofErr w:type="spellEnd"/>
      <w:r w:rsidRPr="004E0524">
        <w:rPr>
          <w:rFonts w:ascii="Times New Roman" w:hAnsi="Times New Roman" w:cs="Times New Roman"/>
          <w:sz w:val="24"/>
          <w:szCs w:val="24"/>
        </w:rPr>
        <w:t>, H. S., M</w:t>
      </w:r>
      <w:r>
        <w:rPr>
          <w:rFonts w:ascii="Times New Roman" w:hAnsi="Times New Roman" w:cs="Times New Roman"/>
          <w:sz w:val="24"/>
          <w:szCs w:val="24"/>
        </w:rPr>
        <w:t>onik</w:t>
      </w:r>
      <w:r w:rsidR="00EF0BBE">
        <w:rPr>
          <w:rFonts w:ascii="Times New Roman" w:hAnsi="Times New Roman" w:cs="Times New Roman"/>
          <w:sz w:val="24"/>
          <w:szCs w:val="24"/>
        </w:rPr>
        <w:t xml:space="preserve">a, G. </w:t>
      </w:r>
      <w:r>
        <w:rPr>
          <w:rFonts w:ascii="Times New Roman" w:hAnsi="Times New Roman" w:cs="Times New Roman"/>
          <w:sz w:val="24"/>
          <w:szCs w:val="24"/>
        </w:rPr>
        <w:t>2021</w:t>
      </w:r>
      <w:r w:rsidR="00EF0BBE">
        <w:rPr>
          <w:rFonts w:ascii="Times New Roman" w:hAnsi="Times New Roman" w:cs="Times New Roman"/>
          <w:sz w:val="24"/>
          <w:szCs w:val="24"/>
        </w:rPr>
        <w:t>.</w:t>
      </w:r>
      <w:r w:rsidRPr="004E0524">
        <w:rPr>
          <w:rFonts w:ascii="Times New Roman" w:hAnsi="Times New Roman" w:cs="Times New Roman"/>
          <w:sz w:val="24"/>
          <w:szCs w:val="24"/>
        </w:rPr>
        <w:t xml:space="preserve"> Diversity assessment of mandarin (Citrus reticulata Blanco) genotypes u</w:t>
      </w:r>
      <w:r>
        <w:rPr>
          <w:rFonts w:ascii="Times New Roman" w:hAnsi="Times New Roman" w:cs="Times New Roman"/>
          <w:sz w:val="24"/>
          <w:szCs w:val="24"/>
        </w:rPr>
        <w:t xml:space="preserve">nder sub-tropical conditions. </w:t>
      </w:r>
      <w:r w:rsidRPr="00566763">
        <w:rPr>
          <w:rFonts w:ascii="Times New Roman" w:hAnsi="Times New Roman" w:cs="Times New Roman"/>
          <w:i/>
          <w:iCs/>
          <w:sz w:val="24"/>
          <w:szCs w:val="24"/>
        </w:rPr>
        <w:t>Agricultural Research Journal</w:t>
      </w:r>
      <w:r>
        <w:rPr>
          <w:rFonts w:ascii="Times New Roman" w:hAnsi="Times New Roman" w:cs="Times New Roman"/>
          <w:sz w:val="24"/>
          <w:szCs w:val="24"/>
        </w:rPr>
        <w:t>,</w:t>
      </w:r>
      <w:r w:rsidRPr="004E0524">
        <w:rPr>
          <w:rFonts w:ascii="Times New Roman" w:hAnsi="Times New Roman" w:cs="Times New Roman"/>
          <w:sz w:val="24"/>
          <w:szCs w:val="24"/>
        </w:rPr>
        <w:t xml:space="preserve"> 58(6): 1006-1013.</w:t>
      </w:r>
    </w:p>
    <w:p w:rsidR="00566763" w:rsidRPr="00566763" w:rsidRDefault="00566763" w:rsidP="00566763">
      <w:pPr>
        <w:spacing w:after="0"/>
        <w:ind w:left="720" w:hanging="720"/>
        <w:jc w:val="both"/>
        <w:rPr>
          <w:rFonts w:ascii="Times New Roman" w:hAnsi="Times New Roman" w:cs="Times New Roman"/>
          <w:i/>
          <w:iCs/>
          <w:color w:val="232323"/>
          <w:sz w:val="24"/>
          <w:szCs w:val="24"/>
          <w:shd w:val="clear" w:color="auto" w:fill="FFFFFF"/>
        </w:rPr>
      </w:pPr>
      <w:r w:rsidRPr="00566763">
        <w:rPr>
          <w:rFonts w:ascii="Times New Roman" w:hAnsi="Times New Roman" w:cs="Times New Roman"/>
          <w:color w:val="232323"/>
          <w:sz w:val="24"/>
          <w:szCs w:val="24"/>
          <w:shd w:val="clear" w:color="auto" w:fill="FFFFFF"/>
        </w:rPr>
        <w:t xml:space="preserve">Singh, G., </w:t>
      </w:r>
      <w:proofErr w:type="spellStart"/>
      <w:r w:rsidRPr="00566763">
        <w:rPr>
          <w:rFonts w:ascii="Times New Roman" w:hAnsi="Times New Roman" w:cs="Times New Roman"/>
          <w:color w:val="232323"/>
          <w:sz w:val="24"/>
          <w:szCs w:val="24"/>
          <w:shd w:val="clear" w:color="auto" w:fill="FFFFFF"/>
        </w:rPr>
        <w:t>Aulakh</w:t>
      </w:r>
      <w:proofErr w:type="spellEnd"/>
      <w:r w:rsidRPr="00566763">
        <w:rPr>
          <w:rFonts w:ascii="Times New Roman" w:hAnsi="Times New Roman" w:cs="Times New Roman"/>
          <w:color w:val="232323"/>
          <w:sz w:val="24"/>
          <w:szCs w:val="24"/>
          <w:shd w:val="clear" w:color="auto" w:fill="FFFFFF"/>
        </w:rPr>
        <w:t xml:space="preserve">, P.S.  and </w:t>
      </w:r>
      <w:proofErr w:type="spellStart"/>
      <w:r w:rsidRPr="00566763">
        <w:rPr>
          <w:rFonts w:ascii="Times New Roman" w:hAnsi="Times New Roman" w:cs="Times New Roman"/>
          <w:color w:val="232323"/>
          <w:sz w:val="24"/>
          <w:szCs w:val="24"/>
          <w:shd w:val="clear" w:color="auto" w:fill="FFFFFF"/>
        </w:rPr>
        <w:t>Rattanpal</w:t>
      </w:r>
      <w:proofErr w:type="spellEnd"/>
      <w:r w:rsidRPr="00566763">
        <w:rPr>
          <w:rFonts w:ascii="Times New Roman" w:hAnsi="Times New Roman" w:cs="Times New Roman"/>
          <w:color w:val="232323"/>
          <w:sz w:val="24"/>
          <w:szCs w:val="24"/>
          <w:shd w:val="clear" w:color="auto" w:fill="FFFFFF"/>
        </w:rPr>
        <w:t xml:space="preserve">, H. 2017. Correlation Studies on Fruit Traits of Some Mandarin Genotypes Grown Under Sub-Tropical Conditions of India, </w:t>
      </w:r>
      <w:r w:rsidRPr="00566763">
        <w:rPr>
          <w:rFonts w:ascii="Times New Roman" w:hAnsi="Times New Roman" w:cs="Times New Roman"/>
          <w:i/>
          <w:iCs/>
          <w:color w:val="232323"/>
          <w:sz w:val="24"/>
          <w:szCs w:val="24"/>
          <w:shd w:val="clear" w:color="auto" w:fill="FFFFFF"/>
        </w:rPr>
        <w:t>J Krishi Vigyan, 6(1): 40-44.</w:t>
      </w:r>
    </w:p>
    <w:p w:rsidR="00566763" w:rsidRDefault="00566763" w:rsidP="00566763">
      <w:pPr>
        <w:spacing w:after="0"/>
        <w:ind w:left="720" w:hanging="720"/>
        <w:jc w:val="both"/>
        <w:rPr>
          <w:rFonts w:ascii="Times New Roman" w:hAnsi="Times New Roman" w:cs="Times New Roman"/>
          <w:sz w:val="24"/>
          <w:szCs w:val="24"/>
        </w:rPr>
      </w:pPr>
      <w:r w:rsidRPr="00552C12">
        <w:rPr>
          <w:rFonts w:ascii="Times New Roman" w:hAnsi="Times New Roman" w:cs="Times New Roman"/>
          <w:sz w:val="24"/>
          <w:szCs w:val="24"/>
        </w:rPr>
        <w:t xml:space="preserve">Suresh Kumar, P., Devi, P., Choudhary, </w:t>
      </w:r>
      <w:proofErr w:type="spellStart"/>
      <w:r w:rsidRPr="00552C12">
        <w:rPr>
          <w:rFonts w:ascii="Times New Roman" w:hAnsi="Times New Roman" w:cs="Times New Roman"/>
          <w:sz w:val="24"/>
          <w:szCs w:val="24"/>
        </w:rPr>
        <w:t>V.K.and</w:t>
      </w:r>
      <w:proofErr w:type="spellEnd"/>
      <w:r w:rsidRPr="00552C12">
        <w:rPr>
          <w:rFonts w:ascii="Times New Roman" w:hAnsi="Times New Roman" w:cs="Times New Roman"/>
          <w:sz w:val="24"/>
          <w:szCs w:val="24"/>
        </w:rPr>
        <w:t xml:space="preserve"> </w:t>
      </w:r>
      <w:proofErr w:type="spellStart"/>
      <w:r w:rsidRPr="00552C12">
        <w:rPr>
          <w:rFonts w:ascii="Times New Roman" w:hAnsi="Times New Roman" w:cs="Times New Roman"/>
          <w:sz w:val="24"/>
          <w:szCs w:val="24"/>
        </w:rPr>
        <w:t>Kanwat</w:t>
      </w:r>
      <w:proofErr w:type="spellEnd"/>
      <w:r w:rsidRPr="00552C12">
        <w:rPr>
          <w:rFonts w:ascii="Times New Roman" w:hAnsi="Times New Roman" w:cs="Times New Roman"/>
          <w:sz w:val="24"/>
          <w:szCs w:val="24"/>
        </w:rPr>
        <w:t>, M. 2010. Evaluation of different</w:t>
      </w:r>
      <w:r>
        <w:rPr>
          <w:rFonts w:ascii="Times New Roman" w:hAnsi="Times New Roman" w:cs="Times New Roman"/>
          <w:sz w:val="24"/>
          <w:szCs w:val="24"/>
        </w:rPr>
        <w:t xml:space="preserve"> </w:t>
      </w:r>
      <w:r w:rsidRPr="00552C12">
        <w:rPr>
          <w:rFonts w:ascii="Times New Roman" w:hAnsi="Times New Roman" w:cs="Times New Roman"/>
          <w:sz w:val="24"/>
          <w:szCs w:val="24"/>
        </w:rPr>
        <w:t>mandarin, sweet orange, rootstock species and</w:t>
      </w:r>
      <w:r>
        <w:rPr>
          <w:rFonts w:ascii="Times New Roman" w:hAnsi="Times New Roman" w:cs="Times New Roman"/>
          <w:sz w:val="24"/>
          <w:szCs w:val="24"/>
        </w:rPr>
        <w:t xml:space="preserve"> </w:t>
      </w:r>
      <w:r w:rsidRPr="00552C12">
        <w:rPr>
          <w:rFonts w:ascii="Times New Roman" w:hAnsi="Times New Roman" w:cs="Times New Roman"/>
          <w:sz w:val="24"/>
          <w:szCs w:val="24"/>
        </w:rPr>
        <w:t>cultivars under mid hill conditions of Arunachal</w:t>
      </w:r>
      <w:r>
        <w:rPr>
          <w:rFonts w:ascii="Times New Roman" w:hAnsi="Times New Roman" w:cs="Times New Roman"/>
          <w:sz w:val="24"/>
          <w:szCs w:val="24"/>
        </w:rPr>
        <w:t xml:space="preserve"> </w:t>
      </w:r>
      <w:r w:rsidRPr="00552C12">
        <w:rPr>
          <w:rFonts w:ascii="Times New Roman" w:hAnsi="Times New Roman" w:cs="Times New Roman"/>
          <w:sz w:val="24"/>
          <w:szCs w:val="24"/>
        </w:rPr>
        <w:t xml:space="preserve">Pradesh. </w:t>
      </w:r>
      <w:r w:rsidRPr="00566763">
        <w:rPr>
          <w:rFonts w:ascii="Times New Roman" w:hAnsi="Times New Roman" w:cs="Times New Roman"/>
          <w:i/>
          <w:iCs/>
          <w:sz w:val="24"/>
          <w:szCs w:val="24"/>
        </w:rPr>
        <w:t>Indian J. Hort.</w:t>
      </w:r>
      <w:r>
        <w:rPr>
          <w:rFonts w:ascii="Times New Roman" w:hAnsi="Times New Roman" w:cs="Times New Roman"/>
          <w:i/>
          <w:iCs/>
          <w:sz w:val="24"/>
          <w:szCs w:val="24"/>
        </w:rPr>
        <w:t>,</w:t>
      </w:r>
      <w:r w:rsidRPr="00552C12">
        <w:rPr>
          <w:rFonts w:ascii="Times New Roman" w:hAnsi="Times New Roman" w:cs="Times New Roman"/>
          <w:sz w:val="24"/>
          <w:szCs w:val="24"/>
        </w:rPr>
        <w:t xml:space="preserve"> 64: 433-40.</w:t>
      </w:r>
    </w:p>
    <w:p w:rsidR="00566763" w:rsidRPr="008C2D4F" w:rsidRDefault="00566763" w:rsidP="00566763">
      <w:pPr>
        <w:shd w:val="clear" w:color="auto" w:fill="FFFFFF"/>
        <w:spacing w:after="0" w:line="0" w:lineRule="auto"/>
        <w:ind w:left="720" w:hanging="720"/>
        <w:rPr>
          <w:rFonts w:ascii="ff3" w:eastAsia="Times New Roman" w:hAnsi="ff3" w:cs="Times New Roman"/>
          <w:color w:val="231F20"/>
          <w:sz w:val="54"/>
          <w:szCs w:val="54"/>
        </w:rPr>
      </w:pPr>
      <w:r w:rsidRPr="008C2D4F">
        <w:rPr>
          <w:rFonts w:ascii="ff3" w:eastAsia="Times New Roman" w:hAnsi="ff3" w:cs="Times New Roman"/>
          <w:color w:val="231F20"/>
          <w:sz w:val="54"/>
          <w:szCs w:val="54"/>
        </w:rPr>
        <w:t xml:space="preserve">Tripathi P C, </w:t>
      </w:r>
      <w:proofErr w:type="spellStart"/>
      <w:r w:rsidRPr="008C2D4F">
        <w:rPr>
          <w:rFonts w:ascii="ff3" w:eastAsia="Times New Roman" w:hAnsi="ff3" w:cs="Times New Roman"/>
          <w:color w:val="231F20"/>
          <w:sz w:val="54"/>
          <w:szCs w:val="54"/>
        </w:rPr>
        <w:t>Karunakaran</w:t>
      </w:r>
      <w:proofErr w:type="spellEnd"/>
      <w:r w:rsidRPr="008C2D4F">
        <w:rPr>
          <w:rFonts w:ascii="ff3" w:eastAsia="Times New Roman" w:hAnsi="ff3" w:cs="Times New Roman"/>
          <w:color w:val="231F20"/>
          <w:sz w:val="54"/>
          <w:szCs w:val="54"/>
        </w:rPr>
        <w:t xml:space="preserve"> G T, Sakthivel H R, Sankar V and </w:t>
      </w:r>
    </w:p>
    <w:p w:rsidR="00566763" w:rsidRPr="008C2D4F" w:rsidRDefault="00566763" w:rsidP="00566763">
      <w:pPr>
        <w:shd w:val="clear" w:color="auto" w:fill="FFFFFF"/>
        <w:spacing w:after="0" w:line="0" w:lineRule="auto"/>
        <w:ind w:left="720" w:hanging="720"/>
        <w:rPr>
          <w:rFonts w:ascii="ff3" w:eastAsia="Times New Roman" w:hAnsi="ff3" w:cs="Times New Roman"/>
          <w:color w:val="231F20"/>
          <w:sz w:val="54"/>
          <w:szCs w:val="54"/>
        </w:rPr>
      </w:pPr>
      <w:r w:rsidRPr="008C2D4F">
        <w:rPr>
          <w:rFonts w:ascii="ff3" w:eastAsia="Times New Roman" w:hAnsi="ff3" w:cs="Times New Roman"/>
          <w:color w:val="231F20"/>
          <w:sz w:val="54"/>
          <w:szCs w:val="54"/>
        </w:rPr>
        <w:t xml:space="preserve">Tripathi P C, </w:t>
      </w:r>
      <w:proofErr w:type="spellStart"/>
      <w:r w:rsidRPr="008C2D4F">
        <w:rPr>
          <w:rFonts w:ascii="ff3" w:eastAsia="Times New Roman" w:hAnsi="ff3" w:cs="Times New Roman"/>
          <w:color w:val="231F20"/>
          <w:sz w:val="54"/>
          <w:szCs w:val="54"/>
        </w:rPr>
        <w:t>Karunakaran</w:t>
      </w:r>
      <w:proofErr w:type="spellEnd"/>
      <w:r w:rsidRPr="008C2D4F">
        <w:rPr>
          <w:rFonts w:ascii="ff3" w:eastAsia="Times New Roman" w:hAnsi="ff3" w:cs="Times New Roman"/>
          <w:color w:val="231F20"/>
          <w:sz w:val="54"/>
          <w:szCs w:val="54"/>
        </w:rPr>
        <w:t xml:space="preserve"> G T, Sakthivel H R, Sankar V and </w:t>
      </w:r>
    </w:p>
    <w:p w:rsidR="00566763" w:rsidRPr="008C2D4F" w:rsidRDefault="00566763" w:rsidP="00566763">
      <w:pPr>
        <w:shd w:val="clear" w:color="auto" w:fill="FFFFFF"/>
        <w:spacing w:after="0" w:line="0" w:lineRule="auto"/>
        <w:ind w:left="720" w:hanging="720"/>
        <w:rPr>
          <w:rFonts w:ascii="ff3" w:eastAsia="Times New Roman" w:hAnsi="ff3" w:cs="Times New Roman"/>
          <w:color w:val="231F20"/>
          <w:sz w:val="54"/>
          <w:szCs w:val="54"/>
        </w:rPr>
      </w:pPr>
      <w:r w:rsidRPr="008C2D4F">
        <w:rPr>
          <w:rFonts w:ascii="ff3" w:eastAsia="Times New Roman" w:hAnsi="ff3" w:cs="Times New Roman"/>
          <w:color w:val="231F20"/>
          <w:sz w:val="54"/>
          <w:szCs w:val="54"/>
        </w:rPr>
        <w:t xml:space="preserve">Tripathi P C, </w:t>
      </w:r>
      <w:proofErr w:type="spellStart"/>
      <w:r w:rsidRPr="008C2D4F">
        <w:rPr>
          <w:rFonts w:ascii="ff3" w:eastAsia="Times New Roman" w:hAnsi="ff3" w:cs="Times New Roman"/>
          <w:color w:val="231F20"/>
          <w:sz w:val="54"/>
          <w:szCs w:val="54"/>
        </w:rPr>
        <w:t>Karunakaran</w:t>
      </w:r>
      <w:proofErr w:type="spellEnd"/>
      <w:r w:rsidRPr="008C2D4F">
        <w:rPr>
          <w:rFonts w:ascii="ff3" w:eastAsia="Times New Roman" w:hAnsi="ff3" w:cs="Times New Roman"/>
          <w:color w:val="231F20"/>
          <w:sz w:val="54"/>
          <w:szCs w:val="54"/>
        </w:rPr>
        <w:t xml:space="preserve"> G T, Sakthivel H R, Sankar V and </w:t>
      </w:r>
    </w:p>
    <w:p w:rsidR="00566763" w:rsidRPr="00781A3E" w:rsidRDefault="00566763" w:rsidP="00566763">
      <w:pPr>
        <w:spacing w:after="0"/>
        <w:ind w:left="720" w:hanging="720"/>
        <w:jc w:val="both"/>
        <w:rPr>
          <w:rFonts w:ascii="Times New Roman" w:hAnsi="Times New Roman" w:cs="Times New Roman"/>
          <w:sz w:val="24"/>
          <w:szCs w:val="24"/>
        </w:rPr>
      </w:pPr>
      <w:r w:rsidRPr="008C2D4F">
        <w:rPr>
          <w:rFonts w:ascii="Times New Roman" w:hAnsi="Times New Roman" w:cs="Times New Roman"/>
          <w:sz w:val="24"/>
          <w:szCs w:val="24"/>
        </w:rPr>
        <w:t xml:space="preserve">Tripathi P C, </w:t>
      </w:r>
      <w:proofErr w:type="spellStart"/>
      <w:r w:rsidRPr="008C2D4F">
        <w:rPr>
          <w:rFonts w:ascii="Times New Roman" w:hAnsi="Times New Roman" w:cs="Times New Roman"/>
          <w:sz w:val="24"/>
          <w:szCs w:val="24"/>
        </w:rPr>
        <w:t>Karunakaran</w:t>
      </w:r>
      <w:proofErr w:type="spellEnd"/>
      <w:r w:rsidRPr="008C2D4F">
        <w:rPr>
          <w:rFonts w:ascii="Times New Roman" w:hAnsi="Times New Roman" w:cs="Times New Roman"/>
          <w:sz w:val="24"/>
          <w:szCs w:val="24"/>
        </w:rPr>
        <w:t xml:space="preserve"> G T, Sakthivel H R, Sankar V and Kumar R S. 2016. Evaluation of Coorg mandarin (Citrus reticulata) clones for yield and quality. </w:t>
      </w:r>
      <w:r w:rsidRPr="00566763">
        <w:rPr>
          <w:rFonts w:ascii="Times New Roman" w:hAnsi="Times New Roman" w:cs="Times New Roman"/>
          <w:i/>
          <w:iCs/>
          <w:sz w:val="24"/>
          <w:szCs w:val="24"/>
        </w:rPr>
        <w:t>The Indian Journal of Agricultural Sciences</w:t>
      </w:r>
      <w:r>
        <w:rPr>
          <w:rFonts w:ascii="Times New Roman" w:hAnsi="Times New Roman" w:cs="Times New Roman"/>
          <w:sz w:val="24"/>
          <w:szCs w:val="24"/>
        </w:rPr>
        <w:t>,</w:t>
      </w:r>
      <w:r w:rsidRPr="008C2D4F">
        <w:rPr>
          <w:rFonts w:ascii="Times New Roman" w:hAnsi="Times New Roman" w:cs="Times New Roman"/>
          <w:sz w:val="24"/>
          <w:szCs w:val="24"/>
        </w:rPr>
        <w:t xml:space="preserve"> 86(7): 901–05.</w:t>
      </w:r>
    </w:p>
    <w:p w:rsidR="00566763" w:rsidRDefault="00566763" w:rsidP="00566763">
      <w:pPr>
        <w:spacing w:after="0"/>
        <w:ind w:left="720" w:hanging="720"/>
        <w:jc w:val="both"/>
        <w:rPr>
          <w:rFonts w:ascii="Times New Roman" w:hAnsi="Times New Roman" w:cs="Times New Roman"/>
          <w:sz w:val="24"/>
          <w:szCs w:val="24"/>
        </w:rPr>
      </w:pPr>
      <w:r w:rsidRPr="007071FF">
        <w:rPr>
          <w:rFonts w:ascii="Times New Roman" w:hAnsi="Times New Roman" w:cs="Times New Roman"/>
          <w:sz w:val="24"/>
          <w:szCs w:val="24"/>
        </w:rPr>
        <w:t>Visscher PM, Hill WG, Wray NR.</w:t>
      </w:r>
      <w:r w:rsidR="00EF0BBE">
        <w:rPr>
          <w:rFonts w:ascii="Times New Roman" w:hAnsi="Times New Roman" w:cs="Times New Roman"/>
          <w:sz w:val="24"/>
          <w:szCs w:val="24"/>
        </w:rPr>
        <w:t xml:space="preserve"> </w:t>
      </w:r>
      <w:r w:rsidR="00EF0BBE" w:rsidRPr="007071FF">
        <w:rPr>
          <w:rFonts w:ascii="Times New Roman" w:hAnsi="Times New Roman" w:cs="Times New Roman"/>
          <w:sz w:val="24"/>
          <w:szCs w:val="24"/>
        </w:rPr>
        <w:t>2008</w:t>
      </w:r>
      <w:r w:rsidRPr="007071FF">
        <w:rPr>
          <w:rFonts w:ascii="Times New Roman" w:hAnsi="Times New Roman" w:cs="Times New Roman"/>
          <w:sz w:val="24"/>
          <w:szCs w:val="24"/>
        </w:rPr>
        <w:t xml:space="preserve"> Heritability in the genomics era—concepts and misconceptions. Nat Rev Genet.;9: 255–266. pmid:18319743</w:t>
      </w:r>
    </w:p>
    <w:p w:rsidR="006F2DB2" w:rsidRDefault="006F2DB2" w:rsidP="00566763">
      <w:pPr>
        <w:spacing w:after="0"/>
        <w:ind w:left="720" w:hanging="720"/>
        <w:jc w:val="both"/>
        <w:rPr>
          <w:rFonts w:ascii="Times New Roman" w:hAnsi="Times New Roman" w:cs="Times New Roman"/>
          <w:sz w:val="24"/>
          <w:szCs w:val="24"/>
        </w:rPr>
      </w:pPr>
    </w:p>
    <w:sectPr w:rsidR="006F2DB2" w:rsidSect="00BE24B4">
      <w:headerReference w:type="even" r:id="rId10"/>
      <w:headerReference w:type="default" r:id="rId11"/>
      <w:footerReference w:type="even" r:id="rId12"/>
      <w:footerReference w:type="default" r:id="rId13"/>
      <w:headerReference w:type="first" r:id="rId14"/>
      <w:footerReference w:type="first" r:id="rId15"/>
      <w:pgSz w:w="12240" w:h="15840"/>
      <w:pgMar w:top="1440" w:right="99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61B" w:rsidRDefault="00ED361B" w:rsidP="005066FD">
      <w:pPr>
        <w:spacing w:after="0" w:line="240" w:lineRule="auto"/>
      </w:pPr>
      <w:r>
        <w:separator/>
      </w:r>
    </w:p>
  </w:endnote>
  <w:endnote w:type="continuationSeparator" w:id="0">
    <w:p w:rsidR="00ED361B" w:rsidRDefault="00ED361B" w:rsidP="00506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f2">
    <w:altName w:val="Times New Roman"/>
    <w:panose1 w:val="00000000000000000000"/>
    <w:charset w:val="00"/>
    <w:family w:val="roman"/>
    <w:notTrueType/>
    <w:pitch w:val="default"/>
  </w:font>
  <w:font w:name="ff4">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6FD" w:rsidRDefault="00506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6FD" w:rsidRDefault="005066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6FD" w:rsidRDefault="00506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61B" w:rsidRDefault="00ED361B" w:rsidP="005066FD">
      <w:pPr>
        <w:spacing w:after="0" w:line="240" w:lineRule="auto"/>
      </w:pPr>
      <w:r>
        <w:separator/>
      </w:r>
    </w:p>
  </w:footnote>
  <w:footnote w:type="continuationSeparator" w:id="0">
    <w:p w:rsidR="00ED361B" w:rsidRDefault="00ED361B" w:rsidP="00506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6FD" w:rsidRDefault="005066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867126" o:spid="_x0000_s2050" type="#_x0000_t136" style="position:absolute;margin-left:0;margin-top:0;width:608.5pt;height:114.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6FD" w:rsidRDefault="005066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867127" o:spid="_x0000_s2051" type="#_x0000_t136" style="position:absolute;margin-left:0;margin-top:0;width:608.5pt;height:114.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6FD" w:rsidRDefault="005066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867125" o:spid="_x0000_s2049" type="#_x0000_t136" style="position:absolute;margin-left:0;margin-top:0;width:608.5pt;height:114.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473CF"/>
    <w:multiLevelType w:val="multilevel"/>
    <w:tmpl w:val="2DB0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9E6FA0"/>
    <w:multiLevelType w:val="multilevel"/>
    <w:tmpl w:val="2F4E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016B7"/>
    <w:multiLevelType w:val="multilevel"/>
    <w:tmpl w:val="288A863E"/>
    <w:lvl w:ilvl="0">
      <w:start w:val="1"/>
      <w:numFmt w:val="bullet"/>
      <w:lvlText w:val=""/>
      <w:lvlJc w:val="left"/>
      <w:pPr>
        <w:tabs>
          <w:tab w:val="num" w:pos="720"/>
        </w:tabs>
        <w:ind w:left="720" w:hanging="360"/>
      </w:pPr>
      <w:rPr>
        <w:rFonts w:ascii="Symbol" w:hAnsi="Symbol" w:hint="default"/>
        <w:b w:val="0"/>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790DC9"/>
    <w:multiLevelType w:val="multilevel"/>
    <w:tmpl w:val="274C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B708B"/>
    <w:multiLevelType w:val="multilevel"/>
    <w:tmpl w:val="A35C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5F634C"/>
    <w:multiLevelType w:val="multilevel"/>
    <w:tmpl w:val="39B6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92A28"/>
    <w:multiLevelType w:val="multilevel"/>
    <w:tmpl w:val="F012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375D09"/>
    <w:multiLevelType w:val="multilevel"/>
    <w:tmpl w:val="E156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9B2D93"/>
    <w:multiLevelType w:val="multilevel"/>
    <w:tmpl w:val="24D0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462281"/>
    <w:multiLevelType w:val="multilevel"/>
    <w:tmpl w:val="ED50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3"/>
  </w:num>
  <w:num w:numId="4">
    <w:abstractNumId w:val="4"/>
  </w:num>
  <w:num w:numId="5">
    <w:abstractNumId w:val="1"/>
  </w:num>
  <w:num w:numId="6">
    <w:abstractNumId w:val="0"/>
  </w:num>
  <w:num w:numId="7">
    <w:abstractNumId w:val="7"/>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AF2"/>
    <w:rsid w:val="00066373"/>
    <w:rsid w:val="000A114D"/>
    <w:rsid w:val="000F5250"/>
    <w:rsid w:val="00194BF9"/>
    <w:rsid w:val="001A3CAB"/>
    <w:rsid w:val="001C50F4"/>
    <w:rsid w:val="001D29D2"/>
    <w:rsid w:val="001E1DF3"/>
    <w:rsid w:val="00206C4B"/>
    <w:rsid w:val="00220B7E"/>
    <w:rsid w:val="00263BC0"/>
    <w:rsid w:val="00292390"/>
    <w:rsid w:val="002E03BF"/>
    <w:rsid w:val="002F3A48"/>
    <w:rsid w:val="00303E7A"/>
    <w:rsid w:val="0032415C"/>
    <w:rsid w:val="0032585E"/>
    <w:rsid w:val="00326D4C"/>
    <w:rsid w:val="00365AB4"/>
    <w:rsid w:val="00394A8C"/>
    <w:rsid w:val="003A69AB"/>
    <w:rsid w:val="003B3D21"/>
    <w:rsid w:val="004158F8"/>
    <w:rsid w:val="004369F1"/>
    <w:rsid w:val="004766A9"/>
    <w:rsid w:val="004937C0"/>
    <w:rsid w:val="004A2459"/>
    <w:rsid w:val="004A7397"/>
    <w:rsid w:val="004C1D3F"/>
    <w:rsid w:val="004D04EE"/>
    <w:rsid w:val="004E0524"/>
    <w:rsid w:val="004F367E"/>
    <w:rsid w:val="00502AE7"/>
    <w:rsid w:val="005066FD"/>
    <w:rsid w:val="00544FB2"/>
    <w:rsid w:val="00552C12"/>
    <w:rsid w:val="00560190"/>
    <w:rsid w:val="00566763"/>
    <w:rsid w:val="006479E7"/>
    <w:rsid w:val="00655478"/>
    <w:rsid w:val="006F2DB2"/>
    <w:rsid w:val="007071FF"/>
    <w:rsid w:val="00754607"/>
    <w:rsid w:val="00780078"/>
    <w:rsid w:val="00781A3E"/>
    <w:rsid w:val="00785AF2"/>
    <w:rsid w:val="007B04FB"/>
    <w:rsid w:val="007D5022"/>
    <w:rsid w:val="008211B0"/>
    <w:rsid w:val="008250E7"/>
    <w:rsid w:val="00841DE2"/>
    <w:rsid w:val="00843A09"/>
    <w:rsid w:val="008A03CE"/>
    <w:rsid w:val="008A5EBC"/>
    <w:rsid w:val="008C2D4F"/>
    <w:rsid w:val="008D2662"/>
    <w:rsid w:val="009335CC"/>
    <w:rsid w:val="00962A5A"/>
    <w:rsid w:val="0096587D"/>
    <w:rsid w:val="009C6D43"/>
    <w:rsid w:val="009E3BB9"/>
    <w:rsid w:val="00A61B73"/>
    <w:rsid w:val="00B02BCE"/>
    <w:rsid w:val="00B1726C"/>
    <w:rsid w:val="00B5220A"/>
    <w:rsid w:val="00B87332"/>
    <w:rsid w:val="00BE24B4"/>
    <w:rsid w:val="00C058B1"/>
    <w:rsid w:val="00C66DAD"/>
    <w:rsid w:val="00C81ACE"/>
    <w:rsid w:val="00CB075C"/>
    <w:rsid w:val="00CF040C"/>
    <w:rsid w:val="00D1244D"/>
    <w:rsid w:val="00D3310F"/>
    <w:rsid w:val="00D53751"/>
    <w:rsid w:val="00D64E01"/>
    <w:rsid w:val="00E85050"/>
    <w:rsid w:val="00E855EB"/>
    <w:rsid w:val="00EB0B41"/>
    <w:rsid w:val="00ED0C12"/>
    <w:rsid w:val="00ED361B"/>
    <w:rsid w:val="00EE07DB"/>
    <w:rsid w:val="00EF0BBE"/>
    <w:rsid w:val="00F53F57"/>
    <w:rsid w:val="00FE0CCD"/>
    <w:rsid w:val="00FE5FF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86E3F5"/>
  <w15:docId w15:val="{9C821D3E-0990-4F70-85E4-15D9E68B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B5220A"/>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link w:val="Heading2Char"/>
    <w:uiPriority w:val="9"/>
    <w:qFormat/>
    <w:rsid w:val="00781A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522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1A3E"/>
    <w:rPr>
      <w:rFonts w:ascii="Times New Roman" w:eastAsia="Times New Roman" w:hAnsi="Times New Roman" w:cs="Times New Roman"/>
      <w:b/>
      <w:bCs/>
      <w:sz w:val="36"/>
      <w:szCs w:val="36"/>
    </w:rPr>
  </w:style>
  <w:style w:type="character" w:styleId="Strong">
    <w:name w:val="Strong"/>
    <w:basedOn w:val="DefaultParagraphFont"/>
    <w:uiPriority w:val="22"/>
    <w:qFormat/>
    <w:rsid w:val="00781A3E"/>
    <w:rPr>
      <w:b/>
      <w:bCs/>
    </w:rPr>
  </w:style>
  <w:style w:type="paragraph" w:styleId="NormalWeb">
    <w:name w:val="Normal (Web)"/>
    <w:basedOn w:val="Normal"/>
    <w:uiPriority w:val="99"/>
    <w:unhideWhenUsed/>
    <w:rsid w:val="00781A3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81A3E"/>
    <w:rPr>
      <w:i/>
      <w:iCs/>
    </w:rPr>
  </w:style>
  <w:style w:type="character" w:customStyle="1" w:styleId="Heading1Char">
    <w:name w:val="Heading 1 Char"/>
    <w:basedOn w:val="DefaultParagraphFont"/>
    <w:link w:val="Heading1"/>
    <w:uiPriority w:val="9"/>
    <w:rsid w:val="00B5220A"/>
    <w:rPr>
      <w:rFonts w:asciiTheme="majorHAnsi" w:eastAsiaTheme="majorEastAsia" w:hAnsiTheme="majorHAnsi" w:cstheme="majorBidi"/>
      <w:b/>
      <w:bCs/>
      <w:color w:val="365F91" w:themeColor="accent1" w:themeShade="BF"/>
      <w:sz w:val="28"/>
      <w:szCs w:val="25"/>
    </w:rPr>
  </w:style>
  <w:style w:type="character" w:customStyle="1" w:styleId="Heading3Char">
    <w:name w:val="Heading 3 Char"/>
    <w:basedOn w:val="DefaultParagraphFont"/>
    <w:link w:val="Heading3"/>
    <w:uiPriority w:val="9"/>
    <w:semiHidden/>
    <w:rsid w:val="00B5220A"/>
    <w:rPr>
      <w:rFonts w:asciiTheme="majorHAnsi" w:eastAsiaTheme="majorEastAsia" w:hAnsiTheme="majorHAnsi" w:cstheme="majorBidi"/>
      <w:b/>
      <w:bCs/>
      <w:color w:val="4F81BD" w:themeColor="accent1"/>
    </w:rPr>
  </w:style>
  <w:style w:type="character" w:customStyle="1" w:styleId="relative">
    <w:name w:val="relative"/>
    <w:basedOn w:val="DefaultParagraphFont"/>
    <w:rsid w:val="00B5220A"/>
  </w:style>
  <w:style w:type="table" w:styleId="TableGrid">
    <w:name w:val="Table Grid"/>
    <w:basedOn w:val="TableNormal"/>
    <w:uiPriority w:val="59"/>
    <w:rsid w:val="004A2459"/>
    <w:pPr>
      <w:spacing w:after="0" w:line="240" w:lineRule="auto"/>
      <w:ind w:firstLine="720"/>
    </w:pPr>
    <w:rPr>
      <w:szCs w:val="22"/>
      <w:lang w:val="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f2">
    <w:name w:val="ff2"/>
    <w:basedOn w:val="DefaultParagraphFont"/>
    <w:rsid w:val="008C2D4F"/>
  </w:style>
  <w:style w:type="character" w:customStyle="1" w:styleId="ff3">
    <w:name w:val="ff3"/>
    <w:basedOn w:val="DefaultParagraphFont"/>
    <w:rsid w:val="008C2D4F"/>
  </w:style>
  <w:style w:type="character" w:customStyle="1" w:styleId="ff4">
    <w:name w:val="ff4"/>
    <w:basedOn w:val="DefaultParagraphFont"/>
    <w:rsid w:val="008C2D4F"/>
  </w:style>
  <w:style w:type="paragraph" w:styleId="BalloonText">
    <w:name w:val="Balloon Text"/>
    <w:basedOn w:val="Normal"/>
    <w:link w:val="BalloonTextChar"/>
    <w:uiPriority w:val="99"/>
    <w:semiHidden/>
    <w:unhideWhenUsed/>
    <w:rsid w:val="006F2DB2"/>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6F2DB2"/>
    <w:rPr>
      <w:rFonts w:ascii="Tahoma" w:hAnsi="Tahoma" w:cs="Mangal"/>
      <w:sz w:val="16"/>
      <w:szCs w:val="14"/>
    </w:rPr>
  </w:style>
  <w:style w:type="character" w:styleId="Hyperlink">
    <w:name w:val="Hyperlink"/>
    <w:basedOn w:val="DefaultParagraphFont"/>
    <w:uiPriority w:val="99"/>
    <w:unhideWhenUsed/>
    <w:rsid w:val="00780078"/>
    <w:rPr>
      <w:color w:val="0000FF" w:themeColor="hyperlink"/>
      <w:u w:val="single"/>
    </w:rPr>
  </w:style>
  <w:style w:type="character" w:styleId="UnresolvedMention">
    <w:name w:val="Unresolved Mention"/>
    <w:basedOn w:val="DefaultParagraphFont"/>
    <w:uiPriority w:val="99"/>
    <w:semiHidden/>
    <w:unhideWhenUsed/>
    <w:rsid w:val="00780078"/>
    <w:rPr>
      <w:color w:val="605E5C"/>
      <w:shd w:val="clear" w:color="auto" w:fill="E1DFDD"/>
    </w:rPr>
  </w:style>
  <w:style w:type="paragraph" w:styleId="Header">
    <w:name w:val="header"/>
    <w:basedOn w:val="Normal"/>
    <w:link w:val="HeaderChar"/>
    <w:uiPriority w:val="99"/>
    <w:unhideWhenUsed/>
    <w:rsid w:val="00506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6FD"/>
    <w:rPr>
      <w:rFonts w:cs="Mangal"/>
    </w:rPr>
  </w:style>
  <w:style w:type="paragraph" w:styleId="Footer">
    <w:name w:val="footer"/>
    <w:basedOn w:val="Normal"/>
    <w:link w:val="FooterChar"/>
    <w:uiPriority w:val="99"/>
    <w:unhideWhenUsed/>
    <w:rsid w:val="00506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6FD"/>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425805">
      <w:bodyDiv w:val="1"/>
      <w:marLeft w:val="0"/>
      <w:marRight w:val="0"/>
      <w:marTop w:val="0"/>
      <w:marBottom w:val="0"/>
      <w:divBdr>
        <w:top w:val="none" w:sz="0" w:space="0" w:color="auto"/>
        <w:left w:val="none" w:sz="0" w:space="0" w:color="auto"/>
        <w:bottom w:val="none" w:sz="0" w:space="0" w:color="auto"/>
        <w:right w:val="none" w:sz="0" w:space="0" w:color="auto"/>
      </w:divBdr>
    </w:div>
    <w:div w:id="294021328">
      <w:bodyDiv w:val="1"/>
      <w:marLeft w:val="0"/>
      <w:marRight w:val="0"/>
      <w:marTop w:val="0"/>
      <w:marBottom w:val="0"/>
      <w:divBdr>
        <w:top w:val="none" w:sz="0" w:space="0" w:color="auto"/>
        <w:left w:val="none" w:sz="0" w:space="0" w:color="auto"/>
        <w:bottom w:val="none" w:sz="0" w:space="0" w:color="auto"/>
        <w:right w:val="none" w:sz="0" w:space="0" w:color="auto"/>
      </w:divBdr>
      <w:divsChild>
        <w:div w:id="522864735">
          <w:marLeft w:val="0"/>
          <w:marRight w:val="0"/>
          <w:marTop w:val="0"/>
          <w:marBottom w:val="0"/>
          <w:divBdr>
            <w:top w:val="none" w:sz="0" w:space="0" w:color="auto"/>
            <w:left w:val="none" w:sz="0" w:space="0" w:color="auto"/>
            <w:bottom w:val="none" w:sz="0" w:space="0" w:color="auto"/>
            <w:right w:val="none" w:sz="0" w:space="0" w:color="auto"/>
          </w:divBdr>
          <w:divsChild>
            <w:div w:id="3480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75268">
      <w:bodyDiv w:val="1"/>
      <w:marLeft w:val="0"/>
      <w:marRight w:val="0"/>
      <w:marTop w:val="0"/>
      <w:marBottom w:val="0"/>
      <w:divBdr>
        <w:top w:val="none" w:sz="0" w:space="0" w:color="auto"/>
        <w:left w:val="none" w:sz="0" w:space="0" w:color="auto"/>
        <w:bottom w:val="none" w:sz="0" w:space="0" w:color="auto"/>
        <w:right w:val="none" w:sz="0" w:space="0" w:color="auto"/>
      </w:divBdr>
    </w:div>
    <w:div w:id="1219435622">
      <w:bodyDiv w:val="1"/>
      <w:marLeft w:val="0"/>
      <w:marRight w:val="0"/>
      <w:marTop w:val="0"/>
      <w:marBottom w:val="0"/>
      <w:divBdr>
        <w:top w:val="none" w:sz="0" w:space="0" w:color="auto"/>
        <w:left w:val="none" w:sz="0" w:space="0" w:color="auto"/>
        <w:bottom w:val="none" w:sz="0" w:space="0" w:color="auto"/>
        <w:right w:val="none" w:sz="0" w:space="0" w:color="auto"/>
      </w:divBdr>
    </w:div>
    <w:div w:id="1227912855">
      <w:bodyDiv w:val="1"/>
      <w:marLeft w:val="0"/>
      <w:marRight w:val="0"/>
      <w:marTop w:val="0"/>
      <w:marBottom w:val="0"/>
      <w:divBdr>
        <w:top w:val="none" w:sz="0" w:space="0" w:color="auto"/>
        <w:left w:val="none" w:sz="0" w:space="0" w:color="auto"/>
        <w:bottom w:val="none" w:sz="0" w:space="0" w:color="auto"/>
        <w:right w:val="none" w:sz="0" w:space="0" w:color="auto"/>
      </w:divBdr>
    </w:div>
    <w:div w:id="1269004203">
      <w:bodyDiv w:val="1"/>
      <w:marLeft w:val="0"/>
      <w:marRight w:val="0"/>
      <w:marTop w:val="0"/>
      <w:marBottom w:val="0"/>
      <w:divBdr>
        <w:top w:val="none" w:sz="0" w:space="0" w:color="auto"/>
        <w:left w:val="none" w:sz="0" w:space="0" w:color="auto"/>
        <w:bottom w:val="none" w:sz="0" w:space="0" w:color="auto"/>
        <w:right w:val="none" w:sz="0" w:space="0" w:color="auto"/>
      </w:divBdr>
    </w:div>
    <w:div w:id="1614287377">
      <w:bodyDiv w:val="1"/>
      <w:marLeft w:val="0"/>
      <w:marRight w:val="0"/>
      <w:marTop w:val="0"/>
      <w:marBottom w:val="0"/>
      <w:divBdr>
        <w:top w:val="none" w:sz="0" w:space="0" w:color="auto"/>
        <w:left w:val="none" w:sz="0" w:space="0" w:color="auto"/>
        <w:bottom w:val="none" w:sz="0" w:space="0" w:color="auto"/>
        <w:right w:val="none" w:sz="0" w:space="0" w:color="auto"/>
      </w:divBdr>
    </w:div>
    <w:div w:id="212769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006419241010215E-2"/>
          <c:y val="4.4057617797775277E-2"/>
          <c:w val="0.93112268347064431"/>
          <c:h val="0.80809836270466195"/>
        </c:manualLayout>
      </c:layout>
      <c:barChart>
        <c:barDir val="col"/>
        <c:grouping val="clustered"/>
        <c:varyColors val="0"/>
        <c:ser>
          <c:idx val="0"/>
          <c:order val="0"/>
          <c:tx>
            <c:strRef>
              <c:f>Sheet1!$B$1</c:f>
              <c:strCache>
                <c:ptCount val="1"/>
                <c:pt idx="0">
                  <c:v>Plant Height (m)</c:v>
                </c:pt>
              </c:strCache>
            </c:strRef>
          </c:tx>
          <c:invertIfNegative val="0"/>
          <c:cat>
            <c:strRef>
              <c:f>Sheet1!$A$2:$A$8</c:f>
              <c:strCache>
                <c:ptCount val="7"/>
                <c:pt idx="0">
                  <c:v>Mudkhed seedless</c:v>
                </c:pt>
                <c:pt idx="1">
                  <c:v>Nagpur seedless</c:v>
                </c:pt>
                <c:pt idx="2">
                  <c:v>Nagpur mandarin</c:v>
                </c:pt>
                <c:pt idx="3">
                  <c:v>Kinnow mandarin</c:v>
                </c:pt>
                <c:pt idx="4">
                  <c:v>Coorg mandarin</c:v>
                </c:pt>
                <c:pt idx="5">
                  <c:v>Khasi mandarin</c:v>
                </c:pt>
                <c:pt idx="6">
                  <c:v>Darziling mandarin</c:v>
                </c:pt>
              </c:strCache>
            </c:strRef>
          </c:cat>
          <c:val>
            <c:numRef>
              <c:f>Sheet1!$B$2:$B$8</c:f>
              <c:numCache>
                <c:formatCode>General</c:formatCode>
                <c:ptCount val="7"/>
                <c:pt idx="0">
                  <c:v>2.97</c:v>
                </c:pt>
                <c:pt idx="1">
                  <c:v>2.5</c:v>
                </c:pt>
                <c:pt idx="2">
                  <c:v>2.91</c:v>
                </c:pt>
                <c:pt idx="3">
                  <c:v>3.02</c:v>
                </c:pt>
                <c:pt idx="4">
                  <c:v>3.04</c:v>
                </c:pt>
                <c:pt idx="5">
                  <c:v>2.65</c:v>
                </c:pt>
                <c:pt idx="6">
                  <c:v>2.7</c:v>
                </c:pt>
              </c:numCache>
            </c:numRef>
          </c:val>
          <c:extLst>
            <c:ext xmlns:c16="http://schemas.microsoft.com/office/drawing/2014/chart" uri="{C3380CC4-5D6E-409C-BE32-E72D297353CC}">
              <c16:uniqueId val="{00000000-A776-48A1-B748-3143ED511384}"/>
            </c:ext>
          </c:extLst>
        </c:ser>
        <c:ser>
          <c:idx val="1"/>
          <c:order val="1"/>
          <c:tx>
            <c:strRef>
              <c:f>Sheet1!$C$1</c:f>
              <c:strCache>
                <c:ptCount val="1"/>
                <c:pt idx="0">
                  <c:v>Canopy Volume (m3)
</c:v>
                </c:pt>
              </c:strCache>
            </c:strRef>
          </c:tx>
          <c:invertIfNegative val="0"/>
          <c:cat>
            <c:strRef>
              <c:f>Sheet1!$A$2:$A$8</c:f>
              <c:strCache>
                <c:ptCount val="7"/>
                <c:pt idx="0">
                  <c:v>Mudkhed seedless</c:v>
                </c:pt>
                <c:pt idx="1">
                  <c:v>Nagpur seedless</c:v>
                </c:pt>
                <c:pt idx="2">
                  <c:v>Nagpur mandarin</c:v>
                </c:pt>
                <c:pt idx="3">
                  <c:v>Kinnow mandarin</c:v>
                </c:pt>
                <c:pt idx="4">
                  <c:v>Coorg mandarin</c:v>
                </c:pt>
                <c:pt idx="5">
                  <c:v>Khasi mandarin</c:v>
                </c:pt>
                <c:pt idx="6">
                  <c:v>Darziling mandarin</c:v>
                </c:pt>
              </c:strCache>
            </c:strRef>
          </c:cat>
          <c:val>
            <c:numRef>
              <c:f>Sheet1!$C$2:$C$8</c:f>
              <c:numCache>
                <c:formatCode>General</c:formatCode>
                <c:ptCount val="7"/>
                <c:pt idx="0">
                  <c:v>11.42</c:v>
                </c:pt>
                <c:pt idx="1">
                  <c:v>4.4400000000000004</c:v>
                </c:pt>
                <c:pt idx="2">
                  <c:v>8.39</c:v>
                </c:pt>
                <c:pt idx="3">
                  <c:v>12.64</c:v>
                </c:pt>
                <c:pt idx="4">
                  <c:v>6.91</c:v>
                </c:pt>
                <c:pt idx="5">
                  <c:v>6.14</c:v>
                </c:pt>
                <c:pt idx="6">
                  <c:v>6.93</c:v>
                </c:pt>
              </c:numCache>
            </c:numRef>
          </c:val>
          <c:extLst>
            <c:ext xmlns:c16="http://schemas.microsoft.com/office/drawing/2014/chart" uri="{C3380CC4-5D6E-409C-BE32-E72D297353CC}">
              <c16:uniqueId val="{00000001-A776-48A1-B748-3143ED511384}"/>
            </c:ext>
          </c:extLst>
        </c:ser>
        <c:ser>
          <c:idx val="2"/>
          <c:order val="2"/>
          <c:tx>
            <c:strRef>
              <c:f>Sheet1!$D$1</c:f>
              <c:strCache>
                <c:ptCount val="1"/>
                <c:pt idx="0">
                  <c:v>Stem girth (cm)</c:v>
                </c:pt>
              </c:strCache>
            </c:strRef>
          </c:tx>
          <c:invertIfNegative val="0"/>
          <c:cat>
            <c:strRef>
              <c:f>Sheet1!$A$2:$A$8</c:f>
              <c:strCache>
                <c:ptCount val="7"/>
                <c:pt idx="0">
                  <c:v>Mudkhed seedless</c:v>
                </c:pt>
                <c:pt idx="1">
                  <c:v>Nagpur seedless</c:v>
                </c:pt>
                <c:pt idx="2">
                  <c:v>Nagpur mandarin</c:v>
                </c:pt>
                <c:pt idx="3">
                  <c:v>Kinnow mandarin</c:v>
                </c:pt>
                <c:pt idx="4">
                  <c:v>Coorg mandarin</c:v>
                </c:pt>
                <c:pt idx="5">
                  <c:v>Khasi mandarin</c:v>
                </c:pt>
                <c:pt idx="6">
                  <c:v>Darziling mandarin</c:v>
                </c:pt>
              </c:strCache>
            </c:strRef>
          </c:cat>
          <c:val>
            <c:numRef>
              <c:f>Sheet1!$D$2:$D$8</c:f>
              <c:numCache>
                <c:formatCode>General</c:formatCode>
                <c:ptCount val="7"/>
                <c:pt idx="0">
                  <c:v>36.880000000000003</c:v>
                </c:pt>
                <c:pt idx="1">
                  <c:v>24.14</c:v>
                </c:pt>
                <c:pt idx="2">
                  <c:v>34</c:v>
                </c:pt>
                <c:pt idx="3">
                  <c:v>37.89</c:v>
                </c:pt>
                <c:pt idx="4">
                  <c:v>30.4</c:v>
                </c:pt>
                <c:pt idx="5">
                  <c:v>31.17</c:v>
                </c:pt>
                <c:pt idx="6">
                  <c:v>30.87</c:v>
                </c:pt>
              </c:numCache>
            </c:numRef>
          </c:val>
          <c:extLst>
            <c:ext xmlns:c16="http://schemas.microsoft.com/office/drawing/2014/chart" uri="{C3380CC4-5D6E-409C-BE32-E72D297353CC}">
              <c16:uniqueId val="{00000002-A776-48A1-B748-3143ED511384}"/>
            </c:ext>
          </c:extLst>
        </c:ser>
        <c:dLbls>
          <c:showLegendKey val="0"/>
          <c:showVal val="0"/>
          <c:showCatName val="0"/>
          <c:showSerName val="0"/>
          <c:showPercent val="0"/>
          <c:showBubbleSize val="0"/>
        </c:dLbls>
        <c:gapWidth val="150"/>
        <c:axId val="21294464"/>
        <c:axId val="167425536"/>
      </c:barChart>
      <c:catAx>
        <c:axId val="21294464"/>
        <c:scaling>
          <c:orientation val="minMax"/>
        </c:scaling>
        <c:delete val="0"/>
        <c:axPos val="b"/>
        <c:numFmt formatCode="General" sourceLinked="0"/>
        <c:majorTickMark val="out"/>
        <c:minorTickMark val="none"/>
        <c:tickLblPos val="nextTo"/>
        <c:crossAx val="167425536"/>
        <c:crosses val="autoZero"/>
        <c:auto val="1"/>
        <c:lblAlgn val="ctr"/>
        <c:lblOffset val="100"/>
        <c:noMultiLvlLbl val="0"/>
      </c:catAx>
      <c:valAx>
        <c:axId val="167425536"/>
        <c:scaling>
          <c:orientation val="minMax"/>
        </c:scaling>
        <c:delete val="0"/>
        <c:axPos val="l"/>
        <c:majorGridlines/>
        <c:numFmt formatCode="General" sourceLinked="1"/>
        <c:majorTickMark val="out"/>
        <c:minorTickMark val="none"/>
        <c:tickLblPos val="nextTo"/>
        <c:crossAx val="21294464"/>
        <c:crosses val="autoZero"/>
        <c:crossBetween val="between"/>
      </c:valAx>
    </c:plotArea>
    <c:legend>
      <c:legendPos val="r"/>
      <c:layout>
        <c:manualLayout>
          <c:xMode val="edge"/>
          <c:yMode val="edge"/>
          <c:x val="0.79203117700012537"/>
          <c:y val="4.7125359330083751E-2"/>
          <c:w val="0.19639139897671981"/>
          <c:h val="0.14781246094238221"/>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102575435086862E-2"/>
          <c:y val="4.4057617797775277E-2"/>
          <c:w val="0.91436591105580045"/>
          <c:h val="0.80809836270466195"/>
        </c:manualLayout>
      </c:layout>
      <c:barChart>
        <c:barDir val="col"/>
        <c:grouping val="clustered"/>
        <c:varyColors val="0"/>
        <c:ser>
          <c:idx val="0"/>
          <c:order val="0"/>
          <c:tx>
            <c:strRef>
              <c:f>Sheet1!$B$1</c:f>
              <c:strCache>
                <c:ptCount val="1"/>
                <c:pt idx="0">
                  <c:v>Fruit weight (g)</c:v>
                </c:pt>
              </c:strCache>
            </c:strRef>
          </c:tx>
          <c:invertIfNegative val="0"/>
          <c:cat>
            <c:strRef>
              <c:f>Sheet1!$A$2:$A$8</c:f>
              <c:strCache>
                <c:ptCount val="7"/>
                <c:pt idx="0">
                  <c:v>Mudkhed seedless</c:v>
                </c:pt>
                <c:pt idx="1">
                  <c:v>Nagpur seedless</c:v>
                </c:pt>
                <c:pt idx="2">
                  <c:v>Nagpur mandarin</c:v>
                </c:pt>
                <c:pt idx="3">
                  <c:v>Kinnow mandarin</c:v>
                </c:pt>
                <c:pt idx="4">
                  <c:v>Coorg mandarin</c:v>
                </c:pt>
                <c:pt idx="5">
                  <c:v>Khasi mandarin</c:v>
                </c:pt>
                <c:pt idx="6">
                  <c:v>Darziling mandarin</c:v>
                </c:pt>
              </c:strCache>
            </c:strRef>
          </c:cat>
          <c:val>
            <c:numRef>
              <c:f>Sheet1!$B$2:$B$8</c:f>
              <c:numCache>
                <c:formatCode>General</c:formatCode>
                <c:ptCount val="7"/>
                <c:pt idx="0">
                  <c:v>134.32</c:v>
                </c:pt>
                <c:pt idx="1">
                  <c:v>123.99</c:v>
                </c:pt>
                <c:pt idx="2">
                  <c:v>114.89</c:v>
                </c:pt>
                <c:pt idx="3">
                  <c:v>234.89</c:v>
                </c:pt>
                <c:pt idx="4">
                  <c:v>178.98</c:v>
                </c:pt>
                <c:pt idx="5">
                  <c:v>151.46</c:v>
                </c:pt>
                <c:pt idx="6">
                  <c:v>110.62</c:v>
                </c:pt>
              </c:numCache>
            </c:numRef>
          </c:val>
          <c:extLst>
            <c:ext xmlns:c16="http://schemas.microsoft.com/office/drawing/2014/chart" uri="{C3380CC4-5D6E-409C-BE32-E72D297353CC}">
              <c16:uniqueId val="{00000000-D77D-4EE9-A9D2-E02399506BA7}"/>
            </c:ext>
          </c:extLst>
        </c:ser>
        <c:ser>
          <c:idx val="1"/>
          <c:order val="1"/>
          <c:tx>
            <c:strRef>
              <c:f>Sheet1!$C$1</c:f>
              <c:strCache>
                <c:ptCount val="1"/>
                <c:pt idx="0">
                  <c:v>Fruit Yield (t/ha)</c:v>
                </c:pt>
              </c:strCache>
            </c:strRef>
          </c:tx>
          <c:invertIfNegative val="0"/>
          <c:cat>
            <c:strRef>
              <c:f>Sheet1!$A$2:$A$8</c:f>
              <c:strCache>
                <c:ptCount val="7"/>
                <c:pt idx="0">
                  <c:v>Mudkhed seedless</c:v>
                </c:pt>
                <c:pt idx="1">
                  <c:v>Nagpur seedless</c:v>
                </c:pt>
                <c:pt idx="2">
                  <c:v>Nagpur mandarin</c:v>
                </c:pt>
                <c:pt idx="3">
                  <c:v>Kinnow mandarin</c:v>
                </c:pt>
                <c:pt idx="4">
                  <c:v>Coorg mandarin</c:v>
                </c:pt>
                <c:pt idx="5">
                  <c:v>Khasi mandarin</c:v>
                </c:pt>
                <c:pt idx="6">
                  <c:v>Darziling mandarin</c:v>
                </c:pt>
              </c:strCache>
            </c:strRef>
          </c:cat>
          <c:val>
            <c:numRef>
              <c:f>Sheet1!$C$2:$C$8</c:f>
              <c:numCache>
                <c:formatCode>General</c:formatCode>
                <c:ptCount val="7"/>
                <c:pt idx="0">
                  <c:v>23.4</c:v>
                </c:pt>
                <c:pt idx="1">
                  <c:v>22.82</c:v>
                </c:pt>
                <c:pt idx="2">
                  <c:v>20.04</c:v>
                </c:pt>
                <c:pt idx="3">
                  <c:v>40.409999999999997</c:v>
                </c:pt>
                <c:pt idx="4">
                  <c:v>27.86</c:v>
                </c:pt>
                <c:pt idx="5">
                  <c:v>24.55</c:v>
                </c:pt>
                <c:pt idx="6">
                  <c:v>19.100000000000001</c:v>
                </c:pt>
              </c:numCache>
            </c:numRef>
          </c:val>
          <c:extLst>
            <c:ext xmlns:c16="http://schemas.microsoft.com/office/drawing/2014/chart" uri="{C3380CC4-5D6E-409C-BE32-E72D297353CC}">
              <c16:uniqueId val="{00000001-D77D-4EE9-A9D2-E02399506BA7}"/>
            </c:ext>
          </c:extLst>
        </c:ser>
        <c:dLbls>
          <c:showLegendKey val="0"/>
          <c:showVal val="0"/>
          <c:showCatName val="0"/>
          <c:showSerName val="0"/>
          <c:showPercent val="0"/>
          <c:showBubbleSize val="0"/>
        </c:dLbls>
        <c:gapWidth val="150"/>
        <c:axId val="198700416"/>
        <c:axId val="21295872"/>
      </c:barChart>
      <c:catAx>
        <c:axId val="198700416"/>
        <c:scaling>
          <c:orientation val="minMax"/>
        </c:scaling>
        <c:delete val="0"/>
        <c:axPos val="b"/>
        <c:numFmt formatCode="General" sourceLinked="0"/>
        <c:majorTickMark val="out"/>
        <c:minorTickMark val="none"/>
        <c:tickLblPos val="nextTo"/>
        <c:crossAx val="21295872"/>
        <c:crosses val="autoZero"/>
        <c:auto val="1"/>
        <c:lblAlgn val="ctr"/>
        <c:lblOffset val="100"/>
        <c:noMultiLvlLbl val="0"/>
      </c:catAx>
      <c:valAx>
        <c:axId val="21295872"/>
        <c:scaling>
          <c:orientation val="minMax"/>
        </c:scaling>
        <c:delete val="0"/>
        <c:axPos val="l"/>
        <c:majorGridlines/>
        <c:numFmt formatCode="General" sourceLinked="1"/>
        <c:majorTickMark val="out"/>
        <c:minorTickMark val="none"/>
        <c:tickLblPos val="nextTo"/>
        <c:crossAx val="198700416"/>
        <c:crosses val="autoZero"/>
        <c:crossBetween val="between"/>
      </c:valAx>
    </c:plotArea>
    <c:legend>
      <c:legendPos val="r"/>
      <c:layout>
        <c:manualLayout>
          <c:xMode val="edge"/>
          <c:yMode val="edge"/>
          <c:x val="0.8178338121324199"/>
          <c:y val="5.9194788151481062E-2"/>
          <c:w val="0.17048470013223846"/>
          <c:h val="0.16860525301470183"/>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91644057509657E-2"/>
          <c:y val="4.4057617797775277E-2"/>
          <c:w val="0.91405658519331334"/>
          <c:h val="0.80809836270466195"/>
        </c:manualLayout>
      </c:layout>
      <c:barChart>
        <c:barDir val="col"/>
        <c:grouping val="clustered"/>
        <c:varyColors val="0"/>
        <c:ser>
          <c:idx val="0"/>
          <c:order val="0"/>
          <c:tx>
            <c:strRef>
              <c:f>Sheet1!$B$1</c:f>
              <c:strCache>
                <c:ptCount val="1"/>
                <c:pt idx="0">
                  <c:v>TSS (0B</c:v>
                </c:pt>
              </c:strCache>
            </c:strRef>
          </c:tx>
          <c:invertIfNegative val="0"/>
          <c:cat>
            <c:strRef>
              <c:f>Sheet1!$A$2:$A$8</c:f>
              <c:strCache>
                <c:ptCount val="7"/>
                <c:pt idx="0">
                  <c:v>Mudkhed seedless</c:v>
                </c:pt>
                <c:pt idx="1">
                  <c:v>Nagpur seedless</c:v>
                </c:pt>
                <c:pt idx="2">
                  <c:v>Nagpur mandarin</c:v>
                </c:pt>
                <c:pt idx="3">
                  <c:v>Kinnow mandarin</c:v>
                </c:pt>
                <c:pt idx="4">
                  <c:v>Coorg mandarin</c:v>
                </c:pt>
                <c:pt idx="5">
                  <c:v>Khasi mandarin</c:v>
                </c:pt>
                <c:pt idx="6">
                  <c:v>Darziling mandarin</c:v>
                </c:pt>
              </c:strCache>
            </c:strRef>
          </c:cat>
          <c:val>
            <c:numRef>
              <c:f>Sheet1!$B$2:$B$8</c:f>
              <c:numCache>
                <c:formatCode>General</c:formatCode>
                <c:ptCount val="7"/>
                <c:pt idx="0">
                  <c:v>7.82</c:v>
                </c:pt>
                <c:pt idx="1">
                  <c:v>7.55</c:v>
                </c:pt>
                <c:pt idx="2">
                  <c:v>7.06</c:v>
                </c:pt>
                <c:pt idx="3">
                  <c:v>12.12</c:v>
                </c:pt>
                <c:pt idx="4">
                  <c:v>8.0399999999999991</c:v>
                </c:pt>
                <c:pt idx="5">
                  <c:v>6.55</c:v>
                </c:pt>
                <c:pt idx="6">
                  <c:v>7.37</c:v>
                </c:pt>
              </c:numCache>
            </c:numRef>
          </c:val>
          <c:extLst>
            <c:ext xmlns:c16="http://schemas.microsoft.com/office/drawing/2014/chart" uri="{C3380CC4-5D6E-409C-BE32-E72D297353CC}">
              <c16:uniqueId val="{00000000-53EA-46BE-96DD-F975665BD497}"/>
            </c:ext>
          </c:extLst>
        </c:ser>
        <c:ser>
          <c:idx val="1"/>
          <c:order val="1"/>
          <c:tx>
            <c:strRef>
              <c:f>Sheet1!$C$1</c:f>
              <c:strCache>
                <c:ptCount val="1"/>
                <c:pt idx="0">
                  <c:v>TSS: Acidity ratio</c:v>
                </c:pt>
              </c:strCache>
            </c:strRef>
          </c:tx>
          <c:invertIfNegative val="0"/>
          <c:cat>
            <c:strRef>
              <c:f>Sheet1!$A$2:$A$8</c:f>
              <c:strCache>
                <c:ptCount val="7"/>
                <c:pt idx="0">
                  <c:v>Mudkhed seedless</c:v>
                </c:pt>
                <c:pt idx="1">
                  <c:v>Nagpur seedless</c:v>
                </c:pt>
                <c:pt idx="2">
                  <c:v>Nagpur mandarin</c:v>
                </c:pt>
                <c:pt idx="3">
                  <c:v>Kinnow mandarin</c:v>
                </c:pt>
                <c:pt idx="4">
                  <c:v>Coorg mandarin</c:v>
                </c:pt>
                <c:pt idx="5">
                  <c:v>Khasi mandarin</c:v>
                </c:pt>
                <c:pt idx="6">
                  <c:v>Darziling mandarin</c:v>
                </c:pt>
              </c:strCache>
            </c:strRef>
          </c:cat>
          <c:val>
            <c:numRef>
              <c:f>Sheet1!$C$2:$C$8</c:f>
              <c:numCache>
                <c:formatCode>General</c:formatCode>
                <c:ptCount val="7"/>
                <c:pt idx="0">
                  <c:v>1.1299999999999999</c:v>
                </c:pt>
                <c:pt idx="1">
                  <c:v>1.0900000000000001</c:v>
                </c:pt>
                <c:pt idx="2">
                  <c:v>1.08</c:v>
                </c:pt>
                <c:pt idx="3">
                  <c:v>0.93</c:v>
                </c:pt>
                <c:pt idx="4">
                  <c:v>1.1299999999999999</c:v>
                </c:pt>
                <c:pt idx="5">
                  <c:v>1.26</c:v>
                </c:pt>
                <c:pt idx="6">
                  <c:v>1.33</c:v>
                </c:pt>
              </c:numCache>
            </c:numRef>
          </c:val>
          <c:extLst>
            <c:ext xmlns:c16="http://schemas.microsoft.com/office/drawing/2014/chart" uri="{C3380CC4-5D6E-409C-BE32-E72D297353CC}">
              <c16:uniqueId val="{00000001-53EA-46BE-96DD-F975665BD497}"/>
            </c:ext>
          </c:extLst>
        </c:ser>
        <c:dLbls>
          <c:showLegendKey val="0"/>
          <c:showVal val="0"/>
          <c:showCatName val="0"/>
          <c:showSerName val="0"/>
          <c:showPercent val="0"/>
          <c:showBubbleSize val="0"/>
        </c:dLbls>
        <c:gapWidth val="150"/>
        <c:axId val="167404672"/>
        <c:axId val="167406208"/>
      </c:barChart>
      <c:catAx>
        <c:axId val="167404672"/>
        <c:scaling>
          <c:orientation val="minMax"/>
        </c:scaling>
        <c:delete val="0"/>
        <c:axPos val="b"/>
        <c:numFmt formatCode="General" sourceLinked="0"/>
        <c:majorTickMark val="out"/>
        <c:minorTickMark val="none"/>
        <c:tickLblPos val="nextTo"/>
        <c:crossAx val="167406208"/>
        <c:crosses val="autoZero"/>
        <c:auto val="1"/>
        <c:lblAlgn val="ctr"/>
        <c:lblOffset val="100"/>
        <c:noMultiLvlLbl val="0"/>
      </c:catAx>
      <c:valAx>
        <c:axId val="167406208"/>
        <c:scaling>
          <c:orientation val="minMax"/>
        </c:scaling>
        <c:delete val="0"/>
        <c:axPos val="l"/>
        <c:majorGridlines/>
        <c:numFmt formatCode="General" sourceLinked="1"/>
        <c:majorTickMark val="out"/>
        <c:minorTickMark val="none"/>
        <c:tickLblPos val="nextTo"/>
        <c:crossAx val="167404672"/>
        <c:crosses val="autoZero"/>
        <c:crossBetween val="between"/>
      </c:valAx>
    </c:plotArea>
    <c:legend>
      <c:legendPos val="r"/>
      <c:layout>
        <c:manualLayout>
          <c:xMode val="edge"/>
          <c:yMode val="edge"/>
          <c:x val="0.82608481749888463"/>
          <c:y val="4.7290026246719158E-2"/>
          <c:w val="0.17391518250111537"/>
          <c:h val="0.11176915385576804"/>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11</Pages>
  <Words>4802</Words>
  <Characters>27375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74</cp:revision>
  <dcterms:created xsi:type="dcterms:W3CDTF">2025-11-21T10:44:00Z</dcterms:created>
  <dcterms:modified xsi:type="dcterms:W3CDTF">2026-01-24T10:09:00Z</dcterms:modified>
</cp:coreProperties>
</file>