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48FD7" w14:textId="5F442B9A" w:rsidR="00163BC4" w:rsidRPr="00163BC4" w:rsidRDefault="00830B7C" w:rsidP="00E87616">
      <w:pPr>
        <w:pStyle w:val="Heading1"/>
        <w:jc w:val="right"/>
        <w:rPr>
          <w:bCs/>
          <w:iCs/>
          <w:sz w:val="36"/>
        </w:rPr>
      </w:pPr>
      <w:r w:rsidRPr="00830B7C">
        <w:rPr>
          <w:bCs/>
          <w:iCs/>
          <w:sz w:val="36"/>
        </w:rPr>
        <w:t xml:space="preserve">Efficacy of </w:t>
      </w:r>
      <w:r w:rsidRPr="008D26C5">
        <w:rPr>
          <w:bCs/>
          <w:i/>
          <w:sz w:val="36"/>
        </w:rPr>
        <w:t>Calotropis gigantea</w:t>
      </w:r>
      <w:r w:rsidRPr="00830B7C">
        <w:rPr>
          <w:bCs/>
          <w:iCs/>
          <w:sz w:val="36"/>
        </w:rPr>
        <w:t xml:space="preserve"> L. Leaf Extract on Population De</w:t>
      </w:r>
      <w:r>
        <w:rPr>
          <w:bCs/>
          <w:iCs/>
          <w:sz w:val="36"/>
        </w:rPr>
        <w:t xml:space="preserve">nsity and Infestation Intensity </w:t>
      </w:r>
      <w:r w:rsidRPr="00830B7C">
        <w:rPr>
          <w:bCs/>
          <w:iCs/>
          <w:sz w:val="36"/>
        </w:rPr>
        <w:t xml:space="preserve">of </w:t>
      </w:r>
      <w:r w:rsidRPr="008D26C5">
        <w:rPr>
          <w:bCs/>
          <w:i/>
          <w:sz w:val="36"/>
        </w:rPr>
        <w:t>Aphis gossypii</w:t>
      </w:r>
      <w:r w:rsidRPr="00830B7C">
        <w:rPr>
          <w:bCs/>
          <w:iCs/>
          <w:sz w:val="36"/>
        </w:rPr>
        <w:t xml:space="preserve"> Glover</w:t>
      </w:r>
      <w:r w:rsidR="008D26C5">
        <w:rPr>
          <w:bCs/>
          <w:iCs/>
          <w:sz w:val="36"/>
        </w:rPr>
        <w:t>.</w:t>
      </w:r>
      <w:r>
        <w:rPr>
          <w:bCs/>
          <w:iCs/>
          <w:sz w:val="36"/>
        </w:rPr>
        <w:t xml:space="preserve"> </w:t>
      </w:r>
      <w:r w:rsidRPr="00830B7C">
        <w:rPr>
          <w:bCs/>
          <w:iCs/>
          <w:sz w:val="36"/>
        </w:rPr>
        <w:t xml:space="preserve"> (Hemiptera: Aphididae) on Chili Pepper</w:t>
      </w:r>
      <w:r w:rsidR="00231920">
        <w:rPr>
          <w:bCs/>
          <w:iCs/>
          <w:sz w:val="36"/>
        </w:rPr>
        <w:t xml:space="preserve"> </w:t>
      </w:r>
    </w:p>
    <w:p w14:paraId="5EDF19C6" w14:textId="77777777" w:rsidR="00A258C3" w:rsidRPr="00790ADA" w:rsidRDefault="00A258C3" w:rsidP="00441B6F">
      <w:pPr>
        <w:pStyle w:val="Author"/>
        <w:spacing w:line="240" w:lineRule="auto"/>
        <w:jc w:val="both"/>
        <w:rPr>
          <w:rFonts w:ascii="Arial" w:hAnsi="Arial" w:cs="Arial"/>
          <w:sz w:val="36"/>
        </w:rPr>
      </w:pPr>
    </w:p>
    <w:p w14:paraId="7E4811B8" w14:textId="77777777" w:rsidR="00790ADA" w:rsidRDefault="00790ADA" w:rsidP="00441B6F">
      <w:pPr>
        <w:pStyle w:val="Affiliation"/>
        <w:spacing w:after="0" w:line="240" w:lineRule="auto"/>
        <w:jc w:val="both"/>
        <w:rPr>
          <w:rFonts w:ascii="Arial" w:hAnsi="Arial" w:cs="Arial"/>
        </w:rPr>
      </w:pPr>
    </w:p>
    <w:p w14:paraId="2DDCCC09" w14:textId="77777777" w:rsidR="002C57D2" w:rsidRPr="00FB3A86" w:rsidRDefault="002C57D2" w:rsidP="00441B6F">
      <w:pPr>
        <w:pStyle w:val="Affiliation"/>
        <w:spacing w:after="0" w:line="240" w:lineRule="auto"/>
        <w:jc w:val="both"/>
        <w:rPr>
          <w:rFonts w:ascii="Arial" w:hAnsi="Arial" w:cs="Arial"/>
        </w:rPr>
      </w:pPr>
    </w:p>
    <w:p w14:paraId="0A8C496B" w14:textId="7092A625" w:rsidR="00B01FCD" w:rsidRPr="00FB3A86" w:rsidRDefault="00BB471F" w:rsidP="00441B6F">
      <w:pPr>
        <w:pStyle w:val="Copyright"/>
        <w:spacing w:after="0" w:line="240" w:lineRule="auto"/>
        <w:jc w:val="both"/>
        <w:rPr>
          <w:rFonts w:ascii="Arial" w:hAnsi="Arial" w:cs="Arial"/>
        </w:rPr>
        <w:sectPr w:rsidR="00B01FCD" w:rsidRPr="00FB3A86" w:rsidSect="00327C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F46B88" wp14:editId="4F00E65F">
                <wp:extent cx="5303520" cy="635"/>
                <wp:effectExtent l="13335" t="13335" r="17145" b="15240"/>
                <wp:docPr id="17865970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61FED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2E940AC" w14:textId="3D9120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62E6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CBF8C4" w14:textId="77777777" w:rsidTr="001E44FE">
        <w:tc>
          <w:tcPr>
            <w:tcW w:w="9576" w:type="dxa"/>
            <w:shd w:val="clear" w:color="auto" w:fill="F2F2F2"/>
          </w:tcPr>
          <w:p w14:paraId="13E3B975" w14:textId="77777777" w:rsidR="00830B7C" w:rsidRPr="00C30D03" w:rsidRDefault="00BA1B01" w:rsidP="00441B6F">
            <w:pPr>
              <w:pStyle w:val="Body"/>
              <w:spacing w:after="0"/>
              <w:rPr>
                <w:rFonts w:ascii="Arial" w:hAnsi="Arial" w:cs="Arial"/>
              </w:rPr>
            </w:pPr>
            <w:r w:rsidRPr="00BA1B01">
              <w:rPr>
                <w:rFonts w:ascii="Arial" w:eastAsia="Calibri" w:hAnsi="Arial" w:cs="Arial"/>
                <w:b/>
                <w:szCs w:val="22"/>
              </w:rPr>
              <w:t xml:space="preserve">Aims: </w:t>
            </w:r>
            <w:r w:rsidR="00830B7C" w:rsidRPr="00C30D03">
              <w:rPr>
                <w:rFonts w:ascii="Arial" w:hAnsi="Arial" w:cs="Arial"/>
              </w:rPr>
              <w:t xml:space="preserve">This study evaluated the efficacy of </w:t>
            </w:r>
            <w:r w:rsidR="00830B7C" w:rsidRPr="00C30D03">
              <w:rPr>
                <w:rFonts w:ascii="Arial" w:hAnsi="Arial" w:cs="Arial"/>
                <w:i/>
                <w:iCs/>
              </w:rPr>
              <w:t>Calotropis gigantea</w:t>
            </w:r>
            <w:r w:rsidR="00830B7C" w:rsidRPr="00C30D03">
              <w:rPr>
                <w:rFonts w:ascii="Arial" w:hAnsi="Arial" w:cs="Arial"/>
              </w:rPr>
              <w:t xml:space="preserve"> L. leaf extract in suppressing aphid population density and infestation intensity of </w:t>
            </w:r>
            <w:r w:rsidR="00830B7C" w:rsidRPr="00C30D03">
              <w:rPr>
                <w:rFonts w:ascii="Arial" w:hAnsi="Arial" w:cs="Arial"/>
                <w:i/>
                <w:iCs/>
              </w:rPr>
              <w:t>A. gossypii</w:t>
            </w:r>
            <w:r w:rsidR="00830B7C" w:rsidRPr="00C30D03">
              <w:rPr>
                <w:rFonts w:ascii="Arial" w:hAnsi="Arial" w:cs="Arial"/>
              </w:rPr>
              <w:t>, as well as its effects on chili yield and the diversity of natural enemy arthropods under field conditions</w:t>
            </w:r>
          </w:p>
          <w:p w14:paraId="758CE137" w14:textId="35FA6668" w:rsidR="00BA1B01" w:rsidRPr="00BA1B01" w:rsidRDefault="00BA1B01" w:rsidP="00441B6F">
            <w:pPr>
              <w:pStyle w:val="Body"/>
              <w:spacing w:after="0"/>
              <w:rPr>
                <w:rFonts w:ascii="Arial" w:eastAsia="Calibri" w:hAnsi="Arial" w:cs="Arial"/>
                <w:szCs w:val="22"/>
              </w:rPr>
            </w:pPr>
            <w:r w:rsidRPr="00C30D03">
              <w:rPr>
                <w:rFonts w:ascii="Arial" w:eastAsia="Calibri" w:hAnsi="Arial" w:cs="Arial"/>
                <w:b/>
              </w:rPr>
              <w:t>Study design:</w:t>
            </w:r>
            <w:r w:rsidRPr="00C30D03">
              <w:rPr>
                <w:rFonts w:ascii="Arial" w:eastAsia="Calibri" w:hAnsi="Arial" w:cs="Arial"/>
              </w:rPr>
              <w:t xml:space="preserve">  </w:t>
            </w:r>
            <w:r w:rsidR="00830B7C" w:rsidRPr="00C30D03">
              <w:rPr>
                <w:rFonts w:ascii="Arial" w:hAnsi="Arial" w:cs="Arial"/>
              </w:rPr>
              <w:t xml:space="preserve">The experiment was conducted using a Randomized Complete Block Design (RCBD) with four concentrations of </w:t>
            </w:r>
            <w:r w:rsidR="00830B7C" w:rsidRPr="00C30D03">
              <w:rPr>
                <w:rFonts w:ascii="Arial" w:hAnsi="Arial" w:cs="Arial"/>
                <w:i/>
                <w:iCs/>
              </w:rPr>
              <w:t>C. gigantea</w:t>
            </w:r>
            <w:r w:rsidR="00830B7C" w:rsidRPr="00C30D03">
              <w:rPr>
                <w:rFonts w:ascii="Arial" w:hAnsi="Arial" w:cs="Arial"/>
              </w:rPr>
              <w:t xml:space="preserve"> leaf extract (5, 10, 20, and 40 g L</w:t>
            </w:r>
            <w:r w:rsidR="00830B7C" w:rsidRPr="00C30D03">
              <w:rPr>
                <w:rFonts w:ascii="Cambria Math" w:hAnsi="Cambria Math" w:cs="Cambria Math"/>
              </w:rPr>
              <w:t>⁻</w:t>
            </w:r>
            <w:r w:rsidR="00830B7C" w:rsidRPr="00C30D03">
              <w:rPr>
                <w:rFonts w:ascii="Arial" w:hAnsi="Arial" w:cs="Arial"/>
              </w:rPr>
              <w:t>¹), accompanied by positive and negative controls, and three replications. Treatments were applied at three weeks after transplanting at seven-day intervals for a total of six applications.</w:t>
            </w:r>
          </w:p>
          <w:p w14:paraId="002297F6" w14:textId="77777777" w:rsidR="00475C83" w:rsidRDefault="00BA1B01" w:rsidP="00475C83">
            <w:pPr>
              <w:pStyle w:val="Body"/>
              <w:spacing w:after="0"/>
              <w:rPr>
                <w:rFonts w:ascii="Arial"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30D03" w:rsidRPr="00C30D03">
              <w:rPr>
                <w:rFonts w:ascii="Arial" w:hAnsi="Arial" w:cs="Arial"/>
              </w:rPr>
              <w:t xml:space="preserve">The study was conducted at the Plant Pest Science Laboratory, Faculty of Agriculture, </w:t>
            </w:r>
            <w:proofErr w:type="spellStart"/>
            <w:r w:rsidR="00C30D03" w:rsidRPr="00C30D03">
              <w:rPr>
                <w:rFonts w:ascii="Arial" w:hAnsi="Arial" w:cs="Arial"/>
              </w:rPr>
              <w:t>Tadulako</w:t>
            </w:r>
            <w:proofErr w:type="spellEnd"/>
            <w:r w:rsidR="00C30D03" w:rsidRPr="00C30D03">
              <w:rPr>
                <w:rFonts w:ascii="Arial" w:hAnsi="Arial" w:cs="Arial"/>
              </w:rPr>
              <w:t xml:space="preserve"> University; the Chemistry Laboratory, Faculty of Mathematics and Natural Sciences, </w:t>
            </w:r>
            <w:proofErr w:type="spellStart"/>
            <w:r w:rsidR="00C30D03" w:rsidRPr="00C30D03">
              <w:rPr>
                <w:rFonts w:ascii="Arial" w:hAnsi="Arial" w:cs="Arial"/>
              </w:rPr>
              <w:t>Tadulako</w:t>
            </w:r>
            <w:proofErr w:type="spellEnd"/>
            <w:r w:rsidR="00C30D03" w:rsidRPr="00C30D03">
              <w:rPr>
                <w:rFonts w:ascii="Arial" w:hAnsi="Arial" w:cs="Arial"/>
              </w:rPr>
              <w:t xml:space="preserve"> University; and a maize cultivation field in </w:t>
            </w:r>
            <w:proofErr w:type="spellStart"/>
            <w:r w:rsidR="00C30D03" w:rsidRPr="00C30D03">
              <w:rPr>
                <w:rFonts w:ascii="Arial" w:hAnsi="Arial" w:cs="Arial"/>
              </w:rPr>
              <w:t>Lolu</w:t>
            </w:r>
            <w:proofErr w:type="spellEnd"/>
            <w:r w:rsidR="00C30D03" w:rsidRPr="00C30D03">
              <w:rPr>
                <w:rFonts w:ascii="Arial" w:hAnsi="Arial" w:cs="Arial"/>
              </w:rPr>
              <w:t xml:space="preserve">, </w:t>
            </w:r>
            <w:proofErr w:type="spellStart"/>
            <w:r w:rsidR="00C30D03" w:rsidRPr="00C30D03">
              <w:rPr>
                <w:rFonts w:ascii="Arial" w:hAnsi="Arial" w:cs="Arial"/>
              </w:rPr>
              <w:t>Sigi</w:t>
            </w:r>
            <w:proofErr w:type="spellEnd"/>
            <w:r w:rsidR="00C30D03" w:rsidRPr="00C30D03">
              <w:rPr>
                <w:rFonts w:ascii="Arial" w:hAnsi="Arial" w:cs="Arial"/>
              </w:rPr>
              <w:t xml:space="preserve"> </w:t>
            </w:r>
            <w:proofErr w:type="spellStart"/>
            <w:r w:rsidR="00C30D03" w:rsidRPr="00C30D03">
              <w:rPr>
                <w:rFonts w:ascii="Arial" w:hAnsi="Arial" w:cs="Arial"/>
              </w:rPr>
              <w:t>Biromaru</w:t>
            </w:r>
            <w:proofErr w:type="spellEnd"/>
            <w:r w:rsidR="00C30D03" w:rsidRPr="00C30D03">
              <w:rPr>
                <w:rFonts w:ascii="Arial" w:hAnsi="Arial" w:cs="Arial"/>
              </w:rPr>
              <w:t xml:space="preserve"> District, </w:t>
            </w:r>
            <w:proofErr w:type="spellStart"/>
            <w:r w:rsidR="00C30D03" w:rsidRPr="00C30D03">
              <w:rPr>
                <w:rFonts w:ascii="Arial" w:hAnsi="Arial" w:cs="Arial"/>
              </w:rPr>
              <w:t>Sigi</w:t>
            </w:r>
            <w:proofErr w:type="spellEnd"/>
            <w:r w:rsidR="00C30D03" w:rsidRPr="00C30D03">
              <w:rPr>
                <w:rFonts w:ascii="Arial" w:hAnsi="Arial" w:cs="Arial"/>
              </w:rPr>
              <w:t xml:space="preserve"> Regency. The research was carried out from May to October 2025</w:t>
            </w:r>
            <w:r w:rsidR="00475C83">
              <w:rPr>
                <w:rFonts w:ascii="Arial" w:hAnsi="Arial" w:cs="Arial"/>
              </w:rPr>
              <w:t>.</w:t>
            </w:r>
          </w:p>
          <w:p w14:paraId="6B044D3A" w14:textId="2B2B9ABA" w:rsidR="00475C83" w:rsidRDefault="00BA1B01" w:rsidP="00475C83">
            <w:pPr>
              <w:pStyle w:val="Body"/>
              <w:spacing w:after="0"/>
              <w:rPr>
                <w:rStyle w:val="Emphasis"/>
                <w:rFonts w:ascii="Arial" w:hAnsi="Arial" w:cs="Arial"/>
                <w:i w:val="0"/>
              </w:rPr>
            </w:pPr>
            <w:r w:rsidRPr="00475C83">
              <w:rPr>
                <w:rFonts w:ascii="Arial" w:eastAsia="Calibri" w:hAnsi="Arial" w:cs="Arial"/>
                <w:b/>
                <w:bCs/>
              </w:rPr>
              <w:t>Methodology:</w:t>
            </w:r>
            <w:r w:rsidRPr="00475C83">
              <w:rPr>
                <w:rFonts w:ascii="Arial" w:eastAsia="Calibri" w:hAnsi="Arial" w:cs="Arial"/>
              </w:rPr>
              <w:t xml:space="preserve"> </w:t>
            </w:r>
            <w:r w:rsidR="00475C83" w:rsidRPr="00475C83">
              <w:rPr>
                <w:rStyle w:val="Emphasis"/>
                <w:rFonts w:ascii="Arial" w:hAnsi="Arial" w:cs="Arial"/>
                <w:i w:val="0"/>
              </w:rPr>
              <w:t>Laboratory bioassays were conducted using the chili aphid (</w:t>
            </w:r>
            <w:r w:rsidR="00475C83" w:rsidRPr="00F539A4">
              <w:rPr>
                <w:rStyle w:val="Emphasis"/>
                <w:rFonts w:ascii="Arial" w:hAnsi="Arial" w:cs="Arial"/>
              </w:rPr>
              <w:t>Aphis gossypii</w:t>
            </w:r>
            <w:r w:rsidR="00475C83" w:rsidRPr="00475C83">
              <w:rPr>
                <w:rStyle w:val="Emphasis"/>
                <w:rFonts w:ascii="Arial" w:hAnsi="Arial" w:cs="Arial"/>
                <w:i w:val="0"/>
              </w:rPr>
              <w:t>) to evaluate the bio</w:t>
            </w:r>
            <w:r w:rsidR="00F539A4">
              <w:rPr>
                <w:rStyle w:val="Emphasis"/>
                <w:rFonts w:ascii="Arial" w:hAnsi="Arial" w:cs="Arial"/>
                <w:i w:val="0"/>
              </w:rPr>
              <w:t xml:space="preserve">logical efficacy of a </w:t>
            </w:r>
            <w:proofErr w:type="spellStart"/>
            <w:r w:rsidR="00F539A4">
              <w:rPr>
                <w:rStyle w:val="Emphasis"/>
                <w:rFonts w:ascii="Arial" w:hAnsi="Arial" w:cs="Arial"/>
                <w:i w:val="0"/>
              </w:rPr>
              <w:t>fo</w:t>
            </w:r>
            <w:proofErr w:type="spellEnd"/>
            <w:r w:rsidR="00475C83" w:rsidRPr="00475C83">
              <w:rPr>
                <w:rStyle w:val="Emphasis"/>
                <w:rFonts w:ascii="Arial" w:hAnsi="Arial" w:cs="Arial"/>
                <w:i w:val="0"/>
              </w:rPr>
              <w:t xml:space="preserve"> </w:t>
            </w:r>
            <w:r w:rsidR="00475C83" w:rsidRPr="00F539A4">
              <w:rPr>
                <w:rStyle w:val="Emphasis"/>
                <w:rFonts w:ascii="Arial" w:hAnsi="Arial" w:cs="Arial"/>
              </w:rPr>
              <w:t>Calotropis gigantea</w:t>
            </w:r>
            <w:r w:rsidR="00475C83" w:rsidRPr="00475C83">
              <w:rPr>
                <w:rStyle w:val="Emphasis"/>
                <w:rFonts w:ascii="Arial" w:hAnsi="Arial" w:cs="Arial"/>
                <w:i w:val="0"/>
              </w:rPr>
              <w:t xml:space="preserve"> extract. Treatments consisted of four concentrations (2, 1, 0.5, and 0.25 g L</w:t>
            </w:r>
            <w:r w:rsidR="00475C83" w:rsidRPr="00475C83">
              <w:rPr>
                <w:rStyle w:val="Emphasis"/>
                <w:rFonts w:ascii="Cambria Math" w:hAnsi="Cambria Math" w:cs="Cambria Math"/>
                <w:i w:val="0"/>
              </w:rPr>
              <w:t>⁻</w:t>
            </w:r>
            <w:r w:rsidR="00475C83" w:rsidRPr="00475C83">
              <w:rPr>
                <w:rStyle w:val="Emphasis"/>
                <w:rFonts w:ascii="Arial" w:hAnsi="Arial" w:cs="Arial"/>
                <w:i w:val="0"/>
              </w:rPr>
              <w:t xml:space="preserve">¹) and a distilled water control. Larval mortality was recorded for 72 h post-treatment and analyzed using </w:t>
            </w:r>
            <w:proofErr w:type="spellStart"/>
            <w:r w:rsidR="00475C83" w:rsidRPr="00475C83">
              <w:rPr>
                <w:rStyle w:val="Emphasis"/>
                <w:rFonts w:ascii="Arial" w:hAnsi="Arial" w:cs="Arial"/>
                <w:i w:val="0"/>
              </w:rPr>
              <w:t>Probit</w:t>
            </w:r>
            <w:proofErr w:type="spellEnd"/>
            <w:r w:rsidR="00475C83" w:rsidRPr="00475C83">
              <w:rPr>
                <w:rStyle w:val="Emphasis"/>
                <w:rFonts w:ascii="Arial" w:hAnsi="Arial" w:cs="Arial"/>
                <w:i w:val="0"/>
              </w:rPr>
              <w:t xml:space="preserve"> </w:t>
            </w:r>
            <w:proofErr w:type="spellStart"/>
            <w:proofErr w:type="gramStart"/>
            <w:r w:rsidR="00475C83" w:rsidRPr="00475C83">
              <w:rPr>
                <w:rStyle w:val="Emphasis"/>
                <w:rFonts w:ascii="Arial" w:hAnsi="Arial" w:cs="Arial"/>
                <w:i w:val="0"/>
              </w:rPr>
              <w:t>analysis.Field</w:t>
            </w:r>
            <w:proofErr w:type="spellEnd"/>
            <w:proofErr w:type="gramEnd"/>
            <w:r w:rsidR="00475C83" w:rsidRPr="00475C83">
              <w:rPr>
                <w:rStyle w:val="Emphasis"/>
                <w:rFonts w:ascii="Arial" w:hAnsi="Arial" w:cs="Arial"/>
                <w:i w:val="0"/>
              </w:rPr>
              <w:t xml:space="preserve"> experiments were carried out on farmers’ fields in a major maize production area in Sigi Regency using a randomized complete block design (RCBD). Treatments included four concentrations (5, 10, 20, and 40 g L</w:t>
            </w:r>
            <w:r w:rsidR="00475C83" w:rsidRPr="00475C83">
              <w:rPr>
                <w:rStyle w:val="Emphasis"/>
                <w:rFonts w:ascii="Cambria Math" w:hAnsi="Cambria Math" w:cs="Cambria Math"/>
                <w:i w:val="0"/>
              </w:rPr>
              <w:t>⁻</w:t>
            </w:r>
            <w:r w:rsidR="00475C83" w:rsidRPr="00475C83">
              <w:rPr>
                <w:rStyle w:val="Emphasis"/>
                <w:rFonts w:ascii="Arial" w:hAnsi="Arial" w:cs="Arial"/>
                <w:i w:val="0"/>
              </w:rPr>
              <w:t>¹), along with positive and negative controls. Applications were initiated at 3 weeks after transplanting and repeated at 7-day intervals for six applications. Observed parameters included aphid population density, infestation intensity, diversity of natural enemies, and chili yield. Data were analyzed by ANOVA using SPSS 20.0 at α = 0.05, followed by Duncan’s Multiple Range Test, while natural enemy diversity was compared using an independent t-test.</w:t>
            </w:r>
          </w:p>
          <w:p w14:paraId="23914722" w14:textId="112BA78A" w:rsidR="00010D58" w:rsidRDefault="00BA1B01" w:rsidP="00441B6F">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0D6CF3" w:rsidRPr="000D6CF3">
              <w:rPr>
                <w:rFonts w:ascii="Arial" w:hAnsi="Arial" w:cs="Arial"/>
              </w:rPr>
              <w:t xml:space="preserve">The leaf extract of </w:t>
            </w:r>
            <w:proofErr w:type="spellStart"/>
            <w:proofErr w:type="gramStart"/>
            <w:r w:rsidR="000D6CF3" w:rsidRPr="000D6CF3">
              <w:rPr>
                <w:rStyle w:val="Emphasis"/>
                <w:rFonts w:ascii="Arial" w:hAnsi="Arial" w:cs="Arial"/>
              </w:rPr>
              <w:t>C</w:t>
            </w:r>
            <w:r w:rsidR="00F539A4">
              <w:rPr>
                <w:rStyle w:val="Emphasis"/>
                <w:rFonts w:ascii="Arial" w:hAnsi="Arial" w:cs="Arial"/>
              </w:rPr>
              <w:t>.</w:t>
            </w:r>
            <w:r w:rsidR="000D6CF3" w:rsidRPr="000D6CF3">
              <w:rPr>
                <w:rStyle w:val="Emphasis"/>
                <w:rFonts w:ascii="Arial" w:hAnsi="Arial" w:cs="Arial"/>
              </w:rPr>
              <w:t>alotropis</w:t>
            </w:r>
            <w:proofErr w:type="spellEnd"/>
            <w:proofErr w:type="gramEnd"/>
            <w:r w:rsidR="000D6CF3" w:rsidRPr="000D6CF3">
              <w:rPr>
                <w:rStyle w:val="Emphasis"/>
                <w:rFonts w:ascii="Arial" w:hAnsi="Arial" w:cs="Arial"/>
              </w:rPr>
              <w:t xml:space="preserve"> gigantea</w:t>
            </w:r>
            <w:r w:rsidR="000D6CF3" w:rsidRPr="000D6CF3">
              <w:rPr>
                <w:rFonts w:ascii="Arial" w:hAnsi="Arial" w:cs="Arial"/>
              </w:rPr>
              <w:t xml:space="preserve"> exhibited strong toxicity against </w:t>
            </w:r>
            <w:r w:rsidR="000D6CF3" w:rsidRPr="000D6CF3">
              <w:rPr>
                <w:rStyle w:val="Emphasis"/>
                <w:rFonts w:ascii="Arial" w:hAnsi="Arial" w:cs="Arial"/>
              </w:rPr>
              <w:t>Aphis gossypii</w:t>
            </w:r>
            <w:r w:rsidR="000D6CF3" w:rsidRPr="000D6CF3">
              <w:rPr>
                <w:rFonts w:ascii="Arial" w:hAnsi="Arial" w:cs="Arial"/>
              </w:rPr>
              <w:t>, with an LC</w:t>
            </w:r>
            <w:r w:rsidR="000D6CF3" w:rsidRPr="000D6CF3">
              <w:rPr>
                <w:rFonts w:ascii="Cambria Math" w:hAnsi="Cambria Math" w:cs="Cambria Math"/>
              </w:rPr>
              <w:t>₅₀</w:t>
            </w:r>
            <w:r w:rsidR="000D6CF3" w:rsidRPr="000D6CF3">
              <w:rPr>
                <w:rFonts w:ascii="Arial" w:hAnsi="Arial" w:cs="Arial"/>
              </w:rPr>
              <w:t xml:space="preserve"> of 0.513 µg L</w:t>
            </w:r>
            <w:r w:rsidR="000D6CF3" w:rsidRPr="000D6CF3">
              <w:rPr>
                <w:rFonts w:ascii="Cambria Math" w:hAnsi="Cambria Math" w:cs="Cambria Math"/>
              </w:rPr>
              <w:t>⁻</w:t>
            </w:r>
            <w:r w:rsidR="000D6CF3" w:rsidRPr="000D6CF3">
              <w:rPr>
                <w:rFonts w:ascii="Arial" w:hAnsi="Arial" w:cs="Arial"/>
              </w:rPr>
              <w:t>¹. Field application significantly reduced aphid population density and infestation intensity in a dose-dependent manner. High extract concentrations achieved suppression levels comparable to synthetic insecticides, while untreated plots showed progressive population increases. Diversity indices of natural enemies were not significantly affected by extract treatments, indicating minimal non-target effects. Crop yield increased significantly with extract application, with the highest dose producing yields equivalent to synthetic insecticide controls</w:t>
            </w:r>
            <w:r w:rsidR="00010D58">
              <w:rPr>
                <w:rFonts w:ascii="Arial" w:hAnsi="Arial" w:cs="Arial"/>
              </w:rPr>
              <w:t>.</w:t>
            </w:r>
          </w:p>
          <w:p w14:paraId="10CAE550" w14:textId="3E1CA4BD" w:rsidR="00505F06" w:rsidRPr="00BA1B01" w:rsidRDefault="00BA1B01" w:rsidP="00F539A4">
            <w:pPr>
              <w:pStyle w:val="Body"/>
              <w:spacing w:after="0"/>
              <w:rPr>
                <w:rFonts w:ascii="Arial" w:eastAsia="Calibri" w:hAnsi="Arial" w:cs="Arial"/>
                <w:szCs w:val="22"/>
              </w:rPr>
            </w:pPr>
            <w:r w:rsidRPr="000D6CF3">
              <w:rPr>
                <w:rFonts w:ascii="Arial" w:eastAsia="Calibri" w:hAnsi="Arial" w:cs="Arial"/>
                <w:b/>
                <w:bCs/>
                <w:szCs w:val="22"/>
              </w:rPr>
              <w:t>Conclusion:</w:t>
            </w:r>
            <w:r w:rsidRPr="000D6CF3">
              <w:rPr>
                <w:rFonts w:ascii="Arial" w:eastAsia="Calibri" w:hAnsi="Arial" w:cs="Arial"/>
                <w:szCs w:val="22"/>
              </w:rPr>
              <w:t xml:space="preserve"> </w:t>
            </w:r>
            <w:r w:rsidR="00F539A4">
              <w:rPr>
                <w:rFonts w:ascii="Arial" w:eastAsia="Calibri" w:hAnsi="Arial" w:cs="Arial"/>
                <w:szCs w:val="22"/>
              </w:rPr>
              <w:t>C</w:t>
            </w:r>
            <w:r w:rsidR="00F539A4" w:rsidRPr="00F539A4">
              <w:rPr>
                <w:rStyle w:val="Emphasis"/>
                <w:rFonts w:ascii="Arial" w:hAnsi="Arial" w:cs="Arial"/>
              </w:rPr>
              <w:t>alotropis. gigantea</w:t>
            </w:r>
            <w:r w:rsidR="00F539A4" w:rsidRPr="00F539A4">
              <w:rPr>
                <w:rFonts w:ascii="Arial" w:hAnsi="Arial" w:cs="Arial"/>
              </w:rPr>
              <w:t xml:space="preserve"> leaf extract effectively controlled </w:t>
            </w:r>
            <w:r w:rsidR="00F539A4" w:rsidRPr="00F539A4">
              <w:rPr>
                <w:rStyle w:val="Emphasis"/>
                <w:rFonts w:ascii="Arial" w:hAnsi="Arial" w:cs="Arial"/>
              </w:rPr>
              <w:t>Aphis gossypii</w:t>
            </w:r>
            <w:r w:rsidR="00F539A4" w:rsidRPr="00F539A4">
              <w:rPr>
                <w:rFonts w:ascii="Arial" w:hAnsi="Arial" w:cs="Arial"/>
              </w:rPr>
              <w:t xml:space="preserve"> in a dose-dependent manner, with high concentrations achieving suppression comparable to synthetic insecticides. The extract did not negatively impact natural enemy diversity and </w:t>
            </w:r>
            <w:r w:rsidR="00F539A4" w:rsidRPr="00F539A4">
              <w:rPr>
                <w:rFonts w:ascii="Arial" w:hAnsi="Arial" w:cs="Arial"/>
              </w:rPr>
              <w:lastRenderedPageBreak/>
              <w:t>significantly increased chili yield, highlighting its potential as an environmentally friendly and sustainable alternative for integrated pest management.</w:t>
            </w:r>
          </w:p>
        </w:tc>
      </w:tr>
    </w:tbl>
    <w:p w14:paraId="761354B6" w14:textId="77777777" w:rsidR="00636EB2" w:rsidRDefault="00636EB2" w:rsidP="00441B6F">
      <w:pPr>
        <w:pStyle w:val="Body"/>
        <w:spacing w:after="0"/>
        <w:rPr>
          <w:rFonts w:ascii="Arial" w:hAnsi="Arial" w:cs="Arial"/>
          <w:i/>
        </w:rPr>
      </w:pPr>
    </w:p>
    <w:p w14:paraId="5EA5BE54" w14:textId="4F7B90D3" w:rsidR="00A24E7E" w:rsidRDefault="00A24E7E" w:rsidP="00441B6F">
      <w:pPr>
        <w:pStyle w:val="Body"/>
        <w:spacing w:after="0"/>
        <w:rPr>
          <w:rFonts w:ascii="Arial" w:hAnsi="Arial" w:cs="Arial"/>
          <w:i/>
        </w:rPr>
      </w:pPr>
      <w:r>
        <w:rPr>
          <w:rFonts w:ascii="Arial" w:hAnsi="Arial" w:cs="Arial"/>
          <w:i/>
        </w:rPr>
        <w:t xml:space="preserve">Keywords: </w:t>
      </w:r>
      <w:r w:rsidR="00F539A4" w:rsidRPr="00F539A4">
        <w:rPr>
          <w:rFonts w:ascii="Arial" w:hAnsi="Arial" w:cs="Arial"/>
          <w:i/>
          <w:iCs/>
        </w:rPr>
        <w:t>Calotropis gigantean, Aphis gossypii,</w:t>
      </w:r>
      <w:r w:rsidR="00F539A4" w:rsidRPr="00CD1A31">
        <w:rPr>
          <w:rFonts w:ascii="Arial" w:hAnsi="Arial" w:cs="Arial"/>
        </w:rPr>
        <w:t xml:space="preserve"> Chili pepper</w:t>
      </w:r>
      <w:r w:rsidR="00F539A4" w:rsidRPr="00F539A4">
        <w:rPr>
          <w:rFonts w:ascii="Arial" w:hAnsi="Arial" w:cs="Arial"/>
        </w:rPr>
        <w:t xml:space="preserve">, </w:t>
      </w:r>
      <w:r w:rsidR="00F539A4" w:rsidRPr="00CD1A31">
        <w:rPr>
          <w:rFonts w:ascii="Arial" w:hAnsi="Arial" w:cs="Arial"/>
        </w:rPr>
        <w:t xml:space="preserve">Botanical </w:t>
      </w:r>
      <w:proofErr w:type="gramStart"/>
      <w:r w:rsidR="00F539A4" w:rsidRPr="00CD1A31">
        <w:rPr>
          <w:rFonts w:ascii="Arial" w:hAnsi="Arial" w:cs="Arial"/>
        </w:rPr>
        <w:t>insecticide</w:t>
      </w:r>
      <w:r w:rsidR="00F539A4" w:rsidRPr="00F539A4">
        <w:rPr>
          <w:rFonts w:ascii="Arial" w:hAnsi="Arial" w:cs="Arial"/>
        </w:rPr>
        <w:t xml:space="preserve">, </w:t>
      </w:r>
      <w:r w:rsidR="00F539A4" w:rsidRPr="00CD1A31">
        <w:rPr>
          <w:rFonts w:ascii="Arial" w:hAnsi="Arial" w:cs="Arial"/>
        </w:rPr>
        <w:t xml:space="preserve">  </w:t>
      </w:r>
      <w:proofErr w:type="gramEnd"/>
      <w:r w:rsidR="00F539A4" w:rsidRPr="00CD1A31">
        <w:rPr>
          <w:rFonts w:ascii="Arial" w:hAnsi="Arial" w:cs="Arial"/>
        </w:rPr>
        <w:t>Natural enemy diversity</w:t>
      </w:r>
      <w:r w:rsidR="00F539A4" w:rsidRPr="00F539A4">
        <w:rPr>
          <w:rFonts w:ascii="Arial" w:hAnsi="Arial" w:cs="Arial"/>
        </w:rPr>
        <w:t xml:space="preserve">, </w:t>
      </w:r>
      <w:r w:rsidR="00F539A4" w:rsidRPr="00CD1A31">
        <w:rPr>
          <w:rFonts w:ascii="Arial" w:hAnsi="Arial" w:cs="Arial"/>
        </w:rPr>
        <w:t xml:space="preserve">Integrated pest </w:t>
      </w:r>
      <w:proofErr w:type="spellStart"/>
      <w:r w:rsidR="00F539A4" w:rsidRPr="00CD1A31">
        <w:rPr>
          <w:rFonts w:ascii="Arial" w:hAnsi="Arial" w:cs="Arial"/>
        </w:rPr>
        <w:t>managemen</w:t>
      </w:r>
      <w:proofErr w:type="spellEnd"/>
    </w:p>
    <w:p w14:paraId="1783923B" w14:textId="77777777" w:rsidR="00790ADA" w:rsidRDefault="00790ADA" w:rsidP="00441B6F">
      <w:pPr>
        <w:pStyle w:val="Body"/>
        <w:spacing w:after="0"/>
        <w:rPr>
          <w:rFonts w:ascii="Arial" w:hAnsi="Arial" w:cs="Arial"/>
          <w:i/>
        </w:rPr>
      </w:pPr>
    </w:p>
    <w:p w14:paraId="2341C098" w14:textId="24919A7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863F57" w14:textId="77777777" w:rsidR="00790ADA" w:rsidRPr="00FB3A86" w:rsidRDefault="00790ADA" w:rsidP="00441B6F">
      <w:pPr>
        <w:pStyle w:val="AbstHead"/>
        <w:spacing w:after="0"/>
        <w:jc w:val="both"/>
        <w:rPr>
          <w:rFonts w:ascii="Arial" w:hAnsi="Arial" w:cs="Arial"/>
        </w:rPr>
      </w:pPr>
    </w:p>
    <w:p w14:paraId="3954C0D4" w14:textId="77777777" w:rsidR="00B54B67" w:rsidRPr="00B54B67" w:rsidRDefault="00B54B67" w:rsidP="00344BE5">
      <w:pPr>
        <w:spacing w:after="120"/>
        <w:ind w:firstLine="720"/>
        <w:jc w:val="both"/>
        <w:rPr>
          <w:rFonts w:ascii="Arial" w:hAnsi="Arial" w:cs="Arial"/>
        </w:rPr>
      </w:pPr>
      <w:r w:rsidRPr="00B54B67">
        <w:rPr>
          <w:rStyle w:val="Emphasis"/>
          <w:rFonts w:ascii="Arial" w:hAnsi="Arial" w:cs="Arial"/>
        </w:rPr>
        <w:t>Aphis gossypii</w:t>
      </w:r>
      <w:r w:rsidRPr="00B54B67">
        <w:rPr>
          <w:rFonts w:ascii="Arial" w:hAnsi="Arial" w:cs="Arial"/>
        </w:rPr>
        <w:t xml:space="preserve"> Glover (Hemiptera: Aphididae) is a major pest of chili pepper (</w:t>
      </w:r>
      <w:r w:rsidRPr="00B54B67">
        <w:rPr>
          <w:rStyle w:val="Emphasis"/>
          <w:rFonts w:ascii="Arial" w:hAnsi="Arial" w:cs="Arial"/>
        </w:rPr>
        <w:t>Capsicum frutescens</w:t>
      </w:r>
      <w:r w:rsidRPr="00B54B67">
        <w:rPr>
          <w:rFonts w:ascii="Arial" w:hAnsi="Arial" w:cs="Arial"/>
        </w:rPr>
        <w:t xml:space="preserve"> L., </w:t>
      </w:r>
      <w:proofErr w:type="spellStart"/>
      <w:r w:rsidRPr="00B54B67">
        <w:rPr>
          <w:rFonts w:ascii="Arial" w:hAnsi="Arial" w:cs="Arial"/>
        </w:rPr>
        <w:t>Solanales</w:t>
      </w:r>
      <w:proofErr w:type="spellEnd"/>
      <w:r w:rsidRPr="00B54B67">
        <w:rPr>
          <w:rFonts w:ascii="Arial" w:hAnsi="Arial" w:cs="Arial"/>
        </w:rPr>
        <w:t xml:space="preserve">: Solanaceae) and exhibits intraspecific population differentiation </w:t>
      </w:r>
      <w:r w:rsidRPr="00B54B67">
        <w:rPr>
          <w:rFonts w:ascii="Arial" w:hAnsi="Arial" w:cs="Arial"/>
        </w:rPr>
        <w:fldChar w:fldCharType="begin"/>
      </w:r>
      <w:r w:rsidRPr="00B54B67">
        <w:rPr>
          <w:rFonts w:ascii="Arial" w:hAnsi="Arial" w:cs="Arial"/>
          <w:lang w:val="id-ID"/>
        </w:rPr>
        <w:instrText xml:space="preserve"> ADDIN ZOTERO_ITEM CSL_CITATION {"citationID":"5T7SanZl","properties":{"formattedCitation":"(Yang et al., 2025)","plainCitation":"(Yang et al., 2025)","noteIndex":0},"citationItems":[{"id":46,"uris":["http://zotero.org/users/17035950/items/3C5PB7TD"],"itemData":{"id":46,"type":"article-journal","abstract":"Aphis gossypii Glover (Hemiptera: Aphididae) is a significant pest of Capsicum annuum (Solanales: Solanaceae) and exhibits intraspecific differentiation within populations. To investigate the adaptability of Hap3 and Hap17 A. gossypii to various C. annuum varieties, including ‘Lvzhou101’ (LZ), ‘Lashen’ (LA), ‘Saierweilvtianjiao’ (SE), ‘Haimaihongri’ (HM), ‘Chaotianjiao’ (CT), and ‘Luosijiangjun’ (LS), we employed life tables to analyse growth and population parameters post-feeding and conducted petri dish host choice experiments to assess the host plant preference of A. gossypii. Survival rates of A. gossypii varied significantly across C. annuum varieties. Notably, Hap3 and Hap17 thrived on ‘LZ’ but failed to establish populations on ‘LA’. The net reproductive rate (R0), average generation time (T), and intrinsic rate of increase (rm) differed markedly between Hap3 and Hap17 across C. annuum varieties. Feeding on ‘LZ’ resulted in a significantly higher R0 value (26.49) for Hap3 relative to other varieties. The T (7.60 days) and rm (0.27) values for Hap3 on ‘SE’ were superior to those observed on other C. annuum varieties. These findings indicate that ‘SE’ is the optimal host for Hap3 growth, while ‘LZ’ best supports Hap17. Both haplotypes exhibited the lowest adaptability to ‘LA’. Therefore, the utilisation capacity of A. gossypii populations on C. annuum demonstrates differentiation, and the resistance levels among C. annuum varieties to A. gossypii vary. This differentiation can inform targeted management strategies for aphid infestations on pepper crops.","container-title":"Bulletin of Entomological Research","DOI":"10.1017/S0007485325000100","ISSN":"0007-4853, 1475-2670","issue":"3","language":"en","page":"287-295","source":"Cambridge University Press","title":"Adaptability of Aphis gossypii glover to different Capsicum annuum varieties","volume":"115","author":[{"family":"Yang","given":"Jin"},{"family":"Bang","given":"Hao"},{"family":"Yang","given":"Hanjing"},{"family":"Zhao","given":"Jun"},{"family":"Farhan","given":"Muhammad"},{"family":"Ma","given":"Xiaoyan"},{"family":"Zhang","given":"Shuai"}],"issued":{"date-parts":[["2025",6]]}}}],"schema":"https://github.com/citation-style-language/schema/raw/master/csl-citation.json"} </w:instrText>
      </w:r>
      <w:r w:rsidRPr="00B54B67">
        <w:rPr>
          <w:rFonts w:ascii="Arial" w:hAnsi="Arial" w:cs="Arial"/>
        </w:rPr>
        <w:fldChar w:fldCharType="separate"/>
      </w:r>
      <w:r w:rsidRPr="00B54B67">
        <w:rPr>
          <w:rFonts w:ascii="Arial" w:hAnsi="Arial" w:cs="Arial"/>
          <w:lang w:val="id-ID"/>
        </w:rPr>
        <w:t>(Yang et al., 2025)</w:t>
      </w:r>
      <w:r w:rsidRPr="00B54B67">
        <w:rPr>
          <w:rFonts w:ascii="Arial" w:hAnsi="Arial" w:cs="Arial"/>
        </w:rPr>
        <w:fldChar w:fldCharType="end"/>
      </w:r>
      <w:r w:rsidRPr="00B54B67">
        <w:rPr>
          <w:rFonts w:ascii="Arial" w:hAnsi="Arial" w:cs="Arial"/>
          <w:lang w:val="id-ID"/>
        </w:rPr>
        <w:t xml:space="preserve">, </w:t>
      </w:r>
      <w:r w:rsidRPr="00B54B67">
        <w:rPr>
          <w:rFonts w:ascii="Arial" w:hAnsi="Arial" w:cs="Arial"/>
        </w:rPr>
        <w:t xml:space="preserve">As a cosmopolitan pest, it causes substantial damage by feeding on critical plant parts and serves as a vector for viral diseases in various food and horticultural crops </w:t>
      </w:r>
      <w:r w:rsidRPr="00B54B67">
        <w:rPr>
          <w:rFonts w:ascii="Arial" w:hAnsi="Arial" w:cs="Arial"/>
          <w:lang w:val="id-ID"/>
        </w:rPr>
        <w:t xml:space="preserve"> </w:t>
      </w:r>
      <w:r w:rsidRPr="00B54B67">
        <w:rPr>
          <w:rFonts w:ascii="Arial" w:hAnsi="Arial" w:cs="Arial"/>
        </w:rPr>
        <w:fldChar w:fldCharType="begin"/>
      </w:r>
      <w:r w:rsidRPr="00B54B67">
        <w:rPr>
          <w:rFonts w:ascii="Arial" w:hAnsi="Arial" w:cs="Arial"/>
          <w:lang w:val="id-ID"/>
        </w:rPr>
        <w:instrText xml:space="preserve"> ADDIN ZOTERO_ITEM CSL_CITATION {"citationID":"0Ehqj4Pt","properties":{"formattedCitation":"(Cocuzza, 2024; Singh &amp; Singh, 2021; Venkanna &amp; Suroshe, 2023)","plainCitation":"(Cocuzza, 2024; Singh &amp; Singh, 2021; Venkanna &amp; Suroshe, 2023)","noteIndex":0},"citationItems":[{"id":108,"uris":["http://zotero.org/users/17035950/items/W97UCDPA"],"itemData":{"id":108,"type":"article-journal","abstract":"This datasheet on Aphis gossypii covers Impact, Identity, Overview, Associated Diseases, Pests or Pathogens, Distribution, Dispersal, Hosts/Species Affected, Diagnosis, Biology &amp; Ecology, Environmental Requirements, Natural Enemies, Impacts, Prevention/Control and Further Information.","container-title":"CABI Compendium","DOI":"10.1079/cabicompendium.6204","note":"publisher: CABI","page":"6204","source":"cabidigitallibrary.org (Atypon)","title":"Aphis gossypii (cotton aphid)","volume":"CABI Compendium","author":[{"family":"Cocuzza","given":"Giuseppe"}],"issued":{"date-parts":[["2024",4,29]]}}},{"id":110,"uris":["http://zotero.org/users/17035950/items/REUP2HRY"],"itemData":{"id":110,"type":"chapter","abstract":"The aphids are soft-bodied small insects (&lt; 7 mm) and feed by sucking plant sap. They usually live in colonies on the undersides of leaves or tender terminal shoots. Aphids excrete considerable amount of sugary liquid, honeydew, on which sooty mould usually turns them black and also serves a</w:instrText>
      </w:r>
      <w:r w:rsidRPr="00B54B67">
        <w:rPr>
          <w:rFonts w:ascii="Arial" w:hAnsi="Arial" w:cs="Arial"/>
        </w:rPr>
        <w:instrText xml:space="preserve">s food for ants, bees and their parasitic wasps. The aphids are unique on the account of their peculiar mode of reproduction, development and polymorphism. They may reproduce either by parthenogenesis, zygogenesis or paedogenesis. They may either be oviparous or viviparous and alatae or apterae, the male often being wanting and frequently rare in certain generations. Parthenogenetic reproduction allows rapid increase in numbers and results in populations consisting of clones. Some species reproduce both parthenogenetically and sexually (holocyclic species), whereas only few reproduce parthenogenetically (anholocyclic species). In parthenogenetic reproduction, life cycle completes within 10 days in temperate regions. The aphids are polymorphic, and both winged (alate) and wingless (aptera) morphs may be found in the same colony. Several factors, both biotic and abiotic, have effect on the formation of different phenotypes. Each morph performs different ecological roles in the life history which is characteristic of aphids. This trait coupled with the ability to breed by means of diploid parthenogenesis and viviparity for a major part of the life cycle in aphids has enabled them to produce a large number of clones in different kinds of plants even under adverse conditions. Aphids are frequently engaged in mutualistic associations with bacterial endosymbionts that not only provide essential amino acids to them but also grant them protection from natural enemies, protection from extreme temperatures, development of resistance to a fungal pathogen and the ability to use a greater diversity of resources. Out of globally 5110 species of aphids described, about 250 species are major agricultural and horticultural pests. They damage the crops directly by sucking their nutrients, making galls and hampering photosynthesis and respiration by the growth of sooty moulds on the honeydew deposited thereon. Aphids also damage the crop indirectly by transmitting hundreds of plant viruses. Because of their economic importance, their population must be controlled to save the crops. In this contribution, several aspects of aphid systematic and biology such as endemism, host–plant association, diversity, morphology, feeding behaviour, life history, polymorphism and factors affecting it, migration, defence, aphid–ant association, endosymbiosis, economic importance and their population management have been described in detail.","container-title":"Polyphagous Pests of Crops","event-place":"Singapore","ISBN":"978-981-15-8075-8","language":"en","note":"DOI: 10.1007/978-981-15-8075-8_3","page":"105-182","publisher":"Springer","publisher-place":"Singapore","source":"Springer Link","title":"Aphids","URL":"https://doi.org/10.1007/978-981-15-8075-8_3","author":[{"family":"Singh","given":"Rajendra"},{"family":"Singh","given":"Garima"}],"editor":[{"literal":"Omkar"}],"accessed":{"date-parts":[["2025",9,5]]},"issued":{"date-parts":[["2021"]]}}},{"id":106,"uris":["http://zotero.org/users/17035950/items/Q7KR8KV9"],"itemData":{"id":106,"type":"article-journal","abstract":"Cotton aphid, Aphis gossypii Glover is a cosmopolitan pest which causes huge damage by sucking a vital content of plants, it also transmit viral diseases in various field and horticultural crops. Due to development of resistance to insecticides and the environmental hazard it poses, more emphasis is being directed on biological control of cotton aphid. Continuous rearing of host insects is a key in biological control experiments. Of late, potted cotton plants are being extensively used for the rearing of cotton aphids. This method is cumbersome and requires more time and space. The other methods viz., rearing on excised cotton leaves and artificial diet are not suitable for rearing in large numbers. Hence, the present studies were aimed to find out an easy and reliable method for rearing. A simple rearing technique based on a host, Hibiscus cannabinus L. of Malvaceae family, is found effective for continuous rearing of cotton aphids throughout the year. Here, we assessed the developmental periods and population change of aphids as temperature dependent parameters. Among the different temperatures tested, 24 °C is found most suitable to produce nymphs and wingless adults in large numbers. For the production of winged adults, rearing at 27 °C is observed most suitable. This technique has certain advantages as it requires less space, is easy to maintain, incurs less cost and ensures clear visibility of all the instars for counting. This technique would help researchers in continuous rearing of A. gossypii for use in biological control and other studies.","container-title":"International Journal of Tropical Insect Science","DOI":"10.1007/s42690-023-00951-6","ISSN":"1742-7592","issue":"2","journalAbbreviation":"Int J Trop Insect Sci","language":"en","page":"519-526","source":"Springer Link","title":"A simple technique for continuous rearing of cotton aphid, Aphis gossypii Glover","volume":"43","author":[{"family":"Venkanna","given":"Y."},{"family":"Suroshe","given":"Sachin S."}],"issued":{"date-parts":[["2023",4,1]]}}}],"schema":"https://github.com/citation-style-language/schema/raw/master/csl-citation.json"} </w:instrText>
      </w:r>
      <w:r w:rsidRPr="00B54B67">
        <w:rPr>
          <w:rFonts w:ascii="Arial" w:hAnsi="Arial" w:cs="Arial"/>
        </w:rPr>
        <w:fldChar w:fldCharType="separate"/>
      </w:r>
      <w:r w:rsidRPr="00B54B67">
        <w:rPr>
          <w:rFonts w:ascii="Arial" w:hAnsi="Arial" w:cs="Arial"/>
        </w:rPr>
        <w:t>(Cocuzza, 2024; Singh &amp; Singh, 2021; Venkanna &amp; Suroshe, 2023)</w:t>
      </w:r>
      <w:r w:rsidRPr="00B54B67">
        <w:rPr>
          <w:rFonts w:ascii="Arial" w:hAnsi="Arial" w:cs="Arial"/>
        </w:rPr>
        <w:fldChar w:fldCharType="end"/>
      </w:r>
      <w:r w:rsidRPr="00B54B67">
        <w:rPr>
          <w:rFonts w:ascii="Arial" w:hAnsi="Arial" w:cs="Arial"/>
        </w:rPr>
        <w:t xml:space="preserve">. Infected plants often exhibit stunted growth, reduced development, and, in severe cases, failure to reproduce </w:t>
      </w:r>
      <w:r w:rsidRPr="00B54B67">
        <w:rPr>
          <w:rFonts w:ascii="Arial" w:hAnsi="Arial" w:cs="Arial"/>
        </w:rPr>
        <w:fldChar w:fldCharType="begin"/>
      </w:r>
      <w:r w:rsidRPr="00B54B67">
        <w:rPr>
          <w:rFonts w:ascii="Arial" w:hAnsi="Arial" w:cs="Arial"/>
        </w:rPr>
        <w:instrText xml:space="preserve"> ADDIN ZOTERO_ITEM CSL_CITATION {"citationID":"h7Qb56Sr","properties":{"formattedCitation":"(Hidayat et al., 2022; Nivetha et al., 2025)","plainCitation":"(Hidayat et al., 2022; Nivetha et al., 2025)","noteIndex":0},"citationItems":[{"id":104,"uris":["http://zotero.org/users/17035950/items/G8ZT6NKN"],"itemData":{"id":104,"type":"article-journal","abstract":"Importance of the work: The cotton aphid Aphis gossypii is a polyphagous insect found in tropical, subtropical and temperate regions. Most farmers take preventive or curative measures by applying synthetic insecticides that are usually effective in reducing aphid populations but should be used sparingly to minimize undesirable side effects. The use of natural products, such as minerals, offers a safer alternative for insect control.Objectives: To investigate the direct contact effect of kaolin and other minerals on the mortality of A. gossypii, as well as the residual contact effects of kaolin.Materials &amp;amp; Methods: In the direct contact test, each mineral suspension at a concentration of 2% (weight per volume) was sprayed onto A. gossypii adults. In the residual contact test, the adults of A. gossypii were exposed to a kaolin-sprayed chili plant.Results: Out of the 10 minerals tested, 6 had significant direct contact effects on aphid mortality, with the strongest ones being kaolin and calcite. Further testing of kaolin revealed that this mineral also has significant residual contact effects against A. gossypii, causing mortality and a reduction in the progeny numbers of A. gossypii. The residual contact effects of kaolin were weaker than its direct contact effect and were significantly affected by the age of the residue.Main finding: Kaolin could be applied as a curative as well as a preventive measure to reduce A. gossypii populations on chili plants. However, the application of kaolin (2%) needs to be repeated every 7 d to ensure its effectiveness in reducing the survival of A. gossypii.","container-title":"Agriculture and Natural Resources","ISSN":"2452-316X","issue":"3","language":"en","license":"Copyright (c) 2022 Kasetsart University","page":"503-510","source":"li01.tci-thaijo.org","title":"Contact effects of kaolin and other minerals on Aphis gossypii Glover (Hemiptera: Aphididae)","title-short":"Contact effects of kaolin and other minerals on Aphis gossypii Glover (Hemiptera","volume":"56","author":[{"family":"Hidayat","given":"Yusup"},{"family":"Prayoga","given":"Bayu Tresna"},{"family":"Wibowo","given":"Hellen Prameswari"},{"family":"Kurniawan","given":"Wawan"},{"family":"Rizkie","given":"Lilian"},{"family":"Dono","given":"Danar"}],"issued":{"date-parts":[["2022",6,22]]}}},{"id":112,"uris":["http://zotero.org/users/17035950/items/SXJ46787"],"itemData":{"id":112,"type":"article-journal","abstract":"Papaya (Carica papaya), a member of the family Caricaceae, is an important fruit crop extensively cultivated in tropical and subtropical regions worldwide, including Brazil, China, India, Indonesia, Jamaica, Mexico, Nigeria, Peru, the Philippines, Taiwan, Thailand and the United States of America. Originally native to Central and North America, its global distribution is attributed to its adaptability to diverse climates and soil conditions. Renowned for its exceptional nutritional value, papaya is widely utilized in medicinal and pharmaceutical applications, with all parts of the plant offering therapeutic benefits. Despite its economic significance, papaya cultivation faces major challenges due to various biotic and abiotic factors, particularly viral diseases. Among these, papaya ringspot and leaf curl diseases are the most prevalent globally, often causing yield losses of up to 100%. To date, 22 viruses from diverse groups including potyviruses, begomoviruses, alfamoviruses, potexviruses, sobemoviruses, rhabdoviruses and unassigned viruses have been identified as infecting papaya. These viruses are primarily transmitted by vectors such as aphids, whiteflies, and leafhoppers. In addition, some viruses, including those responsible for papaya lethal yellowing and sticky diseases, exhibit seed transmissibility. A comprehensive understanding of the distribution, impact on yield, and transmission mechanisms of these viruses is essential for developing effective disease management strategies in papaya cultivation. This review systematically compiles and summarizes information on all known viruses reported to infect papaya worldwide.","container-title":"3 Biotech","DOI":"10.1007/s13205-025-04370-x","ISSN":"2190-5738","issue":"7","journalAbbreviation":"3 Biotech","language":"en","page":"208","source":"Springer Link","title":"Global scenario of viruses infecting papaya","volume":"15","author":[{"family":"Nivetha","given":"T."},{"family":"Renukadevi","given":"P."},{"family":"Gayathri","given":"M."},{"family":"Indra","given":"N."},{"family":"Vidhya","given":"D."},{"family":"Rajagopal","given":"B."}],"issued":{"date-parts":[["2025",6,11]]}}}],"schema":"https://github.com/citation-style-language/schema/raw/master/csl-citation.json"} </w:instrText>
      </w:r>
      <w:r w:rsidRPr="00B54B67">
        <w:rPr>
          <w:rFonts w:ascii="Arial" w:hAnsi="Arial" w:cs="Arial"/>
        </w:rPr>
        <w:fldChar w:fldCharType="separate"/>
      </w:r>
      <w:r w:rsidRPr="00B54B67">
        <w:rPr>
          <w:rFonts w:ascii="Arial" w:hAnsi="Arial" w:cs="Arial"/>
        </w:rPr>
        <w:t>(Hidayat et al., 2022; Nivetha et al., 2025)</w:t>
      </w:r>
      <w:r w:rsidRPr="00B54B67">
        <w:rPr>
          <w:rFonts w:ascii="Arial" w:hAnsi="Arial" w:cs="Arial"/>
        </w:rPr>
        <w:fldChar w:fldCharType="end"/>
      </w:r>
      <w:r w:rsidRPr="00B54B67">
        <w:rPr>
          <w:rFonts w:ascii="Arial" w:hAnsi="Arial" w:cs="Arial"/>
        </w:rPr>
        <w:t xml:space="preserve">. </w:t>
      </w:r>
    </w:p>
    <w:p w14:paraId="03765305" w14:textId="77777777" w:rsidR="00B54B67" w:rsidRPr="00B54B67" w:rsidRDefault="00B54B67" w:rsidP="00344BE5">
      <w:pPr>
        <w:spacing w:after="120"/>
        <w:ind w:firstLine="720"/>
        <w:jc w:val="both"/>
        <w:rPr>
          <w:rFonts w:ascii="Arial" w:hAnsi="Arial" w:cs="Arial"/>
          <w:color w:val="001D35"/>
          <w:shd w:val="clear" w:color="auto" w:fill="FFFFFF"/>
        </w:rPr>
      </w:pPr>
      <w:r w:rsidRPr="00B54B67">
        <w:rPr>
          <w:rFonts w:ascii="Arial" w:hAnsi="Arial" w:cs="Arial"/>
        </w:rPr>
        <w:t xml:space="preserve">Management of </w:t>
      </w:r>
      <w:r w:rsidRPr="00B54B67">
        <w:rPr>
          <w:rStyle w:val="Emphasis"/>
          <w:rFonts w:ascii="Arial" w:hAnsi="Arial" w:cs="Arial"/>
        </w:rPr>
        <w:t>A. gossypii</w:t>
      </w:r>
      <w:r w:rsidRPr="00B54B67">
        <w:rPr>
          <w:rFonts w:ascii="Arial" w:hAnsi="Arial" w:cs="Arial"/>
        </w:rPr>
        <w:t xml:space="preserve"> has largely relied on synthetic insecticides. However, indiscriminate use of these chemicals has led to resistance, pest resurgence, mortality of natural enemies and pollinators, environmental contamination, and pesticide residues in agricultural products, posing serious health risks to consumers. Consequently, there is a growing need for alternative pest management strategies utilizing plant-derived compounds.</w:t>
      </w:r>
      <w:r w:rsidRPr="00B54B67">
        <w:rPr>
          <w:rFonts w:ascii="Arial" w:hAnsi="Arial" w:cs="Arial"/>
          <w:color w:val="001D35"/>
          <w:shd w:val="clear" w:color="auto" w:fill="FFFFFF"/>
        </w:rPr>
        <w:t xml:space="preserve"> </w:t>
      </w:r>
    </w:p>
    <w:p w14:paraId="6D5B9DA9" w14:textId="77777777" w:rsidR="00B54B67" w:rsidRPr="00B54B67" w:rsidRDefault="00B54B67" w:rsidP="00344BE5">
      <w:pPr>
        <w:spacing w:after="120"/>
        <w:ind w:firstLine="720"/>
        <w:jc w:val="both"/>
        <w:rPr>
          <w:rFonts w:ascii="Arial" w:hAnsi="Arial" w:cs="Arial"/>
          <w:lang w:val="de-DE"/>
        </w:rPr>
      </w:pPr>
      <w:r w:rsidRPr="00B54B67">
        <w:rPr>
          <w:rFonts w:ascii="Arial" w:hAnsi="Arial" w:cs="Arial"/>
        </w:rPr>
        <w:t>Plants synthesize a diverse array of phytochemicals, including alkaloids, terpenoids, phenolics, and sulfur- and nitrogen-containing metabolites, which provide natural defense mechanisms against herbivores</w:t>
      </w:r>
      <w:r w:rsidRPr="00B54B67">
        <w:rPr>
          <w:rFonts w:ascii="Arial" w:hAnsi="Arial" w:cs="Arial"/>
          <w:color w:val="001D35"/>
          <w:shd w:val="clear" w:color="auto" w:fill="FFFFFF"/>
        </w:rPr>
        <w:t xml:space="preserve"> </w:t>
      </w:r>
      <w:r w:rsidRPr="00B54B67">
        <w:rPr>
          <w:rFonts w:ascii="Arial" w:hAnsi="Arial" w:cs="Arial"/>
          <w:color w:val="001D35"/>
          <w:shd w:val="clear" w:color="auto" w:fill="FFFFFF"/>
        </w:rPr>
        <w:fldChar w:fldCharType="begin"/>
      </w:r>
      <w:r w:rsidRPr="00B54B67">
        <w:rPr>
          <w:rFonts w:ascii="Arial" w:hAnsi="Arial" w:cs="Arial"/>
          <w:color w:val="001D35"/>
          <w:shd w:val="clear" w:color="auto" w:fill="FFFFFF"/>
        </w:rPr>
        <w:instrText xml:space="preserve"> ADDIN ZOTERO_ITEM CSL_CITATION {"citationID":"buE35qu5","properties":{"formattedCitation":"(Farhan et al., 2024)","plainCitation":"(Farhan et al., 2024)","noteIndex":0},"citationItems":[{"id":78,"uris":["http://zotero.org/users/17035950/items/26HFI4KF"],"itemData":{"id":78,"type":"article-journal","abstract":"Aphids pose a significant threat to global agricultural crop production, leading to widespread pesticide use and resistance. This necessitates the use of alternative substances, like plant secondary metabolites (PSMs). Plants have developed protective compounds known as alkaloids, terpenoids, phenolics, sulfur- and nitrogen-containing metabolites. These compounds exhibit promising characteristics against aphids, such as antifeedant, aphicidal, and disrupting survival fitness. This review highlights the importance and application of secondary metabolites in combating aphid populations. Different insect-resistant substances have different mechanisms for managing aphids and other pests, including defensive signaling, inhibiting growth, and attracting natural predators by releasing herbivore-induced volatiles (HIPV). The application of plant secondary metabolites as biopesticides has proven to be an effective, economical, and eco-friendly alternative to synthetic pesticide chemicals. Furthermore, this review comprehensively discusses the principle role of plant secondary metabolites, encouraging sustainable agricultural practices and emphasizing the integrated management of the aphid population.","container-title":"Plants","DOI":"10.3390/plants13162332","ISSN":"2223-7747","issue":"16","language":"en","license":"http://creativecommons.org/licenses/by/3.0/","note":"publisher: Multidisciplinary Digital Publishing Institute","page":"2332","source":"www.mdpi.com","title":"Aphid-Resistant Plant Secondary Metabolites: Types, Insecticidal Mechanisms, and Prospects for Utilization","title-short":"Aphid-Resistant Plant Secondary Metabolites","volume":"13","author":[{"family":"Farhan","given":"Muhammad"},{"family":"Pan","given":"Jilong"},{"family":"Hussain","given":"Hammad"},{"family":"Zhao","given":"Jun"},{"family":"Yang","given":"Hanjing"},{"family":"Ahmad","given":"Ishtiaq"},{"family":"Zhang","given":"Shuai"}],"issued":{"date-parts":[["2024",1]]}}}],"schema":"https://github.com/citation-style-language/schema/raw/master/csl-citation.json"} </w:instrText>
      </w:r>
      <w:r w:rsidRPr="00B54B67">
        <w:rPr>
          <w:rFonts w:ascii="Arial" w:hAnsi="Arial" w:cs="Arial"/>
          <w:color w:val="001D35"/>
          <w:shd w:val="clear" w:color="auto" w:fill="FFFFFF"/>
        </w:rPr>
        <w:fldChar w:fldCharType="separate"/>
      </w:r>
      <w:r w:rsidRPr="00B54B67">
        <w:rPr>
          <w:rFonts w:ascii="Arial" w:hAnsi="Arial" w:cs="Arial"/>
        </w:rPr>
        <w:t>(Farhan et al., 2024)</w:t>
      </w:r>
      <w:r w:rsidRPr="00B54B67">
        <w:rPr>
          <w:rFonts w:ascii="Arial" w:hAnsi="Arial" w:cs="Arial"/>
          <w:color w:val="001D35"/>
          <w:shd w:val="clear" w:color="auto" w:fill="FFFFFF"/>
        </w:rPr>
        <w:fldChar w:fldCharType="end"/>
      </w:r>
      <w:r w:rsidRPr="00B54B67">
        <w:rPr>
          <w:rFonts w:ascii="Arial" w:hAnsi="Arial" w:cs="Arial"/>
          <w:color w:val="001D35"/>
          <w:shd w:val="clear" w:color="auto" w:fill="FFFFFF"/>
        </w:rPr>
        <w:t xml:space="preserve">. </w:t>
      </w:r>
      <w:r w:rsidRPr="00B54B67">
        <w:rPr>
          <w:rFonts w:ascii="Arial" w:hAnsi="Arial" w:cs="Arial"/>
        </w:rPr>
        <w:t xml:space="preserve">These secondary metabolites have demonstrated promising aphid-targeted activities, including antifeedant, </w:t>
      </w:r>
      <w:proofErr w:type="spellStart"/>
      <w:r w:rsidRPr="00B54B67">
        <w:rPr>
          <w:rFonts w:ascii="Arial" w:hAnsi="Arial" w:cs="Arial"/>
        </w:rPr>
        <w:t>aphicidal</w:t>
      </w:r>
      <w:proofErr w:type="spellEnd"/>
      <w:r w:rsidRPr="00B54B67">
        <w:rPr>
          <w:rFonts w:ascii="Arial" w:hAnsi="Arial" w:cs="Arial"/>
        </w:rPr>
        <w:t>, and fitness-disrupting effects. Application of plant secondary metabolites as biopesticides has proven to be an effective, economical, and environmentally friendly alternative, being widely available, biodegradable, and exhibiting low toxicity to non-target organisms</w:t>
      </w:r>
      <w:r w:rsidRPr="00B54B67">
        <w:rPr>
          <w:rFonts w:ascii="Arial" w:hAnsi="Arial" w:cs="Arial"/>
          <w:color w:val="001D35"/>
          <w:shd w:val="clear" w:color="auto" w:fill="FFFFFF"/>
        </w:rPr>
        <w:t xml:space="preserve"> </w:t>
      </w:r>
      <w:r w:rsidRPr="00B54B67">
        <w:rPr>
          <w:rFonts w:ascii="Arial" w:hAnsi="Arial" w:cs="Arial"/>
          <w:color w:val="001D35"/>
          <w:shd w:val="clear" w:color="auto" w:fill="FFFFFF"/>
        </w:rPr>
        <w:fldChar w:fldCharType="begin"/>
      </w:r>
      <w:r w:rsidRPr="00B54B67">
        <w:rPr>
          <w:rFonts w:ascii="Arial" w:hAnsi="Arial" w:cs="Arial"/>
          <w:color w:val="001D35"/>
          <w:shd w:val="clear" w:color="auto" w:fill="FFFFFF"/>
        </w:rPr>
        <w:instrText xml:space="preserve"> ADDIN ZOTERO_ITEM CSL_CITATION {"citationID":"ZpRxirjZ","properties":{"formattedCitation":"(Ngegba et al., 2022a)","plainCitation":"(Ngegba et al., 2022a)","noteIndex":0},"citationItems":[{"id":76,"uris":["http://zotero.org/users/17035950/items/XAX7E485"],"itemData":{"id":76,"type":"article-journal","abstract":"Pest management is being confronted with immense economic and environmental issues worldwide because of massive utilization and over-reliance on pesticides. The non-target toxicity, residual consequence, and challenging biodegradability of these synthetic pesticides have become a serious concern, which urgently requires the alternative and prompt adoption of sustainable and cost-effective pest control measures. Increasing attention in environmental safety has triggered interest in pest control approaches through eco-friendly plant-based pesticides. Botanical pesticidal constituents are effective against myriads of destructive pests and diseases. More importantly, they are widely available, inexpensive, accessible, rapidly biodegradable, and have little toxicity to beneficiary agents. The phytochemical compositions in diverse plant species are responsible for their varying mechanisms of action against pests and diseases. However, difficulties in their formulation and insufficient appropriate chemical data have led to a low level of acceptance and adoption globally. Therefore, the review seeks to highlight the status, phytochemical compositions, insecticidal mechanisms, and challenges of plant-based pesticide usage in sustainable agricultural production.","container-title":"Agriculture","DOI":"10.3390/agriculture12050600","ISSN":"2077-0472","issue":"5","language":"en","license":"http://creativecommons.org/licenses/by/3.0/","note":"publisher: Multidisciplinary Digital Publishing Institute","page":"600","source":"www.mdpi.com","title":"Use of Botanical Pesticides in Agriculture as an Alternative to Synthetic Pesticides","volume":"12","author":[{"family":"Ngegba","given":"Patrick Maada"},{"family":"Cui","given":"Gaofeng"},{"family":"Khalid","given":"Muhammad Zaryab"},{"family":"Zhong","given":"Guohua"}],"issued":{"date-parts":[["2022",5]]}}}],"schema":"https://github.com/citation-style-language/schema/raw/master/csl-citation.json"} </w:instrText>
      </w:r>
      <w:r w:rsidRPr="00B54B67">
        <w:rPr>
          <w:rFonts w:ascii="Arial" w:hAnsi="Arial" w:cs="Arial"/>
          <w:color w:val="001D35"/>
          <w:shd w:val="clear" w:color="auto" w:fill="FFFFFF"/>
        </w:rPr>
        <w:fldChar w:fldCharType="separate"/>
      </w:r>
      <w:r w:rsidRPr="00B54B67">
        <w:rPr>
          <w:rFonts w:ascii="Arial" w:hAnsi="Arial" w:cs="Arial"/>
        </w:rPr>
        <w:t>(Ngegba et al., 2022a)</w:t>
      </w:r>
      <w:r w:rsidRPr="00B54B67">
        <w:rPr>
          <w:rFonts w:ascii="Arial" w:hAnsi="Arial" w:cs="Arial"/>
          <w:color w:val="001D35"/>
          <w:shd w:val="clear" w:color="auto" w:fill="FFFFFF"/>
        </w:rPr>
        <w:fldChar w:fldCharType="end"/>
      </w:r>
      <w:r w:rsidRPr="00B54B67">
        <w:rPr>
          <w:rFonts w:ascii="Arial" w:hAnsi="Arial" w:cs="Arial"/>
          <w:color w:val="001D35"/>
          <w:shd w:val="clear" w:color="auto" w:fill="FFFFFF"/>
          <w:lang w:val="de-DE"/>
        </w:rPr>
        <w:t xml:space="preserve">.   </w:t>
      </w:r>
    </w:p>
    <w:p w14:paraId="6EBC5B19" w14:textId="77777777" w:rsidR="00B54B67" w:rsidRPr="00B54B67" w:rsidRDefault="00B54B67" w:rsidP="00344BE5">
      <w:pPr>
        <w:spacing w:after="120"/>
        <w:ind w:firstLine="720"/>
        <w:jc w:val="both"/>
        <w:rPr>
          <w:rFonts w:ascii="Arial" w:hAnsi="Arial" w:cs="Arial"/>
        </w:rPr>
      </w:pPr>
      <w:r w:rsidRPr="00B54B67">
        <w:rPr>
          <w:rFonts w:ascii="Arial" w:hAnsi="Arial" w:cs="Arial"/>
        </w:rPr>
        <w:t xml:space="preserve">Several plant families, including </w:t>
      </w:r>
      <w:proofErr w:type="spellStart"/>
      <w:r w:rsidRPr="00B54B67">
        <w:rPr>
          <w:rFonts w:ascii="Arial" w:hAnsi="Arial" w:cs="Arial"/>
        </w:rPr>
        <w:t>Amaranthaceae</w:t>
      </w:r>
      <w:proofErr w:type="spellEnd"/>
      <w:r w:rsidRPr="00B54B67">
        <w:rPr>
          <w:rFonts w:ascii="Arial" w:hAnsi="Arial" w:cs="Arial"/>
        </w:rPr>
        <w:t xml:space="preserve">, Asteraceae, Fabaceae, </w:t>
      </w:r>
      <w:proofErr w:type="spellStart"/>
      <w:r w:rsidRPr="00B54B67">
        <w:rPr>
          <w:rFonts w:ascii="Arial" w:hAnsi="Arial" w:cs="Arial"/>
        </w:rPr>
        <w:t>Meliaceae</w:t>
      </w:r>
      <w:proofErr w:type="spellEnd"/>
      <w:r w:rsidRPr="00B54B67">
        <w:rPr>
          <w:rFonts w:ascii="Arial" w:hAnsi="Arial" w:cs="Arial"/>
        </w:rPr>
        <w:t xml:space="preserve">, </w:t>
      </w:r>
      <w:proofErr w:type="spellStart"/>
      <w:r w:rsidRPr="00B54B67">
        <w:rPr>
          <w:rFonts w:ascii="Arial" w:hAnsi="Arial" w:cs="Arial"/>
        </w:rPr>
        <w:t>Piperaceae</w:t>
      </w:r>
      <w:proofErr w:type="spellEnd"/>
      <w:r w:rsidRPr="00B54B67">
        <w:rPr>
          <w:rFonts w:ascii="Arial" w:hAnsi="Arial" w:cs="Arial"/>
        </w:rPr>
        <w:t xml:space="preserve">, Salicaceae, and Solanaceae, have been identified as sources of botanical insecticides. Among them, </w:t>
      </w:r>
      <w:r w:rsidRPr="00B54B67">
        <w:rPr>
          <w:rStyle w:val="Emphasis"/>
          <w:rFonts w:ascii="Arial" w:hAnsi="Arial" w:cs="Arial"/>
        </w:rPr>
        <w:t>Calotropis gigantea</w:t>
      </w:r>
      <w:r w:rsidRPr="00B54B67">
        <w:rPr>
          <w:rFonts w:ascii="Arial" w:hAnsi="Arial" w:cs="Arial"/>
        </w:rPr>
        <w:t xml:space="preserve"> (L.) W.T. Aiton, commonly known as Giant Milkweed, is a widely distributed weed that has attracted considerable attention due to its rich phytochemical composition and potent insecticidal properties </w:t>
      </w:r>
      <w:r w:rsidRPr="00B54B67">
        <w:rPr>
          <w:rFonts w:ascii="Arial" w:hAnsi="Arial" w:cs="Arial"/>
        </w:rPr>
        <w:fldChar w:fldCharType="begin"/>
      </w:r>
      <w:r w:rsidRPr="00B54B67">
        <w:rPr>
          <w:rFonts w:ascii="Arial" w:hAnsi="Arial" w:cs="Arial"/>
        </w:rPr>
        <w:instrText xml:space="preserve"> ADDIN ZOTERO_ITEM CSL_CITATION {"citationID":"8IYp59BO","properties":{"formattedCitation":"(Mounisha et al., 2025)","plainCitation":"(Mounisha et al., 2025)","noteIndex":0},"citationItems":[{"id":80,"uris":["http://zotero.org/users/17035950/items/UQSQ7K8R"],"itemData":{"id":80,"type":"article-journal","abstract":"Calotropis gigantea (L.) W.T. Aiton, a common barren land weed, referred to as Giant Milkweed, has attracted considerable attention due to its rich abundance of phytochemicals possessing potent insecticidal properties. The review extensively explores the varied spectrum of chemical compounds present in C. gigantea, ranging from giganticine and ethion to stigmastan-6,22-dien,3,5-dedihydro-, β-amyrin, and others, offering detailed explanation about their structural diversity and potential applications. The primary focus is on a detailed evaluation of the insecticidal properties shown by these compounds against a wide range of insects, which collectively reinforce the natural insecticidal effectiveness of C. gigantea. This diligent study provides a thorough understanding on the individual effects of the compounds against insects, revealing their vital role in the development of innovative pest management strategies. This review aims to seek a comprehensive overview of the chemical constituents within this botanical resource that give a deep knowledge on their insecticidal characteristics. The ultimate aim is to pave the way for future research and practical applications in integrated pest management practices, contributing to the sustainable agriculture.","container-title":"Phytochemistry Reviews","DOI":"10.1007/s11101-024-09986-0","ISSN":"1572-980X","issue":"2","journalAbbreviation":"Phytochem Rev","language":"en","page":"1923-1940","source":"Springer Link","title":"Giant milkweed: a comprehensive review of chemical constituents and their insecticidal properties","title-short":"Giant milkweed","volume":"24","author":[{"family":"Mounisha","given":"K."},{"family":"Edward","given":"Y. S. Johnson Thangaraj"},{"family":"Kannan","given":"M."},{"family":"Vellaikumar","given":"S."},{"family":"Uma","given":"D."},{"family":"Indiragandhi","given":"P."}],"issued":{"date-parts":[["2025",4,1]]}}}],"schema":"https://github.com/citation-style-language/schema/raw/master/csl-citation.json"} </w:instrText>
      </w:r>
      <w:r w:rsidRPr="00B54B67">
        <w:rPr>
          <w:rFonts w:ascii="Arial" w:hAnsi="Arial" w:cs="Arial"/>
        </w:rPr>
        <w:fldChar w:fldCharType="separate"/>
      </w:r>
      <w:r w:rsidRPr="00B54B67">
        <w:rPr>
          <w:rFonts w:ascii="Arial" w:hAnsi="Arial" w:cs="Arial"/>
        </w:rPr>
        <w:t>(Mounisha et al., 2025)</w:t>
      </w:r>
      <w:r w:rsidRPr="00B54B67">
        <w:rPr>
          <w:rFonts w:ascii="Arial" w:hAnsi="Arial" w:cs="Arial"/>
        </w:rPr>
        <w:fldChar w:fldCharType="end"/>
      </w:r>
      <w:r w:rsidRPr="00B54B67">
        <w:rPr>
          <w:rFonts w:ascii="Arial" w:hAnsi="Arial" w:cs="Arial"/>
        </w:rPr>
        <w:t xml:space="preserve">. Its leaf extracts contain alkaloids, saponins, phenolics, flavonoids, tannins, terpenoids, glycosides, and essential oils, exhibiting activities such as antifeedant, ovicidal, larvicidal, insecticidal, and antimicrobial effects </w:t>
      </w:r>
      <w:r w:rsidRPr="00B54B67">
        <w:rPr>
          <w:rFonts w:ascii="Arial" w:hAnsi="Arial" w:cs="Arial"/>
        </w:rPr>
        <w:fldChar w:fldCharType="begin"/>
      </w:r>
      <w:r w:rsidRPr="00B54B67">
        <w:rPr>
          <w:rFonts w:ascii="Arial" w:hAnsi="Arial" w:cs="Arial"/>
        </w:rPr>
        <w:instrText xml:space="preserve"> ADDIN ZOTERO_ITEM CSL_CITATION {"citationID":"HMSKh4g3","properties":{"formattedCitation":"(Gammatantrawet et al., 2025; Hidayat et al., 2022; Khasanah et al., 2021; Mohammed et al., 2025; Ullah &amp; Wiedmer, 2025)","plainCitation":"(Gammatantrawet et al., 2025; Hidayat et al., 2022; Khasanah et al., 2021; Mohammed et al., 2025; Ullah &amp; Wiedmer, 2025)","noteIndex":0},"citationItems":[{"id":85,"uris":["http://zotero.org/users/17035950/items/RCM8G9Z5"],"itemData":{"id":85,"type":"article-journal","abstract":"The world of pharmaceutical research has been increasingly turning its gaze toward the treasure trove of natural products in search of novel drugs and therapeutic agents. Amidst the vast array of medicinal plants that dot our planet, the Asclepiadaceae family unexplored species have piqued the interest of researchers. Both medicinal plants are indigenous to specific regions and have been integral to traditional medicine systems for centuries. This systematic review aims to provide a comprehensive summary of the current knowledge regarding the phytochemical profile of these plants and their potential implications in the pharmaceutical industry. These plants are rich in phytochemical constituents such as alkaloids, flavonoids, terpenoids, phenolic compounds, glycosides, and saponins. These constituents have been found to exhibit a range of pharmacological activities. They have antimicrobial properties, providing a defense against various microorganisms. They also show anti-inflammatory properties, helping to reduce inflammation in the body. In addition, these plants have antioxidant properties, which help protect cells from damage by harmful free radicals. They have shown anticancer activity, offering potential for cancer treatment. Their neuroprotective properties could be beneficial in treating neurological disorders. The analgesic properties of these plants could be harnessed for pain relief. Furthermore, they have antidiabetic properties, offering potential for diabetes management. The hope is that this review will stimulate further research into these fascinating plants and contribute to discovering new drugs from natural herbs.","container-title":"Molecular Biotechnology","DOI":"10.1007/s12033-024-01122-9","ISSN":"1559-0305","issue":"3","journalAbbreviation":"Mol Biotechnol","language":"en","page":"885-909","source":"Springer Link","title":"Phytochemistry of Medicinal Herbs Belongs to Asclepiadaceae Family for Therapeutic Applications: A Critical Review","title-short":"Phytochemistry of Medicinal Herbs Belongs to Asclepiadaceae Family for Therapeutic Applications","volume":"67","author":[{"family":"Gammatantrawet","given":"Navytchmathra"},{"family":"Nguyễn","given":"Chuyên Thuận"},{"family":"Susawaengsup","given":"Chanthana"},{"family":"Ramli","given":"Aizi Nor Mazila"},{"family":"Tongkoom","given":"Krittiya"},{"family":"Chatsungnoen","given":"Tawan"},{"family":"Dangtungee","given":"Rapeephun"},{"family":"Bhuyar","given":"Prakash"}],"issued":{"date-parts":[["2025",3,1]]}}},{"id":104,"uris":["http://zotero.org/users/17035950/items/G8ZT6NKN"],"itemData":{"id":104,"type":"article-journal","abstract":"Importance of the work: The cotton aphid Aphis gossypii is a polyphagous insect found in tropical, subtropical and temperate regions. Most farmers take preventive or curative measures by applying synthetic insecticides that are usually effective in reducing aphid populations but should be used sparingly to minimize undesirable side effects. The use of natural products, such as minerals, offers a safer alternative for insect control.Objectives: To investigate the direct contact effect of kaolin and other minerals on the mortality of A. gossypii, as well as the residual contact effects of kaolin.Materials &amp;amp; Methods: In the direct contact test, each mineral suspension at a concentration of 2% (weight per volume) was sprayed onto A. gossypii adults. In the residual contact test, the adults of A. gossypii were exposed to a kaolin-sprayed chili plant.Results: Out of the 10 minerals tested, 6 had significant direct contact effects on aphid mortality, with the strongest ones being kaolin and calcite. Further testing of kaolin revealed that this mineral also has significant residual contact effects against A. gossypii, causing mortality and a reduction in the progeny numbers of A. gossypii. The residual contact effects of kaolin were weaker than its direct contact effect and were significantly affected by the age of the residue.Main finding: Kaolin could be applied as a curative as well as a preventive measure to reduce A. gossypii populations on chili plants. However, the application of kaolin (2%) needs to be repeated every 7 d to ensure its effectiveness in reducing the survival of A. gossypii.","container-title":"Agriculture and Natural Resources","ISSN":"2452-316X","issue":"3","language":"en","license":"Copyright (c) 2022 Kasetsart University","page":"503-510","source":"li01.tci-thaijo.org","title":"Contact effects of kaolin and other minerals on Aphis gossypii Glover (Hemiptera: Aphididae)","title-short":"Contact effects of kaolin and other minerals on Aphis gossypii Glover (Hemiptera","volume":"56","author":[{"family":"Hidayat","given":"Yusup"},{"family":"Prayoga","given":"Bayu Tresna"},{"family":"Wibowo","given":"Hellen Prameswari"},{"family":"Kurniawan","given":"Wawan"},{"family":"Rizkie","given":"Lilian"},{"family":"Dono","given":"Danar"}],"issued":{"date-parts":[["2022",6,22]]}}},{"id":10,"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Andi"},{"family":"Wijonarko","given":"Arman"}],"issued":{"date-parts":[["2021",12,21]]}}},{"id":101,"uris":["http://zotero.org/users/17035950/items/TBJB95JW"],"itemData":{"id":101,"type":"article-journal","abstract":"Sesamia calamistis, or the African pink stem borer, is a common pest in Nigeria that affects important crops like maize. Conventional pest control has relied heavily on synthetic insecticides, which pose risks due to their toxicity to mammals and potential ecological harm. Consequently, there is increasing interest in alternative pest management strategies utilising plant extracts. Hence, the aim of this research was to examine the volatile oil constituents, phytochemical components of Indigofera tinctoria, and evaluate its larvicidal effectiveness against S. calamistis. Phytochemical screening was performed using established methods, and volatile oils were extracted via hydrodistillation and characterized using gas chromatography-mass spectrometry (GC–MS). The larvicidal activity of the extracts was tested using the feeding assay method. The GC–MS analysis revealed that I. tinctoria leaf oils contained twenty compounds, while seed oils had eleven, accounting for 95.7% and 99.5% of the total oil, respectively. Phytol (34.1%) and 1-octen-3-ol (63.8%) were the major constituents in the leaf and seed oil of I. tinctoria, respectively. Flavonoids, alkaloids, and cardiac glycosides were present in the hexane, ethyl acetate, and ethanol fractions. Notably, the ethyl acetate fraction exhibited the highest larval mortality rate of 70.0% at a 0.4% concentration. These bioactive compounds found in I. tinctoria might be responsible for the larvicidal effects observed against S. calamistis in maize and the ethyl acetate fraction is therefore recommended for further isolation to ascertain the compound responsible for the larvicidal activities.","container-title":"Phytoparasitica","DOI":"10.1007/s12600-025-01292-5","ISSN":"1876-7184","issue":"4","journalAbbreviation":"Phytoparasitica","language":"en","page":"70","source":"Springer Link","title":"Volatile oil composition, phytochemical screening and larvicidal activities of indigofera tinctoria L. against African Sesamia calamistis","volume":"53","author":[{"family":"Mohammed","given":"Isiaka"},{"family":"Olaoluwa","given":"Olaoluwa O."},{"family":"Alabi","given":"Olajumoke Y."},{"family":"Banwo","given":"Olayombo M."},{"family":"Ayodele","given":"Maria A."},{"family":"Flamini","given":"Guido"}],"issued":{"date-parts":[["2025",7,2]]}}},{"id":5,"uris":["http://zotero.org/users/17035950/items/RL95S3LZ"],"itemData":{"id":5,"type":"article-journal","abstract":"The growing demand for eco-friendly bio-based agrochemicals with lower health hazards and optimal pest management options boosts the production and utilization of biopesticides. This review provides a comprehensive overview of two toxic weed species Datura alba (Solanaceae family), and Calotropis gigantea (Asclepiadaceae family) with a specific focus on extraction with various solvents, phytochemistry, and biopesticidal activities. The data presented in this article shows that these two toxic weeds species have been studied and reported for biopesticidal activities like antifeedant, ovicidal, insecticidal, larvicidal, antibacterial, and repelling ability against various insects/crop pests. Phytochemical analysis shows that these two weed species have distinct biochemical profiles. However, studies lack systematic screening of the biochemical profiles. In addition, the review highlights the gaps in previous research and suggests that there is a need for well-detailed phytochemical profiling, spectrum of action and mode of action for the future use of these weed plants in the development of biological control agents.","container-title":"Crop Protection","DOI":"10.1016/j.cropro.2024.107009","ISSN":"0261-2194","journalAbbreviation":"Crop Protection","page":"107009","source":"ScienceDirect","title":"Potential biopesticides from &lt;i&gt;Datura alba&lt;/i&gt; and &lt;i&gt;Calotropis gigantea&lt;/i&gt;: Extraction, analysis, and reported compounds","title-short":"Potential biopesticides from &lt;i&gt;Datura alba&lt;/i&gt; and &lt;i&gt;Calotropis gigantea&lt;/i&gt;","volume":"188","author":[{"family":"Ullah","given":"Rahim"},{"family":"Wiedmer","given":"Susanne K."}],"issued":{"date-parts":[["2025",2,1]]}}}],"schema":"https://github.com/citation-style-language/schema/raw/master/csl-citation.json"} </w:instrText>
      </w:r>
      <w:r w:rsidRPr="00B54B67">
        <w:rPr>
          <w:rFonts w:ascii="Arial" w:hAnsi="Arial" w:cs="Arial"/>
        </w:rPr>
        <w:fldChar w:fldCharType="separate"/>
      </w:r>
      <w:r w:rsidRPr="00B54B67">
        <w:rPr>
          <w:rFonts w:ascii="Arial" w:hAnsi="Arial" w:cs="Arial"/>
        </w:rPr>
        <w:t>(Gammatantrawet et al., 2025; Hidayat et al., 2022; Khasanah et al., 2021; Mohammed et al., 2025; Ullah &amp; Wiedmer, 2025)</w:t>
      </w:r>
      <w:r w:rsidRPr="00B54B67">
        <w:rPr>
          <w:rFonts w:ascii="Arial" w:hAnsi="Arial" w:cs="Arial"/>
        </w:rPr>
        <w:fldChar w:fldCharType="end"/>
      </w:r>
      <w:r w:rsidRPr="00B54B67">
        <w:rPr>
          <w:rFonts w:ascii="Arial" w:hAnsi="Arial" w:cs="Arial"/>
        </w:rPr>
        <w:t xml:space="preserve">.These secondary metabolites act as toxins, deterrents, repellents, and growth inhibitors against numerous insect pests, including </w:t>
      </w:r>
      <w:proofErr w:type="spellStart"/>
      <w:r w:rsidRPr="00B54B67">
        <w:rPr>
          <w:rStyle w:val="Emphasis"/>
          <w:rFonts w:ascii="Arial" w:hAnsi="Arial" w:cs="Arial"/>
        </w:rPr>
        <w:t>Plutella</w:t>
      </w:r>
      <w:proofErr w:type="spellEnd"/>
      <w:r w:rsidRPr="00B54B67">
        <w:rPr>
          <w:rStyle w:val="Emphasis"/>
          <w:rFonts w:ascii="Arial" w:hAnsi="Arial" w:cs="Arial"/>
        </w:rPr>
        <w:t xml:space="preserve"> </w:t>
      </w:r>
      <w:proofErr w:type="spellStart"/>
      <w:r w:rsidRPr="00B54B67">
        <w:rPr>
          <w:rStyle w:val="Emphasis"/>
          <w:rFonts w:ascii="Arial" w:hAnsi="Arial" w:cs="Arial"/>
        </w:rPr>
        <w:t>xylostella</w:t>
      </w:r>
      <w:proofErr w:type="spellEnd"/>
      <w:r w:rsidRPr="00B54B67">
        <w:rPr>
          <w:rFonts w:ascii="Arial" w:hAnsi="Arial" w:cs="Arial"/>
        </w:rPr>
        <w:t xml:space="preserve">, </w:t>
      </w:r>
      <w:proofErr w:type="spellStart"/>
      <w:r w:rsidRPr="00B54B67">
        <w:rPr>
          <w:rStyle w:val="Emphasis"/>
          <w:rFonts w:ascii="Arial" w:hAnsi="Arial" w:cs="Arial"/>
        </w:rPr>
        <w:t>Spodoptera</w:t>
      </w:r>
      <w:proofErr w:type="spellEnd"/>
      <w:r w:rsidRPr="00B54B67">
        <w:rPr>
          <w:rStyle w:val="Emphasis"/>
          <w:rFonts w:ascii="Arial" w:hAnsi="Arial" w:cs="Arial"/>
        </w:rPr>
        <w:t xml:space="preserve"> </w:t>
      </w:r>
      <w:proofErr w:type="spellStart"/>
      <w:r w:rsidRPr="00B54B67">
        <w:rPr>
          <w:rStyle w:val="Emphasis"/>
          <w:rFonts w:ascii="Arial" w:hAnsi="Arial" w:cs="Arial"/>
        </w:rPr>
        <w:t>frugiperda</w:t>
      </w:r>
      <w:proofErr w:type="spellEnd"/>
      <w:r w:rsidRPr="00B54B67">
        <w:rPr>
          <w:rFonts w:ascii="Arial" w:hAnsi="Arial" w:cs="Arial"/>
        </w:rPr>
        <w:t xml:space="preserve">, </w:t>
      </w:r>
      <w:r w:rsidRPr="00B54B67">
        <w:rPr>
          <w:rStyle w:val="Emphasis"/>
          <w:rFonts w:ascii="Arial" w:hAnsi="Arial" w:cs="Arial"/>
        </w:rPr>
        <w:t xml:space="preserve">S. </w:t>
      </w:r>
      <w:proofErr w:type="spellStart"/>
      <w:r w:rsidRPr="00B54B67">
        <w:rPr>
          <w:rStyle w:val="Emphasis"/>
          <w:rFonts w:ascii="Arial" w:hAnsi="Arial" w:cs="Arial"/>
        </w:rPr>
        <w:t>exigua</w:t>
      </w:r>
      <w:proofErr w:type="spellEnd"/>
      <w:r w:rsidRPr="00B54B67">
        <w:rPr>
          <w:rFonts w:ascii="Arial" w:hAnsi="Arial" w:cs="Arial"/>
        </w:rPr>
        <w:t xml:space="preserve">, </w:t>
      </w:r>
      <w:r w:rsidRPr="00B54B67">
        <w:rPr>
          <w:rStyle w:val="Emphasis"/>
          <w:rFonts w:ascii="Arial" w:hAnsi="Arial" w:cs="Arial"/>
        </w:rPr>
        <w:t xml:space="preserve">Sitophilus </w:t>
      </w:r>
      <w:proofErr w:type="spellStart"/>
      <w:r w:rsidRPr="00B54B67">
        <w:rPr>
          <w:rStyle w:val="Emphasis"/>
          <w:rFonts w:ascii="Arial" w:hAnsi="Arial" w:cs="Arial"/>
        </w:rPr>
        <w:t>oryzae</w:t>
      </w:r>
      <w:proofErr w:type="spellEnd"/>
      <w:r w:rsidRPr="00B54B67">
        <w:rPr>
          <w:rFonts w:ascii="Arial" w:hAnsi="Arial" w:cs="Arial"/>
        </w:rPr>
        <w:t xml:space="preserve">, </w:t>
      </w:r>
      <w:proofErr w:type="spellStart"/>
      <w:r w:rsidRPr="00B54B67">
        <w:rPr>
          <w:rStyle w:val="Emphasis"/>
          <w:rFonts w:ascii="Arial" w:hAnsi="Arial" w:cs="Arial"/>
        </w:rPr>
        <w:t>Sesamia</w:t>
      </w:r>
      <w:proofErr w:type="spellEnd"/>
      <w:r w:rsidRPr="00B54B67">
        <w:rPr>
          <w:rStyle w:val="Emphasis"/>
          <w:rFonts w:ascii="Arial" w:hAnsi="Arial" w:cs="Arial"/>
        </w:rPr>
        <w:t xml:space="preserve"> </w:t>
      </w:r>
      <w:proofErr w:type="spellStart"/>
      <w:r w:rsidRPr="00B54B67">
        <w:rPr>
          <w:rStyle w:val="Emphasis"/>
          <w:rFonts w:ascii="Arial" w:hAnsi="Arial" w:cs="Arial"/>
        </w:rPr>
        <w:t>calamistis</w:t>
      </w:r>
      <w:proofErr w:type="spellEnd"/>
      <w:r w:rsidRPr="00B54B67">
        <w:rPr>
          <w:rFonts w:ascii="Arial" w:hAnsi="Arial" w:cs="Arial"/>
        </w:rPr>
        <w:t xml:space="preserve">, </w:t>
      </w:r>
      <w:proofErr w:type="spellStart"/>
      <w:r w:rsidRPr="00B54B67">
        <w:rPr>
          <w:rStyle w:val="Emphasis"/>
          <w:rFonts w:ascii="Arial" w:hAnsi="Arial" w:cs="Arial"/>
        </w:rPr>
        <w:t>Phenacoccus</w:t>
      </w:r>
      <w:proofErr w:type="spellEnd"/>
      <w:r w:rsidRPr="00B54B67">
        <w:rPr>
          <w:rStyle w:val="Emphasis"/>
          <w:rFonts w:ascii="Arial" w:hAnsi="Arial" w:cs="Arial"/>
        </w:rPr>
        <w:t xml:space="preserve"> </w:t>
      </w:r>
      <w:proofErr w:type="spellStart"/>
      <w:r w:rsidRPr="00B54B67">
        <w:rPr>
          <w:rStyle w:val="Emphasis"/>
          <w:rFonts w:ascii="Arial" w:hAnsi="Arial" w:cs="Arial"/>
        </w:rPr>
        <w:t>manihoti</w:t>
      </w:r>
      <w:proofErr w:type="spellEnd"/>
      <w:r w:rsidRPr="00B54B67">
        <w:rPr>
          <w:rFonts w:ascii="Arial" w:hAnsi="Arial" w:cs="Arial"/>
        </w:rPr>
        <w:t xml:space="preserve">, and </w:t>
      </w:r>
      <w:r w:rsidRPr="00B54B67">
        <w:rPr>
          <w:rStyle w:val="Emphasis"/>
          <w:rFonts w:ascii="Arial" w:hAnsi="Arial" w:cs="Arial"/>
        </w:rPr>
        <w:t xml:space="preserve">Aphis </w:t>
      </w:r>
      <w:proofErr w:type="spellStart"/>
      <w:r w:rsidRPr="00B54B67">
        <w:rPr>
          <w:rStyle w:val="Emphasis"/>
          <w:rFonts w:ascii="Arial" w:hAnsi="Arial" w:cs="Arial"/>
        </w:rPr>
        <w:t>craccivora</w:t>
      </w:r>
      <w:proofErr w:type="spellEnd"/>
      <w:r w:rsidRPr="00B54B67">
        <w:rPr>
          <w:rStyle w:val="Emphasis"/>
          <w:rFonts w:ascii="Arial" w:hAnsi="Arial" w:cs="Arial"/>
        </w:rPr>
        <w:t xml:space="preserve"> </w:t>
      </w:r>
      <w:r w:rsidRPr="00B54B67">
        <w:rPr>
          <w:rFonts w:ascii="Arial" w:hAnsi="Arial" w:cs="Arial"/>
        </w:rPr>
        <w:t xml:space="preserve"> </w:t>
      </w:r>
      <w:r w:rsidRPr="00B54B67">
        <w:rPr>
          <w:rFonts w:ascii="Arial" w:hAnsi="Arial" w:cs="Arial"/>
        </w:rPr>
        <w:fldChar w:fldCharType="begin"/>
      </w:r>
      <w:r w:rsidRPr="00B54B67">
        <w:rPr>
          <w:rFonts w:ascii="Arial" w:hAnsi="Arial" w:cs="Arial"/>
        </w:rPr>
        <w:instrText xml:space="preserve"> ADDIN ZOTERO_ITEM CSL_CITATION {"citationID":"8A2X8GbW","properties":{"formattedCitation":"(Khasanah et al., 2021, 2022, 2024; Mohammad et al., 2024; Mounisha et al., 2025; Nasir et al., 2022; Nilamsari et al., 2022; Thakshila et al., 2022)","plainCitation":"(Khasanah et al., 2021, 2022, 2024; Mohammad et al., 2024; Mounisha et al., 2025; Nasir et al., 2022; Nilamsari et al., 2022; Thakshila et al., 2022)","noteIndex":0},"citationItems":[{"id":10,"uris":["http://zotero.org/users/17035950/items/DI6MILUH"],"itemData":{"id":10,"type":"article-journal","abstract":"Many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Andi"},{"family":"Wijonarko","given":"Arman"}],"issued":{"date-parts":[["2021",12,21]]}}},{"id":87,"uris":["http://zotero.org/users/17035950/items/YZI6RBW3"],"itemData":{"id":87,"type":"article-journal","abstract":"Calotropis gigantea are known to produces secondary metabolites with medicinal and insecticidal properties. Previous toxicity tests on several pest species had been conducted, yet the most susceptible pest species towards C. gigantea extract is still unknown. This study aimed to determine the susceptibility of several insect species and study their behavior after treated with C. gigantea extract. The test methods used in this research were leaf dipping and spraying upon four insect pest species from different orders (Bactrocera carambolae [Diptera: Tephritidae], Nilapavata lugens [Hemiptera: Delphacidae], Sitophilus zeamais [Coleoptera: Curculionidae], and Plutella xylostella [Lepidoptera: Plutellidae]). The concentration used to determine susceptible insects were 25 g.L-1 and control. Deterrence test of susceptible insects was done using a choice test and no-choice for 1.5 hours and observed every five minutes. Five replication were used for each concentration. Behavioral test of susceptible insects was done using a diet test. Five bok choy leaf discs were immersed into solutions for 1 minute and air-dried on a petri dish. Observations were carried out for 12 hours with observation interval period of every 1.5 hours. P. xylostella was more susceptible to C. gigantea leaf extract than B. carambolae, N. lugens, and S. zeamais. C. gigantea leaf extract showed toxic and feeding deterrent activity to P. xylostella larvae. The LC50 value of C. gigantea extract against P. xylostella by dipping was 16.9 µg.l-1 and 18.5 µg.l-1 by spray. The components of C. gigantea leaf extract consist of alkaloid, tannin, phenol, flavonoid, saponin, and terpenoid. The result of the research showed that C. gigantea leaf extract has a toxic and deterrent substance against P. xylostella and potential to control P. xylostella.","container-title":"Jurnal Perlindungan Tanaman Indonesia","DOI":"10.22146/jpti.71938","ISSN":"2548-4788, 1410-1637","issue":"2","journalAbbreviation":"JPTI","language":"en","license":"http://creativecommons.org/licenses/by-sa/4.0","page":"130","source":"DOI.org (Crossref)","title":"Preliminary Valuation Activity of Calotropis gigantea L. Extracts against Several Insect Pests","volume":"26","author":[{"family":"Khasanah","given":"Nur"},{"family":"Martono","given":"Edhi"},{"family":"Trisyono","given":"Y. Andi"},{"family":"Wijonarko","given":"Arman"}],"issued":{"date-parts":[["2022",12,15]]}}},{"id":83,"uris":["http://zotero.org/users/17035950/items/4HAUGYCB"],"itemData":{"id":83,"type":"article-journal","abstract":"Aims: This research aims to assess the effectiveness of the Calotropis gigantea extract formulation as an environmentally friendly botanical pesticide for controlling the armyworm Spodoptera frugiperda on corn plants. Study Design: The research was carried out in the Plant Pest and Disease Laboratory at Faculty of Agriculture, Tadulako University, and on corn plantations in Sigi Regency, from May 2023 to November 2023. Methodology: Making formulated C. gigantea extract was done by adding emulsifier and adhesive to the extract. Material in the form of kaolin flour is used as a carrier. The formulated extract was evaluated. Application was carried out on 21 days old corn plants, with an application interval of 5 days for 5 applications. Observation variables included larval population density, percentage of S. frugiperda attacks, presence of natural enemies of the pest, and corn production. The toxicity test uses probit analysis and the significant difference test uses the T test. Results: Toxicity of the formulated C. gigantea extract was LC50 of 0.522 µgl-1. Application of the formulated extract in the field showed that the formulated extract treatment had an effect on population density, the intensity of S. frugiperda larvae attacks and corn production had a significant effect and had no effect on the presence of natural enemies. Formulated C. gigantea leaf extract has the potential to be used as an environmentally friendly botanical insecticide compound against S. frugiperda larvae in corn plantations Conclusion: Formulated leaf extract of C. gigantea has the potential as an environmentally friendly botanical insecticide in controlling the fall armyworm S. frugiperda.","container-title":"International Journal of Environment and Climate Change","issue":"1","note":"publisher: International Journal of Environment and Climate Change","page":"595-602","source":"HAL Archives Ouvertes","title":"Efficacy of Biduri Leaf Extract (Calotropis gigantea L.) for Management of Fall Armyworm (Spodoptera frugiperda J. E. Smith.) on Corn","volume":"14","author":[{"family":"Khasanah","given":"Nur"},{"family":"Yunus","given":"Mohammad"},{"family":"Tangkesalu","given":"Dance"},{"family":"Nasir","given":"Burhanuddin Haji"},{"family":"Tauke","given":"Lidya Evalinda"},{"family":"Marzita","given":"Regita Devila"}],"issued":{"date-parts":[["2024",1]]}}},{"id":97,"uris":["http://zotero.org/users/17035950/items/8WRQAUCL"],"itemData":{"id":97,"type":"article-journal","container-title":"Heliyon","DOI":"10.1016/j.heliyon.2024.e30793","ISSN":"2405-8440","issue":"10","journalAbbreviation":"Heliyon","language":"English","note":"publisher: Elsevier","source":"www.cell.com","title":"Evaluation of five medicinal plants for the management of Sitophilus oryzae in stored rice and identification of insecticidal compound","URL":"https://www.cell.com/heliyon/abstract/S2405-8440(24)06824-5","volume":"10","author":[{"family":"Mohammad","given":"Mohammad Yasin"},{"family":"Haniffa","given":"Haroon M."},{"family":"Shakya","given":"Ashok K."},{"family":"Naik","given":"Rajashri R."},{"family":"Sivaranjan","given":"Tharsika"}],"accessed":{"date-parts":[["2025",8,13]]},"issued":{"date-parts":[["2024",5,30]]}}},{"id":80,"uris":["http://zotero.org/users/17035950/items/UQSQ7K8R"],"itemData":{"id":80,"type":"article-journal","abstract":"Calotropis gigantea (L.) W.T. Aiton, a common barren land weed, referred to as Giant Milkweed, has attracted considerable attention due to its rich abundance of phytochemicals possessing potent insecticidal properties. The review extensively explores the varied spectrum of chemical compounds present in C. gigantea, ranging from giganticine and ethion to stigmastan-6,22-dien,3,5-dedihydro-, β-amyrin, and others, offering detailed explanation about their structural diversity and potential applications. The primary focus is on a detailed evaluation of the insecticidal properties shown by these compounds against a wide range of insects, which collectively reinforce the natural insecticidal effectiveness of C. gigantea. This diligent study provides a thorough understanding on the individual effects of the compounds against insects, revealing their vital role in the development of innovative pest management strategies. This review aims to seek a comprehensive overview of the chemical constituents within this botanical resource that give a deep knowledge on their insecticidal characteristics. The ultimate aim is to pave the way for future research and practical applications in integrated pest management practices, contributing to the sustainable agriculture.","container-title":"Phytochemistry Reviews","DOI":"10.1007/s11101-024-09986-0","ISSN":"1572-980X","issue":"2","journalAbbreviation":"Phytochem Rev","language":"en","page":"1923-1940","source":"Springer Link","title":"Giant milkweed: a comprehensive review of chemical constituents and their insecticidal properties","title-short":"Giant milkweed","volume":"24","author":[{"family":"Mounisha","given":"K."},{"family":"Edward","given":"Y. S. Johnson Thangaraj"},{"family":"Kannan","given":"M."},{"family":"Vellaikumar","given":"S."},{"family":"Uma","given":"D."},{"family":"Indiragandhi","given":"P."}],"issued":{"date-parts":[["2025",4,1]]}}},{"id":8,"uris":["http://zotero.org/users/17035950/items/5SR2CFQN"],"itemData":{"id":8,"type":"article-journal","abstract":"Calotropis gigantea L. (Asclepiadaceae), Ageratum conyzoides L. (Asteraceae) and Vitex negundo L. (Verbenaceae) are weeds, containing secondary metabolites that have insecticidal properties. The aim of this study was to determine the antifeedant activity of C. gigantea, A. conyzoides and V. negundo extracts against Spodoptera frugiperda larvae, phytotoxicity and analysis of the phytochemical components of these plant extracts. The antifeedant activity of the extracts was tested using the no choice test and the choice test with the concentrations used for each extract, namely 25, 12.5, 6.25, 3.125, 1.56 μgL-1, and control (aquades), while the phytotoxicity used the spray method with a concentration 2.5%. Identification of compound components was carried out at the Integrated Research and Testing Laboratory (LPPT) of Gadjah Mada University. The results showed that the extracts of V. negundo, A. conizoydes and C. gigantea had antifeedant activity against S. frugiperda larvae. V. negundo extract had the highest antifeedant activity compared to other extracts with an antifeedant index value of 98.37. The three types of extracts did not show a phytotoxic effect on plants and contained the same active compounds, namely tannin alkaloids, phenols, flavonoids, saponins and terpenoids. Thus, the plants C. gigantea, V. negundo and A. conizoydes have potential as vegetable insecticides against S. frugiperda.","container-title":"International Journal of Design &amp; Nature and Ecodynamics","DOI":"10.18280/ijdne.170610","ISSN":"17557437, 17557445","issue":"6","journalAbbreviation":"IJDNE","language":"en","page":"899-905","source":"DOI.org (Crossref)","title":"Insecticidal Activity of Leaf Extracts of Calotropis gigantea L, Ageratum conyzoides L, and Vitex negundo L. Against Spodoptera frugiperda J. E. Smith (Lepidoptera: Noctuidae)","title-short":"Insecticidal Activity of Leaf Extracts of Calotropis gigantea L, Ageratum conyzoides L, and Vitex negundo L. Against Spodoptera frugiperda J. E. Smith (Lepidoptera","volume":"17","author":[{"family":"Nasir","given":"Burhanuddin Haji"},{"family":"Khasanah","given":"Nur"},{"family":"Idham","given":"Idham"}],"issued":{"date-parts":[["2022",12,31]]}}},{"id":93,"uris":["http://zotero.org/users/17035950/items/IPVUT9Z4"],"itemData":{"id":93,"type":"paper-conference","abstract":"Shallot (Allium ascalonicum) is one of the high-value plants. However, shallot productivity has been decreased due to some disturbing organisms. Spodoptera exigua is one of the pests on shallot farming and causes a yield reduction of up to 70%. Farmers use excessive synthetic pesticides to overcome the pest. The use of synthetic pesticides has several...","DOI":"10.2991/absr.k.220406.040","event-title":"7th International Conference on Biological Science (ICBS 2021)","ISBN":"978-94-6239-573-2","language":"en","note":"ISSN: 2468-5747","page":"284-289","publisher":"Atlantis Press","source":"www.atlantis-press.com","title":"Effectiveness of N-Hexane and Ethanol Extract of Giant Calotrope (Calotropis gigantea L.) Leaves as Insecticide Against Shallot Pest Spodoptera exigua (Hübner)","URL":"https://www.atlantis-press.com/proceedings/icbs-21/125974060","author":[{"family":"Nilamsari","given":"Elvian Indah"},{"family":"Nugroho","given":"L. Hartanto"},{"family":"Sukirno","given":"Sukirno"}],"accessed":{"date-parts":[["2025",8,9]]},"issued":{"date-parts":[["2022",5,2]]}}},{"id":157,"uris":["http://zotero.org/users/17035950/items/T9IKYHYU"],"itemData":{"id":157,"type":"article-journal","abstract":"Plant-derived insecticides represent one of the best alternatives to synthetic chemicals. In this study, aqueous leaf extracts of Calotropis gigantea (Euphorbiaceae) and Croton laccifera (Apocynaceae) on 1st (N1) and 2nd instar (N2) nymphs, and newly emerged apterous females (AF) of cowpea aphid Aphis craccivora (Koch) (Homoptera: Aphididae) was determined for their contact, residual and systemic toxicities, using Yard-long bean plants. Compared to the untreated controls, both leaf extracts affected survivorship of all aphid stages tested, as well as nymphal production of AF. Systemic and contact toxicity had a great impact on A. craccivora while no strong toxicity was detected in residual bioassay with the two plant extracts. Stronger effects were recorded in N1 compared to N2 and AF. In all three bioassays, C. gigantea outperformed C. laccifera in terms of mortality and reduction of fecundity. Botanical insecticides on the basis of leaf extracts of C. gigantea and C. laccifera are interesting candidates for integrated management of A. craccivora on Yard-long beans. Thus, further large-scale field trials with these compounds are warranted.","container-title":"International Journal of Tropical Insect Science","DOI":"10.1007/s42690-021-00632-2","ISSN":"1742-7592","issue":"2","journalAbbreviation":"Int J Trop Insect Sci","language":"en","page":"1165-1173","source":"Springer Link","title":"Potential toxic effects of aqueous leaf extracts of Calotropis gigantea and Croton laccifera against Aphis craccivora","volume":"42","author":[{"family":"Thakshila","given":"W. A. K. G."},{"family":"Dammini Premachandra","given":"W. T. S."},{"family":"Borgemeister","given":"Christian"}],"issued":{"date-parts":[["2022",4,1]]}}}],"schema":"https://github.com/citation-style-language/schema/raw/master/csl-citation.json"} </w:instrText>
      </w:r>
      <w:r w:rsidRPr="00B54B67">
        <w:rPr>
          <w:rFonts w:ascii="Arial" w:hAnsi="Arial" w:cs="Arial"/>
        </w:rPr>
        <w:fldChar w:fldCharType="separate"/>
      </w:r>
      <w:r w:rsidRPr="00B54B67">
        <w:rPr>
          <w:rFonts w:ascii="Arial" w:hAnsi="Arial" w:cs="Arial"/>
        </w:rPr>
        <w:t>(</w:t>
      </w:r>
      <w:proofErr w:type="spellStart"/>
      <w:r w:rsidRPr="00B54B67">
        <w:rPr>
          <w:rFonts w:ascii="Arial" w:hAnsi="Arial" w:cs="Arial"/>
        </w:rPr>
        <w:t>Khasanah</w:t>
      </w:r>
      <w:proofErr w:type="spellEnd"/>
      <w:r w:rsidRPr="00B54B67">
        <w:rPr>
          <w:rFonts w:ascii="Arial" w:hAnsi="Arial" w:cs="Arial"/>
        </w:rPr>
        <w:t xml:space="preserve"> et al., 2021, 2022, 2024; Mohammad et al., 2024; Mounisha et al., 2025; Nasir et al., 2022; Nilamsari et al., 2022; Thakshila et al., 2022)</w:t>
      </w:r>
      <w:r w:rsidRPr="00B54B67">
        <w:rPr>
          <w:rFonts w:ascii="Arial" w:hAnsi="Arial" w:cs="Arial"/>
        </w:rPr>
        <w:fldChar w:fldCharType="end"/>
      </w:r>
      <w:r w:rsidRPr="00B54B67">
        <w:rPr>
          <w:rFonts w:ascii="Arial" w:hAnsi="Arial" w:cs="Arial"/>
        </w:rPr>
        <w:t>.</w:t>
      </w:r>
    </w:p>
    <w:p w14:paraId="11EE51D0" w14:textId="4AFFADEA" w:rsidR="00B54B67" w:rsidRDefault="00B54B67" w:rsidP="00344BE5">
      <w:pPr>
        <w:pStyle w:val="Body"/>
        <w:spacing w:after="120"/>
        <w:ind w:firstLine="567"/>
        <w:rPr>
          <w:rFonts w:ascii="Arial" w:hAnsi="Arial" w:cs="Arial"/>
        </w:rPr>
      </w:pPr>
      <w:r w:rsidRPr="00B54B67">
        <w:rPr>
          <w:rFonts w:ascii="Arial" w:hAnsi="Arial" w:cs="Arial"/>
        </w:rPr>
        <w:t xml:space="preserve">These findings suggest that </w:t>
      </w:r>
      <w:r w:rsidRPr="00B54B67">
        <w:rPr>
          <w:rStyle w:val="Emphasis"/>
          <w:rFonts w:ascii="Arial" w:hAnsi="Arial" w:cs="Arial"/>
        </w:rPr>
        <w:t>C. gigantea</w:t>
      </w:r>
      <w:r w:rsidRPr="00B54B67">
        <w:rPr>
          <w:rFonts w:ascii="Arial" w:hAnsi="Arial" w:cs="Arial"/>
        </w:rPr>
        <w:t xml:space="preserve"> has strong insecticidal potential, which could reduce reliance on synthetic insecticides, mitigate negative environmental impacts, and contribute to sustainable agriculture. Therefore, this study aimed to evaluate the efficacy of </w:t>
      </w:r>
      <w:r w:rsidRPr="00B54B67">
        <w:rPr>
          <w:rStyle w:val="Emphasis"/>
          <w:rFonts w:ascii="Arial" w:hAnsi="Arial" w:cs="Arial"/>
        </w:rPr>
        <w:t>C. gigantea</w:t>
      </w:r>
      <w:r w:rsidRPr="00B54B67">
        <w:rPr>
          <w:rFonts w:ascii="Arial" w:hAnsi="Arial" w:cs="Arial"/>
        </w:rPr>
        <w:t xml:space="preserve"> leaf extract formulation in suppressing the population density and infestation intensity of </w:t>
      </w:r>
      <w:r w:rsidRPr="00B54B67">
        <w:rPr>
          <w:rStyle w:val="Emphasis"/>
          <w:rFonts w:ascii="Arial" w:hAnsi="Arial" w:cs="Arial"/>
        </w:rPr>
        <w:t>A. gossypii</w:t>
      </w:r>
      <w:r w:rsidRPr="00B54B67">
        <w:rPr>
          <w:rFonts w:ascii="Arial" w:hAnsi="Arial" w:cs="Arial"/>
        </w:rPr>
        <w:t xml:space="preserve"> on chili pepper</w:t>
      </w:r>
    </w:p>
    <w:p w14:paraId="5988C34C" w14:textId="77777777" w:rsidR="00B54B67" w:rsidRDefault="00B54B67" w:rsidP="00441B6F">
      <w:pPr>
        <w:pStyle w:val="Body"/>
        <w:spacing w:after="0"/>
        <w:rPr>
          <w:rFonts w:ascii="Arial" w:hAnsi="Arial" w:cs="Arial"/>
        </w:rPr>
      </w:pPr>
    </w:p>
    <w:p w14:paraId="487B37FE" w14:textId="4FA5BF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CDC5994" w14:textId="77777777" w:rsidR="000E3F51" w:rsidRPr="000E3F51" w:rsidRDefault="000E3F51" w:rsidP="00344BE5">
      <w:pPr>
        <w:spacing w:before="100" w:beforeAutospacing="1" w:after="100" w:afterAutospacing="1"/>
        <w:outlineLvl w:val="3"/>
        <w:rPr>
          <w:rFonts w:ascii="Arial" w:hAnsi="Arial" w:cs="Arial"/>
          <w:b/>
          <w:bCs/>
        </w:rPr>
      </w:pPr>
      <w:r w:rsidRPr="000E3F51">
        <w:rPr>
          <w:rFonts w:ascii="Arial" w:hAnsi="Arial" w:cs="Arial"/>
          <w:b/>
          <w:bCs/>
        </w:rPr>
        <w:t xml:space="preserve">Preparation of </w:t>
      </w:r>
      <w:r w:rsidRPr="000E3F51">
        <w:rPr>
          <w:rFonts w:ascii="Arial" w:hAnsi="Arial" w:cs="Arial"/>
          <w:b/>
          <w:bCs/>
          <w:i/>
          <w:iCs/>
        </w:rPr>
        <w:t>Calotropis gigantea</w:t>
      </w:r>
      <w:r w:rsidRPr="000E3F51">
        <w:rPr>
          <w:rFonts w:ascii="Arial" w:hAnsi="Arial" w:cs="Arial"/>
          <w:b/>
          <w:bCs/>
        </w:rPr>
        <w:t xml:space="preserve"> Leaf Extract Formulation</w:t>
      </w:r>
    </w:p>
    <w:p w14:paraId="1C6555CA" w14:textId="77777777" w:rsidR="000E3F51" w:rsidRPr="000E3F51" w:rsidRDefault="000E3F51" w:rsidP="00344BE5">
      <w:pPr>
        <w:spacing w:after="120"/>
        <w:ind w:firstLine="720"/>
        <w:jc w:val="both"/>
        <w:rPr>
          <w:rFonts w:ascii="Arial" w:hAnsi="Arial" w:cs="Arial"/>
        </w:rPr>
      </w:pPr>
      <w:r w:rsidRPr="000E3F51">
        <w:rPr>
          <w:rFonts w:ascii="Arial" w:hAnsi="Arial" w:cs="Arial"/>
        </w:rPr>
        <w:lastRenderedPageBreak/>
        <w:t xml:space="preserve">Leaves of </w:t>
      </w:r>
      <w:r w:rsidRPr="000E3F51">
        <w:rPr>
          <w:rFonts w:ascii="Arial" w:hAnsi="Arial" w:cs="Arial"/>
          <w:i/>
          <w:iCs/>
        </w:rPr>
        <w:t>C. gigantea</w:t>
      </w:r>
      <w:r w:rsidRPr="000E3F51">
        <w:rPr>
          <w:rFonts w:ascii="Arial" w:hAnsi="Arial" w:cs="Arial"/>
        </w:rPr>
        <w:t xml:space="preserve"> (L.) W.T. Aiton were collected, air-dried, and cut into small pieces using a blender until a fine powder was obtained. Extraction was performed via maceration. Briefly, 500 g of dried leaf powder was placed in a container and mixed with 2 L of ethanol, stirred to prevent sedimentation, and tightly sealed to minimize direct sunlight exposure. Maceration was conducted at room temperature for 48 hours. The mixture was subsequently filtered using filter paper and a Buchner funnel. The filtrate and solvent were separated using a rotary vacuum evaporator (</w:t>
      </w:r>
      <w:proofErr w:type="spellStart"/>
      <w:r w:rsidRPr="000E3F51">
        <w:rPr>
          <w:rFonts w:ascii="Arial" w:hAnsi="Arial" w:cs="Arial"/>
        </w:rPr>
        <w:t>Heidolph</w:t>
      </w:r>
      <w:proofErr w:type="spellEnd"/>
      <w:r w:rsidRPr="000E3F51">
        <w:rPr>
          <w:rFonts w:ascii="Arial" w:hAnsi="Arial" w:cs="Arial"/>
        </w:rPr>
        <w:t xml:space="preserve">, </w:t>
      </w:r>
      <w:proofErr w:type="spellStart"/>
      <w:r w:rsidRPr="000E3F51">
        <w:rPr>
          <w:rFonts w:ascii="Arial" w:hAnsi="Arial" w:cs="Arial"/>
        </w:rPr>
        <w:t>Weirtheim</w:t>
      </w:r>
      <w:proofErr w:type="spellEnd"/>
      <w:r w:rsidRPr="000E3F51">
        <w:rPr>
          <w:rFonts w:ascii="Arial" w:hAnsi="Arial" w:cs="Arial"/>
        </w:rPr>
        <w:t xml:space="preserve">, with Cole-Parmer </w:t>
      </w:r>
      <w:proofErr w:type="spellStart"/>
      <w:r w:rsidRPr="000E3F51">
        <w:rPr>
          <w:rFonts w:ascii="Arial" w:hAnsi="Arial" w:cs="Arial"/>
        </w:rPr>
        <w:t>Waterbath</w:t>
      </w:r>
      <w:proofErr w:type="spellEnd"/>
      <w:r w:rsidRPr="000E3F51">
        <w:rPr>
          <w:rFonts w:ascii="Arial" w:hAnsi="Arial" w:cs="Arial"/>
        </w:rPr>
        <w:t xml:space="preserve"> type 7049-05) at 40–180 °C and 160–280 rpm for 4 hours to obtain the crude extract (Harborne, 1998).</w:t>
      </w:r>
    </w:p>
    <w:p w14:paraId="7698E3BF" w14:textId="77777777" w:rsidR="000E3F51" w:rsidRPr="000E3F51" w:rsidRDefault="000E3F51" w:rsidP="00344BE5">
      <w:pPr>
        <w:spacing w:after="120"/>
        <w:ind w:firstLine="720"/>
        <w:jc w:val="both"/>
        <w:rPr>
          <w:rFonts w:ascii="Arial" w:hAnsi="Arial" w:cs="Arial"/>
        </w:rPr>
      </w:pPr>
      <w:r w:rsidRPr="000E3F51">
        <w:rPr>
          <w:rFonts w:ascii="Arial" w:hAnsi="Arial" w:cs="Arial"/>
        </w:rPr>
        <w:t xml:space="preserve">Carrier materials, including zeolite powder, silica gel, and kaolin powder, were used to formulate the extract. Emulsifiers and adhesives were provided by </w:t>
      </w:r>
      <w:proofErr w:type="spellStart"/>
      <w:r w:rsidRPr="000E3F51">
        <w:rPr>
          <w:rFonts w:ascii="Arial" w:hAnsi="Arial" w:cs="Arial"/>
        </w:rPr>
        <w:t>Agristik</w:t>
      </w:r>
      <w:proofErr w:type="spellEnd"/>
      <w:r w:rsidRPr="000E3F51">
        <w:rPr>
          <w:rFonts w:ascii="Arial" w:hAnsi="Arial" w:cs="Arial"/>
        </w:rPr>
        <w:t>. The carrier and emulsifier were mixed with the crude extract at ratios of 1:10, 1:20, and 1:30 (w/v), stirred until homogeneous, and concentrated using a rotary evaporator to obtain the final formulated extract suitable for laboratory and field application.</w:t>
      </w:r>
    </w:p>
    <w:p w14:paraId="62660D85" w14:textId="77777777" w:rsidR="000E3F51" w:rsidRPr="000E3F51" w:rsidRDefault="000E3F51" w:rsidP="00F20601">
      <w:pPr>
        <w:spacing w:before="100" w:beforeAutospacing="1" w:after="100" w:afterAutospacing="1"/>
        <w:outlineLvl w:val="3"/>
        <w:rPr>
          <w:rFonts w:ascii="Arial" w:hAnsi="Arial" w:cs="Arial"/>
          <w:b/>
          <w:bCs/>
        </w:rPr>
      </w:pPr>
      <w:r w:rsidRPr="000E3F51">
        <w:rPr>
          <w:rFonts w:ascii="Arial" w:hAnsi="Arial" w:cs="Arial"/>
          <w:b/>
          <w:bCs/>
        </w:rPr>
        <w:t>Biological Activity Evaluation of the Formulated Extract</w:t>
      </w:r>
    </w:p>
    <w:p w14:paraId="0021A02E" w14:textId="77777777" w:rsidR="000E3F51" w:rsidRPr="000E3F51" w:rsidRDefault="000E3F51" w:rsidP="00344BE5">
      <w:pPr>
        <w:spacing w:after="120"/>
        <w:ind w:firstLine="720"/>
        <w:jc w:val="both"/>
        <w:rPr>
          <w:rFonts w:ascii="Arial" w:hAnsi="Arial" w:cs="Arial"/>
        </w:rPr>
      </w:pPr>
      <w:r w:rsidRPr="000E3F51">
        <w:rPr>
          <w:rFonts w:ascii="Arial" w:hAnsi="Arial" w:cs="Arial"/>
        </w:rPr>
        <w:t xml:space="preserve">Laboratory bioassays were conducted using </w:t>
      </w:r>
      <w:r w:rsidRPr="000E3F51">
        <w:rPr>
          <w:rFonts w:ascii="Arial" w:hAnsi="Arial" w:cs="Arial"/>
          <w:i/>
          <w:iCs/>
        </w:rPr>
        <w:t>A. gossypii</w:t>
      </w:r>
      <w:r w:rsidRPr="000E3F51">
        <w:rPr>
          <w:rFonts w:ascii="Arial" w:hAnsi="Arial" w:cs="Arial"/>
        </w:rPr>
        <w:t xml:space="preserve"> as the test organism to assess the biological efficacy of the formulated extract. Four concentrations (5, 10, 20, and 40 g L</w:t>
      </w:r>
      <w:r w:rsidRPr="000E3F51">
        <w:rPr>
          <w:rFonts w:ascii="Cambria Math" w:hAnsi="Cambria Math" w:cs="Cambria Math"/>
        </w:rPr>
        <w:t>⁻</w:t>
      </w:r>
      <w:r w:rsidRPr="000E3F51">
        <w:rPr>
          <w:rFonts w:ascii="Arial" w:hAnsi="Arial" w:cs="Arial"/>
        </w:rPr>
        <w:t>¹) were tested alongside positive and negative controls (distilled water). The primary objective was to evaluate the extract’s efficacy in reducing aphid survival and activity under controlled conditions.</w:t>
      </w:r>
    </w:p>
    <w:p w14:paraId="250AB7AA" w14:textId="77777777" w:rsidR="000E3F51" w:rsidRPr="000E3F51" w:rsidRDefault="000E3F51" w:rsidP="00344BE5">
      <w:pPr>
        <w:pStyle w:val="NormalWeb"/>
        <w:spacing w:before="0" w:beforeAutospacing="0" w:after="120" w:afterAutospacing="0"/>
        <w:ind w:firstLine="720"/>
        <w:jc w:val="both"/>
        <w:rPr>
          <w:rFonts w:ascii="Arial" w:hAnsi="Arial" w:cs="Arial"/>
          <w:sz w:val="20"/>
          <w:szCs w:val="20"/>
        </w:rPr>
      </w:pPr>
      <w:r w:rsidRPr="000E3F51">
        <w:rPr>
          <w:rFonts w:ascii="Arial" w:hAnsi="Arial" w:cs="Arial"/>
          <w:sz w:val="20"/>
          <w:szCs w:val="20"/>
        </w:rPr>
        <w:t xml:space="preserve">Field experiments were conducted in the chili production area of Lolu Village, Sigi Regency, Central Sulawesi. Standard crop management practices were implemented, including seedling preparation, land preparation, bed formation, basal fertilization, planting, and maintenance. The experiment was arranged in a </w:t>
      </w:r>
      <w:r w:rsidRPr="000E3F51">
        <w:rPr>
          <w:rFonts w:ascii="Arial" w:hAnsi="Arial" w:cs="Arial"/>
          <w:bCs/>
          <w:sz w:val="20"/>
          <w:szCs w:val="20"/>
        </w:rPr>
        <w:t>Randomized Complete Block Design (RCBD)</w:t>
      </w:r>
      <w:r w:rsidRPr="000E3F51">
        <w:rPr>
          <w:rFonts w:ascii="Arial" w:hAnsi="Arial" w:cs="Arial"/>
          <w:sz w:val="20"/>
          <w:szCs w:val="20"/>
        </w:rPr>
        <w:t xml:space="preserve"> with four concentrations of formulated extract as treatments and positive and negative controls, each replicated three times. Applications were initiated at three weeks after transplanting (3 WAT) and repeated at seven-day intervals for five consecutive applications.  The response variables assessed included larval population density, aphid infestation intensity of </w:t>
      </w:r>
      <w:r w:rsidRPr="000E3F51">
        <w:rPr>
          <w:rStyle w:val="Emphasis"/>
          <w:rFonts w:ascii="Arial" w:hAnsi="Arial" w:cs="Arial"/>
          <w:sz w:val="20"/>
          <w:szCs w:val="20"/>
        </w:rPr>
        <w:t>A. gossypii</w:t>
      </w:r>
      <w:r w:rsidRPr="000E3F51">
        <w:rPr>
          <w:rFonts w:ascii="Arial" w:hAnsi="Arial" w:cs="Arial"/>
          <w:sz w:val="20"/>
          <w:szCs w:val="20"/>
        </w:rPr>
        <w:t xml:space="preserve"> on chili pepper, richness and diversity of natural enemy arthropods, and chili pepper yield.</w:t>
      </w:r>
    </w:p>
    <w:p w14:paraId="69EA0A49" w14:textId="77777777" w:rsidR="000E3F51" w:rsidRPr="000E3F51" w:rsidRDefault="000E3F51" w:rsidP="00344BE5">
      <w:pPr>
        <w:spacing w:before="100" w:beforeAutospacing="1" w:after="100" w:afterAutospacing="1"/>
        <w:jc w:val="both"/>
        <w:outlineLvl w:val="3"/>
        <w:rPr>
          <w:rFonts w:ascii="Arial" w:hAnsi="Arial" w:cs="Arial"/>
          <w:b/>
          <w:bCs/>
        </w:rPr>
      </w:pPr>
      <w:r w:rsidRPr="000E3F51">
        <w:rPr>
          <w:rFonts w:ascii="Arial" w:hAnsi="Arial" w:cs="Arial"/>
          <w:b/>
          <w:bCs/>
        </w:rPr>
        <w:t>Statistical Analysis</w:t>
      </w:r>
    </w:p>
    <w:p w14:paraId="5299854F" w14:textId="77777777" w:rsidR="000E3F51" w:rsidRPr="000E3F51" w:rsidRDefault="000E3F51" w:rsidP="00F20601">
      <w:pPr>
        <w:spacing w:before="100" w:beforeAutospacing="1" w:after="100" w:afterAutospacing="1"/>
        <w:ind w:firstLine="720"/>
        <w:jc w:val="both"/>
        <w:rPr>
          <w:rFonts w:ascii="Arial" w:hAnsi="Arial" w:cs="Arial"/>
        </w:rPr>
      </w:pPr>
      <w:r w:rsidRPr="000E3F51">
        <w:rPr>
          <w:rFonts w:ascii="Arial" w:hAnsi="Arial" w:cs="Arial"/>
        </w:rPr>
        <w:t xml:space="preserve">Data were analyzed using one-way ANOVA in SPSS version 20.0 at a significance level of α = 0.05. Significant differences among treatments were further analyzed using </w:t>
      </w:r>
      <w:r w:rsidRPr="000E3F51">
        <w:rPr>
          <w:rFonts w:ascii="Arial" w:hAnsi="Arial" w:cs="Arial"/>
          <w:bCs/>
        </w:rPr>
        <w:t>Duncan’s Multiple Range Test (DMRT)</w:t>
      </w:r>
      <w:r w:rsidRPr="000E3F51">
        <w:rPr>
          <w:rFonts w:ascii="Arial" w:hAnsi="Arial" w:cs="Arial"/>
        </w:rPr>
        <w:t xml:space="preserve"> for aphid population and infestation intensity, while </w:t>
      </w:r>
      <w:r w:rsidRPr="000E3F51">
        <w:rPr>
          <w:rFonts w:ascii="Arial" w:hAnsi="Arial" w:cs="Arial"/>
          <w:bCs/>
        </w:rPr>
        <w:t>T-tests</w:t>
      </w:r>
      <w:r w:rsidRPr="000E3F51">
        <w:rPr>
          <w:rFonts w:ascii="Arial" w:hAnsi="Arial" w:cs="Arial"/>
        </w:rPr>
        <w:t xml:space="preserve"> were used to compare diversity indices of natural enemies between treated and untreated plots.</w:t>
      </w:r>
    </w:p>
    <w:p w14:paraId="56EA0152" w14:textId="77777777" w:rsidR="00902823" w:rsidRPr="000E3F51" w:rsidRDefault="00000F8F" w:rsidP="00F20601">
      <w:pPr>
        <w:pStyle w:val="Head1"/>
        <w:spacing w:after="0"/>
        <w:jc w:val="both"/>
        <w:rPr>
          <w:rFonts w:ascii="Arial" w:hAnsi="Arial" w:cs="Arial"/>
          <w:sz w:val="20"/>
        </w:rPr>
      </w:pPr>
      <w:r w:rsidRPr="000E3F51">
        <w:rPr>
          <w:rFonts w:ascii="Arial" w:hAnsi="Arial" w:cs="Arial"/>
          <w:sz w:val="20"/>
        </w:rPr>
        <w:t>3</w:t>
      </w:r>
      <w:r w:rsidR="00902823" w:rsidRPr="000E3F51">
        <w:rPr>
          <w:rFonts w:ascii="Arial" w:hAnsi="Arial" w:cs="Arial"/>
          <w:sz w:val="20"/>
        </w:rPr>
        <w:t xml:space="preserve">. </w:t>
      </w:r>
      <w:r w:rsidRPr="000E3F51">
        <w:rPr>
          <w:rFonts w:ascii="Arial" w:hAnsi="Arial" w:cs="Arial"/>
          <w:sz w:val="20"/>
        </w:rPr>
        <w:t>results and discussion</w:t>
      </w:r>
    </w:p>
    <w:p w14:paraId="6A419CB9" w14:textId="77777777" w:rsidR="00790ADA" w:rsidRPr="000E3F51" w:rsidRDefault="00790ADA" w:rsidP="00F20601">
      <w:pPr>
        <w:pStyle w:val="Head1"/>
        <w:spacing w:after="0"/>
        <w:jc w:val="both"/>
        <w:rPr>
          <w:rFonts w:ascii="Arial" w:hAnsi="Arial" w:cs="Arial"/>
          <w:sz w:val="20"/>
        </w:rPr>
      </w:pPr>
    </w:p>
    <w:p w14:paraId="63A1BA38" w14:textId="77777777" w:rsidR="000E3F51" w:rsidRPr="000E3F51" w:rsidRDefault="000E3F51" w:rsidP="00344BE5">
      <w:pPr>
        <w:spacing w:after="120"/>
        <w:jc w:val="both"/>
        <w:rPr>
          <w:rFonts w:ascii="Arial" w:hAnsi="Arial" w:cs="Arial"/>
          <w:b/>
        </w:rPr>
      </w:pPr>
      <w:r w:rsidRPr="000E3F51">
        <w:rPr>
          <w:rFonts w:ascii="Arial" w:hAnsi="Arial" w:cs="Arial"/>
          <w:b/>
        </w:rPr>
        <w:t>Biological Activity of the Extract Formulation</w:t>
      </w:r>
    </w:p>
    <w:p w14:paraId="4E71F173" w14:textId="77777777" w:rsidR="000E3F51" w:rsidRDefault="000E3F51" w:rsidP="00F20601">
      <w:pPr>
        <w:ind w:firstLine="720"/>
        <w:jc w:val="both"/>
        <w:rPr>
          <w:rFonts w:ascii="Arial" w:hAnsi="Arial" w:cs="Arial"/>
        </w:rPr>
      </w:pPr>
      <w:r w:rsidRPr="000E3F51">
        <w:rPr>
          <w:rFonts w:ascii="Arial" w:hAnsi="Arial" w:cs="Arial"/>
        </w:rPr>
        <w:t xml:space="preserve">The toxicity of </w:t>
      </w:r>
      <w:r w:rsidRPr="000E3F51">
        <w:rPr>
          <w:rStyle w:val="Emphasis"/>
          <w:rFonts w:ascii="Arial" w:hAnsi="Arial" w:cs="Arial"/>
        </w:rPr>
        <w:t>C. gigantea</w:t>
      </w:r>
      <w:r w:rsidRPr="000E3F51">
        <w:rPr>
          <w:rFonts w:ascii="Arial" w:hAnsi="Arial" w:cs="Arial"/>
        </w:rPr>
        <w:t xml:space="preserve"> leaf extract against the chili aphid </w:t>
      </w:r>
      <w:r w:rsidRPr="000E3F51">
        <w:rPr>
          <w:rStyle w:val="Emphasis"/>
          <w:rFonts w:ascii="Arial" w:hAnsi="Arial" w:cs="Arial"/>
        </w:rPr>
        <w:t>A. gossypii</w:t>
      </w:r>
      <w:r w:rsidRPr="000E3F51">
        <w:rPr>
          <w:rFonts w:ascii="Arial" w:hAnsi="Arial" w:cs="Arial"/>
        </w:rPr>
        <w:t xml:space="preserve"> (Table 1) was evaluated using probit analysis, yielding an LC</w:t>
      </w:r>
      <w:r w:rsidRPr="000E3F51">
        <w:rPr>
          <w:rFonts w:ascii="Cambria Math" w:hAnsi="Cambria Math" w:cs="Cambria Math"/>
        </w:rPr>
        <w:t>₅₀</w:t>
      </w:r>
      <w:r w:rsidRPr="000E3F51">
        <w:rPr>
          <w:rFonts w:ascii="Arial" w:hAnsi="Arial" w:cs="Arial"/>
        </w:rPr>
        <w:t xml:space="preserve"> value of 0.513 µg L</w:t>
      </w:r>
      <w:r w:rsidRPr="000E3F51">
        <w:rPr>
          <w:rFonts w:ascii="Cambria Math" w:hAnsi="Cambria Math" w:cs="Cambria Math"/>
        </w:rPr>
        <w:t>⁻</w:t>
      </w:r>
      <w:r w:rsidRPr="000E3F51">
        <w:rPr>
          <w:rFonts w:ascii="Arial" w:hAnsi="Arial" w:cs="Arial"/>
        </w:rPr>
        <w:t>¹ (95% confidence interval: 0.237–0.735 µg L</w:t>
      </w:r>
      <w:r w:rsidRPr="000E3F51">
        <w:rPr>
          <w:rFonts w:ascii="Cambria Math" w:hAnsi="Cambria Math" w:cs="Cambria Math"/>
        </w:rPr>
        <w:t>⁻</w:t>
      </w:r>
      <w:r w:rsidRPr="000E3F51">
        <w:rPr>
          <w:rFonts w:ascii="Arial" w:hAnsi="Arial" w:cs="Arial"/>
        </w:rPr>
        <w:t>¹). Probit analysis indicated a positive correlation between extract concentration and aphid mortality, demonstrating dose-dependent toxicity. Laboratory bioassays informed the selection of field application concentrations of 5, 10, 20, and 40 g L</w:t>
      </w:r>
      <w:r w:rsidRPr="000E3F51">
        <w:rPr>
          <w:rFonts w:ascii="Cambria Math" w:hAnsi="Cambria Math" w:cs="Cambria Math"/>
        </w:rPr>
        <w:t>⁻</w:t>
      </w:r>
      <w:r w:rsidRPr="000E3F51">
        <w:rPr>
          <w:rFonts w:ascii="Arial" w:hAnsi="Arial" w:cs="Arial"/>
        </w:rPr>
        <w:t>¹, alongside positive and negative controls.</w:t>
      </w:r>
    </w:p>
    <w:p w14:paraId="4E470F50" w14:textId="77777777" w:rsidR="00F20601" w:rsidRPr="000E3F51" w:rsidRDefault="00F20601" w:rsidP="00F20601">
      <w:pPr>
        <w:ind w:firstLine="720"/>
        <w:jc w:val="both"/>
        <w:rPr>
          <w:rFonts w:ascii="Arial" w:hAnsi="Arial" w:cs="Arial"/>
          <w:lang w:val="id"/>
        </w:rPr>
      </w:pPr>
    </w:p>
    <w:p w14:paraId="0448B354" w14:textId="77777777" w:rsidR="000E3F51" w:rsidRPr="000E3F51" w:rsidRDefault="000E3F51" w:rsidP="000E3F51">
      <w:pPr>
        <w:jc w:val="both"/>
        <w:rPr>
          <w:rFonts w:ascii="Arial" w:hAnsi="Arial" w:cs="Arial"/>
        </w:rPr>
      </w:pPr>
      <w:r w:rsidRPr="000E3F51">
        <w:rPr>
          <w:rFonts w:ascii="Arial" w:hAnsi="Arial" w:cs="Arial"/>
        </w:rPr>
        <w:lastRenderedPageBreak/>
        <w:t xml:space="preserve">Table 1. Toxicity of </w:t>
      </w:r>
      <w:r w:rsidRPr="000E3F51">
        <w:rPr>
          <w:rFonts w:ascii="Arial" w:hAnsi="Arial" w:cs="Arial"/>
          <w:i/>
        </w:rPr>
        <w:t>Calotropis gigantea</w:t>
      </w:r>
      <w:r w:rsidRPr="000E3F51">
        <w:rPr>
          <w:rFonts w:ascii="Arial" w:hAnsi="Arial" w:cs="Arial"/>
        </w:rPr>
        <w:t xml:space="preserve"> leaf extract against the chili pepper aphid </w:t>
      </w:r>
    </w:p>
    <w:p w14:paraId="74145C3A" w14:textId="77777777" w:rsidR="000E3F51" w:rsidRPr="000E3F51" w:rsidRDefault="000E3F51" w:rsidP="000E3F51">
      <w:pPr>
        <w:jc w:val="both"/>
        <w:rPr>
          <w:rFonts w:ascii="Arial" w:hAnsi="Arial" w:cs="Arial"/>
          <w:bCs/>
          <w:lang w:val="id"/>
        </w:rPr>
      </w:pPr>
      <w:r w:rsidRPr="000E3F51">
        <w:rPr>
          <w:rFonts w:ascii="Arial" w:hAnsi="Arial" w:cs="Arial"/>
        </w:rPr>
        <w:t xml:space="preserve">              </w:t>
      </w:r>
      <w:r w:rsidRPr="000E3F51">
        <w:rPr>
          <w:rFonts w:ascii="Arial" w:hAnsi="Arial" w:cs="Arial"/>
          <w:i/>
        </w:rPr>
        <w:t>Aphis gossypii</w:t>
      </w:r>
      <w:r w:rsidRPr="000E3F51">
        <w:rPr>
          <w:rFonts w:ascii="Arial" w:hAnsi="Arial" w:cs="Arial"/>
        </w:rPr>
        <w:t>.</w:t>
      </w:r>
    </w:p>
    <w:tbl>
      <w:tblPr>
        <w:tblpPr w:leftFromText="180" w:rightFromText="180" w:vertAnchor="text" w:horzAnchor="margin" w:tblpY="187"/>
        <w:tblOverlap w:val="never"/>
        <w:tblW w:w="8497" w:type="dxa"/>
        <w:tblBorders>
          <w:top w:val="single" w:sz="4" w:space="0" w:color="auto"/>
          <w:bottom w:val="single" w:sz="4" w:space="0" w:color="auto"/>
        </w:tblBorders>
        <w:shd w:val="clear" w:color="auto" w:fill="FFFFFF"/>
        <w:tblLayout w:type="fixed"/>
        <w:tblLook w:val="04A0" w:firstRow="1" w:lastRow="0" w:firstColumn="1" w:lastColumn="0" w:noHBand="0" w:noVBand="1"/>
      </w:tblPr>
      <w:tblGrid>
        <w:gridCol w:w="1668"/>
        <w:gridCol w:w="1134"/>
        <w:gridCol w:w="725"/>
        <w:gridCol w:w="1826"/>
        <w:gridCol w:w="2410"/>
        <w:gridCol w:w="734"/>
      </w:tblGrid>
      <w:tr w:rsidR="000E3F51" w:rsidRPr="000E3F51" w14:paraId="4CC886B5" w14:textId="77777777" w:rsidTr="00413E13">
        <w:trPr>
          <w:trHeight w:val="228"/>
        </w:trPr>
        <w:tc>
          <w:tcPr>
            <w:tcW w:w="1668" w:type="dxa"/>
            <w:tcBorders>
              <w:bottom w:val="single" w:sz="4" w:space="0" w:color="auto"/>
            </w:tcBorders>
            <w:shd w:val="clear" w:color="auto" w:fill="FFFFFF"/>
            <w:noWrap/>
            <w:vAlign w:val="center"/>
          </w:tcPr>
          <w:p w14:paraId="4C231E8C"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rPr>
              <w:t>Extract</w:t>
            </w:r>
          </w:p>
        </w:tc>
        <w:tc>
          <w:tcPr>
            <w:tcW w:w="1134" w:type="dxa"/>
            <w:tcBorders>
              <w:bottom w:val="single" w:sz="4" w:space="0" w:color="auto"/>
            </w:tcBorders>
            <w:shd w:val="clear" w:color="auto" w:fill="FFFFFF"/>
            <w:noWrap/>
            <w:vAlign w:val="center"/>
          </w:tcPr>
          <w:p w14:paraId="7A57B5E6"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Volume</w:t>
            </w:r>
          </w:p>
        </w:tc>
        <w:tc>
          <w:tcPr>
            <w:tcW w:w="725" w:type="dxa"/>
            <w:tcBorders>
              <w:bottom w:val="single" w:sz="4" w:space="0" w:color="auto"/>
            </w:tcBorders>
            <w:shd w:val="clear" w:color="auto" w:fill="FFFFFF"/>
            <w:noWrap/>
            <w:vAlign w:val="center"/>
          </w:tcPr>
          <w:p w14:paraId="11EA3EFB"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n</w:t>
            </w:r>
          </w:p>
        </w:tc>
        <w:tc>
          <w:tcPr>
            <w:tcW w:w="1826" w:type="dxa"/>
            <w:tcBorders>
              <w:bottom w:val="single" w:sz="4" w:space="0" w:color="auto"/>
            </w:tcBorders>
            <w:shd w:val="clear" w:color="auto" w:fill="FFFFFF"/>
            <w:noWrap/>
            <w:vAlign w:val="center"/>
          </w:tcPr>
          <w:p w14:paraId="627ED16A"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Slope (± SE)</w:t>
            </w:r>
          </w:p>
        </w:tc>
        <w:tc>
          <w:tcPr>
            <w:tcW w:w="2410" w:type="dxa"/>
            <w:tcBorders>
              <w:bottom w:val="single" w:sz="4" w:space="0" w:color="auto"/>
            </w:tcBorders>
            <w:shd w:val="clear" w:color="auto" w:fill="FFFFFF"/>
            <w:noWrap/>
            <w:vAlign w:val="center"/>
          </w:tcPr>
          <w:p w14:paraId="3634AC1F"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LC</w:t>
            </w:r>
            <w:proofErr w:type="gramStart"/>
            <w:r w:rsidRPr="000E3F51">
              <w:rPr>
                <w:rFonts w:ascii="Arial" w:hAnsi="Arial" w:cs="Arial"/>
                <w:b/>
                <w:bCs/>
                <w:vertAlign w:val="subscript"/>
                <w:lang w:eastAsia="zh-CN"/>
              </w:rPr>
              <w:t xml:space="preserve">50  </w:t>
            </w:r>
            <w:r w:rsidRPr="000E3F51">
              <w:rPr>
                <w:rFonts w:ascii="Arial" w:hAnsi="Arial" w:cs="Arial"/>
                <w:b/>
                <w:bCs/>
                <w:color w:val="000000"/>
                <w:lang w:eastAsia="zh-CN" w:bidi="ar"/>
              </w:rPr>
              <w:t>(</w:t>
            </w:r>
            <w:proofErr w:type="gramEnd"/>
            <w:r w:rsidRPr="000E3F51">
              <w:rPr>
                <w:rFonts w:ascii="Arial" w:hAnsi="Arial" w:cs="Arial"/>
                <w:b/>
                <w:bCs/>
                <w:color w:val="000000"/>
                <w:lang w:eastAsia="zh-CN" w:bidi="ar"/>
              </w:rPr>
              <w:t xml:space="preserve">SK95%; </w:t>
            </w:r>
            <w:r w:rsidRPr="000E3F51">
              <w:rPr>
                <w:rFonts w:ascii="Arial" w:hAnsi="Arial" w:cs="Arial"/>
                <w:b/>
                <w:bCs/>
              </w:rPr>
              <w:t>µgl</w:t>
            </w:r>
            <w:r w:rsidRPr="000E3F51">
              <w:rPr>
                <w:rFonts w:ascii="Arial" w:hAnsi="Arial" w:cs="Arial"/>
                <w:b/>
                <w:bCs/>
                <w:vertAlign w:val="superscript"/>
              </w:rPr>
              <w:t>-1</w:t>
            </w:r>
            <w:r w:rsidRPr="000E3F51">
              <w:rPr>
                <w:rFonts w:ascii="Arial" w:hAnsi="Arial" w:cs="Arial"/>
                <w:b/>
                <w:bCs/>
                <w:color w:val="000000"/>
                <w:lang w:eastAsia="zh-CN" w:bidi="ar"/>
              </w:rPr>
              <w:t>)</w:t>
            </w:r>
          </w:p>
        </w:tc>
        <w:tc>
          <w:tcPr>
            <w:tcW w:w="734" w:type="dxa"/>
            <w:tcBorders>
              <w:bottom w:val="single" w:sz="4" w:space="0" w:color="auto"/>
            </w:tcBorders>
            <w:shd w:val="clear" w:color="auto" w:fill="FFFFFF"/>
            <w:noWrap/>
            <w:vAlign w:val="center"/>
          </w:tcPr>
          <w:p w14:paraId="1DBBE839" w14:textId="77777777" w:rsidR="000E3F51" w:rsidRPr="000E3F51" w:rsidRDefault="000E3F51" w:rsidP="00413E13">
            <w:pPr>
              <w:widowControl w:val="0"/>
              <w:jc w:val="center"/>
              <w:textAlignment w:val="top"/>
              <w:rPr>
                <w:rFonts w:ascii="Arial" w:hAnsi="Arial" w:cs="Arial"/>
                <w:b/>
                <w:bCs/>
              </w:rPr>
            </w:pPr>
            <w:r w:rsidRPr="000E3F51">
              <w:rPr>
                <w:rFonts w:ascii="Arial" w:hAnsi="Arial" w:cs="Arial"/>
                <w:b/>
                <w:bCs/>
                <w:lang w:eastAsia="zh-CN"/>
              </w:rPr>
              <w:t>Df</w:t>
            </w:r>
          </w:p>
        </w:tc>
      </w:tr>
      <w:tr w:rsidR="000E3F51" w:rsidRPr="000E3F51" w14:paraId="33BC4A98" w14:textId="77777777" w:rsidTr="00413E13">
        <w:trPr>
          <w:trHeight w:val="228"/>
        </w:trPr>
        <w:tc>
          <w:tcPr>
            <w:tcW w:w="1668" w:type="dxa"/>
            <w:tcBorders>
              <w:top w:val="single" w:sz="4" w:space="0" w:color="auto"/>
            </w:tcBorders>
            <w:shd w:val="clear" w:color="auto" w:fill="FFFFFF"/>
            <w:noWrap/>
            <w:vAlign w:val="center"/>
          </w:tcPr>
          <w:p w14:paraId="43E4A9D7" w14:textId="77777777" w:rsidR="000E3F51" w:rsidRPr="000E3F51" w:rsidRDefault="000E3F51" w:rsidP="00413E13">
            <w:pPr>
              <w:widowControl w:val="0"/>
              <w:textAlignment w:val="top"/>
              <w:rPr>
                <w:rFonts w:ascii="Arial" w:hAnsi="Arial" w:cs="Arial"/>
                <w:i/>
                <w:iCs/>
              </w:rPr>
            </w:pPr>
            <w:r w:rsidRPr="000E3F51">
              <w:rPr>
                <w:rFonts w:ascii="Arial" w:hAnsi="Arial" w:cs="Arial"/>
                <w:i/>
                <w:iCs/>
                <w:lang w:eastAsia="zh-CN"/>
              </w:rPr>
              <w:t>Calotropis gigantea</w:t>
            </w:r>
          </w:p>
        </w:tc>
        <w:tc>
          <w:tcPr>
            <w:tcW w:w="1134" w:type="dxa"/>
            <w:tcBorders>
              <w:top w:val="single" w:sz="4" w:space="0" w:color="auto"/>
            </w:tcBorders>
            <w:shd w:val="clear" w:color="auto" w:fill="FFFFFF"/>
            <w:noWrap/>
            <w:vAlign w:val="center"/>
          </w:tcPr>
          <w:p w14:paraId="36548003"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50</w:t>
            </w:r>
          </w:p>
        </w:tc>
        <w:tc>
          <w:tcPr>
            <w:tcW w:w="725" w:type="dxa"/>
            <w:tcBorders>
              <w:top w:val="single" w:sz="4" w:space="0" w:color="auto"/>
            </w:tcBorders>
            <w:shd w:val="clear" w:color="auto" w:fill="FFFFFF"/>
            <w:noWrap/>
            <w:vAlign w:val="center"/>
          </w:tcPr>
          <w:p w14:paraId="62BFC3F0"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1000</w:t>
            </w:r>
          </w:p>
        </w:tc>
        <w:tc>
          <w:tcPr>
            <w:tcW w:w="1826" w:type="dxa"/>
            <w:tcBorders>
              <w:top w:val="single" w:sz="4" w:space="0" w:color="auto"/>
            </w:tcBorders>
            <w:shd w:val="clear" w:color="auto" w:fill="FFFFFF"/>
            <w:noWrap/>
            <w:vAlign w:val="center"/>
          </w:tcPr>
          <w:p w14:paraId="71CCA7A6"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0.798 (± 0,221)</w:t>
            </w:r>
          </w:p>
        </w:tc>
        <w:tc>
          <w:tcPr>
            <w:tcW w:w="2410" w:type="dxa"/>
            <w:tcBorders>
              <w:top w:val="single" w:sz="4" w:space="0" w:color="auto"/>
            </w:tcBorders>
            <w:shd w:val="clear" w:color="auto" w:fill="FFFFFF"/>
            <w:noWrap/>
            <w:vAlign w:val="center"/>
          </w:tcPr>
          <w:p w14:paraId="534886DC"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0,513 (0,237 - 0,735)</w:t>
            </w:r>
          </w:p>
        </w:tc>
        <w:tc>
          <w:tcPr>
            <w:tcW w:w="734" w:type="dxa"/>
            <w:tcBorders>
              <w:top w:val="single" w:sz="4" w:space="0" w:color="auto"/>
            </w:tcBorders>
            <w:shd w:val="clear" w:color="auto" w:fill="FFFFFF"/>
            <w:noWrap/>
            <w:vAlign w:val="center"/>
          </w:tcPr>
          <w:p w14:paraId="206A93FE" w14:textId="77777777" w:rsidR="000E3F51" w:rsidRPr="000E3F51" w:rsidRDefault="000E3F51" w:rsidP="00413E13">
            <w:pPr>
              <w:widowControl w:val="0"/>
              <w:jc w:val="center"/>
              <w:textAlignment w:val="top"/>
              <w:rPr>
                <w:rFonts w:ascii="Arial" w:hAnsi="Arial" w:cs="Arial"/>
              </w:rPr>
            </w:pPr>
            <w:r w:rsidRPr="000E3F51">
              <w:rPr>
                <w:rFonts w:ascii="Arial" w:hAnsi="Arial" w:cs="Arial"/>
                <w:lang w:eastAsia="zh-CN"/>
              </w:rPr>
              <w:t>3</w:t>
            </w:r>
          </w:p>
        </w:tc>
      </w:tr>
    </w:tbl>
    <w:p w14:paraId="59868275" w14:textId="77777777" w:rsidR="000E3F51" w:rsidRPr="000E3F51" w:rsidRDefault="000E3F51" w:rsidP="000E3F51">
      <w:pPr>
        <w:jc w:val="both"/>
        <w:rPr>
          <w:rFonts w:ascii="Arial" w:hAnsi="Arial" w:cs="Arial"/>
          <w:bCs/>
          <w:lang w:val="id"/>
        </w:rPr>
      </w:pPr>
    </w:p>
    <w:p w14:paraId="1847A929" w14:textId="77777777" w:rsidR="000E3F51" w:rsidRPr="000E3F51" w:rsidRDefault="000E3F51" w:rsidP="00F20601">
      <w:pPr>
        <w:spacing w:before="100" w:beforeAutospacing="1" w:after="100" w:afterAutospacing="1"/>
        <w:ind w:firstLine="720"/>
        <w:jc w:val="both"/>
        <w:rPr>
          <w:rFonts w:ascii="Arial" w:hAnsi="Arial" w:cs="Arial"/>
        </w:rPr>
      </w:pPr>
      <w:r w:rsidRPr="000E3F51">
        <w:rPr>
          <w:rFonts w:ascii="Arial" w:hAnsi="Arial" w:cs="Arial"/>
        </w:rPr>
        <w:t>The observed LC</w:t>
      </w:r>
      <w:r w:rsidRPr="000E3F51">
        <w:rPr>
          <w:rFonts w:ascii="Cambria Math" w:hAnsi="Cambria Math" w:cs="Cambria Math"/>
        </w:rPr>
        <w:t>₅₀</w:t>
      </w:r>
      <w:r w:rsidRPr="000E3F51">
        <w:rPr>
          <w:rFonts w:ascii="Arial" w:hAnsi="Arial" w:cs="Arial"/>
        </w:rPr>
        <w:t xml:space="preserve"> indicates that the formulated extract is highly toxic to </w:t>
      </w:r>
      <w:r w:rsidRPr="000E3F51">
        <w:rPr>
          <w:rStyle w:val="Emphasis"/>
          <w:rFonts w:ascii="Arial" w:hAnsi="Arial" w:cs="Arial"/>
        </w:rPr>
        <w:t>A. gossypii</w:t>
      </w:r>
      <w:r w:rsidRPr="000E3F51">
        <w:rPr>
          <w:rFonts w:ascii="Arial" w:hAnsi="Arial" w:cs="Arial"/>
        </w:rPr>
        <w:t xml:space="preserve"> even at low concentrations, highlighting its potential as a botanical insecticide. These findings align with previous reports of the insecticidal activity of </w:t>
      </w:r>
      <w:r w:rsidRPr="000E3F51">
        <w:rPr>
          <w:rStyle w:val="Emphasis"/>
          <w:rFonts w:ascii="Arial" w:hAnsi="Arial" w:cs="Arial"/>
        </w:rPr>
        <w:t>C. gigantea</w:t>
      </w:r>
      <w:r w:rsidRPr="000E3F51">
        <w:rPr>
          <w:rFonts w:ascii="Arial" w:hAnsi="Arial" w:cs="Arial"/>
        </w:rPr>
        <w:t xml:space="preserve"> leaf extracts against </w:t>
      </w:r>
      <w:r w:rsidRPr="000E3F51">
        <w:rPr>
          <w:rStyle w:val="Emphasis"/>
          <w:rFonts w:ascii="Arial" w:hAnsi="Arial" w:cs="Arial"/>
        </w:rPr>
        <w:t xml:space="preserve">Aphis </w:t>
      </w:r>
      <w:proofErr w:type="spellStart"/>
      <w:r w:rsidRPr="000E3F51">
        <w:rPr>
          <w:rStyle w:val="Emphasis"/>
          <w:rFonts w:ascii="Arial" w:hAnsi="Arial" w:cs="Arial"/>
        </w:rPr>
        <w:t>craccivora</w:t>
      </w:r>
      <w:proofErr w:type="spellEnd"/>
      <w:r w:rsidRPr="000E3F51">
        <w:rPr>
          <w:rFonts w:ascii="Arial" w:hAnsi="Arial" w:cs="Arial"/>
        </w:rPr>
        <w:t xml:space="preserve"> and </w:t>
      </w:r>
      <w:proofErr w:type="spellStart"/>
      <w:r w:rsidRPr="000E3F51">
        <w:rPr>
          <w:rStyle w:val="Emphasis"/>
          <w:rFonts w:ascii="Arial" w:hAnsi="Arial" w:cs="Arial"/>
        </w:rPr>
        <w:t>Plutella</w:t>
      </w:r>
      <w:proofErr w:type="spellEnd"/>
      <w:r w:rsidRPr="000E3F51">
        <w:rPr>
          <w:rStyle w:val="Emphasis"/>
          <w:rFonts w:ascii="Arial" w:hAnsi="Arial" w:cs="Arial"/>
        </w:rPr>
        <w:t xml:space="preserve"> </w:t>
      </w:r>
      <w:proofErr w:type="spellStart"/>
      <w:r w:rsidRPr="000E3F51">
        <w:rPr>
          <w:rStyle w:val="Emphasis"/>
          <w:rFonts w:ascii="Arial" w:hAnsi="Arial" w:cs="Arial"/>
        </w:rPr>
        <w:t>xylostella</w:t>
      </w:r>
      <w:proofErr w:type="spellEnd"/>
      <w:r w:rsidRPr="000E3F51">
        <w:rPr>
          <w:rFonts w:ascii="Arial" w:hAnsi="Arial" w:cs="Arial"/>
        </w:rPr>
        <w:t xml:space="preserve"> larvae </w:t>
      </w:r>
      <w:r w:rsidRPr="000E3F51">
        <w:rPr>
          <w:rFonts w:ascii="Arial" w:hAnsi="Arial" w:cs="Arial"/>
          <w:lang w:val="de-DE"/>
        </w:rPr>
        <w:fldChar w:fldCharType="begin"/>
      </w:r>
      <w:r w:rsidRPr="000E3F51">
        <w:rPr>
          <w:rFonts w:ascii="Arial" w:hAnsi="Arial" w:cs="Arial"/>
        </w:rPr>
        <w:instrText xml:space="preserve"> ADDIN ZOTERO_ITEM CSL_CITATION {"citationID":"1aYz5W4K","properties":{"formattedCitation":"(Thakshila et al., 2022b)","plainCitation":"(Thakshila et al., 2022b)","dontUpdate":true,"noteIndex":0},"citationItems":[{"id":157,"uris":["http://zotero.org/users/17035950/items/T9IKYHYU"],"itemData":{"id":157,"type":"article-journal","abstract":"Plant-derived insecticides represent one of the best alternatives to synthetic chemicals. In this study, aqueous leaf extracts of Calotropis gigantea (Euphorbiaceae) and Croton laccifera (Apocynaceae) on 1st (N1) and 2nd instar (N2) nymphs, and newly emerged apterous females (AF) of cowpea aphid Aphis craccivora (Koch) (Homoptera: Aphididae) was determined for their contact, residual and systemic toxicities, using Yard-long bean plants. Compared to the untreated controls, both leaf extracts affected survivorship of all aphid stages tested, as well as nymphal production of AF. Systemic and contact toxicity had a great impact on A. craccivora while no strong toxicity was detected in residual bioassay with the two plant extracts. Stronger effects were recorded in N1 compared to N2 and AF. In all three bioassays, C. gigantea outperformed C. laccifera in terms of mortality and reduction of fecundity. Botanical insecticides on the basis of leaf extracts of C. gigantea and C. laccifera are interesting candidates for integrated management of A. craccivora on Yard-long beans. Thus, further large-scale field trials with these compounds are warranted.","container-title":"International Journal of Tropical Insect Science","DOI":"10.1007/s42690-021-00632-2","ISSN":"1742-7592","issue":"2","journalAbbreviation":"Int J Trop Insect Sci","language":"en","page":"1165-1173","source":"Springer Link","title":"Potential toxic effects of aqueous leaf extracts of Calotropis gigantea and Croton laccifera against Aphis craccivora","volume":"42","author":[{"family":"Thakshila","given":"W. A. K. G."},{"family":"Dammini Premachandra","given":"W. T. S."},{"family":"Borgemeister","given":"Christian"}],"issued":{"date-parts":[["2022",4,1]]}}}],"schema":"https://github.com/citation-style-language/schema/raw/master/csl-citation.json"} </w:instrText>
      </w:r>
      <w:r w:rsidRPr="000E3F51">
        <w:rPr>
          <w:rFonts w:ascii="Arial" w:hAnsi="Arial" w:cs="Arial"/>
          <w:lang w:val="de-DE"/>
        </w:rPr>
        <w:fldChar w:fldCharType="separate"/>
      </w:r>
      <w:r w:rsidRPr="000E3F51">
        <w:rPr>
          <w:rFonts w:ascii="Arial" w:hAnsi="Arial" w:cs="Arial"/>
        </w:rPr>
        <w:t>(Thakshila et al., 2022)</w:t>
      </w:r>
      <w:r w:rsidRPr="000E3F51">
        <w:rPr>
          <w:rFonts w:ascii="Arial" w:hAnsi="Arial" w:cs="Arial"/>
          <w:lang w:val="de-DE"/>
        </w:rPr>
        <w:fldChar w:fldCharType="end"/>
      </w:r>
      <w:r w:rsidRPr="000E3F51">
        <w:rPr>
          <w:rFonts w:ascii="Arial" w:hAnsi="Arial" w:cs="Arial"/>
        </w:rPr>
        <w:t xml:space="preserve">. The activity is attributed to secondary metabolites such as alkaloids, saponins, terpenoids, flavonoids, tannins, and phenolics. Specifically, calotropin and calotoxin are known to exhibit insecticidal, antifeedant, and repellent activities, interfering with insect development and physiology </w:t>
      </w:r>
      <w:r w:rsidRPr="000E3F51">
        <w:rPr>
          <w:rFonts w:ascii="Arial" w:hAnsi="Arial" w:cs="Arial"/>
          <w:lang w:val="de-DE"/>
        </w:rPr>
        <w:fldChar w:fldCharType="begin"/>
      </w:r>
      <w:r w:rsidRPr="000E3F51">
        <w:rPr>
          <w:rFonts w:ascii="Arial" w:hAnsi="Arial" w:cs="Arial"/>
        </w:rPr>
        <w:instrText xml:space="preserve"> ADDIN ZOTERO_ITEM CSL_CITATION {"citationID":"4ptMyOjH","properties":{"formattedCitation":"(Ngegba et al., 2022b)","plainCitation":"(Ngegba et al., 2022b)","noteIndex":0},"citationItems":[{"id":155,"uris":["http://zotero.org/users/17035950/items/JV244N4H"],"itemData":{"id":155,"type":"article-journal","abstract":"Pest management is being confronted with immense economic and environmental issues worldwide because of massive utilization and over-reliance on pesticides. The non-target toxicity, residual consequence, and challenging biodegradability of these synthetic pesticides have become a serious concern, which urgently requires the alternative and prompt adoption of sustainable and cost-effective pest control measures. Increasing attention in environmental safety has triggered interest in pest control approaches through eco-friendly plant-based pesticides. Botanical pesticidal constituents are effective against myriads of destructive pests and diseases. More importantly, they are widely available, inexpensive, accessible, rapidly biodegradable, and have little toxicity to beneficiary agents. The phytochemical compositions in diverse plant species are responsible for their varying mechanisms of action against pests and diseases. However, difficulties in their formulation and insufficient appropriate chemical data have led to a low level of acceptance and adoption globally. Therefore, the review seeks to highlight the status, phytochemical compositions, insecticidal mechanisms, and challenges of plant-based pesticide usage in sustainable agricultural production.","container-title":"Agriculture","DOI":"10.3390/agriculture12050600","ISSN":"2077-0472","issue":"5","language":"en","license":"http://creativecommons.org/licenses/by/3.0/","note":"publisher: Multidisciplinary Digital Publishing Institute","page":"600","source":"www.mdpi.com","title":"Use of Botanical Pesticides in Agriculture as an Alternative to Synthetic Pesticides","volume":"12","author":[{"family":"Ngegba","given":"Patrick Maada"},{"family":"Cui","given":"Gaofeng"},{"family":"Khalid","given":"Muhammad Zaryab"},{"family":"Zhong","given":"Guohua"}],"issued":{"date-parts":[["2022",5]]}}}],"schema":"https://github.com/citation-style-language/schema/raw/master/csl-citation.json"} </w:instrText>
      </w:r>
      <w:r w:rsidRPr="000E3F51">
        <w:rPr>
          <w:rFonts w:ascii="Arial" w:hAnsi="Arial" w:cs="Arial"/>
          <w:lang w:val="de-DE"/>
        </w:rPr>
        <w:fldChar w:fldCharType="separate"/>
      </w:r>
      <w:r w:rsidRPr="000E3F51">
        <w:rPr>
          <w:rFonts w:ascii="Arial" w:hAnsi="Arial" w:cs="Arial"/>
        </w:rPr>
        <w:t>(Ngegba et al., 2022b)</w:t>
      </w:r>
      <w:r w:rsidRPr="000E3F51">
        <w:rPr>
          <w:rFonts w:ascii="Arial" w:hAnsi="Arial" w:cs="Arial"/>
          <w:lang w:val="de-DE"/>
        </w:rPr>
        <w:fldChar w:fldCharType="end"/>
      </w:r>
      <w:r w:rsidRPr="000E3F51">
        <w:rPr>
          <w:rFonts w:ascii="Arial" w:hAnsi="Arial" w:cs="Arial"/>
          <w:bCs/>
        </w:rPr>
        <w:t xml:space="preserve">.  </w:t>
      </w:r>
    </w:p>
    <w:p w14:paraId="10313787" w14:textId="77777777" w:rsidR="000E3F51" w:rsidRPr="000E3F51" w:rsidRDefault="000E3F51" w:rsidP="000E3F51">
      <w:pPr>
        <w:pStyle w:val="Heading3"/>
        <w:rPr>
          <w:rFonts w:ascii="Arial" w:eastAsia="Times New Roman" w:hAnsi="Arial" w:cs="Arial"/>
          <w:color w:val="auto"/>
          <w:sz w:val="20"/>
          <w:szCs w:val="20"/>
        </w:rPr>
      </w:pPr>
      <w:r w:rsidRPr="000E3F51">
        <w:rPr>
          <w:rFonts w:ascii="Arial" w:eastAsia="Times New Roman" w:hAnsi="Arial" w:cs="Arial"/>
          <w:color w:val="auto"/>
          <w:sz w:val="20"/>
          <w:szCs w:val="20"/>
        </w:rPr>
        <w:t xml:space="preserve">Population Density of </w:t>
      </w:r>
      <w:r w:rsidRPr="000E3F51">
        <w:rPr>
          <w:rFonts w:ascii="Arial" w:eastAsia="Times New Roman" w:hAnsi="Arial" w:cs="Arial"/>
          <w:i/>
          <w:iCs/>
          <w:color w:val="auto"/>
          <w:sz w:val="20"/>
          <w:szCs w:val="20"/>
        </w:rPr>
        <w:t>Aphis gossypii</w:t>
      </w:r>
    </w:p>
    <w:p w14:paraId="4B2C0145" w14:textId="77777777" w:rsidR="000E3F51" w:rsidRPr="000E3F51" w:rsidRDefault="000E3F51" w:rsidP="00F20601">
      <w:pPr>
        <w:spacing w:before="100" w:beforeAutospacing="1" w:after="100" w:afterAutospacing="1"/>
        <w:ind w:firstLine="720"/>
        <w:jc w:val="both"/>
        <w:rPr>
          <w:rFonts w:ascii="Arial" w:hAnsi="Arial" w:cs="Arial"/>
        </w:rPr>
      </w:pPr>
      <w:r w:rsidRPr="000E3F51">
        <w:rPr>
          <w:rFonts w:ascii="Arial" w:hAnsi="Arial" w:cs="Arial"/>
        </w:rPr>
        <w:t xml:space="preserve">Mean population density of </w:t>
      </w:r>
      <w:r w:rsidRPr="000E3F51">
        <w:rPr>
          <w:rFonts w:ascii="Arial" w:hAnsi="Arial" w:cs="Arial"/>
          <w:i/>
        </w:rPr>
        <w:t>A. gossypii</w:t>
      </w:r>
      <w:r w:rsidRPr="000E3F51">
        <w:rPr>
          <w:rFonts w:ascii="Arial" w:hAnsi="Arial" w:cs="Arial"/>
        </w:rPr>
        <w:t xml:space="preserve"> (Table 2.) revealed a significant reduction in aphid density with increasing extract doses. The negative control (untreated) showed a population increase from 13.4 to 25.3 individuals per plant over the 62-day observation period. Positive control using a synthetic </w:t>
      </w:r>
      <w:proofErr w:type="gramStart"/>
      <w:r w:rsidRPr="000E3F51">
        <w:rPr>
          <w:rFonts w:ascii="Arial" w:hAnsi="Arial" w:cs="Arial"/>
        </w:rPr>
        <w:t>insecticide maintained</w:t>
      </w:r>
      <w:proofErr w:type="gramEnd"/>
      <w:r w:rsidRPr="000E3F51">
        <w:rPr>
          <w:rFonts w:ascii="Arial" w:hAnsi="Arial" w:cs="Arial"/>
        </w:rPr>
        <w:t xml:space="preserve"> aphid populations between 7.4 and 12.3 individuals. Low-dose treatments (K1 and K2) caused moderate reductions, while high-dose treatments (K3 and K4) resulted in lower aphid densities (7.8–10.9 individuals), comparable to the synthetic insecticide control.</w:t>
      </w:r>
    </w:p>
    <w:p w14:paraId="72399BFD" w14:textId="77777777" w:rsidR="000E3F51" w:rsidRPr="000E3F51" w:rsidRDefault="000E3F51" w:rsidP="000E3F51">
      <w:pPr>
        <w:widowControl w:val="0"/>
        <w:autoSpaceDE w:val="0"/>
        <w:autoSpaceDN w:val="0"/>
        <w:outlineLvl w:val="1"/>
        <w:rPr>
          <w:rFonts w:ascii="Arial" w:hAnsi="Arial" w:cs="Arial"/>
          <w:i/>
        </w:rPr>
      </w:pPr>
      <w:r w:rsidRPr="000E3F51">
        <w:rPr>
          <w:rFonts w:ascii="Arial" w:hAnsi="Arial" w:cs="Arial"/>
        </w:rPr>
        <w:t xml:space="preserve">Table 2. Mean population density of </w:t>
      </w:r>
      <w:r w:rsidRPr="000E3F51">
        <w:rPr>
          <w:rFonts w:ascii="Arial" w:hAnsi="Arial" w:cs="Arial"/>
          <w:i/>
        </w:rPr>
        <w:t>Aphis gossypii</w:t>
      </w:r>
      <w:r w:rsidRPr="000E3F51">
        <w:rPr>
          <w:rFonts w:ascii="Arial" w:hAnsi="Arial" w:cs="Arial"/>
        </w:rPr>
        <w:t xml:space="preserve"> at different doses of </w:t>
      </w:r>
      <w:r w:rsidRPr="000E3F51">
        <w:rPr>
          <w:rFonts w:ascii="Arial" w:hAnsi="Arial" w:cs="Arial"/>
          <w:i/>
        </w:rPr>
        <w:t>Calotropis</w:t>
      </w:r>
    </w:p>
    <w:p w14:paraId="272236A4" w14:textId="77777777" w:rsidR="000E3F51" w:rsidRPr="000E3F51" w:rsidRDefault="000E3F51" w:rsidP="000E3F51">
      <w:pPr>
        <w:widowControl w:val="0"/>
        <w:autoSpaceDE w:val="0"/>
        <w:autoSpaceDN w:val="0"/>
        <w:ind w:firstLine="720"/>
        <w:outlineLvl w:val="1"/>
        <w:rPr>
          <w:rFonts w:ascii="Arial" w:hAnsi="Arial" w:cs="Arial"/>
        </w:rPr>
      </w:pPr>
      <w:r w:rsidRPr="000E3F51">
        <w:rPr>
          <w:rFonts w:ascii="Arial" w:hAnsi="Arial" w:cs="Arial"/>
          <w:i/>
        </w:rPr>
        <w:t xml:space="preserve">  gigantea</w:t>
      </w:r>
      <w:r w:rsidRPr="000E3F51">
        <w:rPr>
          <w:rFonts w:ascii="Arial" w:hAnsi="Arial" w:cs="Arial"/>
        </w:rPr>
        <w:t xml:space="preserve"> leaf extract on chili pepper plants</w:t>
      </w:r>
    </w:p>
    <w:tbl>
      <w:tblPr>
        <w:tblStyle w:val="Style1"/>
        <w:tblpPr w:leftFromText="180" w:rightFromText="180" w:vertAnchor="text" w:horzAnchor="margin" w:tblpY="157"/>
        <w:tblW w:w="0" w:type="auto"/>
        <w:tblBorders>
          <w:top w:val="single" w:sz="4" w:space="0" w:color="auto"/>
        </w:tblBorders>
        <w:tblLook w:val="04A0" w:firstRow="1" w:lastRow="0" w:firstColumn="1" w:lastColumn="0" w:noHBand="0" w:noVBand="1"/>
      </w:tblPr>
      <w:tblGrid>
        <w:gridCol w:w="1243"/>
        <w:gridCol w:w="1150"/>
        <w:gridCol w:w="1163"/>
        <w:gridCol w:w="1163"/>
        <w:gridCol w:w="1163"/>
        <w:gridCol w:w="1163"/>
        <w:gridCol w:w="1163"/>
      </w:tblGrid>
      <w:tr w:rsidR="000E3F51" w:rsidRPr="000E3F51" w14:paraId="5887AA79" w14:textId="77777777" w:rsidTr="00413E13">
        <w:tc>
          <w:tcPr>
            <w:tcW w:w="1258" w:type="dxa"/>
            <w:vMerge w:val="restart"/>
          </w:tcPr>
          <w:p w14:paraId="66970379"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Treatment dose (g/L)</w:t>
            </w:r>
          </w:p>
        </w:tc>
        <w:tc>
          <w:tcPr>
            <w:tcW w:w="7229" w:type="dxa"/>
            <w:gridSpan w:val="6"/>
            <w:tcBorders>
              <w:bottom w:val="single" w:sz="4" w:space="0" w:color="auto"/>
            </w:tcBorders>
          </w:tcPr>
          <w:p w14:paraId="4A6D2740"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hAnsi="Arial" w:cs="Arial"/>
                <w:sz w:val="20"/>
                <w:szCs w:val="20"/>
              </w:rPr>
              <w:t>Population density (individuals).</w:t>
            </w:r>
          </w:p>
        </w:tc>
      </w:tr>
      <w:tr w:rsidR="000E3F51" w:rsidRPr="000E3F51" w14:paraId="36F666FB" w14:textId="77777777" w:rsidTr="00413E13">
        <w:tc>
          <w:tcPr>
            <w:tcW w:w="1258" w:type="dxa"/>
            <w:vMerge/>
          </w:tcPr>
          <w:p w14:paraId="67A3D732" w14:textId="77777777" w:rsidR="000E3F51" w:rsidRPr="000E3F51" w:rsidRDefault="000E3F51" w:rsidP="00413E13">
            <w:pPr>
              <w:widowControl w:val="0"/>
              <w:autoSpaceDE w:val="0"/>
              <w:autoSpaceDN w:val="0"/>
              <w:outlineLvl w:val="1"/>
              <w:rPr>
                <w:rFonts w:ascii="Arial" w:eastAsia="Times New Roman" w:hAnsi="Arial" w:cs="Arial"/>
                <w:sz w:val="20"/>
                <w:szCs w:val="20"/>
              </w:rPr>
            </w:pPr>
          </w:p>
        </w:tc>
        <w:tc>
          <w:tcPr>
            <w:tcW w:w="7229" w:type="dxa"/>
            <w:gridSpan w:val="6"/>
            <w:tcBorders>
              <w:top w:val="single" w:sz="4" w:space="0" w:color="auto"/>
              <w:bottom w:val="single" w:sz="4" w:space="0" w:color="auto"/>
            </w:tcBorders>
          </w:tcPr>
          <w:p w14:paraId="138380F1"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Observation time (days)</w:t>
            </w:r>
          </w:p>
        </w:tc>
      </w:tr>
      <w:tr w:rsidR="000E3F51" w:rsidRPr="000E3F51" w14:paraId="285A0E7C" w14:textId="77777777" w:rsidTr="00413E13">
        <w:tc>
          <w:tcPr>
            <w:tcW w:w="1258" w:type="dxa"/>
            <w:vMerge/>
            <w:tcBorders>
              <w:bottom w:val="single" w:sz="4" w:space="0" w:color="auto"/>
            </w:tcBorders>
          </w:tcPr>
          <w:p w14:paraId="25D98553" w14:textId="77777777" w:rsidR="000E3F51" w:rsidRPr="000E3F51" w:rsidRDefault="000E3F51" w:rsidP="00413E13">
            <w:pPr>
              <w:widowControl w:val="0"/>
              <w:autoSpaceDE w:val="0"/>
              <w:autoSpaceDN w:val="0"/>
              <w:outlineLvl w:val="1"/>
              <w:rPr>
                <w:rFonts w:ascii="Arial" w:eastAsia="Times New Roman" w:hAnsi="Arial" w:cs="Arial"/>
                <w:sz w:val="20"/>
                <w:szCs w:val="20"/>
                <w:lang w:val="de-DE"/>
              </w:rPr>
            </w:pPr>
          </w:p>
        </w:tc>
        <w:tc>
          <w:tcPr>
            <w:tcW w:w="1204" w:type="dxa"/>
            <w:tcBorders>
              <w:top w:val="single" w:sz="4" w:space="0" w:color="auto"/>
              <w:bottom w:val="single" w:sz="4" w:space="0" w:color="auto"/>
            </w:tcBorders>
          </w:tcPr>
          <w:p w14:paraId="24DC885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27</w:t>
            </w:r>
          </w:p>
        </w:tc>
        <w:tc>
          <w:tcPr>
            <w:tcW w:w="1205" w:type="dxa"/>
            <w:tcBorders>
              <w:top w:val="single" w:sz="4" w:space="0" w:color="auto"/>
              <w:bottom w:val="single" w:sz="4" w:space="0" w:color="auto"/>
            </w:tcBorders>
          </w:tcPr>
          <w:p w14:paraId="3B67142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34</w:t>
            </w:r>
          </w:p>
        </w:tc>
        <w:tc>
          <w:tcPr>
            <w:tcW w:w="1205" w:type="dxa"/>
            <w:tcBorders>
              <w:top w:val="single" w:sz="4" w:space="0" w:color="auto"/>
              <w:bottom w:val="single" w:sz="4" w:space="0" w:color="auto"/>
            </w:tcBorders>
          </w:tcPr>
          <w:p w14:paraId="7C7CC58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41</w:t>
            </w:r>
          </w:p>
        </w:tc>
        <w:tc>
          <w:tcPr>
            <w:tcW w:w="1205" w:type="dxa"/>
            <w:tcBorders>
              <w:top w:val="single" w:sz="4" w:space="0" w:color="auto"/>
              <w:bottom w:val="single" w:sz="4" w:space="0" w:color="auto"/>
            </w:tcBorders>
          </w:tcPr>
          <w:p w14:paraId="59B2B012"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48</w:t>
            </w:r>
          </w:p>
        </w:tc>
        <w:tc>
          <w:tcPr>
            <w:tcW w:w="1205" w:type="dxa"/>
            <w:tcBorders>
              <w:top w:val="single" w:sz="4" w:space="0" w:color="auto"/>
              <w:bottom w:val="single" w:sz="4" w:space="0" w:color="auto"/>
            </w:tcBorders>
          </w:tcPr>
          <w:p w14:paraId="37198F43"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55</w:t>
            </w:r>
          </w:p>
        </w:tc>
        <w:tc>
          <w:tcPr>
            <w:tcW w:w="1205" w:type="dxa"/>
            <w:tcBorders>
              <w:top w:val="single" w:sz="4" w:space="0" w:color="auto"/>
              <w:bottom w:val="single" w:sz="4" w:space="0" w:color="auto"/>
            </w:tcBorders>
          </w:tcPr>
          <w:p w14:paraId="6A99C651"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62</w:t>
            </w:r>
          </w:p>
        </w:tc>
      </w:tr>
      <w:tr w:rsidR="000E3F51" w:rsidRPr="000E3F51" w14:paraId="6E4AFF2B" w14:textId="77777777" w:rsidTr="00413E13">
        <w:tc>
          <w:tcPr>
            <w:tcW w:w="1258" w:type="dxa"/>
            <w:tcBorders>
              <w:top w:val="single" w:sz="4" w:space="0" w:color="auto"/>
            </w:tcBorders>
          </w:tcPr>
          <w:p w14:paraId="21EA6498"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single" w:sz="4" w:space="0" w:color="auto"/>
            </w:tcBorders>
          </w:tcPr>
          <w:p w14:paraId="3821E1E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13.4b</w:t>
            </w:r>
          </w:p>
        </w:tc>
        <w:tc>
          <w:tcPr>
            <w:tcW w:w="1205" w:type="dxa"/>
            <w:tcBorders>
              <w:top w:val="single" w:sz="4" w:space="0" w:color="auto"/>
            </w:tcBorders>
          </w:tcPr>
          <w:p w14:paraId="06E3333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13.6b</w:t>
            </w:r>
          </w:p>
        </w:tc>
        <w:tc>
          <w:tcPr>
            <w:tcW w:w="1205" w:type="dxa"/>
            <w:tcBorders>
              <w:top w:val="single" w:sz="4" w:space="0" w:color="auto"/>
            </w:tcBorders>
          </w:tcPr>
          <w:p w14:paraId="553124A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15.1b</w:t>
            </w:r>
          </w:p>
        </w:tc>
        <w:tc>
          <w:tcPr>
            <w:tcW w:w="1205" w:type="dxa"/>
            <w:tcBorders>
              <w:top w:val="single" w:sz="4" w:space="0" w:color="auto"/>
            </w:tcBorders>
          </w:tcPr>
          <w:p w14:paraId="595788F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18.8c</w:t>
            </w:r>
          </w:p>
        </w:tc>
        <w:tc>
          <w:tcPr>
            <w:tcW w:w="1205" w:type="dxa"/>
            <w:tcBorders>
              <w:top w:val="single" w:sz="4" w:space="0" w:color="auto"/>
            </w:tcBorders>
          </w:tcPr>
          <w:p w14:paraId="0E2F0A7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20.9c</w:t>
            </w:r>
          </w:p>
        </w:tc>
        <w:tc>
          <w:tcPr>
            <w:tcW w:w="1205" w:type="dxa"/>
            <w:tcBorders>
              <w:top w:val="single" w:sz="4" w:space="0" w:color="auto"/>
            </w:tcBorders>
          </w:tcPr>
          <w:p w14:paraId="3DB1EFD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25.3c</w:t>
            </w:r>
          </w:p>
        </w:tc>
      </w:tr>
      <w:tr w:rsidR="000E3F51" w:rsidRPr="000E3F51" w14:paraId="317534DD" w14:textId="77777777" w:rsidTr="00413E13">
        <w:tc>
          <w:tcPr>
            <w:tcW w:w="1258" w:type="dxa"/>
            <w:tcBorders>
              <w:top w:val="nil"/>
            </w:tcBorders>
          </w:tcPr>
          <w:p w14:paraId="4E2BFC52"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nil"/>
            </w:tcBorders>
          </w:tcPr>
          <w:p w14:paraId="087BBE9E"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12.3b</w:t>
            </w:r>
          </w:p>
        </w:tc>
        <w:tc>
          <w:tcPr>
            <w:tcW w:w="1205" w:type="dxa"/>
            <w:tcBorders>
              <w:top w:val="nil"/>
            </w:tcBorders>
          </w:tcPr>
          <w:p w14:paraId="0E4C6B4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8.7a</w:t>
            </w:r>
          </w:p>
        </w:tc>
        <w:tc>
          <w:tcPr>
            <w:tcW w:w="1205" w:type="dxa"/>
            <w:tcBorders>
              <w:top w:val="nil"/>
            </w:tcBorders>
          </w:tcPr>
          <w:p w14:paraId="24BD096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8.6a</w:t>
            </w:r>
          </w:p>
        </w:tc>
        <w:tc>
          <w:tcPr>
            <w:tcW w:w="1205" w:type="dxa"/>
            <w:tcBorders>
              <w:top w:val="nil"/>
            </w:tcBorders>
          </w:tcPr>
          <w:p w14:paraId="031F1A4D"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7.5a</w:t>
            </w:r>
          </w:p>
        </w:tc>
        <w:tc>
          <w:tcPr>
            <w:tcW w:w="1205" w:type="dxa"/>
            <w:tcBorders>
              <w:top w:val="nil"/>
            </w:tcBorders>
          </w:tcPr>
          <w:p w14:paraId="5B40B9F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7.4a</w:t>
            </w:r>
          </w:p>
        </w:tc>
        <w:tc>
          <w:tcPr>
            <w:tcW w:w="1205" w:type="dxa"/>
            <w:tcBorders>
              <w:top w:val="nil"/>
            </w:tcBorders>
          </w:tcPr>
          <w:p w14:paraId="5D2A0E5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8.2a</w:t>
            </w:r>
          </w:p>
        </w:tc>
      </w:tr>
      <w:tr w:rsidR="000E3F51" w:rsidRPr="000E3F51" w14:paraId="401A822B" w14:textId="77777777" w:rsidTr="00413E13">
        <w:tc>
          <w:tcPr>
            <w:tcW w:w="1258" w:type="dxa"/>
            <w:tcBorders>
              <w:top w:val="nil"/>
            </w:tcBorders>
          </w:tcPr>
          <w:p w14:paraId="7879D587"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K1</w:t>
            </w:r>
          </w:p>
        </w:tc>
        <w:tc>
          <w:tcPr>
            <w:tcW w:w="1204" w:type="dxa"/>
            <w:tcBorders>
              <w:top w:val="nil"/>
            </w:tcBorders>
          </w:tcPr>
          <w:p w14:paraId="750194AD"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12.9b</w:t>
            </w:r>
          </w:p>
        </w:tc>
        <w:tc>
          <w:tcPr>
            <w:tcW w:w="1205" w:type="dxa"/>
            <w:tcBorders>
              <w:top w:val="nil"/>
            </w:tcBorders>
          </w:tcPr>
          <w:p w14:paraId="58B19B9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11.3ab</w:t>
            </w:r>
          </w:p>
        </w:tc>
        <w:tc>
          <w:tcPr>
            <w:tcW w:w="1205" w:type="dxa"/>
            <w:tcBorders>
              <w:top w:val="nil"/>
            </w:tcBorders>
          </w:tcPr>
          <w:p w14:paraId="30ABF675"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12.8ab</w:t>
            </w:r>
          </w:p>
        </w:tc>
        <w:tc>
          <w:tcPr>
            <w:tcW w:w="1205" w:type="dxa"/>
            <w:tcBorders>
              <w:top w:val="nil"/>
            </w:tcBorders>
          </w:tcPr>
          <w:p w14:paraId="501ABC39"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13.6b</w:t>
            </w:r>
          </w:p>
        </w:tc>
        <w:tc>
          <w:tcPr>
            <w:tcW w:w="1205" w:type="dxa"/>
            <w:tcBorders>
              <w:top w:val="nil"/>
            </w:tcBorders>
          </w:tcPr>
          <w:p w14:paraId="2CB3A8C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12.6b</w:t>
            </w:r>
          </w:p>
        </w:tc>
        <w:tc>
          <w:tcPr>
            <w:tcW w:w="1205" w:type="dxa"/>
            <w:tcBorders>
              <w:top w:val="nil"/>
            </w:tcBorders>
          </w:tcPr>
          <w:p w14:paraId="035DC9F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12.6b</w:t>
            </w:r>
          </w:p>
        </w:tc>
      </w:tr>
      <w:tr w:rsidR="000E3F51" w:rsidRPr="000E3F51" w14:paraId="3D2F6F9F" w14:textId="77777777" w:rsidTr="00413E13">
        <w:tc>
          <w:tcPr>
            <w:tcW w:w="1258" w:type="dxa"/>
            <w:tcBorders>
              <w:top w:val="nil"/>
            </w:tcBorders>
          </w:tcPr>
          <w:p w14:paraId="5400793F"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K2</w:t>
            </w:r>
          </w:p>
        </w:tc>
        <w:tc>
          <w:tcPr>
            <w:tcW w:w="1204" w:type="dxa"/>
            <w:tcBorders>
              <w:top w:val="nil"/>
            </w:tcBorders>
          </w:tcPr>
          <w:p w14:paraId="3138469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13.8b</w:t>
            </w:r>
          </w:p>
        </w:tc>
        <w:tc>
          <w:tcPr>
            <w:tcW w:w="1205" w:type="dxa"/>
            <w:tcBorders>
              <w:top w:val="nil"/>
            </w:tcBorders>
          </w:tcPr>
          <w:p w14:paraId="56FA085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11.2ab</w:t>
            </w:r>
          </w:p>
        </w:tc>
        <w:tc>
          <w:tcPr>
            <w:tcW w:w="1205" w:type="dxa"/>
            <w:tcBorders>
              <w:top w:val="nil"/>
            </w:tcBorders>
          </w:tcPr>
          <w:p w14:paraId="511EF5D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13.7ab</w:t>
            </w:r>
          </w:p>
        </w:tc>
        <w:tc>
          <w:tcPr>
            <w:tcW w:w="1205" w:type="dxa"/>
            <w:tcBorders>
              <w:top w:val="nil"/>
            </w:tcBorders>
          </w:tcPr>
          <w:p w14:paraId="2BCA9CE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11.6ab</w:t>
            </w:r>
          </w:p>
        </w:tc>
        <w:tc>
          <w:tcPr>
            <w:tcW w:w="1205" w:type="dxa"/>
            <w:tcBorders>
              <w:top w:val="nil"/>
            </w:tcBorders>
          </w:tcPr>
          <w:p w14:paraId="16F1918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10.4ab</w:t>
            </w:r>
          </w:p>
        </w:tc>
        <w:tc>
          <w:tcPr>
            <w:tcW w:w="1205" w:type="dxa"/>
            <w:tcBorders>
              <w:top w:val="nil"/>
            </w:tcBorders>
          </w:tcPr>
          <w:p w14:paraId="4C67979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11.1ab</w:t>
            </w:r>
          </w:p>
        </w:tc>
      </w:tr>
      <w:tr w:rsidR="000E3F51" w:rsidRPr="000E3F51" w14:paraId="22DABFA0" w14:textId="77777777" w:rsidTr="00413E13">
        <w:tc>
          <w:tcPr>
            <w:tcW w:w="1258" w:type="dxa"/>
            <w:tcBorders>
              <w:top w:val="nil"/>
              <w:bottom w:val="nil"/>
            </w:tcBorders>
          </w:tcPr>
          <w:p w14:paraId="5FD9F29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K3</w:t>
            </w:r>
          </w:p>
        </w:tc>
        <w:tc>
          <w:tcPr>
            <w:tcW w:w="1204" w:type="dxa"/>
            <w:tcBorders>
              <w:top w:val="nil"/>
              <w:bottom w:val="nil"/>
            </w:tcBorders>
          </w:tcPr>
          <w:p w14:paraId="473C5DCD"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nil"/>
            </w:tcBorders>
          </w:tcPr>
          <w:p w14:paraId="71E75E3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9.5ab</w:t>
            </w:r>
          </w:p>
        </w:tc>
        <w:tc>
          <w:tcPr>
            <w:tcW w:w="1205" w:type="dxa"/>
            <w:tcBorders>
              <w:top w:val="nil"/>
              <w:bottom w:val="nil"/>
            </w:tcBorders>
          </w:tcPr>
          <w:p w14:paraId="5416F8B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nil"/>
            </w:tcBorders>
          </w:tcPr>
          <w:p w14:paraId="104F708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9.2ab</w:t>
            </w:r>
          </w:p>
        </w:tc>
        <w:tc>
          <w:tcPr>
            <w:tcW w:w="1205" w:type="dxa"/>
            <w:tcBorders>
              <w:top w:val="nil"/>
              <w:bottom w:val="nil"/>
            </w:tcBorders>
          </w:tcPr>
          <w:p w14:paraId="529B9BF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9.3ab</w:t>
            </w:r>
          </w:p>
        </w:tc>
        <w:tc>
          <w:tcPr>
            <w:tcW w:w="1205" w:type="dxa"/>
            <w:tcBorders>
              <w:top w:val="nil"/>
              <w:bottom w:val="nil"/>
            </w:tcBorders>
          </w:tcPr>
          <w:p w14:paraId="36BA444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9.5ab</w:t>
            </w:r>
          </w:p>
        </w:tc>
      </w:tr>
      <w:tr w:rsidR="000E3F51" w:rsidRPr="000E3F51" w14:paraId="2A1FB632" w14:textId="77777777" w:rsidTr="00413E13">
        <w:tc>
          <w:tcPr>
            <w:tcW w:w="1258" w:type="dxa"/>
            <w:tcBorders>
              <w:top w:val="nil"/>
              <w:bottom w:val="single" w:sz="4" w:space="0" w:color="auto"/>
            </w:tcBorders>
          </w:tcPr>
          <w:p w14:paraId="3CF61074"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K4</w:t>
            </w:r>
          </w:p>
        </w:tc>
        <w:tc>
          <w:tcPr>
            <w:tcW w:w="1204" w:type="dxa"/>
            <w:tcBorders>
              <w:top w:val="nil"/>
              <w:bottom w:val="single" w:sz="4" w:space="0" w:color="auto"/>
            </w:tcBorders>
          </w:tcPr>
          <w:p w14:paraId="46E1F5E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single" w:sz="4" w:space="0" w:color="auto"/>
            </w:tcBorders>
          </w:tcPr>
          <w:p w14:paraId="65A2740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9.3ab</w:t>
            </w:r>
          </w:p>
        </w:tc>
        <w:tc>
          <w:tcPr>
            <w:tcW w:w="1205" w:type="dxa"/>
            <w:tcBorders>
              <w:top w:val="nil"/>
              <w:bottom w:val="single" w:sz="4" w:space="0" w:color="auto"/>
            </w:tcBorders>
          </w:tcPr>
          <w:p w14:paraId="24493E3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10.9ab</w:t>
            </w:r>
          </w:p>
        </w:tc>
        <w:tc>
          <w:tcPr>
            <w:tcW w:w="1205" w:type="dxa"/>
            <w:tcBorders>
              <w:top w:val="nil"/>
              <w:bottom w:val="single" w:sz="4" w:space="0" w:color="auto"/>
            </w:tcBorders>
          </w:tcPr>
          <w:p w14:paraId="28E423B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8.1a</w:t>
            </w:r>
          </w:p>
        </w:tc>
        <w:tc>
          <w:tcPr>
            <w:tcW w:w="1205" w:type="dxa"/>
            <w:tcBorders>
              <w:top w:val="nil"/>
              <w:bottom w:val="single" w:sz="4" w:space="0" w:color="auto"/>
            </w:tcBorders>
          </w:tcPr>
          <w:p w14:paraId="5339E5C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7.8a</w:t>
            </w:r>
          </w:p>
        </w:tc>
        <w:tc>
          <w:tcPr>
            <w:tcW w:w="1205" w:type="dxa"/>
            <w:tcBorders>
              <w:top w:val="nil"/>
              <w:bottom w:val="single" w:sz="4" w:space="0" w:color="auto"/>
            </w:tcBorders>
          </w:tcPr>
          <w:p w14:paraId="6F3046F9"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8.0a</w:t>
            </w:r>
          </w:p>
        </w:tc>
      </w:tr>
    </w:tbl>
    <w:p w14:paraId="1D9D59AF" w14:textId="77777777" w:rsidR="000E3F51" w:rsidRPr="000E3F51" w:rsidRDefault="000E3F51" w:rsidP="000E3F51">
      <w:pPr>
        <w:widowControl w:val="0"/>
        <w:autoSpaceDE w:val="0"/>
        <w:autoSpaceDN w:val="0"/>
        <w:ind w:left="720"/>
        <w:outlineLvl w:val="1"/>
        <w:rPr>
          <w:rFonts w:ascii="Arial" w:hAnsi="Arial" w:cs="Arial"/>
          <w:lang w:val="de-DE"/>
        </w:rPr>
      </w:pPr>
    </w:p>
    <w:p w14:paraId="388646EC" w14:textId="77777777" w:rsidR="000E3F51" w:rsidRPr="000E3F51" w:rsidRDefault="000E3F51" w:rsidP="000E3F51">
      <w:pPr>
        <w:widowControl w:val="0"/>
        <w:autoSpaceDE w:val="0"/>
        <w:autoSpaceDN w:val="0"/>
        <w:ind w:left="567" w:hanging="567"/>
        <w:outlineLvl w:val="1"/>
        <w:rPr>
          <w:rFonts w:ascii="Arial" w:hAnsi="Arial" w:cs="Arial"/>
        </w:rPr>
      </w:pPr>
      <w:r w:rsidRPr="000E3F51">
        <w:rPr>
          <w:rFonts w:ascii="Arial" w:hAnsi="Arial" w:cs="Arial"/>
        </w:rPr>
        <w:t xml:space="preserve">Note: Values followed by the same letter within a column are not significantly different according to DMRT at the 5% significance level. K− = Negative control, K+ = Synthetic insecticide, C = </w:t>
      </w:r>
      <w:r w:rsidRPr="000E3F51">
        <w:rPr>
          <w:rFonts w:ascii="Arial" w:hAnsi="Arial" w:cs="Arial"/>
          <w:i/>
        </w:rPr>
        <w:t>Calotropis gigantea</w:t>
      </w:r>
      <w:r w:rsidRPr="000E3F51">
        <w:rPr>
          <w:rFonts w:ascii="Arial" w:hAnsi="Arial" w:cs="Arial"/>
        </w:rPr>
        <w:t xml:space="preserve"> extract.</w:t>
      </w:r>
    </w:p>
    <w:p w14:paraId="0D8F7177" w14:textId="77777777" w:rsidR="00F20601" w:rsidRDefault="00F20601" w:rsidP="000E3F51">
      <w:pPr>
        <w:spacing w:line="360" w:lineRule="auto"/>
        <w:ind w:firstLine="720"/>
        <w:jc w:val="both"/>
        <w:rPr>
          <w:rFonts w:ascii="Arial" w:hAnsi="Arial" w:cs="Arial"/>
        </w:rPr>
      </w:pPr>
    </w:p>
    <w:p w14:paraId="125B95FE" w14:textId="5D1BC633" w:rsidR="000E3F51" w:rsidRPr="000E3F51" w:rsidRDefault="000E3F51" w:rsidP="00F20601">
      <w:pPr>
        <w:ind w:firstLine="720"/>
        <w:jc w:val="both"/>
        <w:rPr>
          <w:rFonts w:ascii="Arial" w:hAnsi="Arial" w:cs="Arial"/>
        </w:rPr>
      </w:pPr>
      <w:r w:rsidRPr="000E3F51">
        <w:rPr>
          <w:rFonts w:ascii="Arial" w:hAnsi="Arial" w:cs="Arial"/>
        </w:rPr>
        <w:t xml:space="preserve">The reduction in aphid populations is likely mediated by the combined toxic and antifeedant effects of secondary metabolites, including alkaloids and terpenoids that disrupt insect nervous system and enzymatic functions, saponins acting as feeding deterrents, and tannins/flavonoids interfering with nutrient absorption </w:t>
      </w:r>
      <w:r w:rsidRPr="000E3F51">
        <w:rPr>
          <w:rFonts w:ascii="Arial" w:hAnsi="Arial" w:cs="Arial"/>
        </w:rPr>
        <w:fldChar w:fldCharType="begin"/>
      </w:r>
      <w:r w:rsidRPr="000E3F51">
        <w:rPr>
          <w:rFonts w:ascii="Arial" w:hAnsi="Arial" w:cs="Arial"/>
        </w:rPr>
        <w:instrText xml:space="preserve"> ADDIN ZOTERO_ITEM CSL_CITATION {"citationID":"RTZpfDms","properties":{"formattedCitation":"(Khasanah et al., 2021; Ullah &amp; Wiedmer, 2025)","plainCitation":"(Khasanah et al., 2021; Ullah &amp; Wiedmer, 2025)","noteIndex":0},"citationItems":[{"id":10,"uris":["http://zotero.org/users/17035950/items/DI6MILUH"],"itemData":{"id":10,"type":"article-journal","abstract":"Many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Andi"},{"family":"Wijonarko","given":"Arman"}],"issued":{"date-parts":[["2021",12,21]]}}},{"id":5,"uris":["http://zotero.org/users/17035950/items/RL95S3LZ"],"itemData":{"id":5,"type":"article-journal","abstract":"The growing demand for eco-friendly bio-based agrochemicals with lower health hazards and optimal pest management options boosts the production and utilization of biopesticides. This review provides a comprehensive overview of two toxic weed species Datura alba (Solanaceae family), and Calotropis gigantea (Asclepiadaceae family) with a specific focus on extraction with various solvents, phytochemistry, and biopesticidal activities. The data presented in this article shows that these two toxic weeds species have been studied and reported for biopesticidal activities like antifeedant, ovicidal, insecticidal, larvicidal, antibacterial, and repelling ability against various insects/crop pests. Phytochemical analysis shows that these two weed species have distinct biochemical profiles. However, studies lack systematic screening of the biochemical profiles. In addition, the review highlights the gaps in previous research and suggests that there is a need for well-detailed phytochemical profiling, spectrum of action and mode of action for the future use of these weed plants in the development of biological control agents.","container-title":"Crop Protection","DOI":"10.1016/j.cropro.2024.107009","ISSN":"0261-2194","journalAbbreviation":"Crop Protection","page":"107009","source":"ScienceDirect","title":"Potential biopesticides from &lt;i&gt;Datura alba&lt;/i&gt; and &lt;i&gt;Calotropis gigantea&lt;/i&gt;: Extraction, analysis, and reported compounds","title-short":"Potential biopesticides from &lt;i&gt;Datura alba&lt;/i&gt; and &lt;i&gt;Calotropis gigantea&lt;/i&gt;","volume":"188","author":[{"family":"Ullah","given":"Rahim"},{"family":"Wiedmer","given":"Susanne K."}],"issued":{"date-parts":[["2025",2,1]]}}}],"schema":"https://github.com/citation-style-language/schema/raw/master/csl-citation.json"} </w:instrText>
      </w:r>
      <w:r w:rsidRPr="000E3F51">
        <w:rPr>
          <w:rFonts w:ascii="Arial" w:hAnsi="Arial" w:cs="Arial"/>
        </w:rPr>
        <w:fldChar w:fldCharType="separate"/>
      </w:r>
      <w:r w:rsidRPr="000E3F51">
        <w:rPr>
          <w:rFonts w:ascii="Arial" w:hAnsi="Arial" w:cs="Arial"/>
        </w:rPr>
        <w:t>(Khasanah et al., 2021; Ullah &amp; Wiedmer, 2025)</w:t>
      </w:r>
      <w:r w:rsidRPr="000E3F51">
        <w:rPr>
          <w:rFonts w:ascii="Arial" w:hAnsi="Arial" w:cs="Arial"/>
        </w:rPr>
        <w:fldChar w:fldCharType="end"/>
      </w:r>
      <w:r w:rsidRPr="000E3F51">
        <w:rPr>
          <w:rFonts w:ascii="Arial" w:hAnsi="Arial" w:cs="Arial"/>
        </w:rPr>
        <w:t>. These mechanisms collectively contribute to gradual suppression of aphid populations at higher extract concentrations</w:t>
      </w:r>
    </w:p>
    <w:p w14:paraId="5E95E4F9" w14:textId="77777777" w:rsidR="000E3F51" w:rsidRPr="000E3F51" w:rsidRDefault="000E3F51" w:rsidP="00F20601">
      <w:pPr>
        <w:spacing w:before="100" w:beforeAutospacing="1" w:after="100" w:afterAutospacing="1"/>
        <w:rPr>
          <w:rFonts w:ascii="Arial" w:hAnsi="Arial" w:cs="Arial"/>
          <w:b/>
        </w:rPr>
      </w:pPr>
      <w:r w:rsidRPr="000E3F51">
        <w:rPr>
          <w:rFonts w:ascii="Arial" w:hAnsi="Arial" w:cs="Arial"/>
          <w:b/>
        </w:rPr>
        <w:t>Aphid Infestation Intensity</w:t>
      </w:r>
    </w:p>
    <w:p w14:paraId="377E0B09" w14:textId="77777777" w:rsid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lastRenderedPageBreak/>
        <w:t xml:space="preserve">Aphid infestation intensity (Table 3) varied significantly across treatments. Negative controls reached the highest intensity (28.7%) by day 62, whereas synthetic insecticide-treated plants exhibited the lowest (10.2%). Extract treatments exhibited a dose-dependent reduction in infestation, with the highest dose (C4) achieving 11.4% at the end of the study. These results confirm that </w:t>
      </w:r>
      <w:r w:rsidRPr="000E3F51">
        <w:rPr>
          <w:rStyle w:val="Emphasis"/>
          <w:rFonts w:ascii="Arial" w:hAnsi="Arial" w:cs="Arial"/>
        </w:rPr>
        <w:t>C. gigantea</w:t>
      </w:r>
      <w:r w:rsidRPr="000E3F51">
        <w:rPr>
          <w:rFonts w:ascii="Arial" w:hAnsi="Arial" w:cs="Arial"/>
        </w:rPr>
        <w:t xml:space="preserve"> extract effectively reduces herbivory, consistent with its secondary metabolite composition that disrupts feeding behavior and reduces plant damage </w:t>
      </w:r>
      <w:r w:rsidRPr="000E3F51">
        <w:rPr>
          <w:rFonts w:ascii="Arial" w:hAnsi="Arial" w:cs="Arial"/>
        </w:rPr>
        <w:fldChar w:fldCharType="begin"/>
      </w:r>
      <w:r w:rsidRPr="000E3F51">
        <w:rPr>
          <w:rFonts w:ascii="Arial" w:hAnsi="Arial" w:cs="Arial"/>
        </w:rPr>
        <w:instrText xml:space="preserve"> ADDIN ZOTERO_ITEM CSL_CITATION {"citationID":"UAZZ6H4Y","properties":{"formattedCitation":"(Khasanah et al., 2021; Lengai et al., 2020)","plainCitation":"(Khasanah et al., 2021; Lengai et al., 2020)","noteIndex":0},"citationItems":[{"id":10,"uris":["http://zotero.org/users/17035950/items/DI6MILUH"],"itemData":{"id":10,"type":"article-journal","abstract":"Many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Andi"},{"family":"Wijonarko","given":"Arman"}],"issued":{"date-parts":[["2021",12,21]]}}},{"id":158,"uris":["http://zotero.org/users/17035950/items/PEG758JL"],"itemData":{"id":158,"type":"article-journal","abstract":"Increased demand for food to feed the ever-growing population led to development and adoption of synthetic chemicals as a quick and effective strategy of managing crop pests and diseases. However, overreliance on synthetic pesticides is discouraged due to their detrimental effects on human health, the environment, and development of resistant pest and pathogen strains. This, coupled with increasing demand for organically produced foods, stimulated search for alternative approaches and botanical pesticides are particularly gaining importance. Botanical pesticides are efficacious in managing different crop pests, inexpensive, easily biodegraded, have varied modes of action, their sources are easily available and have low toxicity to non-target organisms. Their varied modes of action are attributed to the phytochemical composition in different plants. Therefore, they can be incorporated into integrated pest management systems and contribute to sustainable agricultural production. Nevertheless, botanical pesticides have not been fully adopted due to challenges in formulation and commercialization which are attributed to lack of chemical data and positive controls. Many publications have featured botanical pesticides with skewed interest towards management of insect pests. This review brings together information regarding botanical pesticides, their phytochemical composition and mechanisms of action against pests of importance in agricultural production. The paper also presents chemistry data of selected botanical pesticides, their biodegradation, role in integrated pest management and the challenges facing their adoption and utilization for sustainable crop pest management.","container-title":"Scientific African","DOI":"10.1016/j.sciaf.2019.e00239","ISSN":"2468-2276","journalAbbreviation":"Scientific African","page":"e00239","source":"ScienceDirect","title":"Phytochemical activity and role of botanical pesticides in pest management for sustainable agricultural crop production","volume":"7","author":[{"family":"Lengai","given":"Geraldin M. W."},{"family":"Muthomi","given":"James W."},{"family":"Mbega","given":"Ernest R."}],"issued":{"date-parts":[["2020",3,1]]}}}],"schema":"https://github.com/citation-style-language/schema/raw/master/csl-citation.json"} </w:instrText>
      </w:r>
      <w:r w:rsidRPr="000E3F51">
        <w:rPr>
          <w:rFonts w:ascii="Arial" w:hAnsi="Arial" w:cs="Arial"/>
        </w:rPr>
        <w:fldChar w:fldCharType="separate"/>
      </w:r>
      <w:r w:rsidRPr="000E3F51">
        <w:rPr>
          <w:rFonts w:ascii="Arial" w:hAnsi="Arial" w:cs="Arial"/>
        </w:rPr>
        <w:t>(Khasanah et al., 2021; Lengai et al., 2020)</w:t>
      </w:r>
      <w:r w:rsidRPr="000E3F51">
        <w:rPr>
          <w:rFonts w:ascii="Arial" w:hAnsi="Arial" w:cs="Arial"/>
        </w:rPr>
        <w:fldChar w:fldCharType="end"/>
      </w:r>
      <w:r w:rsidRPr="000E3F51">
        <w:rPr>
          <w:rFonts w:ascii="Arial" w:hAnsi="Arial" w:cs="Arial"/>
        </w:rPr>
        <w:t>.</w:t>
      </w:r>
    </w:p>
    <w:p w14:paraId="519EB98B" w14:textId="77777777" w:rsidR="00F20601" w:rsidRPr="000E3F51" w:rsidRDefault="00F20601" w:rsidP="00F20601">
      <w:pPr>
        <w:widowControl w:val="0"/>
        <w:autoSpaceDE w:val="0"/>
        <w:autoSpaceDN w:val="0"/>
        <w:ind w:firstLine="720"/>
        <w:jc w:val="both"/>
        <w:outlineLvl w:val="1"/>
        <w:rPr>
          <w:rFonts w:ascii="Arial" w:hAnsi="Arial" w:cs="Arial"/>
        </w:rPr>
      </w:pPr>
    </w:p>
    <w:p w14:paraId="797A254B" w14:textId="77777777" w:rsidR="000E3F51" w:rsidRPr="000E3F51" w:rsidRDefault="000E3F51" w:rsidP="000E3F51">
      <w:pPr>
        <w:widowControl w:val="0"/>
        <w:autoSpaceDE w:val="0"/>
        <w:autoSpaceDN w:val="0"/>
        <w:ind w:left="851" w:hanging="851"/>
        <w:outlineLvl w:val="1"/>
        <w:rPr>
          <w:rFonts w:ascii="Arial" w:hAnsi="Arial" w:cs="Arial"/>
        </w:rPr>
      </w:pPr>
      <w:r w:rsidRPr="000E3F51">
        <w:rPr>
          <w:rFonts w:ascii="Arial" w:hAnsi="Arial" w:cs="Arial"/>
        </w:rPr>
        <w:t xml:space="preserve">Table 3. Attack intensity of </w:t>
      </w:r>
      <w:r w:rsidRPr="000E3F51">
        <w:rPr>
          <w:rFonts w:ascii="Arial" w:hAnsi="Arial" w:cs="Arial"/>
          <w:i/>
        </w:rPr>
        <w:t>Aphis gossypii</w:t>
      </w:r>
      <w:r w:rsidRPr="000E3F51">
        <w:rPr>
          <w:rFonts w:ascii="Arial" w:hAnsi="Arial" w:cs="Arial"/>
        </w:rPr>
        <w:t xml:space="preserve"> on chili pepper plants at different doses of </w:t>
      </w:r>
      <w:r w:rsidRPr="000E3F51">
        <w:rPr>
          <w:rFonts w:ascii="Arial" w:hAnsi="Arial" w:cs="Arial"/>
          <w:i/>
        </w:rPr>
        <w:t>Calotropis gigantea</w:t>
      </w:r>
      <w:r w:rsidRPr="000E3F51">
        <w:rPr>
          <w:rFonts w:ascii="Arial" w:hAnsi="Arial" w:cs="Arial"/>
        </w:rPr>
        <w:t xml:space="preserve"> leaf extract.</w:t>
      </w:r>
    </w:p>
    <w:tbl>
      <w:tblPr>
        <w:tblStyle w:val="Style1"/>
        <w:tblpPr w:leftFromText="180" w:rightFromText="180" w:vertAnchor="text" w:horzAnchor="margin" w:tblpY="157"/>
        <w:tblW w:w="0" w:type="auto"/>
        <w:tblBorders>
          <w:top w:val="single" w:sz="4" w:space="0" w:color="auto"/>
        </w:tblBorders>
        <w:tblLook w:val="04A0" w:firstRow="1" w:lastRow="0" w:firstColumn="1" w:lastColumn="0" w:noHBand="0" w:noVBand="1"/>
      </w:tblPr>
      <w:tblGrid>
        <w:gridCol w:w="1244"/>
        <w:gridCol w:w="1150"/>
        <w:gridCol w:w="1163"/>
        <w:gridCol w:w="1163"/>
        <w:gridCol w:w="1163"/>
        <w:gridCol w:w="1151"/>
        <w:gridCol w:w="1174"/>
      </w:tblGrid>
      <w:tr w:rsidR="000E3F51" w:rsidRPr="000E3F51" w14:paraId="15D36359" w14:textId="77777777" w:rsidTr="00413E13">
        <w:tc>
          <w:tcPr>
            <w:tcW w:w="1258" w:type="dxa"/>
            <w:vMerge w:val="restart"/>
          </w:tcPr>
          <w:p w14:paraId="5DF5A3F5"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Treatment dose (g/L)</w:t>
            </w:r>
          </w:p>
        </w:tc>
        <w:tc>
          <w:tcPr>
            <w:tcW w:w="7229" w:type="dxa"/>
            <w:gridSpan w:val="6"/>
            <w:tcBorders>
              <w:bottom w:val="single" w:sz="4" w:space="0" w:color="auto"/>
            </w:tcBorders>
          </w:tcPr>
          <w:p w14:paraId="339FD5A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Population density (individuals).</w:t>
            </w:r>
          </w:p>
        </w:tc>
      </w:tr>
      <w:tr w:rsidR="000E3F51" w:rsidRPr="000E3F51" w14:paraId="79C929EF" w14:textId="77777777" w:rsidTr="00413E13">
        <w:tc>
          <w:tcPr>
            <w:tcW w:w="1258" w:type="dxa"/>
            <w:vMerge/>
          </w:tcPr>
          <w:p w14:paraId="69970959"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p>
        </w:tc>
        <w:tc>
          <w:tcPr>
            <w:tcW w:w="7229" w:type="dxa"/>
            <w:gridSpan w:val="6"/>
            <w:tcBorders>
              <w:top w:val="single" w:sz="4" w:space="0" w:color="auto"/>
              <w:bottom w:val="single" w:sz="4" w:space="0" w:color="auto"/>
            </w:tcBorders>
          </w:tcPr>
          <w:p w14:paraId="624E882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Observation time (days)</w:t>
            </w:r>
          </w:p>
        </w:tc>
      </w:tr>
      <w:tr w:rsidR="000E3F51" w:rsidRPr="000E3F51" w14:paraId="6A1CBF70" w14:textId="77777777" w:rsidTr="00413E13">
        <w:tc>
          <w:tcPr>
            <w:tcW w:w="1258" w:type="dxa"/>
            <w:vMerge/>
            <w:tcBorders>
              <w:bottom w:val="single" w:sz="4" w:space="0" w:color="auto"/>
            </w:tcBorders>
          </w:tcPr>
          <w:p w14:paraId="355AAEC2" w14:textId="77777777" w:rsidR="000E3F51" w:rsidRPr="000E3F51" w:rsidRDefault="000E3F51" w:rsidP="00413E13">
            <w:pPr>
              <w:widowControl w:val="0"/>
              <w:autoSpaceDE w:val="0"/>
              <w:autoSpaceDN w:val="0"/>
              <w:outlineLvl w:val="1"/>
              <w:rPr>
                <w:rFonts w:ascii="Arial" w:eastAsia="Times New Roman" w:hAnsi="Arial" w:cs="Arial"/>
                <w:sz w:val="20"/>
                <w:szCs w:val="20"/>
                <w:lang w:val="de-DE"/>
              </w:rPr>
            </w:pPr>
          </w:p>
        </w:tc>
        <w:tc>
          <w:tcPr>
            <w:tcW w:w="1204" w:type="dxa"/>
            <w:tcBorders>
              <w:top w:val="single" w:sz="4" w:space="0" w:color="auto"/>
              <w:bottom w:val="single" w:sz="4" w:space="0" w:color="auto"/>
            </w:tcBorders>
          </w:tcPr>
          <w:p w14:paraId="72EF28C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27</w:t>
            </w:r>
          </w:p>
        </w:tc>
        <w:tc>
          <w:tcPr>
            <w:tcW w:w="1205" w:type="dxa"/>
            <w:tcBorders>
              <w:top w:val="single" w:sz="4" w:space="0" w:color="auto"/>
              <w:bottom w:val="single" w:sz="4" w:space="0" w:color="auto"/>
            </w:tcBorders>
          </w:tcPr>
          <w:p w14:paraId="5BFB83F9"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34</w:t>
            </w:r>
          </w:p>
        </w:tc>
        <w:tc>
          <w:tcPr>
            <w:tcW w:w="1205" w:type="dxa"/>
            <w:tcBorders>
              <w:top w:val="single" w:sz="4" w:space="0" w:color="auto"/>
              <w:bottom w:val="single" w:sz="4" w:space="0" w:color="auto"/>
            </w:tcBorders>
          </w:tcPr>
          <w:p w14:paraId="5B02DE1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41</w:t>
            </w:r>
          </w:p>
        </w:tc>
        <w:tc>
          <w:tcPr>
            <w:tcW w:w="1205" w:type="dxa"/>
            <w:tcBorders>
              <w:top w:val="single" w:sz="4" w:space="0" w:color="auto"/>
              <w:bottom w:val="single" w:sz="4" w:space="0" w:color="auto"/>
            </w:tcBorders>
          </w:tcPr>
          <w:p w14:paraId="180E209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48</w:t>
            </w:r>
          </w:p>
        </w:tc>
        <w:tc>
          <w:tcPr>
            <w:tcW w:w="1205" w:type="dxa"/>
            <w:tcBorders>
              <w:top w:val="single" w:sz="4" w:space="0" w:color="auto"/>
              <w:bottom w:val="single" w:sz="4" w:space="0" w:color="auto"/>
            </w:tcBorders>
          </w:tcPr>
          <w:p w14:paraId="7106438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55</w:t>
            </w:r>
          </w:p>
        </w:tc>
        <w:tc>
          <w:tcPr>
            <w:tcW w:w="1205" w:type="dxa"/>
            <w:tcBorders>
              <w:top w:val="single" w:sz="4" w:space="0" w:color="auto"/>
              <w:bottom w:val="single" w:sz="4" w:space="0" w:color="auto"/>
            </w:tcBorders>
          </w:tcPr>
          <w:p w14:paraId="185AAFF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62</w:t>
            </w:r>
          </w:p>
        </w:tc>
      </w:tr>
      <w:tr w:rsidR="000E3F51" w:rsidRPr="000E3F51" w14:paraId="0F1E62FA" w14:textId="77777777" w:rsidTr="00413E13">
        <w:tc>
          <w:tcPr>
            <w:tcW w:w="1258" w:type="dxa"/>
            <w:tcBorders>
              <w:top w:val="single" w:sz="4" w:space="0" w:color="auto"/>
            </w:tcBorders>
          </w:tcPr>
          <w:p w14:paraId="6BE9146F"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single" w:sz="4" w:space="0" w:color="auto"/>
            </w:tcBorders>
          </w:tcPr>
          <w:p w14:paraId="67C1E3F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26.9a</w:t>
            </w:r>
          </w:p>
        </w:tc>
        <w:tc>
          <w:tcPr>
            <w:tcW w:w="1205" w:type="dxa"/>
            <w:tcBorders>
              <w:top w:val="single" w:sz="4" w:space="0" w:color="auto"/>
            </w:tcBorders>
          </w:tcPr>
          <w:p w14:paraId="1453DF3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26.3ab</w:t>
            </w:r>
          </w:p>
        </w:tc>
        <w:tc>
          <w:tcPr>
            <w:tcW w:w="1205" w:type="dxa"/>
            <w:tcBorders>
              <w:top w:val="single" w:sz="4" w:space="0" w:color="auto"/>
            </w:tcBorders>
          </w:tcPr>
          <w:p w14:paraId="70A60775"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25ab</w:t>
            </w:r>
          </w:p>
        </w:tc>
        <w:tc>
          <w:tcPr>
            <w:tcW w:w="1205" w:type="dxa"/>
            <w:tcBorders>
              <w:top w:val="single" w:sz="4" w:space="0" w:color="auto"/>
            </w:tcBorders>
          </w:tcPr>
          <w:p w14:paraId="2C78F73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21.0b</w:t>
            </w:r>
          </w:p>
        </w:tc>
        <w:tc>
          <w:tcPr>
            <w:tcW w:w="1205" w:type="dxa"/>
            <w:tcBorders>
              <w:top w:val="single" w:sz="4" w:space="0" w:color="auto"/>
            </w:tcBorders>
          </w:tcPr>
          <w:p w14:paraId="37B189A5"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24.0b</w:t>
            </w:r>
          </w:p>
        </w:tc>
        <w:tc>
          <w:tcPr>
            <w:tcW w:w="1205" w:type="dxa"/>
            <w:tcBorders>
              <w:top w:val="single" w:sz="4" w:space="0" w:color="auto"/>
            </w:tcBorders>
          </w:tcPr>
          <w:p w14:paraId="30FA586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28.7d</w:t>
            </w:r>
          </w:p>
        </w:tc>
      </w:tr>
      <w:tr w:rsidR="000E3F51" w:rsidRPr="000E3F51" w14:paraId="7BABC028" w14:textId="77777777" w:rsidTr="00413E13">
        <w:tc>
          <w:tcPr>
            <w:tcW w:w="1258" w:type="dxa"/>
            <w:tcBorders>
              <w:top w:val="nil"/>
            </w:tcBorders>
          </w:tcPr>
          <w:p w14:paraId="1BC7D874"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nil"/>
            </w:tcBorders>
          </w:tcPr>
          <w:p w14:paraId="5CC7A67E"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29.4a</w:t>
            </w:r>
          </w:p>
        </w:tc>
        <w:tc>
          <w:tcPr>
            <w:tcW w:w="1205" w:type="dxa"/>
            <w:tcBorders>
              <w:top w:val="nil"/>
            </w:tcBorders>
          </w:tcPr>
          <w:p w14:paraId="724B0D2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27.5ab</w:t>
            </w:r>
          </w:p>
        </w:tc>
        <w:tc>
          <w:tcPr>
            <w:tcW w:w="1205" w:type="dxa"/>
            <w:tcBorders>
              <w:top w:val="nil"/>
            </w:tcBorders>
          </w:tcPr>
          <w:p w14:paraId="4443B7A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17.5b</w:t>
            </w:r>
          </w:p>
        </w:tc>
        <w:tc>
          <w:tcPr>
            <w:tcW w:w="1205" w:type="dxa"/>
            <w:tcBorders>
              <w:top w:val="nil"/>
            </w:tcBorders>
          </w:tcPr>
          <w:p w14:paraId="74E8731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14.9a</w:t>
            </w:r>
          </w:p>
        </w:tc>
        <w:tc>
          <w:tcPr>
            <w:tcW w:w="1205" w:type="dxa"/>
            <w:tcBorders>
              <w:top w:val="nil"/>
            </w:tcBorders>
          </w:tcPr>
          <w:p w14:paraId="1493AD1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14.1a</w:t>
            </w:r>
          </w:p>
        </w:tc>
        <w:tc>
          <w:tcPr>
            <w:tcW w:w="1205" w:type="dxa"/>
            <w:tcBorders>
              <w:top w:val="nil"/>
            </w:tcBorders>
          </w:tcPr>
          <w:p w14:paraId="0063471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10.2a</w:t>
            </w:r>
          </w:p>
        </w:tc>
      </w:tr>
      <w:tr w:rsidR="000E3F51" w:rsidRPr="000E3F51" w14:paraId="20AC6AAE" w14:textId="77777777" w:rsidTr="00413E13">
        <w:tc>
          <w:tcPr>
            <w:tcW w:w="1258" w:type="dxa"/>
            <w:tcBorders>
              <w:top w:val="nil"/>
            </w:tcBorders>
          </w:tcPr>
          <w:p w14:paraId="06F7A73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K1</w:t>
            </w:r>
          </w:p>
        </w:tc>
        <w:tc>
          <w:tcPr>
            <w:tcW w:w="1204" w:type="dxa"/>
            <w:tcBorders>
              <w:top w:val="nil"/>
            </w:tcBorders>
          </w:tcPr>
          <w:p w14:paraId="65D67AE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25.6a</w:t>
            </w:r>
          </w:p>
        </w:tc>
        <w:tc>
          <w:tcPr>
            <w:tcW w:w="1205" w:type="dxa"/>
            <w:tcBorders>
              <w:top w:val="nil"/>
            </w:tcBorders>
          </w:tcPr>
          <w:p w14:paraId="7035401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26.9ab</w:t>
            </w:r>
          </w:p>
        </w:tc>
        <w:tc>
          <w:tcPr>
            <w:tcW w:w="1205" w:type="dxa"/>
            <w:tcBorders>
              <w:top w:val="nil"/>
            </w:tcBorders>
          </w:tcPr>
          <w:p w14:paraId="45E976B8"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10ab</w:t>
            </w:r>
          </w:p>
        </w:tc>
        <w:tc>
          <w:tcPr>
            <w:tcW w:w="1205" w:type="dxa"/>
            <w:tcBorders>
              <w:top w:val="nil"/>
            </w:tcBorders>
          </w:tcPr>
          <w:p w14:paraId="287C571F"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18.8ab</w:t>
            </w:r>
          </w:p>
        </w:tc>
        <w:tc>
          <w:tcPr>
            <w:tcW w:w="1205" w:type="dxa"/>
            <w:tcBorders>
              <w:top w:val="nil"/>
            </w:tcBorders>
          </w:tcPr>
          <w:p w14:paraId="452717C7"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18.5a</w:t>
            </w:r>
          </w:p>
        </w:tc>
        <w:tc>
          <w:tcPr>
            <w:tcW w:w="1205" w:type="dxa"/>
            <w:tcBorders>
              <w:top w:val="nil"/>
            </w:tcBorders>
          </w:tcPr>
          <w:p w14:paraId="07C80D2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18.2c</w:t>
            </w:r>
          </w:p>
        </w:tc>
      </w:tr>
      <w:tr w:rsidR="000E3F51" w:rsidRPr="000E3F51" w14:paraId="2DABE650" w14:textId="77777777" w:rsidTr="00413E13">
        <w:tc>
          <w:tcPr>
            <w:tcW w:w="1258" w:type="dxa"/>
            <w:tcBorders>
              <w:top w:val="nil"/>
            </w:tcBorders>
          </w:tcPr>
          <w:p w14:paraId="118557D3"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K2</w:t>
            </w:r>
          </w:p>
        </w:tc>
        <w:tc>
          <w:tcPr>
            <w:tcW w:w="1204" w:type="dxa"/>
            <w:tcBorders>
              <w:top w:val="nil"/>
            </w:tcBorders>
          </w:tcPr>
          <w:p w14:paraId="4386FF7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23.1a</w:t>
            </w:r>
          </w:p>
        </w:tc>
        <w:tc>
          <w:tcPr>
            <w:tcW w:w="1205" w:type="dxa"/>
            <w:tcBorders>
              <w:top w:val="nil"/>
            </w:tcBorders>
          </w:tcPr>
          <w:p w14:paraId="2D041CF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20.6a</w:t>
            </w:r>
          </w:p>
        </w:tc>
        <w:tc>
          <w:tcPr>
            <w:tcW w:w="1205" w:type="dxa"/>
            <w:tcBorders>
              <w:top w:val="nil"/>
            </w:tcBorders>
          </w:tcPr>
          <w:p w14:paraId="11D8700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12.5ab</w:t>
            </w:r>
          </w:p>
        </w:tc>
        <w:tc>
          <w:tcPr>
            <w:tcW w:w="1205" w:type="dxa"/>
            <w:tcBorders>
              <w:top w:val="nil"/>
            </w:tcBorders>
          </w:tcPr>
          <w:p w14:paraId="374D66E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16.4ab</w:t>
            </w:r>
          </w:p>
        </w:tc>
        <w:tc>
          <w:tcPr>
            <w:tcW w:w="1205" w:type="dxa"/>
            <w:tcBorders>
              <w:top w:val="nil"/>
            </w:tcBorders>
          </w:tcPr>
          <w:p w14:paraId="2F724B0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15.8a</w:t>
            </w:r>
          </w:p>
        </w:tc>
        <w:tc>
          <w:tcPr>
            <w:tcW w:w="1205" w:type="dxa"/>
            <w:tcBorders>
              <w:top w:val="nil"/>
            </w:tcBorders>
          </w:tcPr>
          <w:p w14:paraId="4EB5C0A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14.3abc</w:t>
            </w:r>
          </w:p>
        </w:tc>
      </w:tr>
      <w:tr w:rsidR="000E3F51" w:rsidRPr="000E3F51" w14:paraId="6665E626" w14:textId="77777777" w:rsidTr="00413E13">
        <w:tc>
          <w:tcPr>
            <w:tcW w:w="1258" w:type="dxa"/>
            <w:tcBorders>
              <w:top w:val="nil"/>
              <w:bottom w:val="nil"/>
            </w:tcBorders>
          </w:tcPr>
          <w:p w14:paraId="36AF4E46"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K3</w:t>
            </w:r>
          </w:p>
        </w:tc>
        <w:tc>
          <w:tcPr>
            <w:tcW w:w="1204" w:type="dxa"/>
            <w:tcBorders>
              <w:top w:val="nil"/>
              <w:bottom w:val="nil"/>
            </w:tcBorders>
          </w:tcPr>
          <w:p w14:paraId="7E5AAAA5"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22.5a</w:t>
            </w:r>
          </w:p>
        </w:tc>
        <w:tc>
          <w:tcPr>
            <w:tcW w:w="1205" w:type="dxa"/>
            <w:tcBorders>
              <w:top w:val="nil"/>
              <w:bottom w:val="nil"/>
            </w:tcBorders>
          </w:tcPr>
          <w:p w14:paraId="7751664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24.4ab</w:t>
            </w:r>
          </w:p>
        </w:tc>
        <w:tc>
          <w:tcPr>
            <w:tcW w:w="1205" w:type="dxa"/>
            <w:tcBorders>
              <w:top w:val="nil"/>
              <w:bottom w:val="nil"/>
            </w:tcBorders>
          </w:tcPr>
          <w:p w14:paraId="08CD0EF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17.5ab</w:t>
            </w:r>
          </w:p>
        </w:tc>
        <w:tc>
          <w:tcPr>
            <w:tcW w:w="1205" w:type="dxa"/>
            <w:tcBorders>
              <w:top w:val="nil"/>
              <w:bottom w:val="nil"/>
            </w:tcBorders>
          </w:tcPr>
          <w:p w14:paraId="3DC36ECC"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14.2ab</w:t>
            </w:r>
          </w:p>
        </w:tc>
        <w:tc>
          <w:tcPr>
            <w:tcW w:w="1205" w:type="dxa"/>
            <w:tcBorders>
              <w:top w:val="nil"/>
              <w:bottom w:val="nil"/>
            </w:tcBorders>
          </w:tcPr>
          <w:p w14:paraId="0D7E5EE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14.4a</w:t>
            </w:r>
          </w:p>
        </w:tc>
        <w:tc>
          <w:tcPr>
            <w:tcW w:w="1205" w:type="dxa"/>
            <w:tcBorders>
              <w:top w:val="nil"/>
              <w:bottom w:val="nil"/>
            </w:tcBorders>
          </w:tcPr>
          <w:p w14:paraId="440A9E40"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15.8bc</w:t>
            </w:r>
          </w:p>
        </w:tc>
      </w:tr>
      <w:tr w:rsidR="000E3F51" w:rsidRPr="000E3F51" w14:paraId="7922B69E" w14:textId="77777777" w:rsidTr="00413E13">
        <w:tc>
          <w:tcPr>
            <w:tcW w:w="1258" w:type="dxa"/>
            <w:tcBorders>
              <w:top w:val="nil"/>
              <w:bottom w:val="single" w:sz="4" w:space="0" w:color="auto"/>
            </w:tcBorders>
          </w:tcPr>
          <w:p w14:paraId="6E3B2508"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K4</w:t>
            </w:r>
          </w:p>
        </w:tc>
        <w:tc>
          <w:tcPr>
            <w:tcW w:w="1204" w:type="dxa"/>
            <w:tcBorders>
              <w:top w:val="nil"/>
              <w:bottom w:val="single" w:sz="4" w:space="0" w:color="auto"/>
            </w:tcBorders>
          </w:tcPr>
          <w:p w14:paraId="6E088CF4"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26.3a</w:t>
            </w:r>
          </w:p>
        </w:tc>
        <w:tc>
          <w:tcPr>
            <w:tcW w:w="1205" w:type="dxa"/>
            <w:tcBorders>
              <w:top w:val="nil"/>
              <w:bottom w:val="single" w:sz="4" w:space="0" w:color="auto"/>
            </w:tcBorders>
          </w:tcPr>
          <w:p w14:paraId="59145FCE"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35.0c</w:t>
            </w:r>
          </w:p>
        </w:tc>
        <w:tc>
          <w:tcPr>
            <w:tcW w:w="1205" w:type="dxa"/>
            <w:tcBorders>
              <w:top w:val="nil"/>
              <w:bottom w:val="single" w:sz="4" w:space="0" w:color="auto"/>
            </w:tcBorders>
          </w:tcPr>
          <w:p w14:paraId="7DAC42B7"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7.5a</w:t>
            </w:r>
          </w:p>
        </w:tc>
        <w:tc>
          <w:tcPr>
            <w:tcW w:w="1205" w:type="dxa"/>
            <w:tcBorders>
              <w:top w:val="nil"/>
              <w:bottom w:val="single" w:sz="4" w:space="0" w:color="auto"/>
            </w:tcBorders>
          </w:tcPr>
          <w:p w14:paraId="5488615D"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13.5a</w:t>
            </w:r>
          </w:p>
        </w:tc>
        <w:tc>
          <w:tcPr>
            <w:tcW w:w="1205" w:type="dxa"/>
            <w:tcBorders>
              <w:top w:val="nil"/>
              <w:bottom w:val="single" w:sz="4" w:space="0" w:color="auto"/>
            </w:tcBorders>
          </w:tcPr>
          <w:p w14:paraId="0F0C026E"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13.5a</w:t>
            </w:r>
          </w:p>
        </w:tc>
        <w:tc>
          <w:tcPr>
            <w:tcW w:w="1205" w:type="dxa"/>
            <w:tcBorders>
              <w:top w:val="nil"/>
              <w:bottom w:val="single" w:sz="4" w:space="0" w:color="auto"/>
            </w:tcBorders>
          </w:tcPr>
          <w:p w14:paraId="5AC6010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11.4ab</w:t>
            </w:r>
          </w:p>
        </w:tc>
      </w:tr>
    </w:tbl>
    <w:p w14:paraId="43C4D15F" w14:textId="77777777" w:rsidR="000E3F51" w:rsidRPr="000E3F51" w:rsidRDefault="000E3F51" w:rsidP="000E3F51">
      <w:pPr>
        <w:widowControl w:val="0"/>
        <w:autoSpaceDE w:val="0"/>
        <w:autoSpaceDN w:val="0"/>
        <w:ind w:left="567" w:hanging="567"/>
        <w:outlineLvl w:val="1"/>
        <w:rPr>
          <w:rFonts w:ascii="Arial" w:hAnsi="Arial" w:cs="Arial"/>
        </w:rPr>
      </w:pPr>
      <w:r w:rsidRPr="000E3F51">
        <w:rPr>
          <w:rFonts w:ascii="Arial" w:hAnsi="Arial" w:cs="Arial"/>
        </w:rPr>
        <w:t xml:space="preserve">Note: Values followed by the same letter within a column are not significantly different according to DMRT at the 5% significance level. K− = Negative control, K+ = Synthetic insecticide, C = </w:t>
      </w:r>
      <w:r w:rsidRPr="000E3F51">
        <w:rPr>
          <w:rFonts w:ascii="Arial" w:hAnsi="Arial" w:cs="Arial"/>
          <w:i/>
        </w:rPr>
        <w:t>Calotropis gigantea</w:t>
      </w:r>
      <w:r w:rsidRPr="000E3F51">
        <w:rPr>
          <w:rFonts w:ascii="Arial" w:hAnsi="Arial" w:cs="Arial"/>
        </w:rPr>
        <w:t xml:space="preserve"> extract.</w:t>
      </w:r>
    </w:p>
    <w:p w14:paraId="6ABCF45E" w14:textId="77777777" w:rsidR="000E3F51" w:rsidRPr="000E3F51" w:rsidRDefault="000E3F51" w:rsidP="000E3F51">
      <w:pPr>
        <w:pStyle w:val="Heading3"/>
        <w:spacing w:line="360" w:lineRule="auto"/>
        <w:jc w:val="both"/>
        <w:rPr>
          <w:rFonts w:ascii="Arial" w:eastAsia="Times New Roman" w:hAnsi="Arial" w:cs="Arial"/>
          <w:color w:val="auto"/>
          <w:sz w:val="20"/>
          <w:szCs w:val="20"/>
        </w:rPr>
      </w:pPr>
      <w:r w:rsidRPr="000E3F51">
        <w:rPr>
          <w:rFonts w:ascii="Arial" w:eastAsia="Times New Roman" w:hAnsi="Arial" w:cs="Arial"/>
          <w:color w:val="auto"/>
          <w:sz w:val="20"/>
          <w:szCs w:val="20"/>
        </w:rPr>
        <w:t>Natural Enemy Diversity</w:t>
      </w:r>
    </w:p>
    <w:p w14:paraId="6DF7A538" w14:textId="77777777" w:rsidR="000E3F51" w:rsidRP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t xml:space="preserve">The natural enemy assemblage associated with chili pepper agroecosystems consisted of six insect orders, comprising 18 families in plots treated with the formulated </w:t>
      </w:r>
      <w:r w:rsidRPr="000E3F51">
        <w:rPr>
          <w:rStyle w:val="Emphasis"/>
          <w:rFonts w:ascii="Arial" w:hAnsi="Arial" w:cs="Arial"/>
        </w:rPr>
        <w:t>C. gigantea</w:t>
      </w:r>
      <w:r w:rsidRPr="000E3F51">
        <w:rPr>
          <w:rFonts w:ascii="Arial" w:hAnsi="Arial" w:cs="Arial"/>
        </w:rPr>
        <w:t xml:space="preserve"> leaf extract and 17 families in untreated plots. Community differentiation between treatments was primarily driven by the occurrence of </w:t>
      </w:r>
      <w:proofErr w:type="spellStart"/>
      <w:r w:rsidRPr="000E3F51">
        <w:rPr>
          <w:rFonts w:ascii="Arial" w:hAnsi="Arial" w:cs="Arial"/>
        </w:rPr>
        <w:t>Staphylinidae</w:t>
      </w:r>
      <w:proofErr w:type="spellEnd"/>
      <w:r w:rsidRPr="000E3F51">
        <w:rPr>
          <w:rFonts w:ascii="Arial" w:hAnsi="Arial" w:cs="Arial"/>
        </w:rPr>
        <w:t xml:space="preserve">, </w:t>
      </w:r>
      <w:proofErr w:type="spellStart"/>
      <w:r w:rsidRPr="000E3F51">
        <w:rPr>
          <w:rFonts w:ascii="Arial" w:hAnsi="Arial" w:cs="Arial"/>
        </w:rPr>
        <w:t>Sparassidae</w:t>
      </w:r>
      <w:proofErr w:type="spellEnd"/>
      <w:r w:rsidRPr="000E3F51">
        <w:rPr>
          <w:rFonts w:ascii="Arial" w:hAnsi="Arial" w:cs="Arial"/>
        </w:rPr>
        <w:t xml:space="preserve">, and </w:t>
      </w:r>
      <w:proofErr w:type="spellStart"/>
      <w:r w:rsidRPr="000E3F51">
        <w:rPr>
          <w:rFonts w:ascii="Arial" w:hAnsi="Arial" w:cs="Arial"/>
        </w:rPr>
        <w:t>Libellulidae</w:t>
      </w:r>
      <w:proofErr w:type="spellEnd"/>
      <w:r w:rsidRPr="000E3F51">
        <w:rPr>
          <w:rFonts w:ascii="Arial" w:hAnsi="Arial" w:cs="Arial"/>
        </w:rPr>
        <w:t xml:space="preserve">. The natural enemy community was dominated by predatory taxa (14 families), while parasitoids were represented by </w:t>
      </w:r>
      <w:proofErr w:type="spell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Tachinidae</w:t>
      </w:r>
      <w:proofErr w:type="spellEnd"/>
      <w:r w:rsidRPr="000E3F51">
        <w:rPr>
          <w:rFonts w:ascii="Arial" w:hAnsi="Arial" w:cs="Arial"/>
        </w:rPr>
        <w:t xml:space="preserve">, and </w:t>
      </w:r>
      <w:proofErr w:type="spellStart"/>
      <w:r w:rsidRPr="000E3F51">
        <w:rPr>
          <w:rFonts w:ascii="Arial" w:hAnsi="Arial" w:cs="Arial"/>
        </w:rPr>
        <w:t>Sarcophaginae</w:t>
      </w:r>
      <w:proofErr w:type="spellEnd"/>
      <w:r w:rsidRPr="000E3F51">
        <w:rPr>
          <w:rFonts w:ascii="Arial" w:hAnsi="Arial" w:cs="Arial"/>
        </w:rPr>
        <w:t xml:space="preserve">, reflecting a </w:t>
      </w:r>
      <w:proofErr w:type="spellStart"/>
      <w:r w:rsidRPr="000E3F51">
        <w:rPr>
          <w:rFonts w:ascii="Arial" w:hAnsi="Arial" w:cs="Arial"/>
        </w:rPr>
        <w:t>trophically</w:t>
      </w:r>
      <w:proofErr w:type="spellEnd"/>
      <w:r w:rsidRPr="000E3F51">
        <w:rPr>
          <w:rFonts w:ascii="Arial" w:hAnsi="Arial" w:cs="Arial"/>
        </w:rPr>
        <w:t xml:space="preserve"> structured assemblage capable of contributing to biological regulation.</w:t>
      </w:r>
    </w:p>
    <w:p w14:paraId="508A44D6" w14:textId="77777777" w:rsidR="000E3F51" w:rsidRPr="000E3F51" w:rsidRDefault="000E3F51" w:rsidP="000E3F51">
      <w:pPr>
        <w:widowControl w:val="0"/>
        <w:autoSpaceDE w:val="0"/>
        <w:autoSpaceDN w:val="0"/>
        <w:jc w:val="both"/>
        <w:outlineLvl w:val="1"/>
        <w:rPr>
          <w:rFonts w:ascii="Arial" w:hAnsi="Arial" w:cs="Arial"/>
        </w:rPr>
      </w:pPr>
    </w:p>
    <w:p w14:paraId="637FAA5E" w14:textId="77777777" w:rsidR="000E3F51" w:rsidRPr="000E3F51" w:rsidRDefault="000E3F51" w:rsidP="000E3F51">
      <w:pPr>
        <w:widowControl w:val="0"/>
        <w:autoSpaceDE w:val="0"/>
        <w:autoSpaceDN w:val="0"/>
        <w:ind w:left="851" w:hanging="851"/>
        <w:jc w:val="both"/>
        <w:outlineLvl w:val="1"/>
        <w:rPr>
          <w:rFonts w:ascii="Arial" w:hAnsi="Arial" w:cs="Arial"/>
        </w:rPr>
      </w:pPr>
      <w:r w:rsidRPr="000E3F51">
        <w:rPr>
          <w:rFonts w:ascii="Arial" w:hAnsi="Arial" w:cs="Arial"/>
        </w:rPr>
        <w:t xml:space="preserve">Table 4. Selected orders and families of natural enemy insects in chili pepper plots  </w:t>
      </w:r>
    </w:p>
    <w:p w14:paraId="33B7D62E" w14:textId="77777777" w:rsidR="000E3F51" w:rsidRPr="000E3F51" w:rsidRDefault="000E3F51" w:rsidP="000E3F51">
      <w:pPr>
        <w:widowControl w:val="0"/>
        <w:autoSpaceDE w:val="0"/>
        <w:autoSpaceDN w:val="0"/>
        <w:ind w:left="851" w:hanging="131"/>
        <w:jc w:val="both"/>
        <w:outlineLvl w:val="1"/>
        <w:rPr>
          <w:rFonts w:ascii="Arial" w:hAnsi="Arial" w:cs="Arial"/>
        </w:rPr>
      </w:pPr>
      <w:r w:rsidRPr="000E3F51">
        <w:rPr>
          <w:rFonts w:ascii="Arial" w:hAnsi="Arial" w:cs="Arial"/>
        </w:rPr>
        <w:t xml:space="preserve">  treated with </w:t>
      </w:r>
      <w:r w:rsidRPr="000E3F51">
        <w:rPr>
          <w:rFonts w:ascii="Arial" w:hAnsi="Arial" w:cs="Arial"/>
          <w:i/>
        </w:rPr>
        <w:t>Calotropis gigantea</w:t>
      </w:r>
      <w:r w:rsidRPr="000E3F51">
        <w:rPr>
          <w:rFonts w:ascii="Arial" w:hAnsi="Arial" w:cs="Arial"/>
        </w:rPr>
        <w:t xml:space="preserve"> leaf extract and in untreated plots.</w:t>
      </w:r>
    </w:p>
    <w:p w14:paraId="2EA06A1E" w14:textId="77777777" w:rsidR="000E3F51" w:rsidRPr="000E3F51" w:rsidRDefault="000E3F51" w:rsidP="000E3F51">
      <w:pPr>
        <w:widowControl w:val="0"/>
        <w:autoSpaceDE w:val="0"/>
        <w:autoSpaceDN w:val="0"/>
        <w:jc w:val="both"/>
        <w:outlineLvl w:val="1"/>
        <w:rPr>
          <w:rFonts w:ascii="Arial" w:hAnsi="Arial" w:cs="Arial"/>
        </w:rPr>
      </w:pPr>
    </w:p>
    <w:tbl>
      <w:tblPr>
        <w:tblStyle w:val="TableGrid11"/>
        <w:tblW w:w="0" w:type="auto"/>
        <w:tblInd w:w="108" w:type="dxa"/>
        <w:tblLook w:val="04A0" w:firstRow="1" w:lastRow="0" w:firstColumn="1" w:lastColumn="0" w:noHBand="0" w:noVBand="1"/>
      </w:tblPr>
      <w:tblGrid>
        <w:gridCol w:w="507"/>
        <w:gridCol w:w="1632"/>
        <w:gridCol w:w="3000"/>
        <w:gridCol w:w="2951"/>
      </w:tblGrid>
      <w:tr w:rsidR="000E3F51" w:rsidRPr="000E3F51" w14:paraId="7507C409" w14:textId="77777777" w:rsidTr="00413E13">
        <w:tc>
          <w:tcPr>
            <w:tcW w:w="511" w:type="dxa"/>
          </w:tcPr>
          <w:p w14:paraId="5B13DEB5"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N0</w:t>
            </w:r>
          </w:p>
        </w:tc>
        <w:tc>
          <w:tcPr>
            <w:tcW w:w="1654" w:type="dxa"/>
          </w:tcPr>
          <w:p w14:paraId="2453AF7B"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lang w:val="de-DE"/>
              </w:rPr>
              <w:t>Ordo</w:t>
            </w:r>
          </w:p>
        </w:tc>
        <w:tc>
          <w:tcPr>
            <w:tcW w:w="6214" w:type="dxa"/>
            <w:gridSpan w:val="2"/>
          </w:tcPr>
          <w:p w14:paraId="397FC079"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lang w:val="de-DE"/>
              </w:rPr>
              <w:t>Family</w:t>
            </w:r>
          </w:p>
        </w:tc>
      </w:tr>
      <w:tr w:rsidR="000E3F51" w:rsidRPr="000E3F51" w14:paraId="700760A5" w14:textId="77777777" w:rsidTr="00413E13">
        <w:tc>
          <w:tcPr>
            <w:tcW w:w="511" w:type="dxa"/>
          </w:tcPr>
          <w:p w14:paraId="45F8848E" w14:textId="77777777" w:rsidR="000E3F51" w:rsidRPr="000E3F51" w:rsidRDefault="000E3F51" w:rsidP="00413E13">
            <w:pPr>
              <w:widowControl w:val="0"/>
              <w:autoSpaceDE w:val="0"/>
              <w:autoSpaceDN w:val="0"/>
              <w:jc w:val="both"/>
              <w:outlineLvl w:val="1"/>
              <w:rPr>
                <w:rFonts w:ascii="Arial" w:eastAsia="Times New Roman" w:hAnsi="Arial" w:cs="Arial"/>
                <w:lang w:val="de-DE"/>
              </w:rPr>
            </w:pPr>
          </w:p>
        </w:tc>
        <w:tc>
          <w:tcPr>
            <w:tcW w:w="1654" w:type="dxa"/>
          </w:tcPr>
          <w:p w14:paraId="6A021C04" w14:textId="77777777" w:rsidR="000E3F51" w:rsidRPr="000E3F51" w:rsidRDefault="000E3F51" w:rsidP="00413E13">
            <w:pPr>
              <w:widowControl w:val="0"/>
              <w:autoSpaceDE w:val="0"/>
              <w:autoSpaceDN w:val="0"/>
              <w:jc w:val="both"/>
              <w:outlineLvl w:val="1"/>
              <w:rPr>
                <w:rFonts w:ascii="Arial" w:eastAsia="Times New Roman" w:hAnsi="Arial" w:cs="Arial"/>
                <w:lang w:val="de-DE"/>
              </w:rPr>
            </w:pPr>
          </w:p>
        </w:tc>
        <w:tc>
          <w:tcPr>
            <w:tcW w:w="3134" w:type="dxa"/>
          </w:tcPr>
          <w:p w14:paraId="6DF9BCE3"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 xml:space="preserve">Perlakuan ekstrak </w:t>
            </w:r>
            <w:r w:rsidRPr="000E3F51">
              <w:rPr>
                <w:rFonts w:ascii="Arial" w:eastAsia="Times New Roman" w:hAnsi="Arial" w:cs="Arial"/>
                <w:i/>
                <w:lang w:val="de-DE"/>
              </w:rPr>
              <w:t>C. Gigantea</w:t>
            </w:r>
          </w:p>
        </w:tc>
        <w:tc>
          <w:tcPr>
            <w:tcW w:w="3080" w:type="dxa"/>
          </w:tcPr>
          <w:p w14:paraId="20D03ED6"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Tanpa Perlakuan</w:t>
            </w:r>
          </w:p>
        </w:tc>
      </w:tr>
      <w:tr w:rsidR="000E3F51" w:rsidRPr="000E3F51" w14:paraId="29A87718" w14:textId="77777777" w:rsidTr="00413E13">
        <w:tc>
          <w:tcPr>
            <w:tcW w:w="511" w:type="dxa"/>
          </w:tcPr>
          <w:p w14:paraId="66139007"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1</w:t>
            </w:r>
          </w:p>
        </w:tc>
        <w:tc>
          <w:tcPr>
            <w:tcW w:w="1654" w:type="dxa"/>
          </w:tcPr>
          <w:p w14:paraId="17894093"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Hymenoptera</w:t>
            </w:r>
          </w:p>
        </w:tc>
        <w:tc>
          <w:tcPr>
            <w:tcW w:w="3134" w:type="dxa"/>
          </w:tcPr>
          <w:p w14:paraId="077F0DB0" w14:textId="77777777" w:rsidR="000E3F51" w:rsidRPr="000E3F51" w:rsidRDefault="000E3F51" w:rsidP="00413E13">
            <w:pPr>
              <w:widowControl w:val="0"/>
              <w:autoSpaceDE w:val="0"/>
              <w:autoSpaceDN w:val="0"/>
              <w:outlineLvl w:val="1"/>
              <w:rPr>
                <w:rFonts w:ascii="Arial" w:eastAsia="Times New Roman" w:hAnsi="Arial" w:cs="Arial"/>
              </w:rPr>
            </w:pPr>
            <w:r w:rsidRPr="000E3F51">
              <w:rPr>
                <w:rFonts w:ascii="Arial" w:hAnsi="Arial" w:cs="Arial"/>
              </w:rPr>
              <w:t xml:space="preserve">Formicidae, </w:t>
            </w:r>
            <w:proofErr w:type="spellStart"/>
            <w:proofErr w:type="gram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Chalcididae</w:t>
            </w:r>
            <w:proofErr w:type="spellEnd"/>
            <w:proofErr w:type="gramEnd"/>
            <w:r w:rsidRPr="000E3F51">
              <w:rPr>
                <w:rFonts w:ascii="Arial" w:hAnsi="Arial" w:cs="Arial"/>
              </w:rPr>
              <w:t xml:space="preserve">, </w:t>
            </w:r>
            <w:proofErr w:type="spellStart"/>
            <w:r w:rsidRPr="000E3F51">
              <w:rPr>
                <w:rFonts w:ascii="Arial" w:hAnsi="Arial" w:cs="Arial"/>
              </w:rPr>
              <w:t>Encyrtidae</w:t>
            </w:r>
            <w:proofErr w:type="spellEnd"/>
            <w:r w:rsidRPr="000E3F51">
              <w:rPr>
                <w:rFonts w:ascii="Arial" w:hAnsi="Arial" w:cs="Arial"/>
              </w:rPr>
              <w:t xml:space="preserve">, </w:t>
            </w:r>
            <w:proofErr w:type="spellStart"/>
            <w:r w:rsidRPr="000E3F51">
              <w:rPr>
                <w:rFonts w:ascii="Arial" w:hAnsi="Arial" w:cs="Arial"/>
              </w:rPr>
              <w:t>Anthophoridae</w:t>
            </w:r>
            <w:proofErr w:type="spellEnd"/>
            <w:r w:rsidRPr="000E3F51">
              <w:rPr>
                <w:rFonts w:ascii="Arial" w:hAnsi="Arial" w:cs="Arial"/>
              </w:rPr>
              <w:t xml:space="preserve">, </w:t>
            </w:r>
          </w:p>
        </w:tc>
        <w:tc>
          <w:tcPr>
            <w:tcW w:w="3080" w:type="dxa"/>
          </w:tcPr>
          <w:p w14:paraId="303CDAF3" w14:textId="77777777" w:rsidR="000E3F51" w:rsidRPr="000E3F51" w:rsidRDefault="000E3F51" w:rsidP="00413E13">
            <w:pPr>
              <w:rPr>
                <w:rFonts w:ascii="Arial" w:hAnsi="Arial" w:cs="Arial"/>
              </w:rPr>
            </w:pPr>
            <w:r w:rsidRPr="000E3F51">
              <w:rPr>
                <w:rFonts w:ascii="Arial" w:hAnsi="Arial" w:cs="Arial"/>
              </w:rPr>
              <w:t xml:space="preserve">Formicidae, </w:t>
            </w:r>
            <w:proofErr w:type="spellStart"/>
            <w:proofErr w:type="gram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Chalcididae</w:t>
            </w:r>
            <w:proofErr w:type="spellEnd"/>
            <w:proofErr w:type="gramEnd"/>
            <w:r w:rsidRPr="000E3F51">
              <w:rPr>
                <w:rFonts w:ascii="Arial" w:hAnsi="Arial" w:cs="Arial"/>
              </w:rPr>
              <w:t xml:space="preserve">, </w:t>
            </w:r>
            <w:proofErr w:type="spellStart"/>
            <w:r w:rsidRPr="000E3F51">
              <w:rPr>
                <w:rFonts w:ascii="Arial" w:hAnsi="Arial" w:cs="Arial"/>
              </w:rPr>
              <w:t>Encyrtidae</w:t>
            </w:r>
            <w:proofErr w:type="spellEnd"/>
            <w:r w:rsidRPr="000E3F51">
              <w:rPr>
                <w:rFonts w:ascii="Arial" w:hAnsi="Arial" w:cs="Arial"/>
              </w:rPr>
              <w:t xml:space="preserve">, </w:t>
            </w:r>
            <w:proofErr w:type="spellStart"/>
            <w:r w:rsidRPr="000E3F51">
              <w:rPr>
                <w:rFonts w:ascii="Arial" w:hAnsi="Arial" w:cs="Arial"/>
              </w:rPr>
              <w:t>Anthophoridae</w:t>
            </w:r>
            <w:proofErr w:type="spellEnd"/>
            <w:r w:rsidRPr="000E3F51">
              <w:rPr>
                <w:rFonts w:ascii="Arial" w:hAnsi="Arial" w:cs="Arial"/>
              </w:rPr>
              <w:t xml:space="preserve">,, </w:t>
            </w:r>
          </w:p>
        </w:tc>
      </w:tr>
      <w:tr w:rsidR="000E3F51" w:rsidRPr="000E3F51" w14:paraId="38A4BC90" w14:textId="77777777" w:rsidTr="00413E13">
        <w:tc>
          <w:tcPr>
            <w:tcW w:w="511" w:type="dxa"/>
          </w:tcPr>
          <w:p w14:paraId="3EED8CE4" w14:textId="77777777" w:rsidR="000E3F51" w:rsidRPr="000E3F51" w:rsidRDefault="000E3F51" w:rsidP="00413E13">
            <w:pPr>
              <w:widowControl w:val="0"/>
              <w:autoSpaceDE w:val="0"/>
              <w:autoSpaceDN w:val="0"/>
              <w:jc w:val="both"/>
              <w:outlineLvl w:val="1"/>
              <w:rPr>
                <w:rFonts w:ascii="Arial" w:eastAsia="Times New Roman" w:hAnsi="Arial" w:cs="Arial"/>
              </w:rPr>
            </w:pPr>
            <w:r w:rsidRPr="000E3F51">
              <w:rPr>
                <w:rFonts w:ascii="Arial" w:eastAsia="Times New Roman" w:hAnsi="Arial" w:cs="Arial"/>
              </w:rPr>
              <w:t>2</w:t>
            </w:r>
          </w:p>
        </w:tc>
        <w:tc>
          <w:tcPr>
            <w:tcW w:w="1654" w:type="dxa"/>
          </w:tcPr>
          <w:p w14:paraId="3A42D102" w14:textId="77777777" w:rsidR="000E3F51" w:rsidRPr="000E3F51" w:rsidRDefault="000E3F51" w:rsidP="00413E13">
            <w:pPr>
              <w:widowControl w:val="0"/>
              <w:autoSpaceDE w:val="0"/>
              <w:autoSpaceDN w:val="0"/>
              <w:jc w:val="both"/>
              <w:outlineLvl w:val="1"/>
              <w:rPr>
                <w:rFonts w:ascii="Arial" w:eastAsia="Times New Roman" w:hAnsi="Arial" w:cs="Arial"/>
              </w:rPr>
            </w:pPr>
            <w:r w:rsidRPr="000E3F51">
              <w:rPr>
                <w:rFonts w:ascii="Arial" w:eastAsia="Times New Roman" w:hAnsi="Arial" w:cs="Arial"/>
              </w:rPr>
              <w:t>Arachnida</w:t>
            </w:r>
          </w:p>
        </w:tc>
        <w:tc>
          <w:tcPr>
            <w:tcW w:w="3134" w:type="dxa"/>
          </w:tcPr>
          <w:p w14:paraId="30590CD3" w14:textId="77777777" w:rsidR="000E3F51" w:rsidRPr="000E3F51" w:rsidRDefault="000E3F51" w:rsidP="00413E13">
            <w:pPr>
              <w:widowControl w:val="0"/>
              <w:autoSpaceDE w:val="0"/>
              <w:autoSpaceDN w:val="0"/>
              <w:outlineLvl w:val="1"/>
              <w:rPr>
                <w:rFonts w:ascii="Arial" w:eastAsia="Times New Roman" w:hAnsi="Arial" w:cs="Arial"/>
              </w:rPr>
            </w:pPr>
            <w:proofErr w:type="spellStart"/>
            <w:r w:rsidRPr="000E3F51">
              <w:rPr>
                <w:rFonts w:ascii="Arial" w:hAnsi="Arial" w:cs="Arial"/>
              </w:rPr>
              <w:t>Oxyopidae</w:t>
            </w:r>
            <w:proofErr w:type="spellEnd"/>
            <w:r w:rsidRPr="000E3F51">
              <w:rPr>
                <w:rFonts w:ascii="Arial" w:hAnsi="Arial" w:cs="Arial"/>
              </w:rPr>
              <w:t xml:space="preserve">, </w:t>
            </w:r>
            <w:proofErr w:type="spellStart"/>
            <w:proofErr w:type="gramStart"/>
            <w:r w:rsidRPr="000E3F51">
              <w:rPr>
                <w:rFonts w:ascii="Arial" w:hAnsi="Arial" w:cs="Arial"/>
              </w:rPr>
              <w:t>Lycosidae</w:t>
            </w:r>
            <w:proofErr w:type="spellEnd"/>
            <w:r w:rsidRPr="000E3F51">
              <w:rPr>
                <w:rFonts w:ascii="Arial" w:hAnsi="Arial" w:cs="Arial"/>
              </w:rPr>
              <w:t xml:space="preserve">,  </w:t>
            </w:r>
            <w:proofErr w:type="spellStart"/>
            <w:r w:rsidRPr="000E3F51">
              <w:rPr>
                <w:rFonts w:ascii="Arial" w:hAnsi="Arial" w:cs="Arial"/>
              </w:rPr>
              <w:t>Linyphiidae</w:t>
            </w:r>
            <w:proofErr w:type="spellEnd"/>
            <w:proofErr w:type="gramEnd"/>
            <w:r w:rsidRPr="000E3F51">
              <w:rPr>
                <w:rFonts w:ascii="Arial" w:hAnsi="Arial" w:cs="Arial"/>
              </w:rPr>
              <w:t xml:space="preserve">,  </w:t>
            </w:r>
            <w:proofErr w:type="spellStart"/>
            <w:r w:rsidRPr="000E3F51">
              <w:rPr>
                <w:rFonts w:ascii="Arial" w:hAnsi="Arial" w:cs="Arial"/>
              </w:rPr>
              <w:t>Ferficulidae</w:t>
            </w:r>
            <w:proofErr w:type="spellEnd"/>
          </w:p>
        </w:tc>
        <w:tc>
          <w:tcPr>
            <w:tcW w:w="3080" w:type="dxa"/>
          </w:tcPr>
          <w:p w14:paraId="634DBEFC" w14:textId="77777777" w:rsidR="000E3F51" w:rsidRPr="000E3F51" w:rsidRDefault="000E3F51" w:rsidP="00413E13">
            <w:pPr>
              <w:rPr>
                <w:rFonts w:ascii="Arial" w:hAnsi="Arial" w:cs="Arial"/>
              </w:rPr>
            </w:pPr>
            <w:proofErr w:type="spellStart"/>
            <w:r w:rsidRPr="000E3F51">
              <w:rPr>
                <w:rFonts w:ascii="Arial" w:hAnsi="Arial" w:cs="Arial"/>
              </w:rPr>
              <w:t>Oxyopidae</w:t>
            </w:r>
            <w:proofErr w:type="spellEnd"/>
            <w:r w:rsidRPr="000E3F51">
              <w:rPr>
                <w:rFonts w:ascii="Arial" w:hAnsi="Arial" w:cs="Arial"/>
              </w:rPr>
              <w:t xml:space="preserve">, </w:t>
            </w:r>
            <w:proofErr w:type="spellStart"/>
            <w:proofErr w:type="gramStart"/>
            <w:r w:rsidRPr="000E3F51">
              <w:rPr>
                <w:rFonts w:ascii="Arial" w:hAnsi="Arial" w:cs="Arial"/>
              </w:rPr>
              <w:t>Lycosidae</w:t>
            </w:r>
            <w:proofErr w:type="spellEnd"/>
            <w:r w:rsidRPr="000E3F51">
              <w:rPr>
                <w:rFonts w:ascii="Arial" w:hAnsi="Arial" w:cs="Arial"/>
              </w:rPr>
              <w:t xml:space="preserve">,  </w:t>
            </w:r>
            <w:proofErr w:type="spellStart"/>
            <w:r w:rsidRPr="000E3F51">
              <w:rPr>
                <w:rFonts w:ascii="Arial" w:hAnsi="Arial" w:cs="Arial"/>
              </w:rPr>
              <w:t>Linyphiidae</w:t>
            </w:r>
            <w:proofErr w:type="spellEnd"/>
            <w:proofErr w:type="gramEnd"/>
            <w:r w:rsidRPr="000E3F51">
              <w:rPr>
                <w:rFonts w:ascii="Arial" w:hAnsi="Arial" w:cs="Arial"/>
              </w:rPr>
              <w:t xml:space="preserve">,  </w:t>
            </w:r>
            <w:proofErr w:type="spellStart"/>
            <w:r w:rsidRPr="000E3F51">
              <w:rPr>
                <w:rFonts w:ascii="Arial" w:hAnsi="Arial" w:cs="Arial"/>
              </w:rPr>
              <w:t>Ferficulidae</w:t>
            </w:r>
            <w:proofErr w:type="spellEnd"/>
            <w:r w:rsidRPr="000E3F51">
              <w:rPr>
                <w:rFonts w:ascii="Arial" w:hAnsi="Arial" w:cs="Arial"/>
              </w:rPr>
              <w:t xml:space="preserve">, </w:t>
            </w:r>
            <w:proofErr w:type="spellStart"/>
            <w:r w:rsidRPr="000E3F51">
              <w:rPr>
                <w:rFonts w:ascii="Arial" w:eastAsia="Times New Roman" w:hAnsi="Arial" w:cs="Arial"/>
                <w:color w:val="000000"/>
              </w:rPr>
              <w:t>Sparassidae</w:t>
            </w:r>
            <w:proofErr w:type="spellEnd"/>
          </w:p>
        </w:tc>
      </w:tr>
      <w:tr w:rsidR="000E3F51" w:rsidRPr="000E3F51" w14:paraId="6C45BC38" w14:textId="77777777" w:rsidTr="00413E13">
        <w:tc>
          <w:tcPr>
            <w:tcW w:w="511" w:type="dxa"/>
          </w:tcPr>
          <w:p w14:paraId="22E2B32F"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3</w:t>
            </w:r>
          </w:p>
        </w:tc>
        <w:tc>
          <w:tcPr>
            <w:tcW w:w="1654" w:type="dxa"/>
          </w:tcPr>
          <w:p w14:paraId="6E00E7DD"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Diptera</w:t>
            </w:r>
          </w:p>
        </w:tc>
        <w:tc>
          <w:tcPr>
            <w:tcW w:w="3134" w:type="dxa"/>
          </w:tcPr>
          <w:p w14:paraId="33CC08AA" w14:textId="77777777" w:rsidR="000E3F51" w:rsidRPr="000E3F51" w:rsidRDefault="000E3F51" w:rsidP="00413E13">
            <w:pPr>
              <w:widowControl w:val="0"/>
              <w:autoSpaceDE w:val="0"/>
              <w:autoSpaceDN w:val="0"/>
              <w:outlineLvl w:val="1"/>
              <w:rPr>
                <w:rFonts w:ascii="Arial" w:eastAsia="Times New Roman" w:hAnsi="Arial" w:cs="Arial"/>
                <w:lang w:val="de-DE"/>
              </w:rPr>
            </w:pPr>
            <w:r w:rsidRPr="000E3F51">
              <w:rPr>
                <w:rFonts w:ascii="Arial" w:hAnsi="Arial" w:cs="Arial"/>
                <w:lang w:val="de-DE"/>
              </w:rPr>
              <w:t>Thacinidae, Sarcophaginae</w:t>
            </w:r>
          </w:p>
        </w:tc>
        <w:tc>
          <w:tcPr>
            <w:tcW w:w="3080" w:type="dxa"/>
          </w:tcPr>
          <w:p w14:paraId="35753381" w14:textId="77777777" w:rsidR="000E3F51" w:rsidRPr="000E3F51" w:rsidRDefault="000E3F51" w:rsidP="00413E13">
            <w:pPr>
              <w:rPr>
                <w:rFonts w:ascii="Arial" w:hAnsi="Arial" w:cs="Arial"/>
              </w:rPr>
            </w:pPr>
            <w:proofErr w:type="spellStart"/>
            <w:r w:rsidRPr="000E3F51">
              <w:rPr>
                <w:rFonts w:ascii="Arial" w:hAnsi="Arial" w:cs="Arial"/>
              </w:rPr>
              <w:t>Thacinidae</w:t>
            </w:r>
            <w:proofErr w:type="spellEnd"/>
            <w:r w:rsidRPr="000E3F51">
              <w:rPr>
                <w:rFonts w:ascii="Arial" w:hAnsi="Arial" w:cs="Arial"/>
              </w:rPr>
              <w:t xml:space="preserve">, </w:t>
            </w:r>
            <w:r w:rsidRPr="000E3F51">
              <w:rPr>
                <w:rFonts w:ascii="Arial" w:hAnsi="Arial" w:cs="Arial"/>
                <w:lang w:val="de-DE"/>
              </w:rPr>
              <w:t>Sarcophaginae</w:t>
            </w:r>
          </w:p>
        </w:tc>
      </w:tr>
      <w:tr w:rsidR="000E3F51" w:rsidRPr="000E3F51" w14:paraId="1DBA69B6" w14:textId="77777777" w:rsidTr="00413E13">
        <w:tc>
          <w:tcPr>
            <w:tcW w:w="511" w:type="dxa"/>
          </w:tcPr>
          <w:p w14:paraId="4A52A0D0"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4</w:t>
            </w:r>
          </w:p>
        </w:tc>
        <w:tc>
          <w:tcPr>
            <w:tcW w:w="1654" w:type="dxa"/>
          </w:tcPr>
          <w:p w14:paraId="5EF017C3"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Coleoptera</w:t>
            </w:r>
          </w:p>
        </w:tc>
        <w:tc>
          <w:tcPr>
            <w:tcW w:w="3134" w:type="dxa"/>
          </w:tcPr>
          <w:p w14:paraId="3BCC89A1" w14:textId="77777777" w:rsidR="000E3F51" w:rsidRPr="000E3F51" w:rsidRDefault="000E3F51" w:rsidP="00413E13">
            <w:pPr>
              <w:widowControl w:val="0"/>
              <w:autoSpaceDE w:val="0"/>
              <w:autoSpaceDN w:val="0"/>
              <w:outlineLvl w:val="1"/>
              <w:rPr>
                <w:rFonts w:ascii="Arial" w:eastAsia="Times New Roman" w:hAnsi="Arial" w:cs="Arial"/>
                <w:lang w:val="de-DE"/>
              </w:rPr>
            </w:pPr>
            <w:r w:rsidRPr="000E3F51">
              <w:rPr>
                <w:rFonts w:ascii="Arial" w:hAnsi="Arial" w:cs="Arial"/>
                <w:lang w:val="de-DE"/>
              </w:rPr>
              <w:t>Staphylinidae, Tenebrionidae, Coccinellidae</w:t>
            </w:r>
          </w:p>
        </w:tc>
        <w:tc>
          <w:tcPr>
            <w:tcW w:w="3080" w:type="dxa"/>
          </w:tcPr>
          <w:p w14:paraId="30C8ADA5" w14:textId="77777777" w:rsidR="000E3F51" w:rsidRPr="000E3F51" w:rsidRDefault="000E3F51" w:rsidP="00413E13">
            <w:pPr>
              <w:rPr>
                <w:rFonts w:ascii="Arial" w:hAnsi="Arial" w:cs="Arial"/>
              </w:rPr>
            </w:pPr>
            <w:r w:rsidRPr="000E3F51">
              <w:rPr>
                <w:rFonts w:ascii="Arial" w:hAnsi="Arial" w:cs="Arial"/>
                <w:lang w:val="de-DE"/>
              </w:rPr>
              <w:t>Tenebrionidae</w:t>
            </w:r>
            <w:r w:rsidRPr="000E3F51">
              <w:rPr>
                <w:rFonts w:ascii="Arial" w:hAnsi="Arial" w:cs="Arial"/>
              </w:rPr>
              <w:t>, Coccinellidae</w:t>
            </w:r>
          </w:p>
        </w:tc>
      </w:tr>
      <w:tr w:rsidR="000E3F51" w:rsidRPr="000E3F51" w14:paraId="6A64D2FF" w14:textId="77777777" w:rsidTr="00413E13">
        <w:tc>
          <w:tcPr>
            <w:tcW w:w="511" w:type="dxa"/>
          </w:tcPr>
          <w:p w14:paraId="13762BA2"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6</w:t>
            </w:r>
          </w:p>
        </w:tc>
        <w:tc>
          <w:tcPr>
            <w:tcW w:w="1654" w:type="dxa"/>
          </w:tcPr>
          <w:p w14:paraId="3774A864"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Odonata</w:t>
            </w:r>
          </w:p>
        </w:tc>
        <w:tc>
          <w:tcPr>
            <w:tcW w:w="3134" w:type="dxa"/>
          </w:tcPr>
          <w:p w14:paraId="116CC332" w14:textId="77777777" w:rsidR="000E3F51" w:rsidRPr="000E3F51" w:rsidRDefault="000E3F51" w:rsidP="00413E13">
            <w:pPr>
              <w:widowControl w:val="0"/>
              <w:autoSpaceDE w:val="0"/>
              <w:autoSpaceDN w:val="0"/>
              <w:outlineLvl w:val="1"/>
              <w:rPr>
                <w:rFonts w:ascii="Arial" w:eastAsia="Times New Roman" w:hAnsi="Arial" w:cs="Arial"/>
                <w:lang w:val="de-DE"/>
              </w:rPr>
            </w:pPr>
            <w:proofErr w:type="spellStart"/>
            <w:r w:rsidRPr="000E3F51">
              <w:rPr>
                <w:rFonts w:ascii="Arial" w:eastAsia="Times New Roman" w:hAnsi="Arial" w:cs="Arial"/>
                <w:color w:val="000000"/>
              </w:rPr>
              <w:t>Libellulidae</w:t>
            </w:r>
            <w:proofErr w:type="spellEnd"/>
            <w:r w:rsidRPr="000E3F51">
              <w:rPr>
                <w:rFonts w:ascii="Arial" w:hAnsi="Arial" w:cs="Arial"/>
              </w:rPr>
              <w:t xml:space="preserve">, </w:t>
            </w:r>
            <w:proofErr w:type="spellStart"/>
            <w:proofErr w:type="gramStart"/>
            <w:r w:rsidRPr="000E3F51">
              <w:rPr>
                <w:rFonts w:ascii="Arial" w:hAnsi="Arial" w:cs="Arial"/>
              </w:rPr>
              <w:t>Coenagrionidae</w:t>
            </w:r>
            <w:proofErr w:type="spellEnd"/>
            <w:r w:rsidRPr="000E3F51">
              <w:rPr>
                <w:rFonts w:ascii="Arial" w:hAnsi="Arial" w:cs="Arial"/>
              </w:rPr>
              <w:t xml:space="preserve">,  </w:t>
            </w:r>
            <w:proofErr w:type="spellStart"/>
            <w:r w:rsidRPr="000E3F51">
              <w:rPr>
                <w:rFonts w:ascii="Arial" w:hAnsi="Arial" w:cs="Arial"/>
              </w:rPr>
              <w:t>Foriculidae</w:t>
            </w:r>
            <w:proofErr w:type="spellEnd"/>
            <w:proofErr w:type="gramEnd"/>
          </w:p>
        </w:tc>
        <w:tc>
          <w:tcPr>
            <w:tcW w:w="3080" w:type="dxa"/>
          </w:tcPr>
          <w:p w14:paraId="148917DA" w14:textId="77777777" w:rsidR="000E3F51" w:rsidRPr="000E3F51" w:rsidRDefault="000E3F51" w:rsidP="00413E13">
            <w:pPr>
              <w:rPr>
                <w:rFonts w:ascii="Arial" w:hAnsi="Arial" w:cs="Arial"/>
              </w:rPr>
            </w:pPr>
            <w:proofErr w:type="spellStart"/>
            <w:proofErr w:type="gramStart"/>
            <w:r w:rsidRPr="000E3F51">
              <w:rPr>
                <w:rFonts w:ascii="Arial" w:hAnsi="Arial" w:cs="Arial"/>
              </w:rPr>
              <w:t>Coenagrionidae</w:t>
            </w:r>
            <w:proofErr w:type="spellEnd"/>
            <w:r w:rsidRPr="000E3F51">
              <w:rPr>
                <w:rFonts w:ascii="Arial" w:hAnsi="Arial" w:cs="Arial"/>
              </w:rPr>
              <w:t xml:space="preserve">,  </w:t>
            </w:r>
            <w:proofErr w:type="spellStart"/>
            <w:r w:rsidRPr="000E3F51">
              <w:rPr>
                <w:rFonts w:ascii="Arial" w:hAnsi="Arial" w:cs="Arial"/>
              </w:rPr>
              <w:t>Foriculidae</w:t>
            </w:r>
            <w:proofErr w:type="spellEnd"/>
            <w:proofErr w:type="gramEnd"/>
            <w:r w:rsidRPr="000E3F51">
              <w:rPr>
                <w:rFonts w:ascii="Arial" w:hAnsi="Arial" w:cs="Arial"/>
              </w:rPr>
              <w:t>,</w:t>
            </w:r>
          </w:p>
        </w:tc>
      </w:tr>
      <w:tr w:rsidR="000E3F51" w:rsidRPr="000E3F51" w14:paraId="4AE27F9E" w14:textId="77777777" w:rsidTr="00413E13">
        <w:tc>
          <w:tcPr>
            <w:tcW w:w="511" w:type="dxa"/>
          </w:tcPr>
          <w:p w14:paraId="38FF6172"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7</w:t>
            </w:r>
          </w:p>
        </w:tc>
        <w:tc>
          <w:tcPr>
            <w:tcW w:w="1654" w:type="dxa"/>
          </w:tcPr>
          <w:p w14:paraId="384A1FF7"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Dermaptera</w:t>
            </w:r>
          </w:p>
        </w:tc>
        <w:tc>
          <w:tcPr>
            <w:tcW w:w="3134" w:type="dxa"/>
          </w:tcPr>
          <w:p w14:paraId="0EB9207F" w14:textId="77777777" w:rsidR="000E3F51" w:rsidRPr="000E3F51" w:rsidRDefault="000E3F51" w:rsidP="00413E13">
            <w:pPr>
              <w:widowControl w:val="0"/>
              <w:autoSpaceDE w:val="0"/>
              <w:autoSpaceDN w:val="0"/>
              <w:outlineLvl w:val="1"/>
              <w:rPr>
                <w:rFonts w:ascii="Arial" w:hAnsi="Arial" w:cs="Arial"/>
              </w:rPr>
            </w:pPr>
            <w:proofErr w:type="spellStart"/>
            <w:r w:rsidRPr="000E3F51">
              <w:rPr>
                <w:rFonts w:ascii="Arial" w:eastAsia="Times New Roman" w:hAnsi="Arial" w:cs="Arial"/>
                <w:color w:val="000000"/>
              </w:rPr>
              <w:t>Anisolabididae</w:t>
            </w:r>
            <w:proofErr w:type="spellEnd"/>
          </w:p>
        </w:tc>
        <w:tc>
          <w:tcPr>
            <w:tcW w:w="3080" w:type="dxa"/>
          </w:tcPr>
          <w:p w14:paraId="6F2072D6" w14:textId="77777777" w:rsidR="000E3F51" w:rsidRPr="000E3F51" w:rsidRDefault="000E3F51" w:rsidP="00413E13">
            <w:pPr>
              <w:rPr>
                <w:rFonts w:ascii="Arial" w:hAnsi="Arial" w:cs="Arial"/>
              </w:rPr>
            </w:pPr>
            <w:proofErr w:type="spellStart"/>
            <w:r w:rsidRPr="000E3F51">
              <w:rPr>
                <w:rFonts w:ascii="Arial" w:hAnsi="Arial" w:cs="Arial"/>
              </w:rPr>
              <w:t>Anisolabididae</w:t>
            </w:r>
            <w:proofErr w:type="spellEnd"/>
          </w:p>
        </w:tc>
      </w:tr>
    </w:tbl>
    <w:p w14:paraId="6E469E3F" w14:textId="77777777" w:rsidR="000E3F51" w:rsidRPr="000E3F51" w:rsidRDefault="000E3F51" w:rsidP="000E3F51">
      <w:pPr>
        <w:widowControl w:val="0"/>
        <w:autoSpaceDE w:val="0"/>
        <w:autoSpaceDN w:val="0"/>
        <w:outlineLvl w:val="1"/>
        <w:rPr>
          <w:rFonts w:ascii="Arial" w:hAnsi="Arial" w:cs="Arial"/>
          <w:lang w:val="de-DE"/>
        </w:rPr>
      </w:pPr>
    </w:p>
    <w:p w14:paraId="2631CC87" w14:textId="77777777" w:rsidR="000E3F51" w:rsidRPr="000E3F51" w:rsidRDefault="000E3F51" w:rsidP="00344BE5">
      <w:pPr>
        <w:widowControl w:val="0"/>
        <w:autoSpaceDE w:val="0"/>
        <w:autoSpaceDN w:val="0"/>
        <w:spacing w:after="120"/>
        <w:ind w:firstLine="720"/>
        <w:jc w:val="both"/>
        <w:outlineLvl w:val="1"/>
        <w:rPr>
          <w:rFonts w:ascii="Arial" w:hAnsi="Arial" w:cs="Arial"/>
        </w:rPr>
      </w:pPr>
      <w:r w:rsidRPr="000E3F51">
        <w:rPr>
          <w:rFonts w:ascii="Arial" w:hAnsi="Arial" w:cs="Arial"/>
        </w:rPr>
        <w:t xml:space="preserve">Shannon–Wiener diversity index (H’) was 1.48 for extract-treated plots and 1.68 for untreated plots, with evenness (E) of 0.78 and 0.86, respectively. Dominance (C) values were </w:t>
      </w:r>
      <w:r w:rsidRPr="000E3F51">
        <w:rPr>
          <w:rFonts w:ascii="Arial" w:hAnsi="Arial" w:cs="Arial"/>
        </w:rPr>
        <w:lastRenderedPageBreak/>
        <w:t xml:space="preserve">0.22 and 0.29. No significant differences were observed between treatments, indicating that the botanical extract did not adversely affect non-target natural enemies. According to </w:t>
      </w:r>
      <w:r w:rsidRPr="000E3F51">
        <w:rPr>
          <w:rFonts w:ascii="Arial" w:hAnsi="Arial" w:cs="Arial"/>
        </w:rPr>
        <w:fldChar w:fldCharType="begin"/>
      </w:r>
      <w:r w:rsidRPr="000E3F51">
        <w:rPr>
          <w:rFonts w:ascii="Arial" w:hAnsi="Arial" w:cs="Arial"/>
        </w:rPr>
        <w:instrText xml:space="preserve"> ADDIN ZOTERO_ITEM CSL_CITATION {"citationID":"0afiRiwn","properties":{"formattedCitation":"(Magurran, 2021)","plainCitation":"(Magurran, 2021)","noteIndex":0},"citationItems":[{"id":161,"uris":["http://zotero.org/users/17035950/items/JEKJIX7R"],"itemData":{"id":161,"type":"article-journal","container-title":"Current Biology","DOI":"10.1016/j.cub.2021.07.049","ISSN":"0960-9822","issue":"19","journalAbbreviation":"Current Biology","language":"English","note":"publisher: Elsevier\nPMID: 34637726","page":"R1174-R1177","source":"www.cell.com","title":"Measuring biological diversity","volume":"31","author":[{"family":"Magurran","given":"Anne E."}],"issued":{"date-parts":[["2021",10,11]]}}}],"schema":"https://github.com/citation-style-language/schema/raw/master/csl-citation.json"} </w:instrText>
      </w:r>
      <w:r w:rsidRPr="000E3F51">
        <w:rPr>
          <w:rFonts w:ascii="Arial" w:hAnsi="Arial" w:cs="Arial"/>
        </w:rPr>
        <w:fldChar w:fldCharType="separate"/>
      </w:r>
      <w:r w:rsidRPr="000E3F51">
        <w:rPr>
          <w:rFonts w:ascii="Arial" w:hAnsi="Arial" w:cs="Arial"/>
        </w:rPr>
        <w:t>Magurran, (2021)</w:t>
      </w:r>
      <w:r w:rsidRPr="000E3F51">
        <w:rPr>
          <w:rFonts w:ascii="Arial" w:hAnsi="Arial" w:cs="Arial"/>
        </w:rPr>
        <w:fldChar w:fldCharType="end"/>
      </w:r>
      <w:r w:rsidRPr="000E3F51">
        <w:rPr>
          <w:rFonts w:ascii="Arial" w:hAnsi="Arial" w:cs="Arial"/>
        </w:rPr>
        <w:t xml:space="preserve">, H′ values within this range indicate communities with relatively stable structural organization and a strong capacity to maintain their ecological functions. </w:t>
      </w:r>
    </w:p>
    <w:p w14:paraId="5F801143" w14:textId="77777777" w:rsidR="000E3F51" w:rsidRPr="000E3F51" w:rsidRDefault="000E3F51" w:rsidP="00344BE5">
      <w:pPr>
        <w:widowControl w:val="0"/>
        <w:autoSpaceDE w:val="0"/>
        <w:autoSpaceDN w:val="0"/>
        <w:spacing w:after="120"/>
        <w:ind w:firstLine="720"/>
        <w:jc w:val="both"/>
        <w:outlineLvl w:val="1"/>
        <w:rPr>
          <w:rFonts w:ascii="Arial" w:hAnsi="Arial" w:cs="Arial"/>
        </w:rPr>
      </w:pPr>
      <w:r w:rsidRPr="000E3F51">
        <w:rPr>
          <w:rFonts w:ascii="Arial" w:hAnsi="Arial" w:cs="Arial"/>
        </w:rPr>
        <w:t xml:space="preserve">A slight decline in evenness (E) observed in the </w:t>
      </w:r>
      <w:r w:rsidRPr="000E3F51">
        <w:rPr>
          <w:rFonts w:ascii="Arial" w:hAnsi="Arial" w:cs="Arial"/>
          <w:i/>
        </w:rPr>
        <w:t>C. gigantea</w:t>
      </w:r>
      <w:r w:rsidRPr="000E3F51">
        <w:rPr>
          <w:rFonts w:ascii="Arial" w:hAnsi="Arial" w:cs="Arial"/>
        </w:rPr>
        <w:t xml:space="preserve"> extract treatment may indicate that one or two predator or parasitoid species became somewhat more dominant, although still within a range that does not disrupt overall community balance. Such variation could result from differences in prey availability or selective effects of the extract on particular arthropod groups.  The relatively low dominance index (C) observed in both treatments indicates that no single natural enemy species overwhelmingly dominated the community. However, the slightly lower dominance in the </w:t>
      </w:r>
      <w:r w:rsidRPr="000E3F51">
        <w:rPr>
          <w:rFonts w:ascii="Arial" w:hAnsi="Arial" w:cs="Arial"/>
          <w:i/>
        </w:rPr>
        <w:t>C. gigantea</w:t>
      </w:r>
      <w:r w:rsidRPr="000E3F51">
        <w:rPr>
          <w:rFonts w:ascii="Arial" w:hAnsi="Arial" w:cs="Arial"/>
        </w:rPr>
        <w:t xml:space="preserve"> extract treatment suggests that the use of botanical insecticides may help suppress the dominance of certain species and maintain community structural balance. Low dominance is indicative of a well-functioning ecosystem, as high dominance is often associated with community instability </w:t>
      </w:r>
      <w:r w:rsidRPr="000E3F51">
        <w:rPr>
          <w:rFonts w:ascii="Arial" w:hAnsi="Arial" w:cs="Arial"/>
        </w:rPr>
        <w:fldChar w:fldCharType="begin"/>
      </w:r>
      <w:r w:rsidRPr="000E3F51">
        <w:rPr>
          <w:rFonts w:ascii="Arial" w:hAnsi="Arial" w:cs="Arial"/>
        </w:rPr>
        <w:instrText xml:space="preserve"> ADDIN ZOTERO_ITEM CSL_CITATION {"citationID":"9F36rvrx","properties":{"formattedCitation":"(Magurran, 2021)","plainCitation":"(Magurran, 2021)","noteIndex":0},"citationItems":[{"id":161,"uris":["http://zotero.org/users/17035950/items/JEKJIX7R"],"itemData":{"id":161,"type":"article-journal","container-title":"Current Biology","DOI":"10.1016/j.cub.2021.07.049","ISSN":"0960-9822","issue":"19","journalAbbreviation":"Current Biology","language":"English","note":"publisher: Elsevier\nPMID: 34637726","page":"R1174-R1177","source":"www.cell.com","title":"Measuring biological diversity","volume":"31","author":[{"family":"Magurran","given":"Anne E."}],"issued":{"date-parts":[["2021",10,11]]}}}],"schema":"https://github.com/citation-style-language/schema/raw/master/csl-citation.json"} </w:instrText>
      </w:r>
      <w:r w:rsidRPr="000E3F51">
        <w:rPr>
          <w:rFonts w:ascii="Arial" w:hAnsi="Arial" w:cs="Arial"/>
        </w:rPr>
        <w:fldChar w:fldCharType="separate"/>
      </w:r>
      <w:r w:rsidRPr="000E3F51">
        <w:rPr>
          <w:rFonts w:ascii="Arial" w:hAnsi="Arial" w:cs="Arial"/>
        </w:rPr>
        <w:t>(Magurran, 2021)</w:t>
      </w:r>
      <w:r w:rsidRPr="000E3F51">
        <w:rPr>
          <w:rFonts w:ascii="Arial" w:hAnsi="Arial" w:cs="Arial"/>
        </w:rPr>
        <w:fldChar w:fldCharType="end"/>
      </w:r>
      <w:r w:rsidRPr="000E3F51">
        <w:rPr>
          <w:rFonts w:ascii="Arial" w:hAnsi="Arial" w:cs="Arial"/>
        </w:rPr>
        <w:t>.</w:t>
      </w:r>
    </w:p>
    <w:p w14:paraId="101D3A76" w14:textId="1157770F" w:rsidR="000E3F51" w:rsidRPr="000E3F51" w:rsidRDefault="000E3F51" w:rsidP="00344BE5">
      <w:pPr>
        <w:widowControl w:val="0"/>
        <w:autoSpaceDE w:val="0"/>
        <w:autoSpaceDN w:val="0"/>
        <w:ind w:left="709" w:hanging="709"/>
        <w:outlineLvl w:val="1"/>
        <w:rPr>
          <w:rFonts w:ascii="Arial" w:hAnsi="Arial" w:cs="Arial"/>
        </w:rPr>
      </w:pPr>
      <w:r w:rsidRPr="000E3F51">
        <w:rPr>
          <w:rFonts w:ascii="Arial" w:hAnsi="Arial" w:cs="Arial"/>
        </w:rPr>
        <w:t>Table 5. Diversity indices of natural enemies in chili pepper plots treated with</w:t>
      </w:r>
      <w:r w:rsidRPr="000E3F51">
        <w:rPr>
          <w:rFonts w:ascii="Arial" w:hAnsi="Arial" w:cs="Arial"/>
          <w:i/>
        </w:rPr>
        <w:t xml:space="preserve"> Calotropis. gigantea</w:t>
      </w:r>
      <w:r w:rsidRPr="000E3F51">
        <w:rPr>
          <w:rFonts w:ascii="Arial" w:hAnsi="Arial" w:cs="Arial"/>
        </w:rPr>
        <w:t xml:space="preserve"> extract and in untreated plots.</w:t>
      </w:r>
    </w:p>
    <w:p w14:paraId="4C588A72" w14:textId="77777777" w:rsidR="000E3F51" w:rsidRPr="000E3F51" w:rsidRDefault="000E3F51" w:rsidP="000E3F51">
      <w:pPr>
        <w:widowControl w:val="0"/>
        <w:autoSpaceDE w:val="0"/>
        <w:autoSpaceDN w:val="0"/>
        <w:jc w:val="both"/>
        <w:outlineLvl w:val="1"/>
        <w:rPr>
          <w:rFonts w:ascii="Arial" w:hAnsi="Arial" w:cs="Arial"/>
        </w:rPr>
      </w:pPr>
    </w:p>
    <w:tbl>
      <w:tblPr>
        <w:tblStyle w:val="TableGrid3"/>
        <w:tblW w:w="0" w:type="auto"/>
        <w:tblInd w:w="108" w:type="dxa"/>
        <w:tblLook w:val="04A0" w:firstRow="1" w:lastRow="0" w:firstColumn="1" w:lastColumn="0" w:noHBand="0" w:noVBand="1"/>
      </w:tblPr>
      <w:tblGrid>
        <w:gridCol w:w="2202"/>
        <w:gridCol w:w="1851"/>
        <w:gridCol w:w="2026"/>
        <w:gridCol w:w="2011"/>
      </w:tblGrid>
      <w:tr w:rsidR="000E3F51" w:rsidRPr="000E3F51" w14:paraId="5A5763DF" w14:textId="77777777" w:rsidTr="00413E13">
        <w:tc>
          <w:tcPr>
            <w:tcW w:w="2268" w:type="dxa"/>
          </w:tcPr>
          <w:p w14:paraId="7BC41F7C" w14:textId="77777777" w:rsidR="000E3F51" w:rsidRPr="000E3F51" w:rsidRDefault="000E3F51" w:rsidP="00413E13">
            <w:pPr>
              <w:widowControl w:val="0"/>
              <w:autoSpaceDE w:val="0"/>
              <w:autoSpaceDN w:val="0"/>
              <w:jc w:val="both"/>
              <w:outlineLvl w:val="1"/>
              <w:rPr>
                <w:rFonts w:ascii="Arial" w:eastAsia="Times New Roman" w:hAnsi="Arial" w:cs="Arial"/>
                <w:lang w:val="de-DE"/>
              </w:rPr>
            </w:pPr>
            <w:r w:rsidRPr="000E3F51">
              <w:rPr>
                <w:rFonts w:ascii="Arial" w:hAnsi="Arial" w:cs="Arial"/>
              </w:rPr>
              <w:t>Treatment</w:t>
            </w:r>
          </w:p>
        </w:tc>
        <w:tc>
          <w:tcPr>
            <w:tcW w:w="1927" w:type="dxa"/>
          </w:tcPr>
          <w:p w14:paraId="2DF8E3B7"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diversity index</w:t>
            </w:r>
            <w:r w:rsidRPr="000E3F51">
              <w:rPr>
                <w:rFonts w:ascii="Arial" w:eastAsia="Times New Roman" w:hAnsi="Arial" w:cs="Arial"/>
                <w:lang w:val="de-DE"/>
              </w:rPr>
              <w:t xml:space="preserve"> (</w:t>
            </w:r>
            <w:proofErr w:type="gramStart"/>
            <w:r w:rsidRPr="000E3F51">
              <w:rPr>
                <w:rFonts w:ascii="Arial" w:eastAsia="Times New Roman" w:hAnsi="Arial" w:cs="Arial"/>
                <w:lang w:val="de-DE"/>
              </w:rPr>
              <w:t>H‘</w:t>
            </w:r>
            <w:proofErr w:type="gramEnd"/>
            <w:r w:rsidRPr="000E3F51">
              <w:rPr>
                <w:rFonts w:ascii="Arial" w:eastAsia="Times New Roman" w:hAnsi="Arial" w:cs="Arial"/>
                <w:lang w:val="de-DE"/>
              </w:rPr>
              <w:t>)</w:t>
            </w:r>
          </w:p>
        </w:tc>
        <w:tc>
          <w:tcPr>
            <w:tcW w:w="2107" w:type="dxa"/>
          </w:tcPr>
          <w:p w14:paraId="4044AD23"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evenness</w:t>
            </w:r>
            <w:r w:rsidRPr="000E3F51">
              <w:rPr>
                <w:rFonts w:ascii="Arial" w:eastAsia="Times New Roman" w:hAnsi="Arial" w:cs="Arial"/>
                <w:lang w:val="de-DE"/>
              </w:rPr>
              <w:t xml:space="preserve"> (E)</w:t>
            </w:r>
          </w:p>
        </w:tc>
        <w:tc>
          <w:tcPr>
            <w:tcW w:w="2077" w:type="dxa"/>
          </w:tcPr>
          <w:p w14:paraId="25B2E066" w14:textId="77777777" w:rsidR="000E3F51" w:rsidRPr="000E3F51" w:rsidRDefault="000E3F51" w:rsidP="00413E13">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Dominance</w:t>
            </w:r>
            <w:r w:rsidRPr="000E3F51">
              <w:rPr>
                <w:rFonts w:ascii="Arial" w:eastAsia="Times New Roman" w:hAnsi="Arial" w:cs="Arial"/>
                <w:lang w:val="de-DE"/>
              </w:rPr>
              <w:t xml:space="preserve"> (C)</w:t>
            </w:r>
          </w:p>
        </w:tc>
      </w:tr>
      <w:tr w:rsidR="000E3F51" w:rsidRPr="000E3F51" w14:paraId="4BC61BBE" w14:textId="77777777" w:rsidTr="00413E13">
        <w:tc>
          <w:tcPr>
            <w:tcW w:w="2268" w:type="dxa"/>
          </w:tcPr>
          <w:p w14:paraId="659F5267" w14:textId="77777777" w:rsidR="000E3F51" w:rsidRPr="000E3F51" w:rsidRDefault="000E3F51" w:rsidP="00413E13">
            <w:pPr>
              <w:widowControl w:val="0"/>
              <w:autoSpaceDE w:val="0"/>
              <w:autoSpaceDN w:val="0"/>
              <w:spacing w:line="360" w:lineRule="auto"/>
              <w:jc w:val="both"/>
              <w:outlineLvl w:val="1"/>
              <w:rPr>
                <w:rFonts w:ascii="Arial" w:eastAsia="Times New Roman" w:hAnsi="Arial" w:cs="Arial"/>
                <w:lang w:val="de-DE"/>
              </w:rPr>
            </w:pPr>
            <w:r w:rsidRPr="000E3F51">
              <w:rPr>
                <w:rFonts w:ascii="Arial" w:eastAsia="Times New Roman" w:hAnsi="Arial" w:cs="Arial"/>
                <w:lang w:val="de-DE"/>
              </w:rPr>
              <w:t xml:space="preserve">Extract </w:t>
            </w:r>
            <w:r w:rsidRPr="000E3F51">
              <w:rPr>
                <w:rFonts w:ascii="Arial" w:eastAsia="Times New Roman" w:hAnsi="Arial" w:cs="Arial"/>
                <w:i/>
                <w:lang w:val="de-DE"/>
              </w:rPr>
              <w:t>C. gigantea</w:t>
            </w:r>
          </w:p>
        </w:tc>
        <w:tc>
          <w:tcPr>
            <w:tcW w:w="1927" w:type="dxa"/>
          </w:tcPr>
          <w:p w14:paraId="2C2924F1"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1.48a</w:t>
            </w:r>
          </w:p>
        </w:tc>
        <w:tc>
          <w:tcPr>
            <w:tcW w:w="2107" w:type="dxa"/>
          </w:tcPr>
          <w:p w14:paraId="417AFE21"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0.78a</w:t>
            </w:r>
          </w:p>
        </w:tc>
        <w:tc>
          <w:tcPr>
            <w:tcW w:w="2077" w:type="dxa"/>
          </w:tcPr>
          <w:p w14:paraId="267403E4"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0.22a</w:t>
            </w:r>
          </w:p>
        </w:tc>
      </w:tr>
      <w:tr w:rsidR="000E3F51" w:rsidRPr="000E3F51" w14:paraId="01B574C3" w14:textId="77777777" w:rsidTr="00413E13">
        <w:tc>
          <w:tcPr>
            <w:tcW w:w="2268" w:type="dxa"/>
          </w:tcPr>
          <w:p w14:paraId="0A2320AB" w14:textId="77777777" w:rsidR="000E3F51" w:rsidRPr="000E3F51" w:rsidRDefault="000E3F51" w:rsidP="00413E13">
            <w:pPr>
              <w:widowControl w:val="0"/>
              <w:autoSpaceDE w:val="0"/>
              <w:autoSpaceDN w:val="0"/>
              <w:spacing w:line="360" w:lineRule="auto"/>
              <w:jc w:val="both"/>
              <w:outlineLvl w:val="1"/>
              <w:rPr>
                <w:rFonts w:ascii="Arial" w:eastAsia="Times New Roman" w:hAnsi="Arial" w:cs="Arial"/>
                <w:lang w:val="de-DE"/>
              </w:rPr>
            </w:pPr>
            <w:proofErr w:type="spellStart"/>
            <w:r w:rsidRPr="000E3F51">
              <w:rPr>
                <w:rFonts w:ascii="Arial" w:eastAsia="Times New Roman" w:hAnsi="Arial" w:cs="Arial"/>
              </w:rPr>
              <w:t>Untreatement</w:t>
            </w:r>
            <w:proofErr w:type="spellEnd"/>
          </w:p>
        </w:tc>
        <w:tc>
          <w:tcPr>
            <w:tcW w:w="1927" w:type="dxa"/>
          </w:tcPr>
          <w:p w14:paraId="00A8EF08"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1.68 a</w:t>
            </w:r>
          </w:p>
        </w:tc>
        <w:tc>
          <w:tcPr>
            <w:tcW w:w="2107" w:type="dxa"/>
          </w:tcPr>
          <w:p w14:paraId="6BE6AE24"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 xml:space="preserve">0.86a </w:t>
            </w:r>
          </w:p>
        </w:tc>
        <w:tc>
          <w:tcPr>
            <w:tcW w:w="2077" w:type="dxa"/>
          </w:tcPr>
          <w:p w14:paraId="0BB389AD" w14:textId="77777777" w:rsidR="000E3F51" w:rsidRPr="000E3F51" w:rsidRDefault="000E3F51" w:rsidP="00413E13">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0.29a</w:t>
            </w:r>
          </w:p>
        </w:tc>
      </w:tr>
    </w:tbl>
    <w:p w14:paraId="294D182F" w14:textId="77777777" w:rsidR="000E3F51" w:rsidRPr="000E3F51" w:rsidRDefault="000E3F51" w:rsidP="000E3F51">
      <w:pPr>
        <w:widowControl w:val="0"/>
        <w:autoSpaceDE w:val="0"/>
        <w:autoSpaceDN w:val="0"/>
        <w:spacing w:line="360" w:lineRule="auto"/>
        <w:jc w:val="both"/>
        <w:outlineLvl w:val="1"/>
        <w:rPr>
          <w:rFonts w:ascii="Arial" w:hAnsi="Arial" w:cs="Arial"/>
          <w:lang w:val="de-DE"/>
        </w:rPr>
      </w:pPr>
    </w:p>
    <w:p w14:paraId="0DA59786" w14:textId="77777777" w:rsidR="000E3F51" w:rsidRP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t xml:space="preserve">The maintained diversity and structure suggest that the extract is selective toward herbivores, supporting its use in integrated pest management (IPM) programs. Low dominance and stable evenness indicate a resilient ecosystem capable of sustaining ecological functions, in line with findings that botanical insecticides are generally safer for natural enemies than synthetic chemicals </w:t>
      </w:r>
      <w:r w:rsidRPr="000E3F51">
        <w:rPr>
          <w:rFonts w:ascii="Arial" w:hAnsi="Arial" w:cs="Arial"/>
        </w:rPr>
        <w:fldChar w:fldCharType="begin"/>
      </w:r>
      <w:r w:rsidRPr="000E3F51">
        <w:rPr>
          <w:rFonts w:ascii="Arial" w:hAnsi="Arial" w:cs="Arial"/>
        </w:rPr>
        <w:instrText xml:space="preserve"> ADDIN ZOTERO_ITEM CSL_CITATION {"citationID":"VPgODu8m","properties":{"formattedCitation":"(Isman, 2020; Pavela &amp; Benelli, 2016)","plainCitation":"(Isman, 2020; Pavela &amp; Benelli, 2016)","noteIndex":0},"citationItems":[{"id":150,"uris":["http://zotero.org/users/17035950/items/Y8MTDEMW"],"itemData":{"id":150,"type":"article-journal","abstract":"Academic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B."}],"issued":{"date-parts":[["2020",1,7]]}}},{"id":141,"uris":["http://zotero.org/users/17035950/items/AQ87P526"],"itemData":{"id":141,"type":"article-journal","abstract":"&lt;p&gt;Recently, a growing number of plant essential oils (EOs) have been tested against a wide range of arthropod pests with promising results. EOs showed high effectiveness, multiple mechanisms of action, low toxicity on non-target vertebrates and potential for the use of byproducts as reducing and stabilizing agents for the synthesis of nanopesticides. However, the number of commercial biopesticides based on EOs remains low. We analyze the main strengths and weaknesses arising from the use of EO-based biopesticides. Key challenges for future research include: (i) development of efficient stabilization processes (e.g., microencapsulation); (ii) simplification of the complex and costly biopesticide authorization requirements; and (iii) optimization of plant growing conditions and extraction processes leading to EOs of homogeneous chemical composition.&lt;/p&gt;","container-title":"Trends in Plant Science","DOI":"10.1016/j.tplants.2016.10.005","ISSN":"1360-1385","issue":"12","journalAbbreviation":"Trends in Plant Science","language":"English","note":"publisher: Elsevier\nPMID: 27789158","page":"1000-1007","source":"www.cell.com","title":"Essential Oils as Ecofriendly Biopesticides? Challenges and Constraints","title-short":"Essential Oils as Ecofriendly Biopesticides?","volume":"21","author":[{"family":"Pavela","given":"Roman"},{"family":"Benelli","given":"Giovanni"}],"issued":{"date-parts":[["2016",12,1]]}}}],"schema":"https://github.com/citation-style-language/schema/raw/master/csl-citation.json"} </w:instrText>
      </w:r>
      <w:r w:rsidRPr="000E3F51">
        <w:rPr>
          <w:rFonts w:ascii="Arial" w:hAnsi="Arial" w:cs="Arial"/>
        </w:rPr>
        <w:fldChar w:fldCharType="separate"/>
      </w:r>
      <w:r w:rsidRPr="000E3F51">
        <w:rPr>
          <w:rFonts w:ascii="Arial" w:hAnsi="Arial" w:cs="Arial"/>
        </w:rPr>
        <w:t>(Isman, 2020; Pavela &amp; Benelli, 2016)</w:t>
      </w:r>
      <w:r w:rsidRPr="000E3F51">
        <w:rPr>
          <w:rFonts w:ascii="Arial" w:hAnsi="Arial" w:cs="Arial"/>
        </w:rPr>
        <w:fldChar w:fldCharType="end"/>
      </w:r>
      <w:r w:rsidRPr="000E3F51">
        <w:rPr>
          <w:rFonts w:ascii="Arial" w:hAnsi="Arial" w:cs="Arial"/>
        </w:rPr>
        <w:t xml:space="preserve">.  </w:t>
      </w:r>
    </w:p>
    <w:p w14:paraId="24B2AEFF" w14:textId="77777777" w:rsidR="000E3F51" w:rsidRPr="000E3F51" w:rsidRDefault="000E3F51" w:rsidP="00F20601">
      <w:pPr>
        <w:keepNext/>
        <w:keepLines/>
        <w:jc w:val="both"/>
        <w:outlineLvl w:val="2"/>
        <w:rPr>
          <w:rFonts w:ascii="Arial" w:eastAsiaTheme="majorEastAsia" w:hAnsi="Arial" w:cs="Arial"/>
          <w:b/>
          <w:bCs/>
          <w:color w:val="4F81BD" w:themeColor="accent1"/>
        </w:rPr>
      </w:pPr>
      <w:r w:rsidRPr="000E3F51">
        <w:rPr>
          <w:rFonts w:ascii="Arial" w:eastAsiaTheme="majorEastAsia" w:hAnsi="Arial" w:cs="Arial"/>
          <w:b/>
          <w:bCs/>
          <w:color w:val="4F81BD" w:themeColor="accent1"/>
        </w:rPr>
        <w:tab/>
      </w:r>
    </w:p>
    <w:p w14:paraId="00332B7F" w14:textId="77777777" w:rsidR="000E3F51" w:rsidRPr="000E3F51" w:rsidRDefault="000E3F51" w:rsidP="00344BE5">
      <w:pPr>
        <w:spacing w:after="120"/>
        <w:outlineLvl w:val="2"/>
        <w:rPr>
          <w:rFonts w:ascii="Arial" w:hAnsi="Arial" w:cs="Arial"/>
          <w:b/>
          <w:bCs/>
        </w:rPr>
      </w:pPr>
      <w:r w:rsidRPr="000E3F51">
        <w:rPr>
          <w:rFonts w:ascii="Arial" w:hAnsi="Arial" w:cs="Arial"/>
          <w:b/>
          <w:bCs/>
        </w:rPr>
        <w:t>Chili Pepper Yield</w:t>
      </w:r>
    </w:p>
    <w:p w14:paraId="46186687" w14:textId="77777777" w:rsidR="000E3F51" w:rsidRDefault="000E3F51" w:rsidP="00344BE5">
      <w:pPr>
        <w:spacing w:after="120"/>
        <w:ind w:firstLine="720"/>
        <w:jc w:val="both"/>
        <w:rPr>
          <w:rFonts w:ascii="Arial" w:hAnsi="Arial" w:cs="Arial"/>
        </w:rPr>
      </w:pPr>
      <w:r w:rsidRPr="000E3F51">
        <w:rPr>
          <w:rFonts w:ascii="Arial" w:hAnsi="Arial" w:cs="Arial"/>
        </w:rPr>
        <w:t>Yield responses (Table 5) demonstrated significant increases in extract-treated plots compared to negative controls. The highest yield (7.16 t ha</w:t>
      </w:r>
      <w:r w:rsidRPr="000E3F51">
        <w:rPr>
          <w:rFonts w:ascii="Cambria Math" w:hAnsi="Cambria Math" w:cs="Cambria Math"/>
        </w:rPr>
        <w:t>⁻</w:t>
      </w:r>
      <w:r w:rsidRPr="000E3F51">
        <w:rPr>
          <w:rFonts w:ascii="Arial" w:hAnsi="Arial" w:cs="Arial"/>
        </w:rPr>
        <w:t>¹) was obtained with the C4 treatment, statistically comparable to synthetic insecticide controls (7.39 t ha</w:t>
      </w:r>
      <w:r w:rsidRPr="000E3F51">
        <w:rPr>
          <w:rFonts w:ascii="Cambria Math" w:hAnsi="Cambria Math" w:cs="Cambria Math"/>
        </w:rPr>
        <w:t>⁻</w:t>
      </w:r>
      <w:r w:rsidRPr="000E3F51">
        <w:rPr>
          <w:rFonts w:ascii="Arial" w:hAnsi="Arial" w:cs="Arial"/>
        </w:rPr>
        <w:t>¹). Lower doses (C1–C3) yielded 5.73–6.82 t ha</w:t>
      </w:r>
      <w:r w:rsidRPr="000E3F51">
        <w:rPr>
          <w:rFonts w:ascii="Cambria Math" w:hAnsi="Cambria Math" w:cs="Cambria Math"/>
        </w:rPr>
        <w:t>⁻</w:t>
      </w:r>
      <w:r w:rsidRPr="000E3F51">
        <w:rPr>
          <w:rFonts w:ascii="Arial" w:hAnsi="Arial" w:cs="Arial"/>
        </w:rPr>
        <w:t xml:space="preserve">¹. These results indicate that high-dose extract application can achieve pest control efficacy comparable to synthetic insecticides while mitigating environmental risks. Secondary metabolites such as alkaloids, tannins, saponins, flavonoids, and terpenoids contribute not only to insecticidal effects but also enhance plant physiological processes, including antioxidant activity and photosynthesis, resulting in improved crop yield (Ghasemzadeh et al., 2010; </w:t>
      </w:r>
      <w:proofErr w:type="spellStart"/>
      <w:r w:rsidRPr="000E3F51">
        <w:rPr>
          <w:rFonts w:ascii="Arial" w:hAnsi="Arial" w:cs="Arial"/>
        </w:rPr>
        <w:t>Khasanah</w:t>
      </w:r>
      <w:proofErr w:type="spellEnd"/>
      <w:r w:rsidRPr="000E3F51">
        <w:rPr>
          <w:rFonts w:ascii="Arial" w:hAnsi="Arial" w:cs="Arial"/>
        </w:rPr>
        <w:t xml:space="preserve"> et al., 2021).</w:t>
      </w:r>
    </w:p>
    <w:p w14:paraId="5F7F5760" w14:textId="77777777" w:rsidR="00F20601" w:rsidRPr="000E3F51" w:rsidRDefault="00F20601" w:rsidP="00F20601">
      <w:pPr>
        <w:spacing w:before="100" w:beforeAutospacing="1" w:after="100" w:afterAutospacing="1"/>
        <w:ind w:firstLine="720"/>
        <w:jc w:val="both"/>
        <w:rPr>
          <w:rFonts w:ascii="Arial" w:hAnsi="Arial" w:cs="Arial"/>
        </w:rPr>
      </w:pPr>
    </w:p>
    <w:p w14:paraId="31221626" w14:textId="77777777" w:rsidR="000E3F51" w:rsidRPr="000E3F51" w:rsidRDefault="000E3F51" w:rsidP="000E3F51">
      <w:pPr>
        <w:widowControl w:val="0"/>
        <w:autoSpaceDE w:val="0"/>
        <w:autoSpaceDN w:val="0"/>
        <w:outlineLvl w:val="1"/>
        <w:rPr>
          <w:rFonts w:ascii="Arial" w:hAnsi="Arial" w:cs="Arial"/>
        </w:rPr>
      </w:pPr>
      <w:r w:rsidRPr="000E3F51">
        <w:rPr>
          <w:rFonts w:ascii="Arial" w:hAnsi="Arial" w:cs="Arial"/>
        </w:rPr>
        <w:t xml:space="preserve">Table 6. Chili pepper yield under different doses of </w:t>
      </w:r>
      <w:r w:rsidRPr="000E3F51">
        <w:rPr>
          <w:rFonts w:ascii="Arial" w:hAnsi="Arial" w:cs="Arial"/>
          <w:i/>
        </w:rPr>
        <w:t>Calotropis gigantea</w:t>
      </w:r>
      <w:r w:rsidRPr="000E3F51">
        <w:rPr>
          <w:rFonts w:ascii="Arial" w:hAnsi="Arial" w:cs="Arial"/>
        </w:rPr>
        <w:t xml:space="preserve"> leaf extract </w:t>
      </w:r>
    </w:p>
    <w:p w14:paraId="03B86E26" w14:textId="77777777" w:rsidR="000E3F51" w:rsidRPr="000E3F51" w:rsidRDefault="000E3F51" w:rsidP="000E3F51">
      <w:pPr>
        <w:widowControl w:val="0"/>
        <w:autoSpaceDE w:val="0"/>
        <w:autoSpaceDN w:val="0"/>
        <w:outlineLvl w:val="1"/>
        <w:rPr>
          <w:rFonts w:ascii="Arial" w:hAnsi="Arial" w:cs="Arial"/>
        </w:rPr>
      </w:pPr>
    </w:p>
    <w:tbl>
      <w:tblPr>
        <w:tblStyle w:val="TableGrid1"/>
        <w:tblpPr w:leftFromText="180" w:rightFromText="180" w:vertAnchor="text" w:tblpY="1"/>
        <w:tblOverlap w:val="never"/>
        <w:tblW w:w="0" w:type="auto"/>
        <w:tblLook w:val="04A0" w:firstRow="1" w:lastRow="0" w:firstColumn="1" w:lastColumn="0" w:noHBand="0" w:noVBand="1"/>
      </w:tblPr>
      <w:tblGrid>
        <w:gridCol w:w="2721"/>
        <w:gridCol w:w="2829"/>
      </w:tblGrid>
      <w:tr w:rsidR="000E3F51" w:rsidRPr="000E3F51" w14:paraId="08E8D969" w14:textId="77777777" w:rsidTr="00413E13">
        <w:tc>
          <w:tcPr>
            <w:tcW w:w="2721" w:type="dxa"/>
          </w:tcPr>
          <w:p w14:paraId="55666013" w14:textId="77777777" w:rsidR="000E3F51" w:rsidRPr="000E3F51" w:rsidRDefault="000E3F51" w:rsidP="00413E13">
            <w:pPr>
              <w:widowControl w:val="0"/>
              <w:autoSpaceDE w:val="0"/>
              <w:autoSpaceDN w:val="0"/>
              <w:jc w:val="center"/>
              <w:outlineLvl w:val="1"/>
              <w:rPr>
                <w:rFonts w:ascii="Arial" w:eastAsia="Times New Roman" w:hAnsi="Arial" w:cs="Arial"/>
                <w:b/>
                <w:sz w:val="20"/>
                <w:szCs w:val="20"/>
              </w:rPr>
            </w:pPr>
            <w:r w:rsidRPr="000E3F51">
              <w:rPr>
                <w:rFonts w:ascii="Arial" w:hAnsi="Arial" w:cs="Arial"/>
                <w:sz w:val="20"/>
                <w:szCs w:val="20"/>
              </w:rPr>
              <w:t>Treatment (g/L)</w:t>
            </w:r>
          </w:p>
        </w:tc>
        <w:tc>
          <w:tcPr>
            <w:tcW w:w="2829" w:type="dxa"/>
          </w:tcPr>
          <w:p w14:paraId="5380A28D"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hAnsi="Arial" w:cs="Arial"/>
                <w:sz w:val="20"/>
                <w:szCs w:val="20"/>
              </w:rPr>
              <w:t>Yield (Ton/ha)</w:t>
            </w:r>
          </w:p>
        </w:tc>
      </w:tr>
      <w:tr w:rsidR="000E3F51" w:rsidRPr="000E3F51" w14:paraId="04A810AD" w14:textId="77777777" w:rsidTr="00413E13">
        <w:tc>
          <w:tcPr>
            <w:tcW w:w="2721" w:type="dxa"/>
          </w:tcPr>
          <w:p w14:paraId="67E950FB"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w:t>
            </w:r>
          </w:p>
        </w:tc>
        <w:tc>
          <w:tcPr>
            <w:tcW w:w="2829" w:type="dxa"/>
          </w:tcPr>
          <w:p w14:paraId="7CD4A417"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4.27a</w:t>
            </w:r>
          </w:p>
        </w:tc>
      </w:tr>
      <w:tr w:rsidR="000E3F51" w:rsidRPr="000E3F51" w14:paraId="0BB05FC5" w14:textId="77777777" w:rsidTr="00413E13">
        <w:tc>
          <w:tcPr>
            <w:tcW w:w="2721" w:type="dxa"/>
          </w:tcPr>
          <w:p w14:paraId="3E947C2A"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w:t>
            </w:r>
          </w:p>
        </w:tc>
        <w:tc>
          <w:tcPr>
            <w:tcW w:w="2829" w:type="dxa"/>
          </w:tcPr>
          <w:p w14:paraId="616C1D64"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7.39c</w:t>
            </w:r>
          </w:p>
        </w:tc>
      </w:tr>
      <w:tr w:rsidR="000E3F51" w:rsidRPr="000E3F51" w14:paraId="69CC310F" w14:textId="77777777" w:rsidTr="00413E13">
        <w:tc>
          <w:tcPr>
            <w:tcW w:w="2721" w:type="dxa"/>
          </w:tcPr>
          <w:p w14:paraId="0856C543"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K1</w:t>
            </w:r>
          </w:p>
        </w:tc>
        <w:tc>
          <w:tcPr>
            <w:tcW w:w="2829" w:type="dxa"/>
          </w:tcPr>
          <w:p w14:paraId="03DA53C4"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5.73b</w:t>
            </w:r>
          </w:p>
        </w:tc>
      </w:tr>
      <w:tr w:rsidR="000E3F51" w:rsidRPr="000E3F51" w14:paraId="2B5C44AF" w14:textId="77777777" w:rsidTr="00413E13">
        <w:tc>
          <w:tcPr>
            <w:tcW w:w="2721" w:type="dxa"/>
          </w:tcPr>
          <w:p w14:paraId="598308C1"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K2</w:t>
            </w:r>
          </w:p>
        </w:tc>
        <w:tc>
          <w:tcPr>
            <w:tcW w:w="2829" w:type="dxa"/>
          </w:tcPr>
          <w:p w14:paraId="12F3BB11"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6.48b</w:t>
            </w:r>
          </w:p>
        </w:tc>
      </w:tr>
      <w:tr w:rsidR="000E3F51" w:rsidRPr="000E3F51" w14:paraId="44B5B87A" w14:textId="77777777" w:rsidTr="00413E13">
        <w:tc>
          <w:tcPr>
            <w:tcW w:w="2721" w:type="dxa"/>
          </w:tcPr>
          <w:p w14:paraId="0DC3A852"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lastRenderedPageBreak/>
              <w:t>K3</w:t>
            </w:r>
          </w:p>
        </w:tc>
        <w:tc>
          <w:tcPr>
            <w:tcW w:w="2829" w:type="dxa"/>
          </w:tcPr>
          <w:p w14:paraId="261D14DA" w14:textId="77777777" w:rsidR="000E3F51" w:rsidRPr="000E3F51" w:rsidRDefault="000E3F51" w:rsidP="00413E1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6.82b</w:t>
            </w:r>
          </w:p>
        </w:tc>
      </w:tr>
      <w:tr w:rsidR="000E3F51" w:rsidRPr="000E3F51" w14:paraId="7852F3F6" w14:textId="77777777" w:rsidTr="00413E13">
        <w:tc>
          <w:tcPr>
            <w:tcW w:w="2721" w:type="dxa"/>
          </w:tcPr>
          <w:p w14:paraId="0A72EC87" w14:textId="77777777" w:rsidR="000E3F51" w:rsidRPr="000E3F51" w:rsidRDefault="000E3F51" w:rsidP="00413E13">
            <w:pPr>
              <w:jc w:val="center"/>
              <w:rPr>
                <w:rFonts w:ascii="Arial" w:hAnsi="Arial" w:cs="Arial"/>
                <w:sz w:val="20"/>
                <w:szCs w:val="20"/>
              </w:rPr>
            </w:pPr>
            <w:r w:rsidRPr="000E3F51">
              <w:rPr>
                <w:rFonts w:ascii="Arial" w:hAnsi="Arial" w:cs="Arial"/>
                <w:sz w:val="20"/>
                <w:szCs w:val="20"/>
              </w:rPr>
              <w:t>K4</w:t>
            </w:r>
          </w:p>
        </w:tc>
        <w:tc>
          <w:tcPr>
            <w:tcW w:w="2829" w:type="dxa"/>
          </w:tcPr>
          <w:p w14:paraId="75E8A01A" w14:textId="77777777" w:rsidR="000E3F51" w:rsidRPr="000E3F51" w:rsidRDefault="000E3F51" w:rsidP="00413E13">
            <w:pPr>
              <w:widowControl w:val="0"/>
              <w:autoSpaceDE w:val="0"/>
              <w:autoSpaceDN w:val="0"/>
              <w:jc w:val="center"/>
              <w:outlineLvl w:val="1"/>
              <w:rPr>
                <w:rFonts w:ascii="Arial" w:eastAsia="Times New Roman" w:hAnsi="Arial" w:cs="Arial"/>
                <w:b/>
                <w:sz w:val="20"/>
                <w:szCs w:val="20"/>
              </w:rPr>
            </w:pPr>
            <w:r w:rsidRPr="000E3F51">
              <w:rPr>
                <w:rFonts w:ascii="Arial" w:eastAsia="Times New Roman" w:hAnsi="Arial" w:cs="Arial"/>
                <w:sz w:val="20"/>
                <w:szCs w:val="20"/>
              </w:rPr>
              <w:t>7.16c</w:t>
            </w:r>
          </w:p>
        </w:tc>
      </w:tr>
    </w:tbl>
    <w:p w14:paraId="21662193" w14:textId="77777777" w:rsidR="000E3F51" w:rsidRPr="000E3F51" w:rsidRDefault="000E3F51" w:rsidP="000E3F51">
      <w:pPr>
        <w:widowControl w:val="0"/>
        <w:autoSpaceDE w:val="0"/>
        <w:autoSpaceDN w:val="0"/>
        <w:spacing w:line="360" w:lineRule="auto"/>
        <w:jc w:val="both"/>
        <w:outlineLvl w:val="1"/>
        <w:rPr>
          <w:rFonts w:ascii="Arial" w:hAnsi="Arial" w:cs="Arial"/>
        </w:rPr>
      </w:pPr>
      <w:r w:rsidRPr="000E3F51">
        <w:rPr>
          <w:rFonts w:ascii="Arial" w:hAnsi="Arial" w:cs="Arial"/>
        </w:rPr>
        <w:br w:type="textWrapping" w:clear="all"/>
      </w:r>
      <w:r w:rsidRPr="000E3F51">
        <w:rPr>
          <w:rFonts w:ascii="Arial" w:hAnsi="Arial" w:cs="Arial"/>
        </w:rPr>
        <w:tab/>
      </w:r>
    </w:p>
    <w:p w14:paraId="7A0298B8" w14:textId="77777777" w:rsidR="00790ADA" w:rsidRPr="000E3F51" w:rsidRDefault="00790ADA" w:rsidP="00441B6F">
      <w:pPr>
        <w:pStyle w:val="Body"/>
        <w:spacing w:after="0"/>
        <w:rPr>
          <w:rFonts w:ascii="Arial" w:hAnsi="Arial" w:cs="Arial"/>
        </w:rPr>
      </w:pPr>
    </w:p>
    <w:p w14:paraId="50A9B551" w14:textId="77777777" w:rsidR="00B01FCD" w:rsidRPr="000E3F51" w:rsidRDefault="00000F8F" w:rsidP="00441B6F">
      <w:pPr>
        <w:pStyle w:val="ConcHead"/>
        <w:spacing w:after="0"/>
        <w:jc w:val="both"/>
        <w:rPr>
          <w:rFonts w:ascii="Arial" w:hAnsi="Arial" w:cs="Arial"/>
          <w:szCs w:val="22"/>
        </w:rPr>
      </w:pPr>
      <w:r w:rsidRPr="000E3F51">
        <w:rPr>
          <w:rFonts w:ascii="Arial" w:hAnsi="Arial" w:cs="Arial"/>
          <w:szCs w:val="22"/>
        </w:rPr>
        <w:t xml:space="preserve">4. </w:t>
      </w:r>
      <w:r w:rsidR="00B01FCD" w:rsidRPr="000E3F51">
        <w:rPr>
          <w:rFonts w:ascii="Arial" w:hAnsi="Arial" w:cs="Arial"/>
          <w:szCs w:val="22"/>
        </w:rPr>
        <w:t>Conclusion</w:t>
      </w:r>
    </w:p>
    <w:p w14:paraId="199DC29D" w14:textId="77777777" w:rsidR="00790ADA" w:rsidRPr="000E3F51" w:rsidRDefault="00790ADA" w:rsidP="00441B6F">
      <w:pPr>
        <w:pStyle w:val="ConcHead"/>
        <w:spacing w:after="0"/>
        <w:jc w:val="both"/>
        <w:rPr>
          <w:rFonts w:ascii="Arial" w:hAnsi="Arial" w:cs="Arial"/>
          <w:sz w:val="20"/>
        </w:rPr>
      </w:pPr>
    </w:p>
    <w:p w14:paraId="2CD721ED" w14:textId="6CBD6B75" w:rsidR="00790ADA" w:rsidRDefault="000E3F51" w:rsidP="00441B6F">
      <w:pPr>
        <w:pStyle w:val="Body"/>
        <w:spacing w:after="0"/>
        <w:rPr>
          <w:rFonts w:ascii="Arial" w:hAnsi="Arial" w:cs="Arial"/>
        </w:rPr>
      </w:pPr>
      <w:r w:rsidRPr="000E3F51">
        <w:rPr>
          <w:rFonts w:ascii="Arial" w:hAnsi="Arial" w:cs="Arial"/>
          <w:i/>
          <w:iCs/>
        </w:rPr>
        <w:t>C. gigantea</w:t>
      </w:r>
      <w:r w:rsidRPr="000E3F51">
        <w:rPr>
          <w:rFonts w:ascii="Arial" w:hAnsi="Arial" w:cs="Arial"/>
        </w:rPr>
        <w:t xml:space="preserve"> leaf extract significantly reduced </w:t>
      </w:r>
      <w:r w:rsidRPr="000E3F51">
        <w:rPr>
          <w:rFonts w:ascii="Arial" w:hAnsi="Arial" w:cs="Arial"/>
          <w:i/>
          <w:iCs/>
        </w:rPr>
        <w:t>A. gossypii</w:t>
      </w:r>
      <w:r w:rsidRPr="000E3F51">
        <w:rPr>
          <w:rFonts w:ascii="Arial" w:hAnsi="Arial" w:cs="Arial"/>
        </w:rPr>
        <w:t xml:space="preserve"> population density and infestation intensity on chili pepper without adversely affecting natural enemy diversity. High-dose applications achieved pest control efficacy comparable to synthetic insecticides, indicating the extract’s potential as an environmentally friendly alternative for sustainable pest management.</w:t>
      </w:r>
    </w:p>
    <w:p w14:paraId="2A12C7F1" w14:textId="77777777" w:rsidR="000E3F51" w:rsidRPr="000E3F51" w:rsidRDefault="000E3F51" w:rsidP="00441B6F">
      <w:pPr>
        <w:pStyle w:val="Body"/>
        <w:spacing w:after="0"/>
        <w:rPr>
          <w:rFonts w:ascii="Arial" w:hAnsi="Arial" w:cs="Arial"/>
        </w:rPr>
      </w:pPr>
    </w:p>
    <w:p w14:paraId="16943C12" w14:textId="77777777"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4388DC6C" w14:textId="77777777" w:rsidR="000C7559" w:rsidRPr="00CD1A31" w:rsidRDefault="000C7559" w:rsidP="000C7559">
      <w:pPr>
        <w:spacing w:before="100" w:beforeAutospacing="1" w:after="100" w:afterAutospacing="1"/>
        <w:jc w:val="both"/>
        <w:rPr>
          <w:rFonts w:ascii="Arial" w:hAnsi="Arial" w:cs="Arial"/>
        </w:rPr>
      </w:pPr>
      <w:r w:rsidRPr="003C6D36">
        <w:rPr>
          <w:rFonts w:ascii="Arial" w:hAnsi="Arial" w:cs="Arial"/>
        </w:rPr>
        <w:t>All authors have provided their consent for the publication of the study findings.</w:t>
      </w:r>
    </w:p>
    <w:p w14:paraId="6FF411C9" w14:textId="77777777" w:rsidR="00860000" w:rsidRDefault="00860000" w:rsidP="00441B6F">
      <w:pPr>
        <w:pStyle w:val="ReferHead"/>
        <w:spacing w:after="0"/>
        <w:jc w:val="both"/>
        <w:rPr>
          <w:rFonts w:ascii="Arial" w:hAnsi="Arial" w:cs="Arial"/>
        </w:rPr>
      </w:pPr>
    </w:p>
    <w:p w14:paraId="015B34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FE811E" w14:textId="77777777" w:rsidR="00790ADA" w:rsidRPr="00FB3A86" w:rsidRDefault="00790ADA" w:rsidP="00441B6F">
      <w:pPr>
        <w:pStyle w:val="ReferHead"/>
        <w:spacing w:after="0"/>
        <w:jc w:val="both"/>
        <w:rPr>
          <w:rFonts w:ascii="Arial" w:hAnsi="Arial" w:cs="Arial"/>
        </w:rPr>
      </w:pPr>
    </w:p>
    <w:p w14:paraId="2BD692DB"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Cocuzza</w:t>
      </w:r>
      <w:proofErr w:type="spellEnd"/>
      <w:r w:rsidRPr="00011059">
        <w:rPr>
          <w:rFonts w:ascii="Arial" w:hAnsi="Arial" w:cs="Arial"/>
        </w:rPr>
        <w:t xml:space="preserve">, G. (2024). Aphis </w:t>
      </w:r>
      <w:proofErr w:type="spellStart"/>
      <w:r w:rsidRPr="00011059">
        <w:rPr>
          <w:rFonts w:ascii="Arial" w:hAnsi="Arial" w:cs="Arial"/>
        </w:rPr>
        <w:t>gossypii</w:t>
      </w:r>
      <w:proofErr w:type="spellEnd"/>
      <w:r w:rsidRPr="00011059">
        <w:rPr>
          <w:rFonts w:ascii="Arial" w:hAnsi="Arial" w:cs="Arial"/>
        </w:rPr>
        <w:t xml:space="preserve"> (cotton aphid). CABI Compendium. </w:t>
      </w:r>
      <w:hyperlink r:id="rId14" w:history="1">
        <w:r w:rsidRPr="00CB1367">
          <w:rPr>
            <w:rStyle w:val="Hyperlink"/>
            <w:rFonts w:ascii="Arial" w:hAnsi="Arial" w:cs="Arial"/>
          </w:rPr>
          <w:t>https://doi.org/10.1079/cabicompendium.6204</w:t>
        </w:r>
      </w:hyperlink>
      <w:r>
        <w:rPr>
          <w:rFonts w:ascii="Arial" w:hAnsi="Arial" w:cs="Arial"/>
        </w:rPr>
        <w:t xml:space="preserve"> </w:t>
      </w:r>
    </w:p>
    <w:p w14:paraId="491803B6" w14:textId="12A7BFB6" w:rsidR="00011059" w:rsidRDefault="00011059" w:rsidP="00AE36DD">
      <w:pPr>
        <w:pStyle w:val="Bibliography"/>
        <w:ind w:left="567" w:hanging="567"/>
        <w:jc w:val="both"/>
        <w:rPr>
          <w:rFonts w:ascii="Arial" w:hAnsi="Arial" w:cs="Arial"/>
        </w:rPr>
      </w:pPr>
      <w:r w:rsidRPr="00011059">
        <w:rPr>
          <w:rFonts w:ascii="Arial" w:hAnsi="Arial" w:cs="Arial"/>
        </w:rPr>
        <w:t xml:space="preserve">Farhan, M., Pan, J., Hussain, H., Zhao, J., Yang, H., Ahmad, I., &amp; Zhang, S. (2024). Aphid-Resistant Plant Secondary Metabolites: Types, Insecticidal Mechanisms, and Prospects for Utilization. Plants, 13(16), 2332. </w:t>
      </w:r>
      <w:hyperlink r:id="rId15" w:history="1">
        <w:r w:rsidRPr="00CB1367">
          <w:rPr>
            <w:rStyle w:val="Hyperlink"/>
            <w:rFonts w:ascii="Arial" w:hAnsi="Arial" w:cs="Arial"/>
          </w:rPr>
          <w:t>https://doi.org/10.3390/plants13162332</w:t>
        </w:r>
      </w:hyperlink>
    </w:p>
    <w:p w14:paraId="632808C6"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Gammatantrawet</w:t>
      </w:r>
      <w:proofErr w:type="spellEnd"/>
      <w:r w:rsidRPr="00011059">
        <w:rPr>
          <w:rFonts w:ascii="Arial" w:hAnsi="Arial" w:cs="Arial"/>
        </w:rPr>
        <w:t xml:space="preserve">, N., </w:t>
      </w:r>
      <w:proofErr w:type="spellStart"/>
      <w:r w:rsidRPr="00011059">
        <w:rPr>
          <w:rFonts w:ascii="Arial" w:hAnsi="Arial" w:cs="Arial"/>
        </w:rPr>
        <w:t>Nguyễn</w:t>
      </w:r>
      <w:proofErr w:type="spellEnd"/>
      <w:r w:rsidRPr="00011059">
        <w:rPr>
          <w:rFonts w:ascii="Arial" w:hAnsi="Arial" w:cs="Arial"/>
        </w:rPr>
        <w:t xml:space="preserve">, C. T., </w:t>
      </w:r>
      <w:proofErr w:type="spellStart"/>
      <w:r w:rsidRPr="00011059">
        <w:rPr>
          <w:rFonts w:ascii="Arial" w:hAnsi="Arial" w:cs="Arial"/>
        </w:rPr>
        <w:t>Susawaengsup</w:t>
      </w:r>
      <w:proofErr w:type="spellEnd"/>
      <w:r w:rsidRPr="00011059">
        <w:rPr>
          <w:rFonts w:ascii="Arial" w:hAnsi="Arial" w:cs="Arial"/>
        </w:rPr>
        <w:t xml:space="preserve">, C., Ramli, A. N. M., </w:t>
      </w:r>
      <w:proofErr w:type="spellStart"/>
      <w:r w:rsidRPr="00011059">
        <w:rPr>
          <w:rFonts w:ascii="Arial" w:hAnsi="Arial" w:cs="Arial"/>
        </w:rPr>
        <w:t>Tongkoom</w:t>
      </w:r>
      <w:proofErr w:type="spellEnd"/>
      <w:r w:rsidRPr="00011059">
        <w:rPr>
          <w:rFonts w:ascii="Arial" w:hAnsi="Arial" w:cs="Arial"/>
        </w:rPr>
        <w:t xml:space="preserve">, K., </w:t>
      </w:r>
      <w:proofErr w:type="spellStart"/>
      <w:r w:rsidRPr="00011059">
        <w:rPr>
          <w:rFonts w:ascii="Arial" w:hAnsi="Arial" w:cs="Arial"/>
        </w:rPr>
        <w:t>Chatsungnoen</w:t>
      </w:r>
      <w:proofErr w:type="spellEnd"/>
      <w:r w:rsidRPr="00011059">
        <w:rPr>
          <w:rFonts w:ascii="Arial" w:hAnsi="Arial" w:cs="Arial"/>
        </w:rPr>
        <w:t xml:space="preserve">, T., </w:t>
      </w:r>
      <w:proofErr w:type="spellStart"/>
      <w:r w:rsidRPr="00011059">
        <w:rPr>
          <w:rFonts w:ascii="Arial" w:hAnsi="Arial" w:cs="Arial"/>
        </w:rPr>
        <w:t>Dangtungee</w:t>
      </w:r>
      <w:proofErr w:type="spellEnd"/>
      <w:r w:rsidRPr="00011059">
        <w:rPr>
          <w:rFonts w:ascii="Arial" w:hAnsi="Arial" w:cs="Arial"/>
        </w:rPr>
        <w:t xml:space="preserve">, R., &amp; </w:t>
      </w:r>
      <w:proofErr w:type="spellStart"/>
      <w:r w:rsidRPr="00011059">
        <w:rPr>
          <w:rFonts w:ascii="Arial" w:hAnsi="Arial" w:cs="Arial"/>
        </w:rPr>
        <w:t>Bhuyar</w:t>
      </w:r>
      <w:proofErr w:type="spellEnd"/>
      <w:r w:rsidRPr="00011059">
        <w:rPr>
          <w:rFonts w:ascii="Arial" w:hAnsi="Arial" w:cs="Arial"/>
        </w:rPr>
        <w:t xml:space="preserve">, P. (2025). Phytochemistry of Medicinal Herbs Belongs to </w:t>
      </w:r>
      <w:proofErr w:type="spellStart"/>
      <w:r w:rsidRPr="00011059">
        <w:rPr>
          <w:rFonts w:ascii="Arial" w:hAnsi="Arial" w:cs="Arial"/>
        </w:rPr>
        <w:t>Asclepiadaceae</w:t>
      </w:r>
      <w:proofErr w:type="spellEnd"/>
      <w:r w:rsidRPr="00011059">
        <w:rPr>
          <w:rFonts w:ascii="Arial" w:hAnsi="Arial" w:cs="Arial"/>
        </w:rPr>
        <w:t xml:space="preserve"> Family for Therapeutic Applications: A Critical Review. Molecular Biotechnology, 67(3), 885–909. </w:t>
      </w:r>
      <w:hyperlink r:id="rId16" w:history="1">
        <w:r w:rsidRPr="00CB1367">
          <w:rPr>
            <w:rStyle w:val="Hyperlink"/>
            <w:rFonts w:ascii="Arial" w:hAnsi="Arial" w:cs="Arial"/>
          </w:rPr>
          <w:t>https://doi.org/10.1007/s12033-024-01122-9</w:t>
        </w:r>
      </w:hyperlink>
      <w:r>
        <w:rPr>
          <w:rFonts w:ascii="Arial" w:hAnsi="Arial" w:cs="Arial"/>
        </w:rPr>
        <w:t xml:space="preserve"> </w:t>
      </w:r>
    </w:p>
    <w:p w14:paraId="5C1133E0"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Hidayat</w:t>
      </w:r>
      <w:proofErr w:type="spellEnd"/>
      <w:r w:rsidRPr="00011059">
        <w:rPr>
          <w:rFonts w:ascii="Arial" w:hAnsi="Arial" w:cs="Arial"/>
        </w:rPr>
        <w:t xml:space="preserve">, Y., </w:t>
      </w:r>
      <w:proofErr w:type="spellStart"/>
      <w:r w:rsidRPr="00011059">
        <w:rPr>
          <w:rFonts w:ascii="Arial" w:hAnsi="Arial" w:cs="Arial"/>
        </w:rPr>
        <w:t>Prayoga</w:t>
      </w:r>
      <w:proofErr w:type="spellEnd"/>
      <w:r w:rsidRPr="00011059">
        <w:rPr>
          <w:rFonts w:ascii="Arial" w:hAnsi="Arial" w:cs="Arial"/>
        </w:rPr>
        <w:t xml:space="preserve">, B. T., </w:t>
      </w:r>
      <w:proofErr w:type="spellStart"/>
      <w:r w:rsidRPr="00011059">
        <w:rPr>
          <w:rFonts w:ascii="Arial" w:hAnsi="Arial" w:cs="Arial"/>
        </w:rPr>
        <w:t>Wibowo</w:t>
      </w:r>
      <w:proofErr w:type="spellEnd"/>
      <w:r w:rsidRPr="00011059">
        <w:rPr>
          <w:rFonts w:ascii="Arial" w:hAnsi="Arial" w:cs="Arial"/>
        </w:rPr>
        <w:t xml:space="preserve">, H. P., Kurniawan, W., </w:t>
      </w:r>
      <w:proofErr w:type="spellStart"/>
      <w:r w:rsidRPr="00011059">
        <w:rPr>
          <w:rFonts w:ascii="Arial" w:hAnsi="Arial" w:cs="Arial"/>
        </w:rPr>
        <w:t>Rizkie</w:t>
      </w:r>
      <w:proofErr w:type="spellEnd"/>
      <w:r w:rsidRPr="00011059">
        <w:rPr>
          <w:rFonts w:ascii="Arial" w:hAnsi="Arial" w:cs="Arial"/>
        </w:rPr>
        <w:t xml:space="preserve">, L., &amp; </w:t>
      </w:r>
      <w:proofErr w:type="spellStart"/>
      <w:r w:rsidRPr="00011059">
        <w:rPr>
          <w:rFonts w:ascii="Arial" w:hAnsi="Arial" w:cs="Arial"/>
        </w:rPr>
        <w:t>Dono</w:t>
      </w:r>
      <w:proofErr w:type="spellEnd"/>
      <w:r w:rsidRPr="00011059">
        <w:rPr>
          <w:rFonts w:ascii="Arial" w:hAnsi="Arial" w:cs="Arial"/>
        </w:rPr>
        <w:t xml:space="preserve">, D. (2022). Contact effects of kaolin and other minerals on Aphis </w:t>
      </w:r>
      <w:proofErr w:type="spellStart"/>
      <w:r w:rsidRPr="00011059">
        <w:rPr>
          <w:rFonts w:ascii="Arial" w:hAnsi="Arial" w:cs="Arial"/>
        </w:rPr>
        <w:t>gossypii</w:t>
      </w:r>
      <w:proofErr w:type="spellEnd"/>
      <w:r w:rsidRPr="00011059">
        <w:rPr>
          <w:rFonts w:ascii="Arial" w:hAnsi="Arial" w:cs="Arial"/>
        </w:rPr>
        <w:t xml:space="preserve"> Glover (Hemiptera: </w:t>
      </w:r>
      <w:proofErr w:type="spellStart"/>
      <w:r w:rsidRPr="00011059">
        <w:rPr>
          <w:rFonts w:ascii="Arial" w:hAnsi="Arial" w:cs="Arial"/>
        </w:rPr>
        <w:t>Aphididae</w:t>
      </w:r>
      <w:proofErr w:type="spellEnd"/>
      <w:r w:rsidRPr="00011059">
        <w:rPr>
          <w:rFonts w:ascii="Arial" w:hAnsi="Arial" w:cs="Arial"/>
        </w:rPr>
        <w:t xml:space="preserve">). Agriculture and Natural Resources, 56(3), 503–510. </w:t>
      </w:r>
      <w:hyperlink r:id="rId17" w:history="1">
        <w:r w:rsidRPr="00CB1367">
          <w:rPr>
            <w:rStyle w:val="Hyperlink"/>
            <w:rFonts w:ascii="Arial" w:hAnsi="Arial" w:cs="Arial"/>
          </w:rPr>
          <w:t>https://li01.tci-thaijo.org/index.php/anres/article/view/254982</w:t>
        </w:r>
      </w:hyperlink>
      <w:r>
        <w:rPr>
          <w:rFonts w:ascii="Arial" w:hAnsi="Arial" w:cs="Arial"/>
        </w:rPr>
        <w:t xml:space="preserve"> </w:t>
      </w:r>
    </w:p>
    <w:p w14:paraId="3E3A67F5"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Isman</w:t>
      </w:r>
      <w:proofErr w:type="spellEnd"/>
      <w:r w:rsidRPr="00011059">
        <w:rPr>
          <w:rFonts w:ascii="Arial" w:hAnsi="Arial" w:cs="Arial"/>
        </w:rPr>
        <w:t xml:space="preserve">, M. B. (2020). Botanical Insecticides in the Twenty-First Century—Fulfilling Their Promise? Annual Review of Entomology </w:t>
      </w:r>
      <w:hyperlink r:id="rId18" w:history="1">
        <w:r w:rsidRPr="00CB1367">
          <w:rPr>
            <w:rStyle w:val="Hyperlink"/>
            <w:rFonts w:ascii="Arial" w:hAnsi="Arial" w:cs="Arial"/>
          </w:rPr>
          <w:t>https://doi.org/10.1146/annurev-ento-011019-025010</w:t>
        </w:r>
      </w:hyperlink>
      <w:r>
        <w:rPr>
          <w:rFonts w:ascii="Arial" w:hAnsi="Arial" w:cs="Arial"/>
        </w:rPr>
        <w:t xml:space="preserve"> </w:t>
      </w:r>
    </w:p>
    <w:p w14:paraId="59A4EA8A" w14:textId="7B207800" w:rsidR="00011059" w:rsidRDefault="00011059" w:rsidP="00AE36DD">
      <w:pPr>
        <w:pStyle w:val="Bibliography"/>
        <w:ind w:left="567" w:hanging="567"/>
        <w:jc w:val="both"/>
      </w:pPr>
      <w:proofErr w:type="spellStart"/>
      <w:r w:rsidRPr="00011059">
        <w:rPr>
          <w:rFonts w:ascii="Arial" w:hAnsi="Arial" w:cs="Arial"/>
        </w:rPr>
        <w:t>Khasanah</w:t>
      </w:r>
      <w:proofErr w:type="spellEnd"/>
      <w:r w:rsidRPr="00011059">
        <w:rPr>
          <w:rFonts w:ascii="Arial" w:hAnsi="Arial" w:cs="Arial"/>
        </w:rPr>
        <w:t xml:space="preserve">, N., </w:t>
      </w:r>
      <w:proofErr w:type="spellStart"/>
      <w:r w:rsidRPr="00011059">
        <w:rPr>
          <w:rFonts w:ascii="Arial" w:hAnsi="Arial" w:cs="Arial"/>
        </w:rPr>
        <w:t>Martono</w:t>
      </w:r>
      <w:proofErr w:type="spellEnd"/>
      <w:r w:rsidRPr="00011059">
        <w:rPr>
          <w:rFonts w:ascii="Arial" w:hAnsi="Arial" w:cs="Arial"/>
        </w:rPr>
        <w:t xml:space="preserve">, E., </w:t>
      </w:r>
      <w:proofErr w:type="spellStart"/>
      <w:r w:rsidRPr="00011059">
        <w:rPr>
          <w:rFonts w:ascii="Arial" w:hAnsi="Arial" w:cs="Arial"/>
        </w:rPr>
        <w:t>Trisyono</w:t>
      </w:r>
      <w:proofErr w:type="spellEnd"/>
      <w:r w:rsidRPr="00011059">
        <w:rPr>
          <w:rFonts w:ascii="Arial" w:hAnsi="Arial" w:cs="Arial"/>
        </w:rPr>
        <w:t xml:space="preserve">, Y. A., &amp; </w:t>
      </w:r>
      <w:proofErr w:type="spellStart"/>
      <w:r w:rsidRPr="00011059">
        <w:rPr>
          <w:rFonts w:ascii="Arial" w:hAnsi="Arial" w:cs="Arial"/>
        </w:rPr>
        <w:t>Wijonarko</w:t>
      </w:r>
      <w:proofErr w:type="spellEnd"/>
      <w:r w:rsidRPr="00011059">
        <w:rPr>
          <w:rFonts w:ascii="Arial" w:hAnsi="Arial" w:cs="Arial"/>
        </w:rPr>
        <w:t xml:space="preserve">, A. (2021). Toxicity and Antifeedant Activity of Calotropis gigantea L. Leaf Extract Against </w:t>
      </w:r>
      <w:proofErr w:type="spellStart"/>
      <w:r w:rsidRPr="00011059">
        <w:rPr>
          <w:rFonts w:ascii="Arial" w:hAnsi="Arial" w:cs="Arial"/>
        </w:rPr>
        <w:t>Plutella</w:t>
      </w:r>
      <w:proofErr w:type="spellEnd"/>
      <w:r w:rsidRPr="00011059">
        <w:rPr>
          <w:rFonts w:ascii="Arial" w:hAnsi="Arial" w:cs="Arial"/>
        </w:rPr>
        <w:t xml:space="preserve"> </w:t>
      </w:r>
      <w:proofErr w:type="spellStart"/>
      <w:r w:rsidRPr="00011059">
        <w:rPr>
          <w:rFonts w:ascii="Arial" w:hAnsi="Arial" w:cs="Arial"/>
        </w:rPr>
        <w:t>xylostella</w:t>
      </w:r>
      <w:proofErr w:type="spellEnd"/>
      <w:r w:rsidRPr="00011059">
        <w:rPr>
          <w:rFonts w:ascii="Arial" w:hAnsi="Arial" w:cs="Arial"/>
        </w:rPr>
        <w:t xml:space="preserve"> L. (Lepidoptera: </w:t>
      </w:r>
      <w:proofErr w:type="spellStart"/>
      <w:r w:rsidRPr="00011059">
        <w:rPr>
          <w:rFonts w:ascii="Arial" w:hAnsi="Arial" w:cs="Arial"/>
        </w:rPr>
        <w:t>Plutellidae</w:t>
      </w:r>
      <w:proofErr w:type="spellEnd"/>
      <w:r w:rsidRPr="00011059">
        <w:rPr>
          <w:rFonts w:ascii="Arial" w:hAnsi="Arial" w:cs="Arial"/>
        </w:rPr>
        <w:t xml:space="preserve">). International Journal of Design &amp; Nature and </w:t>
      </w:r>
      <w:proofErr w:type="spellStart"/>
      <w:r w:rsidRPr="00011059">
        <w:rPr>
          <w:rFonts w:ascii="Arial" w:hAnsi="Arial" w:cs="Arial"/>
        </w:rPr>
        <w:t>Ecodynamics</w:t>
      </w:r>
      <w:proofErr w:type="spellEnd"/>
      <w:r w:rsidRPr="00011059">
        <w:rPr>
          <w:rFonts w:ascii="Arial" w:hAnsi="Arial" w:cs="Arial"/>
        </w:rPr>
        <w:t xml:space="preserve">, 16(6), 677–682. </w:t>
      </w:r>
      <w:hyperlink r:id="rId19" w:history="1">
        <w:r w:rsidRPr="00CB1367">
          <w:rPr>
            <w:rStyle w:val="Hyperlink"/>
            <w:rFonts w:ascii="Arial" w:hAnsi="Arial" w:cs="Arial"/>
          </w:rPr>
          <w:t>https://doi.org/10.18280/ijdne.</w:t>
        </w:r>
        <w:r w:rsidRPr="00CB1367">
          <w:rPr>
            <w:rStyle w:val="Hyperlink"/>
          </w:rPr>
          <w:t>160609</w:t>
        </w:r>
      </w:hyperlink>
    </w:p>
    <w:p w14:paraId="74ED7AEA" w14:textId="330172FC" w:rsidR="0036703F" w:rsidRPr="00AE36DD" w:rsidRDefault="0036703F" w:rsidP="00AE36DD">
      <w:pPr>
        <w:pStyle w:val="Bibliography"/>
        <w:ind w:left="567" w:hanging="567"/>
        <w:jc w:val="both"/>
        <w:rPr>
          <w:rFonts w:ascii="Arial" w:hAnsi="Arial" w:cs="Arial"/>
        </w:rPr>
      </w:pPr>
      <w:proofErr w:type="spellStart"/>
      <w:r w:rsidRPr="00011059">
        <w:t>Khasanah</w:t>
      </w:r>
      <w:proofErr w:type="spellEnd"/>
      <w:r w:rsidRPr="00AE36DD">
        <w:rPr>
          <w:rFonts w:ascii="Arial" w:hAnsi="Arial" w:cs="Arial"/>
        </w:rPr>
        <w:t xml:space="preserve">, N., Martono, E., </w:t>
      </w:r>
      <w:proofErr w:type="spellStart"/>
      <w:r w:rsidRPr="00AE36DD">
        <w:rPr>
          <w:rFonts w:ascii="Arial" w:hAnsi="Arial" w:cs="Arial"/>
        </w:rPr>
        <w:t>Trisyono</w:t>
      </w:r>
      <w:proofErr w:type="spellEnd"/>
      <w:r w:rsidRPr="00AE36DD">
        <w:rPr>
          <w:rFonts w:ascii="Arial" w:hAnsi="Arial" w:cs="Arial"/>
        </w:rPr>
        <w:t xml:space="preserve">, Y. A., &amp; </w:t>
      </w:r>
      <w:proofErr w:type="spellStart"/>
      <w:r w:rsidRPr="00AE36DD">
        <w:rPr>
          <w:rFonts w:ascii="Arial" w:hAnsi="Arial" w:cs="Arial"/>
        </w:rPr>
        <w:t>Wijonarko</w:t>
      </w:r>
      <w:proofErr w:type="spellEnd"/>
      <w:r w:rsidRPr="00AE36DD">
        <w:rPr>
          <w:rFonts w:ascii="Arial" w:hAnsi="Arial" w:cs="Arial"/>
        </w:rPr>
        <w:t xml:space="preserve">, A. (2022). Preliminary Valuation Activity of Calotropis gigantea L. Extracts against Several Insect Pests. </w:t>
      </w:r>
      <w:proofErr w:type="spellStart"/>
      <w:r w:rsidRPr="00AE36DD">
        <w:rPr>
          <w:rFonts w:ascii="Arial" w:hAnsi="Arial" w:cs="Arial"/>
          <w:i/>
          <w:iCs/>
        </w:rPr>
        <w:t>Jurnal</w:t>
      </w:r>
      <w:proofErr w:type="spellEnd"/>
      <w:r w:rsidRPr="00AE36DD">
        <w:rPr>
          <w:rFonts w:ascii="Arial" w:hAnsi="Arial" w:cs="Arial"/>
          <w:i/>
          <w:iCs/>
        </w:rPr>
        <w:t xml:space="preserve"> </w:t>
      </w:r>
      <w:proofErr w:type="spellStart"/>
      <w:r w:rsidRPr="00AE36DD">
        <w:rPr>
          <w:rFonts w:ascii="Arial" w:hAnsi="Arial" w:cs="Arial"/>
          <w:i/>
          <w:iCs/>
        </w:rPr>
        <w:t>Perlindungan</w:t>
      </w:r>
      <w:proofErr w:type="spellEnd"/>
      <w:r w:rsidRPr="00AE36DD">
        <w:rPr>
          <w:rFonts w:ascii="Arial" w:hAnsi="Arial" w:cs="Arial"/>
          <w:i/>
          <w:iCs/>
        </w:rPr>
        <w:t xml:space="preserve"> </w:t>
      </w:r>
      <w:proofErr w:type="spellStart"/>
      <w:r w:rsidRPr="00AE36DD">
        <w:rPr>
          <w:rFonts w:ascii="Arial" w:hAnsi="Arial" w:cs="Arial"/>
          <w:i/>
          <w:iCs/>
        </w:rPr>
        <w:t>Tanaman</w:t>
      </w:r>
      <w:proofErr w:type="spellEnd"/>
      <w:r w:rsidRPr="00AE36DD">
        <w:rPr>
          <w:rFonts w:ascii="Arial" w:hAnsi="Arial" w:cs="Arial"/>
          <w:i/>
          <w:iCs/>
        </w:rPr>
        <w:t xml:space="preserve"> Indonesia</w:t>
      </w:r>
      <w:r w:rsidRPr="00AE36DD">
        <w:rPr>
          <w:rFonts w:ascii="Arial" w:hAnsi="Arial" w:cs="Arial"/>
        </w:rPr>
        <w:t xml:space="preserve">, </w:t>
      </w:r>
      <w:r w:rsidRPr="00AE36DD">
        <w:rPr>
          <w:rFonts w:ascii="Arial" w:hAnsi="Arial" w:cs="Arial"/>
          <w:i/>
          <w:iCs/>
        </w:rPr>
        <w:t>26</w:t>
      </w:r>
      <w:r w:rsidRPr="00AE36DD">
        <w:rPr>
          <w:rFonts w:ascii="Arial" w:hAnsi="Arial" w:cs="Arial"/>
        </w:rPr>
        <w:t>(2), 130. https://doi.org/10.22146/jpti.71938</w:t>
      </w:r>
    </w:p>
    <w:p w14:paraId="3C7EFA86" w14:textId="77777777" w:rsidR="00011059" w:rsidRDefault="00011059" w:rsidP="00AE36DD">
      <w:pPr>
        <w:pStyle w:val="Bibliography"/>
        <w:ind w:left="567" w:hanging="567"/>
        <w:jc w:val="both"/>
      </w:pPr>
      <w:proofErr w:type="spellStart"/>
      <w:r w:rsidRPr="00011059">
        <w:t>Khasanah</w:t>
      </w:r>
      <w:proofErr w:type="spellEnd"/>
      <w:r w:rsidRPr="00011059">
        <w:t xml:space="preserve">, N., </w:t>
      </w:r>
      <w:proofErr w:type="spellStart"/>
      <w:r w:rsidRPr="00011059">
        <w:t>Yunus</w:t>
      </w:r>
      <w:proofErr w:type="spellEnd"/>
      <w:r w:rsidRPr="00011059">
        <w:t xml:space="preserve">, M., </w:t>
      </w:r>
      <w:proofErr w:type="spellStart"/>
      <w:r w:rsidRPr="00011059">
        <w:t>Tangkesalu</w:t>
      </w:r>
      <w:proofErr w:type="spellEnd"/>
      <w:r w:rsidRPr="00011059">
        <w:t xml:space="preserve">, D., Nasir, B. H., </w:t>
      </w:r>
      <w:proofErr w:type="spellStart"/>
      <w:r w:rsidRPr="00011059">
        <w:t>Tauke</w:t>
      </w:r>
      <w:proofErr w:type="spellEnd"/>
      <w:r w:rsidRPr="00011059">
        <w:t xml:space="preserve">, L. E., &amp; </w:t>
      </w:r>
      <w:proofErr w:type="spellStart"/>
      <w:r w:rsidRPr="00011059">
        <w:t>Marzita</w:t>
      </w:r>
      <w:proofErr w:type="spellEnd"/>
      <w:r w:rsidRPr="00011059">
        <w:t xml:space="preserve">, R. D. (2024). Efficacy of </w:t>
      </w:r>
      <w:proofErr w:type="spellStart"/>
      <w:r w:rsidRPr="00011059">
        <w:t>Biduri</w:t>
      </w:r>
      <w:proofErr w:type="spellEnd"/>
      <w:r w:rsidRPr="00011059">
        <w:t xml:space="preserve"> Leaf Extract (Calotropis gigantea L.) for Management of Fall Armyworm (</w:t>
      </w:r>
      <w:proofErr w:type="spellStart"/>
      <w:r w:rsidRPr="00011059">
        <w:t>Spodoptera</w:t>
      </w:r>
      <w:proofErr w:type="spellEnd"/>
      <w:r w:rsidRPr="00011059">
        <w:t xml:space="preserve"> </w:t>
      </w:r>
      <w:proofErr w:type="spellStart"/>
      <w:r w:rsidRPr="00011059">
        <w:t>frugiperda</w:t>
      </w:r>
      <w:proofErr w:type="spellEnd"/>
      <w:r w:rsidRPr="00011059">
        <w:t xml:space="preserve"> J. E. Smith.) on Corn. International Journal of Environment and Climate Change, 14(1), 595–602. </w:t>
      </w:r>
      <w:hyperlink r:id="rId20" w:history="1">
        <w:r w:rsidRPr="00CB1367">
          <w:rPr>
            <w:rStyle w:val="Hyperlink"/>
          </w:rPr>
          <w:t>https://doi.org/10.9734/ijecc/2024/v14i13875</w:t>
        </w:r>
      </w:hyperlink>
      <w:r>
        <w:t xml:space="preserve"> </w:t>
      </w:r>
    </w:p>
    <w:p w14:paraId="64FBF286"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Lengai</w:t>
      </w:r>
      <w:proofErr w:type="spellEnd"/>
      <w:r w:rsidRPr="00011059">
        <w:rPr>
          <w:rFonts w:ascii="Arial" w:hAnsi="Arial" w:cs="Arial"/>
        </w:rPr>
        <w:t xml:space="preserve">, G. M. W., </w:t>
      </w:r>
      <w:proofErr w:type="spellStart"/>
      <w:r w:rsidRPr="00011059">
        <w:rPr>
          <w:rFonts w:ascii="Arial" w:hAnsi="Arial" w:cs="Arial"/>
        </w:rPr>
        <w:t>Muthomi</w:t>
      </w:r>
      <w:proofErr w:type="spellEnd"/>
      <w:r w:rsidRPr="00011059">
        <w:rPr>
          <w:rFonts w:ascii="Arial" w:hAnsi="Arial" w:cs="Arial"/>
        </w:rPr>
        <w:t xml:space="preserve">, J. W., &amp; </w:t>
      </w:r>
      <w:proofErr w:type="spellStart"/>
      <w:r w:rsidRPr="00011059">
        <w:rPr>
          <w:rFonts w:ascii="Arial" w:hAnsi="Arial" w:cs="Arial"/>
        </w:rPr>
        <w:t>Mbega</w:t>
      </w:r>
      <w:proofErr w:type="spellEnd"/>
      <w:r w:rsidRPr="00011059">
        <w:rPr>
          <w:rFonts w:ascii="Arial" w:hAnsi="Arial" w:cs="Arial"/>
        </w:rPr>
        <w:t xml:space="preserve">, E. R. (2020). Phytochemical activity and role of botanical pesticides in pest management for sustainable agricultural crop production. Scientific African. </w:t>
      </w:r>
      <w:hyperlink r:id="rId21" w:history="1">
        <w:r w:rsidRPr="00CB1367">
          <w:rPr>
            <w:rStyle w:val="Hyperlink"/>
            <w:rFonts w:ascii="Arial" w:hAnsi="Arial" w:cs="Arial"/>
          </w:rPr>
          <w:t>https://doi.org/10.1016/j.sciaf.2019.e00239</w:t>
        </w:r>
      </w:hyperlink>
      <w:r>
        <w:rPr>
          <w:rFonts w:ascii="Arial" w:hAnsi="Arial" w:cs="Arial"/>
        </w:rPr>
        <w:t xml:space="preserve"> </w:t>
      </w:r>
    </w:p>
    <w:p w14:paraId="181F3A26" w14:textId="77777777" w:rsidR="00011059" w:rsidRDefault="00011059" w:rsidP="00AE36DD">
      <w:pPr>
        <w:pStyle w:val="Bibliography"/>
        <w:ind w:left="567" w:hanging="567"/>
        <w:jc w:val="both"/>
        <w:rPr>
          <w:rFonts w:ascii="Arial" w:hAnsi="Arial" w:cs="Arial"/>
        </w:rPr>
      </w:pPr>
      <w:proofErr w:type="spellStart"/>
      <w:r w:rsidRPr="00011059">
        <w:rPr>
          <w:rFonts w:ascii="Arial" w:hAnsi="Arial" w:cs="Arial"/>
        </w:rPr>
        <w:t>Magurran</w:t>
      </w:r>
      <w:proofErr w:type="spellEnd"/>
      <w:r w:rsidRPr="00011059">
        <w:rPr>
          <w:rFonts w:ascii="Arial" w:hAnsi="Arial" w:cs="Arial"/>
        </w:rPr>
        <w:t xml:space="preserve">, A. E. (2021). Measuring biological diversity. Current Biology, 31(19), R1174–R1177. </w:t>
      </w:r>
      <w:hyperlink r:id="rId22" w:history="1">
        <w:r w:rsidRPr="00CB1367">
          <w:rPr>
            <w:rStyle w:val="Hyperlink"/>
            <w:rFonts w:ascii="Arial" w:hAnsi="Arial" w:cs="Arial"/>
          </w:rPr>
          <w:t>https://doi.org/10.1016/j.cub.2021.07.049</w:t>
        </w:r>
      </w:hyperlink>
      <w:r>
        <w:rPr>
          <w:rFonts w:ascii="Arial" w:hAnsi="Arial" w:cs="Arial"/>
        </w:rPr>
        <w:t xml:space="preserve"> </w:t>
      </w:r>
    </w:p>
    <w:p w14:paraId="2F236A86" w14:textId="77777777" w:rsidR="00011059" w:rsidRDefault="00011059" w:rsidP="00AE36DD">
      <w:pPr>
        <w:pStyle w:val="Bibliography"/>
        <w:ind w:left="567" w:hanging="567"/>
        <w:jc w:val="both"/>
        <w:rPr>
          <w:rFonts w:ascii="Arial" w:hAnsi="Arial" w:cs="Arial"/>
        </w:rPr>
      </w:pPr>
      <w:r w:rsidRPr="00011059">
        <w:rPr>
          <w:rFonts w:ascii="Arial" w:hAnsi="Arial" w:cs="Arial"/>
        </w:rPr>
        <w:lastRenderedPageBreak/>
        <w:t xml:space="preserve">Mohammad, M. Y., </w:t>
      </w:r>
      <w:proofErr w:type="spellStart"/>
      <w:r w:rsidRPr="00011059">
        <w:rPr>
          <w:rFonts w:ascii="Arial" w:hAnsi="Arial" w:cs="Arial"/>
        </w:rPr>
        <w:t>Haniffa</w:t>
      </w:r>
      <w:proofErr w:type="spellEnd"/>
      <w:r w:rsidRPr="00011059">
        <w:rPr>
          <w:rFonts w:ascii="Arial" w:hAnsi="Arial" w:cs="Arial"/>
        </w:rPr>
        <w:t xml:space="preserve">, H. M., Shakya, A. K., Naik, R. R., &amp; </w:t>
      </w:r>
      <w:proofErr w:type="spellStart"/>
      <w:r w:rsidRPr="00011059">
        <w:rPr>
          <w:rFonts w:ascii="Arial" w:hAnsi="Arial" w:cs="Arial"/>
        </w:rPr>
        <w:t>Sivaranjan</w:t>
      </w:r>
      <w:proofErr w:type="spellEnd"/>
      <w:r w:rsidRPr="00011059">
        <w:rPr>
          <w:rFonts w:ascii="Arial" w:hAnsi="Arial" w:cs="Arial"/>
        </w:rPr>
        <w:t xml:space="preserve">, T. (2024). Evaluation of five medicinal plants for the management of Sitophilus </w:t>
      </w:r>
      <w:proofErr w:type="spellStart"/>
      <w:r w:rsidRPr="00011059">
        <w:rPr>
          <w:rFonts w:ascii="Arial" w:hAnsi="Arial" w:cs="Arial"/>
        </w:rPr>
        <w:t>oryzae</w:t>
      </w:r>
      <w:proofErr w:type="spellEnd"/>
      <w:r w:rsidRPr="00011059">
        <w:rPr>
          <w:rFonts w:ascii="Arial" w:hAnsi="Arial" w:cs="Arial"/>
        </w:rPr>
        <w:t xml:space="preserve"> in stored rice and identification of insecticidal compound. </w:t>
      </w:r>
      <w:proofErr w:type="spellStart"/>
      <w:r w:rsidRPr="00011059">
        <w:rPr>
          <w:rFonts w:ascii="Arial" w:hAnsi="Arial" w:cs="Arial"/>
        </w:rPr>
        <w:t>Heliyon</w:t>
      </w:r>
      <w:proofErr w:type="spellEnd"/>
      <w:r w:rsidRPr="00011059">
        <w:rPr>
          <w:rFonts w:ascii="Arial" w:hAnsi="Arial" w:cs="Arial"/>
        </w:rPr>
        <w:t xml:space="preserve">, 10(10). </w:t>
      </w:r>
      <w:hyperlink r:id="rId23" w:history="1">
        <w:r w:rsidRPr="00CB1367">
          <w:rPr>
            <w:rStyle w:val="Hyperlink"/>
            <w:rFonts w:ascii="Arial" w:hAnsi="Arial" w:cs="Arial"/>
          </w:rPr>
          <w:t>https://doi.org/10.1016/j.heliyon.2024.e30793</w:t>
        </w:r>
      </w:hyperlink>
      <w:r>
        <w:rPr>
          <w:rFonts w:ascii="Arial" w:hAnsi="Arial" w:cs="Arial"/>
        </w:rPr>
        <w:t xml:space="preserve"> </w:t>
      </w:r>
    </w:p>
    <w:p w14:paraId="311E5915" w14:textId="77777777" w:rsidR="00011059" w:rsidRDefault="00011059" w:rsidP="00AE36DD">
      <w:pPr>
        <w:pStyle w:val="Bibliography"/>
        <w:ind w:left="567" w:hanging="567"/>
        <w:jc w:val="both"/>
        <w:rPr>
          <w:rFonts w:ascii="Arial" w:hAnsi="Arial" w:cs="Arial"/>
        </w:rPr>
      </w:pPr>
      <w:r w:rsidRPr="00011059">
        <w:rPr>
          <w:rFonts w:ascii="Arial" w:hAnsi="Arial" w:cs="Arial"/>
        </w:rPr>
        <w:t xml:space="preserve">Mohammed, I., </w:t>
      </w:r>
      <w:proofErr w:type="spellStart"/>
      <w:r w:rsidRPr="00011059">
        <w:rPr>
          <w:rFonts w:ascii="Arial" w:hAnsi="Arial" w:cs="Arial"/>
        </w:rPr>
        <w:t>Olaoluwa</w:t>
      </w:r>
      <w:proofErr w:type="spellEnd"/>
      <w:r w:rsidRPr="00011059">
        <w:rPr>
          <w:rFonts w:ascii="Arial" w:hAnsi="Arial" w:cs="Arial"/>
        </w:rPr>
        <w:t xml:space="preserve">, O. O., Alabi, O. Y., </w:t>
      </w:r>
      <w:proofErr w:type="spellStart"/>
      <w:r w:rsidRPr="00011059">
        <w:rPr>
          <w:rFonts w:ascii="Arial" w:hAnsi="Arial" w:cs="Arial"/>
        </w:rPr>
        <w:t>Banwo</w:t>
      </w:r>
      <w:proofErr w:type="spellEnd"/>
      <w:r w:rsidRPr="00011059">
        <w:rPr>
          <w:rFonts w:ascii="Arial" w:hAnsi="Arial" w:cs="Arial"/>
        </w:rPr>
        <w:t xml:space="preserve">, O. M., Ayodele, M. A., &amp; </w:t>
      </w:r>
      <w:proofErr w:type="spellStart"/>
      <w:r w:rsidRPr="00011059">
        <w:rPr>
          <w:rFonts w:ascii="Arial" w:hAnsi="Arial" w:cs="Arial"/>
        </w:rPr>
        <w:t>Flamini</w:t>
      </w:r>
      <w:proofErr w:type="spellEnd"/>
      <w:r w:rsidRPr="00011059">
        <w:rPr>
          <w:rFonts w:ascii="Arial" w:hAnsi="Arial" w:cs="Arial"/>
        </w:rPr>
        <w:t xml:space="preserve">, G. (2025). Volatile oil composition, phytochemical screening and larvicidal activities of </w:t>
      </w:r>
      <w:proofErr w:type="spellStart"/>
      <w:r w:rsidRPr="00011059">
        <w:rPr>
          <w:rFonts w:ascii="Arial" w:hAnsi="Arial" w:cs="Arial"/>
        </w:rPr>
        <w:t>indigofera</w:t>
      </w:r>
      <w:proofErr w:type="spellEnd"/>
      <w:r w:rsidRPr="00011059">
        <w:rPr>
          <w:rFonts w:ascii="Arial" w:hAnsi="Arial" w:cs="Arial"/>
        </w:rPr>
        <w:t xml:space="preserve"> </w:t>
      </w:r>
      <w:proofErr w:type="spellStart"/>
      <w:r w:rsidRPr="00011059">
        <w:rPr>
          <w:rFonts w:ascii="Arial" w:hAnsi="Arial" w:cs="Arial"/>
        </w:rPr>
        <w:t>tinctoria</w:t>
      </w:r>
      <w:proofErr w:type="spellEnd"/>
      <w:r w:rsidRPr="00011059">
        <w:rPr>
          <w:rFonts w:ascii="Arial" w:hAnsi="Arial" w:cs="Arial"/>
        </w:rPr>
        <w:t xml:space="preserve"> L. against African </w:t>
      </w:r>
      <w:proofErr w:type="spellStart"/>
      <w:r w:rsidRPr="00011059">
        <w:rPr>
          <w:rFonts w:ascii="Arial" w:hAnsi="Arial" w:cs="Arial"/>
        </w:rPr>
        <w:t>Sesamia</w:t>
      </w:r>
      <w:proofErr w:type="spellEnd"/>
      <w:r w:rsidRPr="00011059">
        <w:rPr>
          <w:rFonts w:ascii="Arial" w:hAnsi="Arial" w:cs="Arial"/>
        </w:rPr>
        <w:t xml:space="preserve"> </w:t>
      </w:r>
      <w:proofErr w:type="spellStart"/>
      <w:r w:rsidRPr="00011059">
        <w:rPr>
          <w:rFonts w:ascii="Arial" w:hAnsi="Arial" w:cs="Arial"/>
        </w:rPr>
        <w:t>calamistis</w:t>
      </w:r>
      <w:proofErr w:type="spellEnd"/>
      <w:r w:rsidRPr="00011059">
        <w:rPr>
          <w:rFonts w:ascii="Arial" w:hAnsi="Arial" w:cs="Arial"/>
        </w:rPr>
        <w:t xml:space="preserve">. </w:t>
      </w:r>
      <w:proofErr w:type="spellStart"/>
      <w:r w:rsidRPr="00011059">
        <w:rPr>
          <w:rFonts w:ascii="Arial" w:hAnsi="Arial" w:cs="Arial"/>
        </w:rPr>
        <w:t>Phytoparasitica</w:t>
      </w:r>
      <w:proofErr w:type="spellEnd"/>
      <w:r w:rsidRPr="00011059">
        <w:rPr>
          <w:rFonts w:ascii="Arial" w:hAnsi="Arial" w:cs="Arial"/>
        </w:rPr>
        <w:t xml:space="preserve">, 53(4), 70. </w:t>
      </w:r>
      <w:hyperlink r:id="rId24" w:history="1">
        <w:r w:rsidRPr="00CB1367">
          <w:rPr>
            <w:rStyle w:val="Hyperlink"/>
            <w:rFonts w:ascii="Arial" w:hAnsi="Arial" w:cs="Arial"/>
          </w:rPr>
          <w:t>https://doi.org/10.1007/s12600-025-01292-5</w:t>
        </w:r>
      </w:hyperlink>
      <w:r>
        <w:rPr>
          <w:rFonts w:ascii="Arial" w:hAnsi="Arial" w:cs="Arial"/>
        </w:rPr>
        <w:t xml:space="preserve"> </w:t>
      </w:r>
    </w:p>
    <w:p w14:paraId="6BE47FE1" w14:textId="77777777" w:rsidR="00011059" w:rsidRDefault="00011059" w:rsidP="00AE36DD">
      <w:pPr>
        <w:pStyle w:val="Bibliography"/>
        <w:ind w:left="567" w:hanging="567"/>
        <w:jc w:val="both"/>
        <w:rPr>
          <w:rFonts w:ascii="Arial" w:hAnsi="Arial" w:cs="Arial"/>
          <w:lang w:val="de-DE"/>
        </w:rPr>
      </w:pPr>
      <w:r w:rsidRPr="00011059">
        <w:rPr>
          <w:rFonts w:ascii="Arial" w:hAnsi="Arial" w:cs="Arial"/>
          <w:lang w:val="de-DE"/>
        </w:rPr>
        <w:t xml:space="preserve">Mounisha, K., Edward, Y. S. J. T., Kannan, M., Vellaikumar, S., Uma, D., &amp; Indiragandhi, P. (2025). Giant milkweed: A comprehensive review of chemical constituents and their insecticidal properties. Phytochemistry Reviews, 24(2), 1923–1940. </w:t>
      </w:r>
      <w:r>
        <w:rPr>
          <w:rFonts w:ascii="Arial" w:hAnsi="Arial" w:cs="Arial"/>
          <w:lang w:val="de-DE"/>
        </w:rPr>
        <w:fldChar w:fldCharType="begin"/>
      </w:r>
      <w:r>
        <w:rPr>
          <w:rFonts w:ascii="Arial" w:hAnsi="Arial" w:cs="Arial"/>
          <w:lang w:val="de-DE"/>
        </w:rPr>
        <w:instrText xml:space="preserve"> HYPERLINK "</w:instrText>
      </w:r>
      <w:r w:rsidRPr="00011059">
        <w:rPr>
          <w:rFonts w:ascii="Arial" w:hAnsi="Arial" w:cs="Arial"/>
          <w:lang w:val="de-DE"/>
        </w:rPr>
        <w:instrText>https://doi.org/10.1007/s11101-024-09986-0</w:instrText>
      </w:r>
      <w:r>
        <w:rPr>
          <w:rFonts w:ascii="Arial" w:hAnsi="Arial" w:cs="Arial"/>
          <w:lang w:val="de-DE"/>
        </w:rPr>
        <w:instrText xml:space="preserve">" </w:instrText>
      </w:r>
      <w:r>
        <w:rPr>
          <w:rFonts w:ascii="Arial" w:hAnsi="Arial" w:cs="Arial"/>
          <w:lang w:val="de-DE"/>
        </w:rPr>
        <w:fldChar w:fldCharType="separate"/>
      </w:r>
      <w:r w:rsidRPr="00CB1367">
        <w:rPr>
          <w:rStyle w:val="Hyperlink"/>
          <w:rFonts w:ascii="Arial" w:hAnsi="Arial" w:cs="Arial"/>
          <w:lang w:val="de-DE"/>
        </w:rPr>
        <w:t>https://doi.org/10.1007/s11101-024-09986-0</w:t>
      </w:r>
      <w:r>
        <w:rPr>
          <w:rFonts w:ascii="Arial" w:hAnsi="Arial" w:cs="Arial"/>
          <w:lang w:val="de-DE"/>
        </w:rPr>
        <w:fldChar w:fldCharType="end"/>
      </w:r>
      <w:r>
        <w:rPr>
          <w:rFonts w:ascii="Arial" w:hAnsi="Arial" w:cs="Arial"/>
          <w:lang w:val="de-DE"/>
        </w:rPr>
        <w:t xml:space="preserve"> </w:t>
      </w:r>
    </w:p>
    <w:p w14:paraId="10F9A30C" w14:textId="77777777" w:rsidR="00011059" w:rsidRDefault="00011059" w:rsidP="00AE36DD">
      <w:pPr>
        <w:pStyle w:val="Bibliography"/>
        <w:ind w:left="567" w:hanging="567"/>
        <w:jc w:val="both"/>
        <w:rPr>
          <w:rFonts w:ascii="Arial" w:hAnsi="Arial" w:cs="Arial"/>
        </w:rPr>
      </w:pPr>
      <w:r w:rsidRPr="00011059">
        <w:rPr>
          <w:rFonts w:ascii="Arial" w:hAnsi="Arial" w:cs="Arial"/>
        </w:rPr>
        <w:t xml:space="preserve">Nasir, B. H., </w:t>
      </w:r>
      <w:proofErr w:type="spellStart"/>
      <w:r w:rsidRPr="00011059">
        <w:rPr>
          <w:rFonts w:ascii="Arial" w:hAnsi="Arial" w:cs="Arial"/>
        </w:rPr>
        <w:t>Khasanah</w:t>
      </w:r>
      <w:proofErr w:type="spellEnd"/>
      <w:r w:rsidRPr="00011059">
        <w:rPr>
          <w:rFonts w:ascii="Arial" w:hAnsi="Arial" w:cs="Arial"/>
        </w:rPr>
        <w:t xml:space="preserve">, N., &amp; </w:t>
      </w:r>
      <w:proofErr w:type="spellStart"/>
      <w:r w:rsidRPr="00011059">
        <w:rPr>
          <w:rFonts w:ascii="Arial" w:hAnsi="Arial" w:cs="Arial"/>
        </w:rPr>
        <w:t>Idham</w:t>
      </w:r>
      <w:proofErr w:type="spellEnd"/>
      <w:r w:rsidRPr="00011059">
        <w:rPr>
          <w:rFonts w:ascii="Arial" w:hAnsi="Arial" w:cs="Arial"/>
        </w:rPr>
        <w:t xml:space="preserve">, I. (2022). Insecticidal Activity of Leaf Extracts of Calotropis gigantea L, Ageratum </w:t>
      </w:r>
      <w:proofErr w:type="spellStart"/>
      <w:r w:rsidRPr="00011059">
        <w:rPr>
          <w:rFonts w:ascii="Arial" w:hAnsi="Arial" w:cs="Arial"/>
        </w:rPr>
        <w:t>conyzoides</w:t>
      </w:r>
      <w:proofErr w:type="spellEnd"/>
      <w:r w:rsidRPr="00011059">
        <w:rPr>
          <w:rFonts w:ascii="Arial" w:hAnsi="Arial" w:cs="Arial"/>
        </w:rPr>
        <w:t xml:space="preserve"> L, and Vitex negundo L. Against </w:t>
      </w:r>
      <w:proofErr w:type="spellStart"/>
      <w:r w:rsidRPr="00011059">
        <w:rPr>
          <w:rFonts w:ascii="Arial" w:hAnsi="Arial" w:cs="Arial"/>
        </w:rPr>
        <w:t>Spodoptera</w:t>
      </w:r>
      <w:proofErr w:type="spellEnd"/>
      <w:r w:rsidRPr="00011059">
        <w:rPr>
          <w:rFonts w:ascii="Arial" w:hAnsi="Arial" w:cs="Arial"/>
        </w:rPr>
        <w:t xml:space="preserve"> </w:t>
      </w:r>
      <w:proofErr w:type="spellStart"/>
      <w:r w:rsidRPr="00011059">
        <w:rPr>
          <w:rFonts w:ascii="Arial" w:hAnsi="Arial" w:cs="Arial"/>
        </w:rPr>
        <w:t>frugiperda</w:t>
      </w:r>
      <w:proofErr w:type="spellEnd"/>
      <w:r w:rsidRPr="00011059">
        <w:rPr>
          <w:rFonts w:ascii="Arial" w:hAnsi="Arial" w:cs="Arial"/>
        </w:rPr>
        <w:t xml:space="preserve"> J. E. Smith (Lepidoptera: </w:t>
      </w:r>
      <w:proofErr w:type="spellStart"/>
      <w:r w:rsidRPr="00011059">
        <w:rPr>
          <w:rFonts w:ascii="Arial" w:hAnsi="Arial" w:cs="Arial"/>
        </w:rPr>
        <w:t>Noctuidae</w:t>
      </w:r>
      <w:proofErr w:type="spellEnd"/>
      <w:r w:rsidRPr="00011059">
        <w:rPr>
          <w:rFonts w:ascii="Arial" w:hAnsi="Arial" w:cs="Arial"/>
        </w:rPr>
        <w:t xml:space="preserve">). International Journal of Design &amp; Nature and </w:t>
      </w:r>
      <w:proofErr w:type="spellStart"/>
      <w:r w:rsidRPr="00011059">
        <w:rPr>
          <w:rFonts w:ascii="Arial" w:hAnsi="Arial" w:cs="Arial"/>
        </w:rPr>
        <w:t>Ecodynamics</w:t>
      </w:r>
      <w:proofErr w:type="spellEnd"/>
      <w:r w:rsidRPr="00011059">
        <w:rPr>
          <w:rFonts w:ascii="Arial" w:hAnsi="Arial" w:cs="Arial"/>
        </w:rPr>
        <w:t xml:space="preserve">, 17(6), 899–905. </w:t>
      </w:r>
      <w:hyperlink r:id="rId25" w:history="1">
        <w:r w:rsidRPr="00CB1367">
          <w:rPr>
            <w:rStyle w:val="Hyperlink"/>
            <w:rFonts w:ascii="Arial" w:hAnsi="Arial" w:cs="Arial"/>
          </w:rPr>
          <w:t>https://doi.org/10.18280/ijdne.170610</w:t>
        </w:r>
      </w:hyperlink>
      <w:r>
        <w:rPr>
          <w:rFonts w:ascii="Arial" w:hAnsi="Arial" w:cs="Arial"/>
        </w:rPr>
        <w:t xml:space="preserve"> </w:t>
      </w:r>
    </w:p>
    <w:p w14:paraId="6A4B6300" w14:textId="7113C2EA" w:rsidR="00011059" w:rsidRDefault="00011059" w:rsidP="00AE36DD">
      <w:pPr>
        <w:pStyle w:val="Bibliography"/>
        <w:ind w:left="567" w:hanging="567"/>
        <w:jc w:val="both"/>
      </w:pPr>
      <w:proofErr w:type="spellStart"/>
      <w:r w:rsidRPr="00011059">
        <w:rPr>
          <w:rFonts w:ascii="Arial" w:hAnsi="Arial" w:cs="Arial"/>
        </w:rPr>
        <w:t>Ngegba</w:t>
      </w:r>
      <w:proofErr w:type="spellEnd"/>
      <w:r w:rsidRPr="00011059">
        <w:rPr>
          <w:rFonts w:ascii="Arial" w:hAnsi="Arial" w:cs="Arial"/>
        </w:rPr>
        <w:t xml:space="preserve">, P. M., Cui, G., Khalid, M. Z., &amp; Zhong, G. (2022). Use of Botanical Pesticides in Agriculture as an Alternative to Synthetic Pesticides. Agriculture, 12(5), 600. </w:t>
      </w:r>
      <w:hyperlink r:id="rId26" w:history="1">
        <w:r w:rsidRPr="00CB1367">
          <w:rPr>
            <w:rStyle w:val="Hyperlink"/>
            <w:rFonts w:ascii="Arial" w:hAnsi="Arial" w:cs="Arial"/>
          </w:rPr>
          <w:t>https://doi.org/10.3390/</w:t>
        </w:r>
        <w:r w:rsidRPr="00CB1367">
          <w:rPr>
            <w:rStyle w:val="Hyperlink"/>
          </w:rPr>
          <w:t>agriculture12050600</w:t>
        </w:r>
      </w:hyperlink>
    </w:p>
    <w:p w14:paraId="0020676C" w14:textId="77777777" w:rsidR="00011059" w:rsidRDefault="00011059" w:rsidP="00AE36DD">
      <w:pPr>
        <w:pStyle w:val="Bibliography"/>
        <w:ind w:left="567" w:hanging="567"/>
        <w:jc w:val="both"/>
      </w:pPr>
      <w:proofErr w:type="spellStart"/>
      <w:r w:rsidRPr="00011059">
        <w:t>Ngegba</w:t>
      </w:r>
      <w:proofErr w:type="spellEnd"/>
      <w:r w:rsidRPr="00011059">
        <w:t xml:space="preserve">, P. M., Cui, G., Khalid, M. Z., &amp; Zhong, G. (2022). Use of Botanical Pesticides in Agriculture as an Alternative to Synthetic Pesticides. Agriculture, 12(5), 600. </w:t>
      </w:r>
      <w:hyperlink r:id="rId27" w:history="1">
        <w:r w:rsidRPr="00CB1367">
          <w:rPr>
            <w:rStyle w:val="Hyperlink"/>
          </w:rPr>
          <w:t>https://doi.org/10.3390/agriculture12050600</w:t>
        </w:r>
      </w:hyperlink>
      <w:r>
        <w:t xml:space="preserve"> </w:t>
      </w:r>
    </w:p>
    <w:p w14:paraId="1B192181" w14:textId="29E6D42A" w:rsidR="0036703F" w:rsidRPr="00011059" w:rsidRDefault="0036703F" w:rsidP="00AE36DD">
      <w:pPr>
        <w:pStyle w:val="Bibliography"/>
        <w:ind w:left="567" w:hanging="567"/>
        <w:jc w:val="both"/>
      </w:pPr>
      <w:proofErr w:type="spellStart"/>
      <w:r w:rsidRPr="00011059">
        <w:t>Nilamsari</w:t>
      </w:r>
      <w:proofErr w:type="spellEnd"/>
      <w:r w:rsidRPr="00011059">
        <w:t xml:space="preserve">, E. I., </w:t>
      </w:r>
      <w:proofErr w:type="spellStart"/>
      <w:r w:rsidRPr="00011059">
        <w:t>Nugroho</w:t>
      </w:r>
      <w:proofErr w:type="spellEnd"/>
      <w:r w:rsidRPr="00011059">
        <w:t xml:space="preserve">, L. H., &amp; </w:t>
      </w:r>
      <w:proofErr w:type="spellStart"/>
      <w:r w:rsidRPr="00011059">
        <w:t>Sukirno</w:t>
      </w:r>
      <w:proofErr w:type="spellEnd"/>
      <w:r w:rsidRPr="00011059">
        <w:t xml:space="preserve">, S. (2022). Effectiveness of N-Hexane and Ethanol Extract of Giant </w:t>
      </w:r>
      <w:proofErr w:type="spellStart"/>
      <w:r w:rsidRPr="00011059">
        <w:t>Calotrope</w:t>
      </w:r>
      <w:proofErr w:type="spellEnd"/>
      <w:r w:rsidRPr="00011059">
        <w:t xml:space="preserve"> (Calotropis gigantea L.) Leaves as Insecticide Against Shallot Pest </w:t>
      </w:r>
      <w:proofErr w:type="spellStart"/>
      <w:r w:rsidRPr="00011059">
        <w:t>Spodoptera</w:t>
      </w:r>
      <w:proofErr w:type="spellEnd"/>
      <w:r w:rsidRPr="00011059">
        <w:t xml:space="preserve"> </w:t>
      </w:r>
      <w:proofErr w:type="spellStart"/>
      <w:r w:rsidRPr="00011059">
        <w:t>exigua</w:t>
      </w:r>
      <w:proofErr w:type="spellEnd"/>
      <w:r w:rsidRPr="00011059">
        <w:t xml:space="preserve"> (</w:t>
      </w:r>
      <w:proofErr w:type="spellStart"/>
      <w:r w:rsidRPr="00011059">
        <w:t>Hübner</w:t>
      </w:r>
      <w:proofErr w:type="spellEnd"/>
      <w:r w:rsidRPr="00011059">
        <w:t xml:space="preserve">). 284–289. </w:t>
      </w:r>
      <w:hyperlink r:id="rId28" w:history="1">
        <w:r w:rsidR="00011059" w:rsidRPr="00CB1367">
          <w:rPr>
            <w:rStyle w:val="Hyperlink"/>
          </w:rPr>
          <w:t>https://doi.org/10.2991/absr.k.220406.040</w:t>
        </w:r>
      </w:hyperlink>
      <w:r w:rsidR="00011059">
        <w:t xml:space="preserve"> </w:t>
      </w:r>
    </w:p>
    <w:p w14:paraId="2E27197F" w14:textId="14A0B3DB" w:rsidR="0036703F" w:rsidRPr="00AE36DD" w:rsidRDefault="0036703F" w:rsidP="00AE36DD">
      <w:pPr>
        <w:pStyle w:val="Bibliography"/>
        <w:ind w:left="567" w:hanging="567"/>
        <w:jc w:val="both"/>
        <w:rPr>
          <w:rFonts w:ascii="Arial" w:hAnsi="Arial" w:cs="Arial"/>
        </w:rPr>
      </w:pPr>
      <w:proofErr w:type="spellStart"/>
      <w:r w:rsidRPr="00AE36DD">
        <w:rPr>
          <w:rFonts w:ascii="Arial" w:hAnsi="Arial" w:cs="Arial"/>
        </w:rPr>
        <w:t>Nivetha</w:t>
      </w:r>
      <w:proofErr w:type="spellEnd"/>
      <w:r w:rsidRPr="00AE36DD">
        <w:rPr>
          <w:rFonts w:ascii="Arial" w:hAnsi="Arial" w:cs="Arial"/>
        </w:rPr>
        <w:t xml:space="preserve">, T., </w:t>
      </w:r>
      <w:proofErr w:type="spellStart"/>
      <w:r w:rsidRPr="00AE36DD">
        <w:rPr>
          <w:rFonts w:ascii="Arial" w:hAnsi="Arial" w:cs="Arial"/>
        </w:rPr>
        <w:t>Renukadevi</w:t>
      </w:r>
      <w:proofErr w:type="spellEnd"/>
      <w:r w:rsidRPr="00AE36DD">
        <w:rPr>
          <w:rFonts w:ascii="Arial" w:hAnsi="Arial" w:cs="Arial"/>
        </w:rPr>
        <w:t xml:space="preserve">, P., Gayathri, M., Indra, N., Vidhya, D., &amp; Rajagopal, B. (2025). Global scenario of viruses infecting papaya. </w:t>
      </w:r>
      <w:r w:rsidRPr="00AE36DD">
        <w:rPr>
          <w:rFonts w:ascii="Arial" w:hAnsi="Arial" w:cs="Arial"/>
          <w:i/>
          <w:iCs/>
        </w:rPr>
        <w:t>3 Biotech</w:t>
      </w:r>
      <w:r w:rsidRPr="00AE36DD">
        <w:rPr>
          <w:rFonts w:ascii="Arial" w:hAnsi="Arial" w:cs="Arial"/>
        </w:rPr>
        <w:t xml:space="preserve">, </w:t>
      </w:r>
      <w:r w:rsidRPr="00AE36DD">
        <w:rPr>
          <w:rFonts w:ascii="Arial" w:hAnsi="Arial" w:cs="Arial"/>
          <w:i/>
          <w:iCs/>
        </w:rPr>
        <w:t>15</w:t>
      </w:r>
      <w:r w:rsidRPr="00AE36DD">
        <w:rPr>
          <w:rFonts w:ascii="Arial" w:hAnsi="Arial" w:cs="Arial"/>
        </w:rPr>
        <w:t xml:space="preserve">(7), 208. </w:t>
      </w:r>
      <w:hyperlink r:id="rId29" w:history="1">
        <w:r w:rsidR="00011059" w:rsidRPr="00CB1367">
          <w:rPr>
            <w:rStyle w:val="Hyperlink"/>
            <w:rFonts w:ascii="Arial" w:hAnsi="Arial" w:cs="Arial"/>
          </w:rPr>
          <w:t>https://doi.org/10.1007/s13205-025-04370-x</w:t>
        </w:r>
      </w:hyperlink>
      <w:r w:rsidR="00011059">
        <w:rPr>
          <w:rFonts w:ascii="Arial" w:hAnsi="Arial" w:cs="Arial"/>
        </w:rPr>
        <w:t xml:space="preserve"> </w:t>
      </w:r>
    </w:p>
    <w:p w14:paraId="2D09E97D" w14:textId="2E60BE95" w:rsidR="0036703F" w:rsidRPr="00AE36DD" w:rsidRDefault="0036703F" w:rsidP="00AE36DD">
      <w:pPr>
        <w:pStyle w:val="Bibliography"/>
        <w:ind w:left="567" w:hanging="567"/>
        <w:jc w:val="both"/>
        <w:rPr>
          <w:rFonts w:ascii="Arial" w:hAnsi="Arial" w:cs="Arial"/>
        </w:rPr>
      </w:pPr>
      <w:r w:rsidRPr="00AE36DD">
        <w:rPr>
          <w:rFonts w:ascii="Arial" w:hAnsi="Arial" w:cs="Arial"/>
        </w:rPr>
        <w:t xml:space="preserve">Pavela, R., &amp; Benelli, G. (2016). Essential Oils as Ecofriendly Biopesticides? Challenges and Constraints. </w:t>
      </w:r>
      <w:r w:rsidRPr="00AE36DD">
        <w:rPr>
          <w:rFonts w:ascii="Arial" w:hAnsi="Arial" w:cs="Arial"/>
          <w:i/>
          <w:iCs/>
        </w:rPr>
        <w:t>Trends in Plant Science</w:t>
      </w:r>
      <w:r w:rsidRPr="00AE36DD">
        <w:rPr>
          <w:rFonts w:ascii="Arial" w:hAnsi="Arial" w:cs="Arial"/>
        </w:rPr>
        <w:t xml:space="preserve">, </w:t>
      </w:r>
      <w:r w:rsidRPr="00AE36DD">
        <w:rPr>
          <w:rFonts w:ascii="Arial" w:hAnsi="Arial" w:cs="Arial"/>
          <w:i/>
          <w:iCs/>
        </w:rPr>
        <w:t>21</w:t>
      </w:r>
      <w:r w:rsidRPr="00AE36DD">
        <w:rPr>
          <w:rFonts w:ascii="Arial" w:hAnsi="Arial" w:cs="Arial"/>
        </w:rPr>
        <w:t xml:space="preserve">(12), 1000–1007. </w:t>
      </w:r>
      <w:hyperlink r:id="rId30" w:history="1">
        <w:r w:rsidR="00011059" w:rsidRPr="00CB1367">
          <w:rPr>
            <w:rStyle w:val="Hyperlink"/>
            <w:rFonts w:ascii="Arial" w:hAnsi="Arial" w:cs="Arial"/>
          </w:rPr>
          <w:t>https://doi.org/10.1016/j.tplants.2016.10.005</w:t>
        </w:r>
      </w:hyperlink>
      <w:r w:rsidR="00011059">
        <w:rPr>
          <w:rFonts w:ascii="Arial" w:hAnsi="Arial" w:cs="Arial"/>
        </w:rPr>
        <w:t xml:space="preserve"> </w:t>
      </w:r>
    </w:p>
    <w:p w14:paraId="704F3DC5" w14:textId="2FE59898" w:rsidR="0036703F" w:rsidRPr="00AE36DD" w:rsidRDefault="0036703F" w:rsidP="00AE36DD">
      <w:pPr>
        <w:pStyle w:val="Bibliography"/>
        <w:ind w:left="567" w:hanging="567"/>
        <w:jc w:val="both"/>
        <w:rPr>
          <w:rFonts w:ascii="Arial" w:hAnsi="Arial" w:cs="Arial"/>
          <w:lang w:val="de-DE"/>
        </w:rPr>
      </w:pPr>
      <w:r w:rsidRPr="00AE36DD">
        <w:rPr>
          <w:rFonts w:ascii="Arial" w:hAnsi="Arial" w:cs="Arial"/>
        </w:rPr>
        <w:t xml:space="preserve">Singh, R., &amp; Singh, G. (2021). Aphids. In Omkar (Ed.), </w:t>
      </w:r>
      <w:r w:rsidRPr="00AE36DD">
        <w:rPr>
          <w:rFonts w:ascii="Arial" w:hAnsi="Arial" w:cs="Arial"/>
          <w:i/>
          <w:iCs/>
        </w:rPr>
        <w:t>Polyphagous Pests of Crops</w:t>
      </w:r>
      <w:r w:rsidRPr="00AE36DD">
        <w:rPr>
          <w:rFonts w:ascii="Arial" w:hAnsi="Arial" w:cs="Arial"/>
        </w:rPr>
        <w:t xml:space="preserve"> (pp. 105–182). </w:t>
      </w:r>
      <w:r w:rsidRPr="00AE36DD">
        <w:rPr>
          <w:rFonts w:ascii="Arial" w:hAnsi="Arial" w:cs="Arial"/>
          <w:lang w:val="de-DE"/>
        </w:rPr>
        <w:t xml:space="preserve">Springer. </w:t>
      </w:r>
      <w:hyperlink r:id="rId31" w:history="1">
        <w:r w:rsidR="00011059" w:rsidRPr="00CB1367">
          <w:rPr>
            <w:rStyle w:val="Hyperlink"/>
            <w:rFonts w:ascii="Arial" w:hAnsi="Arial" w:cs="Arial"/>
            <w:lang w:val="de-DE"/>
          </w:rPr>
          <w:t>https://doi.org/10.1007/978-981-15-8075-8_3</w:t>
        </w:r>
      </w:hyperlink>
      <w:r w:rsidR="00011059">
        <w:rPr>
          <w:rFonts w:ascii="Arial" w:hAnsi="Arial" w:cs="Arial"/>
          <w:lang w:val="de-DE"/>
        </w:rPr>
        <w:t xml:space="preserve"> </w:t>
      </w:r>
    </w:p>
    <w:p w14:paraId="2B0194D8" w14:textId="0DC6B3C2" w:rsidR="0036703F" w:rsidRPr="00AE36DD" w:rsidRDefault="0036703F" w:rsidP="00AE36DD">
      <w:pPr>
        <w:pStyle w:val="Bibliography"/>
        <w:ind w:left="567" w:hanging="567"/>
        <w:jc w:val="both"/>
        <w:rPr>
          <w:rFonts w:ascii="Arial" w:hAnsi="Arial" w:cs="Arial"/>
        </w:rPr>
      </w:pPr>
      <w:r w:rsidRPr="00AE36DD">
        <w:rPr>
          <w:rFonts w:ascii="Arial" w:hAnsi="Arial" w:cs="Arial"/>
          <w:lang w:val="de-DE"/>
        </w:rPr>
        <w:t xml:space="preserve">Thakshila, W. A. K. G., Dammini Premachandra, W. T. S., &amp; Borgemeister, C. (2022). </w:t>
      </w:r>
      <w:r w:rsidRPr="00AE36DD">
        <w:rPr>
          <w:rFonts w:ascii="Arial" w:hAnsi="Arial" w:cs="Arial"/>
        </w:rPr>
        <w:t xml:space="preserve">Potential toxic effects of aqueous leaf extracts of Calotropis gigantea and Croton </w:t>
      </w:r>
      <w:proofErr w:type="spellStart"/>
      <w:r w:rsidRPr="00AE36DD">
        <w:rPr>
          <w:rFonts w:ascii="Arial" w:hAnsi="Arial" w:cs="Arial"/>
        </w:rPr>
        <w:t>laccifera</w:t>
      </w:r>
      <w:proofErr w:type="spellEnd"/>
      <w:r w:rsidRPr="00AE36DD">
        <w:rPr>
          <w:rFonts w:ascii="Arial" w:hAnsi="Arial" w:cs="Arial"/>
        </w:rPr>
        <w:t xml:space="preserve"> against Aphis </w:t>
      </w:r>
      <w:proofErr w:type="spellStart"/>
      <w:r w:rsidRPr="00AE36DD">
        <w:rPr>
          <w:rFonts w:ascii="Arial" w:hAnsi="Arial" w:cs="Arial"/>
        </w:rPr>
        <w:t>craccivora</w:t>
      </w:r>
      <w:proofErr w:type="spellEnd"/>
      <w:r w:rsidRPr="00AE36DD">
        <w:rPr>
          <w:rFonts w:ascii="Arial" w:hAnsi="Arial" w:cs="Arial"/>
        </w:rPr>
        <w:t xml:space="preserve">. </w:t>
      </w:r>
      <w:r w:rsidRPr="00AE36DD">
        <w:rPr>
          <w:rFonts w:ascii="Arial" w:hAnsi="Arial" w:cs="Arial"/>
          <w:i/>
          <w:iCs/>
        </w:rPr>
        <w:t>International Journal of Tropical Insect Science</w:t>
      </w:r>
      <w:r w:rsidRPr="00AE36DD">
        <w:rPr>
          <w:rFonts w:ascii="Arial" w:hAnsi="Arial" w:cs="Arial"/>
        </w:rPr>
        <w:t xml:space="preserve">, </w:t>
      </w:r>
      <w:r w:rsidRPr="00AE36DD">
        <w:rPr>
          <w:rFonts w:ascii="Arial" w:hAnsi="Arial" w:cs="Arial"/>
          <w:i/>
          <w:iCs/>
        </w:rPr>
        <w:t>42</w:t>
      </w:r>
      <w:r w:rsidRPr="00AE36DD">
        <w:rPr>
          <w:rFonts w:ascii="Arial" w:hAnsi="Arial" w:cs="Arial"/>
        </w:rPr>
        <w:t xml:space="preserve">(2), 1165–1173. </w:t>
      </w:r>
      <w:hyperlink r:id="rId32" w:history="1">
        <w:r w:rsidR="00011059" w:rsidRPr="00CB1367">
          <w:rPr>
            <w:rStyle w:val="Hyperlink"/>
            <w:rFonts w:ascii="Arial" w:hAnsi="Arial" w:cs="Arial"/>
          </w:rPr>
          <w:t>https://doi.org/10.1007/s42690-021-00632-2</w:t>
        </w:r>
      </w:hyperlink>
      <w:r w:rsidR="00011059">
        <w:rPr>
          <w:rFonts w:ascii="Arial" w:hAnsi="Arial" w:cs="Arial"/>
        </w:rPr>
        <w:t xml:space="preserve"> </w:t>
      </w:r>
    </w:p>
    <w:p w14:paraId="76B7FA0F" w14:textId="77777777" w:rsidR="0036703F" w:rsidRPr="00AE36DD" w:rsidRDefault="0036703F" w:rsidP="00AE36DD">
      <w:pPr>
        <w:pStyle w:val="Bibliography"/>
        <w:ind w:left="567" w:hanging="567"/>
        <w:jc w:val="both"/>
        <w:rPr>
          <w:rFonts w:ascii="Arial" w:hAnsi="Arial" w:cs="Arial"/>
        </w:rPr>
      </w:pPr>
      <w:r w:rsidRPr="00AE36DD">
        <w:rPr>
          <w:rFonts w:ascii="Arial" w:hAnsi="Arial" w:cs="Arial"/>
          <w:lang w:val="de-DE"/>
        </w:rPr>
        <w:t xml:space="preserve">Ullah, R., &amp; Wiedmer, S. K. (2025). </w:t>
      </w:r>
      <w:r w:rsidRPr="00AE36DD">
        <w:rPr>
          <w:rFonts w:ascii="Arial" w:hAnsi="Arial" w:cs="Arial"/>
        </w:rPr>
        <w:t xml:space="preserve">Potential biopesticides from </w:t>
      </w:r>
      <w:r w:rsidRPr="00AE36DD">
        <w:rPr>
          <w:rFonts w:ascii="Arial" w:hAnsi="Arial" w:cs="Arial"/>
          <w:i/>
          <w:iCs/>
        </w:rPr>
        <w:t>Datura alba</w:t>
      </w:r>
      <w:r w:rsidRPr="00AE36DD">
        <w:rPr>
          <w:rFonts w:ascii="Arial" w:hAnsi="Arial" w:cs="Arial"/>
        </w:rPr>
        <w:t xml:space="preserve"> and </w:t>
      </w:r>
      <w:r w:rsidRPr="00AE36DD">
        <w:rPr>
          <w:rFonts w:ascii="Arial" w:hAnsi="Arial" w:cs="Arial"/>
          <w:i/>
          <w:iCs/>
        </w:rPr>
        <w:t>Calotropis gigantea</w:t>
      </w:r>
      <w:r w:rsidRPr="00AE36DD">
        <w:rPr>
          <w:rFonts w:ascii="Arial" w:hAnsi="Arial" w:cs="Arial"/>
        </w:rPr>
        <w:t xml:space="preserve">: Extraction, analysis, and reported compounds. </w:t>
      </w:r>
      <w:r w:rsidRPr="00AE36DD">
        <w:rPr>
          <w:rFonts w:ascii="Arial" w:hAnsi="Arial" w:cs="Arial"/>
          <w:i/>
          <w:iCs/>
        </w:rPr>
        <w:t>Crop Protection</w:t>
      </w:r>
      <w:r w:rsidRPr="00AE36DD">
        <w:rPr>
          <w:rFonts w:ascii="Arial" w:hAnsi="Arial" w:cs="Arial"/>
        </w:rPr>
        <w:t xml:space="preserve">, </w:t>
      </w:r>
      <w:r w:rsidRPr="00AE36DD">
        <w:rPr>
          <w:rFonts w:ascii="Arial" w:hAnsi="Arial" w:cs="Arial"/>
          <w:i/>
          <w:iCs/>
        </w:rPr>
        <w:t>188</w:t>
      </w:r>
      <w:r w:rsidRPr="00AE36DD">
        <w:rPr>
          <w:rFonts w:ascii="Arial" w:hAnsi="Arial" w:cs="Arial"/>
        </w:rPr>
        <w:t>, 107009. https://doi.org/10.1016/j.cropro.2024.107009</w:t>
      </w:r>
    </w:p>
    <w:p w14:paraId="0B00F841" w14:textId="38AEA9D7" w:rsidR="0036703F" w:rsidRPr="00AE36DD" w:rsidRDefault="0036703F" w:rsidP="00AE36DD">
      <w:pPr>
        <w:pStyle w:val="Bibliography"/>
        <w:ind w:left="567" w:hanging="567"/>
        <w:jc w:val="both"/>
        <w:rPr>
          <w:rFonts w:ascii="Arial" w:hAnsi="Arial" w:cs="Arial"/>
        </w:rPr>
      </w:pPr>
      <w:r w:rsidRPr="00AE36DD">
        <w:rPr>
          <w:rFonts w:ascii="Arial" w:hAnsi="Arial" w:cs="Arial"/>
        </w:rPr>
        <w:t xml:space="preserve">Venkanna, Y., &amp; </w:t>
      </w:r>
      <w:proofErr w:type="spellStart"/>
      <w:r w:rsidRPr="00AE36DD">
        <w:rPr>
          <w:rFonts w:ascii="Arial" w:hAnsi="Arial" w:cs="Arial"/>
        </w:rPr>
        <w:t>Suroshe</w:t>
      </w:r>
      <w:proofErr w:type="spellEnd"/>
      <w:r w:rsidRPr="00AE36DD">
        <w:rPr>
          <w:rFonts w:ascii="Arial" w:hAnsi="Arial" w:cs="Arial"/>
        </w:rPr>
        <w:t xml:space="preserve">, S. S. (2023). A simple technique for continuous rearing of cotton aphid, Aphis gossypii Glover. </w:t>
      </w:r>
      <w:r w:rsidRPr="00AE36DD">
        <w:rPr>
          <w:rFonts w:ascii="Arial" w:hAnsi="Arial" w:cs="Arial"/>
          <w:i/>
          <w:iCs/>
        </w:rPr>
        <w:t>International Journal of Tropical Insect Science</w:t>
      </w:r>
      <w:r w:rsidRPr="00AE36DD">
        <w:rPr>
          <w:rFonts w:ascii="Arial" w:hAnsi="Arial" w:cs="Arial"/>
        </w:rPr>
        <w:t xml:space="preserve">, </w:t>
      </w:r>
      <w:r w:rsidRPr="00AE36DD">
        <w:rPr>
          <w:rFonts w:ascii="Arial" w:hAnsi="Arial" w:cs="Arial"/>
          <w:i/>
          <w:iCs/>
        </w:rPr>
        <w:t>43</w:t>
      </w:r>
      <w:r w:rsidRPr="00AE36DD">
        <w:rPr>
          <w:rFonts w:ascii="Arial" w:hAnsi="Arial" w:cs="Arial"/>
        </w:rPr>
        <w:t xml:space="preserve">(2), 519–526. </w:t>
      </w:r>
      <w:hyperlink r:id="rId33" w:history="1">
        <w:r w:rsidR="00011059" w:rsidRPr="00CB1367">
          <w:rPr>
            <w:rStyle w:val="Hyperlink"/>
            <w:rFonts w:ascii="Arial" w:hAnsi="Arial" w:cs="Arial"/>
          </w:rPr>
          <w:t>https://doi.org/10.1007/s42690-023-00951-6</w:t>
        </w:r>
      </w:hyperlink>
      <w:r w:rsidR="00011059">
        <w:rPr>
          <w:rFonts w:ascii="Arial" w:hAnsi="Arial" w:cs="Arial"/>
        </w:rPr>
        <w:t xml:space="preserve"> </w:t>
      </w:r>
    </w:p>
    <w:p w14:paraId="3F40912F" w14:textId="229E40E4" w:rsidR="0036703F" w:rsidRPr="00AE36DD" w:rsidRDefault="0036703F" w:rsidP="00AE36DD">
      <w:pPr>
        <w:pStyle w:val="Bibliography"/>
        <w:ind w:left="567" w:hanging="567"/>
        <w:jc w:val="both"/>
        <w:rPr>
          <w:rFonts w:ascii="Arial" w:hAnsi="Arial" w:cs="Arial"/>
        </w:rPr>
      </w:pPr>
      <w:r w:rsidRPr="00AE36DD">
        <w:rPr>
          <w:rFonts w:ascii="Arial" w:hAnsi="Arial" w:cs="Arial"/>
          <w:lang w:val="de-DE"/>
        </w:rPr>
        <w:t xml:space="preserve">Yang, J., Bang, H., Yang, H., Zhao, J., Farhan, M., Ma, X., &amp; Zhang, S. (2025). </w:t>
      </w:r>
      <w:r w:rsidRPr="00AE36DD">
        <w:rPr>
          <w:rFonts w:ascii="Arial" w:hAnsi="Arial" w:cs="Arial"/>
        </w:rPr>
        <w:t xml:space="preserve">Adaptability of Aphis gossypii glover to different Capsicum annuum varieties. </w:t>
      </w:r>
      <w:r w:rsidRPr="00AE36DD">
        <w:rPr>
          <w:rFonts w:ascii="Arial" w:hAnsi="Arial" w:cs="Arial"/>
          <w:i/>
          <w:iCs/>
        </w:rPr>
        <w:t>Bulletin of Entomological Research</w:t>
      </w:r>
      <w:r w:rsidRPr="00AE36DD">
        <w:rPr>
          <w:rFonts w:ascii="Arial" w:hAnsi="Arial" w:cs="Arial"/>
        </w:rPr>
        <w:t xml:space="preserve">, </w:t>
      </w:r>
      <w:r w:rsidRPr="00AE36DD">
        <w:rPr>
          <w:rFonts w:ascii="Arial" w:hAnsi="Arial" w:cs="Arial"/>
          <w:i/>
          <w:iCs/>
        </w:rPr>
        <w:t>115</w:t>
      </w:r>
      <w:r w:rsidRPr="00AE36DD">
        <w:rPr>
          <w:rFonts w:ascii="Arial" w:hAnsi="Arial" w:cs="Arial"/>
        </w:rPr>
        <w:t xml:space="preserve">(3), 287–295. </w:t>
      </w:r>
      <w:hyperlink r:id="rId34" w:history="1">
        <w:r w:rsidR="00011059" w:rsidRPr="00CB1367">
          <w:rPr>
            <w:rStyle w:val="Hyperlink"/>
            <w:rFonts w:ascii="Arial" w:hAnsi="Arial" w:cs="Arial"/>
          </w:rPr>
          <w:t>https://doi.org/10.1017/S0007485325000100</w:t>
        </w:r>
      </w:hyperlink>
      <w:r w:rsidR="00011059">
        <w:rPr>
          <w:rFonts w:ascii="Arial" w:hAnsi="Arial" w:cs="Arial"/>
        </w:rPr>
        <w:t xml:space="preserve"> </w:t>
      </w:r>
    </w:p>
    <w:p w14:paraId="63014D77" w14:textId="77777777" w:rsidR="00441B6F" w:rsidRPr="00AE36DD" w:rsidRDefault="00441B6F" w:rsidP="00AE36DD">
      <w:pPr>
        <w:pStyle w:val="Body"/>
        <w:spacing w:after="0"/>
        <w:ind w:left="567" w:hanging="567"/>
        <w:rPr>
          <w:rFonts w:ascii="Arial" w:hAnsi="Arial" w:cs="Arial"/>
        </w:rPr>
      </w:pPr>
    </w:p>
    <w:sectPr w:rsidR="00441B6F" w:rsidRPr="00AE36DD" w:rsidSect="00327CF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BEC2A" w14:textId="77777777" w:rsidR="00907C70" w:rsidRDefault="00907C70" w:rsidP="00C37E61">
      <w:r>
        <w:separator/>
      </w:r>
    </w:p>
  </w:endnote>
  <w:endnote w:type="continuationSeparator" w:id="0">
    <w:p w14:paraId="27570327" w14:textId="77777777" w:rsidR="00907C70" w:rsidRDefault="00907C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73E6"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7AF08" w14:textId="44C220F6" w:rsidR="00C37E61" w:rsidRPr="009D0EC5" w:rsidRDefault="00C37E61" w:rsidP="009D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6A93" w14:textId="77777777" w:rsidR="009E048A" w:rsidRDefault="009E048A">
    <w:pPr>
      <w:pStyle w:val="Footer"/>
      <w:rPr>
        <w:rFonts w:ascii="Arial" w:hAnsi="Arial" w:cs="Arial"/>
        <w:sz w:val="16"/>
      </w:rPr>
    </w:pPr>
  </w:p>
  <w:p w14:paraId="18E27DC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FFA57D" w14:textId="77777777" w:rsidR="009E048A" w:rsidRDefault="009E048A">
    <w:pPr>
      <w:pStyle w:val="Footer"/>
      <w:rPr>
        <w:rFonts w:ascii="Arial" w:hAnsi="Arial" w:cs="Arial"/>
        <w:sz w:val="16"/>
      </w:rPr>
    </w:pPr>
  </w:p>
  <w:p w14:paraId="417C8BB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4059E" w14:textId="77777777" w:rsidR="00907C70" w:rsidRDefault="00907C70" w:rsidP="00C37E61">
      <w:r>
        <w:separator/>
      </w:r>
    </w:p>
  </w:footnote>
  <w:footnote w:type="continuationSeparator" w:id="0">
    <w:p w14:paraId="2A023870" w14:textId="77777777" w:rsidR="00907C70" w:rsidRDefault="00907C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5008" w14:textId="3F9169ED" w:rsidR="00BF121F" w:rsidRDefault="00327CF2">
    <w:pPr>
      <w:pStyle w:val="Header"/>
    </w:pPr>
    <w:r>
      <w:rPr>
        <w:noProof/>
      </w:rPr>
      <w:pict w14:anchorId="6F021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111C" w14:textId="1DF555E9" w:rsidR="00BF121F" w:rsidRDefault="00327CF2">
    <w:pPr>
      <w:pStyle w:val="Header"/>
    </w:pPr>
    <w:r>
      <w:rPr>
        <w:noProof/>
      </w:rPr>
      <w:pict w14:anchorId="0800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7A5" w14:textId="3A36F978" w:rsidR="00296529" w:rsidRPr="00296529" w:rsidRDefault="00327CF2" w:rsidP="00296529">
    <w:pPr>
      <w:ind w:left="2160"/>
      <w:jc w:val="center"/>
      <w:rPr>
        <w:rFonts w:ascii="Times New Roman" w:eastAsia="Calibri" w:hAnsi="Times New Roman"/>
        <w:i/>
        <w:sz w:val="18"/>
        <w:szCs w:val="22"/>
      </w:rPr>
    </w:pPr>
    <w:r>
      <w:rPr>
        <w:noProof/>
      </w:rPr>
      <w:pict w14:anchorId="54A43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9CB25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72A5C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4F56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A533D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C2E0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3411B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D58"/>
    <w:rsid w:val="00011059"/>
    <w:rsid w:val="00030174"/>
    <w:rsid w:val="0004579C"/>
    <w:rsid w:val="000547C9"/>
    <w:rsid w:val="0006737F"/>
    <w:rsid w:val="000A47FA"/>
    <w:rsid w:val="000A65D3"/>
    <w:rsid w:val="000B1E33"/>
    <w:rsid w:val="000C7559"/>
    <w:rsid w:val="000D314E"/>
    <w:rsid w:val="000D689F"/>
    <w:rsid w:val="000D6CF3"/>
    <w:rsid w:val="000E3F51"/>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419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985"/>
    <w:rsid w:val="00315186"/>
    <w:rsid w:val="00327CF2"/>
    <w:rsid w:val="0033343E"/>
    <w:rsid w:val="00344BE5"/>
    <w:rsid w:val="003512C2"/>
    <w:rsid w:val="0036703F"/>
    <w:rsid w:val="00371FB6"/>
    <w:rsid w:val="003763C1"/>
    <w:rsid w:val="00376BBE"/>
    <w:rsid w:val="0039224F"/>
    <w:rsid w:val="003A43A4"/>
    <w:rsid w:val="003A7E18"/>
    <w:rsid w:val="003C4C86"/>
    <w:rsid w:val="003C6258"/>
    <w:rsid w:val="003E2904"/>
    <w:rsid w:val="003E7B1F"/>
    <w:rsid w:val="00401927"/>
    <w:rsid w:val="0041027F"/>
    <w:rsid w:val="00412475"/>
    <w:rsid w:val="00423789"/>
    <w:rsid w:val="00440F43"/>
    <w:rsid w:val="00441B6F"/>
    <w:rsid w:val="00446221"/>
    <w:rsid w:val="00450E62"/>
    <w:rsid w:val="004539DB"/>
    <w:rsid w:val="00467552"/>
    <w:rsid w:val="00471A80"/>
    <w:rsid w:val="00475C83"/>
    <w:rsid w:val="004D305E"/>
    <w:rsid w:val="004D4277"/>
    <w:rsid w:val="00502516"/>
    <w:rsid w:val="00505F06"/>
    <w:rsid w:val="00506828"/>
    <w:rsid w:val="0053056E"/>
    <w:rsid w:val="00554FDA"/>
    <w:rsid w:val="005C452D"/>
    <w:rsid w:val="005C784C"/>
    <w:rsid w:val="005D17F6"/>
    <w:rsid w:val="005E5539"/>
    <w:rsid w:val="00602BF5"/>
    <w:rsid w:val="00617FDD"/>
    <w:rsid w:val="00631928"/>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5568"/>
    <w:rsid w:val="00830B7C"/>
    <w:rsid w:val="0083216F"/>
    <w:rsid w:val="00860000"/>
    <w:rsid w:val="00863BD3"/>
    <w:rsid w:val="008641ED"/>
    <w:rsid w:val="00866D66"/>
    <w:rsid w:val="008671C6"/>
    <w:rsid w:val="00875803"/>
    <w:rsid w:val="00890E35"/>
    <w:rsid w:val="008B459E"/>
    <w:rsid w:val="008D26C5"/>
    <w:rsid w:val="008D6E31"/>
    <w:rsid w:val="008E13AE"/>
    <w:rsid w:val="008E1506"/>
    <w:rsid w:val="008E710C"/>
    <w:rsid w:val="008F69D6"/>
    <w:rsid w:val="00902823"/>
    <w:rsid w:val="00907C70"/>
    <w:rsid w:val="00915CA6"/>
    <w:rsid w:val="00927834"/>
    <w:rsid w:val="00932025"/>
    <w:rsid w:val="009500A6"/>
    <w:rsid w:val="00957C18"/>
    <w:rsid w:val="009659BA"/>
    <w:rsid w:val="00983040"/>
    <w:rsid w:val="009B3FB9"/>
    <w:rsid w:val="009C2465"/>
    <w:rsid w:val="009D0EC5"/>
    <w:rsid w:val="009D35A0"/>
    <w:rsid w:val="009D7EB7"/>
    <w:rsid w:val="009E048A"/>
    <w:rsid w:val="009E08E9"/>
    <w:rsid w:val="009E3DB9"/>
    <w:rsid w:val="009E6E35"/>
    <w:rsid w:val="009E7F88"/>
    <w:rsid w:val="009F0EDA"/>
    <w:rsid w:val="00A03B96"/>
    <w:rsid w:val="00A05B19"/>
    <w:rsid w:val="00A1134E"/>
    <w:rsid w:val="00A24E7E"/>
    <w:rsid w:val="00A258C3"/>
    <w:rsid w:val="00A347C0"/>
    <w:rsid w:val="00A51431"/>
    <w:rsid w:val="00A539AD"/>
    <w:rsid w:val="00A70697"/>
    <w:rsid w:val="00A94063"/>
    <w:rsid w:val="00AA6219"/>
    <w:rsid w:val="00AA74E0"/>
    <w:rsid w:val="00AB703F"/>
    <w:rsid w:val="00AC6BB8"/>
    <w:rsid w:val="00AE008F"/>
    <w:rsid w:val="00AE18D4"/>
    <w:rsid w:val="00AE36DD"/>
    <w:rsid w:val="00AE72CD"/>
    <w:rsid w:val="00B01FCD"/>
    <w:rsid w:val="00B1776C"/>
    <w:rsid w:val="00B52583"/>
    <w:rsid w:val="00B52896"/>
    <w:rsid w:val="00B54B67"/>
    <w:rsid w:val="00B95236"/>
    <w:rsid w:val="00B96BD9"/>
    <w:rsid w:val="00BA1B01"/>
    <w:rsid w:val="00BA2641"/>
    <w:rsid w:val="00BB37AA"/>
    <w:rsid w:val="00BB471F"/>
    <w:rsid w:val="00BC53A0"/>
    <w:rsid w:val="00BD6B9F"/>
    <w:rsid w:val="00BE62AD"/>
    <w:rsid w:val="00BF121F"/>
    <w:rsid w:val="00BF1F80"/>
    <w:rsid w:val="00C166EF"/>
    <w:rsid w:val="00C17EB0"/>
    <w:rsid w:val="00C27F5F"/>
    <w:rsid w:val="00C30A0F"/>
    <w:rsid w:val="00C30D03"/>
    <w:rsid w:val="00C37E61"/>
    <w:rsid w:val="00C6687B"/>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616"/>
    <w:rsid w:val="00EA012C"/>
    <w:rsid w:val="00EC6A55"/>
    <w:rsid w:val="00ED0288"/>
    <w:rsid w:val="00EE52CB"/>
    <w:rsid w:val="00EF581D"/>
    <w:rsid w:val="00EF7FD8"/>
    <w:rsid w:val="00F06F59"/>
    <w:rsid w:val="00F17988"/>
    <w:rsid w:val="00F20601"/>
    <w:rsid w:val="00F469F0"/>
    <w:rsid w:val="00F53273"/>
    <w:rsid w:val="00F539A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3AEFD9"/>
  <w15:docId w15:val="{859AEA3B-3785-4870-918D-6F992663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0E3F5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B54B67"/>
  </w:style>
  <w:style w:type="paragraph" w:styleId="NormalWeb">
    <w:name w:val="Normal (Web)"/>
    <w:basedOn w:val="Normal"/>
    <w:uiPriority w:val="99"/>
    <w:unhideWhenUsed/>
    <w:qFormat/>
    <w:rsid w:val="00475C83"/>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0E3F51"/>
    <w:rPr>
      <w:rFonts w:asciiTheme="majorHAnsi" w:eastAsiaTheme="majorEastAsia" w:hAnsiTheme="majorHAnsi" w:cstheme="majorBidi"/>
      <w:b/>
      <w:bCs/>
      <w:color w:val="4F81BD" w:themeColor="accent1"/>
      <w:sz w:val="22"/>
      <w:szCs w:val="22"/>
    </w:rPr>
  </w:style>
  <w:style w:type="table" w:customStyle="1" w:styleId="Style1">
    <w:name w:val="Style1"/>
    <w:basedOn w:val="TableNormal"/>
    <w:uiPriority w:val="99"/>
    <w:rsid w:val="000E3F51"/>
    <w:rPr>
      <w:rFonts w:asciiTheme="minorHAnsi" w:eastAsiaTheme="minorHAnsi" w:hAnsiTheme="minorHAnsi" w:cstheme="minorBidi"/>
      <w:sz w:val="22"/>
      <w:szCs w:val="22"/>
    </w:rPr>
    <w:tblPr/>
  </w:style>
  <w:style w:type="table" w:customStyle="1" w:styleId="TableGrid1">
    <w:name w:val="Table Grid1"/>
    <w:basedOn w:val="TableNormal"/>
    <w:next w:val="TableGrid"/>
    <w:uiPriority w:val="59"/>
    <w:rsid w:val="000E3F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E3F5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E3F5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31928"/>
    <w:rPr>
      <w:b/>
      <w:bCs/>
    </w:rPr>
  </w:style>
  <w:style w:type="character" w:styleId="UnresolvedMention">
    <w:name w:val="Unresolved Mention"/>
    <w:basedOn w:val="DefaultParagraphFont"/>
    <w:uiPriority w:val="99"/>
    <w:semiHidden/>
    <w:unhideWhenUsed/>
    <w:rsid w:val="0093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5025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46/annurev-ento-011019-025010" TargetMode="External"/><Relationship Id="rId26" Type="http://schemas.openxmlformats.org/officeDocument/2006/relationships/hyperlink" Target="https://doi.org/10.3390/agriculture12050600" TargetMode="External"/><Relationship Id="rId3" Type="http://schemas.openxmlformats.org/officeDocument/2006/relationships/styles" Target="styles.xml"/><Relationship Id="rId21" Type="http://schemas.openxmlformats.org/officeDocument/2006/relationships/hyperlink" Target="https://doi.org/10.1016/j.sciaf.2019.e00239" TargetMode="External"/><Relationship Id="rId34" Type="http://schemas.openxmlformats.org/officeDocument/2006/relationships/hyperlink" Target="https://doi.org/10.1017/S000748532500010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01.tci-thaijo.org/index.php/anres/article/view/254982" TargetMode="External"/><Relationship Id="rId25" Type="http://schemas.openxmlformats.org/officeDocument/2006/relationships/hyperlink" Target="https://doi.org/10.18280/ijdne.170610" TargetMode="External"/><Relationship Id="rId33" Type="http://schemas.openxmlformats.org/officeDocument/2006/relationships/hyperlink" Target="https://doi.org/10.1007/s42690-023-00951-6" TargetMode="External"/><Relationship Id="rId2" Type="http://schemas.openxmlformats.org/officeDocument/2006/relationships/numbering" Target="numbering.xml"/><Relationship Id="rId16" Type="http://schemas.openxmlformats.org/officeDocument/2006/relationships/hyperlink" Target="https://doi.org/10.1007/s12033-024-01122-9" TargetMode="External"/><Relationship Id="rId20" Type="http://schemas.openxmlformats.org/officeDocument/2006/relationships/hyperlink" Target="https://doi.org/10.9734/ijecc/2024/v14i13875" TargetMode="External"/><Relationship Id="rId29" Type="http://schemas.openxmlformats.org/officeDocument/2006/relationships/hyperlink" Target="https://doi.org/10.1007/s13205-025-04370-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2600-025-01292-5" TargetMode="External"/><Relationship Id="rId32" Type="http://schemas.openxmlformats.org/officeDocument/2006/relationships/hyperlink" Target="https://doi.org/10.1007/s42690-021-00632-2" TargetMode="External"/><Relationship Id="rId5" Type="http://schemas.openxmlformats.org/officeDocument/2006/relationships/webSettings" Target="webSettings.xml"/><Relationship Id="rId15" Type="http://schemas.openxmlformats.org/officeDocument/2006/relationships/hyperlink" Target="https://doi.org/10.3390/plants13162332" TargetMode="External"/><Relationship Id="rId23" Type="http://schemas.openxmlformats.org/officeDocument/2006/relationships/hyperlink" Target="https://doi.org/10.1016/j.heliyon.2024.e30793" TargetMode="External"/><Relationship Id="rId28" Type="http://schemas.openxmlformats.org/officeDocument/2006/relationships/hyperlink" Target="https://doi.org/10.2991/absr.k.220406.040"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8280/ijdne.160609" TargetMode="External"/><Relationship Id="rId31" Type="http://schemas.openxmlformats.org/officeDocument/2006/relationships/hyperlink" Target="https://doi.org/10.1007/978-981-15-8075-8_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79/cabicompendium.6204" TargetMode="External"/><Relationship Id="rId22" Type="http://schemas.openxmlformats.org/officeDocument/2006/relationships/hyperlink" Target="https://doi.org/10.1016/j.cub.2021.07.049" TargetMode="External"/><Relationship Id="rId27" Type="http://schemas.openxmlformats.org/officeDocument/2006/relationships/hyperlink" Target="https://doi.org/10.3390/agriculture12050600" TargetMode="External"/><Relationship Id="rId30" Type="http://schemas.openxmlformats.org/officeDocument/2006/relationships/hyperlink" Target="https://doi.org/10.1016/j.tplants.2016.10.005"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40FE9-BD67-4D56-A295-CF78506F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14141</Words>
  <Characters>80605</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2025-12-16T04:28:00Z</cp:lastPrinted>
  <dcterms:created xsi:type="dcterms:W3CDTF">2025-12-16T04:29:00Z</dcterms:created>
  <dcterms:modified xsi:type="dcterms:W3CDTF">2025-12-16T13:57:00Z</dcterms:modified>
</cp:coreProperties>
</file>