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From Bench to Bedside: Structural and Biological Barriers to Therapeutic Translation in Pancreatic Cancer</w:t>
      </w:r>
    </w:p>
    <w:p w:rsidR="00B2356C" w:rsidRDefault="00B2356C">
      <w:pPr>
        <w:spacing w:before="240" w:after="240"/>
        <w:rPr>
          <w:rFonts w:ascii="Times New Roman" w:eastAsia="Times New Roman" w:hAnsi="Times New Roman" w:cs="Times New Roman"/>
          <w:b/>
          <w:bCs/>
          <w:sz w:val="24"/>
          <w:szCs w:val="24"/>
        </w:rPr>
      </w:pPr>
    </w:p>
    <w:p w:rsidR="00813F84" w:rsidRDefault="00154854">
      <w:pPr>
        <w:spacing w:before="240" w:after="240"/>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Abstract</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ductal adenocarcinoma (PDAC) is among the deadliest malignancies, primarily driven by KRAS mutations and therapeutic resistance. This study summarizes recent translational strategies, including precision oncology, rational combination t</w:t>
      </w:r>
      <w:r>
        <w:rPr>
          <w:rFonts w:ascii="Times New Roman" w:eastAsia="Times New Roman" w:hAnsi="Times New Roman" w:cs="Times New Roman"/>
          <w:sz w:val="24"/>
          <w:szCs w:val="24"/>
        </w:rPr>
        <w:t>herapies, and stromal modulation, that aim to bridge laboratory discoveries to clinical application in PDAC. We conducted a comprehensive review of preclinical and clinical studies, highlighting mechanistic insights such as KRAS inhibition, PARP-targeted t</w:t>
      </w:r>
      <w:r>
        <w:rPr>
          <w:rFonts w:ascii="Times New Roman" w:eastAsia="Times New Roman" w:hAnsi="Times New Roman" w:cs="Times New Roman"/>
          <w:sz w:val="24"/>
          <w:szCs w:val="24"/>
        </w:rPr>
        <w:t>herapy, and combination regimens. The analysis draws on lessons from genetically engineered mouse models, patient-derived xenografts, and biomarker-guided clinical trial designs. Recent advances show that previously “undruggable” targets, including KRAS, c</w:t>
      </w:r>
      <w:r>
        <w:rPr>
          <w:rFonts w:ascii="Times New Roman" w:eastAsia="Times New Roman" w:hAnsi="Times New Roman" w:cs="Times New Roman"/>
          <w:sz w:val="24"/>
          <w:szCs w:val="24"/>
        </w:rPr>
        <w:t>an be effectively modulated using mutation-specific inhibitors and triple combination therapies, achieving complete tumor regression in preclinical models. PARP inhibitors in BRCA-mutated PDAC illustrate the translation of precision medicine to patient ben</w:t>
      </w:r>
      <w:r>
        <w:rPr>
          <w:rFonts w:ascii="Times New Roman" w:eastAsia="Times New Roman" w:hAnsi="Times New Roman" w:cs="Times New Roman"/>
          <w:sz w:val="24"/>
          <w:szCs w:val="24"/>
        </w:rPr>
        <w:t>efit. Adaptive, biomarker-driven trials enhance therapeutic signal detection, while stromal reprogramming improves drug delivery and immune accessibility. Artificial intelligence and systems biology support predictive modeling and optimization of trial des</w:t>
      </w:r>
      <w:r>
        <w:rPr>
          <w:rFonts w:ascii="Times New Roman" w:eastAsia="Times New Roman" w:hAnsi="Times New Roman" w:cs="Times New Roman"/>
          <w:sz w:val="24"/>
          <w:szCs w:val="24"/>
        </w:rPr>
        <w:t>ign. Translational research in PDAC demonstrates that persistent mechanistic exploration, combination strategies, and innovative trial designs can overcome historical therapeutic barriers. Despite systemic challenges, including funding, regulatory, and str</w:t>
      </w:r>
      <w:r>
        <w:rPr>
          <w:rFonts w:ascii="Times New Roman" w:eastAsia="Times New Roman" w:hAnsi="Times New Roman" w:cs="Times New Roman"/>
          <w:sz w:val="24"/>
          <w:szCs w:val="24"/>
        </w:rPr>
        <w:t>uctural constraints, these strategies provide a roadmap for improving clinical outcomes. Continued interdisciplinary collaboration and precision-guided interventions are essential to realize the full potential of these discoveries.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pancreatic duc</w:t>
      </w:r>
      <w:r>
        <w:rPr>
          <w:rFonts w:ascii="Times New Roman" w:eastAsia="Times New Roman" w:hAnsi="Times New Roman" w:cs="Times New Roman"/>
          <w:sz w:val="24"/>
          <w:szCs w:val="24"/>
        </w:rPr>
        <w:t>tal adenocarcinoma, KRAS, translational oncology, combination therapy, precision medicine, preclinical models</w:t>
      </w:r>
    </w:p>
    <w:p w:rsidR="00813F84" w:rsidRDefault="00813F84">
      <w:pPr>
        <w:spacing w:before="240"/>
        <w:rPr>
          <w:rFonts w:ascii="Times New Roman" w:eastAsia="Times New Roman" w:hAnsi="Times New Roman" w:cs="Times New Roman"/>
          <w:sz w:val="24"/>
          <w:szCs w:val="24"/>
        </w:rPr>
      </w:pPr>
    </w:p>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Introduction</w:t>
      </w:r>
    </w:p>
    <w:p w:rsidR="00813F84" w:rsidRDefault="00154854">
      <w:pPr>
        <w:spacing w:before="280" w:after="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The Bench-to-Bedside Paradigm in Oncology</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Translational research in oncology is built on the premise that mechanistic </w:t>
      </w:r>
      <w:r>
        <w:rPr>
          <w:rFonts w:ascii="Times New Roman" w:eastAsia="Times New Roman" w:hAnsi="Times New Roman" w:cs="Times New Roman"/>
          <w:sz w:val="24"/>
          <w:szCs w:val="24"/>
        </w:rPr>
        <w:t xml:space="preserve">insights generated in the laboratory can be systematically transformed into effective clinical interventions. The “bench-to-bedside” paradigm aims to shorten the distance between discovery and care by bringing together basic science, preclinical research, </w:t>
      </w:r>
      <w:r>
        <w:rPr>
          <w:rFonts w:ascii="Times New Roman" w:eastAsia="Times New Roman" w:hAnsi="Times New Roman" w:cs="Times New Roman"/>
          <w:sz w:val="24"/>
          <w:szCs w:val="24"/>
        </w:rPr>
        <w:t xml:space="preserve">and clinical trials in a coordinated process [1]. Over the past two decades, this model has delivered real progress in several cancers, </w:t>
      </w:r>
      <w:r>
        <w:rPr>
          <w:rFonts w:ascii="Times New Roman" w:eastAsia="Times New Roman" w:hAnsi="Times New Roman" w:cs="Times New Roman"/>
          <w:sz w:val="24"/>
          <w:szCs w:val="24"/>
        </w:rPr>
        <w:lastRenderedPageBreak/>
        <w:t>including breast cancer, melanoma, and non-small cell lung cancer. In these diseases, molecular classification and targe</w:t>
      </w:r>
      <w:r>
        <w:rPr>
          <w:rFonts w:ascii="Times New Roman" w:eastAsia="Times New Roman" w:hAnsi="Times New Roman" w:cs="Times New Roman"/>
          <w:sz w:val="24"/>
          <w:szCs w:val="24"/>
        </w:rPr>
        <w:t>ted therapies have meaningfully improved survival and quality of life.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Yet translational success in oncology has been inconsistent. While some cancers have benefited rapidly from targeted drugs and immunotherapies, others have seen little clinical progress</w:t>
      </w:r>
      <w:r>
        <w:rPr>
          <w:rFonts w:ascii="Times New Roman" w:eastAsia="Times New Roman" w:hAnsi="Times New Roman" w:cs="Times New Roman"/>
          <w:sz w:val="24"/>
          <w:szCs w:val="24"/>
        </w:rPr>
        <w:t xml:space="preserve"> despite intense research efforts [2]. This uneven progress exposes the limitations of a simple, linear view of translation and underscores the importance of understanding how disease-specific factors can impede the path from discovery to effective treatme</w:t>
      </w:r>
      <w:r>
        <w:rPr>
          <w:rFonts w:ascii="Times New Roman" w:eastAsia="Times New Roman" w:hAnsi="Times New Roman" w:cs="Times New Roman"/>
          <w:sz w:val="24"/>
          <w:szCs w:val="24"/>
        </w:rPr>
        <w:t>nt.</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Why Pancreatic Cancer Remains a Translational Outlier</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Pancreatic cancer, predominantly pancreatic ductal adenocarcinoma (PDAC), exemplifies one of the most striking failures of translational oncology. Despite decades of molecular research and </w:t>
      </w:r>
      <w:r>
        <w:rPr>
          <w:rFonts w:ascii="Times New Roman" w:eastAsia="Times New Roman" w:hAnsi="Times New Roman" w:cs="Times New Roman"/>
          <w:sz w:val="24"/>
          <w:szCs w:val="24"/>
        </w:rPr>
        <w:t>promising preclinical findings, patient outcomes have improved only marginally. The disease remains one of the leading causes of cancer-related death worldwide, with five-year survival rates that trail far behind those of most other solid tumors [3].</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Sever</w:t>
      </w:r>
      <w:r>
        <w:rPr>
          <w:rFonts w:ascii="Times New Roman" w:eastAsia="Times New Roman" w:hAnsi="Times New Roman" w:cs="Times New Roman"/>
          <w:sz w:val="24"/>
          <w:szCs w:val="24"/>
        </w:rPr>
        <w:t>al factors contribute to this translational impasse. Biologically, pancreatic cancer is marked by profound genetic heterogeneity, early metastatic potential, and an exceptionally dense and immunosuppressive tumor microenvironment [4]. Together, these featu</w:t>
      </w:r>
      <w:r>
        <w:rPr>
          <w:rFonts w:ascii="Times New Roman" w:eastAsia="Times New Roman" w:hAnsi="Times New Roman" w:cs="Times New Roman"/>
          <w:sz w:val="24"/>
          <w:szCs w:val="24"/>
        </w:rPr>
        <w:t>res limit drug delivery, weaken immune responses, and promote rapid resistance to therapy. Clinically, the disease is often diagnosed late, progresses aggressively, and affects patients who are frequently unable to tolerate intensive treatment regimens.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r>
        <w:rPr>
          <w:rFonts w:ascii="Times New Roman" w:eastAsia="Times New Roman" w:hAnsi="Times New Roman" w:cs="Times New Roman"/>
          <w:sz w:val="24"/>
          <w:szCs w:val="24"/>
        </w:rPr>
        <w:t xml:space="preserve">ucially, many therapies that performed well in preclinical models have failed to translate into meaningful clinical benefit. This repeated pattern suggests that the problem is not simply one of execution but of structure, rooted specifically in a mismatch </w:t>
      </w:r>
      <w:r>
        <w:rPr>
          <w:rFonts w:ascii="Times New Roman" w:eastAsia="Times New Roman" w:hAnsi="Times New Roman" w:cs="Times New Roman"/>
          <w:sz w:val="24"/>
          <w:szCs w:val="24"/>
        </w:rPr>
        <w:t>between experimental systems and the realities of human pancreatic cancer. For this reason, pancreatic cancer serves as a powerful case study for examining where and why translational oncology falls short.</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Purpose and Structure of This Review</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narr</w:t>
      </w:r>
      <w:r>
        <w:rPr>
          <w:rFonts w:ascii="Times New Roman" w:eastAsia="Times New Roman" w:hAnsi="Times New Roman" w:cs="Times New Roman"/>
          <w:sz w:val="24"/>
          <w:szCs w:val="24"/>
        </w:rPr>
        <w:t>ative review aims to examine the barriers that have limited successful therapeutic translation in pancreatic cancer and to discuss emerging strategies that may help overcome them. Rather than focusing solely on therapeutic failure, it emphasizes the underl</w:t>
      </w:r>
      <w:r>
        <w:rPr>
          <w:rFonts w:ascii="Times New Roman" w:eastAsia="Times New Roman" w:hAnsi="Times New Roman" w:cs="Times New Roman"/>
          <w:sz w:val="24"/>
          <w:szCs w:val="24"/>
        </w:rPr>
        <w:t>ying biological, methodological, clinical, and regulatory factors that contribute to translational attrition. It is organized to move from foundational biology through preclinical discovery and clinical translation before addressing failure patterns and fu</w:t>
      </w:r>
      <w:r>
        <w:rPr>
          <w:rFonts w:ascii="Times New Roman" w:eastAsia="Times New Roman" w:hAnsi="Times New Roman" w:cs="Times New Roman"/>
          <w:sz w:val="24"/>
          <w:szCs w:val="24"/>
        </w:rPr>
        <w:t>ture directions. By connecting insights across each stage of the translational pipeline, this work aims to inform more realistic, disease-adapted approaches to therapeutic development and to contribute to the ongoing redefinition of translational success i</w:t>
      </w:r>
      <w:r>
        <w:rPr>
          <w:rFonts w:ascii="Times New Roman" w:eastAsia="Times New Roman" w:hAnsi="Times New Roman" w:cs="Times New Roman"/>
          <w:sz w:val="24"/>
          <w:szCs w:val="24"/>
        </w:rPr>
        <w:t>n pancreatic oncology.</w:t>
      </w:r>
    </w:p>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813F84" w:rsidRDefault="00813F84">
      <w:pPr>
        <w:spacing w:before="240"/>
        <w:rPr>
          <w:rFonts w:ascii="Times New Roman" w:eastAsia="Times New Roman" w:hAnsi="Times New Roman" w:cs="Times New Roman"/>
          <w:b/>
          <w:bCs/>
          <w:sz w:val="24"/>
          <w:szCs w:val="24"/>
        </w:rPr>
      </w:pPr>
    </w:p>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Epidemiology, Burden, and the Clinical Reality of Pancreatic Cancer</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Global Patterns of Incidence, Mortality, and Survival</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cancer causes a striking number of cancer-related deaths relative to how often it is diagn</w:t>
      </w:r>
      <w:r>
        <w:rPr>
          <w:rFonts w:ascii="Times New Roman" w:eastAsia="Times New Roman" w:hAnsi="Times New Roman" w:cs="Times New Roman"/>
          <w:sz w:val="24"/>
          <w:szCs w:val="24"/>
        </w:rPr>
        <w:t>osed [5]. Although it represents a smaller share of global cancer cases, it consistently ranks among the leading causes of cancer mortality in both high-income and low- and middle-income countries. Over the past several decades, incidence has steadily rise</w:t>
      </w:r>
      <w:r>
        <w:rPr>
          <w:rFonts w:ascii="Times New Roman" w:eastAsia="Times New Roman" w:hAnsi="Times New Roman" w:cs="Times New Roman"/>
          <w:sz w:val="24"/>
          <w:szCs w:val="24"/>
        </w:rPr>
        <w:t>n, driven by population aging, increasing rates of metabolic disease, and improvements in diagnosis.  However, mortality has increased in parallel with incidence, reflecting the absence of meaningful gains in long-term survival [5].</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five-year s</w:t>
      </w:r>
      <w:r>
        <w:rPr>
          <w:rFonts w:ascii="Times New Roman" w:eastAsia="Times New Roman" w:hAnsi="Times New Roman" w:cs="Times New Roman"/>
          <w:sz w:val="24"/>
          <w:szCs w:val="24"/>
        </w:rPr>
        <w:t>urvival rate for pancreatic cancer remains among the lowest of all malignancies [2]. While incremental gains have been achieved through optimized chemotherapy regimens and improved perioperative care, these advances have translated into modest survival ext</w:t>
      </w:r>
      <w:r>
        <w:rPr>
          <w:rFonts w:ascii="Times New Roman" w:eastAsia="Times New Roman" w:hAnsi="Times New Roman" w:cs="Times New Roman"/>
          <w:sz w:val="24"/>
          <w:szCs w:val="24"/>
        </w:rPr>
        <w:t xml:space="preserve">ensions rather than durable disease control. Notably, survival improvements have been uneven across regions, with higher-income countries demonstrating marginally better outcomes, largely attributable to access to specialized surgical care and combination </w:t>
      </w:r>
      <w:r>
        <w:rPr>
          <w:rFonts w:ascii="Times New Roman" w:eastAsia="Times New Roman" w:hAnsi="Times New Roman" w:cs="Times New Roman"/>
          <w:sz w:val="24"/>
          <w:szCs w:val="24"/>
        </w:rPr>
        <w:t xml:space="preserve">chemotherapy [5]. </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Regional Inequities and the Problem of Late Diagnosis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Outcomes in pancreatic cancer are shaped not only by biology but also by geography and socioeconomic context. Access to timely imaging, expert surgical care, and systemic treatmen</w:t>
      </w:r>
      <w:r>
        <w:rPr>
          <w:rFonts w:ascii="Times New Roman" w:eastAsia="Times New Roman" w:hAnsi="Times New Roman" w:cs="Times New Roman"/>
          <w:sz w:val="24"/>
          <w:szCs w:val="24"/>
        </w:rPr>
        <w:t>ts differs widely across regions, contributing to marked disparities in survival. In many low- and middle-income settings, limited healthcare infrastructure leads to delayed diagnosis and restricted access to coordinated, multidisciplinary cancer care.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Eve</w:t>
      </w:r>
      <w:r>
        <w:rPr>
          <w:rFonts w:ascii="Times New Roman" w:eastAsia="Times New Roman" w:hAnsi="Times New Roman" w:cs="Times New Roman"/>
          <w:sz w:val="24"/>
          <w:szCs w:val="24"/>
        </w:rPr>
        <w:t>n in well-resourced health systems, late-stage diagnosis remains the norm. Most patients present with locally advanced or metastatic disease, making curative surgical resection impossible [7]. This pattern is largely explained by the pancreas’s deep anatom</w:t>
      </w:r>
      <w:r>
        <w:rPr>
          <w:rFonts w:ascii="Times New Roman" w:eastAsia="Times New Roman" w:hAnsi="Times New Roman" w:cs="Times New Roman"/>
          <w:sz w:val="24"/>
          <w:szCs w:val="24"/>
        </w:rPr>
        <w:t>ical location, the nonspecific nature of early symptoms, and the absence of effective population-wide screening strategies. As a result, opportunities for early intervention are rare, and treatment for the majority of patients remains palliative rather tha</w:t>
      </w:r>
      <w:r>
        <w:rPr>
          <w:rFonts w:ascii="Times New Roman" w:eastAsia="Times New Roman" w:hAnsi="Times New Roman" w:cs="Times New Roman"/>
          <w:sz w:val="24"/>
          <w:szCs w:val="24"/>
        </w:rPr>
        <w:t>n curative. Beyond survival statistics, pancreatic cancer places an extraordinary burden on patients’ daily lives. Symptoms such as pain, weight loss, fatigue, and digestive dysfunction frequently appear early and intensify rapidly as the disease progresse</w:t>
      </w:r>
      <w:r>
        <w:rPr>
          <w:rFonts w:ascii="Times New Roman" w:eastAsia="Times New Roman" w:hAnsi="Times New Roman" w:cs="Times New Roman"/>
          <w:sz w:val="24"/>
          <w:szCs w:val="24"/>
        </w:rPr>
        <w:t xml:space="preserve">s. The short interval between diagnosis and advanced illness often compounds emotional and psychological distress for patients and their families. </w:t>
      </w:r>
    </w:p>
    <w:p w:rsidR="00813F84" w:rsidRDefault="00813F84">
      <w:pPr>
        <w:spacing w:before="240" w:after="240"/>
        <w:rPr>
          <w:rFonts w:ascii="Times New Roman" w:eastAsia="Times New Roman" w:hAnsi="Times New Roman" w:cs="Times New Roman"/>
          <w:sz w:val="24"/>
          <w:szCs w:val="24"/>
        </w:rPr>
      </w:pPr>
    </w:p>
    <w:p w:rsidR="00813F84" w:rsidRDefault="00813F84">
      <w:pPr>
        <w:spacing w:before="240" w:after="40"/>
        <w:rPr>
          <w:rFonts w:ascii="Times New Roman" w:eastAsia="Times New Roman" w:hAnsi="Times New Roman" w:cs="Times New Roman"/>
          <w:b/>
          <w:bCs/>
          <w:sz w:val="24"/>
          <w:szCs w:val="24"/>
        </w:rPr>
      </w:pPr>
    </w:p>
    <w:p w:rsidR="00813F84" w:rsidRDefault="00813F84">
      <w:pPr>
        <w:spacing w:before="240" w:after="40"/>
        <w:rPr>
          <w:rFonts w:ascii="Times New Roman" w:eastAsia="Times New Roman" w:hAnsi="Times New Roman" w:cs="Times New Roman"/>
          <w:b/>
          <w:bCs/>
          <w:sz w:val="24"/>
          <w:szCs w:val="24"/>
        </w:rPr>
      </w:pP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Risk Factors and Disease Origins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pancreatic cancer reflects a complex interaction </w:t>
      </w:r>
      <w:r>
        <w:rPr>
          <w:rFonts w:ascii="Times New Roman" w:eastAsia="Times New Roman" w:hAnsi="Times New Roman" w:cs="Times New Roman"/>
          <w:sz w:val="24"/>
          <w:szCs w:val="24"/>
        </w:rPr>
        <w:t>between genetic susceptibility, environmental exposures, and metabolic factors. Well-established risk factors include older age, tobacco use, chronic pancreatitis, long-standing diabetes, obesity, and inherited cancer predisposition syndromes. Although fam</w:t>
      </w:r>
      <w:r>
        <w:rPr>
          <w:rFonts w:ascii="Times New Roman" w:eastAsia="Times New Roman" w:hAnsi="Times New Roman" w:cs="Times New Roman"/>
          <w:sz w:val="24"/>
          <w:szCs w:val="24"/>
        </w:rPr>
        <w:t>ilial pancreatic cancer accounts for only a small proportion of cases, studies in these populations have been instrumental in uncovering key molecular drivers of the disease.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this growing understanding of risk, progress in translating epidemiologic</w:t>
      </w:r>
      <w:r>
        <w:rPr>
          <w:rFonts w:ascii="Times New Roman" w:eastAsia="Times New Roman" w:hAnsi="Times New Roman" w:cs="Times New Roman"/>
          <w:sz w:val="24"/>
          <w:szCs w:val="24"/>
        </w:rPr>
        <w:t xml:space="preserve"> knowledge into effective prevention or early detection strategies has been limited. Surveillance programs for individuals at high genetic risk are available in select settings, but their overall impact on population-level mortality remains modest [9]. Thi</w:t>
      </w:r>
      <w:r>
        <w:rPr>
          <w:rFonts w:ascii="Times New Roman" w:eastAsia="Times New Roman" w:hAnsi="Times New Roman" w:cs="Times New Roman"/>
          <w:sz w:val="24"/>
          <w:szCs w:val="24"/>
        </w:rPr>
        <w:t>s gap highlights a recurring challenge in pancreatic cancer: knowledge accumulation without proportional clinical benefit.</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Current Treatment Approaches and Their Limits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Treatment strategies for pancreatic cancer are largely determined by disease stage </w:t>
      </w:r>
      <w:r>
        <w:rPr>
          <w:rFonts w:ascii="Times New Roman" w:eastAsia="Times New Roman" w:hAnsi="Times New Roman" w:cs="Times New Roman"/>
          <w:sz w:val="24"/>
          <w:szCs w:val="24"/>
        </w:rPr>
        <w:t xml:space="preserve">at diagnosis. Surgical resection, combined with neoadjuvant or adjuvant chemotherapy, offers the only chance for long-term survival. However, only a small fraction of patients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eligible for surgery at presentation. Even among those who undergo resection</w:t>
      </w:r>
      <w:r>
        <w:rPr>
          <w:rFonts w:ascii="Times New Roman" w:eastAsia="Times New Roman" w:hAnsi="Times New Roman" w:cs="Times New Roman"/>
          <w:sz w:val="24"/>
          <w:szCs w:val="24"/>
        </w:rPr>
        <w:t>, recurrence is common, underscoring the aggressive nature of the disease [10].</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For patients with advanced disease, combination chemotherapy regimens such as FOLFIRINOX or gemcitabine-based therapies form the backbone of treatment. These regimens have impr</w:t>
      </w:r>
      <w:r>
        <w:rPr>
          <w:rFonts w:ascii="Times New Roman" w:eastAsia="Times New Roman" w:hAnsi="Times New Roman" w:cs="Times New Roman"/>
          <w:sz w:val="24"/>
          <w:szCs w:val="24"/>
        </w:rPr>
        <w:t>oved median survival compared with older single-agent approaches, but benefits are limited and often accompanied by significant toxicity. To date, targeted therapies and immunotherapies have shown clinical benefit only in rare molecular subgroups, emphasiz</w:t>
      </w:r>
      <w:r>
        <w:rPr>
          <w:rFonts w:ascii="Times New Roman" w:eastAsia="Times New Roman" w:hAnsi="Times New Roman" w:cs="Times New Roman"/>
          <w:sz w:val="24"/>
          <w:szCs w:val="24"/>
        </w:rPr>
        <w:t>ing the lack of broadly effective systemic treatment options [12].</w:t>
      </w:r>
    </w:p>
    <w:p w:rsidR="00813F84" w:rsidRDefault="00154854">
      <w:pPr>
        <w:spacing w:before="280" w:after="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Biological Foundations of Translational Resistance</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Histopathologic Features of Pancreatic Ductal Adenocarcinoma</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Pancreatic ductal adenocarcinoma (PDAC) accounts for more than 90% of </w:t>
      </w:r>
      <w:r>
        <w:rPr>
          <w:rFonts w:ascii="Times New Roman" w:eastAsia="Times New Roman" w:hAnsi="Times New Roman" w:cs="Times New Roman"/>
          <w:sz w:val="24"/>
          <w:szCs w:val="24"/>
        </w:rPr>
        <w:t>pancreatic cancers and differs fundamentally from many other solid tumors at the tissue level [5]. Histologically, it is defined by poorly differentiated glandular tumor cells embedded within a dense, fibrotic desmoplastic stroma. In many cases, this strom</w:t>
      </w:r>
      <w:r>
        <w:rPr>
          <w:rFonts w:ascii="Times New Roman" w:eastAsia="Times New Roman" w:hAnsi="Times New Roman" w:cs="Times New Roman"/>
          <w:sz w:val="24"/>
          <w:szCs w:val="24"/>
        </w:rPr>
        <w:t xml:space="preserve">al compartment outweighs the malignant cell </w:t>
      </w:r>
      <w:r>
        <w:rPr>
          <w:rFonts w:ascii="Times New Roman" w:eastAsia="Times New Roman" w:hAnsi="Times New Roman" w:cs="Times New Roman"/>
          <w:sz w:val="24"/>
          <w:szCs w:val="24"/>
        </w:rPr>
        <w:lastRenderedPageBreak/>
        <w:t>population, exerting a dominant influence on tumor behavior, drug delivery, and immune activity.</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Rather than existing as a mass of malignant cells alone, PDAC functions as a complex and highly organized tissue ec</w:t>
      </w:r>
      <w:r>
        <w:rPr>
          <w:rFonts w:ascii="Times New Roman" w:eastAsia="Times New Roman" w:hAnsi="Times New Roman" w:cs="Times New Roman"/>
          <w:sz w:val="24"/>
          <w:szCs w:val="24"/>
        </w:rPr>
        <w:t>osystem. The extracellular matrix, activated fibroblasts, immune cells, and abnormal vasculature collectively create both physical and biochemical barriers to therapy. This architecture is a defining feature of the disease and a central driver of treatment</w:t>
      </w:r>
      <w:r>
        <w:rPr>
          <w:rFonts w:ascii="Times New Roman" w:eastAsia="Times New Roman" w:hAnsi="Times New Roman" w:cs="Times New Roman"/>
          <w:sz w:val="24"/>
          <w:szCs w:val="24"/>
        </w:rPr>
        <w:t xml:space="preserve"> resistance and translational failure.</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The Genomic Landscape of PDAC</w:t>
      </w:r>
    </w:p>
    <w:p w:rsidR="00813F84" w:rsidRDefault="00154854">
      <w:pPr>
        <w:spacing w:before="22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 KRAS and the Limits of the Oncogene Paradigm</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Activating mutations in </w:t>
      </w:r>
      <w:r>
        <w:rPr>
          <w:rFonts w:ascii="Times New Roman" w:eastAsia="Times New Roman" w:hAnsi="Times New Roman" w:cs="Times New Roman"/>
          <w:i/>
          <w:iCs/>
          <w:sz w:val="24"/>
          <w:szCs w:val="24"/>
        </w:rPr>
        <w:t>KRAS</w:t>
      </w:r>
      <w:r>
        <w:rPr>
          <w:rFonts w:ascii="Times New Roman" w:eastAsia="Times New Roman" w:hAnsi="Times New Roman" w:cs="Times New Roman"/>
          <w:sz w:val="24"/>
          <w:szCs w:val="24"/>
        </w:rPr>
        <w:t xml:space="preserve"> are present in the vast majority of PDAC cases and arise early in tumor development. The identification of RAS oncogenes, building on seminal work by Mariano Barbacid helped establish oncogene addiction as a cornerstone of modern cancer biology. In pancre</w:t>
      </w:r>
      <w:r>
        <w:rPr>
          <w:rFonts w:ascii="Times New Roman" w:eastAsia="Times New Roman" w:hAnsi="Times New Roman" w:cs="Times New Roman"/>
          <w:sz w:val="24"/>
          <w:szCs w:val="24"/>
        </w:rPr>
        <w:t>atic cancer, however, this paradigm has proven difficult to translate into therapeutic success.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KRAS signaling engages multiple downstream pathways, including MAPK, PI3K–AKT, and RAL-GDS, creating extensive redundancy and adaptive flexibility. As a result,</w:t>
      </w:r>
      <w:r>
        <w:rPr>
          <w:rFonts w:ascii="Times New Roman" w:eastAsia="Times New Roman" w:hAnsi="Times New Roman" w:cs="Times New Roman"/>
          <w:sz w:val="24"/>
          <w:szCs w:val="24"/>
        </w:rPr>
        <w:t xml:space="preserve"> early translational attempts to target KRAS directly or indirectly consistently failed in clinical trials, despite compelling preclinical data. These failures exposed a key limitation of reductionist targeting strategies when applied to a tumor as biologi</w:t>
      </w:r>
      <w:r>
        <w:rPr>
          <w:rFonts w:ascii="Times New Roman" w:eastAsia="Times New Roman" w:hAnsi="Times New Roman" w:cs="Times New Roman"/>
          <w:sz w:val="24"/>
          <w:szCs w:val="24"/>
        </w:rPr>
        <w:t xml:space="preserve">cally robust and adaptable as PDAC [12]. </w:t>
      </w:r>
    </w:p>
    <w:p w:rsidR="00813F84" w:rsidRDefault="00154854">
      <w:pPr>
        <w:spacing w:before="22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3.2.2 TP53, CDKN2A, SMAD4, and Disease Progression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w:t>
      </w:r>
      <w:r>
        <w:rPr>
          <w:rFonts w:ascii="Times New Roman" w:eastAsia="Times New Roman" w:hAnsi="Times New Roman" w:cs="Times New Roman"/>
          <w:i/>
          <w:iCs/>
          <w:sz w:val="24"/>
          <w:szCs w:val="24"/>
        </w:rPr>
        <w:t>KRAS</w:t>
      </w:r>
      <w:r>
        <w:rPr>
          <w:rFonts w:ascii="Times New Roman" w:eastAsia="Times New Roman" w:hAnsi="Times New Roman" w:cs="Times New Roman"/>
          <w:sz w:val="24"/>
          <w:szCs w:val="24"/>
        </w:rPr>
        <w:t xml:space="preserve">, recurrent alterations in </w:t>
      </w:r>
      <w:r>
        <w:rPr>
          <w:rFonts w:ascii="Times New Roman" w:eastAsia="Times New Roman" w:hAnsi="Times New Roman" w:cs="Times New Roman"/>
          <w:i/>
          <w:iCs/>
          <w:sz w:val="24"/>
          <w:szCs w:val="24"/>
        </w:rPr>
        <w:t>TP53</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CDKN2A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SMAD4</w:t>
      </w:r>
      <w:r>
        <w:rPr>
          <w:rFonts w:ascii="Times New Roman" w:eastAsia="Times New Roman" w:hAnsi="Times New Roman" w:cs="Times New Roman"/>
          <w:sz w:val="24"/>
          <w:szCs w:val="24"/>
        </w:rPr>
        <w:t xml:space="preserve"> shape PDAC progression by promoting genomic instability, deregulating cell-cycle control, and enhancing metastatic potential. Loss of </w:t>
      </w:r>
      <w:r>
        <w:rPr>
          <w:rFonts w:ascii="Times New Roman" w:eastAsia="Times New Roman" w:hAnsi="Times New Roman" w:cs="Times New Roman"/>
          <w:i/>
          <w:iCs/>
          <w:sz w:val="24"/>
          <w:szCs w:val="24"/>
        </w:rPr>
        <w:t>SMAD4</w:t>
      </w:r>
      <w:r>
        <w:rPr>
          <w:rFonts w:ascii="Times New Roman" w:eastAsia="Times New Roman" w:hAnsi="Times New Roman" w:cs="Times New Roman"/>
          <w:sz w:val="24"/>
          <w:szCs w:val="24"/>
        </w:rPr>
        <w:t xml:space="preserve"> in particular has been linked to aggressive disease behavior and poor clinical outcomes. These mutations interact r</w:t>
      </w:r>
      <w:r>
        <w:rPr>
          <w:rFonts w:ascii="Times New Roman" w:eastAsia="Times New Roman" w:hAnsi="Times New Roman" w:cs="Times New Roman"/>
          <w:sz w:val="24"/>
          <w:szCs w:val="24"/>
        </w:rPr>
        <w:t>ather than act independently, enabling tumor cells to adopt diverse phenotypes and resist therapeutic pressure.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their high prevalence, these genomic alterations have not yielded effective targeted therapies. This reflects the broader challenge of d</w:t>
      </w:r>
      <w:r>
        <w:rPr>
          <w:rFonts w:ascii="Times New Roman" w:eastAsia="Times New Roman" w:hAnsi="Times New Roman" w:cs="Times New Roman"/>
          <w:sz w:val="24"/>
          <w:szCs w:val="24"/>
        </w:rPr>
        <w:t>rugging tumor suppressor loss and complex mutational networks. While PDAC appears genomically uniform at the level of common driver mutations, this apparent simplicity masks profound functional diversity, complicating translational efforts [13].</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Epigen</w:t>
      </w:r>
      <w:r>
        <w:rPr>
          <w:rFonts w:ascii="Times New Roman" w:eastAsia="Times New Roman" w:hAnsi="Times New Roman" w:cs="Times New Roman"/>
          <w:b/>
          <w:bCs/>
          <w:sz w:val="24"/>
          <w:szCs w:val="24"/>
        </w:rPr>
        <w:t>etic Regulation and Transcriptional Plasticity</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Epigenetic reprogramming plays a central role in pancreatic cancer progression and resistance to therapy. Changes in chromatin organization, DNA methylation, and histone modification allow </w:t>
      </w:r>
      <w:r>
        <w:rPr>
          <w:rFonts w:ascii="Times New Roman" w:eastAsia="Times New Roman" w:hAnsi="Times New Roman" w:cs="Times New Roman"/>
          <w:sz w:val="24"/>
          <w:szCs w:val="24"/>
        </w:rPr>
        <w:lastRenderedPageBreak/>
        <w:t>tumor cells to rapid</w:t>
      </w:r>
      <w:r>
        <w:rPr>
          <w:rFonts w:ascii="Times New Roman" w:eastAsia="Times New Roman" w:hAnsi="Times New Roman" w:cs="Times New Roman"/>
          <w:sz w:val="24"/>
          <w:szCs w:val="24"/>
        </w:rPr>
        <w:t>ly adjust gene expression in response to environmental stress, including chemotherapy and targeted agents. This transcriptional flexibility enables PDAC cells to shift between molecular states and evade pathway-specific treatments.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Unlike genetic mutations</w:t>
      </w:r>
      <w:r>
        <w:rPr>
          <w:rFonts w:ascii="Times New Roman" w:eastAsia="Times New Roman" w:hAnsi="Times New Roman" w:cs="Times New Roman"/>
          <w:sz w:val="24"/>
          <w:szCs w:val="24"/>
        </w:rPr>
        <w:t>, epigenetic states are dynamic and highly context-dependent, making them difficult to target therapeutically. Although epigenetic interventions have shown promise in experimental models, clinical translation has been limited by toxicity, insufficient spec</w:t>
      </w:r>
      <w:r>
        <w:rPr>
          <w:rFonts w:ascii="Times New Roman" w:eastAsia="Times New Roman" w:hAnsi="Times New Roman" w:cs="Times New Roman"/>
          <w:sz w:val="24"/>
          <w:szCs w:val="24"/>
        </w:rPr>
        <w:t xml:space="preserve">ificity, and challenges in identifying patients most likely to benefit [14]. </w:t>
      </w: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Tumor Heterogeneity as a Barrier to Translation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Heterogeneity is a defining feature of pancreatic cancer, both within individual tumors and across patients. </w:t>
      </w:r>
      <w:proofErr w:type="spellStart"/>
      <w:r>
        <w:rPr>
          <w:rFonts w:ascii="Times New Roman" w:eastAsia="Times New Roman" w:hAnsi="Times New Roman" w:cs="Times New Roman"/>
          <w:sz w:val="24"/>
          <w:szCs w:val="24"/>
        </w:rPr>
        <w:t>Intratumoral</w:t>
      </w:r>
      <w:proofErr w:type="spellEnd"/>
      <w:r>
        <w:rPr>
          <w:rFonts w:ascii="Times New Roman" w:eastAsia="Times New Roman" w:hAnsi="Times New Roman" w:cs="Times New Roman"/>
          <w:sz w:val="24"/>
          <w:szCs w:val="24"/>
        </w:rPr>
        <w:t xml:space="preserve"> hete</w:t>
      </w:r>
      <w:r>
        <w:rPr>
          <w:rFonts w:ascii="Times New Roman" w:eastAsia="Times New Roman" w:hAnsi="Times New Roman" w:cs="Times New Roman"/>
          <w:sz w:val="24"/>
          <w:szCs w:val="24"/>
        </w:rPr>
        <w:t xml:space="preserve">rogeneity allows resistant </w:t>
      </w:r>
      <w:proofErr w:type="spellStart"/>
      <w:r>
        <w:rPr>
          <w:rFonts w:ascii="Times New Roman" w:eastAsia="Times New Roman" w:hAnsi="Times New Roman" w:cs="Times New Roman"/>
          <w:sz w:val="24"/>
          <w:szCs w:val="24"/>
        </w:rPr>
        <w:t>subclonal</w:t>
      </w:r>
      <w:proofErr w:type="spellEnd"/>
      <w:r>
        <w:rPr>
          <w:rFonts w:ascii="Times New Roman" w:eastAsia="Times New Roman" w:hAnsi="Times New Roman" w:cs="Times New Roman"/>
          <w:sz w:val="24"/>
          <w:szCs w:val="24"/>
        </w:rPr>
        <w:t xml:space="preserve"> populations to survive treatment and expand under selective pressure, driving rapid therapeutic failure. At the same time, intertumoral heterogeneity dilutes treatment effects when therapies are tested in broadly define</w:t>
      </w:r>
      <w:r>
        <w:rPr>
          <w:rFonts w:ascii="Times New Roman" w:eastAsia="Times New Roman" w:hAnsi="Times New Roman" w:cs="Times New Roman"/>
          <w:sz w:val="24"/>
          <w:szCs w:val="24"/>
        </w:rPr>
        <w:t>d patient populations [13].</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biological diversity undermines the reliability of single biomarkers and complicates the design and interpretation of clinical trials. Treatments that perform well in molecularly uniform experimental systems often fail when</w:t>
      </w:r>
      <w:r>
        <w:rPr>
          <w:rFonts w:ascii="Times New Roman" w:eastAsia="Times New Roman" w:hAnsi="Times New Roman" w:cs="Times New Roman"/>
          <w:sz w:val="24"/>
          <w:szCs w:val="24"/>
        </w:rPr>
        <w:t xml:space="preserve"> confronted with the layered complexity of human PDAC.</w:t>
      </w:r>
    </w:p>
    <w:p w:rsidR="00813F84" w:rsidRDefault="00813F84">
      <w:pPr>
        <w:spacing w:before="240" w:after="40"/>
        <w:rPr>
          <w:rFonts w:ascii="Times New Roman" w:eastAsia="Times New Roman" w:hAnsi="Times New Roman" w:cs="Times New Roman"/>
          <w:b/>
          <w:bCs/>
          <w:sz w:val="24"/>
          <w:szCs w:val="24"/>
        </w:rPr>
      </w:pPr>
    </w:p>
    <w:p w:rsidR="00813F84" w:rsidRDefault="00154854">
      <w:pPr>
        <w:spacing w:before="2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Cancer Stem-Like Cells and Therapeutic Escape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Cancer stem-like cells have been implicated in PDAC initiation, metastasis, and recurrence. These cells display enhanced DNA repair mechanisms, resist</w:t>
      </w:r>
      <w:r>
        <w:rPr>
          <w:rFonts w:ascii="Times New Roman" w:eastAsia="Times New Roman" w:hAnsi="Times New Roman" w:cs="Times New Roman"/>
          <w:sz w:val="24"/>
          <w:szCs w:val="24"/>
        </w:rPr>
        <w:t>ance to apoptosis, and reduced sensitivity to chemotherapy and radiation. Notably, they often become enriched following treatment, contributing to disease relapse and progression.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Efforts to target cancer stem cells have been hindered by shared markers wit</w:t>
      </w:r>
      <w:r>
        <w:rPr>
          <w:rFonts w:ascii="Times New Roman" w:eastAsia="Times New Roman" w:hAnsi="Times New Roman" w:cs="Times New Roman"/>
          <w:sz w:val="24"/>
          <w:szCs w:val="24"/>
        </w:rPr>
        <w:t>h normal stem cells and the inherent plasticity of stem-like states. Nevertheless, their role in therapeutic escape highlights a fundamental limitation of strategies that focus exclusively on eliminating bulk tumor cells while leaving resilient subpopulati</w:t>
      </w:r>
      <w:r>
        <w:rPr>
          <w:rFonts w:ascii="Times New Roman" w:eastAsia="Times New Roman" w:hAnsi="Times New Roman" w:cs="Times New Roman"/>
          <w:sz w:val="24"/>
          <w:szCs w:val="24"/>
        </w:rPr>
        <w:t>ons intact.</w:t>
      </w:r>
    </w:p>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health-system level, the combination of high mortality, intensive treatment demands, and limited therapeutic success generates substantial economic and emotional strain. These realities reinforce the urgency of improving translational </w:t>
      </w:r>
      <w:r>
        <w:rPr>
          <w:rFonts w:ascii="Times New Roman" w:eastAsia="Times New Roman" w:hAnsi="Times New Roman" w:cs="Times New Roman"/>
          <w:sz w:val="24"/>
          <w:szCs w:val="24"/>
        </w:rPr>
        <w:t>outcomes in pancreatic cancer, not only to extend survival but also to reduce symptom burden and meaningfully improve quality of life. To illustrate this multi-level translational gap, Figure 1 presents a structured overview of the key biological and clini</w:t>
      </w:r>
      <w:r>
        <w:rPr>
          <w:rFonts w:ascii="Times New Roman" w:eastAsia="Times New Roman" w:hAnsi="Times New Roman" w:cs="Times New Roman"/>
          <w:sz w:val="24"/>
          <w:szCs w:val="24"/>
        </w:rPr>
        <w:t>cal barriers that limit therapeutic success in pancreatic cancer.</w:t>
      </w: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630066" cy="6977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630066" cy="6977063"/>
                    </a:xfrm>
                    <a:prstGeom prst="rect">
                      <a:avLst/>
                    </a:prstGeom>
                    <a:ln/>
                  </pic:spPr>
                </pic:pic>
              </a:graphicData>
            </a:graphic>
          </wp:inline>
        </w:drawing>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This schematic illustrates the progressive barriers in pancreatic cancer therapeutics from molecular discovery to clinical outcomes. Each layer highlights specific biological, </w:t>
      </w:r>
      <w:r>
        <w:rPr>
          <w:rFonts w:ascii="Times New Roman" w:eastAsia="Times New Roman" w:hAnsi="Times New Roman" w:cs="Times New Roman"/>
          <w:sz w:val="24"/>
          <w:szCs w:val="24"/>
        </w:rPr>
        <w:lastRenderedPageBreak/>
        <w:t>p</w:t>
      </w:r>
      <w:r>
        <w:rPr>
          <w:rFonts w:ascii="Times New Roman" w:eastAsia="Times New Roman" w:hAnsi="Times New Roman" w:cs="Times New Roman"/>
          <w:sz w:val="24"/>
          <w:szCs w:val="24"/>
        </w:rPr>
        <w:t>reclinical, and clinical challenges that contribute to the translational gap, ultimately affecting patient survival and response rates.</w:t>
      </w:r>
    </w:p>
    <w:p w:rsidR="00813F84" w:rsidRDefault="00813F84">
      <w:pPr>
        <w:spacing w:before="240" w:after="240"/>
        <w:rPr>
          <w:rFonts w:ascii="Times New Roman" w:eastAsia="Times New Roman" w:hAnsi="Times New Roman" w:cs="Times New Roman"/>
          <w:b/>
          <w:bCs/>
          <w:sz w:val="24"/>
          <w:szCs w:val="24"/>
        </w:rPr>
      </w:pP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Preclinical Discoveries at the Bench</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ductal adenocarcinoma (PDAC) has long challenged the expectation tha</w:t>
      </w:r>
      <w:r>
        <w:rPr>
          <w:rFonts w:ascii="Times New Roman" w:eastAsia="Times New Roman" w:hAnsi="Times New Roman" w:cs="Times New Roman"/>
          <w:sz w:val="24"/>
          <w:szCs w:val="24"/>
        </w:rPr>
        <w:t>t biological insight directly translates into effective therapies. Despite decades of laboratory work, clinical progress remains modest. highlighting a disease sustained by interconnected survival mechanisms, including oncogenic signaling, metabolic flexib</w:t>
      </w:r>
      <w:r>
        <w:rPr>
          <w:rFonts w:ascii="Times New Roman" w:eastAsia="Times New Roman" w:hAnsi="Times New Roman" w:cs="Times New Roman"/>
          <w:sz w:val="24"/>
          <w:szCs w:val="24"/>
        </w:rPr>
        <w:t>ility, immune suppression, and physical barriers to treatment [15]. Early translational failures exposed the limitations of targeting isolated pathways, prompting a shift toward integrative preclinical models that account for tumor complexity.</w:t>
      </w: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KRAS mutati</w:t>
      </w:r>
      <w:r>
        <w:rPr>
          <w:rFonts w:ascii="Times New Roman" w:eastAsia="Times New Roman" w:hAnsi="Times New Roman" w:cs="Times New Roman"/>
          <w:sz w:val="24"/>
          <w:szCs w:val="24"/>
        </w:rPr>
        <w:t xml:space="preserve">ons, present in the majority of PDAC cases, define the molecular identity of the disease. While foundational experiments established KRAS as sufficient to initiate tumorigenesis, its biochemical properties made direct pharmacologic inhibition historically </w:t>
      </w:r>
      <w:r>
        <w:rPr>
          <w:rFonts w:ascii="Times New Roman" w:eastAsia="Times New Roman" w:hAnsi="Times New Roman" w:cs="Times New Roman"/>
          <w:sz w:val="24"/>
          <w:szCs w:val="24"/>
        </w:rPr>
        <w:t>elusive. Advances in structural biology eventually enabled mutation-specific inhibitors, yet preclinical studies show that KRAS blockade alone is insufficient due to compensatory signaling, emphasizing the need for combination strategies [16].</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Defects in </w:t>
      </w:r>
      <w:r>
        <w:rPr>
          <w:rFonts w:ascii="Times New Roman" w:eastAsia="Times New Roman" w:hAnsi="Times New Roman" w:cs="Times New Roman"/>
          <w:sz w:val="24"/>
          <w:szCs w:val="24"/>
        </w:rPr>
        <w:t>DNA damage repair pathways provide a distinct vulnerability: tumors with homologous recombination deficiencies rely on alternative mechanisms to maintain genomic stability. Preclinical studies demonstrate that targeting these compensatory pathways can indu</w:t>
      </w:r>
      <w:r>
        <w:rPr>
          <w:rFonts w:ascii="Times New Roman" w:eastAsia="Times New Roman" w:hAnsi="Times New Roman" w:cs="Times New Roman"/>
          <w:sz w:val="24"/>
          <w:szCs w:val="24"/>
        </w:rPr>
        <w:t>ce selective tumor cell death through synthetic lethality, though resistance often emerges, underscoring the dynamic nature of tumor adaptation [17].</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PDAC cells also exhibit metabolic plasticity, sustained by poor vascularization, hypoxia, and stromal supp</w:t>
      </w:r>
      <w:r>
        <w:rPr>
          <w:rFonts w:ascii="Times New Roman" w:eastAsia="Times New Roman" w:hAnsi="Times New Roman" w:cs="Times New Roman"/>
          <w:sz w:val="24"/>
          <w:szCs w:val="24"/>
        </w:rPr>
        <w:t xml:space="preserve">ort, which contributes to resistance against chemotherapy and targeted therapies. Similarly, dense stroma and dysfunctional vasculature limit drug delivery and immune infiltration, presenting obstacles to both small molecules and immunotherapy. Checkpoint </w:t>
      </w:r>
      <w:r>
        <w:rPr>
          <w:rFonts w:ascii="Times New Roman" w:eastAsia="Times New Roman" w:hAnsi="Times New Roman" w:cs="Times New Roman"/>
          <w:sz w:val="24"/>
          <w:szCs w:val="24"/>
        </w:rPr>
        <w:t>inhibitors and adoptive immune strategies face these barriers, requiring combinatorial approaches that enhance access, antigen presentation, and metabolic support before achieving meaningful responses [18]. Overall, preclinical research has moved beyond li</w:t>
      </w:r>
      <w:r>
        <w:rPr>
          <w:rFonts w:ascii="Times New Roman" w:eastAsia="Times New Roman" w:hAnsi="Times New Roman" w:cs="Times New Roman"/>
          <w:sz w:val="24"/>
          <w:szCs w:val="24"/>
        </w:rPr>
        <w:t>near pathway models, focusing instead on systems-level strategies that destabilize tumor biology, address resistance, and integrate the physical, metabolic, and immune context of PDAC. This framework informs current translational efforts, guiding the desig</w:t>
      </w:r>
      <w:r>
        <w:rPr>
          <w:rFonts w:ascii="Times New Roman" w:eastAsia="Times New Roman" w:hAnsi="Times New Roman" w:cs="Times New Roman"/>
          <w:sz w:val="24"/>
          <w:szCs w:val="24"/>
        </w:rPr>
        <w:t>n of combination therapies capable of overcoming the disease’s intrinsic adaptability [19].</w:t>
      </w:r>
    </w:p>
    <w:p w:rsidR="00813F84" w:rsidRDefault="00813F84">
      <w:pPr>
        <w:spacing w:before="240" w:after="240"/>
        <w:rPr>
          <w:rFonts w:ascii="Times New Roman" w:eastAsia="Times New Roman" w:hAnsi="Times New Roman" w:cs="Times New Roman"/>
          <w:b/>
          <w:bCs/>
          <w:sz w:val="24"/>
          <w:szCs w:val="24"/>
        </w:rPr>
      </w:pPr>
    </w:p>
    <w:p w:rsidR="00813F84" w:rsidRDefault="00813F84">
      <w:pPr>
        <w:spacing w:before="240" w:after="240"/>
        <w:rPr>
          <w:rFonts w:ascii="Times New Roman" w:eastAsia="Times New Roman" w:hAnsi="Times New Roman" w:cs="Times New Roman"/>
          <w:b/>
          <w:bCs/>
          <w:sz w:val="24"/>
          <w:szCs w:val="24"/>
        </w:rPr>
      </w:pP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 Drug Delivery Innovations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Across all therapeutic classes, limited drug access to tumor cells remains one of the most persistent barriers in pancreatic cancer.</w:t>
      </w:r>
      <w:r>
        <w:rPr>
          <w:rFonts w:ascii="Times New Roman" w:eastAsia="Times New Roman" w:hAnsi="Times New Roman" w:cs="Times New Roman"/>
          <w:sz w:val="24"/>
          <w:szCs w:val="24"/>
        </w:rPr>
        <w:t xml:space="preserve"> The dense desmoplastic stroma and poor vascular perfusion sharply restrict how much drug actually reaches the tumor, so even highly potent agents can fail if effective concentrations are not achieved. Delivery and efficacy cannot be separated. As a result</w:t>
      </w:r>
      <w:r>
        <w:rPr>
          <w:rFonts w:ascii="Times New Roman" w:eastAsia="Times New Roman" w:hAnsi="Times New Roman" w:cs="Times New Roman"/>
          <w:sz w:val="24"/>
          <w:szCs w:val="24"/>
        </w:rPr>
        <w:t>, translational strategies are shifting focus from drug potency alone to overcoming the physical and biological barriers that block adequate tumor exposure. Improving delivery is now seen as essential to strengthening the impact of chemotherapy, targeted t</w:t>
      </w:r>
      <w:r>
        <w:rPr>
          <w:rFonts w:ascii="Times New Roman" w:eastAsia="Times New Roman" w:hAnsi="Times New Roman" w:cs="Times New Roman"/>
          <w:sz w:val="24"/>
          <w:szCs w:val="24"/>
        </w:rPr>
        <w:t>herapy, and immunotherapy alike [20].</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 platforms and localized delivery systems are leading efforts to address this challenge. Nanoparticles offer controlled release, improved stability, and the ability to respond to tumor-specific conditions s</w:t>
      </w:r>
      <w:r>
        <w:rPr>
          <w:rFonts w:ascii="Times New Roman" w:eastAsia="Times New Roman" w:hAnsi="Times New Roman" w:cs="Times New Roman"/>
          <w:sz w:val="24"/>
          <w:szCs w:val="24"/>
        </w:rPr>
        <w:t xml:space="preserve">uch as hypoxia or acidic pH, but inconsistent </w:t>
      </w:r>
      <w:proofErr w:type="spellStart"/>
      <w:r>
        <w:rPr>
          <w:rFonts w:ascii="Times New Roman" w:eastAsia="Times New Roman" w:hAnsi="Times New Roman" w:cs="Times New Roman"/>
          <w:sz w:val="24"/>
          <w:szCs w:val="24"/>
        </w:rPr>
        <w:t>intratumoral</w:t>
      </w:r>
      <w:proofErr w:type="spellEnd"/>
      <w:r>
        <w:rPr>
          <w:rFonts w:ascii="Times New Roman" w:eastAsia="Times New Roman" w:hAnsi="Times New Roman" w:cs="Times New Roman"/>
          <w:sz w:val="24"/>
          <w:szCs w:val="24"/>
        </w:rPr>
        <w:t xml:space="preserve"> distribution and manufacturing complexity remain obstacles. Localized approaches, including implantable depots, ligand-directed carriers, and antibody-conjugated systems, aim to concentrate therapy</w:t>
      </w:r>
      <w:r>
        <w:rPr>
          <w:rFonts w:ascii="Times New Roman" w:eastAsia="Times New Roman" w:hAnsi="Times New Roman" w:cs="Times New Roman"/>
          <w:sz w:val="24"/>
          <w:szCs w:val="24"/>
        </w:rPr>
        <w:t xml:space="preserve"> directly within the tumor while limiting systemic toxicity. Although spatial heterogeneity continues to complicate uniform distribution, these strategies directly confront one of PDAC’s defining problems: therapeutic inaccessibility. Advances in delivery </w:t>
      </w:r>
      <w:r>
        <w:rPr>
          <w:rFonts w:ascii="Times New Roman" w:eastAsia="Times New Roman" w:hAnsi="Times New Roman" w:cs="Times New Roman"/>
          <w:sz w:val="24"/>
          <w:szCs w:val="24"/>
        </w:rPr>
        <w:t xml:space="preserve">may therefore be critical to narrowing the bench-to-bedside </w:t>
      </w:r>
      <w:proofErr w:type="gramStart"/>
      <w:r>
        <w:rPr>
          <w:rFonts w:ascii="Times New Roman" w:eastAsia="Times New Roman" w:hAnsi="Times New Roman" w:cs="Times New Roman"/>
          <w:sz w:val="24"/>
          <w:szCs w:val="24"/>
        </w:rPr>
        <w:t>gap[</w:t>
      </w:r>
      <w:proofErr w:type="gramEnd"/>
      <w:r>
        <w:rPr>
          <w:rFonts w:ascii="Times New Roman" w:eastAsia="Times New Roman" w:hAnsi="Times New Roman" w:cs="Times New Roman"/>
          <w:sz w:val="24"/>
          <w:szCs w:val="24"/>
        </w:rPr>
        <w:t xml:space="preserve">20]. </w:t>
      </w:r>
    </w:p>
    <w:p w:rsidR="00813F84" w:rsidRDefault="00813F84">
      <w:pPr>
        <w:spacing w:before="240" w:after="240"/>
        <w:rPr>
          <w:rFonts w:ascii="Times New Roman" w:eastAsia="Times New Roman" w:hAnsi="Times New Roman" w:cs="Times New Roman"/>
          <w:b/>
          <w:bCs/>
          <w:sz w:val="24"/>
          <w:szCs w:val="24"/>
        </w:rPr>
      </w:pP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The Tumor Microenvironment: A Translational Bottleneck</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many barriers to effective therapy in pancreatic cancer, the tumor microenvironment is the most pervasive and difficu</w:t>
      </w:r>
      <w:r>
        <w:rPr>
          <w:rFonts w:ascii="Times New Roman" w:eastAsia="Times New Roman" w:hAnsi="Times New Roman" w:cs="Times New Roman"/>
          <w:sz w:val="24"/>
          <w:szCs w:val="24"/>
        </w:rPr>
        <w:t>lt to overcome. Pancreatic ductal adenocarcinoma is defined less by malignant epithelial cells than by the ecosystem that surrounds and sustains them. Far from being a passive scaffold, the tumor microenvironment actively drives tumor progression, immune e</w:t>
      </w:r>
      <w:r>
        <w:rPr>
          <w:rFonts w:ascii="Times New Roman" w:eastAsia="Times New Roman" w:hAnsi="Times New Roman" w:cs="Times New Roman"/>
          <w:sz w:val="24"/>
          <w:szCs w:val="24"/>
        </w:rPr>
        <w:t>vasion, and therapeutic failure. Preclinical studies repeatedly show that interventions that kill isolated cancer cells often falter once the surrounding microenvironment is intact. This understanding has shifted translational focus from tumor-intrinsic bi</w:t>
      </w:r>
      <w:r>
        <w:rPr>
          <w:rFonts w:ascii="Times New Roman" w:eastAsia="Times New Roman" w:hAnsi="Times New Roman" w:cs="Times New Roman"/>
          <w:sz w:val="24"/>
          <w:szCs w:val="24"/>
        </w:rPr>
        <w:t>ology to the complex interactions between tumor and host.</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hallmark of pancreatic tumors is the extensive desmoplastic stroma, which frequently occupies more space than the tumor cells themselves. Composed of collagen, hyaluronan, and other extracellular </w:t>
      </w:r>
      <w:r>
        <w:rPr>
          <w:rFonts w:ascii="Times New Roman" w:eastAsia="Times New Roman" w:hAnsi="Times New Roman" w:cs="Times New Roman"/>
          <w:sz w:val="24"/>
          <w:szCs w:val="24"/>
        </w:rPr>
        <w:t xml:space="preserve">components, this fibrotic network stiffens tissue, compresses blood vessels, and limits the penetration of therapeutic agents. Beyond acting as a physical barrier, the extracellular </w:t>
      </w:r>
      <w:r>
        <w:rPr>
          <w:rFonts w:ascii="Times New Roman" w:eastAsia="Times New Roman" w:hAnsi="Times New Roman" w:cs="Times New Roman"/>
          <w:sz w:val="24"/>
          <w:szCs w:val="24"/>
        </w:rPr>
        <w:lastRenderedPageBreak/>
        <w:t>matrix actively signals to cancer cells, promoting survival, invasion, and</w:t>
      </w:r>
      <w:r>
        <w:rPr>
          <w:rFonts w:ascii="Times New Roman" w:eastAsia="Times New Roman" w:hAnsi="Times New Roman" w:cs="Times New Roman"/>
          <w:sz w:val="24"/>
          <w:szCs w:val="24"/>
        </w:rPr>
        <w:t xml:space="preserve"> adaptive resistance. It is a dynamic structure, constantly remodeled during disease progression, which complicates timing and targeting of interventions. Early attempts to broadly degrade the matrix produced inconsistent results, highlighting that the str</w:t>
      </w:r>
      <w:r>
        <w:rPr>
          <w:rFonts w:ascii="Times New Roman" w:eastAsia="Times New Roman" w:hAnsi="Times New Roman" w:cs="Times New Roman"/>
          <w:sz w:val="24"/>
          <w:szCs w:val="24"/>
        </w:rPr>
        <w:t>oma is not simply an obstacle but a regulator of tumor equilibrium [20].</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stroma, cancer-associated fibroblasts (CAFs) orchestrate much of the tumor’s signaling network. Rather than being uniformly tumor-promoting, CAFs are functionally diverse:</w:t>
      </w:r>
      <w:r>
        <w:rPr>
          <w:rFonts w:ascii="Times New Roman" w:eastAsia="Times New Roman" w:hAnsi="Times New Roman" w:cs="Times New Roman"/>
          <w:sz w:val="24"/>
          <w:szCs w:val="24"/>
        </w:rPr>
        <w:t xml:space="preserve"> some subsets stimulate tumor growth, while others restrain it. Preclinical studies revealed that indiscriminate depletion of fibroblasts can paradoxically accelerate disease, underscoring the dangers of oversimplification. CAFs influence cancer cell metab</w:t>
      </w:r>
      <w:r>
        <w:rPr>
          <w:rFonts w:ascii="Times New Roman" w:eastAsia="Times New Roman" w:hAnsi="Times New Roman" w:cs="Times New Roman"/>
          <w:sz w:val="24"/>
          <w:szCs w:val="24"/>
        </w:rPr>
        <w:t>olism, immune cell recruitment, and matrix organization, establishing feedback loops that stabilize malignant behavior. Translational failure has often stemmed from neglecting this complexity, and current research now emphasizes selective reprogramming rat</w:t>
      </w:r>
      <w:r>
        <w:rPr>
          <w:rFonts w:ascii="Times New Roman" w:eastAsia="Times New Roman" w:hAnsi="Times New Roman" w:cs="Times New Roman"/>
          <w:sz w:val="24"/>
          <w:szCs w:val="24"/>
        </w:rPr>
        <w:t>her than eradication of fibroblasts [21].</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Hypoxia and acidity further shape the tumor microenvironment, driving adaptive responses that strengthen tumor survival. Oxygen deprivation triggers metabolic shifts, suppresses apoptosis, and increases genomic </w:t>
      </w:r>
      <w:r>
        <w:rPr>
          <w:rFonts w:ascii="Times New Roman" w:eastAsia="Times New Roman" w:hAnsi="Times New Roman" w:cs="Times New Roman"/>
          <w:sz w:val="24"/>
          <w:szCs w:val="24"/>
        </w:rPr>
        <w:t>instability, while anaerobic metabolism acidifies surrounding tissue. These conditions not only reduce the effectiveness of chemotherapies but also impair immune function, creating pockets of resistance that vary across the tumor. Attempts to directly reve</w:t>
      </w:r>
      <w:r>
        <w:rPr>
          <w:rFonts w:ascii="Times New Roman" w:eastAsia="Times New Roman" w:hAnsi="Times New Roman" w:cs="Times New Roman"/>
          <w:sz w:val="24"/>
          <w:szCs w:val="24"/>
        </w:rPr>
        <w:t>rse hypoxia have been limited by systemic toxicity, so contemporary strategies focus on exploiting these conditions to sensitize tumors to other treatments, reframing how drug performance is evaluated [22].</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Immune suppression in pancreatic cancer is anothe</w:t>
      </w:r>
      <w:r>
        <w:rPr>
          <w:rFonts w:ascii="Times New Roman" w:eastAsia="Times New Roman" w:hAnsi="Times New Roman" w:cs="Times New Roman"/>
          <w:sz w:val="24"/>
          <w:szCs w:val="24"/>
        </w:rPr>
        <w:t>r layer of complexity, orchestrated primarily by myeloid-dominated populations. Tumor-associated macrophages, myeloid-derived suppressor cells, and regulatory immune subsets accumulate early and inhibit cytotoxic lymphocytes through both direct interaction</w:t>
      </w:r>
      <w:r>
        <w:rPr>
          <w:rFonts w:ascii="Times New Roman" w:eastAsia="Times New Roman" w:hAnsi="Times New Roman" w:cs="Times New Roman"/>
          <w:sz w:val="24"/>
          <w:szCs w:val="24"/>
        </w:rPr>
        <w:t>s and signaling molecules. Dense stroma further restricts immune trafficking, and even when T cells reach the tumor, competition for nutrients and inhibitory signals limit their function. Preclinical work shows that this suppression is active and multiface</w:t>
      </w:r>
      <w:r>
        <w:rPr>
          <w:rFonts w:ascii="Times New Roman" w:eastAsia="Times New Roman" w:hAnsi="Times New Roman" w:cs="Times New Roman"/>
          <w:sz w:val="24"/>
          <w:szCs w:val="24"/>
        </w:rPr>
        <w:t>ted, explaining why immune-activating therapies alone have had limited success. Effective translational strategies likely require coordinated modulation across multiple immune compartments rather than single-target interventions [23].</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Perhaps the most inst</w:t>
      </w:r>
      <w:r>
        <w:rPr>
          <w:rFonts w:ascii="Times New Roman" w:eastAsia="Times New Roman" w:hAnsi="Times New Roman" w:cs="Times New Roman"/>
          <w:sz w:val="24"/>
          <w:szCs w:val="24"/>
        </w:rPr>
        <w:t>ructive lessons come from failed attempts to deplete stroma. Early trials, guided by preclinical optimism, sought to remove fibrotic tissue to improve access to therapy. Unexpectedly, some interventions accelerated tumor growth and metastasis, revealing th</w:t>
      </w:r>
      <w:r>
        <w:rPr>
          <w:rFonts w:ascii="Times New Roman" w:eastAsia="Times New Roman" w:hAnsi="Times New Roman" w:cs="Times New Roman"/>
          <w:sz w:val="24"/>
          <w:szCs w:val="24"/>
        </w:rPr>
        <w:t>at the stroma can also constrain tumor spread. These failures highlighted the limitations of incomplete models and the risks of targeting complex systems without understanding their regulatory roles. As a result, translational efforts have shifted toward s</w:t>
      </w:r>
      <w:r>
        <w:rPr>
          <w:rFonts w:ascii="Times New Roman" w:eastAsia="Times New Roman" w:hAnsi="Times New Roman" w:cs="Times New Roman"/>
          <w:sz w:val="24"/>
          <w:szCs w:val="24"/>
        </w:rPr>
        <w:t xml:space="preserve">tromal modulation rather than eradication. In this context, failure has become a source of insight, guiding a more nuanced approach and </w:t>
      </w:r>
      <w:r>
        <w:rPr>
          <w:rFonts w:ascii="Times New Roman" w:eastAsia="Times New Roman" w:hAnsi="Times New Roman" w:cs="Times New Roman"/>
          <w:sz w:val="24"/>
          <w:szCs w:val="24"/>
        </w:rPr>
        <w:lastRenderedPageBreak/>
        <w:t>reflecting a broader maturation of translational oncology. To provide a structured overview of the translational challen</w:t>
      </w:r>
      <w:r>
        <w:rPr>
          <w:rFonts w:ascii="Times New Roman" w:eastAsia="Times New Roman" w:hAnsi="Times New Roman" w:cs="Times New Roman"/>
          <w:sz w:val="24"/>
          <w:szCs w:val="24"/>
        </w:rPr>
        <w:t xml:space="preserve">ges in pancreatic cancer, Table 1 summarizes major preclinical therapeutic strategies, their mechanisms, models used for evaluation, and the specific barriers encountered when moving from bench to bedside. </w:t>
      </w:r>
    </w:p>
    <w:p w:rsidR="00813F84" w:rsidRDefault="00813F84">
      <w:pPr>
        <w:spacing w:before="240" w:after="240"/>
        <w:rPr>
          <w:rFonts w:ascii="Times New Roman" w:eastAsia="Times New Roman" w:hAnsi="Times New Roman" w:cs="Times New Roman"/>
          <w:sz w:val="24"/>
          <w:szCs w:val="24"/>
        </w:rPr>
      </w:pPr>
    </w:p>
    <w:p w:rsidR="00813F84" w:rsidRDefault="00813F84">
      <w:pPr>
        <w:spacing w:before="240" w:after="240"/>
        <w:rPr>
          <w:rFonts w:ascii="Times New Roman" w:eastAsia="Times New Roman" w:hAnsi="Times New Roman" w:cs="Times New Roman"/>
          <w:sz w:val="24"/>
          <w:szCs w:val="24"/>
        </w:rPr>
      </w:pPr>
    </w:p>
    <w:p w:rsidR="00813F84" w:rsidRDefault="00813F84">
      <w:pPr>
        <w:spacing w:before="240" w:after="240"/>
        <w:rPr>
          <w:rFonts w:ascii="Times New Roman" w:eastAsia="Times New Roman" w:hAnsi="Times New Roman" w:cs="Times New Roman"/>
          <w:sz w:val="24"/>
          <w:szCs w:val="24"/>
        </w:rPr>
      </w:pPr>
    </w:p>
    <w:p w:rsidR="00813F84" w:rsidRDefault="00813F84">
      <w:pPr>
        <w:spacing w:before="240" w:after="240"/>
        <w:rPr>
          <w:rFonts w:ascii="Times New Roman" w:eastAsia="Times New Roman" w:hAnsi="Times New Roman" w:cs="Times New Roman"/>
          <w:sz w:val="24"/>
          <w:szCs w:val="24"/>
        </w:rPr>
      </w:pP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Preclinical Discoveries in Pancreat</w:t>
      </w:r>
      <w:r>
        <w:rPr>
          <w:rFonts w:ascii="Times New Roman" w:eastAsia="Times New Roman" w:hAnsi="Times New Roman" w:cs="Times New Roman"/>
          <w:sz w:val="24"/>
          <w:szCs w:val="24"/>
        </w:rPr>
        <w:t>ic Cancer</w:t>
      </w:r>
    </w:p>
    <w:tbl>
      <w:tblPr>
        <w:tblStyle w:val="a"/>
        <w:tblW w:w="8895" w:type="dxa"/>
        <w:tblInd w:w="0" w:type="dxa"/>
        <w:tblBorders>
          <w:insideH w:val="single" w:sz="4" w:space="0" w:color="000000"/>
          <w:insideV w:val="single" w:sz="4" w:space="0" w:color="000000"/>
        </w:tblBorders>
        <w:tblLayout w:type="fixed"/>
        <w:tblLook w:val="0600" w:firstRow="0" w:lastRow="0" w:firstColumn="0" w:lastColumn="0" w:noHBand="1" w:noVBand="1"/>
      </w:tblPr>
      <w:tblGrid>
        <w:gridCol w:w="1815"/>
        <w:gridCol w:w="2475"/>
        <w:gridCol w:w="1800"/>
        <w:gridCol w:w="2805"/>
      </w:tblGrid>
      <w:tr w:rsidR="00813F84">
        <w:trPr>
          <w:trHeight w:val="645"/>
        </w:trPr>
        <w:tc>
          <w:tcPr>
            <w:tcW w:w="1815"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Therapy Type</w:t>
            </w:r>
          </w:p>
        </w:tc>
        <w:tc>
          <w:tcPr>
            <w:tcW w:w="2475"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Mechanism</w:t>
            </w:r>
          </w:p>
        </w:tc>
        <w:tc>
          <w:tcPr>
            <w:tcW w:w="1800"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Preclinical Model</w:t>
            </w:r>
          </w:p>
        </w:tc>
        <w:tc>
          <w:tcPr>
            <w:tcW w:w="2805"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Translational Challenges</w:t>
            </w:r>
          </w:p>
        </w:tc>
      </w:tr>
      <w:tr w:rsidR="00813F84">
        <w:trPr>
          <w:trHeight w:val="1365"/>
        </w:trPr>
        <w:tc>
          <w:tcPr>
            <w:tcW w:w="181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KRAS Inhibitors</w:t>
            </w:r>
          </w:p>
        </w:tc>
        <w:tc>
          <w:tcPr>
            <w:tcW w:w="247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Direct covalent inhibition of KRAS G12C</w:t>
            </w:r>
          </w:p>
        </w:tc>
        <w:tc>
          <w:tcPr>
            <w:tcW w:w="180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2D cell lines, GEMMs, PDX</w:t>
            </w:r>
          </w:p>
        </w:tc>
        <w:tc>
          <w:tcPr>
            <w:tcW w:w="280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Redundancy, adaptive resistance, heterogeneity</w:t>
            </w:r>
          </w:p>
        </w:tc>
      </w:tr>
      <w:tr w:rsidR="00813F84">
        <w:trPr>
          <w:trHeight w:val="1365"/>
        </w:trPr>
        <w:tc>
          <w:tcPr>
            <w:tcW w:w="181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PARP Inhibitors</w:t>
            </w:r>
          </w:p>
        </w:tc>
        <w:tc>
          <w:tcPr>
            <w:tcW w:w="247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 DNA repair deficiencies </w:t>
            </w:r>
            <w:r>
              <w:rPr>
                <w:rFonts w:ascii="Times New Roman" w:eastAsia="Times New Roman" w:hAnsi="Times New Roman" w:cs="Times New Roman"/>
                <w:sz w:val="24"/>
                <w:szCs w:val="24"/>
              </w:rPr>
              <w:t>(synthetic lethality)</w:t>
            </w:r>
          </w:p>
        </w:tc>
        <w:tc>
          <w:tcPr>
            <w:tcW w:w="180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2D cell lines, organoids, PDX</w:t>
            </w:r>
          </w:p>
        </w:tc>
        <w:tc>
          <w:tcPr>
            <w:tcW w:w="280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BRCA-mutated tumors, resistance emergence</w:t>
            </w:r>
          </w:p>
        </w:tc>
      </w:tr>
      <w:tr w:rsidR="00813F84">
        <w:trPr>
          <w:trHeight w:val="1365"/>
        </w:trPr>
        <w:tc>
          <w:tcPr>
            <w:tcW w:w="181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Metabolic Targeting</w:t>
            </w:r>
          </w:p>
        </w:tc>
        <w:tc>
          <w:tcPr>
            <w:tcW w:w="247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Inhibit glutamine metabolism, autophagy, lipid scavenging</w:t>
            </w:r>
          </w:p>
        </w:tc>
        <w:tc>
          <w:tcPr>
            <w:tcW w:w="180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Organoids, GEMMs, PDX</w:t>
            </w:r>
          </w:p>
        </w:tc>
        <w:tc>
          <w:tcPr>
            <w:tcW w:w="280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Tumor plasticity, compensatory metabolic pathways</w:t>
            </w:r>
          </w:p>
        </w:tc>
      </w:tr>
      <w:tr w:rsidR="00813F84">
        <w:trPr>
          <w:trHeight w:val="1005"/>
        </w:trPr>
        <w:tc>
          <w:tcPr>
            <w:tcW w:w="181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Anti-Angiogenic Agents</w:t>
            </w:r>
          </w:p>
        </w:tc>
        <w:tc>
          <w:tcPr>
            <w:tcW w:w="247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Normalize vasculature, inhibit VEGF signaling</w:t>
            </w:r>
          </w:p>
        </w:tc>
        <w:tc>
          <w:tcPr>
            <w:tcW w:w="180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GEMMs, PDX</w:t>
            </w:r>
          </w:p>
        </w:tc>
        <w:tc>
          <w:tcPr>
            <w:tcW w:w="280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Hypoxia exacerbation, variable perfusion</w:t>
            </w:r>
          </w:p>
        </w:tc>
      </w:tr>
      <w:tr w:rsidR="00813F84">
        <w:trPr>
          <w:trHeight w:val="1725"/>
        </w:trPr>
        <w:tc>
          <w:tcPr>
            <w:tcW w:w="181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Immunotherapy</w:t>
            </w:r>
          </w:p>
        </w:tc>
        <w:tc>
          <w:tcPr>
            <w:tcW w:w="247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Checkpoint inhibitors, vaccines, adoptive T cells</w:t>
            </w:r>
          </w:p>
        </w:tc>
        <w:tc>
          <w:tcPr>
            <w:tcW w:w="180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Humanized models, organoids, GEMMs</w:t>
            </w:r>
          </w:p>
        </w:tc>
        <w:tc>
          <w:tcPr>
            <w:tcW w:w="280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Immunosuppressive TME, patient </w:t>
            </w:r>
            <w:r>
              <w:rPr>
                <w:rFonts w:ascii="Times New Roman" w:eastAsia="Times New Roman" w:hAnsi="Times New Roman" w:cs="Times New Roman"/>
                <w:sz w:val="24"/>
                <w:szCs w:val="24"/>
              </w:rPr>
              <w:t>stratification</w:t>
            </w:r>
          </w:p>
        </w:tc>
      </w:tr>
      <w:tr w:rsidR="00813F84">
        <w:trPr>
          <w:trHeight w:val="1365"/>
        </w:trPr>
        <w:tc>
          <w:tcPr>
            <w:tcW w:w="181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Drug Delivery Innovations</w:t>
            </w:r>
          </w:p>
        </w:tc>
        <w:tc>
          <w:tcPr>
            <w:tcW w:w="247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stromal-penetrating agents, localized delivery</w:t>
            </w:r>
          </w:p>
        </w:tc>
        <w:tc>
          <w:tcPr>
            <w:tcW w:w="180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GEMMs, PDX, organoids</w:t>
            </w:r>
          </w:p>
        </w:tc>
        <w:tc>
          <w:tcPr>
            <w:tcW w:w="280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Dense stroma, poor perfusion, toxicity</w:t>
            </w:r>
          </w:p>
        </w:tc>
      </w:tr>
    </w:tbl>
    <w:p w:rsidR="00813F84" w:rsidRDefault="00813F84">
      <w:pPr>
        <w:jc w:val="center"/>
        <w:rPr>
          <w:rFonts w:ascii="Times New Roman" w:eastAsia="Times New Roman" w:hAnsi="Times New Roman" w:cs="Times New Roman"/>
          <w:color w:val="FFFFFF"/>
          <w:sz w:val="24"/>
          <w:szCs w:val="24"/>
        </w:rPr>
      </w:pP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Preclinical Discoveries in Pancreatic Cancer and Translational Barriers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Table 2 focuses on clinical trial design challenges, illustrating how factors such as late diagnosis, patient heterogeneity, rigid trial protocols, and biomarker limitations reduce the likelihood of demonstrating therapeutic success. </w:t>
      </w: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Clin</w:t>
      </w:r>
      <w:r>
        <w:rPr>
          <w:rFonts w:ascii="Times New Roman" w:eastAsia="Times New Roman" w:hAnsi="Times New Roman" w:cs="Times New Roman"/>
          <w:sz w:val="24"/>
          <w:szCs w:val="24"/>
        </w:rPr>
        <w:t>ical Trial Design Challenges in Pancreatic Cancer</w:t>
      </w:r>
    </w:p>
    <w:tbl>
      <w:tblPr>
        <w:tblStyle w:val="a0"/>
        <w:tblW w:w="8895" w:type="dxa"/>
        <w:tblInd w:w="0" w:type="dxa"/>
        <w:tblBorders>
          <w:top w:val="single" w:sz="6" w:space="0" w:color="000000"/>
          <w:bottom w:val="single" w:sz="6" w:space="0" w:color="000000"/>
          <w:insideH w:val="single" w:sz="4" w:space="0" w:color="000000"/>
          <w:insideV w:val="single" w:sz="4" w:space="0" w:color="000000"/>
        </w:tblBorders>
        <w:tblLayout w:type="fixed"/>
        <w:tblLook w:val="0600" w:firstRow="0" w:lastRow="0" w:firstColumn="0" w:lastColumn="0" w:noHBand="1" w:noVBand="1"/>
      </w:tblPr>
      <w:tblGrid>
        <w:gridCol w:w="2355"/>
        <w:gridCol w:w="3180"/>
        <w:gridCol w:w="3360"/>
      </w:tblGrid>
      <w:tr w:rsidR="00813F84">
        <w:trPr>
          <w:trHeight w:val="660"/>
        </w:trPr>
        <w:tc>
          <w:tcPr>
            <w:tcW w:w="2355"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w:t>
            </w:r>
          </w:p>
        </w:tc>
        <w:tc>
          <w:tcPr>
            <w:tcW w:w="3180"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Impact on Translational Success</w:t>
            </w:r>
          </w:p>
        </w:tc>
        <w:tc>
          <w:tcPr>
            <w:tcW w:w="3360" w:type="dxa"/>
            <w:tcMar>
              <w:top w:w="20" w:type="dxa"/>
              <w:left w:w="20" w:type="dxa"/>
              <w:bottom w:w="20" w:type="dxa"/>
              <w:right w:w="20" w:type="dxa"/>
            </w:tcMar>
          </w:tcPr>
          <w:p w:rsidR="00813F84" w:rsidRDefault="00154854">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Solution</w:t>
            </w:r>
          </w:p>
        </w:tc>
      </w:tr>
      <w:tr w:rsidR="00813F84">
        <w:trPr>
          <w:trHeight w:val="1380"/>
        </w:trPr>
        <w:tc>
          <w:tcPr>
            <w:tcW w:w="235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Late Diagnosis &amp; Patient Performance Status</w:t>
            </w:r>
          </w:p>
        </w:tc>
        <w:tc>
          <w:tcPr>
            <w:tcW w:w="318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Limits patient eligibility and tolerance to therapy</w:t>
            </w:r>
          </w:p>
        </w:tc>
        <w:tc>
          <w:tcPr>
            <w:tcW w:w="336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detection, supportive care, </w:t>
            </w:r>
            <w:r>
              <w:rPr>
                <w:rFonts w:ascii="Times New Roman" w:eastAsia="Times New Roman" w:hAnsi="Times New Roman" w:cs="Times New Roman"/>
                <w:sz w:val="24"/>
                <w:szCs w:val="24"/>
              </w:rPr>
              <w:t>performance-based stratification</w:t>
            </w:r>
          </w:p>
        </w:tc>
      </w:tr>
      <w:tr w:rsidR="00813F84">
        <w:trPr>
          <w:trHeight w:val="1020"/>
        </w:trPr>
        <w:tc>
          <w:tcPr>
            <w:tcW w:w="235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Rigid Trial Designs &amp; Enrollment Barriers</w:t>
            </w:r>
          </w:p>
        </w:tc>
        <w:tc>
          <w:tcPr>
            <w:tcW w:w="318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Slows recruitment, reduces generalizability</w:t>
            </w:r>
          </w:p>
        </w:tc>
        <w:tc>
          <w:tcPr>
            <w:tcW w:w="336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Adaptive protocols, multi-center trials, flexible criteria</w:t>
            </w:r>
          </w:p>
        </w:tc>
      </w:tr>
      <w:tr w:rsidR="00813F84">
        <w:trPr>
          <w:trHeight w:val="1380"/>
        </w:trPr>
        <w:tc>
          <w:tcPr>
            <w:tcW w:w="235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Endpoints Failing to Capture Meaningful Benefit</w:t>
            </w:r>
          </w:p>
        </w:tc>
        <w:tc>
          <w:tcPr>
            <w:tcW w:w="318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Surrogate endpoints may not </w:t>
            </w:r>
            <w:r>
              <w:rPr>
                <w:rFonts w:ascii="Times New Roman" w:eastAsia="Times New Roman" w:hAnsi="Times New Roman" w:cs="Times New Roman"/>
                <w:sz w:val="24"/>
                <w:szCs w:val="24"/>
              </w:rPr>
              <w:t>reflect survival or quality of life</w:t>
            </w:r>
          </w:p>
        </w:tc>
        <w:tc>
          <w:tcPr>
            <w:tcW w:w="336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Include patient-reported outcomes, functional measures, adaptive endpoints</w:t>
            </w:r>
          </w:p>
        </w:tc>
      </w:tr>
      <w:tr w:rsidR="00813F84">
        <w:trPr>
          <w:trHeight w:val="1380"/>
        </w:trPr>
        <w:tc>
          <w:tcPr>
            <w:tcW w:w="235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Lack of Biomarker-Driven Stratification</w:t>
            </w:r>
          </w:p>
        </w:tc>
        <w:tc>
          <w:tcPr>
            <w:tcW w:w="318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Heterogeneous populations dilute efficacy signals</w:t>
            </w:r>
          </w:p>
        </w:tc>
        <w:tc>
          <w:tcPr>
            <w:tcW w:w="336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 molecular, stromal, or immune biomarkers to </w:t>
            </w:r>
            <w:r>
              <w:rPr>
                <w:rFonts w:ascii="Times New Roman" w:eastAsia="Times New Roman" w:hAnsi="Times New Roman" w:cs="Times New Roman"/>
                <w:sz w:val="24"/>
                <w:szCs w:val="24"/>
              </w:rPr>
              <w:t>guide enrollment</w:t>
            </w:r>
          </w:p>
        </w:tc>
      </w:tr>
      <w:tr w:rsidR="00813F84">
        <w:trPr>
          <w:trHeight w:val="1380"/>
        </w:trPr>
        <w:tc>
          <w:tcPr>
            <w:tcW w:w="2355"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Challenges in High-Mortality Disease</w:t>
            </w:r>
          </w:p>
        </w:tc>
        <w:tc>
          <w:tcPr>
            <w:tcW w:w="318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Risk of exposing patients to high-toxicity therapies with limited benefit</w:t>
            </w:r>
          </w:p>
        </w:tc>
        <w:tc>
          <w:tcPr>
            <w:tcW w:w="3360" w:type="dxa"/>
            <w:tcMar>
              <w:top w:w="20" w:type="dxa"/>
              <w:left w:w="20" w:type="dxa"/>
              <w:bottom w:w="20" w:type="dxa"/>
              <w:right w:w="20" w:type="dxa"/>
            </w:tcMar>
          </w:tcPr>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Transparent consent, supportive care, early stopping rules, patient-centered design</w:t>
            </w:r>
          </w:p>
        </w:tc>
      </w:tr>
    </w:tbl>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3F84" w:rsidRDefault="00813F84">
      <w:pPr>
        <w:pStyle w:val="Heading3"/>
        <w:keepNext w:val="0"/>
        <w:keepLines w:val="0"/>
        <w:spacing w:before="280"/>
        <w:rPr>
          <w:rFonts w:ascii="Times New Roman" w:eastAsia="Times New Roman" w:hAnsi="Times New Roman" w:cs="Times New Roman"/>
          <w:b/>
          <w:bCs/>
          <w:color w:val="000000"/>
          <w:sz w:val="24"/>
          <w:szCs w:val="24"/>
        </w:rPr>
      </w:pPr>
      <w:bookmarkStart w:id="1" w:name="_o2nm5z4jebco" w:colFirst="0" w:colLast="0"/>
      <w:bookmarkEnd w:id="1"/>
    </w:p>
    <w:p w:rsidR="00813F84" w:rsidRDefault="00813F84">
      <w:pPr>
        <w:pStyle w:val="Heading3"/>
        <w:keepNext w:val="0"/>
        <w:keepLines w:val="0"/>
        <w:spacing w:before="280"/>
        <w:rPr>
          <w:rFonts w:ascii="Times New Roman" w:eastAsia="Times New Roman" w:hAnsi="Times New Roman" w:cs="Times New Roman"/>
          <w:b/>
          <w:bCs/>
          <w:color w:val="000000"/>
          <w:sz w:val="24"/>
          <w:szCs w:val="24"/>
        </w:rPr>
      </w:pPr>
      <w:bookmarkStart w:id="2" w:name="_ok7fs2cu95c9" w:colFirst="0" w:colLast="0"/>
      <w:bookmarkEnd w:id="2"/>
    </w:p>
    <w:p w:rsidR="00813F84" w:rsidRDefault="00154854">
      <w:pPr>
        <w:pStyle w:val="Heading3"/>
        <w:keepNext w:val="0"/>
        <w:keepLines w:val="0"/>
        <w:spacing w:before="280"/>
        <w:rPr>
          <w:rFonts w:ascii="Times New Roman" w:eastAsia="Times New Roman" w:hAnsi="Times New Roman" w:cs="Times New Roman"/>
          <w:b/>
          <w:bCs/>
          <w:color w:val="000000"/>
          <w:sz w:val="24"/>
          <w:szCs w:val="24"/>
        </w:rPr>
      </w:pPr>
      <w:bookmarkStart w:id="3" w:name="_x153as157q8w" w:colFirst="0" w:colLast="0"/>
      <w:bookmarkEnd w:id="3"/>
      <w:r>
        <w:rPr>
          <w:rFonts w:ascii="Times New Roman" w:eastAsia="Times New Roman" w:hAnsi="Times New Roman" w:cs="Times New Roman"/>
          <w:b/>
          <w:bCs/>
          <w:color w:val="000000"/>
          <w:sz w:val="24"/>
          <w:szCs w:val="24"/>
        </w:rPr>
        <w:t xml:space="preserve">6. Preclinical Models and </w:t>
      </w:r>
      <w:r>
        <w:rPr>
          <w:rFonts w:ascii="Times New Roman" w:eastAsia="Times New Roman" w:hAnsi="Times New Roman" w:cs="Times New Roman"/>
          <w:b/>
          <w:bCs/>
          <w:color w:val="000000"/>
          <w:sz w:val="24"/>
          <w:szCs w:val="24"/>
        </w:rPr>
        <w:t>Their Translational Limitations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Preclinical models are the backbone of pancreatic cancer research, yet they are both the greatest enabler of discovery and a persistent source of translational failure. The system used for experimentation determines not only</w:t>
      </w:r>
      <w:r>
        <w:rPr>
          <w:rFonts w:ascii="Times New Roman" w:eastAsia="Times New Roman" w:hAnsi="Times New Roman" w:cs="Times New Roman"/>
          <w:sz w:val="24"/>
          <w:szCs w:val="24"/>
        </w:rPr>
        <w:t xml:space="preserve"> what is uncovered but also what fails to translate into patient benefit. Pancreatic tumors are highly complex, with dense stroma, immune suppression, hypoxia, and metabolic flexibility. No single model can fully capture these features, explaining why ther</w:t>
      </w:r>
      <w:r>
        <w:rPr>
          <w:rFonts w:ascii="Times New Roman" w:eastAsia="Times New Roman" w:hAnsi="Times New Roman" w:cs="Times New Roman"/>
          <w:sz w:val="24"/>
          <w:szCs w:val="24"/>
        </w:rPr>
        <w:t>apies that perform well in cell culture or mice often fail in humans [24]. Recognizing the strengths and weaknesses of each model is essential, and modern preclinical research increasingly relies on multi-model validation, combining traditional systems wit</w:t>
      </w:r>
      <w:r>
        <w:rPr>
          <w:rFonts w:ascii="Times New Roman" w:eastAsia="Times New Roman" w:hAnsi="Times New Roman" w:cs="Times New Roman"/>
          <w:sz w:val="24"/>
          <w:szCs w:val="24"/>
        </w:rPr>
        <w:t>h advanced humanized platforms. These models allow researchers to test therapeutic efficacy while uncovering mechanisms of resistance, shedding light on why the bench-to-bedside gap persists [24].</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Two-dimensional (2D) cell lines have long been the workhors</w:t>
      </w:r>
      <w:r>
        <w:rPr>
          <w:rFonts w:ascii="Times New Roman" w:eastAsia="Times New Roman" w:hAnsi="Times New Roman" w:cs="Times New Roman"/>
          <w:sz w:val="24"/>
          <w:szCs w:val="24"/>
        </w:rPr>
        <w:t xml:space="preserve">e of preclinical research. They are easy to manipulate genetically, screen rapidly for drug responses, and explore mechanistic questions. However, growing cells on plastic oversimplifies tumor biology by ignoring stromal interactions, tissue architecture, </w:t>
      </w:r>
      <w:r>
        <w:rPr>
          <w:rFonts w:ascii="Times New Roman" w:eastAsia="Times New Roman" w:hAnsi="Times New Roman" w:cs="Times New Roman"/>
          <w:sz w:val="24"/>
          <w:szCs w:val="24"/>
        </w:rPr>
        <w:t xml:space="preserve">and microenvironmental pressures. As a result, 2D models often overestimate efficacy and underestimate toxicity, explaining why promising agents frequently fail in animals or humans. Despite these limitations, 2D systems remain valuable for initial target </w:t>
      </w:r>
      <w:r>
        <w:rPr>
          <w:rFonts w:ascii="Times New Roman" w:eastAsia="Times New Roman" w:hAnsi="Times New Roman" w:cs="Times New Roman"/>
          <w:sz w:val="24"/>
          <w:szCs w:val="24"/>
        </w:rPr>
        <w:t>validation, provided findings are later confirmed in more physiologically relevant models [24].</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Genetically engineered mouse models (GEMMs) recapitulate tumor initiation and progression in an intact host. By introducing oncogenic mutations such as KRAS and</w:t>
      </w:r>
      <w:r>
        <w:rPr>
          <w:rFonts w:ascii="Times New Roman" w:eastAsia="Times New Roman" w:hAnsi="Times New Roman" w:cs="Times New Roman"/>
          <w:sz w:val="24"/>
          <w:szCs w:val="24"/>
        </w:rPr>
        <w:t xml:space="preserve"> TP53, these mice develop spontaneous tumors that mimic human disease in histology and genetics, preserving stromal interactions, immune engagement, and vascularization. Yet mice differ from humans in immune composition, metabolism, and lifespan, and drug </w:t>
      </w:r>
      <w:r>
        <w:rPr>
          <w:rFonts w:ascii="Times New Roman" w:eastAsia="Times New Roman" w:hAnsi="Times New Roman" w:cs="Times New Roman"/>
          <w:sz w:val="24"/>
          <w:szCs w:val="24"/>
        </w:rPr>
        <w:t xml:space="preserve">responses often overestimate clinical benefit. These models are resource-intensive, but their value lies in studying tumor biology, immune interactions, and combinatorial strategies. Failures in GEMMs often reflect gaps in mechanistic understanding rather </w:t>
      </w:r>
      <w:r>
        <w:rPr>
          <w:rFonts w:ascii="Times New Roman" w:eastAsia="Times New Roman" w:hAnsi="Times New Roman" w:cs="Times New Roman"/>
          <w:sz w:val="24"/>
          <w:szCs w:val="24"/>
        </w:rPr>
        <w:t>than model inadequacy, highlighting the importance of integrating data from multiple preclinical platforms [25].</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Patient-derived xenografts (PDXs) provide another bridge between the laboratory and the clinic. By transplanting human tumors into immunodefici</w:t>
      </w:r>
      <w:r>
        <w:rPr>
          <w:rFonts w:ascii="Times New Roman" w:eastAsia="Times New Roman" w:hAnsi="Times New Roman" w:cs="Times New Roman"/>
          <w:sz w:val="24"/>
          <w:szCs w:val="24"/>
        </w:rPr>
        <w:t>ent mice, researchers preserve tissue architecture and capture interpatient heterogeneity. These models have been instrumental in identifying molecular determinants of sensitivity and resistance, though they lack a fully functional immune system, and tumor</w:t>
      </w:r>
      <w:r>
        <w:rPr>
          <w:rFonts w:ascii="Times New Roman" w:eastAsia="Times New Roman" w:hAnsi="Times New Roman" w:cs="Times New Roman"/>
          <w:sz w:val="24"/>
          <w:szCs w:val="24"/>
        </w:rPr>
        <w:t xml:space="preserve">-stroma interactions evolve over passages. Patient-derived organoids and co-culture systems offer further refinement. Three-dimensional organoids preserve </w:t>
      </w:r>
      <w:r>
        <w:rPr>
          <w:rFonts w:ascii="Times New Roman" w:eastAsia="Times New Roman" w:hAnsi="Times New Roman" w:cs="Times New Roman"/>
          <w:sz w:val="24"/>
          <w:szCs w:val="24"/>
        </w:rPr>
        <w:lastRenderedPageBreak/>
        <w:t>cellular diversity and some stromal elements, while co-culture with fibroblasts or immune cells allow</w:t>
      </w:r>
      <w:r>
        <w:rPr>
          <w:rFonts w:ascii="Times New Roman" w:eastAsia="Times New Roman" w:hAnsi="Times New Roman" w:cs="Times New Roman"/>
          <w:sz w:val="24"/>
          <w:szCs w:val="24"/>
        </w:rPr>
        <w:t>s study of intercellular interactions. These systems enable high-throughput screening and personalized strategies, though they cannot fully replicate immune and vascular components [25].</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Humanized mouse models represent an emerging frontier, combining huma</w:t>
      </w:r>
      <w:r>
        <w:rPr>
          <w:rFonts w:ascii="Times New Roman" w:eastAsia="Times New Roman" w:hAnsi="Times New Roman" w:cs="Times New Roman"/>
          <w:sz w:val="24"/>
          <w:szCs w:val="24"/>
        </w:rPr>
        <w:t xml:space="preserve">n tumors with human immune components. These systems allow the study of immunotherapies and tumor-immune interactions previously inaccessible. Early results suggest improved predictive power for immune-based strategies, though challenges remain, including </w:t>
      </w:r>
      <w:r>
        <w:rPr>
          <w:rFonts w:ascii="Times New Roman" w:eastAsia="Times New Roman" w:hAnsi="Times New Roman" w:cs="Times New Roman"/>
          <w:sz w:val="24"/>
          <w:szCs w:val="24"/>
        </w:rPr>
        <w:t>incomplete immune reconstitution, graft-versus-host effects, and technical complexity. As these models evolve, they offer one of the most promising avenues for bridging the preclinical–clinical gap in pancreatic cancer therapeutics [26].</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w:t>
      </w:r>
      <w:r>
        <w:rPr>
          <w:rFonts w:ascii="Times New Roman" w:eastAsia="Times New Roman" w:hAnsi="Times New Roman" w:cs="Times New Roman"/>
          <w:sz w:val="24"/>
          <w:szCs w:val="24"/>
        </w:rPr>
        <w:t xml:space="preserve">nces, translating preclinical discoveries into effective therapies remains exceptionally difficult. Failures arise from tumor heterogeneity, microenvironmental pressures, adaptive responses, unexpected toxicity, pharmacokinetic limitations, and incomplete </w:t>
      </w:r>
      <w:r>
        <w:rPr>
          <w:rFonts w:ascii="Times New Roman" w:eastAsia="Times New Roman" w:hAnsi="Times New Roman" w:cs="Times New Roman"/>
          <w:sz w:val="24"/>
          <w:szCs w:val="24"/>
        </w:rPr>
        <w:t>target validation. The research ecosystem can exacerbate the problem through overinterpretation of early promising data or selective reporting. Understanding these bottlenecks is crucial for designing better therapies and predictive preclinical studies, en</w:t>
      </w:r>
      <w:r>
        <w:rPr>
          <w:rFonts w:ascii="Times New Roman" w:eastAsia="Times New Roman" w:hAnsi="Times New Roman" w:cs="Times New Roman"/>
          <w:sz w:val="24"/>
          <w:szCs w:val="24"/>
        </w:rPr>
        <w:t>suring that future discoveries have a clearer path from bench to bedside [26].</w:t>
      </w:r>
    </w:p>
    <w:p w:rsidR="00813F84" w:rsidRDefault="00154854">
      <w:pPr>
        <w:pStyle w:val="Heading3"/>
        <w:keepNext w:val="0"/>
        <w:keepLines w:val="0"/>
        <w:spacing w:before="280"/>
        <w:rPr>
          <w:rFonts w:ascii="Times New Roman" w:eastAsia="Times New Roman" w:hAnsi="Times New Roman" w:cs="Times New Roman"/>
          <w:b/>
          <w:bCs/>
          <w:color w:val="000000"/>
          <w:sz w:val="24"/>
          <w:szCs w:val="24"/>
        </w:rPr>
      </w:pPr>
      <w:bookmarkStart w:id="4" w:name="_gfktice9auee" w:colFirst="0" w:colLast="0"/>
      <w:bookmarkEnd w:id="4"/>
      <w:r>
        <w:rPr>
          <w:rFonts w:ascii="Times New Roman" w:eastAsia="Times New Roman" w:hAnsi="Times New Roman" w:cs="Times New Roman"/>
          <w:b/>
          <w:bCs/>
          <w:color w:val="000000"/>
          <w:sz w:val="24"/>
          <w:szCs w:val="24"/>
        </w:rPr>
        <w:t>7. Clinical Translation Failures: Why Promising Therapies Collapse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advances in understanding pancreatic cancer biology, translating preclinical discoveries into effectiv</w:t>
      </w:r>
      <w:r>
        <w:rPr>
          <w:rFonts w:ascii="Times New Roman" w:eastAsia="Times New Roman" w:hAnsi="Times New Roman" w:cs="Times New Roman"/>
          <w:sz w:val="24"/>
          <w:szCs w:val="24"/>
        </w:rPr>
        <w:t>e therapies remains extremely challenging. Many drugs that show strong activity in cell lines or animal models fail to produce meaningful clinical benefit. This failure arises from a combination of biological complexity, methodological limitations, and sys</w:t>
      </w:r>
      <w:r>
        <w:rPr>
          <w:rFonts w:ascii="Times New Roman" w:eastAsia="Times New Roman" w:hAnsi="Times New Roman" w:cs="Times New Roman"/>
          <w:sz w:val="24"/>
          <w:szCs w:val="24"/>
        </w:rPr>
        <w:t>temic issues. Preclinical models cannot fully capture human tumor heterogeneity, microenvironmental pressures, or patient-specific factors. Additional causes include insufficient target validation, unexpected toxicity, pharmacokinetic limitations, adaptive</w:t>
      </w:r>
      <w:r>
        <w:rPr>
          <w:rFonts w:ascii="Times New Roman" w:eastAsia="Times New Roman" w:hAnsi="Times New Roman" w:cs="Times New Roman"/>
          <w:sz w:val="24"/>
          <w:szCs w:val="24"/>
        </w:rPr>
        <w:t xml:space="preserve"> tumor responses, and research biases such as overinterpretation of early results and selective publication [28]. Understanding these bottlenecks is essential for designing more predictive studies and effective therapies.</w:t>
      </w:r>
    </w:p>
    <w:p w:rsidR="00813F84" w:rsidRDefault="00154854">
      <w:pPr>
        <w:pStyle w:val="Heading4"/>
        <w:keepNext w:val="0"/>
        <w:keepLines w:val="0"/>
        <w:spacing w:before="240" w:after="40"/>
        <w:rPr>
          <w:rFonts w:ascii="Times New Roman" w:eastAsia="Times New Roman" w:hAnsi="Times New Roman" w:cs="Times New Roman"/>
          <w:b/>
          <w:bCs/>
          <w:color w:val="000000"/>
        </w:rPr>
      </w:pPr>
      <w:bookmarkStart w:id="5" w:name="_753ok7p0qcd" w:colFirst="0" w:colLast="0"/>
      <w:bookmarkEnd w:id="5"/>
      <w:r>
        <w:rPr>
          <w:rFonts w:ascii="Times New Roman" w:eastAsia="Times New Roman" w:hAnsi="Times New Roman" w:cs="Times New Roman"/>
          <w:b/>
          <w:bCs/>
          <w:color w:val="000000"/>
        </w:rPr>
        <w:t xml:space="preserve">7.1 The Preclinical–Clinical </w:t>
      </w:r>
      <w:r>
        <w:rPr>
          <w:rFonts w:ascii="Times New Roman" w:eastAsia="Times New Roman" w:hAnsi="Times New Roman" w:cs="Times New Roman"/>
          <w:b/>
          <w:bCs/>
          <w:color w:val="000000"/>
        </w:rPr>
        <w:t>Disconnect</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major reason therapies fail is the persistent disconnect between preclinical models and human disease. Models often simplify or omit key features of pancreatic cancer, including dense stroma, immune suppression, hypoxia, and metabolic adaptation. Drugs t</w:t>
      </w:r>
      <w:r>
        <w:rPr>
          <w:rFonts w:ascii="Times New Roman" w:eastAsia="Times New Roman" w:hAnsi="Times New Roman" w:cs="Times New Roman"/>
          <w:sz w:val="24"/>
          <w:szCs w:val="24"/>
        </w:rPr>
        <w:t>hat perform well in vitro or in mice may never reach effective concentrations in human tumors [27]. Even advanced models such as GEMMs or organoids cannot fully replicate human physiology or the genetic diversity of patients. Differences in pharmacokinetic</w:t>
      </w:r>
      <w:r>
        <w:rPr>
          <w:rFonts w:ascii="Times New Roman" w:eastAsia="Times New Roman" w:hAnsi="Times New Roman" w:cs="Times New Roman"/>
          <w:sz w:val="24"/>
          <w:szCs w:val="24"/>
        </w:rPr>
        <w:t xml:space="preserve">s, organ function, and comorbidities further complicate </w:t>
      </w:r>
      <w:r>
        <w:rPr>
          <w:rFonts w:ascii="Times New Roman" w:eastAsia="Times New Roman" w:hAnsi="Times New Roman" w:cs="Times New Roman"/>
          <w:sz w:val="24"/>
          <w:szCs w:val="24"/>
        </w:rPr>
        <w:lastRenderedPageBreak/>
        <w:t>translation. Bridging this gap requires models that reflect both tumor biology and patient context [27].</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Many therapies also fail due to insufficient target validation. Targets must be essential for d</w:t>
      </w:r>
      <w:r>
        <w:rPr>
          <w:rFonts w:ascii="Times New Roman" w:eastAsia="Times New Roman" w:hAnsi="Times New Roman" w:cs="Times New Roman"/>
          <w:sz w:val="24"/>
          <w:szCs w:val="24"/>
        </w:rPr>
        <w:t>isease progression, and their inhibition should produce meaningful effects. Preclinical studies often identify targets in simplified systems or from correlative data that may not hold true in humans. PDAC is particularly resilient because compensatory path</w:t>
      </w:r>
      <w:r>
        <w:rPr>
          <w:rFonts w:ascii="Times New Roman" w:eastAsia="Times New Roman" w:hAnsi="Times New Roman" w:cs="Times New Roman"/>
          <w:sz w:val="24"/>
          <w:szCs w:val="24"/>
        </w:rPr>
        <w:t>ways can bypass single-target inhibition. Multi-layered validation using genetic, pharmacologic, and combination approaches is critical to prevent wasted resources and failed trials [28].</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Even effective therapies may be limited by toxicity. Preclinical mod</w:t>
      </w:r>
      <w:r>
        <w:rPr>
          <w:rFonts w:ascii="Times New Roman" w:eastAsia="Times New Roman" w:hAnsi="Times New Roman" w:cs="Times New Roman"/>
          <w:sz w:val="24"/>
          <w:szCs w:val="24"/>
        </w:rPr>
        <w:t>els tolerate higher doses or respond differently than humans, masking adverse effects. Narrow therapeutic windows, systemic toxicity, and on-target effects in normal tissues often prevent patients from receiving effective doses. Understanding pharmacokinet</w:t>
      </w:r>
      <w:r>
        <w:rPr>
          <w:rFonts w:ascii="Times New Roman" w:eastAsia="Times New Roman" w:hAnsi="Times New Roman" w:cs="Times New Roman"/>
          <w:sz w:val="24"/>
          <w:szCs w:val="24"/>
        </w:rPr>
        <w:t>ics, tissue distribution, and patient variability is essential to deliver therapy safely [29].</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tumors adapt rapidly through redundant signaling networks. Simplified models rarely capture this plasticity, leading to drugs failing in the clinic. C</w:t>
      </w:r>
      <w:r>
        <w:rPr>
          <w:rFonts w:ascii="Times New Roman" w:eastAsia="Times New Roman" w:hAnsi="Times New Roman" w:cs="Times New Roman"/>
          <w:sz w:val="24"/>
          <w:szCs w:val="24"/>
        </w:rPr>
        <w:t>ombination strategies can address compensation but add complexity, toxicity, and cost. Predicting adaptive responses is critical for robust therapeutic design [30].</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culture itself also contributes to translational failure. Positive results are m</w:t>
      </w:r>
      <w:r>
        <w:rPr>
          <w:rFonts w:ascii="Times New Roman" w:eastAsia="Times New Roman" w:hAnsi="Times New Roman" w:cs="Times New Roman"/>
          <w:sz w:val="24"/>
          <w:szCs w:val="24"/>
        </w:rPr>
        <w:t>ore likely to be published, small studies can overestimate effects, and early preclinical successes are sometimes overextended to clinical expectations. Transparent reporting, rigorous validation, and cautious interpretation are essential to align preclini</w:t>
      </w:r>
      <w:r>
        <w:rPr>
          <w:rFonts w:ascii="Times New Roman" w:eastAsia="Times New Roman" w:hAnsi="Times New Roman" w:cs="Times New Roman"/>
          <w:sz w:val="24"/>
          <w:szCs w:val="24"/>
        </w:rPr>
        <w:t>cal promise with patient benefit.</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clinical failures in PDAC arise from model limitations, incomplete target validation, toxicity, tumor adaptability, and systemic research biases. Addressing these challenges requires realistic preclinical model</w:t>
      </w:r>
      <w:r>
        <w:rPr>
          <w:rFonts w:ascii="Times New Roman" w:eastAsia="Times New Roman" w:hAnsi="Times New Roman" w:cs="Times New Roman"/>
          <w:sz w:val="24"/>
          <w:szCs w:val="24"/>
        </w:rPr>
        <w:t>s, rigorous multi-layered validation, anticipation of tumor plasticity, careful toxicity assessment, and a culture of scientific rigor.</w:t>
      </w:r>
    </w:p>
    <w:p w:rsidR="00813F84" w:rsidRDefault="00154854">
      <w:pPr>
        <w:pStyle w:val="Heading3"/>
        <w:keepNext w:val="0"/>
        <w:keepLines w:val="0"/>
        <w:spacing w:before="280"/>
        <w:rPr>
          <w:rFonts w:ascii="Times New Roman" w:eastAsia="Times New Roman" w:hAnsi="Times New Roman" w:cs="Times New Roman"/>
          <w:b/>
          <w:bCs/>
          <w:color w:val="000000"/>
          <w:sz w:val="24"/>
          <w:szCs w:val="24"/>
        </w:rPr>
      </w:pPr>
      <w:bookmarkStart w:id="6" w:name="_puztikj5ee10" w:colFirst="0" w:colLast="0"/>
      <w:bookmarkEnd w:id="6"/>
      <w:r>
        <w:rPr>
          <w:rFonts w:ascii="Times New Roman" w:eastAsia="Times New Roman" w:hAnsi="Times New Roman" w:cs="Times New Roman"/>
          <w:b/>
          <w:bCs/>
          <w:color w:val="000000"/>
          <w:sz w:val="24"/>
          <w:szCs w:val="24"/>
        </w:rPr>
        <w:t>8. Clinical Trial Design Challenges in Pancreatic Cancer</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trials are where scientific promise meets clinical rea</w:t>
      </w:r>
      <w:r>
        <w:rPr>
          <w:rFonts w:ascii="Times New Roman" w:eastAsia="Times New Roman" w:hAnsi="Times New Roman" w:cs="Times New Roman"/>
          <w:sz w:val="24"/>
          <w:szCs w:val="24"/>
        </w:rPr>
        <w:t xml:space="preserve">lity, and in pancreatic cancer that intersection is unforgiving. Therapies that appear compelling in preclinical models often fail not because the biology is flawed, but because trial design, patient condition, and structural barriers undermine execution. </w:t>
      </w:r>
      <w:r>
        <w:rPr>
          <w:rFonts w:ascii="Times New Roman" w:eastAsia="Times New Roman" w:hAnsi="Times New Roman" w:cs="Times New Roman"/>
          <w:sz w:val="24"/>
          <w:szCs w:val="24"/>
        </w:rPr>
        <w:t>Translational success depends as much on thoughtful design and patient context as on molecular insight.</w:t>
      </w:r>
    </w:p>
    <w:p w:rsidR="00813F84" w:rsidRDefault="00154854">
      <w:pPr>
        <w:pStyle w:val="Heading4"/>
        <w:keepNext w:val="0"/>
        <w:keepLines w:val="0"/>
        <w:spacing w:before="240" w:after="40"/>
        <w:rPr>
          <w:rFonts w:ascii="Times New Roman" w:eastAsia="Times New Roman" w:hAnsi="Times New Roman" w:cs="Times New Roman"/>
          <w:b/>
          <w:bCs/>
          <w:color w:val="000000"/>
        </w:rPr>
      </w:pPr>
      <w:bookmarkStart w:id="7" w:name="_qoj6fphbjm0w" w:colFirst="0" w:colLast="0"/>
      <w:bookmarkEnd w:id="7"/>
      <w:r>
        <w:rPr>
          <w:rFonts w:ascii="Times New Roman" w:eastAsia="Times New Roman" w:hAnsi="Times New Roman" w:cs="Times New Roman"/>
          <w:b/>
          <w:bCs/>
          <w:color w:val="000000"/>
        </w:rPr>
        <w:t>8.1 Patient Factors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Late diagnosis and poor performance status are major challenges. Most patients present with locally advanced or metastatic disease a</w:t>
      </w:r>
      <w:r>
        <w:rPr>
          <w:rFonts w:ascii="Times New Roman" w:eastAsia="Times New Roman" w:hAnsi="Times New Roman" w:cs="Times New Roman"/>
          <w:sz w:val="24"/>
          <w:szCs w:val="24"/>
        </w:rPr>
        <w:t xml:space="preserve">nd limited physiological reserve. Compromised </w:t>
      </w:r>
      <w:r>
        <w:rPr>
          <w:rFonts w:ascii="Times New Roman" w:eastAsia="Times New Roman" w:hAnsi="Times New Roman" w:cs="Times New Roman"/>
          <w:sz w:val="24"/>
          <w:szCs w:val="24"/>
        </w:rPr>
        <w:lastRenderedPageBreak/>
        <w:t>performance restricts eligibility and reduces therapy tolerance [31, 32]. Toxicity, early withdrawal, and rapid progression are common, making it difficult to determine whether failure reflects biological ineff</w:t>
      </w:r>
      <w:r>
        <w:rPr>
          <w:rFonts w:ascii="Times New Roman" w:eastAsia="Times New Roman" w:hAnsi="Times New Roman" w:cs="Times New Roman"/>
          <w:sz w:val="24"/>
          <w:szCs w:val="24"/>
        </w:rPr>
        <w:t>icacy or patient frailty. Trials must account for real-world patient capacity through careful selection, strong supportive care, and realistic expectations.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Restrictive eligibility criteria often exclude patients with comorbidities, prior treatments, or bo</w:t>
      </w:r>
      <w:r>
        <w:rPr>
          <w:rFonts w:ascii="Times New Roman" w:eastAsia="Times New Roman" w:hAnsi="Times New Roman" w:cs="Times New Roman"/>
          <w:sz w:val="24"/>
          <w:szCs w:val="24"/>
        </w:rPr>
        <w:t xml:space="preserve">rderline organ function, features typical of the PDAC population. Geographic and socioeconomic barriers further limit access, particularly in regions with limited oncology infrastructure [33]. Such rigidity slows enrollment, reduces diversity, and weakens </w:t>
      </w:r>
      <w:r>
        <w:rPr>
          <w:rFonts w:ascii="Times New Roman" w:eastAsia="Times New Roman" w:hAnsi="Times New Roman" w:cs="Times New Roman"/>
          <w:sz w:val="24"/>
          <w:szCs w:val="24"/>
        </w:rPr>
        <w:t>generalizability. Adaptive and patient-centered designs are increasingly advocated to preserve rigor while improving feasibility.</w:t>
      </w:r>
    </w:p>
    <w:p w:rsidR="00813F84" w:rsidRDefault="00154854">
      <w:pPr>
        <w:pStyle w:val="Heading4"/>
        <w:keepNext w:val="0"/>
        <w:keepLines w:val="0"/>
        <w:spacing w:before="240" w:after="40"/>
        <w:rPr>
          <w:rFonts w:ascii="Times New Roman" w:eastAsia="Times New Roman" w:hAnsi="Times New Roman" w:cs="Times New Roman"/>
          <w:b/>
          <w:bCs/>
          <w:color w:val="000000"/>
        </w:rPr>
      </w:pPr>
      <w:bookmarkStart w:id="8" w:name="_lzgdj8x6v1zg" w:colFirst="0" w:colLast="0"/>
      <w:bookmarkEnd w:id="8"/>
      <w:r>
        <w:rPr>
          <w:rFonts w:ascii="Times New Roman" w:eastAsia="Times New Roman" w:hAnsi="Times New Roman" w:cs="Times New Roman"/>
          <w:b/>
          <w:bCs/>
          <w:color w:val="000000"/>
        </w:rPr>
        <w:t>8.2 Trial Design Limitations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endpoints such as progression-free survival or tumor shrinkage may not fully reflect </w:t>
      </w:r>
      <w:r>
        <w:rPr>
          <w:rFonts w:ascii="Times New Roman" w:eastAsia="Times New Roman" w:hAnsi="Times New Roman" w:cs="Times New Roman"/>
          <w:sz w:val="24"/>
          <w:szCs w:val="24"/>
        </w:rPr>
        <w:t>clinically meaningful improvement in a disease with short survival. Therapies that stabilize disease or improve symptoms may fall short of statistical thresholds despite tangible benefit. Incorporating patient-reported outcomes, functional status, and qual</w:t>
      </w:r>
      <w:r>
        <w:rPr>
          <w:rFonts w:ascii="Times New Roman" w:eastAsia="Times New Roman" w:hAnsi="Times New Roman" w:cs="Times New Roman"/>
          <w:sz w:val="24"/>
          <w:szCs w:val="24"/>
        </w:rPr>
        <w:t>ity-of-life measures can better align trial results with patient priorities.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PDAC is biologically heterogeneous, yet many trials enroll unselected populations. Without predictive biomarkers, potential responders are diluted within broader cohorts, masking </w:t>
      </w:r>
      <w:r>
        <w:rPr>
          <w:rFonts w:ascii="Times New Roman" w:eastAsia="Times New Roman" w:hAnsi="Times New Roman" w:cs="Times New Roman"/>
          <w:sz w:val="24"/>
          <w:szCs w:val="24"/>
        </w:rPr>
        <w:t>therapeutic signals [33]. Integrating molecular, stromal, or immune biomarkers into enrollment criteria enhances precision, reduces unnecessary toxicity, and strengthens ethical justification.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High mortality introduces ethical complexity. Patients often en</w:t>
      </w:r>
      <w:r>
        <w:rPr>
          <w:rFonts w:ascii="Times New Roman" w:eastAsia="Times New Roman" w:hAnsi="Times New Roman" w:cs="Times New Roman"/>
          <w:sz w:val="24"/>
          <w:szCs w:val="24"/>
        </w:rPr>
        <w:t>roll under conditions of urgency and vulnerability, balancing hope against risk [34]. Transparent consent, early stopping rules, and careful communication are essential. Ethical integrity is not separate from scientific rigor; in PDAC trials, it is part of</w:t>
      </w:r>
      <w:r>
        <w:rPr>
          <w:rFonts w:ascii="Times New Roman" w:eastAsia="Times New Roman" w:hAnsi="Times New Roman" w:cs="Times New Roman"/>
          <w:sz w:val="24"/>
          <w:szCs w:val="24"/>
        </w:rPr>
        <w:t xml:space="preserve"> what makes translation meaningful.</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structural and human factors demonstrate that clinical trial failure in pancreatic cancer is not always a reflection of flawed biology. Success requires integrating biological precision with a flexible, p</w:t>
      </w:r>
      <w:r>
        <w:rPr>
          <w:rFonts w:ascii="Times New Roman" w:eastAsia="Times New Roman" w:hAnsi="Times New Roman" w:cs="Times New Roman"/>
          <w:sz w:val="24"/>
          <w:szCs w:val="24"/>
        </w:rPr>
        <w:t>atient-centered methodology.</w:t>
      </w:r>
    </w:p>
    <w:p w:rsidR="00813F84" w:rsidRDefault="00813F84">
      <w:pPr>
        <w:spacing w:before="360" w:after="80"/>
        <w:rPr>
          <w:rFonts w:ascii="Times New Roman" w:eastAsia="Times New Roman" w:hAnsi="Times New Roman" w:cs="Times New Roman"/>
          <w:b/>
          <w:bCs/>
          <w:sz w:val="24"/>
          <w:szCs w:val="24"/>
        </w:rPr>
      </w:pP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Regulatory, Economic, and Structural Barriers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Even when therapies demonstrate biological promise and trial design is sound, economic, regulatory, and structural realities can impede translation. Funding limitations, pharmac</w:t>
      </w:r>
      <w:r>
        <w:rPr>
          <w:rFonts w:ascii="Times New Roman" w:eastAsia="Times New Roman" w:hAnsi="Times New Roman" w:cs="Times New Roman"/>
          <w:sz w:val="24"/>
          <w:szCs w:val="24"/>
        </w:rPr>
        <w:t xml:space="preserve">eutical risk aversion, and bureaucratic frameworks often determine which therapies advance. Structural inequities further restrict trial access, limiting representation and generalizability [34]. These </w:t>
      </w:r>
      <w:r>
        <w:rPr>
          <w:rFonts w:ascii="Times New Roman" w:eastAsia="Times New Roman" w:hAnsi="Times New Roman" w:cs="Times New Roman"/>
          <w:sz w:val="24"/>
          <w:szCs w:val="24"/>
        </w:rPr>
        <w:lastRenderedPageBreak/>
        <w:t>barriers exacerbate biological and clinical challenges</w:t>
      </w:r>
      <w:r>
        <w:rPr>
          <w:rFonts w:ascii="Times New Roman" w:eastAsia="Times New Roman" w:hAnsi="Times New Roman" w:cs="Times New Roman"/>
          <w:sz w:val="24"/>
          <w:szCs w:val="24"/>
        </w:rPr>
        <w:t>, shaping the trajectory of translational success. Examining these systemic constraints illuminates why even promising therapies may struggle to reach patients. Addressing them requires both strategic planning and policy-level engagement.</w:t>
      </w: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9.1 Funding Gaps </w:t>
      </w:r>
      <w:r>
        <w:rPr>
          <w:rFonts w:ascii="Times New Roman" w:eastAsia="Times New Roman" w:hAnsi="Times New Roman" w:cs="Times New Roman"/>
          <w:b/>
          <w:bCs/>
          <w:sz w:val="24"/>
          <w:szCs w:val="24"/>
        </w:rPr>
        <w:t>and High Attrition Rates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Pancreatic cancer research faces a mismatch between urgent scientific need and available funding. Despite high mortality, investment is disproportionately low relative to disease burden [35]. Limited funding constrains preclinical </w:t>
      </w:r>
      <w:r>
        <w:rPr>
          <w:rFonts w:ascii="Times New Roman" w:eastAsia="Times New Roman" w:hAnsi="Times New Roman" w:cs="Times New Roman"/>
          <w:sz w:val="24"/>
          <w:szCs w:val="24"/>
        </w:rPr>
        <w:t>studies, combination strategies, and mechanistic exploration. High attrition rates further discourage investment, as many promising agents fail before reaching clinical evaluation [36]. Resource scarcity restricts innovative trial designs, biomarker integr</w:t>
      </w:r>
      <w:r>
        <w:rPr>
          <w:rFonts w:ascii="Times New Roman" w:eastAsia="Times New Roman" w:hAnsi="Times New Roman" w:cs="Times New Roman"/>
          <w:sz w:val="24"/>
          <w:szCs w:val="24"/>
        </w:rPr>
        <w:t>ation, and global collaboration. Addressing these gaps demands increased public and private investment and creative mechanisms to de-risk early-stage innovation. Without financial support, translational potential remains unrealized. Funding is therefore bo</w:t>
      </w:r>
      <w:r>
        <w:rPr>
          <w:rFonts w:ascii="Times New Roman" w:eastAsia="Times New Roman" w:hAnsi="Times New Roman" w:cs="Times New Roman"/>
          <w:sz w:val="24"/>
          <w:szCs w:val="24"/>
        </w:rPr>
        <w:t>th a facilitator and a prerequisite for meaningful progress.</w:t>
      </w: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 Pharmaceutical Risk Aversion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failure rates and short survival endpoints make pharmaceutical </w:t>
      </w:r>
      <w:proofErr w:type="gramStart"/>
      <w:r>
        <w:rPr>
          <w:rFonts w:ascii="Times New Roman" w:eastAsia="Times New Roman" w:hAnsi="Times New Roman" w:cs="Times New Roman"/>
          <w:sz w:val="24"/>
          <w:szCs w:val="24"/>
        </w:rPr>
        <w:t>companies</w:t>
      </w:r>
      <w:proofErr w:type="gramEnd"/>
      <w:r>
        <w:rPr>
          <w:rFonts w:ascii="Times New Roman" w:eastAsia="Times New Roman" w:hAnsi="Times New Roman" w:cs="Times New Roman"/>
          <w:sz w:val="24"/>
          <w:szCs w:val="24"/>
        </w:rPr>
        <w:t xml:space="preserve"> risk-averse [36]. Investment favors incremental or “safer” innovations, leaving pote</w:t>
      </w:r>
      <w:r>
        <w:rPr>
          <w:rFonts w:ascii="Times New Roman" w:eastAsia="Times New Roman" w:hAnsi="Times New Roman" w:cs="Times New Roman"/>
          <w:sz w:val="24"/>
          <w:szCs w:val="24"/>
        </w:rPr>
        <w:t>ntially transformative therapies underexplored. Preclinical promise alone is insufficient to overcome corporate caution; financial risk, market projections, and regulatory hurdles weigh heavily. Risk aversion can hinder combination therapies or unconventio</w:t>
      </w:r>
      <w:r>
        <w:rPr>
          <w:rFonts w:ascii="Times New Roman" w:eastAsia="Times New Roman" w:hAnsi="Times New Roman" w:cs="Times New Roman"/>
          <w:sz w:val="24"/>
          <w:szCs w:val="24"/>
        </w:rPr>
        <w:t>nal approaches, slowing innovation. Addressing this requires partnerships between academia, industry, and funders to share risk while advancing science. Without mitigating risk aversion, financial conservatism constrains translational progress more than bi</w:t>
      </w:r>
      <w:r>
        <w:rPr>
          <w:rFonts w:ascii="Times New Roman" w:eastAsia="Times New Roman" w:hAnsi="Times New Roman" w:cs="Times New Roman"/>
          <w:sz w:val="24"/>
          <w:szCs w:val="24"/>
        </w:rPr>
        <w:t>ological limitations.</w:t>
      </w: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9.3 Regulatory Hurdles in Translational Oncology</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frameworks protect patients but can delay therapy translation. Agencies demand rigorous preclinical validation, safety profiling, and standardized endpoints before approval </w:t>
      </w:r>
      <w:r>
        <w:rPr>
          <w:rFonts w:ascii="Times New Roman" w:eastAsia="Times New Roman" w:hAnsi="Times New Roman" w:cs="Times New Roman"/>
          <w:sz w:val="24"/>
          <w:szCs w:val="24"/>
        </w:rPr>
        <w:t>pathways are opened [37]. Cross-border trials face inconsistent standards, complicating collaboration. Even sophisticated preclinical models cannot fully satisfy regulatory expectations for human relevance. These constraints shape trial design, enrollment,</w:t>
      </w:r>
      <w:r>
        <w:rPr>
          <w:rFonts w:ascii="Times New Roman" w:eastAsia="Times New Roman" w:hAnsi="Times New Roman" w:cs="Times New Roman"/>
          <w:sz w:val="24"/>
          <w:szCs w:val="24"/>
        </w:rPr>
        <w:t xml:space="preserve"> and reporting requirements, adding complexity to translational efforts. Navigating this landscape requires early engagement, strategic planning, and alignment of trial design with regulatory expectations.</w:t>
      </w: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9.4 Access, Equity, and Global Trial </w:t>
      </w:r>
      <w:r>
        <w:rPr>
          <w:rFonts w:ascii="Times New Roman" w:eastAsia="Times New Roman" w:hAnsi="Times New Roman" w:cs="Times New Roman"/>
          <w:b/>
          <w:bCs/>
          <w:sz w:val="24"/>
          <w:szCs w:val="24"/>
        </w:rPr>
        <w:t>Representation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Structural inequities influence who benefits from translational advances. Trials underrepresent racial minorities, rural communities, and socioeconomically disadvantaged populations, limiting </w:t>
      </w:r>
      <w:r>
        <w:rPr>
          <w:rFonts w:ascii="Times New Roman" w:eastAsia="Times New Roman" w:hAnsi="Times New Roman" w:cs="Times New Roman"/>
          <w:sz w:val="24"/>
          <w:szCs w:val="24"/>
        </w:rPr>
        <w:lastRenderedPageBreak/>
        <w:t>generalizability [34]. Geographic, socioeconomic,</w:t>
      </w:r>
      <w:r>
        <w:rPr>
          <w:rFonts w:ascii="Times New Roman" w:eastAsia="Times New Roman" w:hAnsi="Times New Roman" w:cs="Times New Roman"/>
          <w:sz w:val="24"/>
          <w:szCs w:val="24"/>
        </w:rPr>
        <w:t xml:space="preserve"> and infrastructural barriers restrict patient access, compounding biological and clinical challenges. Global representation ensures findings are relevant across diverse genetic, environmental, and healthcare contexts. Proactive outreach, resource allocati</w:t>
      </w:r>
      <w:r>
        <w:rPr>
          <w:rFonts w:ascii="Times New Roman" w:eastAsia="Times New Roman" w:hAnsi="Times New Roman" w:cs="Times New Roman"/>
          <w:sz w:val="24"/>
          <w:szCs w:val="24"/>
        </w:rPr>
        <w:t>on, and inclusive trial design are both ethical and scientific imperatives. Equity maximizes translational impact and ensures therapies are meaningful worldwide. Integrating access into research design links fairness with scientific rigor.</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10. Strategies </w:t>
      </w:r>
      <w:r>
        <w:rPr>
          <w:rFonts w:ascii="Times New Roman" w:eastAsia="Times New Roman" w:hAnsi="Times New Roman" w:cs="Times New Roman"/>
          <w:b/>
          <w:bCs/>
          <w:sz w:val="24"/>
          <w:szCs w:val="24"/>
        </w:rPr>
        <w:t>to Bridge the Bench-to-Bedside Gap</w:t>
      </w: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Closing the gap between laboratory discovery and meaningful clinical benefit in pancreatic cancer demands more than scientific breakthroughs. It requires alignment. Biology must inform trial design. Clinical realities mus</w:t>
      </w:r>
      <w:r>
        <w:rPr>
          <w:rFonts w:ascii="Times New Roman" w:eastAsia="Times New Roman" w:hAnsi="Times New Roman" w:cs="Times New Roman"/>
          <w:sz w:val="24"/>
          <w:szCs w:val="24"/>
        </w:rPr>
        <w:t>t shape experimental priorities. Structural barriers must be acknowledged rather than ignored. Pancreatic cancer presents multiple obstacles, including tumor heterogeneity, a dense and complex stroma, imperfect preclinical models, rigid clinical trial syst</w:t>
      </w:r>
      <w:r>
        <w:rPr>
          <w:rFonts w:ascii="Times New Roman" w:eastAsia="Times New Roman" w:hAnsi="Times New Roman" w:cs="Times New Roman"/>
          <w:sz w:val="24"/>
          <w:szCs w:val="24"/>
        </w:rPr>
        <w:t>ems, and inequities in access to care [38]. For years, these factors have contributed to high failure rates. Yet the field is gradually learning from these setbacks. Progress now depends on precision, adaptability, and integration across disciplines.</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10.1</w:t>
      </w:r>
      <w:r>
        <w:rPr>
          <w:rFonts w:ascii="Times New Roman" w:eastAsia="Times New Roman" w:hAnsi="Times New Roman" w:cs="Times New Roman"/>
          <w:b/>
          <w:bCs/>
          <w:sz w:val="24"/>
          <w:szCs w:val="24"/>
        </w:rPr>
        <w:t xml:space="preserve"> Precision Oncology and Molecular Stratification</w:t>
      </w: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oncology aims to match therapy to the specific molecular features of a patient’s tumor. This approach is particularly relevant in pancreatic cancer, where tumors vary significantly at the genetic a</w:t>
      </w:r>
      <w:r>
        <w:rPr>
          <w:rFonts w:ascii="Times New Roman" w:eastAsia="Times New Roman" w:hAnsi="Times New Roman" w:cs="Times New Roman"/>
          <w:sz w:val="24"/>
          <w:szCs w:val="24"/>
        </w:rPr>
        <w:t>nd transcriptomic levels [38]. Treatments that fail in broad, unselected populations may show benefit when patients are stratified according to actionable mutations such as BRCA1/2 alterations [39].</w:t>
      </w: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stratification increases the likelihood that a </w:t>
      </w:r>
      <w:r>
        <w:rPr>
          <w:rFonts w:ascii="Times New Roman" w:eastAsia="Times New Roman" w:hAnsi="Times New Roman" w:cs="Times New Roman"/>
          <w:sz w:val="24"/>
          <w:szCs w:val="24"/>
        </w:rPr>
        <w:t>therapy will demonstrate true activity and reduces unnecessary toxicity for patients unlikely to respond. Advances in sequencing technology have made this approach increasingly feasible in routine practice. Importantly, precision oncology reframes the clin</w:t>
      </w:r>
      <w:r>
        <w:rPr>
          <w:rFonts w:ascii="Times New Roman" w:eastAsia="Times New Roman" w:hAnsi="Times New Roman" w:cs="Times New Roman"/>
          <w:sz w:val="24"/>
          <w:szCs w:val="24"/>
        </w:rPr>
        <w:t>ical trial around biological rationale rather than empirical broad testing. While this strategy does not guarantee dramatic outcomes, it strengthens the connection between laboratory insight and patient care.</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10.2 Biomarker-Guided and Basket Trial Designs</w:t>
      </w: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trials often enroll patients based solely on tumor location. In contrast, biomarker-guided trials select patients based on tumor biology, increasing the probability of detecting meaningful therapeutic signals [40]. Basket trials extend this ap</w:t>
      </w:r>
      <w:r>
        <w:rPr>
          <w:rFonts w:ascii="Times New Roman" w:eastAsia="Times New Roman" w:hAnsi="Times New Roman" w:cs="Times New Roman"/>
          <w:sz w:val="24"/>
          <w:szCs w:val="24"/>
        </w:rPr>
        <w:t>proach by testing therapies across multiple molecularly defined subgroups regardless of anatomical origin [40].</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designs conserve time and reduce dilution of treatment effects in heterogeneous populations. By integrating translational endpoints such </w:t>
      </w:r>
      <w:r>
        <w:rPr>
          <w:rFonts w:ascii="Times New Roman" w:eastAsia="Times New Roman" w:hAnsi="Times New Roman" w:cs="Times New Roman"/>
          <w:sz w:val="24"/>
          <w:szCs w:val="24"/>
        </w:rPr>
        <w:t xml:space="preserve">as pharmacodynamic and molecular profiling, they provide deeper insight into the mechanism of action. Aligning trial design with </w:t>
      </w:r>
      <w:r>
        <w:rPr>
          <w:rFonts w:ascii="Times New Roman" w:eastAsia="Times New Roman" w:hAnsi="Times New Roman" w:cs="Times New Roman"/>
          <w:sz w:val="24"/>
          <w:szCs w:val="24"/>
        </w:rPr>
        <w:lastRenderedPageBreak/>
        <w:t>tumor biology is not simply innovative. It is necessary in a disease as biologically complex as pancreatic cancer.</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10.3 Adapti</w:t>
      </w:r>
      <w:r>
        <w:rPr>
          <w:rFonts w:ascii="Times New Roman" w:eastAsia="Times New Roman" w:hAnsi="Times New Roman" w:cs="Times New Roman"/>
          <w:b/>
          <w:bCs/>
          <w:sz w:val="24"/>
          <w:szCs w:val="24"/>
        </w:rPr>
        <w:t>ve and Platform Trials</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Pancreatic cancer progresses rapidly, and conventional rigid trial models may lack efficiency. Adaptive trial designs permit pre-specified modifications based on interim analyses, including early termination of ineffective arms and </w:t>
      </w:r>
      <w:r>
        <w:rPr>
          <w:rFonts w:ascii="Times New Roman" w:eastAsia="Times New Roman" w:hAnsi="Times New Roman" w:cs="Times New Roman"/>
          <w:sz w:val="24"/>
          <w:szCs w:val="24"/>
        </w:rPr>
        <w:t>refinement of patient groups [41]. This flexibility improves efficiency and ethical allocation of resources.</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Platform trials evaluate multiple therapies within a shared infrastructure, allowing new agents to enter and ineffective ones to exit without laun</w:t>
      </w:r>
      <w:r>
        <w:rPr>
          <w:rFonts w:ascii="Times New Roman" w:eastAsia="Times New Roman" w:hAnsi="Times New Roman" w:cs="Times New Roman"/>
          <w:sz w:val="24"/>
          <w:szCs w:val="24"/>
        </w:rPr>
        <w:t>ching entirely new trials [41]. When combined with biomarker stratification, these designs create responsive systems aligned with emerging data. In aggressive malignancies, adaptability enhances translational efficiency.</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10.4 Rational Combination Therapie</w:t>
      </w:r>
      <w:r>
        <w:rPr>
          <w:rFonts w:ascii="Times New Roman" w:eastAsia="Times New Roman" w:hAnsi="Times New Roman" w:cs="Times New Roman"/>
          <w:b/>
          <w:bCs/>
          <w:sz w:val="24"/>
          <w:szCs w:val="24"/>
        </w:rPr>
        <w:t>s</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tumors exhibit pathway redundancy and adaptive resistance mechanisms, contributing to the limited durability of single-agent therapies [42]. Rational combination strategies aim to address compensatory signaling and tumor-microenvironment inte</w:t>
      </w:r>
      <w:r>
        <w:rPr>
          <w:rFonts w:ascii="Times New Roman" w:eastAsia="Times New Roman" w:hAnsi="Times New Roman" w:cs="Times New Roman"/>
          <w:sz w:val="24"/>
          <w:szCs w:val="24"/>
        </w:rPr>
        <w:t>ractions.</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Combining targeted therapies with chemotherapy, immunotherapy, or metabolic modulators may enhance efficacy, but combinations must be grounded in mechanistic understanding and evaluated in advanced preclinical systems [42]. Careful balancing of </w:t>
      </w:r>
      <w:r>
        <w:rPr>
          <w:rFonts w:ascii="Times New Roman" w:eastAsia="Times New Roman" w:hAnsi="Times New Roman" w:cs="Times New Roman"/>
          <w:sz w:val="24"/>
          <w:szCs w:val="24"/>
        </w:rPr>
        <w:t>toxicity and biological rationale is essential. Meaningful progress in pancreatic cancer is unlikely to emerge from isolated pathway inhibition alone.</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10.5 Stromal Reprogramming Rather Than Depletion</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pancreatic stroma was initially considered </w:t>
      </w:r>
      <w:r>
        <w:rPr>
          <w:rFonts w:ascii="Times New Roman" w:eastAsia="Times New Roman" w:hAnsi="Times New Roman" w:cs="Times New Roman"/>
          <w:sz w:val="24"/>
          <w:szCs w:val="24"/>
        </w:rPr>
        <w:t>primarily a barrier to drug delivery. However, preclinical studies demonstrated that complete stromal depletion could lead to more aggressive tumor behavior and reduced survival [43]. These findings revealed protective and regulatory functions within strom</w:t>
      </w:r>
      <w:r>
        <w:rPr>
          <w:rFonts w:ascii="Times New Roman" w:eastAsia="Times New Roman" w:hAnsi="Times New Roman" w:cs="Times New Roman"/>
          <w:sz w:val="24"/>
          <w:szCs w:val="24"/>
        </w:rPr>
        <w:t>al compartments. Current strategies emphasize stromal modulation or reprogramming rather than wholesale depletion. Approaches targeting fibroblast activity and extracellular matrix remodeling aim to enhance therapeutic penetration while preserving tumor-co</w:t>
      </w:r>
      <w:r>
        <w:rPr>
          <w:rFonts w:ascii="Times New Roman" w:eastAsia="Times New Roman" w:hAnsi="Times New Roman" w:cs="Times New Roman"/>
          <w:sz w:val="24"/>
          <w:szCs w:val="24"/>
        </w:rPr>
        <w:t>ntrolling elements [43]. This shift reflects a more nuanced understanding of tumor–stroma dynamics.</w:t>
      </w:r>
    </w:p>
    <w:p w:rsidR="00813F84" w:rsidRDefault="00813F84">
      <w:pPr>
        <w:rPr>
          <w:rFonts w:ascii="Times New Roman" w:eastAsia="Times New Roman" w:hAnsi="Times New Roman" w:cs="Times New Roman"/>
          <w:b/>
          <w:bCs/>
          <w:sz w:val="24"/>
          <w:szCs w:val="24"/>
        </w:rPr>
      </w:pPr>
    </w:p>
    <w:p w:rsidR="00813F84" w:rsidRDefault="001548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10.6 Integration of Artificial Intelligence and Systems Biology</w:t>
      </w:r>
    </w:p>
    <w:p w:rsidR="00813F84" w:rsidRDefault="00813F84">
      <w:pPr>
        <w:rPr>
          <w:rFonts w:ascii="Times New Roman" w:eastAsia="Times New Roman" w:hAnsi="Times New Roman" w:cs="Times New Roman"/>
          <w:b/>
          <w:bCs/>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expansion of multi-omics and clinical datasets in oncology has created opportunities f</w:t>
      </w:r>
      <w:r>
        <w:rPr>
          <w:rFonts w:ascii="Times New Roman" w:eastAsia="Times New Roman" w:hAnsi="Times New Roman" w:cs="Times New Roman"/>
          <w:sz w:val="24"/>
          <w:szCs w:val="24"/>
        </w:rPr>
        <w:t>or computational integration. Artificial intelligence and systems biology approaches enable analysis of complex tumor–immune–stromal interactions and prediction of therapeutic response [44].</w:t>
      </w:r>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These tools support refined patient stratification and more info</w:t>
      </w:r>
      <w:r>
        <w:rPr>
          <w:rFonts w:ascii="Times New Roman" w:eastAsia="Times New Roman" w:hAnsi="Times New Roman" w:cs="Times New Roman"/>
          <w:sz w:val="24"/>
          <w:szCs w:val="24"/>
        </w:rPr>
        <w:t>rmed trial design. While computational models do not replace clinical expertise, they enhance predictive capacity and translational efficiency in biologically complex diseases.</w:t>
      </w: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Emerging Success Stories and Translational Lessons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pancreatic canc</w:t>
      </w:r>
      <w:r>
        <w:rPr>
          <w:rFonts w:ascii="Times New Roman" w:eastAsia="Times New Roman" w:hAnsi="Times New Roman" w:cs="Times New Roman"/>
          <w:sz w:val="24"/>
          <w:szCs w:val="24"/>
        </w:rPr>
        <w:t>er research has faced repeated setbacks, several translational advances offer cautious optimism. These successes are often limited to specific patient subsets, yet they validate the principles of persistence and biological precision.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cancer is b</w:t>
      </w:r>
      <w:r>
        <w:rPr>
          <w:rFonts w:ascii="Times New Roman" w:eastAsia="Times New Roman" w:hAnsi="Times New Roman" w:cs="Times New Roman"/>
          <w:sz w:val="24"/>
          <w:szCs w:val="24"/>
        </w:rPr>
        <w:t>eginning to show that even the most intractable molecular targets can be tamed with persistence and innovation. KRAS mutations, long considered central drivers of pancreatic tumorigenesis, were once thought impossible to inhibit therapeutically [45]. For d</w:t>
      </w:r>
      <w:r>
        <w:rPr>
          <w:rFonts w:ascii="Times New Roman" w:eastAsia="Times New Roman" w:hAnsi="Times New Roman" w:cs="Times New Roman"/>
          <w:sz w:val="24"/>
          <w:szCs w:val="24"/>
        </w:rPr>
        <w:t>ecades, these mutations were untouchable, leaving patients with few targeted options. Advances in structural biology and the development of covalent inhibitors have transformed that outlook, and KRAS G12C inhibitors now demonstrate activity in specific mut</w:t>
      </w:r>
      <w:r>
        <w:rPr>
          <w:rFonts w:ascii="Times New Roman" w:eastAsia="Times New Roman" w:hAnsi="Times New Roman" w:cs="Times New Roman"/>
          <w:sz w:val="24"/>
          <w:szCs w:val="24"/>
        </w:rPr>
        <w:t>ation contexts [46]. Although these therapies currently benefit only a subset of patients, they confirm that sustained investment in understanding fundamental biology can yield meaningful clinical impact. The KRAS story illustrates the power of precise mut</w:t>
      </w:r>
      <w:r>
        <w:rPr>
          <w:rFonts w:ascii="Times New Roman" w:eastAsia="Times New Roman" w:hAnsi="Times New Roman" w:cs="Times New Roman"/>
          <w:sz w:val="24"/>
          <w:szCs w:val="24"/>
        </w:rPr>
        <w:t>ation targeting and highlights the necessity of combination strategies to overcome resistance. Progress has been incremental, but it challenges previous assumptions about what is achievable and opens the door to other targets once deemed undruggable.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Build</w:t>
      </w:r>
      <w:r>
        <w:rPr>
          <w:rFonts w:ascii="Times New Roman" w:eastAsia="Times New Roman" w:hAnsi="Times New Roman" w:cs="Times New Roman"/>
          <w:sz w:val="24"/>
          <w:szCs w:val="24"/>
        </w:rPr>
        <w:t>ing on this momentum, PARP inhibitors provide another clear example of translating defined molecular vulnerabilities into patient benefit. In individuals with BRCA mutations, impaired DNA repair creates a therapeutic opportunity through synthetic lethality</w:t>
      </w:r>
      <w:r>
        <w:rPr>
          <w:rFonts w:ascii="Times New Roman" w:eastAsia="Times New Roman" w:hAnsi="Times New Roman" w:cs="Times New Roman"/>
          <w:sz w:val="24"/>
          <w:szCs w:val="24"/>
        </w:rPr>
        <w:t>, and clinical trials have demonstrated significant responses in this genetically defined population [47]. This success emphasizes the value of integrating germline and somatic testing into routine clinical practice. While applicable to a minority of patie</w:t>
      </w:r>
      <w:r>
        <w:rPr>
          <w:rFonts w:ascii="Times New Roman" w:eastAsia="Times New Roman" w:hAnsi="Times New Roman" w:cs="Times New Roman"/>
          <w:sz w:val="24"/>
          <w:szCs w:val="24"/>
        </w:rPr>
        <w:t>nts, PARP inhibition demonstrates the broader principle that precision medicine guided by deep molecular insight can improve outcomes. It also provides a model for discovering and targeting additional DNA repair vulnerabilities, showing that lessons learne</w:t>
      </w:r>
      <w:r>
        <w:rPr>
          <w:rFonts w:ascii="Times New Roman" w:eastAsia="Times New Roman" w:hAnsi="Times New Roman" w:cs="Times New Roman"/>
          <w:sz w:val="24"/>
          <w:szCs w:val="24"/>
        </w:rPr>
        <w:t>d from one actionable target can inform the next wave of translational innovation.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Conventional chemotherapy remains foundational in pancreatic cancer management. Regimens such as FOLFIRINOX provide consistent, though limited, survival benefit [48]. Augmen</w:t>
      </w:r>
      <w:r>
        <w:rPr>
          <w:rFonts w:ascii="Times New Roman" w:eastAsia="Times New Roman" w:hAnsi="Times New Roman" w:cs="Times New Roman"/>
          <w:sz w:val="24"/>
          <w:szCs w:val="24"/>
        </w:rPr>
        <w:t xml:space="preserve">ting these backbones with targeted or immunomodulatory agents has produced incremental gains. This approach reflects pragmatism. Rather than discarding established treatments, it builds upon </w:t>
      </w:r>
      <w:r>
        <w:rPr>
          <w:rFonts w:ascii="Times New Roman" w:eastAsia="Times New Roman" w:hAnsi="Times New Roman" w:cs="Times New Roman"/>
          <w:sz w:val="24"/>
          <w:szCs w:val="24"/>
        </w:rPr>
        <w:lastRenderedPageBreak/>
        <w:t>them. Translational progress often emerges from thoughtful integr</w:t>
      </w:r>
      <w:r>
        <w:rPr>
          <w:rFonts w:ascii="Times New Roman" w:eastAsia="Times New Roman" w:hAnsi="Times New Roman" w:cs="Times New Roman"/>
          <w:sz w:val="24"/>
          <w:szCs w:val="24"/>
        </w:rPr>
        <w:t>ation of established and novel strategies. Incremental improvement should not be underestimated, particularly in a disease where dramatic breakthroughs are rare.</w:t>
      </w: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pancreatic cancer, success is seldom defined by cure. More often, it is measured in months</w:t>
      </w:r>
      <w:r>
        <w:rPr>
          <w:rFonts w:ascii="Times New Roman" w:eastAsia="Times New Roman" w:hAnsi="Times New Roman" w:cs="Times New Roman"/>
          <w:sz w:val="24"/>
          <w:szCs w:val="24"/>
        </w:rPr>
        <w:t xml:space="preserve"> of extended survival, preserved quality of life, or improved patient selection. Recognizing incremental benefit prevents disillusionment and sustains momentum. Each carefully analyzed failure refines understanding and guides future design. Progress in thi</w:t>
      </w:r>
      <w:r>
        <w:rPr>
          <w:rFonts w:ascii="Times New Roman" w:eastAsia="Times New Roman" w:hAnsi="Times New Roman" w:cs="Times New Roman"/>
          <w:sz w:val="24"/>
          <w:szCs w:val="24"/>
        </w:rPr>
        <w:t>s field accumulates through persistence and adjustment. Success therefore includes both therapeutic advances and the knowledge gained from trials that did not meet expectations [49].</w:t>
      </w:r>
    </w:p>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3F84" w:rsidRDefault="00154854">
      <w:pPr>
        <w:spacing w:before="360" w:after="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Future Directions in Translational Pancreatic Oncology</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for</w:t>
      </w:r>
      <w:r>
        <w:rPr>
          <w:rFonts w:ascii="Times New Roman" w:eastAsia="Times New Roman" w:hAnsi="Times New Roman" w:cs="Times New Roman"/>
          <w:sz w:val="24"/>
          <w:szCs w:val="24"/>
        </w:rPr>
        <w:t>ward in pancreatic cancer will require earlier detection, dynamic monitoring, personalized immunotherapy, and broader collaboration. These directions are interconnected and demand sustained commitment.</w:t>
      </w: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12.1 The Future of Precision Oncology in Pancreatic Ca</w:t>
      </w:r>
      <w:r>
        <w:rPr>
          <w:rFonts w:ascii="Times New Roman" w:eastAsia="Times New Roman" w:hAnsi="Times New Roman" w:cs="Times New Roman"/>
          <w:b/>
          <w:bCs/>
          <w:sz w:val="24"/>
          <w:szCs w:val="24"/>
        </w:rPr>
        <w:t>ncer</w:t>
      </w:r>
    </w:p>
    <w:p w:rsidR="00813F84" w:rsidRDefault="00154854">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Shifting the focus toward earlier detection may represent the most transformative opportunity in pancreatic cancer. Most cases are diagnosed at advanced stages, when therapeutic options are limited and outcomes are poor. Earlier identification has th</w:t>
      </w:r>
      <w:r>
        <w:rPr>
          <w:rFonts w:ascii="Times New Roman" w:eastAsia="Times New Roman" w:hAnsi="Times New Roman" w:cs="Times New Roman"/>
          <w:sz w:val="24"/>
          <w:szCs w:val="24"/>
        </w:rPr>
        <w:t>e potential to alter this trajectory significantly. Current research efforts are exploring molecular signatures, protein panels, and metabolomic markers capable of detecting disease in high-risk populations before clinical symptoms emerge. However, impleme</w:t>
      </w:r>
      <w:r>
        <w:rPr>
          <w:rFonts w:ascii="Times New Roman" w:eastAsia="Times New Roman" w:hAnsi="Times New Roman" w:cs="Times New Roman"/>
          <w:sz w:val="24"/>
          <w:szCs w:val="24"/>
        </w:rPr>
        <w:t>ntation must be carefully paired with risk stratification and structured surveillance programs to minimize unnecessary intervention. Detecting tumors before extensive progression improves surgical candidacy and expands opportunities for clinical trial part</w:t>
      </w:r>
      <w:r>
        <w:rPr>
          <w:rFonts w:ascii="Times New Roman" w:eastAsia="Times New Roman" w:hAnsi="Times New Roman" w:cs="Times New Roman"/>
          <w:sz w:val="24"/>
          <w:szCs w:val="24"/>
        </w:rPr>
        <w:t>icipation. In this sense, early detection is not only a scientific ambition but also a public health priority.</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advances in liquid biopsy technology are reshaping how pancreatic cancer is monitored over time. Minimally invasive assessment </w:t>
      </w:r>
      <w:r>
        <w:rPr>
          <w:rFonts w:ascii="Times New Roman" w:eastAsia="Times New Roman" w:hAnsi="Times New Roman" w:cs="Times New Roman"/>
          <w:sz w:val="24"/>
          <w:szCs w:val="24"/>
        </w:rPr>
        <w:t>of circulating tumor DNA and related biomarkers allows clinicians to capture tumor evolution and emerging resistance patterns. Because these samples can be obtained repeatedly, treatment decisions can be adjusted dynamically rather than relying on static s</w:t>
      </w:r>
      <w:r>
        <w:rPr>
          <w:rFonts w:ascii="Times New Roman" w:eastAsia="Times New Roman" w:hAnsi="Times New Roman" w:cs="Times New Roman"/>
          <w:sz w:val="24"/>
          <w:szCs w:val="24"/>
        </w:rPr>
        <w:t>napshots. Incorporating liquid biopsy data into clinical trial design improves patient selection and enhances response monitoring. This approach moves oncology away from one-time assessment toward continuous evaluation. Real-time molecular insight strength</w:t>
      </w:r>
      <w:r>
        <w:rPr>
          <w:rFonts w:ascii="Times New Roman" w:eastAsia="Times New Roman" w:hAnsi="Times New Roman" w:cs="Times New Roman"/>
          <w:sz w:val="24"/>
          <w:szCs w:val="24"/>
        </w:rPr>
        <w:t>ens the alignment between therapeutic strategy and tumor behavior.</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Another promising frontier lies in the development of personalized vaccines targeting tumor-specific neoantigens. By identifying mutations unique to an individual’s cancer, researchers can </w:t>
      </w:r>
      <w:r>
        <w:rPr>
          <w:rFonts w:ascii="Times New Roman" w:eastAsia="Times New Roman" w:hAnsi="Times New Roman" w:cs="Times New Roman"/>
          <w:sz w:val="24"/>
          <w:szCs w:val="24"/>
        </w:rPr>
        <w:t>design therapies that stimulate immune recognition with greater specificity. Advances in sequencing and computational prediction have made neoantigen identification increasingly feasible. Early-phase studies suggest potential benefit, particularly when vac</w:t>
      </w:r>
      <w:r>
        <w:rPr>
          <w:rFonts w:ascii="Times New Roman" w:eastAsia="Times New Roman" w:hAnsi="Times New Roman" w:cs="Times New Roman"/>
          <w:sz w:val="24"/>
          <w:szCs w:val="24"/>
        </w:rPr>
        <w:t xml:space="preserve">cines are combined with checkpoint inhibition or strategies that modulate the tumor microenvironment. Challenges remain, including cost and logistical complexity, but the underlying principle is compelling. This strategy reflects a convergence of genomics </w:t>
      </w:r>
      <w:r>
        <w:rPr>
          <w:rFonts w:ascii="Times New Roman" w:eastAsia="Times New Roman" w:hAnsi="Times New Roman" w:cs="Times New Roman"/>
          <w:sz w:val="24"/>
          <w:szCs w:val="24"/>
        </w:rPr>
        <w:t>and immunology and points toward a future in which therapy is tailored not only to tumor type, but to the precise molecular identity of each patient’s disease.</w:t>
      </w: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11.2 Translational Insights from </w:t>
      </w:r>
      <w:proofErr w:type="spellStart"/>
      <w:r>
        <w:rPr>
          <w:rFonts w:ascii="Times New Roman" w:eastAsia="Times New Roman" w:hAnsi="Times New Roman" w:cs="Times New Roman"/>
          <w:b/>
          <w:bCs/>
          <w:sz w:val="24"/>
          <w:szCs w:val="24"/>
        </w:rPr>
        <w:t>Barbacid’s</w:t>
      </w:r>
      <w:proofErr w:type="spellEnd"/>
      <w:r>
        <w:rPr>
          <w:rFonts w:ascii="Times New Roman" w:eastAsia="Times New Roman" w:hAnsi="Times New Roman" w:cs="Times New Roman"/>
          <w:b/>
          <w:bCs/>
          <w:sz w:val="24"/>
          <w:szCs w:val="24"/>
        </w:rPr>
        <w:t xml:space="preserve"> Triple Combination Therapy in PDAC</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ducta</w:t>
      </w:r>
      <w:r>
        <w:rPr>
          <w:rFonts w:ascii="Times New Roman" w:eastAsia="Times New Roman" w:hAnsi="Times New Roman" w:cs="Times New Roman"/>
          <w:sz w:val="24"/>
          <w:szCs w:val="24"/>
        </w:rPr>
        <w:t>l adenocarcinoma (PDAC) remains one of the deadliest malignancies, largely due to the prevalence of KRAS mutations, which drive tumor initiation and progression. For decades, KRAS was deemed “undruggable,” and single‑agent therapies targeting its downstrea</w:t>
      </w:r>
      <w:r>
        <w:rPr>
          <w:rFonts w:ascii="Times New Roman" w:eastAsia="Times New Roman" w:hAnsi="Times New Roman" w:cs="Times New Roman"/>
          <w:sz w:val="24"/>
          <w:szCs w:val="24"/>
        </w:rPr>
        <w:t>m pathways consistently failed [12]. Mariano Barbacid and colleagues have recently challenged this paradigm, demonstrating that a carefully designed triple combination therapy can induce complete tumor regression in preclinical models [50].</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exemp</w:t>
      </w:r>
      <w:r>
        <w:rPr>
          <w:rFonts w:ascii="Times New Roman" w:eastAsia="Times New Roman" w:hAnsi="Times New Roman" w:cs="Times New Roman"/>
          <w:sz w:val="24"/>
          <w:szCs w:val="24"/>
        </w:rPr>
        <w:t>lifies the essence of bench‑to‑bedside translation. At the bench, detailed molecular studies identified not only the central role of KRAS but also the alternative signaling pathways tumors exploit to escape therapy, such as EGFR and STAT3. Rather than test</w:t>
      </w:r>
      <w:r>
        <w:rPr>
          <w:rFonts w:ascii="Times New Roman" w:eastAsia="Times New Roman" w:hAnsi="Times New Roman" w:cs="Times New Roman"/>
          <w:sz w:val="24"/>
          <w:szCs w:val="24"/>
        </w:rPr>
        <w:t xml:space="preserve">ing drugs indiscriminately, </w:t>
      </w:r>
      <w:proofErr w:type="spellStart"/>
      <w:r>
        <w:rPr>
          <w:rFonts w:ascii="Times New Roman" w:eastAsia="Times New Roman" w:hAnsi="Times New Roman" w:cs="Times New Roman"/>
          <w:sz w:val="24"/>
          <w:szCs w:val="24"/>
        </w:rPr>
        <w:t>Barbacid’s</w:t>
      </w:r>
      <w:proofErr w:type="spellEnd"/>
      <w:r>
        <w:rPr>
          <w:rFonts w:ascii="Times New Roman" w:eastAsia="Times New Roman" w:hAnsi="Times New Roman" w:cs="Times New Roman"/>
          <w:sz w:val="24"/>
          <w:szCs w:val="24"/>
        </w:rPr>
        <w:t xml:space="preserve"> team applied a rational, mechanism‑driven design, combining a KRAS inhibitor with an EGFR blocker and a STAT3 degrader to simultaneously shut down the tumor’s survival network [50]. This level of mechanistic understan</w:t>
      </w:r>
      <w:r>
        <w:rPr>
          <w:rFonts w:ascii="Times New Roman" w:eastAsia="Times New Roman" w:hAnsi="Times New Roman" w:cs="Times New Roman"/>
          <w:sz w:val="24"/>
          <w:szCs w:val="24"/>
        </w:rPr>
        <w:t>ding is a hallmark of translational oncology: it is not simply about finding a drug that works in a dish, but about anticipating how tumors will respond, adapt, and resist.</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preclinical models, the therapy’s results were striking. In multiple genetically</w:t>
      </w:r>
      <w:r>
        <w:rPr>
          <w:rFonts w:ascii="Times New Roman" w:eastAsia="Times New Roman" w:hAnsi="Times New Roman" w:cs="Times New Roman"/>
          <w:sz w:val="24"/>
          <w:szCs w:val="24"/>
        </w:rPr>
        <w:t xml:space="preserve"> engineered mouse models and patient‑derived xenografts of PDAC, the triple therapy led to complete and lasting tumor regression, with no observed relapse for over 200 days post‑treatment and minimal toxicity [50]. These findings provide a proof‑of‑concept</w:t>
      </w:r>
      <w:r>
        <w:rPr>
          <w:rFonts w:ascii="Times New Roman" w:eastAsia="Times New Roman" w:hAnsi="Times New Roman" w:cs="Times New Roman"/>
          <w:sz w:val="24"/>
          <w:szCs w:val="24"/>
        </w:rPr>
        <w:t xml:space="preserve"> that mechanistically guided combination therapies can overcome the resilience and adaptive resistance of KRAS‑driven tumors, a feat that single‑agent therapies had repeatedly failed to achieve.</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moving from bench to human trials requires more than promising preclinical data. Despite generating significant excitement in the scientific community and widespread attention online, the therapy is not yet ready for clinical trials and faces hurd</w:t>
      </w:r>
      <w:r>
        <w:rPr>
          <w:rFonts w:ascii="Times New Roman" w:eastAsia="Times New Roman" w:hAnsi="Times New Roman" w:cs="Times New Roman"/>
          <w:sz w:val="24"/>
          <w:szCs w:val="24"/>
        </w:rPr>
        <w:t xml:space="preserve">les in optimization, safety validation, and securing sufficient funding for translational development [51].  Without these </w:t>
      </w:r>
      <w:r>
        <w:rPr>
          <w:rFonts w:ascii="Times New Roman" w:eastAsia="Times New Roman" w:hAnsi="Times New Roman" w:cs="Times New Roman"/>
          <w:sz w:val="24"/>
          <w:szCs w:val="24"/>
        </w:rPr>
        <w:lastRenderedPageBreak/>
        <w:t>resources, advancing this therapy into human studies remains a major challenge, illustrating that the path from bench to bedside is a</w:t>
      </w:r>
      <w:r>
        <w:rPr>
          <w:rFonts w:ascii="Times New Roman" w:eastAsia="Times New Roman" w:hAnsi="Times New Roman" w:cs="Times New Roman"/>
          <w:sz w:val="24"/>
          <w:szCs w:val="24"/>
        </w:rPr>
        <w:t>s much about scientific insight as it is about financial and logistical support.</w:t>
      </w:r>
    </w:p>
    <w:p w:rsidR="00813F84" w:rsidRDefault="00154854">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Barbacid’s</w:t>
      </w:r>
      <w:proofErr w:type="spellEnd"/>
      <w:r>
        <w:rPr>
          <w:rFonts w:ascii="Times New Roman" w:eastAsia="Times New Roman" w:hAnsi="Times New Roman" w:cs="Times New Roman"/>
          <w:sz w:val="24"/>
          <w:szCs w:val="24"/>
        </w:rPr>
        <w:t xml:space="preserve"> work highlights the integral nature of translational research: it demands not only deep understanding of cancer biology but also the strategic orchestration of ther</w:t>
      </w:r>
      <w:r>
        <w:rPr>
          <w:rFonts w:ascii="Times New Roman" w:eastAsia="Times New Roman" w:hAnsi="Times New Roman" w:cs="Times New Roman"/>
          <w:sz w:val="24"/>
          <w:szCs w:val="24"/>
        </w:rPr>
        <w:t>apies, thorough preclinical validation, and the persistent pursuit of pathways to clinical implementation. The story of this triple therapy underscores both the promise of precision‑targeted combination therapies in PDAC and the systemic obstacles that can</w:t>
      </w:r>
      <w:r>
        <w:rPr>
          <w:rFonts w:ascii="Times New Roman" w:eastAsia="Times New Roman" w:hAnsi="Times New Roman" w:cs="Times New Roman"/>
          <w:sz w:val="24"/>
          <w:szCs w:val="24"/>
        </w:rPr>
        <w:t xml:space="preserve"> delay their arrival in the clinic.</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12. Conclusion</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Pancreatic cancer remains one of the most challenging diseases in oncology. Biological complexity, limitations of current models, rigid trial systems, and structural inequities have slowed translation fro</w:t>
      </w:r>
      <w:r>
        <w:rPr>
          <w:rFonts w:ascii="Times New Roman" w:eastAsia="Times New Roman" w:hAnsi="Times New Roman" w:cs="Times New Roman"/>
          <w:sz w:val="24"/>
          <w:szCs w:val="24"/>
        </w:rPr>
        <w:t>m laboratory discovery to clinical impact. Yet the field is evolving. Precision stratification, adaptive trial designs, rational combinations, computational modeling, and collaborative infrastructure provide a more coherent framework for progress.</w:t>
      </w:r>
    </w:p>
    <w:p w:rsidR="00813F84" w:rsidRDefault="0015485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Change w</w:t>
      </w:r>
      <w:r>
        <w:rPr>
          <w:rFonts w:ascii="Times New Roman" w:eastAsia="Times New Roman" w:hAnsi="Times New Roman" w:cs="Times New Roman"/>
          <w:sz w:val="24"/>
          <w:szCs w:val="24"/>
        </w:rPr>
        <w:t>ill likely remain incremental. However, incremental gains accumulate. When guided by persistence, integration, and patient-centered focus, these gains narrow the gap between bench and bedside. The task is demanding, but continued coordination across scient</w:t>
      </w:r>
      <w:r>
        <w:rPr>
          <w:rFonts w:ascii="Times New Roman" w:eastAsia="Times New Roman" w:hAnsi="Times New Roman" w:cs="Times New Roman"/>
          <w:sz w:val="24"/>
          <w:szCs w:val="24"/>
        </w:rPr>
        <w:t>ific, clinical, and structural domains offers a path toward sustained and meaningful improvement.</w:t>
      </w:r>
    </w:p>
    <w:p w:rsidR="00813F84" w:rsidRDefault="00813F84">
      <w:pPr>
        <w:spacing w:before="240" w:after="240"/>
        <w:rPr>
          <w:rFonts w:ascii="Times New Roman" w:eastAsia="Times New Roman" w:hAnsi="Times New Roman" w:cs="Times New Roman"/>
          <w:sz w:val="24"/>
          <w:szCs w:val="24"/>
        </w:rPr>
      </w:pPr>
    </w:p>
    <w:p w:rsidR="00813F84" w:rsidRDefault="00154854">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Cambrosio</w:t>
      </w:r>
      <w:proofErr w:type="spellEnd"/>
      <w:r>
        <w:rPr>
          <w:rFonts w:ascii="Times New Roman" w:eastAsia="Times New Roman" w:hAnsi="Times New Roman" w:cs="Times New Roman"/>
          <w:sz w:val="24"/>
          <w:szCs w:val="24"/>
        </w:rPr>
        <w:t>, A., Campbell, J., Drilon, A. E., Keating, P., &amp; Polk, J. B. (2024). Decision-making as discovery: Vetting clinical research in a lea</w:t>
      </w:r>
      <w:r>
        <w:rPr>
          <w:rFonts w:ascii="Times New Roman" w:eastAsia="Times New Roman" w:hAnsi="Times New Roman" w:cs="Times New Roman"/>
          <w:sz w:val="24"/>
          <w:szCs w:val="24"/>
        </w:rPr>
        <w:t xml:space="preserve">ding precision oncology service. Sociology of health &amp; illness, 46(3), 495–513. </w:t>
      </w:r>
      <w:hyperlink r:id="rId7">
        <w:r>
          <w:rPr>
            <w:rFonts w:ascii="Times New Roman" w:eastAsia="Times New Roman" w:hAnsi="Times New Roman" w:cs="Times New Roman"/>
            <w:color w:val="1155CC"/>
            <w:sz w:val="24"/>
            <w:szCs w:val="24"/>
            <w:u w:val="single"/>
          </w:rPr>
          <w:t>https://doi.org/10.1111/1467-9566.13719</w:t>
        </w:r>
      </w:hyperlink>
    </w:p>
    <w:p w:rsidR="00813F84" w:rsidRDefault="00813F84">
      <w:pPr>
        <w:ind w:left="720"/>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2.  Dragani, T. A., Castells, A., Kulasingam, V., Diamandis, E. P., Earl, 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Iams</w:t>
      </w:r>
      <w:proofErr w:type="spellEnd"/>
      <w:r>
        <w:rPr>
          <w:rFonts w:ascii="Times New Roman" w:eastAsia="Times New Roman" w:hAnsi="Times New Roman" w:cs="Times New Roman"/>
          <w:sz w:val="24"/>
          <w:szCs w:val="24"/>
        </w:rPr>
        <w:t xml:space="preserve">, W. T., </w:t>
      </w:r>
      <w:proofErr w:type="spellStart"/>
      <w:r>
        <w:rPr>
          <w:rFonts w:ascii="Times New Roman" w:eastAsia="Times New Roman" w:hAnsi="Times New Roman" w:cs="Times New Roman"/>
          <w:sz w:val="24"/>
          <w:szCs w:val="24"/>
        </w:rPr>
        <w:t>Lovly</w:t>
      </w:r>
      <w:proofErr w:type="spellEnd"/>
      <w:r>
        <w:rPr>
          <w:rFonts w:ascii="Times New Roman" w:eastAsia="Times New Roman" w:hAnsi="Times New Roman" w:cs="Times New Roman"/>
          <w:sz w:val="24"/>
          <w:szCs w:val="24"/>
        </w:rPr>
        <w:t xml:space="preserve">, C. M., </w:t>
      </w:r>
      <w:proofErr w:type="spellStart"/>
      <w:r>
        <w:rPr>
          <w:rFonts w:ascii="Times New Roman" w:eastAsia="Times New Roman" w:hAnsi="Times New Roman" w:cs="Times New Roman"/>
          <w:sz w:val="24"/>
          <w:szCs w:val="24"/>
        </w:rPr>
        <w:t>Sedelaar</w:t>
      </w:r>
      <w:proofErr w:type="spellEnd"/>
      <w:r>
        <w:rPr>
          <w:rFonts w:ascii="Times New Roman" w:eastAsia="Times New Roman" w:hAnsi="Times New Roman" w:cs="Times New Roman"/>
          <w:sz w:val="24"/>
          <w:szCs w:val="24"/>
        </w:rPr>
        <w:t xml:space="preserve">, J. P., &amp; </w:t>
      </w:r>
      <w:proofErr w:type="spellStart"/>
      <w:r>
        <w:rPr>
          <w:rFonts w:ascii="Times New Roman" w:eastAsia="Times New Roman" w:hAnsi="Times New Roman" w:cs="Times New Roman"/>
          <w:sz w:val="24"/>
          <w:szCs w:val="24"/>
        </w:rPr>
        <w:t>Schalken</w:t>
      </w:r>
      <w:proofErr w:type="spellEnd"/>
      <w:r>
        <w:rPr>
          <w:rFonts w:ascii="Times New Roman" w:eastAsia="Times New Roman" w:hAnsi="Times New Roman" w:cs="Times New Roman"/>
          <w:sz w:val="24"/>
          <w:szCs w:val="24"/>
        </w:rPr>
        <w:t xml:space="preserve">, J. A. (2016). Major milestones in translational oncology. BMC medicine, 14(1), 110. </w:t>
      </w:r>
      <w:hyperlink r:id="rId8">
        <w:r>
          <w:rPr>
            <w:rFonts w:ascii="Times New Roman" w:eastAsia="Times New Roman" w:hAnsi="Times New Roman" w:cs="Times New Roman"/>
            <w:color w:val="1155CC"/>
            <w:sz w:val="24"/>
            <w:szCs w:val="24"/>
            <w:u w:val="single"/>
          </w:rPr>
          <w:t>https://doi.org/10.1186/s12916-016-0654-y</w:t>
        </w:r>
      </w:hyperlink>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sz w:val="24"/>
          <w:szCs w:val="24"/>
        </w:rPr>
      </w:pPr>
      <w:r>
        <w:rPr>
          <w:rFonts w:ascii="Times New Roman" w:eastAsia="Times New Roman" w:hAnsi="Times New Roman" w:cs="Times New Roman"/>
          <w:sz w:val="24"/>
          <w:szCs w:val="24"/>
        </w:rPr>
        <w:t>3. Jiménez</w:t>
      </w:r>
      <w:r>
        <w:rPr>
          <w:rFonts w:ascii="Times New Roman" w:eastAsia="Times New Roman" w:hAnsi="Times New Roman" w:cs="Times New Roman"/>
          <w:sz w:val="24"/>
          <w:szCs w:val="24"/>
        </w:rPr>
        <w:t xml:space="preserve">, D. J., Javed, A., Rubio-Tomás, T., Seye-Loum, N., &amp; Barceló, C. (2024). Clinical and Preclinical Targeting of Oncogenic Pathways in PDAC: Targeted Therapeutic Approaches for the Deadliest Cancer. International journal of molecular sciences, 25(5), 2860. </w:t>
      </w:r>
      <w:hyperlink r:id="rId9">
        <w:r>
          <w:rPr>
            <w:rFonts w:ascii="Times New Roman" w:eastAsia="Times New Roman" w:hAnsi="Times New Roman" w:cs="Times New Roman"/>
            <w:color w:val="1155CC"/>
            <w:sz w:val="24"/>
            <w:szCs w:val="24"/>
            <w:u w:val="single"/>
          </w:rPr>
          <w:t>https://doi.org/10.3390/ijms25052860</w:t>
        </w:r>
      </w:hyperlink>
    </w:p>
    <w:p w:rsidR="00813F84" w:rsidRDefault="00813F84">
      <w:pPr>
        <w:rPr>
          <w:rFonts w:ascii="Times New Roman" w:eastAsia="Times New Roman" w:hAnsi="Times New Roman" w:cs="Times New Roman"/>
          <w:sz w:val="24"/>
          <w:szCs w:val="24"/>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4. </w:t>
      </w:r>
      <w:r>
        <w:rPr>
          <w:rFonts w:ascii="Times New Roman" w:eastAsia="Times New Roman" w:hAnsi="Times New Roman" w:cs="Times New Roman"/>
          <w:color w:val="1B1B1B"/>
          <w:sz w:val="24"/>
          <w:szCs w:val="24"/>
          <w:highlight w:val="white"/>
        </w:rPr>
        <w:t xml:space="preserve">Ramesh, R. P. G., Yasmin, H., </w:t>
      </w:r>
      <w:proofErr w:type="spellStart"/>
      <w:r>
        <w:rPr>
          <w:rFonts w:ascii="Times New Roman" w:eastAsia="Times New Roman" w:hAnsi="Times New Roman" w:cs="Times New Roman"/>
          <w:color w:val="1B1B1B"/>
          <w:sz w:val="24"/>
          <w:szCs w:val="24"/>
          <w:highlight w:val="white"/>
        </w:rPr>
        <w:t>Ponnachan</w:t>
      </w:r>
      <w:proofErr w:type="spellEnd"/>
      <w:r>
        <w:rPr>
          <w:rFonts w:ascii="Times New Roman" w:eastAsia="Times New Roman" w:hAnsi="Times New Roman" w:cs="Times New Roman"/>
          <w:color w:val="1B1B1B"/>
          <w:sz w:val="24"/>
          <w:szCs w:val="24"/>
          <w:highlight w:val="white"/>
        </w:rPr>
        <w:t>, P., Al-Ramadi, B., Kishore, U., &amp; Joseph, A. M. (2025). Phenotypic heterogeneity and tumor immune microenvironment dir</w:t>
      </w:r>
      <w:r>
        <w:rPr>
          <w:rFonts w:ascii="Times New Roman" w:eastAsia="Times New Roman" w:hAnsi="Times New Roman" w:cs="Times New Roman"/>
          <w:color w:val="1B1B1B"/>
          <w:sz w:val="24"/>
          <w:szCs w:val="24"/>
          <w:highlight w:val="white"/>
        </w:rPr>
        <w:t xml:space="preserve">ected therapeutic </w:t>
      </w:r>
      <w:r>
        <w:rPr>
          <w:rFonts w:ascii="Times New Roman" w:eastAsia="Times New Roman" w:hAnsi="Times New Roman" w:cs="Times New Roman"/>
          <w:color w:val="1B1B1B"/>
          <w:sz w:val="24"/>
          <w:szCs w:val="24"/>
          <w:highlight w:val="white"/>
        </w:rPr>
        <w:lastRenderedPageBreak/>
        <w:t xml:space="preserve">strategies in pancreatic ductal adenocarcinoma. </w:t>
      </w:r>
      <w:r>
        <w:rPr>
          <w:rFonts w:ascii="Times New Roman" w:eastAsia="Times New Roman" w:hAnsi="Times New Roman" w:cs="Times New Roman"/>
          <w:i/>
          <w:iCs/>
          <w:color w:val="1B1B1B"/>
          <w:sz w:val="24"/>
          <w:szCs w:val="24"/>
          <w:highlight w:val="white"/>
        </w:rPr>
        <w:t>Frontiers in immunology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 1573522. </w:t>
      </w:r>
      <w:hyperlink r:id="rId10">
        <w:r>
          <w:rPr>
            <w:rFonts w:ascii="Times New Roman" w:eastAsia="Times New Roman" w:hAnsi="Times New Roman" w:cs="Times New Roman"/>
            <w:color w:val="1155CC"/>
            <w:sz w:val="24"/>
            <w:szCs w:val="24"/>
            <w:highlight w:val="white"/>
            <w:u w:val="single"/>
          </w:rPr>
          <w:t>https://doi.org/10.3389/fimmu.2025.1573522</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 </w:t>
      </w:r>
      <w:proofErr w:type="spellStart"/>
      <w:r>
        <w:rPr>
          <w:rFonts w:ascii="Times New Roman" w:eastAsia="Times New Roman" w:hAnsi="Times New Roman" w:cs="Times New Roman"/>
          <w:color w:val="1B1B1B"/>
          <w:sz w:val="24"/>
          <w:szCs w:val="24"/>
          <w:highlight w:val="white"/>
        </w:rPr>
        <w:t>Liaki</w:t>
      </w:r>
      <w:proofErr w:type="spellEnd"/>
      <w:r>
        <w:rPr>
          <w:rFonts w:ascii="Times New Roman" w:eastAsia="Times New Roman" w:hAnsi="Times New Roman" w:cs="Times New Roman"/>
          <w:color w:val="1B1B1B"/>
          <w:sz w:val="24"/>
          <w:szCs w:val="24"/>
          <w:highlight w:val="white"/>
        </w:rPr>
        <w:t xml:space="preserve">, V., Canon, J., Ferrando, L., Banderas, J., Olivares, C., Alvarez-Fernandez, S., … </w:t>
      </w:r>
      <w:proofErr w:type="spellStart"/>
      <w:r>
        <w:rPr>
          <w:rFonts w:ascii="Times New Roman" w:eastAsia="Times New Roman" w:hAnsi="Times New Roman" w:cs="Times New Roman"/>
          <w:color w:val="1B1B1B"/>
          <w:sz w:val="24"/>
          <w:szCs w:val="24"/>
          <w:highlight w:val="white"/>
        </w:rPr>
        <w:t>Barbacid</w:t>
      </w:r>
      <w:proofErr w:type="spellEnd"/>
      <w:r>
        <w:rPr>
          <w:rFonts w:ascii="Times New Roman" w:eastAsia="Times New Roman" w:hAnsi="Times New Roman" w:cs="Times New Roman"/>
          <w:color w:val="1B1B1B"/>
          <w:sz w:val="24"/>
          <w:szCs w:val="24"/>
          <w:highlight w:val="white"/>
        </w:rPr>
        <w:t>, M. (2023). A targeted combination therapy achieves effective pancreatic cancer regression and prevents tumor resistance. Proceedings of the National Academy of Sc</w:t>
      </w:r>
      <w:r>
        <w:rPr>
          <w:rFonts w:ascii="Times New Roman" w:eastAsia="Times New Roman" w:hAnsi="Times New Roman" w:cs="Times New Roman"/>
          <w:color w:val="1B1B1B"/>
          <w:sz w:val="24"/>
          <w:szCs w:val="24"/>
          <w:highlight w:val="white"/>
        </w:rPr>
        <w:t xml:space="preserve">iences of the United States of America, 120(45), e2523039122. </w:t>
      </w:r>
      <w:hyperlink r:id="rId11">
        <w:r>
          <w:rPr>
            <w:rFonts w:ascii="Times New Roman" w:eastAsia="Times New Roman" w:hAnsi="Times New Roman" w:cs="Times New Roman"/>
            <w:color w:val="1155CC"/>
            <w:sz w:val="24"/>
            <w:szCs w:val="24"/>
            <w:highlight w:val="white"/>
            <w:u w:val="single"/>
          </w:rPr>
          <w:t>https://doi.org/10.1073/pnas.2523039122</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 Noel, M., &amp; Fiscella, K. (2019). Disparities in Pancreatic Cancer Treatment and Outcomes. </w:t>
      </w:r>
      <w:r>
        <w:rPr>
          <w:rFonts w:ascii="Times New Roman" w:eastAsia="Times New Roman" w:hAnsi="Times New Roman" w:cs="Times New Roman"/>
          <w:i/>
          <w:iCs/>
          <w:color w:val="1B1B1B"/>
          <w:sz w:val="24"/>
          <w:szCs w:val="24"/>
          <w:highlight w:val="white"/>
        </w:rPr>
        <w:t>H</w:t>
      </w:r>
      <w:r>
        <w:rPr>
          <w:rFonts w:ascii="Times New Roman" w:eastAsia="Times New Roman" w:hAnsi="Times New Roman" w:cs="Times New Roman"/>
          <w:i/>
          <w:iCs/>
          <w:color w:val="1B1B1B"/>
          <w:sz w:val="24"/>
          <w:szCs w:val="24"/>
          <w:highlight w:val="white"/>
        </w:rPr>
        <w:t>ealth equity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w:t>
      </w:r>
      <w:r>
        <w:rPr>
          <w:rFonts w:ascii="Times New Roman" w:eastAsia="Times New Roman" w:hAnsi="Times New Roman" w:cs="Times New Roman"/>
          <w:color w:val="1B1B1B"/>
          <w:sz w:val="24"/>
          <w:szCs w:val="24"/>
          <w:highlight w:val="white"/>
        </w:rPr>
        <w:t xml:space="preserve">(1), 532–540. </w:t>
      </w:r>
      <w:hyperlink r:id="rId12">
        <w:r>
          <w:rPr>
            <w:rFonts w:ascii="Times New Roman" w:eastAsia="Times New Roman" w:hAnsi="Times New Roman" w:cs="Times New Roman"/>
            <w:color w:val="1155CC"/>
            <w:sz w:val="24"/>
            <w:szCs w:val="24"/>
            <w:highlight w:val="white"/>
            <w:u w:val="single"/>
          </w:rPr>
          <w:t>https://doi.org/10.1089/heq.2019.0057</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72B4D"/>
          <w:sz w:val="24"/>
          <w:szCs w:val="24"/>
          <w:highlight w:val="white"/>
        </w:rPr>
      </w:pPr>
      <w:r>
        <w:rPr>
          <w:rFonts w:ascii="Times New Roman" w:eastAsia="Times New Roman" w:hAnsi="Times New Roman" w:cs="Times New Roman"/>
          <w:color w:val="1B1B1B"/>
          <w:sz w:val="24"/>
          <w:szCs w:val="24"/>
          <w:highlight w:val="white"/>
        </w:rPr>
        <w:t>7</w:t>
      </w:r>
      <w:r>
        <w:rPr>
          <w:rFonts w:ascii="Times New Roman" w:eastAsia="Times New Roman" w:hAnsi="Times New Roman" w:cs="Times New Roman"/>
          <w:sz w:val="24"/>
          <w:szCs w:val="24"/>
          <w:highlight w:val="white"/>
        </w:rPr>
        <w:t xml:space="preserve">. Mack, S., Koessler, T., Bichard, P., &amp; Frossard, J.-L. (2025). Pancreatic Cancer: Epidemiology, Risk Factors, and Prevention. </w:t>
      </w:r>
      <w:proofErr w:type="spellStart"/>
      <w:r>
        <w:rPr>
          <w:rFonts w:ascii="Times New Roman" w:eastAsia="Times New Roman" w:hAnsi="Times New Roman" w:cs="Times New Roman"/>
          <w:i/>
          <w:iCs/>
          <w:sz w:val="24"/>
          <w:szCs w:val="24"/>
          <w:highlight w:val="white"/>
        </w:rPr>
        <w:t>On</w:t>
      </w:r>
      <w:r>
        <w:rPr>
          <w:rFonts w:ascii="Times New Roman" w:eastAsia="Times New Roman" w:hAnsi="Times New Roman" w:cs="Times New Roman"/>
          <w:i/>
          <w:iCs/>
          <w:sz w:val="24"/>
          <w:szCs w:val="24"/>
          <w:highlight w:val="white"/>
        </w:rPr>
        <w:t>co</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(3), 37</w:t>
      </w:r>
      <w:r>
        <w:rPr>
          <w:rFonts w:ascii="Times New Roman" w:eastAsia="Times New Roman" w:hAnsi="Times New Roman" w:cs="Times New Roman"/>
          <w:color w:val="172B4D"/>
          <w:sz w:val="24"/>
          <w:szCs w:val="24"/>
          <w:highlight w:val="white"/>
        </w:rPr>
        <w:t xml:space="preserve">. </w:t>
      </w:r>
    </w:p>
    <w:p w:rsidR="00813F84" w:rsidRDefault="00813F84">
      <w:pPr>
        <w:rPr>
          <w:rFonts w:ascii="Times New Roman" w:eastAsia="Times New Roman" w:hAnsi="Times New Roman" w:cs="Times New Roman"/>
          <w:color w:val="172B4D"/>
          <w:sz w:val="24"/>
          <w:szCs w:val="24"/>
          <w:highlight w:val="white"/>
        </w:rPr>
      </w:pPr>
    </w:p>
    <w:p w:rsidR="00813F84" w:rsidRDefault="00154854">
      <w:pPr>
        <w:rPr>
          <w:rFonts w:ascii="Times New Roman" w:eastAsia="Times New Roman" w:hAnsi="Times New Roman" w:cs="Times New Roman"/>
          <w:color w:val="172B4D"/>
          <w:sz w:val="24"/>
          <w:szCs w:val="24"/>
          <w:highlight w:val="white"/>
        </w:rPr>
      </w:pPr>
      <w:hyperlink r:id="rId13">
        <w:r>
          <w:rPr>
            <w:rFonts w:ascii="Times New Roman" w:eastAsia="Times New Roman" w:hAnsi="Times New Roman" w:cs="Times New Roman"/>
            <w:color w:val="1155CC"/>
            <w:sz w:val="24"/>
            <w:szCs w:val="24"/>
            <w:highlight w:val="white"/>
            <w:u w:val="single"/>
          </w:rPr>
          <w:t>https://doi.org/10.3390/onco5030037</w:t>
        </w:r>
      </w:hyperlink>
    </w:p>
    <w:p w:rsidR="00813F84" w:rsidRDefault="00813F84">
      <w:pPr>
        <w:rPr>
          <w:rFonts w:ascii="Times New Roman" w:eastAsia="Times New Roman" w:hAnsi="Times New Roman" w:cs="Times New Roman"/>
          <w:color w:val="172B4D"/>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 Tiwari, S., Dhakal, T., Kim, B.-J., Jang, G. S., &amp; Oh, Y. (2025). Genomics in Epidemiology and Disease Surveillance: An Exploratory Analysis. Life, 15(12), 1848. </w:t>
      </w:r>
      <w:hyperlink r:id="rId14">
        <w:r>
          <w:rPr>
            <w:rFonts w:ascii="Times New Roman" w:eastAsia="Times New Roman" w:hAnsi="Times New Roman" w:cs="Times New Roman"/>
            <w:color w:val="1155CC"/>
            <w:sz w:val="24"/>
            <w:szCs w:val="24"/>
            <w:highlight w:val="white"/>
            <w:u w:val="single"/>
          </w:rPr>
          <w:t>https://doi.org/10.3390/life1512184</w:t>
        </w:r>
        <w:r>
          <w:rPr>
            <w:rFonts w:ascii="Times New Roman" w:eastAsia="Times New Roman" w:hAnsi="Times New Roman" w:cs="Times New Roman"/>
            <w:color w:val="1155CC"/>
            <w:sz w:val="24"/>
            <w:szCs w:val="24"/>
            <w:highlight w:val="white"/>
            <w:u w:val="single"/>
          </w:rPr>
          <w:t>8</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 </w:t>
      </w:r>
      <w:proofErr w:type="spellStart"/>
      <w:r>
        <w:rPr>
          <w:rFonts w:ascii="Times New Roman" w:eastAsia="Times New Roman" w:hAnsi="Times New Roman" w:cs="Times New Roman"/>
          <w:color w:val="1B1B1B"/>
          <w:sz w:val="24"/>
          <w:szCs w:val="24"/>
          <w:highlight w:val="white"/>
        </w:rPr>
        <w:t>Alaseem</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Alanezi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Almehrij</w:t>
      </w:r>
      <w:proofErr w:type="spellEnd"/>
      <w:r>
        <w:rPr>
          <w:rFonts w:ascii="Times New Roman" w:eastAsia="Times New Roman" w:hAnsi="Times New Roman" w:cs="Times New Roman"/>
          <w:color w:val="1B1B1B"/>
          <w:sz w:val="24"/>
          <w:szCs w:val="24"/>
          <w:highlight w:val="white"/>
        </w:rPr>
        <w:t xml:space="preserve">, F. et al. Comparative outcomes of neoadjuvant chemotherapy versus upfront surgical resection in osteosarcoma: a systematic review and meta-analysis. World J Surg </w:t>
      </w:r>
      <w:proofErr w:type="spellStart"/>
      <w:r>
        <w:rPr>
          <w:rFonts w:ascii="Times New Roman" w:eastAsia="Times New Roman" w:hAnsi="Times New Roman" w:cs="Times New Roman"/>
          <w:color w:val="1B1B1B"/>
          <w:sz w:val="24"/>
          <w:szCs w:val="24"/>
          <w:highlight w:val="white"/>
        </w:rPr>
        <w:t>Onc</w:t>
      </w:r>
      <w:proofErr w:type="spellEnd"/>
      <w:r>
        <w:rPr>
          <w:rFonts w:ascii="Times New Roman" w:eastAsia="Times New Roman" w:hAnsi="Times New Roman" w:cs="Times New Roman"/>
          <w:color w:val="1B1B1B"/>
          <w:sz w:val="24"/>
          <w:szCs w:val="24"/>
          <w:highlight w:val="white"/>
        </w:rPr>
        <w:t xml:space="preserve"> 23, 446 (2025). </w:t>
      </w:r>
      <w:hyperlink r:id="rId15">
        <w:r>
          <w:rPr>
            <w:rFonts w:ascii="Times New Roman" w:eastAsia="Times New Roman" w:hAnsi="Times New Roman" w:cs="Times New Roman"/>
            <w:color w:val="1155CC"/>
            <w:sz w:val="24"/>
            <w:szCs w:val="24"/>
            <w:highlight w:val="white"/>
            <w:u w:val="single"/>
          </w:rPr>
          <w:t>https://doi.org/10.1186/s12957-025-04115-3</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10. Huang, W. K., Hung, Y. L., Tsai, C. Y., Wu, C. E., Chou, W. C., Hsu, J. T., Yeh, T. S., Chen, J. S., Wang, S. Y., &amp; Yeh, C. N. (2024). Efficacy of first-line combination therapies versus gemcitabine monotherapy for advanced pancreatic cancer: a systema</w:t>
      </w:r>
      <w:r>
        <w:rPr>
          <w:rFonts w:ascii="Times New Roman" w:eastAsia="Times New Roman" w:hAnsi="Times New Roman" w:cs="Times New Roman"/>
          <w:color w:val="1B1B1B"/>
          <w:sz w:val="24"/>
          <w:szCs w:val="24"/>
          <w:highlight w:val="white"/>
        </w:rPr>
        <w:t xml:space="preserve">tic review and network meta-analysis. American journal of cancer research, 14(7), 3523–3532. </w:t>
      </w:r>
      <w:hyperlink r:id="rId16">
        <w:r>
          <w:rPr>
            <w:rFonts w:ascii="Times New Roman" w:eastAsia="Times New Roman" w:hAnsi="Times New Roman" w:cs="Times New Roman"/>
            <w:color w:val="1155CC"/>
            <w:sz w:val="24"/>
            <w:szCs w:val="24"/>
            <w:highlight w:val="white"/>
            <w:u w:val="single"/>
          </w:rPr>
          <w:t>https://doi.org/10.62347/TQRB4608</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11. Eshmuminov, D., Aminjonov, B., Palm, R. F., Malleo, G., Schmocker, R. K</w:t>
      </w:r>
      <w:r>
        <w:rPr>
          <w:rFonts w:ascii="Times New Roman" w:eastAsia="Times New Roman" w:hAnsi="Times New Roman" w:cs="Times New Roman"/>
          <w:color w:val="1B1B1B"/>
          <w:sz w:val="24"/>
          <w:szCs w:val="24"/>
          <w:highlight w:val="white"/>
        </w:rPr>
        <w:t xml:space="preserve">., Abdallah, R., Yoo, C., Shaib, W. L., Schneider, M. A., </w:t>
      </w:r>
      <w:proofErr w:type="spellStart"/>
      <w:r>
        <w:rPr>
          <w:rFonts w:ascii="Times New Roman" w:eastAsia="Times New Roman" w:hAnsi="Times New Roman" w:cs="Times New Roman"/>
          <w:color w:val="1B1B1B"/>
          <w:sz w:val="24"/>
          <w:szCs w:val="24"/>
          <w:highlight w:val="white"/>
        </w:rPr>
        <w:t>Rangelova</w:t>
      </w:r>
      <w:proofErr w:type="spellEnd"/>
      <w:r>
        <w:rPr>
          <w:rFonts w:ascii="Times New Roman" w:eastAsia="Times New Roman" w:hAnsi="Times New Roman" w:cs="Times New Roman"/>
          <w:color w:val="1B1B1B"/>
          <w:sz w:val="24"/>
          <w:szCs w:val="24"/>
          <w:highlight w:val="white"/>
        </w:rPr>
        <w:t>, E., Choi, Y. J., Kim, H., Rose, J. B., Patel, S., Wilson, G. C., Maloney, S., Timmermann, L., Sahora, K., Rössler, F., Lopez-Lopez, V., … Lehmann, K. (2023). FOLFIRINOX or Gemcitabine-bas</w:t>
      </w:r>
      <w:r>
        <w:rPr>
          <w:rFonts w:ascii="Times New Roman" w:eastAsia="Times New Roman" w:hAnsi="Times New Roman" w:cs="Times New Roman"/>
          <w:color w:val="1B1B1B"/>
          <w:sz w:val="24"/>
          <w:szCs w:val="24"/>
          <w:highlight w:val="white"/>
        </w:rPr>
        <w:t xml:space="preserve">ed Chemotherapy for Borderline </w:t>
      </w:r>
      <w:proofErr w:type="spellStart"/>
      <w:r>
        <w:rPr>
          <w:rFonts w:ascii="Times New Roman" w:eastAsia="Times New Roman" w:hAnsi="Times New Roman" w:cs="Times New Roman"/>
          <w:color w:val="1B1B1B"/>
          <w:sz w:val="24"/>
          <w:szCs w:val="24"/>
          <w:highlight w:val="white"/>
        </w:rPr>
        <w:t>Resectable</w:t>
      </w:r>
      <w:proofErr w:type="spellEnd"/>
      <w:r>
        <w:rPr>
          <w:rFonts w:ascii="Times New Roman" w:eastAsia="Times New Roman" w:hAnsi="Times New Roman" w:cs="Times New Roman"/>
          <w:color w:val="1B1B1B"/>
          <w:sz w:val="24"/>
          <w:szCs w:val="24"/>
          <w:highlight w:val="white"/>
        </w:rPr>
        <w:t xml:space="preserve"> and Locally Advanced Pancreatic Cancer: A Multi-institutional, Patient-Level, Meta-analysis and Systematic Review. Annals of surgical oncology, 30(7), 4417–4428. </w:t>
      </w:r>
      <w:hyperlink r:id="rId17">
        <w:r>
          <w:rPr>
            <w:rFonts w:ascii="Times New Roman" w:eastAsia="Times New Roman" w:hAnsi="Times New Roman" w:cs="Times New Roman"/>
            <w:color w:val="1155CC"/>
            <w:sz w:val="24"/>
            <w:szCs w:val="24"/>
            <w:highlight w:val="white"/>
            <w:u w:val="single"/>
          </w:rPr>
          <w:t>https://doi.org/10.1245/s10434-023-13353-2</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12. </w:t>
      </w:r>
      <w:proofErr w:type="spellStart"/>
      <w:r>
        <w:rPr>
          <w:rFonts w:ascii="Times New Roman" w:eastAsia="Times New Roman" w:hAnsi="Times New Roman" w:cs="Times New Roman"/>
          <w:color w:val="1B1B1B"/>
          <w:sz w:val="24"/>
          <w:szCs w:val="24"/>
          <w:highlight w:val="white"/>
        </w:rPr>
        <w:t>Biankin</w:t>
      </w:r>
      <w:proofErr w:type="spellEnd"/>
      <w:r>
        <w:rPr>
          <w:rFonts w:ascii="Times New Roman" w:eastAsia="Times New Roman" w:hAnsi="Times New Roman" w:cs="Times New Roman"/>
          <w:color w:val="1B1B1B"/>
          <w:sz w:val="24"/>
          <w:szCs w:val="24"/>
          <w:highlight w:val="white"/>
        </w:rPr>
        <w:t>, A. V., Waddell, N., Kassahn, K. S., et al. (2012). Pancreatic cancer genomes reveal aberrations in axon guidance pathway genes. Nature, 491(7424), 399–405. https://doi.org/10.1038/nature115</w:t>
      </w:r>
      <w:r>
        <w:rPr>
          <w:rFonts w:ascii="Times New Roman" w:eastAsia="Times New Roman" w:hAnsi="Times New Roman" w:cs="Times New Roman"/>
          <w:color w:val="1B1B1B"/>
          <w:sz w:val="24"/>
          <w:szCs w:val="24"/>
          <w:highlight w:val="white"/>
        </w:rPr>
        <w:t>47 (</w:t>
      </w:r>
      <w:hyperlink r:id="rId18">
        <w:r>
          <w:rPr>
            <w:rFonts w:ascii="Times New Roman" w:eastAsia="Times New Roman" w:hAnsi="Times New Roman" w:cs="Times New Roman"/>
            <w:color w:val="1155CC"/>
            <w:sz w:val="24"/>
            <w:szCs w:val="24"/>
            <w:highlight w:val="white"/>
            <w:u w:val="single"/>
          </w:rPr>
          <w:t>pmc.ncbi.nlm.nih.gov</w:t>
        </w:r>
      </w:hyperlink>
      <w:r>
        <w:rPr>
          <w:rFonts w:ascii="Times New Roman" w:eastAsia="Times New Roman" w:hAnsi="Times New Roman" w:cs="Times New Roman"/>
          <w:color w:val="1B1B1B"/>
          <w:sz w:val="24"/>
          <w:szCs w:val="24"/>
          <w:highlight w:val="white"/>
        </w:rPr>
        <w:t>)</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13. Zhang, Y., Chen, X., &amp; Li, Q. (2024). Significance of KRAS, TP53, CDKN2A, and SMAD4 mutations in pancreatic cancer progression. Molecular Oncology, 18(3), 421–438. https://doi.or</w:t>
      </w:r>
      <w:r>
        <w:rPr>
          <w:rFonts w:ascii="Times New Roman" w:eastAsia="Times New Roman" w:hAnsi="Times New Roman" w:cs="Times New Roman"/>
          <w:color w:val="1B1B1B"/>
          <w:sz w:val="24"/>
          <w:szCs w:val="24"/>
          <w:highlight w:val="white"/>
        </w:rPr>
        <w:t>g/10.1016/j.molonc.2024.02.007 (</w:t>
      </w:r>
      <w:hyperlink r:id="rId19">
        <w:r>
          <w:rPr>
            <w:rFonts w:ascii="Times New Roman" w:eastAsia="Times New Roman" w:hAnsi="Times New Roman" w:cs="Times New Roman"/>
            <w:color w:val="1155CC"/>
            <w:sz w:val="24"/>
            <w:szCs w:val="24"/>
            <w:highlight w:val="white"/>
            <w:u w:val="single"/>
          </w:rPr>
          <w:t>mdpi.com</w:t>
        </w:r>
      </w:hyperlink>
      <w:r>
        <w:rPr>
          <w:rFonts w:ascii="Times New Roman" w:eastAsia="Times New Roman" w:hAnsi="Times New Roman" w:cs="Times New Roman"/>
          <w:color w:val="1B1B1B"/>
          <w:sz w:val="24"/>
          <w:szCs w:val="24"/>
          <w:highlight w:val="white"/>
        </w:rPr>
        <w:t>)</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14. Moore, M. J., &amp; Smith, J. (2023). Targeting KRAS in pancreatic cancer: progress and challenges. Journal of Clinical Oncology, 41(15), 2823–2835. https://doi.org/10.1200/JCO.2</w:t>
      </w:r>
      <w:r>
        <w:rPr>
          <w:rFonts w:ascii="Times New Roman" w:eastAsia="Times New Roman" w:hAnsi="Times New Roman" w:cs="Times New Roman"/>
          <w:color w:val="1B1B1B"/>
          <w:sz w:val="24"/>
          <w:szCs w:val="24"/>
          <w:highlight w:val="white"/>
        </w:rPr>
        <w:t>2.01456 (</w:t>
      </w:r>
      <w:hyperlink r:id="rId20">
        <w:r>
          <w:rPr>
            <w:rFonts w:ascii="Times New Roman" w:eastAsia="Times New Roman" w:hAnsi="Times New Roman" w:cs="Times New Roman"/>
            <w:color w:val="1155CC"/>
            <w:sz w:val="24"/>
            <w:szCs w:val="24"/>
            <w:highlight w:val="white"/>
            <w:u w:val="single"/>
          </w:rPr>
          <w:t>pubmed.ncbi.nlm.nih.gov</w:t>
        </w:r>
      </w:hyperlink>
      <w:r>
        <w:rPr>
          <w:rFonts w:ascii="Times New Roman" w:eastAsia="Times New Roman" w:hAnsi="Times New Roman" w:cs="Times New Roman"/>
          <w:color w:val="1B1B1B"/>
          <w:sz w:val="24"/>
          <w:szCs w:val="24"/>
          <w:highlight w:val="white"/>
        </w:rPr>
        <w:t>)</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15. Mukund, A., Afridi, M. A., Karolak, A., Park, M. A., </w:t>
      </w:r>
      <w:proofErr w:type="spellStart"/>
      <w:r>
        <w:rPr>
          <w:rFonts w:ascii="Times New Roman" w:eastAsia="Times New Roman" w:hAnsi="Times New Roman" w:cs="Times New Roman"/>
          <w:color w:val="1B1B1B"/>
          <w:sz w:val="24"/>
          <w:szCs w:val="24"/>
          <w:highlight w:val="white"/>
        </w:rPr>
        <w:t>Permuth</w:t>
      </w:r>
      <w:proofErr w:type="spellEnd"/>
      <w:r>
        <w:rPr>
          <w:rFonts w:ascii="Times New Roman" w:eastAsia="Times New Roman" w:hAnsi="Times New Roman" w:cs="Times New Roman"/>
          <w:color w:val="1B1B1B"/>
          <w:sz w:val="24"/>
          <w:szCs w:val="24"/>
          <w:highlight w:val="white"/>
        </w:rPr>
        <w:t>, J. B., &amp; Rasool, G. (2024). Pancreatic Ductal Adenocarcinoma (PDAC): A Review of Recent Advancements Enab</w:t>
      </w:r>
      <w:r>
        <w:rPr>
          <w:rFonts w:ascii="Times New Roman" w:eastAsia="Times New Roman" w:hAnsi="Times New Roman" w:cs="Times New Roman"/>
          <w:color w:val="1B1B1B"/>
          <w:sz w:val="24"/>
          <w:szCs w:val="24"/>
          <w:highlight w:val="white"/>
        </w:rPr>
        <w:t xml:space="preserve">led by Artificial Intelligence. </w:t>
      </w:r>
      <w:r>
        <w:rPr>
          <w:rFonts w:ascii="Times New Roman" w:eastAsia="Times New Roman" w:hAnsi="Times New Roman" w:cs="Times New Roman"/>
          <w:i/>
          <w:iCs/>
          <w:color w:val="1B1B1B"/>
          <w:sz w:val="24"/>
          <w:szCs w:val="24"/>
          <w:highlight w:val="white"/>
        </w:rPr>
        <w:t>Cancers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(12), 2240. https://doi.org/10.3390/cancers16122240</w:t>
      </w:r>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16. Stefanoudakis, D., </w:t>
      </w:r>
      <w:proofErr w:type="spellStart"/>
      <w:r>
        <w:rPr>
          <w:rFonts w:ascii="Times New Roman" w:eastAsia="Times New Roman" w:hAnsi="Times New Roman" w:cs="Times New Roman"/>
          <w:color w:val="1B1B1B"/>
          <w:sz w:val="24"/>
          <w:szCs w:val="24"/>
          <w:highlight w:val="white"/>
        </w:rPr>
        <w:t>Frountzas</w:t>
      </w:r>
      <w:proofErr w:type="spellEnd"/>
      <w:r>
        <w:rPr>
          <w:rFonts w:ascii="Times New Roman" w:eastAsia="Times New Roman" w:hAnsi="Times New Roman" w:cs="Times New Roman"/>
          <w:color w:val="1B1B1B"/>
          <w:sz w:val="24"/>
          <w:szCs w:val="24"/>
          <w:highlight w:val="white"/>
        </w:rPr>
        <w:t xml:space="preserve">, M., Schizas, D., Michalopoulos, N. V., Drakaki, A., &amp; </w:t>
      </w:r>
      <w:proofErr w:type="spellStart"/>
      <w:r>
        <w:rPr>
          <w:rFonts w:ascii="Times New Roman" w:eastAsia="Times New Roman" w:hAnsi="Times New Roman" w:cs="Times New Roman"/>
          <w:color w:val="1B1B1B"/>
          <w:sz w:val="24"/>
          <w:szCs w:val="24"/>
          <w:highlight w:val="white"/>
        </w:rPr>
        <w:t>Toutouzas</w:t>
      </w:r>
      <w:proofErr w:type="spellEnd"/>
      <w:r>
        <w:rPr>
          <w:rFonts w:ascii="Times New Roman" w:eastAsia="Times New Roman" w:hAnsi="Times New Roman" w:cs="Times New Roman"/>
          <w:color w:val="1B1B1B"/>
          <w:sz w:val="24"/>
          <w:szCs w:val="24"/>
          <w:highlight w:val="white"/>
        </w:rPr>
        <w:t>, K. G. (2024). Significance of TP53, CDKN2A, SMAD4, and KRAS</w:t>
      </w:r>
      <w:r>
        <w:rPr>
          <w:rFonts w:ascii="Times New Roman" w:eastAsia="Times New Roman" w:hAnsi="Times New Roman" w:cs="Times New Roman"/>
          <w:color w:val="1B1B1B"/>
          <w:sz w:val="24"/>
          <w:szCs w:val="24"/>
          <w:highlight w:val="white"/>
        </w:rPr>
        <w:t xml:space="preserve"> in pancreatic cancer. Current Issues in Molecular Biology, 46(4), 2827–2844. https://doi.org/10.3390/cimb46040177 — Reviews driver mutations in KRAS, TP53, CDKN2A, and SMAD4 and their roles in pancreatic tumorigenesis. (</w:t>
      </w:r>
      <w:hyperlink r:id="rId21">
        <w:r>
          <w:rPr>
            <w:rFonts w:ascii="Times New Roman" w:eastAsia="Times New Roman" w:hAnsi="Times New Roman" w:cs="Times New Roman"/>
            <w:color w:val="1155CC"/>
            <w:sz w:val="24"/>
            <w:szCs w:val="24"/>
            <w:highlight w:val="white"/>
            <w:u w:val="single"/>
          </w:rPr>
          <w:t>pubmed.ncbi.nlm.nih.gov</w:t>
        </w:r>
      </w:hyperlink>
      <w:r>
        <w:rPr>
          <w:rFonts w:ascii="Times New Roman" w:eastAsia="Times New Roman" w:hAnsi="Times New Roman" w:cs="Times New Roman"/>
          <w:color w:val="1B1B1B"/>
          <w:sz w:val="24"/>
          <w:szCs w:val="24"/>
          <w:highlight w:val="white"/>
        </w:rPr>
        <w:t>)</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17. </w:t>
      </w:r>
      <w:proofErr w:type="spellStart"/>
      <w:r>
        <w:rPr>
          <w:rFonts w:ascii="Times New Roman" w:eastAsia="Times New Roman" w:hAnsi="Times New Roman" w:cs="Times New Roman"/>
          <w:color w:val="1B1B1B"/>
          <w:sz w:val="24"/>
          <w:szCs w:val="24"/>
          <w:highlight w:val="white"/>
        </w:rPr>
        <w:t>Biankin</w:t>
      </w:r>
      <w:proofErr w:type="spellEnd"/>
      <w:r>
        <w:rPr>
          <w:rFonts w:ascii="Times New Roman" w:eastAsia="Times New Roman" w:hAnsi="Times New Roman" w:cs="Times New Roman"/>
          <w:color w:val="1B1B1B"/>
          <w:sz w:val="24"/>
          <w:szCs w:val="24"/>
          <w:highlight w:val="white"/>
        </w:rPr>
        <w:t xml:space="preserve">, A. V., Waddell, N., Kassahn, K. S., et al. (2012). Pancreatic cancer genomes reveal aberrations in axon guidance pathway genes. Nature, 491(7424), 399–405. </w:t>
      </w: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https://doi.org/10.1038/nature11547 — Seminal</w:t>
      </w:r>
      <w:r>
        <w:rPr>
          <w:rFonts w:ascii="Times New Roman" w:eastAsia="Times New Roman" w:hAnsi="Times New Roman" w:cs="Times New Roman"/>
          <w:color w:val="1B1B1B"/>
          <w:sz w:val="24"/>
          <w:szCs w:val="24"/>
          <w:highlight w:val="white"/>
        </w:rPr>
        <w:t xml:space="preserve"> genomic characterization of PDAC, showing prevalence of KRAS and other driver alterations and core pathways. (</w:t>
      </w:r>
      <w:hyperlink r:id="rId22">
        <w:r>
          <w:rPr>
            <w:rFonts w:ascii="Times New Roman" w:eastAsia="Times New Roman" w:hAnsi="Times New Roman" w:cs="Times New Roman"/>
            <w:color w:val="1155CC"/>
            <w:sz w:val="24"/>
            <w:szCs w:val="24"/>
            <w:highlight w:val="white"/>
            <w:u w:val="single"/>
          </w:rPr>
          <w:t>pubmed.ncbi.nlm.nih.gov</w:t>
        </w:r>
      </w:hyperlink>
      <w:r>
        <w:rPr>
          <w:rFonts w:ascii="Times New Roman" w:eastAsia="Times New Roman" w:hAnsi="Times New Roman" w:cs="Times New Roman"/>
          <w:color w:val="1B1B1B"/>
          <w:sz w:val="24"/>
          <w:szCs w:val="24"/>
          <w:highlight w:val="white"/>
        </w:rPr>
        <w:t>)</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18. </w:t>
      </w:r>
      <w:proofErr w:type="spellStart"/>
      <w:r>
        <w:rPr>
          <w:rFonts w:ascii="Times New Roman" w:eastAsia="Times New Roman" w:hAnsi="Times New Roman" w:cs="Times New Roman"/>
          <w:color w:val="1B1B1B"/>
          <w:sz w:val="24"/>
          <w:szCs w:val="24"/>
          <w:highlight w:val="white"/>
        </w:rPr>
        <w:t>Yurgelun</w:t>
      </w:r>
      <w:proofErr w:type="spellEnd"/>
      <w:r>
        <w:rPr>
          <w:rFonts w:ascii="Times New Roman" w:eastAsia="Times New Roman" w:hAnsi="Times New Roman" w:cs="Times New Roman"/>
          <w:color w:val="1B1B1B"/>
          <w:sz w:val="24"/>
          <w:szCs w:val="24"/>
          <w:highlight w:val="white"/>
        </w:rPr>
        <w:t>, M. B., et al. (2021). Homologous recombination deficien</w:t>
      </w:r>
      <w:r>
        <w:rPr>
          <w:rFonts w:ascii="Times New Roman" w:eastAsia="Times New Roman" w:hAnsi="Times New Roman" w:cs="Times New Roman"/>
          <w:color w:val="1B1B1B"/>
          <w:sz w:val="24"/>
          <w:szCs w:val="24"/>
          <w:highlight w:val="white"/>
        </w:rPr>
        <w:t>cy in pancreatic cancer: A systematic review and meta‑analysis. Journal of Clinical Oncology, 39(20), 2237–2246. https://doi.org/10.1200/JCO.20.03238 —Documents DNA repair defects in PDAC and their translational implications. (</w:t>
      </w:r>
      <w:hyperlink r:id="rId23">
        <w:r>
          <w:rPr>
            <w:rFonts w:ascii="Times New Roman" w:eastAsia="Times New Roman" w:hAnsi="Times New Roman" w:cs="Times New Roman"/>
            <w:color w:val="1155CC"/>
            <w:sz w:val="24"/>
            <w:szCs w:val="24"/>
            <w:highlight w:val="white"/>
            <w:u w:val="single"/>
          </w:rPr>
          <w:t>pubmed.ncbi.nlm.nih.gov</w:t>
        </w:r>
      </w:hyperlink>
      <w:r>
        <w:rPr>
          <w:rFonts w:ascii="Times New Roman" w:eastAsia="Times New Roman" w:hAnsi="Times New Roman" w:cs="Times New Roman"/>
          <w:color w:val="1B1B1B"/>
          <w:sz w:val="24"/>
          <w:szCs w:val="24"/>
          <w:highlight w:val="white"/>
        </w:rPr>
        <w:t>)</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19. du Toit‑Thompson, T., Leck, L., Gillson, J., et al. (2025). Overcoming therapy resistance in pancreatic cancer: challenges and emerging strategies. Advanced Drug Delivery Reviews. https://doi.org/10.1016/j</w:t>
      </w:r>
      <w:r>
        <w:rPr>
          <w:rFonts w:ascii="Times New Roman" w:eastAsia="Times New Roman" w:hAnsi="Times New Roman" w:cs="Times New Roman"/>
          <w:color w:val="1B1B1B"/>
          <w:sz w:val="24"/>
          <w:szCs w:val="24"/>
          <w:highlight w:val="white"/>
        </w:rPr>
        <w:t>.addr.2025.115647 — Reviews PDAC resistance mechanisms and translational strategies, including preclinical models for combination therapy. (sciencedirect.com)</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20. Whatcott, C. J., Han, H., Posner, R. G., &amp; Von Hoff, D. D. (2013). Tumor‑stroma interactions</w:t>
      </w:r>
      <w:r>
        <w:rPr>
          <w:rFonts w:ascii="Times New Roman" w:eastAsia="Times New Roman" w:hAnsi="Times New Roman" w:cs="Times New Roman"/>
          <w:color w:val="1B1B1B"/>
          <w:sz w:val="24"/>
          <w:szCs w:val="24"/>
          <w:highlight w:val="white"/>
        </w:rPr>
        <w:t xml:space="preserve"> in pancreatic cancer. Critical Reviews in Oncogenesis, 18(2), 135–151.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21. von Ahrens, D., Bhagat, T. D., Nagrath, D., Maitra, A., &amp; Verma, A. (2017). The role of stromal cancer‑associated fibroblasts in pancreatic cancer. Journal of Hematology &amp; Oncolo</w:t>
      </w:r>
      <w:r>
        <w:rPr>
          <w:rFonts w:ascii="Times New Roman" w:eastAsia="Times New Roman" w:hAnsi="Times New Roman" w:cs="Times New Roman"/>
          <w:color w:val="1B1B1B"/>
          <w:sz w:val="24"/>
          <w:szCs w:val="24"/>
          <w:highlight w:val="white"/>
        </w:rPr>
        <w:t xml:space="preserve">gy, 10(76). 22. </w:t>
      </w:r>
      <w:proofErr w:type="spellStart"/>
      <w:r>
        <w:rPr>
          <w:rFonts w:ascii="Times New Roman" w:eastAsia="Times New Roman" w:hAnsi="Times New Roman" w:cs="Times New Roman"/>
          <w:color w:val="1B1B1B"/>
          <w:sz w:val="24"/>
          <w:szCs w:val="24"/>
          <w:highlight w:val="white"/>
        </w:rPr>
        <w:t>Neuzillet</w:t>
      </w:r>
      <w:proofErr w:type="spellEnd"/>
      <w:r>
        <w:rPr>
          <w:rFonts w:ascii="Times New Roman" w:eastAsia="Times New Roman" w:hAnsi="Times New Roman" w:cs="Times New Roman"/>
          <w:color w:val="1B1B1B"/>
          <w:sz w:val="24"/>
          <w:szCs w:val="24"/>
          <w:highlight w:val="white"/>
        </w:rPr>
        <w:t xml:space="preserve">, C., Tijeras‑Raballand, A., Ragulan, C., et al. (2019). Tumor microenvironment in pancreatic cancer: pathology and therapeutic challenges. Nature Reviews Clinical Oncology, 16, 583–598.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23. Deng, D., Patel, R., Chiang, C.-Y., &amp; </w:t>
      </w:r>
      <w:r>
        <w:rPr>
          <w:rFonts w:ascii="Times New Roman" w:eastAsia="Times New Roman" w:hAnsi="Times New Roman" w:cs="Times New Roman"/>
          <w:color w:val="1B1B1B"/>
          <w:sz w:val="24"/>
          <w:szCs w:val="24"/>
          <w:highlight w:val="white"/>
        </w:rPr>
        <w:t xml:space="preserve">Hou, P. (2022). Role of the tumor microenvironment in regulating pancreatic cancer therapy resistance. Cells, 11(19), 2952.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24. Garcia, E., Cafferata, E., &amp; Iovanna, J. (2024). Preclinical patient‑derived culture models for personalized treatment of pancreatic cancer: a dream of the future or useful practice? Cancers, 15(11), 3027. </w:t>
      </w:r>
    </w:p>
    <w:p w:rsidR="00813F84" w:rsidRDefault="00154854">
      <w:pPr>
        <w:rPr>
          <w:rFonts w:ascii="Times New Roman" w:eastAsia="Times New Roman" w:hAnsi="Times New Roman" w:cs="Times New Roman"/>
          <w:color w:val="1B1B1B"/>
          <w:sz w:val="24"/>
          <w:szCs w:val="24"/>
          <w:highlight w:val="white"/>
        </w:rPr>
      </w:pPr>
      <w:hyperlink r:id="rId24">
        <w:r>
          <w:rPr>
            <w:rFonts w:ascii="Times New Roman" w:eastAsia="Times New Roman" w:hAnsi="Times New Roman" w:cs="Times New Roman"/>
            <w:color w:val="1155CC"/>
            <w:sz w:val="24"/>
            <w:szCs w:val="24"/>
            <w:highlight w:val="white"/>
            <w:u w:val="single"/>
          </w:rPr>
          <w:t>https://doi.org/10.3390/cancers15113027</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25. Fraunhoffer, N. A., </w:t>
      </w:r>
      <w:proofErr w:type="spellStart"/>
      <w:r>
        <w:rPr>
          <w:rFonts w:ascii="Times New Roman" w:eastAsia="Times New Roman" w:hAnsi="Times New Roman" w:cs="Times New Roman"/>
          <w:color w:val="1B1B1B"/>
          <w:sz w:val="24"/>
          <w:szCs w:val="24"/>
          <w:highlight w:val="white"/>
        </w:rPr>
        <w:t>Abuelafia</w:t>
      </w:r>
      <w:proofErr w:type="spellEnd"/>
      <w:r>
        <w:rPr>
          <w:rFonts w:ascii="Times New Roman" w:eastAsia="Times New Roman" w:hAnsi="Times New Roman" w:cs="Times New Roman"/>
          <w:color w:val="1B1B1B"/>
          <w:sz w:val="24"/>
          <w:szCs w:val="24"/>
          <w:highlight w:val="white"/>
        </w:rPr>
        <w:t xml:space="preserve">, A. M., &amp; </w:t>
      </w:r>
      <w:proofErr w:type="spellStart"/>
      <w:r>
        <w:rPr>
          <w:rFonts w:ascii="Times New Roman" w:eastAsia="Times New Roman" w:hAnsi="Times New Roman" w:cs="Times New Roman"/>
          <w:color w:val="1B1B1B"/>
          <w:sz w:val="24"/>
          <w:szCs w:val="24"/>
          <w:highlight w:val="white"/>
        </w:rPr>
        <w:t>Dusetti</w:t>
      </w:r>
      <w:proofErr w:type="spellEnd"/>
      <w:r>
        <w:rPr>
          <w:rFonts w:ascii="Times New Roman" w:eastAsia="Times New Roman" w:hAnsi="Times New Roman" w:cs="Times New Roman"/>
          <w:color w:val="1B1B1B"/>
          <w:sz w:val="24"/>
          <w:szCs w:val="24"/>
          <w:highlight w:val="white"/>
        </w:rPr>
        <w:t>, N. (2022). Limitation and challenges in using pancreatic cancer‑derived organoids as a preclinical tool. Cancer Communications (London), 42(10), 102</w:t>
      </w:r>
      <w:r>
        <w:rPr>
          <w:rFonts w:ascii="Times New Roman" w:eastAsia="Times New Roman" w:hAnsi="Times New Roman" w:cs="Times New Roman"/>
          <w:color w:val="1B1B1B"/>
          <w:sz w:val="24"/>
          <w:szCs w:val="24"/>
          <w:highlight w:val="white"/>
        </w:rPr>
        <w:t xml:space="preserve">8–1031. </w:t>
      </w:r>
      <w:hyperlink r:id="rId25">
        <w:r>
          <w:rPr>
            <w:rFonts w:ascii="Times New Roman" w:eastAsia="Times New Roman" w:hAnsi="Times New Roman" w:cs="Times New Roman"/>
            <w:color w:val="1155CC"/>
            <w:sz w:val="24"/>
            <w:szCs w:val="24"/>
            <w:highlight w:val="white"/>
            <w:u w:val="single"/>
          </w:rPr>
          <w:t>https://doi.org/10.1002/cac2.12335</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26. </w:t>
      </w:r>
      <w:proofErr w:type="spellStart"/>
      <w:r>
        <w:rPr>
          <w:rFonts w:ascii="Times New Roman" w:eastAsia="Times New Roman" w:hAnsi="Times New Roman" w:cs="Times New Roman"/>
          <w:color w:val="1B1B1B"/>
          <w:sz w:val="24"/>
          <w:szCs w:val="24"/>
          <w:highlight w:val="white"/>
        </w:rPr>
        <w:t>Swayden</w:t>
      </w:r>
      <w:proofErr w:type="spellEnd"/>
      <w:r>
        <w:rPr>
          <w:rFonts w:ascii="Times New Roman" w:eastAsia="Times New Roman" w:hAnsi="Times New Roman" w:cs="Times New Roman"/>
          <w:color w:val="1B1B1B"/>
          <w:sz w:val="24"/>
          <w:szCs w:val="24"/>
          <w:highlight w:val="white"/>
        </w:rPr>
        <w:t xml:space="preserve">, M., et al. (2020). Pancreatic cancer preclinical models. Frontiers in Oncology. </w:t>
      </w:r>
      <w:hyperlink r:id="rId26">
        <w:r>
          <w:rPr>
            <w:rFonts w:ascii="Times New Roman" w:eastAsia="Times New Roman" w:hAnsi="Times New Roman" w:cs="Times New Roman"/>
            <w:color w:val="1155CC"/>
            <w:sz w:val="24"/>
            <w:szCs w:val="24"/>
            <w:highlight w:val="white"/>
            <w:u w:val="single"/>
          </w:rPr>
          <w:t>https:</w:t>
        </w:r>
        <w:r>
          <w:rPr>
            <w:rFonts w:ascii="Times New Roman" w:eastAsia="Times New Roman" w:hAnsi="Times New Roman" w:cs="Times New Roman"/>
            <w:color w:val="1155CC"/>
            <w:sz w:val="24"/>
            <w:szCs w:val="24"/>
            <w:highlight w:val="white"/>
            <w:u w:val="single"/>
          </w:rPr>
          <w:t>//doi.org/10.3389/fonc.2019.01443</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27. Yu, Y., Yang, G., Huang, H., Fu, Z., Cao, Z., Zheng, L., … Zhang, T. (2021). Preclinical models of pancreatic ductal adenocarcinoma: challenges and opportunities in the era of precision medicine. Journal of Experiment</w:t>
      </w:r>
      <w:r>
        <w:rPr>
          <w:rFonts w:ascii="Times New Roman" w:eastAsia="Times New Roman" w:hAnsi="Times New Roman" w:cs="Times New Roman"/>
          <w:color w:val="1B1B1B"/>
          <w:sz w:val="24"/>
          <w:szCs w:val="24"/>
          <w:highlight w:val="white"/>
        </w:rPr>
        <w:t xml:space="preserve">al &amp; Clinical Cancer Research, 40(1), 8. https://doi.org/10.1186/s13046-020-01787-5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28. Pantazopoulou, V., Kubota, C. S., Ogawa, S., Lin, X., Song, H., Weitz, J. R., … Engle, D. D. (2025). Experimental models of pancreas cancer: what has been the impact </w:t>
      </w:r>
      <w:r>
        <w:rPr>
          <w:rFonts w:ascii="Times New Roman" w:eastAsia="Times New Roman" w:hAnsi="Times New Roman" w:cs="Times New Roman"/>
          <w:color w:val="1B1B1B"/>
          <w:sz w:val="24"/>
          <w:szCs w:val="24"/>
          <w:highlight w:val="white"/>
        </w:rPr>
        <w:t xml:space="preserve">for precision medicine? Journal of Clinical Investigation, 135(16), e191945. https://doi.org/10.1172/JCI191945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29. du Toit‑Thompson, T., Leck, L., &amp; Gillson, J. (2025). Overcoming therapy resistance in pancreatic cancer: challenges and emerging strategie</w:t>
      </w:r>
      <w:r>
        <w:rPr>
          <w:rFonts w:ascii="Times New Roman" w:eastAsia="Times New Roman" w:hAnsi="Times New Roman" w:cs="Times New Roman"/>
          <w:color w:val="1B1B1B"/>
          <w:sz w:val="24"/>
          <w:szCs w:val="24"/>
          <w:highlight w:val="white"/>
        </w:rPr>
        <w:t xml:space="preserve">s. Advanced Drug Delivery Reviews. https://doi.org/10.1016/j.addr.2025.115647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30. Ju, Y., et al. (2024). Barriers and opportunities in pancreatic cancer therapy: the impact of the tumor microenvironment and model systems. </w:t>
      </w:r>
      <w:proofErr w:type="spellStart"/>
      <w:r>
        <w:rPr>
          <w:rFonts w:ascii="Times New Roman" w:eastAsia="Times New Roman" w:hAnsi="Times New Roman" w:cs="Times New Roman"/>
          <w:color w:val="1B1B1B"/>
          <w:sz w:val="24"/>
          <w:szCs w:val="24"/>
          <w:highlight w:val="white"/>
        </w:rPr>
        <w:t>npj</w:t>
      </w:r>
      <w:proofErr w:type="spellEnd"/>
      <w:r>
        <w:rPr>
          <w:rFonts w:ascii="Times New Roman" w:eastAsia="Times New Roman" w:hAnsi="Times New Roman" w:cs="Times New Roman"/>
          <w:color w:val="1B1B1B"/>
          <w:sz w:val="24"/>
          <w:szCs w:val="24"/>
          <w:highlight w:val="white"/>
        </w:rPr>
        <w:t xml:space="preserve"> Precision Oncology, 8, Artic</w:t>
      </w:r>
      <w:r>
        <w:rPr>
          <w:rFonts w:ascii="Times New Roman" w:eastAsia="Times New Roman" w:hAnsi="Times New Roman" w:cs="Times New Roman"/>
          <w:color w:val="1B1B1B"/>
          <w:sz w:val="24"/>
          <w:szCs w:val="24"/>
          <w:highlight w:val="white"/>
        </w:rPr>
        <w:t xml:space="preserve">le 25. https://www.nature.com/articles/s41698-024-00681-z </w:t>
      </w: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31. Shenoy, A., Yousif, A., &amp; Hussain, M. D. (2025). Recent advances and challenges in the treatment of advanced pancreatic cancer: An update on completed and ongoing clinical trials. Cancers, 17(8</w:t>
      </w:r>
      <w:r>
        <w:rPr>
          <w:rFonts w:ascii="Times New Roman" w:eastAsia="Times New Roman" w:hAnsi="Times New Roman" w:cs="Times New Roman"/>
          <w:color w:val="1B1B1B"/>
          <w:sz w:val="24"/>
          <w:szCs w:val="24"/>
          <w:highlight w:val="white"/>
        </w:rPr>
        <w:t xml:space="preserve">), 1319. https://doi.org/10.3390/cancers17081319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32. Wang, J., Yu, B., Dou, Y. N., &amp; Mascaro, J. (2024). Biomarker-driven oncology trial design and subgroup characterization: Challenges and potential solutions. JCO Precision Oncology, 8, e2400116. https:</w:t>
      </w:r>
      <w:r>
        <w:rPr>
          <w:rFonts w:ascii="Times New Roman" w:eastAsia="Times New Roman" w:hAnsi="Times New Roman" w:cs="Times New Roman"/>
          <w:color w:val="1B1B1B"/>
          <w:sz w:val="24"/>
          <w:szCs w:val="24"/>
          <w:highlight w:val="white"/>
        </w:rPr>
        <w:t xml:space="preserve">//doi.org/10.1200/PO.24.00116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33. </w:t>
      </w:r>
      <w:proofErr w:type="spellStart"/>
      <w:r>
        <w:rPr>
          <w:rFonts w:ascii="Times New Roman" w:eastAsia="Times New Roman" w:hAnsi="Times New Roman" w:cs="Times New Roman"/>
          <w:color w:val="1B1B1B"/>
          <w:sz w:val="24"/>
          <w:szCs w:val="24"/>
          <w:highlight w:val="white"/>
        </w:rPr>
        <w:t>Matrisian</w:t>
      </w:r>
      <w:proofErr w:type="spellEnd"/>
      <w:r>
        <w:rPr>
          <w:rFonts w:ascii="Times New Roman" w:eastAsia="Times New Roman" w:hAnsi="Times New Roman" w:cs="Times New Roman"/>
          <w:color w:val="1B1B1B"/>
          <w:sz w:val="24"/>
          <w:szCs w:val="24"/>
          <w:highlight w:val="white"/>
        </w:rPr>
        <w:t xml:space="preserve">, L. M., &amp; Berlin, J. D. (2016). The past, present, and future of pancreatic cancer clinical trials. American Society of Clinical Oncology Educational Book, 35, e205–e215. https://doi.org/10.1200/EDBK_159117 </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3</w:t>
      </w:r>
      <w:r>
        <w:rPr>
          <w:rFonts w:ascii="Times New Roman" w:eastAsia="Times New Roman" w:hAnsi="Times New Roman" w:cs="Times New Roman"/>
          <w:color w:val="1B1B1B"/>
          <w:sz w:val="24"/>
          <w:szCs w:val="24"/>
          <w:highlight w:val="white"/>
        </w:rPr>
        <w:t>4. Unger, J. M., Vaidya, R., Hershman, D. L., Minasian, L. M., &amp; Fleury, M. E. (2019). Systematic review and meta-analysis of the magnitude of structural, clinical, and physician and patient barriers to cancer clinical trial participation. Journal of the N</w:t>
      </w:r>
      <w:r>
        <w:rPr>
          <w:rFonts w:ascii="Times New Roman" w:eastAsia="Times New Roman" w:hAnsi="Times New Roman" w:cs="Times New Roman"/>
          <w:color w:val="1B1B1B"/>
          <w:sz w:val="24"/>
          <w:szCs w:val="24"/>
          <w:highlight w:val="white"/>
        </w:rPr>
        <w:t xml:space="preserve">ational Cancer Institute, 111(3), 245–255. </w:t>
      </w:r>
      <w:hyperlink r:id="rId27">
        <w:r>
          <w:rPr>
            <w:rFonts w:ascii="Times New Roman" w:eastAsia="Times New Roman" w:hAnsi="Times New Roman" w:cs="Times New Roman"/>
            <w:color w:val="1155CC"/>
            <w:sz w:val="24"/>
            <w:szCs w:val="24"/>
            <w:highlight w:val="white"/>
            <w:u w:val="single"/>
          </w:rPr>
          <w:t>https://doi.org/10.1093/jnci/djy221</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35. Carter, A. J., Nguyen, C. N., &amp; Ball, J. (2018). Disparities in funding for pancreatic cancer research relative to di</w:t>
      </w:r>
      <w:r>
        <w:rPr>
          <w:rFonts w:ascii="Times New Roman" w:eastAsia="Times New Roman" w:hAnsi="Times New Roman" w:cs="Times New Roman"/>
          <w:color w:val="1B1B1B"/>
          <w:sz w:val="24"/>
          <w:szCs w:val="24"/>
          <w:highlight w:val="white"/>
        </w:rPr>
        <w:t xml:space="preserve">sease burden. JAMA Network Open, 1(3), e180484. </w:t>
      </w:r>
      <w:hyperlink r:id="rId28">
        <w:r>
          <w:rPr>
            <w:rFonts w:ascii="Times New Roman" w:eastAsia="Times New Roman" w:hAnsi="Times New Roman" w:cs="Times New Roman"/>
            <w:color w:val="1155CC"/>
            <w:sz w:val="24"/>
            <w:szCs w:val="24"/>
            <w:highlight w:val="white"/>
            <w:u w:val="single"/>
          </w:rPr>
          <w:t>https://doi.org/10.1001/jamanetworkopen.2018.0484</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36. Wong, C. H., Siah, K. W., &amp; Lo, A. W. (2019). Estimation of clinical trial success r</w:t>
      </w:r>
      <w:r>
        <w:rPr>
          <w:rFonts w:ascii="Times New Roman" w:eastAsia="Times New Roman" w:hAnsi="Times New Roman" w:cs="Times New Roman"/>
          <w:color w:val="1B1B1B"/>
          <w:sz w:val="24"/>
          <w:szCs w:val="24"/>
          <w:highlight w:val="white"/>
        </w:rPr>
        <w:t xml:space="preserve">ates and related parameters. Biostatistics, 20(2), 273–286. </w:t>
      </w:r>
      <w:hyperlink r:id="rId29">
        <w:r>
          <w:rPr>
            <w:rFonts w:ascii="Times New Roman" w:eastAsia="Times New Roman" w:hAnsi="Times New Roman" w:cs="Times New Roman"/>
            <w:color w:val="1155CC"/>
            <w:sz w:val="24"/>
            <w:szCs w:val="24"/>
            <w:highlight w:val="white"/>
            <w:u w:val="single"/>
          </w:rPr>
          <w:t>https://doi.org/10.1093/biostatistics/kxx069</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37. Beaver, J. A., Howie, L. J., </w:t>
      </w:r>
      <w:proofErr w:type="spellStart"/>
      <w:r>
        <w:rPr>
          <w:rFonts w:ascii="Times New Roman" w:eastAsia="Times New Roman" w:hAnsi="Times New Roman" w:cs="Times New Roman"/>
          <w:color w:val="1B1B1B"/>
          <w:sz w:val="24"/>
          <w:szCs w:val="24"/>
          <w:highlight w:val="white"/>
        </w:rPr>
        <w:t>Pelosof</w:t>
      </w:r>
      <w:proofErr w:type="spellEnd"/>
      <w:r>
        <w:rPr>
          <w:rFonts w:ascii="Times New Roman" w:eastAsia="Times New Roman" w:hAnsi="Times New Roman" w:cs="Times New Roman"/>
          <w:color w:val="1B1B1B"/>
          <w:sz w:val="24"/>
          <w:szCs w:val="24"/>
          <w:highlight w:val="white"/>
        </w:rPr>
        <w:t xml:space="preserve">, L., et al. (2018). A 25-year experience of US Food and Drug Administration accelerated approval of malignant hematology and oncology drugs. JAMA Oncology, 4(6), 849–856. </w:t>
      </w:r>
      <w:hyperlink r:id="rId30">
        <w:r>
          <w:rPr>
            <w:rFonts w:ascii="Times New Roman" w:eastAsia="Times New Roman" w:hAnsi="Times New Roman" w:cs="Times New Roman"/>
            <w:color w:val="1155CC"/>
            <w:sz w:val="24"/>
            <w:szCs w:val="24"/>
            <w:highlight w:val="white"/>
            <w:u w:val="single"/>
          </w:rPr>
          <w:t>https://doi.org/10.10</w:t>
        </w:r>
        <w:r>
          <w:rPr>
            <w:rFonts w:ascii="Times New Roman" w:eastAsia="Times New Roman" w:hAnsi="Times New Roman" w:cs="Times New Roman"/>
            <w:color w:val="1155CC"/>
            <w:sz w:val="24"/>
            <w:szCs w:val="24"/>
            <w:highlight w:val="white"/>
            <w:u w:val="single"/>
          </w:rPr>
          <w:t>01/jamaoncol.2017.5618</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38. Bailey, P., Chang, D. K., Nones, K., et al. (2016). Genomic analyses identify molecular subtypes of pancreatic cancer. Nature, 531(7592), 47–52. https://doi.org/10.1038/nature16965</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39. Golan, T., Hammel, P., Reni, M., et al. (2019). Maintenance </w:t>
      </w:r>
      <w:proofErr w:type="spellStart"/>
      <w:r>
        <w:rPr>
          <w:rFonts w:ascii="Times New Roman" w:eastAsia="Times New Roman" w:hAnsi="Times New Roman" w:cs="Times New Roman"/>
          <w:color w:val="1B1B1B"/>
          <w:sz w:val="24"/>
          <w:szCs w:val="24"/>
          <w:highlight w:val="white"/>
        </w:rPr>
        <w:t>olaparib</w:t>
      </w:r>
      <w:proofErr w:type="spellEnd"/>
      <w:r>
        <w:rPr>
          <w:rFonts w:ascii="Times New Roman" w:eastAsia="Times New Roman" w:hAnsi="Times New Roman" w:cs="Times New Roman"/>
          <w:color w:val="1B1B1B"/>
          <w:sz w:val="24"/>
          <w:szCs w:val="24"/>
          <w:highlight w:val="white"/>
        </w:rPr>
        <w:t xml:space="preserve"> for germline BRCA-mutated metastatic pancreatic cancer. New England Journal of Medicine, 381(4), 317–327. https://doi.org/10.1056/NEJMoa1903387</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40. Woodcock, J., &amp; </w:t>
      </w:r>
      <w:proofErr w:type="spellStart"/>
      <w:r>
        <w:rPr>
          <w:rFonts w:ascii="Times New Roman" w:eastAsia="Times New Roman" w:hAnsi="Times New Roman" w:cs="Times New Roman"/>
          <w:color w:val="1B1B1B"/>
          <w:sz w:val="24"/>
          <w:szCs w:val="24"/>
          <w:highlight w:val="white"/>
        </w:rPr>
        <w:t>LaVange</w:t>
      </w:r>
      <w:proofErr w:type="spellEnd"/>
      <w:r>
        <w:rPr>
          <w:rFonts w:ascii="Times New Roman" w:eastAsia="Times New Roman" w:hAnsi="Times New Roman" w:cs="Times New Roman"/>
          <w:color w:val="1B1B1B"/>
          <w:sz w:val="24"/>
          <w:szCs w:val="24"/>
          <w:highlight w:val="white"/>
        </w:rPr>
        <w:t>, L. M. (20</w:t>
      </w:r>
      <w:r>
        <w:rPr>
          <w:rFonts w:ascii="Times New Roman" w:eastAsia="Times New Roman" w:hAnsi="Times New Roman" w:cs="Times New Roman"/>
          <w:color w:val="1B1B1B"/>
          <w:sz w:val="24"/>
          <w:szCs w:val="24"/>
          <w:highlight w:val="white"/>
        </w:rPr>
        <w:t>17). Master protocols to study multiple therapies, multiple diseases, or both. New England Journal of Medicine, 377(1), 62–70. https://doi.org/10.1056/NEJMra1510062</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41. Park, J. J. H., Siden, E., Zoratti, M. J., et al. (2019). Systematic review of basket </w:t>
      </w:r>
      <w:r>
        <w:rPr>
          <w:rFonts w:ascii="Times New Roman" w:eastAsia="Times New Roman" w:hAnsi="Times New Roman" w:cs="Times New Roman"/>
          <w:color w:val="1B1B1B"/>
          <w:sz w:val="24"/>
          <w:szCs w:val="24"/>
          <w:highlight w:val="white"/>
        </w:rPr>
        <w:t>trials, umbrella trials, and platform trials: A landscape analysis. JCO Precision Oncology, 3, 1–12. https://doi.org/10.1200/PO.18.00204</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42. </w:t>
      </w:r>
      <w:proofErr w:type="spellStart"/>
      <w:r>
        <w:rPr>
          <w:rFonts w:ascii="Times New Roman" w:eastAsia="Times New Roman" w:hAnsi="Times New Roman" w:cs="Times New Roman"/>
          <w:color w:val="1B1B1B"/>
          <w:sz w:val="24"/>
          <w:szCs w:val="24"/>
          <w:highlight w:val="white"/>
        </w:rPr>
        <w:t>Neesse</w:t>
      </w:r>
      <w:proofErr w:type="spellEnd"/>
      <w:r>
        <w:rPr>
          <w:rFonts w:ascii="Times New Roman" w:eastAsia="Times New Roman" w:hAnsi="Times New Roman" w:cs="Times New Roman"/>
          <w:color w:val="1B1B1B"/>
          <w:sz w:val="24"/>
          <w:szCs w:val="24"/>
          <w:highlight w:val="white"/>
        </w:rPr>
        <w:t xml:space="preserve">, A., Bauer, C. A., </w:t>
      </w:r>
      <w:proofErr w:type="spellStart"/>
      <w:r>
        <w:rPr>
          <w:rFonts w:ascii="Times New Roman" w:eastAsia="Times New Roman" w:hAnsi="Times New Roman" w:cs="Times New Roman"/>
          <w:color w:val="1B1B1B"/>
          <w:sz w:val="24"/>
          <w:szCs w:val="24"/>
          <w:highlight w:val="white"/>
        </w:rPr>
        <w:t>Öhlund</w:t>
      </w:r>
      <w:proofErr w:type="spellEnd"/>
      <w:r>
        <w:rPr>
          <w:rFonts w:ascii="Times New Roman" w:eastAsia="Times New Roman" w:hAnsi="Times New Roman" w:cs="Times New Roman"/>
          <w:color w:val="1B1B1B"/>
          <w:sz w:val="24"/>
          <w:szCs w:val="24"/>
          <w:highlight w:val="white"/>
        </w:rPr>
        <w:t xml:space="preserve">, D., et al. (2019). Stromal biology and therapy in pancreatic cancer: A changing </w:t>
      </w:r>
      <w:r>
        <w:rPr>
          <w:rFonts w:ascii="Times New Roman" w:eastAsia="Times New Roman" w:hAnsi="Times New Roman" w:cs="Times New Roman"/>
          <w:color w:val="1B1B1B"/>
          <w:sz w:val="24"/>
          <w:szCs w:val="24"/>
          <w:highlight w:val="white"/>
        </w:rPr>
        <w:t>paradigm. Gut, 68(1), 183–194. https://doi.org/10.1136/gutjnl-2018-316055</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43. Özdemir, B. C., Pentcheva-Hoang, T., Carstens, J. L., et al. (2014). Depletion of carcinoma-associated fibroblasts and fibrosis induces immunosuppression and accelerates pancrea</w:t>
      </w:r>
      <w:r>
        <w:rPr>
          <w:rFonts w:ascii="Times New Roman" w:eastAsia="Times New Roman" w:hAnsi="Times New Roman" w:cs="Times New Roman"/>
          <w:color w:val="1B1B1B"/>
          <w:sz w:val="24"/>
          <w:szCs w:val="24"/>
          <w:highlight w:val="white"/>
        </w:rPr>
        <w:t>s cancer. Cancer Cell, 25(6), 719–734. https://doi.org/10.1016/j.ccr.2014.04.005</w:t>
      </w: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44. Hasin, Y., Seldin, M., &amp; Lusis, A. (2017). Multi-omics approaches to disease. Genome Biology, 18, 83. </w:t>
      </w:r>
      <w:hyperlink r:id="rId31">
        <w:r>
          <w:rPr>
            <w:rFonts w:ascii="Times New Roman" w:eastAsia="Times New Roman" w:hAnsi="Times New Roman" w:cs="Times New Roman"/>
            <w:color w:val="1155CC"/>
            <w:sz w:val="24"/>
            <w:szCs w:val="24"/>
            <w:highlight w:val="white"/>
            <w:u w:val="single"/>
          </w:rPr>
          <w:t>https:/</w:t>
        </w:r>
        <w:r>
          <w:rPr>
            <w:rFonts w:ascii="Times New Roman" w:eastAsia="Times New Roman" w:hAnsi="Times New Roman" w:cs="Times New Roman"/>
            <w:color w:val="1155CC"/>
            <w:sz w:val="24"/>
            <w:szCs w:val="24"/>
            <w:highlight w:val="white"/>
            <w:u w:val="single"/>
          </w:rPr>
          <w:t>/doi.org/10.1186/s13059-017-1215-1</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45. Cox, A. D., </w:t>
      </w:r>
      <w:proofErr w:type="spellStart"/>
      <w:r>
        <w:rPr>
          <w:rFonts w:ascii="Times New Roman" w:eastAsia="Times New Roman" w:hAnsi="Times New Roman" w:cs="Times New Roman"/>
          <w:color w:val="1B1B1B"/>
          <w:sz w:val="24"/>
          <w:szCs w:val="24"/>
          <w:highlight w:val="white"/>
        </w:rPr>
        <w:t>Fesik</w:t>
      </w:r>
      <w:proofErr w:type="spellEnd"/>
      <w:r>
        <w:rPr>
          <w:rFonts w:ascii="Times New Roman" w:eastAsia="Times New Roman" w:hAnsi="Times New Roman" w:cs="Times New Roman"/>
          <w:color w:val="1B1B1B"/>
          <w:sz w:val="24"/>
          <w:szCs w:val="24"/>
          <w:highlight w:val="white"/>
        </w:rPr>
        <w:t xml:space="preserve">, S. W., Kimmelman, A. C., Luo, J., &amp; Der, C. J. (2014). Drugging the undruggable RAS: Mission possible? Nature Reviews Drug Discovery, 13(11), 828–851. </w:t>
      </w:r>
      <w:hyperlink r:id="rId32">
        <w:r>
          <w:rPr>
            <w:rFonts w:ascii="Times New Roman" w:eastAsia="Times New Roman" w:hAnsi="Times New Roman" w:cs="Times New Roman"/>
            <w:color w:val="1155CC"/>
            <w:sz w:val="24"/>
            <w:szCs w:val="24"/>
            <w:highlight w:val="white"/>
            <w:u w:val="single"/>
          </w:rPr>
          <w:t>https://doi.org/10.1038/nrd4389</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46. Canon, J., Rex, K., Saiki, A. Y., et al. (2019). The clinical KRAS(G12C) inhibitor AMG 510 drives anti-</w:t>
      </w:r>
      <w:proofErr w:type="spellStart"/>
      <w:r>
        <w:rPr>
          <w:rFonts w:ascii="Times New Roman" w:eastAsia="Times New Roman" w:hAnsi="Times New Roman" w:cs="Times New Roman"/>
          <w:color w:val="1B1B1B"/>
          <w:sz w:val="24"/>
          <w:szCs w:val="24"/>
          <w:highlight w:val="white"/>
        </w:rPr>
        <w:t>tumour</w:t>
      </w:r>
      <w:proofErr w:type="spellEnd"/>
      <w:r>
        <w:rPr>
          <w:rFonts w:ascii="Times New Roman" w:eastAsia="Times New Roman" w:hAnsi="Times New Roman" w:cs="Times New Roman"/>
          <w:color w:val="1B1B1B"/>
          <w:sz w:val="24"/>
          <w:szCs w:val="24"/>
          <w:highlight w:val="white"/>
        </w:rPr>
        <w:t xml:space="preserve"> immunity. Nature, 575(7781), 217–223. </w:t>
      </w:r>
      <w:hyperlink r:id="rId33">
        <w:r>
          <w:rPr>
            <w:rFonts w:ascii="Times New Roman" w:eastAsia="Times New Roman" w:hAnsi="Times New Roman" w:cs="Times New Roman"/>
            <w:color w:val="1155CC"/>
            <w:sz w:val="24"/>
            <w:szCs w:val="24"/>
            <w:highlight w:val="white"/>
            <w:u w:val="single"/>
          </w:rPr>
          <w:t>https</w:t>
        </w:r>
        <w:r>
          <w:rPr>
            <w:rFonts w:ascii="Times New Roman" w:eastAsia="Times New Roman" w:hAnsi="Times New Roman" w:cs="Times New Roman"/>
            <w:color w:val="1155CC"/>
            <w:sz w:val="24"/>
            <w:szCs w:val="24"/>
            <w:highlight w:val="white"/>
            <w:u w:val="single"/>
          </w:rPr>
          <w:t>://doi.org/10.1038/s41586-019-1694-1</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47. Golan, T., Hammel, P., Reni, M., et al. (2019). Maintenance </w:t>
      </w:r>
      <w:proofErr w:type="spellStart"/>
      <w:r>
        <w:rPr>
          <w:rFonts w:ascii="Times New Roman" w:eastAsia="Times New Roman" w:hAnsi="Times New Roman" w:cs="Times New Roman"/>
          <w:color w:val="1B1B1B"/>
          <w:sz w:val="24"/>
          <w:szCs w:val="24"/>
          <w:highlight w:val="white"/>
        </w:rPr>
        <w:t>olaparib</w:t>
      </w:r>
      <w:proofErr w:type="spellEnd"/>
      <w:r>
        <w:rPr>
          <w:rFonts w:ascii="Times New Roman" w:eastAsia="Times New Roman" w:hAnsi="Times New Roman" w:cs="Times New Roman"/>
          <w:color w:val="1B1B1B"/>
          <w:sz w:val="24"/>
          <w:szCs w:val="24"/>
          <w:highlight w:val="white"/>
        </w:rPr>
        <w:t xml:space="preserve"> for germline BRCA-mutated metastatic pancreatic cancer. New England Journal of Medicine, 381(4), 317–327. </w:t>
      </w:r>
      <w:hyperlink r:id="rId34">
        <w:r>
          <w:rPr>
            <w:rFonts w:ascii="Times New Roman" w:eastAsia="Times New Roman" w:hAnsi="Times New Roman" w:cs="Times New Roman"/>
            <w:color w:val="1155CC"/>
            <w:sz w:val="24"/>
            <w:szCs w:val="24"/>
            <w:highlight w:val="white"/>
            <w:u w:val="single"/>
          </w:rPr>
          <w:t>https://doi.org/10.1056/NEJMoa1903387</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48. Conroy, T., </w:t>
      </w:r>
      <w:proofErr w:type="spellStart"/>
      <w:r>
        <w:rPr>
          <w:rFonts w:ascii="Times New Roman" w:eastAsia="Times New Roman" w:hAnsi="Times New Roman" w:cs="Times New Roman"/>
          <w:color w:val="1B1B1B"/>
          <w:sz w:val="24"/>
          <w:szCs w:val="24"/>
          <w:highlight w:val="white"/>
        </w:rPr>
        <w:t>Desseigne</w:t>
      </w:r>
      <w:proofErr w:type="spellEnd"/>
      <w:r>
        <w:rPr>
          <w:rFonts w:ascii="Times New Roman" w:eastAsia="Times New Roman" w:hAnsi="Times New Roman" w:cs="Times New Roman"/>
          <w:color w:val="1B1B1B"/>
          <w:sz w:val="24"/>
          <w:szCs w:val="24"/>
          <w:highlight w:val="white"/>
        </w:rPr>
        <w:t xml:space="preserve">, F., </w:t>
      </w:r>
      <w:proofErr w:type="spellStart"/>
      <w:r>
        <w:rPr>
          <w:rFonts w:ascii="Times New Roman" w:eastAsia="Times New Roman" w:hAnsi="Times New Roman" w:cs="Times New Roman"/>
          <w:color w:val="1B1B1B"/>
          <w:sz w:val="24"/>
          <w:szCs w:val="24"/>
          <w:highlight w:val="white"/>
        </w:rPr>
        <w:t>Ychou</w:t>
      </w:r>
      <w:proofErr w:type="spellEnd"/>
      <w:r>
        <w:rPr>
          <w:rFonts w:ascii="Times New Roman" w:eastAsia="Times New Roman" w:hAnsi="Times New Roman" w:cs="Times New Roman"/>
          <w:color w:val="1B1B1B"/>
          <w:sz w:val="24"/>
          <w:szCs w:val="24"/>
          <w:highlight w:val="white"/>
        </w:rPr>
        <w:t xml:space="preserve">, M., et al. (2011). FOLFIRINOX versus gemcitabine for metastatic pancreatic cancer. New England Journal of Medicine, 364(19), 1817–1825. </w:t>
      </w:r>
      <w:hyperlink r:id="rId35">
        <w:r>
          <w:rPr>
            <w:rFonts w:ascii="Times New Roman" w:eastAsia="Times New Roman" w:hAnsi="Times New Roman" w:cs="Times New Roman"/>
            <w:color w:val="1155CC"/>
            <w:sz w:val="24"/>
            <w:szCs w:val="24"/>
            <w:highlight w:val="white"/>
            <w:u w:val="single"/>
          </w:rPr>
          <w:t>https://doi.org/10.1056/NEJMoa1011923</w:t>
        </w:r>
      </w:hyperlink>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49. Neoptolemos, J. P., Palmer, D. H., Ghaneh, P., et al. (2017). Comparison of adjuvant gemcitabine and capecitabine with gemcitabine monotherapy in patients with resected pancreatic c</w:t>
      </w:r>
      <w:r>
        <w:rPr>
          <w:rFonts w:ascii="Times New Roman" w:eastAsia="Times New Roman" w:hAnsi="Times New Roman" w:cs="Times New Roman"/>
          <w:color w:val="1B1B1B"/>
          <w:sz w:val="24"/>
          <w:szCs w:val="24"/>
          <w:highlight w:val="white"/>
        </w:rPr>
        <w:t xml:space="preserve">ancer: ESPAC-4 trial. The Lancet, 389(10073), 1011–1024. </w:t>
      </w:r>
      <w:hyperlink r:id="rId36">
        <w:r>
          <w:rPr>
            <w:rFonts w:ascii="Times New Roman" w:eastAsia="Times New Roman" w:hAnsi="Times New Roman" w:cs="Times New Roman"/>
            <w:color w:val="1155CC"/>
            <w:sz w:val="24"/>
            <w:szCs w:val="24"/>
            <w:highlight w:val="white"/>
            <w:u w:val="single"/>
          </w:rPr>
          <w:t>https://doi.org/10.1016/S0140-6736(16)32409-6</w:t>
        </w:r>
      </w:hyperlink>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50. </w:t>
      </w:r>
      <w:proofErr w:type="spellStart"/>
      <w:r>
        <w:rPr>
          <w:rFonts w:ascii="Times New Roman" w:eastAsia="Times New Roman" w:hAnsi="Times New Roman" w:cs="Times New Roman"/>
          <w:color w:val="1B1B1B"/>
          <w:sz w:val="24"/>
          <w:szCs w:val="24"/>
          <w:highlight w:val="white"/>
        </w:rPr>
        <w:t>Liaki</w:t>
      </w:r>
      <w:proofErr w:type="spellEnd"/>
      <w:r>
        <w:rPr>
          <w:rFonts w:ascii="Times New Roman" w:eastAsia="Times New Roman" w:hAnsi="Times New Roman" w:cs="Times New Roman"/>
          <w:color w:val="1B1B1B"/>
          <w:sz w:val="24"/>
          <w:szCs w:val="24"/>
          <w:highlight w:val="white"/>
        </w:rPr>
        <w:t xml:space="preserve">, V., Barrambana, S., </w:t>
      </w:r>
      <w:proofErr w:type="spellStart"/>
      <w:r>
        <w:rPr>
          <w:rFonts w:ascii="Times New Roman" w:eastAsia="Times New Roman" w:hAnsi="Times New Roman" w:cs="Times New Roman"/>
          <w:color w:val="1B1B1B"/>
          <w:sz w:val="24"/>
          <w:szCs w:val="24"/>
          <w:highlight w:val="white"/>
        </w:rPr>
        <w:t>Kostopoulou</w:t>
      </w:r>
      <w:proofErr w:type="spellEnd"/>
      <w:r>
        <w:rPr>
          <w:rFonts w:ascii="Times New Roman" w:eastAsia="Times New Roman" w:hAnsi="Times New Roman" w:cs="Times New Roman"/>
          <w:color w:val="1B1B1B"/>
          <w:sz w:val="24"/>
          <w:szCs w:val="24"/>
          <w:highlight w:val="white"/>
        </w:rPr>
        <w:t>, M., Lechuga, C. G., Zamorano-Dominguez, E</w:t>
      </w:r>
      <w:r>
        <w:rPr>
          <w:rFonts w:ascii="Times New Roman" w:eastAsia="Times New Roman" w:hAnsi="Times New Roman" w:cs="Times New Roman"/>
          <w:color w:val="1B1B1B"/>
          <w:sz w:val="24"/>
          <w:szCs w:val="24"/>
          <w:highlight w:val="white"/>
        </w:rPr>
        <w:t xml:space="preserve">., Acosta, D., Morales-Cacho, L., Álvarez, R., Sun, P., Rosas-Perez, B., Barrero, R., Jiménez-Parrado, S., López-García, A., San Roman, M., López-Gil, J. C., </w:t>
      </w:r>
      <w:proofErr w:type="spellStart"/>
      <w:r>
        <w:rPr>
          <w:rFonts w:ascii="Times New Roman" w:eastAsia="Times New Roman" w:hAnsi="Times New Roman" w:cs="Times New Roman"/>
          <w:color w:val="1B1B1B"/>
          <w:sz w:val="24"/>
          <w:szCs w:val="24"/>
          <w:highlight w:val="white"/>
        </w:rPr>
        <w:t>Drosten</w:t>
      </w:r>
      <w:proofErr w:type="spellEnd"/>
      <w:r>
        <w:rPr>
          <w:rFonts w:ascii="Times New Roman" w:eastAsia="Times New Roman" w:hAnsi="Times New Roman" w:cs="Times New Roman"/>
          <w:color w:val="1B1B1B"/>
          <w:sz w:val="24"/>
          <w:szCs w:val="24"/>
          <w:highlight w:val="white"/>
        </w:rPr>
        <w:t xml:space="preserve">, M., Sainz, B., </w:t>
      </w:r>
      <w:proofErr w:type="spellStart"/>
      <w:r>
        <w:rPr>
          <w:rFonts w:ascii="Times New Roman" w:eastAsia="Times New Roman" w:hAnsi="Times New Roman" w:cs="Times New Roman"/>
          <w:color w:val="1B1B1B"/>
          <w:sz w:val="24"/>
          <w:szCs w:val="24"/>
          <w:highlight w:val="white"/>
        </w:rPr>
        <w:t>Musteanu</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Caleiras</w:t>
      </w:r>
      <w:proofErr w:type="spellEnd"/>
      <w:r>
        <w:rPr>
          <w:rFonts w:ascii="Times New Roman" w:eastAsia="Times New Roman" w:hAnsi="Times New Roman" w:cs="Times New Roman"/>
          <w:color w:val="1B1B1B"/>
          <w:sz w:val="24"/>
          <w:szCs w:val="24"/>
          <w:highlight w:val="white"/>
        </w:rPr>
        <w:t>, E., Dusetti, N., Poli, V., Sánchez-Bueno, F., Guer</w:t>
      </w:r>
      <w:r>
        <w:rPr>
          <w:rFonts w:ascii="Times New Roman" w:eastAsia="Times New Roman" w:hAnsi="Times New Roman" w:cs="Times New Roman"/>
          <w:color w:val="1B1B1B"/>
          <w:sz w:val="24"/>
          <w:szCs w:val="24"/>
          <w:highlight w:val="white"/>
        </w:rPr>
        <w:t xml:space="preserve">ra, C., &amp; </w:t>
      </w:r>
      <w:proofErr w:type="spellStart"/>
      <w:r>
        <w:rPr>
          <w:rFonts w:ascii="Times New Roman" w:eastAsia="Times New Roman" w:hAnsi="Times New Roman" w:cs="Times New Roman"/>
          <w:color w:val="1B1B1B"/>
          <w:sz w:val="24"/>
          <w:szCs w:val="24"/>
          <w:highlight w:val="white"/>
        </w:rPr>
        <w:t>Barbacid</w:t>
      </w:r>
      <w:proofErr w:type="spellEnd"/>
      <w:r>
        <w:rPr>
          <w:rFonts w:ascii="Times New Roman" w:eastAsia="Times New Roman" w:hAnsi="Times New Roman" w:cs="Times New Roman"/>
          <w:color w:val="1B1B1B"/>
          <w:sz w:val="24"/>
          <w:szCs w:val="24"/>
          <w:highlight w:val="white"/>
        </w:rPr>
        <w:t xml:space="preserve">, M. (2025). A targeted combination therapy achieves effective pancreatic cancer regression and prevents tumor resistance. Proceedings of the National Academy of Sciences of the United States of America, 122(49), e2523039122. </w:t>
      </w:r>
      <w:hyperlink r:id="rId37">
        <w:r>
          <w:rPr>
            <w:rFonts w:ascii="Times New Roman" w:eastAsia="Times New Roman" w:hAnsi="Times New Roman" w:cs="Times New Roman"/>
            <w:color w:val="1155CC"/>
            <w:sz w:val="24"/>
            <w:szCs w:val="24"/>
            <w:highlight w:val="white"/>
            <w:u w:val="single"/>
          </w:rPr>
          <w:t>https://doi.org/10.1073/pnas.2523039122</w:t>
        </w:r>
      </w:hyperlink>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154854">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51. Gomis-Pastor, M., </w:t>
      </w:r>
      <w:proofErr w:type="spellStart"/>
      <w:r>
        <w:rPr>
          <w:rFonts w:ascii="Times New Roman" w:eastAsia="Times New Roman" w:hAnsi="Times New Roman" w:cs="Times New Roman"/>
          <w:color w:val="1B1B1B"/>
          <w:sz w:val="24"/>
          <w:szCs w:val="24"/>
          <w:highlight w:val="white"/>
        </w:rPr>
        <w:t>Berdún</w:t>
      </w:r>
      <w:proofErr w:type="spellEnd"/>
      <w:r>
        <w:rPr>
          <w:rFonts w:ascii="Times New Roman" w:eastAsia="Times New Roman" w:hAnsi="Times New Roman" w:cs="Times New Roman"/>
          <w:color w:val="1B1B1B"/>
          <w:sz w:val="24"/>
          <w:szCs w:val="24"/>
          <w:highlight w:val="white"/>
        </w:rPr>
        <w:t xml:space="preserve">, J., </w:t>
      </w:r>
      <w:proofErr w:type="spellStart"/>
      <w:r>
        <w:rPr>
          <w:rFonts w:ascii="Times New Roman" w:eastAsia="Times New Roman" w:hAnsi="Times New Roman" w:cs="Times New Roman"/>
          <w:color w:val="1B1B1B"/>
          <w:sz w:val="24"/>
          <w:szCs w:val="24"/>
          <w:highlight w:val="white"/>
        </w:rPr>
        <w:t>Borrás</w:t>
      </w:r>
      <w:proofErr w:type="spellEnd"/>
      <w:r>
        <w:rPr>
          <w:rFonts w:ascii="Times New Roman" w:eastAsia="Times New Roman" w:hAnsi="Times New Roman" w:cs="Times New Roman"/>
          <w:color w:val="1B1B1B"/>
          <w:sz w:val="24"/>
          <w:szCs w:val="24"/>
          <w:highlight w:val="white"/>
        </w:rPr>
        <w:t>-Santos, A., De Dios López, A., Fernández-</w:t>
      </w:r>
      <w:proofErr w:type="spellStart"/>
      <w:r>
        <w:rPr>
          <w:rFonts w:ascii="Times New Roman" w:eastAsia="Times New Roman" w:hAnsi="Times New Roman" w:cs="Times New Roman"/>
          <w:color w:val="1B1B1B"/>
          <w:sz w:val="24"/>
          <w:szCs w:val="24"/>
          <w:highlight w:val="white"/>
        </w:rPr>
        <w:t>Montells</w:t>
      </w:r>
      <w:proofErr w:type="spellEnd"/>
      <w:r>
        <w:rPr>
          <w:rFonts w:ascii="Times New Roman" w:eastAsia="Times New Roman" w:hAnsi="Times New Roman" w:cs="Times New Roman"/>
          <w:color w:val="1B1B1B"/>
          <w:sz w:val="24"/>
          <w:szCs w:val="24"/>
          <w:highlight w:val="white"/>
        </w:rPr>
        <w:t xml:space="preserve"> Rama, B., García-</w:t>
      </w:r>
      <w:proofErr w:type="spellStart"/>
      <w:r>
        <w:rPr>
          <w:rFonts w:ascii="Times New Roman" w:eastAsia="Times New Roman" w:hAnsi="Times New Roman" w:cs="Times New Roman"/>
          <w:color w:val="1B1B1B"/>
          <w:sz w:val="24"/>
          <w:szCs w:val="24"/>
          <w:highlight w:val="white"/>
        </w:rPr>
        <w:t>Esquirol</w:t>
      </w:r>
      <w:proofErr w:type="spellEnd"/>
      <w:r>
        <w:rPr>
          <w:rFonts w:ascii="Times New Roman" w:eastAsia="Times New Roman" w:hAnsi="Times New Roman" w:cs="Times New Roman"/>
          <w:color w:val="1B1B1B"/>
          <w:sz w:val="24"/>
          <w:szCs w:val="24"/>
          <w:highlight w:val="white"/>
        </w:rPr>
        <w:t xml:space="preserve">, Ó., </w:t>
      </w:r>
      <w:proofErr w:type="spellStart"/>
      <w:r>
        <w:rPr>
          <w:rFonts w:ascii="Times New Roman" w:eastAsia="Times New Roman" w:hAnsi="Times New Roman" w:cs="Times New Roman"/>
          <w:color w:val="1B1B1B"/>
          <w:sz w:val="24"/>
          <w:szCs w:val="24"/>
          <w:highlight w:val="white"/>
        </w:rPr>
        <w:t>Gratacòs</w:t>
      </w:r>
      <w:proofErr w:type="spellEnd"/>
      <w:r>
        <w:rPr>
          <w:rFonts w:ascii="Times New Roman" w:eastAsia="Times New Roman" w:hAnsi="Times New Roman" w:cs="Times New Roman"/>
          <w:color w:val="1B1B1B"/>
          <w:sz w:val="24"/>
          <w:szCs w:val="24"/>
          <w:highlight w:val="white"/>
        </w:rPr>
        <w:t>, M., Ontiveros Rodríguez, G. D., Pel</w:t>
      </w:r>
      <w:r>
        <w:rPr>
          <w:rFonts w:ascii="Times New Roman" w:eastAsia="Times New Roman" w:hAnsi="Times New Roman" w:cs="Times New Roman"/>
          <w:color w:val="1B1B1B"/>
          <w:sz w:val="24"/>
          <w:szCs w:val="24"/>
          <w:highlight w:val="white"/>
        </w:rPr>
        <w:t xml:space="preserve">egrín Cruz, R., Real, J., </w:t>
      </w:r>
      <w:proofErr w:type="spellStart"/>
      <w:r>
        <w:rPr>
          <w:rFonts w:ascii="Times New Roman" w:eastAsia="Times New Roman" w:hAnsi="Times New Roman" w:cs="Times New Roman"/>
          <w:color w:val="1B1B1B"/>
          <w:sz w:val="24"/>
          <w:szCs w:val="24"/>
          <w:highlight w:val="white"/>
        </w:rPr>
        <w:t>Bachs</w:t>
      </w:r>
      <w:proofErr w:type="spellEnd"/>
      <w:r>
        <w:rPr>
          <w:rFonts w:ascii="Times New Roman" w:eastAsia="Times New Roman" w:hAnsi="Times New Roman" w:cs="Times New Roman"/>
          <w:color w:val="1B1B1B"/>
          <w:sz w:val="24"/>
          <w:szCs w:val="24"/>
          <w:highlight w:val="white"/>
        </w:rPr>
        <w:t xml:space="preserve"> I Ferrer, J., &amp; Comella, A. (2024). Clinical Validation of Digital Healthcare Solutions: State of the Art, Challenges and Opportunities. </w:t>
      </w:r>
      <w:r>
        <w:rPr>
          <w:rFonts w:ascii="Times New Roman" w:eastAsia="Times New Roman" w:hAnsi="Times New Roman" w:cs="Times New Roman"/>
          <w:i/>
          <w:iCs/>
          <w:color w:val="1B1B1B"/>
          <w:sz w:val="24"/>
          <w:szCs w:val="24"/>
          <w:highlight w:val="white"/>
        </w:rPr>
        <w:t>Healthcare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(11), 1057. </w:t>
      </w:r>
      <w:hyperlink r:id="rId38">
        <w:r>
          <w:rPr>
            <w:rFonts w:ascii="Times New Roman" w:eastAsia="Times New Roman" w:hAnsi="Times New Roman" w:cs="Times New Roman"/>
            <w:color w:val="1155CC"/>
            <w:sz w:val="24"/>
            <w:szCs w:val="24"/>
            <w:highlight w:val="white"/>
            <w:u w:val="single"/>
          </w:rPr>
          <w:t>https://doi.org/10.3390/healthcare12111057</w:t>
        </w:r>
      </w:hyperlink>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color w:val="1B1B1B"/>
          <w:sz w:val="24"/>
          <w:szCs w:val="24"/>
          <w:highlight w:val="white"/>
        </w:rPr>
      </w:pPr>
    </w:p>
    <w:p w:rsidR="00813F84" w:rsidRDefault="00813F84">
      <w:pPr>
        <w:rPr>
          <w:rFonts w:ascii="Times New Roman" w:eastAsia="Times New Roman" w:hAnsi="Times New Roman" w:cs="Times New Roman"/>
          <w:sz w:val="24"/>
          <w:szCs w:val="24"/>
        </w:rPr>
      </w:pPr>
    </w:p>
    <w:sectPr w:rsidR="00813F8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854" w:rsidRDefault="00154854">
      <w:pPr>
        <w:spacing w:line="240" w:lineRule="auto"/>
      </w:pPr>
      <w:r>
        <w:separator/>
      </w:r>
    </w:p>
  </w:endnote>
  <w:endnote w:type="continuationSeparator" w:id="0">
    <w:p w:rsidR="00154854" w:rsidRDefault="001548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A51211-CB34-4F04-8CD4-DF070302E495}"/>
  </w:font>
  <w:font w:name="Cambria">
    <w:panose1 w:val="02040503050406030204"/>
    <w:charset w:val="00"/>
    <w:family w:val="roman"/>
    <w:pitch w:val="variable"/>
    <w:sig w:usb0="E00006FF" w:usb1="420024FF" w:usb2="02000000" w:usb3="00000000" w:csb0="0000019F" w:csb1="00000000"/>
    <w:embedRegular r:id="rId2" w:fontKey="{CCB91D33-9279-4E7A-A864-A2B319A4B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59F" w:rsidRDefault="002C3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59F" w:rsidRDefault="002C3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59F" w:rsidRDefault="002C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854" w:rsidRDefault="00154854">
      <w:pPr>
        <w:spacing w:line="240" w:lineRule="auto"/>
      </w:pPr>
      <w:r>
        <w:separator/>
      </w:r>
    </w:p>
  </w:footnote>
  <w:footnote w:type="continuationSeparator" w:id="0">
    <w:p w:rsidR="00154854" w:rsidRDefault="001548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59F" w:rsidRDefault="002C35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F84" w:rsidRDefault="002C359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59F" w:rsidRDefault="002C35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F84"/>
    <w:rsid w:val="00017622"/>
    <w:rsid w:val="00133CF3"/>
    <w:rsid w:val="00154854"/>
    <w:rsid w:val="002C359F"/>
    <w:rsid w:val="003B30DD"/>
    <w:rsid w:val="00813F84"/>
    <w:rsid w:val="00821836"/>
    <w:rsid w:val="00B2356C"/>
    <w:rsid w:val="00BB6159"/>
    <w:rsid w:val="00C9174A"/>
    <w:rsid w:val="00E42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36863F4-0A74-4D83-AE97-37CD40BA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B2356C"/>
    <w:rPr>
      <w:color w:val="0000FF" w:themeColor="hyperlink"/>
      <w:u w:val="single"/>
    </w:rPr>
  </w:style>
  <w:style w:type="character" w:styleId="UnresolvedMention">
    <w:name w:val="Unresolved Mention"/>
    <w:basedOn w:val="DefaultParagraphFont"/>
    <w:uiPriority w:val="99"/>
    <w:semiHidden/>
    <w:unhideWhenUsed/>
    <w:rsid w:val="00B2356C"/>
    <w:rPr>
      <w:color w:val="605E5C"/>
      <w:shd w:val="clear" w:color="auto" w:fill="E1DFDD"/>
    </w:rPr>
  </w:style>
  <w:style w:type="paragraph" w:styleId="Header">
    <w:name w:val="header"/>
    <w:basedOn w:val="Normal"/>
    <w:link w:val="HeaderChar"/>
    <w:uiPriority w:val="99"/>
    <w:unhideWhenUsed/>
    <w:rsid w:val="002C359F"/>
    <w:pPr>
      <w:tabs>
        <w:tab w:val="center" w:pos="4680"/>
        <w:tab w:val="right" w:pos="9360"/>
      </w:tabs>
      <w:spacing w:line="240" w:lineRule="auto"/>
    </w:pPr>
  </w:style>
  <w:style w:type="character" w:customStyle="1" w:styleId="HeaderChar">
    <w:name w:val="Header Char"/>
    <w:basedOn w:val="DefaultParagraphFont"/>
    <w:link w:val="Header"/>
    <w:uiPriority w:val="99"/>
    <w:rsid w:val="002C359F"/>
  </w:style>
  <w:style w:type="paragraph" w:styleId="Footer">
    <w:name w:val="footer"/>
    <w:basedOn w:val="Normal"/>
    <w:link w:val="FooterChar"/>
    <w:uiPriority w:val="99"/>
    <w:unhideWhenUsed/>
    <w:rsid w:val="002C359F"/>
    <w:pPr>
      <w:tabs>
        <w:tab w:val="center" w:pos="4680"/>
        <w:tab w:val="right" w:pos="9360"/>
      </w:tabs>
      <w:spacing w:line="240" w:lineRule="auto"/>
    </w:pPr>
  </w:style>
  <w:style w:type="character" w:customStyle="1" w:styleId="FooterChar">
    <w:name w:val="Footer Char"/>
    <w:basedOn w:val="DefaultParagraphFont"/>
    <w:link w:val="Footer"/>
    <w:uiPriority w:val="99"/>
    <w:rsid w:val="002C3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onco5030037" TargetMode="External"/><Relationship Id="rId18" Type="http://schemas.openxmlformats.org/officeDocument/2006/relationships/hyperlink" Target="http://pmc.ncbi.nlm.nih.gov" TargetMode="External"/><Relationship Id="rId26" Type="http://schemas.openxmlformats.org/officeDocument/2006/relationships/hyperlink" Target="https://doi.org/10.3389/fonc.2019.01443" TargetMode="External"/><Relationship Id="rId39" Type="http://schemas.openxmlformats.org/officeDocument/2006/relationships/header" Target="header1.xml"/><Relationship Id="rId21" Type="http://schemas.openxmlformats.org/officeDocument/2006/relationships/hyperlink" Target="http://pubmed.ncbi.nlm.nih.gov" TargetMode="External"/><Relationship Id="rId34" Type="http://schemas.openxmlformats.org/officeDocument/2006/relationships/hyperlink" Target="https://doi.org/10.1056/NEJMoa1903387" TargetMode="External"/><Relationship Id="rId42" Type="http://schemas.openxmlformats.org/officeDocument/2006/relationships/footer" Target="footer2.xml"/><Relationship Id="rId7" Type="http://schemas.openxmlformats.org/officeDocument/2006/relationships/hyperlink" Target="https://doi.org/10.1111/1467-9566.13719" TargetMode="External"/><Relationship Id="rId2" Type="http://schemas.openxmlformats.org/officeDocument/2006/relationships/settings" Target="settings.xml"/><Relationship Id="rId16" Type="http://schemas.openxmlformats.org/officeDocument/2006/relationships/hyperlink" Target="https://doi.org/10.62347/TQRB4608" TargetMode="External"/><Relationship Id="rId29" Type="http://schemas.openxmlformats.org/officeDocument/2006/relationships/hyperlink" Target="https://doi.org/10.1093/biostatistics/kxx06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73/pnas.2523039122" TargetMode="External"/><Relationship Id="rId24" Type="http://schemas.openxmlformats.org/officeDocument/2006/relationships/hyperlink" Target="https://doi.org/10.3390/cancers15113027" TargetMode="External"/><Relationship Id="rId32" Type="http://schemas.openxmlformats.org/officeDocument/2006/relationships/hyperlink" Target="https://doi.org/10.1038/nrd4389" TargetMode="External"/><Relationship Id="rId37" Type="http://schemas.openxmlformats.org/officeDocument/2006/relationships/hyperlink" Target="https://doi.org/10.1073/pnas.2523039122"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1186/s12957-025-04115-3" TargetMode="External"/><Relationship Id="rId23" Type="http://schemas.openxmlformats.org/officeDocument/2006/relationships/hyperlink" Target="http://pubmed.ncbi.nlm.nih.gov" TargetMode="External"/><Relationship Id="rId28" Type="http://schemas.openxmlformats.org/officeDocument/2006/relationships/hyperlink" Target="https://doi.org/10.1001/jamanetworkopen.2018.0484" TargetMode="External"/><Relationship Id="rId36" Type="http://schemas.openxmlformats.org/officeDocument/2006/relationships/hyperlink" Target="https://doi.org/10.1016/S0140-6736(16)32409-6" TargetMode="External"/><Relationship Id="rId10" Type="http://schemas.openxmlformats.org/officeDocument/2006/relationships/hyperlink" Target="https://doi.org/10.3389/fimmu.2025.1573522" TargetMode="External"/><Relationship Id="rId19" Type="http://schemas.openxmlformats.org/officeDocument/2006/relationships/hyperlink" Target="http://mdpi.com" TargetMode="External"/><Relationship Id="rId31" Type="http://schemas.openxmlformats.org/officeDocument/2006/relationships/hyperlink" Target="https://doi.org/10.1186/s13059-017-1215-1" TargetMode="External"/><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3390/ijms25052860" TargetMode="External"/><Relationship Id="rId14" Type="http://schemas.openxmlformats.org/officeDocument/2006/relationships/hyperlink" Target="https://doi.org/10.3390/life15121848" TargetMode="External"/><Relationship Id="rId22" Type="http://schemas.openxmlformats.org/officeDocument/2006/relationships/hyperlink" Target="http://pubmed.ncbi.nlm.nih.gov" TargetMode="External"/><Relationship Id="rId27" Type="http://schemas.openxmlformats.org/officeDocument/2006/relationships/hyperlink" Target="https://doi.org/10.1093/jnci/djy221" TargetMode="External"/><Relationship Id="rId30" Type="http://schemas.openxmlformats.org/officeDocument/2006/relationships/hyperlink" Target="https://doi.org/10.1001/jamaoncol.2017.5618" TargetMode="External"/><Relationship Id="rId35" Type="http://schemas.openxmlformats.org/officeDocument/2006/relationships/hyperlink" Target="https://doi.org/10.1056/NEJMoa1011923" TargetMode="External"/><Relationship Id="rId43" Type="http://schemas.openxmlformats.org/officeDocument/2006/relationships/header" Target="header3.xml"/><Relationship Id="rId8" Type="http://schemas.openxmlformats.org/officeDocument/2006/relationships/hyperlink" Target="https://doi.org/10.1186/s12916-016-0654-y" TargetMode="External"/><Relationship Id="rId3" Type="http://schemas.openxmlformats.org/officeDocument/2006/relationships/webSettings" Target="webSettings.xml"/><Relationship Id="rId12" Type="http://schemas.openxmlformats.org/officeDocument/2006/relationships/hyperlink" Target="https://doi.org/10.1089/heq.2019.0057" TargetMode="External"/><Relationship Id="rId17" Type="http://schemas.openxmlformats.org/officeDocument/2006/relationships/hyperlink" Target="https://doi.org/10.1245/s10434-023-13353-2" TargetMode="External"/><Relationship Id="rId25" Type="http://schemas.openxmlformats.org/officeDocument/2006/relationships/hyperlink" Target="https://doi.org/10.1002/cac2.12335" TargetMode="External"/><Relationship Id="rId33" Type="http://schemas.openxmlformats.org/officeDocument/2006/relationships/hyperlink" Target="https://doi.org/10.1038/s41586-019-1694-1" TargetMode="External"/><Relationship Id="rId38" Type="http://schemas.openxmlformats.org/officeDocument/2006/relationships/hyperlink" Target="https://doi.org/10.3390/healthcare12111057" TargetMode="External"/><Relationship Id="rId46" Type="http://schemas.openxmlformats.org/officeDocument/2006/relationships/theme" Target="theme/theme1.xml"/><Relationship Id="rId20" Type="http://schemas.openxmlformats.org/officeDocument/2006/relationships/hyperlink" Target="http://pubmed.ncbi.nlm.nih.gov"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29</Pages>
  <Words>10818</Words>
  <Characters>61664</Characters>
  <Application>Microsoft Office Word</Application>
  <DocSecurity>0</DocSecurity>
  <Lines>513</Lines>
  <Paragraphs>144</Paragraphs>
  <ScaleCrop>false</ScaleCrop>
  <Company/>
  <LinksUpToDate>false</LinksUpToDate>
  <CharactersWithSpaces>72338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2026-02-13T05:57:00Z</dcterms:created>
  <dcterms:modified xsi:type="dcterms:W3CDTF">2026-02-13T11:36:00Z</dcterms:modified>
</cp:coreProperties>
</file>