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F186D7" w14:textId="77777777" w:rsidR="0004752F" w:rsidRDefault="0004752F">
      <w:pPr>
        <w:jc w:val="center"/>
        <w:rPr>
          <w:rFonts w:ascii="Times New Roman" w:eastAsia="Times New Roman" w:hAnsi="Times New Roman" w:cs="Times New Roman"/>
          <w:b/>
          <w:bCs/>
          <w:sz w:val="28"/>
          <w:szCs w:val="28"/>
          <w:highlight w:val="white"/>
        </w:rPr>
      </w:pPr>
    </w:p>
    <w:p w14:paraId="0228989C" w14:textId="77777777" w:rsidR="004F2256" w:rsidRPr="004F2256" w:rsidRDefault="004F2256" w:rsidP="004F2256">
      <w:pPr>
        <w:jc w:val="center"/>
        <w:rPr>
          <w:rFonts w:ascii="Times New Roman" w:eastAsia="Times New Roman" w:hAnsi="Times New Roman" w:cs="Times New Roman"/>
          <w:b/>
          <w:bCs/>
          <w:i/>
          <w:iCs/>
          <w:sz w:val="28"/>
          <w:szCs w:val="28"/>
          <w:highlight w:val="white"/>
          <w:u w:val="single"/>
          <w:lang w:val="en-US"/>
        </w:rPr>
      </w:pPr>
      <w:r w:rsidRPr="004F2256">
        <w:rPr>
          <w:rFonts w:ascii="Times New Roman" w:eastAsia="Times New Roman" w:hAnsi="Times New Roman" w:cs="Times New Roman"/>
          <w:b/>
          <w:bCs/>
          <w:i/>
          <w:iCs/>
          <w:sz w:val="28"/>
          <w:szCs w:val="28"/>
          <w:highlight w:val="white"/>
          <w:u w:val="single"/>
          <w:lang w:val="en-US"/>
        </w:rPr>
        <w:t>Review Article</w:t>
      </w:r>
    </w:p>
    <w:p w14:paraId="57CE8A85" w14:textId="77777777" w:rsidR="0004752F" w:rsidRDefault="003B4E5F">
      <w:pPr>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The Evolutionary Landscape of Inflammatory and Nutritional Biomarkers in Oral Squamous Cell Carcinoma: A Comprehensive Review of Pathogenesis and Prognosis</w:t>
      </w:r>
    </w:p>
    <w:p w14:paraId="29A4F4CC" w14:textId="77777777" w:rsidR="0004752F" w:rsidRDefault="0004752F">
      <w:pPr>
        <w:rPr>
          <w:b/>
          <w:bCs/>
          <w:color w:val="303030"/>
          <w:sz w:val="21"/>
          <w:szCs w:val="21"/>
          <w:highlight w:val="white"/>
        </w:rPr>
      </w:pPr>
    </w:p>
    <w:p w14:paraId="384FFFD7" w14:textId="77777777" w:rsidR="0004752F" w:rsidRDefault="0004752F">
      <w:pPr>
        <w:rPr>
          <w:b/>
          <w:bCs/>
          <w:color w:val="303030"/>
          <w:sz w:val="21"/>
          <w:szCs w:val="21"/>
          <w:highlight w:val="white"/>
        </w:rPr>
      </w:pPr>
    </w:p>
    <w:p w14:paraId="1D4CEE31" w14:textId="77777777" w:rsidR="00102269" w:rsidRDefault="00102269">
      <w:pPr>
        <w:rPr>
          <w:rFonts w:ascii="Times New Roman" w:eastAsia="Times New Roman" w:hAnsi="Times New Roman" w:cs="Times New Roman"/>
          <w:b/>
          <w:bCs/>
          <w:color w:val="303030"/>
          <w:sz w:val="24"/>
          <w:szCs w:val="24"/>
          <w:highlight w:val="white"/>
        </w:rPr>
      </w:pPr>
    </w:p>
    <w:p w14:paraId="1507CD7C" w14:textId="6197F2DD" w:rsidR="0004752F" w:rsidRDefault="003B4E5F">
      <w:pPr>
        <w:rPr>
          <w:rFonts w:ascii="Times New Roman" w:eastAsia="Times New Roman" w:hAnsi="Times New Roman" w:cs="Times New Roman"/>
          <w:b/>
          <w:bCs/>
          <w:color w:val="303030"/>
          <w:sz w:val="24"/>
          <w:szCs w:val="24"/>
          <w:highlight w:val="white"/>
        </w:rPr>
      </w:pPr>
      <w:r>
        <w:rPr>
          <w:rFonts w:ascii="Times New Roman" w:eastAsia="Times New Roman" w:hAnsi="Times New Roman" w:cs="Times New Roman"/>
          <w:b/>
          <w:bCs/>
          <w:color w:val="303030"/>
          <w:sz w:val="24"/>
          <w:szCs w:val="24"/>
          <w:highlight w:val="white"/>
        </w:rPr>
        <w:t>Abstract</w:t>
      </w:r>
    </w:p>
    <w:p w14:paraId="6762C56B" w14:textId="77777777" w:rsidR="0004752F" w:rsidRDefault="0004752F">
      <w:pPr>
        <w:rPr>
          <w:b/>
          <w:bCs/>
          <w:color w:val="303030"/>
          <w:sz w:val="21"/>
          <w:szCs w:val="21"/>
          <w:highlight w:val="white"/>
        </w:rPr>
      </w:pPr>
    </w:p>
    <w:p w14:paraId="533C7CA0" w14:textId="641F07EE"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Oral squamous cell carcinoma (OSCC) is a major health burden with a disproportionately high incidence in regions such as India due to cultural habits like tobacco and betel nut chewing. Despite significant therapeutic advancements, low overall survival rates are encountered in advanced cases. Tobacco, alcohol, and the human papillomavirus (HPV) are the traditional risk factors. Chronic inflammation has emerged as a pivotal driver in the transition from normal epithelium to malignancy. This process is largely governed by the transcription factor nuclear factor kappa B (NF-</w:t>
      </w:r>
      <w:proofErr w:type="spellStart"/>
      <w:r>
        <w:rPr>
          <w:rFonts w:ascii="Times New Roman" w:eastAsia="Times New Roman" w:hAnsi="Times New Roman" w:cs="Times New Roman"/>
          <w:sz w:val="24"/>
          <w:szCs w:val="24"/>
          <w:highlight w:val="white"/>
        </w:rPr>
        <w:t>κB</w:t>
      </w:r>
      <w:proofErr w:type="spellEnd"/>
      <w:r>
        <w:rPr>
          <w:rFonts w:ascii="Times New Roman" w:eastAsia="Times New Roman" w:hAnsi="Times New Roman" w:cs="Times New Roman"/>
          <w:sz w:val="24"/>
          <w:szCs w:val="24"/>
          <w:highlight w:val="white"/>
        </w:rPr>
        <w:t>), which initiates pro-inflammatory signalling cascades that promote cell proliferation, inhibit apoptosis, and facilitate angiogenesis. Key cytokines such as TNF-α and IL-6 serve as critical indicators of poor prognosis. The host’s systemic inflammatory response (SIS) can offer cost-effective prognostic insights through peripheral blood markers. Specifically, a high pre-operative Neutrophil-to-Lymphocyte Ratio (NLR) is a robust independent predictor of poor survival, while elevated C-reactive protein (CRP) levels (&gt;15 mg/L) significantly increase the hazard of head and neck cancer. Within the local tumour microenvironment, the presence of CD67+ tumour-associated macrophages correlate with metastasis, whereas a dense lymphocytic host response (LHR) indicates superior cytotoxic T-cell activity and improved clinical outcomes. Furthermore, nutritional status is vital, particularly in aged populations. The Prognostic Nutritional Index (PNI) is a robust predictor of 5-year survival. Local oral health disorders also act as precursors of invasive malignancy, with periodontitis and impacted teeth associated with sixfold and twelvefold increases in cancer hazard, respectively. Beyond biological markers, sociodemographic factors also impact the oncological outcomes of oral cancer. Integrating these systemic markers, nutritional indices, and oral health screenings into clinical practice, alongside the updated AJCC 8th edition staging system, is essential for improving early detection and developing personalised treatment strategies for OSCC.</w:t>
      </w:r>
    </w:p>
    <w:p w14:paraId="5285EF66" w14:textId="77777777" w:rsidR="0004752F" w:rsidRDefault="0004752F">
      <w:pPr>
        <w:rPr>
          <w:b/>
          <w:bCs/>
          <w:color w:val="303030"/>
          <w:sz w:val="21"/>
          <w:szCs w:val="21"/>
          <w:highlight w:val="white"/>
        </w:rPr>
      </w:pPr>
    </w:p>
    <w:p w14:paraId="773DFDC2" w14:textId="77777777" w:rsidR="0004752F" w:rsidRDefault="0004752F">
      <w:pPr>
        <w:rPr>
          <w:b/>
          <w:bCs/>
          <w:color w:val="303030"/>
          <w:sz w:val="21"/>
          <w:szCs w:val="21"/>
          <w:highlight w:val="white"/>
        </w:rPr>
      </w:pPr>
    </w:p>
    <w:p w14:paraId="203CF649" w14:textId="77777777" w:rsidR="0004752F" w:rsidRDefault="003B4E5F">
      <w:pPr>
        <w:jc w:val="both"/>
        <w:rPr>
          <w:rFonts w:ascii="Times New Roman" w:eastAsia="Times New Roman" w:hAnsi="Times New Roman" w:cs="Times New Roman"/>
          <w:b/>
          <w:bCs/>
          <w:color w:val="303030"/>
          <w:sz w:val="24"/>
          <w:szCs w:val="24"/>
          <w:highlight w:val="white"/>
        </w:rPr>
      </w:pPr>
      <w:r>
        <w:rPr>
          <w:rFonts w:ascii="Times New Roman" w:eastAsia="Times New Roman" w:hAnsi="Times New Roman" w:cs="Times New Roman"/>
          <w:b/>
          <w:bCs/>
          <w:color w:val="303030"/>
          <w:sz w:val="24"/>
          <w:szCs w:val="24"/>
          <w:highlight w:val="white"/>
        </w:rPr>
        <w:t>Keywords: Oral Squamous Cell Carcinoma; Inflammation; Biomarkers; Prognosis; Tumour Microenvironment</w:t>
      </w:r>
    </w:p>
    <w:p w14:paraId="5DC11D45" w14:textId="77777777" w:rsidR="0004752F" w:rsidRDefault="0004752F">
      <w:pPr>
        <w:rPr>
          <w:b/>
          <w:bCs/>
          <w:color w:val="303030"/>
          <w:sz w:val="21"/>
          <w:szCs w:val="21"/>
          <w:highlight w:val="white"/>
        </w:rPr>
      </w:pPr>
    </w:p>
    <w:p w14:paraId="548CB63C" w14:textId="77777777" w:rsidR="0004752F" w:rsidRDefault="0004752F">
      <w:pPr>
        <w:rPr>
          <w:b/>
          <w:bCs/>
          <w:color w:val="303030"/>
          <w:sz w:val="21"/>
          <w:szCs w:val="21"/>
          <w:highlight w:val="white"/>
        </w:rPr>
      </w:pPr>
    </w:p>
    <w:p w14:paraId="3537F14B" w14:textId="77777777" w:rsidR="0004752F" w:rsidRDefault="003B4E5F">
      <w:pP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Introduction</w:t>
      </w:r>
    </w:p>
    <w:p w14:paraId="3E308763" w14:textId="77777777" w:rsidR="0004752F" w:rsidRDefault="0004752F">
      <w:pPr>
        <w:rPr>
          <w:color w:val="303030"/>
          <w:sz w:val="21"/>
          <w:szCs w:val="21"/>
          <w:highlight w:val="white"/>
        </w:rPr>
      </w:pPr>
    </w:p>
    <w:p w14:paraId="66C6C332"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Oral squamous cell carcinoma (OSCC) is the most common malignancy of the oral cavity [1]. </w:t>
      </w:r>
      <w:r>
        <w:rPr>
          <w:rFonts w:ascii="Times New Roman" w:eastAsia="Times New Roman" w:hAnsi="Times New Roman" w:cs="Times New Roman"/>
          <w:sz w:val="24"/>
          <w:szCs w:val="24"/>
        </w:rPr>
        <w:t xml:space="preserve">As per </w:t>
      </w:r>
      <w:proofErr w:type="spellStart"/>
      <w:r>
        <w:rPr>
          <w:rFonts w:ascii="Times New Roman" w:eastAsia="Times New Roman" w:hAnsi="Times New Roman" w:cs="Times New Roman"/>
          <w:sz w:val="24"/>
          <w:szCs w:val="24"/>
        </w:rPr>
        <w:t>Globocan</w:t>
      </w:r>
      <w:proofErr w:type="spellEnd"/>
      <w:r>
        <w:rPr>
          <w:rFonts w:ascii="Times New Roman" w:eastAsia="Times New Roman" w:hAnsi="Times New Roman" w:cs="Times New Roman"/>
          <w:sz w:val="24"/>
          <w:szCs w:val="24"/>
        </w:rPr>
        <w:t xml:space="preserve"> 2022, oral cancer is ranked as sixteenth most common cancer globally as per </w:t>
      </w:r>
      <w:r>
        <w:rPr>
          <w:rFonts w:ascii="Times New Roman" w:eastAsia="Times New Roman" w:hAnsi="Times New Roman" w:cs="Times New Roman"/>
          <w:sz w:val="24"/>
          <w:szCs w:val="24"/>
        </w:rPr>
        <w:lastRenderedPageBreak/>
        <w:t>incidence [2,3]</w:t>
      </w:r>
      <w:r>
        <w:rPr>
          <w:rFonts w:ascii="Times New Roman" w:eastAsia="Times New Roman" w:hAnsi="Times New Roman" w:cs="Times New Roman"/>
          <w:sz w:val="24"/>
          <w:szCs w:val="24"/>
          <w:highlight w:val="white"/>
        </w:rPr>
        <w:t xml:space="preserve">. In specific regions like India, the burden is disproportionately high, accounting for more than 30% of all malignancies diagnosed annually [4,5]. This high incidence is largely driven by high rates of tobacco chewing, betel or areca nut chewing and smoking [6-8]. In spite of major advancements in multimodal therapies, the clinical reality for patients is not impressive. The 5-year survival rate stands at approximately 50-60% in advanced cases [9-10]. This further gets reduced to around 30% for patients presenting with metastatic disease. The high mortality rate is exacerbated by late-stage diagnosis [11-13]. </w:t>
      </w:r>
      <w:r>
        <w:rPr>
          <w:rFonts w:ascii="Times New Roman" w:eastAsia="Times New Roman" w:hAnsi="Times New Roman" w:cs="Times New Roman"/>
          <w:sz w:val="24"/>
          <w:szCs w:val="24"/>
        </w:rPr>
        <w:t>The recurrence rate also remains high in locally advanced oral cancer cases - 40-60% [6,11,12,14].</w:t>
      </w:r>
    </w:p>
    <w:p w14:paraId="723B3405"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pathogenesis of OSCC is a complex, multifactorial process which involves chronic exposure to carcinogens. The most recognised carcinogens are tobacco, alcohol and viral infections like the human papillomavirus (HPV) [6-8,15-17]. However, beyond external carcinogens, the role of inflammation has emerged as a pivotal factor in the transition from normal epithelium to malignancy [18]. Chronic inflammation creates a pathologically favourable microenvironment characterised by the release of mediators that often inadvertently stimulate tumour growth, local invasion, angiogenesis, and metastasis [19-21].</w:t>
      </w:r>
    </w:p>
    <w:p w14:paraId="6447A25E"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At the molecular level, the transcription factor nuclear factor kappa B (NF-</w:t>
      </w:r>
      <w:proofErr w:type="spellStart"/>
      <w:r>
        <w:rPr>
          <w:rFonts w:ascii="Times New Roman" w:eastAsia="Times New Roman" w:hAnsi="Times New Roman" w:cs="Times New Roman"/>
          <w:sz w:val="24"/>
          <w:szCs w:val="24"/>
          <w:highlight w:val="white"/>
        </w:rPr>
        <w:t>κB</w:t>
      </w:r>
      <w:proofErr w:type="spellEnd"/>
      <w:r>
        <w:rPr>
          <w:rFonts w:ascii="Times New Roman" w:eastAsia="Times New Roman" w:hAnsi="Times New Roman" w:cs="Times New Roman"/>
          <w:sz w:val="24"/>
          <w:szCs w:val="24"/>
          <w:highlight w:val="white"/>
        </w:rPr>
        <w:t>) serves as a central regulator of inflammation-driven carcinogenesis. NF-</w:t>
      </w:r>
      <w:proofErr w:type="spellStart"/>
      <w:r>
        <w:rPr>
          <w:rFonts w:ascii="Times New Roman" w:eastAsia="Times New Roman" w:hAnsi="Times New Roman" w:cs="Times New Roman"/>
          <w:sz w:val="24"/>
          <w:szCs w:val="24"/>
          <w:highlight w:val="white"/>
        </w:rPr>
        <w:t>κB</w:t>
      </w:r>
      <w:proofErr w:type="spellEnd"/>
      <w:r>
        <w:rPr>
          <w:rFonts w:ascii="Times New Roman" w:eastAsia="Times New Roman" w:hAnsi="Times New Roman" w:cs="Times New Roman"/>
          <w:sz w:val="24"/>
          <w:szCs w:val="24"/>
          <w:highlight w:val="white"/>
        </w:rPr>
        <w:t xml:space="preserve">-mediated signalling cascades promote the release of pro-inflammatory cytokines such as TNF-α, IL-6, and IL-1β, creating a feedback loop that perpetuates a tumour-promoting microenvironment [22-25]. Among these, TNF-α is particularly significant. Clinical studies show that patients with high TNF-α </w:t>
      </w:r>
      <w:proofErr w:type="spellStart"/>
      <w:r>
        <w:rPr>
          <w:rFonts w:ascii="Times New Roman" w:eastAsia="Times New Roman" w:hAnsi="Times New Roman" w:cs="Times New Roman"/>
          <w:sz w:val="24"/>
          <w:szCs w:val="24"/>
          <w:highlight w:val="white"/>
        </w:rPr>
        <w:t>immunoexpression</w:t>
      </w:r>
      <w:proofErr w:type="spellEnd"/>
      <w:r>
        <w:rPr>
          <w:rFonts w:ascii="Times New Roman" w:eastAsia="Times New Roman" w:hAnsi="Times New Roman" w:cs="Times New Roman"/>
          <w:sz w:val="24"/>
          <w:szCs w:val="24"/>
          <w:highlight w:val="white"/>
        </w:rPr>
        <w:t xml:space="preserve"> in tumour tissue and metastatic lymph nodes have significantly lower survival rates [26-28]. Furthermore, IL-6 facilitates the transition from acute to chronic inflammation and is associated with increased tumour size, advanced staging, and resistance to chemotherapy [29-31].</w:t>
      </w:r>
    </w:p>
    <w:p w14:paraId="2B2CE869"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host’s systemic inflammatory response (SIS) is measured through peripheral blood markers such as the Neutrophil-to-Lymphocyte Ratio (NLR), Platelet-to-Lymphocyte Ratio (PLR), and C-reactive protein (CRP). Pre-operative NLR is a robust independent predictor of survival [32,33]. Patients with low NLR survive longer than those with high NLR. Additionally, elevated CRP levels increase the hazard of head and neck cancer (HNC) [34-36].</w:t>
      </w:r>
    </w:p>
    <w:p w14:paraId="74DCCC13"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Local factors in the tumour microenvironment (TME) also influence outcomes. Tumour-associated macrophages (CD68+ cells) are unfavourable prognostic factors as they facilitate metastasis [37-39], whereas a dense lymphocytic host response (LHR) at the invasive front is associated with improved clinical outcomes and cytotoxic T-cell activity [40]. In aged patients, the Prognostic Nutritional Index (PNI), which combines albumin and lymphocyte counts, is a vital predictor of 5-year overall survival [41,42].</w:t>
      </w:r>
    </w:p>
    <w:p w14:paraId="558DDD20"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Finally, local oral health disorders contribute significantly to risk - periodontitis is associated with a significant increase in HNC hazard [43,44], while impacted teeth can elevate risk due to chronic irritation [45]. These findings underscore the need for integrating systemic inflammatory markers and oral health screenings to improve early detection and personalised therapy for OSCC.</w:t>
      </w:r>
    </w:p>
    <w:p w14:paraId="3E6907F1" w14:textId="77777777" w:rsidR="0004752F" w:rsidRDefault="0004752F">
      <w:pPr>
        <w:jc w:val="both"/>
        <w:rPr>
          <w:rFonts w:ascii="Times New Roman" w:eastAsia="Times New Roman" w:hAnsi="Times New Roman" w:cs="Times New Roman"/>
          <w:sz w:val="24"/>
          <w:szCs w:val="24"/>
          <w:highlight w:val="white"/>
        </w:rPr>
      </w:pPr>
    </w:p>
    <w:p w14:paraId="5E6270EE"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Table 1. Various Biomarkers in OSCC</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04752F" w14:paraId="4BEEE84F" w14:textId="77777777">
        <w:tc>
          <w:tcPr>
            <w:tcW w:w="4514" w:type="dxa"/>
            <w:tcMar>
              <w:top w:w="100" w:type="dxa"/>
              <w:left w:w="100" w:type="dxa"/>
              <w:bottom w:w="100" w:type="dxa"/>
              <w:right w:w="100" w:type="dxa"/>
            </w:tcMar>
          </w:tcPr>
          <w:p w14:paraId="01934623" w14:textId="77777777" w:rsidR="0004752F" w:rsidRDefault="003B4E5F">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Biomarker Type</w:t>
            </w:r>
          </w:p>
        </w:tc>
        <w:tc>
          <w:tcPr>
            <w:tcW w:w="4514" w:type="dxa"/>
            <w:tcMar>
              <w:top w:w="100" w:type="dxa"/>
              <w:left w:w="100" w:type="dxa"/>
              <w:bottom w:w="100" w:type="dxa"/>
              <w:right w:w="100" w:type="dxa"/>
            </w:tcMar>
          </w:tcPr>
          <w:p w14:paraId="09F660DE" w14:textId="77777777" w:rsidR="0004752F" w:rsidRDefault="003B4E5F">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Example</w:t>
            </w:r>
          </w:p>
        </w:tc>
      </w:tr>
      <w:tr w:rsidR="0004752F" w14:paraId="74AB2E4D" w14:textId="77777777">
        <w:tc>
          <w:tcPr>
            <w:tcW w:w="4514" w:type="dxa"/>
            <w:tcMar>
              <w:top w:w="100" w:type="dxa"/>
              <w:left w:w="100" w:type="dxa"/>
              <w:bottom w:w="100" w:type="dxa"/>
              <w:right w:w="100" w:type="dxa"/>
            </w:tcMar>
          </w:tcPr>
          <w:p w14:paraId="275304DE" w14:textId="77777777" w:rsidR="0004752F" w:rsidRDefault="003B4E5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Inflammatory marker</w:t>
            </w:r>
          </w:p>
        </w:tc>
        <w:tc>
          <w:tcPr>
            <w:tcW w:w="4514" w:type="dxa"/>
            <w:tcMar>
              <w:top w:w="100" w:type="dxa"/>
              <w:left w:w="100" w:type="dxa"/>
              <w:bottom w:w="100" w:type="dxa"/>
              <w:right w:w="100" w:type="dxa"/>
            </w:tcMar>
          </w:tcPr>
          <w:p w14:paraId="36EE727E" w14:textId="77777777" w:rsidR="0004752F" w:rsidRDefault="003B4E5F">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Tumour Necrosis Factor-alpha (TNF-α), Interleukin-6 (IL-6), IL-1β, IL-10, IL-4</w:t>
            </w:r>
          </w:p>
        </w:tc>
      </w:tr>
      <w:tr w:rsidR="0004752F" w14:paraId="2DE8B6EE" w14:textId="77777777">
        <w:tc>
          <w:tcPr>
            <w:tcW w:w="4514" w:type="dxa"/>
            <w:tcMar>
              <w:top w:w="100" w:type="dxa"/>
              <w:left w:w="100" w:type="dxa"/>
              <w:bottom w:w="100" w:type="dxa"/>
              <w:right w:w="100" w:type="dxa"/>
            </w:tcMar>
          </w:tcPr>
          <w:p w14:paraId="661C3AB4" w14:textId="77777777" w:rsidR="0004752F" w:rsidRDefault="003B4E5F">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Systemic Inflammatory Response marker</w:t>
            </w:r>
          </w:p>
        </w:tc>
        <w:tc>
          <w:tcPr>
            <w:tcW w:w="4514" w:type="dxa"/>
            <w:tcMar>
              <w:top w:w="100" w:type="dxa"/>
              <w:left w:w="100" w:type="dxa"/>
              <w:bottom w:w="100" w:type="dxa"/>
              <w:right w:w="100" w:type="dxa"/>
            </w:tcMar>
          </w:tcPr>
          <w:p w14:paraId="6404F99C" w14:textId="77777777" w:rsidR="0004752F" w:rsidRDefault="003B4E5F">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Neutrophil-to-Lymphocyte Ratio (NLR), Platelet-to-Lymphocyte Ratio (PLR), C-Reactive Protein (CRP)</w:t>
            </w:r>
          </w:p>
        </w:tc>
      </w:tr>
      <w:tr w:rsidR="0004752F" w14:paraId="1853053C" w14:textId="77777777">
        <w:tc>
          <w:tcPr>
            <w:tcW w:w="4514" w:type="dxa"/>
            <w:tcMar>
              <w:top w:w="100" w:type="dxa"/>
              <w:left w:w="100" w:type="dxa"/>
              <w:bottom w:w="100" w:type="dxa"/>
              <w:right w:w="100" w:type="dxa"/>
            </w:tcMar>
          </w:tcPr>
          <w:p w14:paraId="53BE9975" w14:textId="77777777" w:rsidR="0004752F" w:rsidRDefault="003B4E5F">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Proteolytic and Oxidative Stress marker</w:t>
            </w:r>
          </w:p>
        </w:tc>
        <w:tc>
          <w:tcPr>
            <w:tcW w:w="4514" w:type="dxa"/>
            <w:tcMar>
              <w:top w:w="100" w:type="dxa"/>
              <w:left w:w="100" w:type="dxa"/>
              <w:bottom w:w="100" w:type="dxa"/>
              <w:right w:w="100" w:type="dxa"/>
            </w:tcMar>
          </w:tcPr>
          <w:p w14:paraId="521204E7" w14:textId="77777777" w:rsidR="0004752F" w:rsidRDefault="003B4E5F">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Matrix Metalloproteinases - MMP 2/7/9, Cyclooxygenase-1 (COX-1), COX-2, Galectin-1, Galectin-9</w:t>
            </w:r>
          </w:p>
        </w:tc>
      </w:tr>
      <w:tr w:rsidR="0004752F" w14:paraId="623BEB54" w14:textId="77777777">
        <w:tc>
          <w:tcPr>
            <w:tcW w:w="4514" w:type="dxa"/>
            <w:tcMar>
              <w:top w:w="100" w:type="dxa"/>
              <w:left w:w="100" w:type="dxa"/>
              <w:bottom w:w="100" w:type="dxa"/>
              <w:right w:w="100" w:type="dxa"/>
            </w:tcMar>
          </w:tcPr>
          <w:p w14:paraId="43FC972D" w14:textId="77777777" w:rsidR="0004752F" w:rsidRDefault="003B4E5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Nutritional marker</w:t>
            </w:r>
          </w:p>
        </w:tc>
        <w:tc>
          <w:tcPr>
            <w:tcW w:w="4514" w:type="dxa"/>
            <w:tcMar>
              <w:top w:w="100" w:type="dxa"/>
              <w:left w:w="100" w:type="dxa"/>
              <w:bottom w:w="100" w:type="dxa"/>
              <w:right w:w="100" w:type="dxa"/>
            </w:tcMar>
          </w:tcPr>
          <w:p w14:paraId="4C408505" w14:textId="77777777" w:rsidR="0004752F" w:rsidRDefault="003B4E5F">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Prognostic Nutritional Index (PNI), Controlling Nutritional Status (CONUT), Modified CONUT (</w:t>
            </w:r>
            <w:proofErr w:type="spellStart"/>
            <w:r>
              <w:rPr>
                <w:rFonts w:ascii="Times New Roman" w:eastAsia="Times New Roman" w:hAnsi="Times New Roman" w:cs="Times New Roman"/>
                <w:sz w:val="24"/>
                <w:szCs w:val="24"/>
                <w:highlight w:val="white"/>
              </w:rPr>
              <w:t>mCONUT</w:t>
            </w:r>
            <w:proofErr w:type="spellEnd"/>
            <w:r>
              <w:rPr>
                <w:rFonts w:ascii="Times New Roman" w:eastAsia="Times New Roman" w:hAnsi="Times New Roman" w:cs="Times New Roman"/>
                <w:sz w:val="24"/>
                <w:szCs w:val="24"/>
                <w:highlight w:val="white"/>
              </w:rPr>
              <w:t>)</w:t>
            </w:r>
          </w:p>
        </w:tc>
      </w:tr>
    </w:tbl>
    <w:p w14:paraId="2FBFDF8A" w14:textId="77777777" w:rsidR="0004752F" w:rsidRDefault="0004752F">
      <w:pPr>
        <w:jc w:val="both"/>
        <w:rPr>
          <w:rFonts w:ascii="Times New Roman" w:eastAsia="Times New Roman" w:hAnsi="Times New Roman" w:cs="Times New Roman"/>
          <w:sz w:val="24"/>
          <w:szCs w:val="24"/>
          <w:highlight w:val="white"/>
        </w:rPr>
      </w:pPr>
    </w:p>
    <w:p w14:paraId="6EEF8BCB" w14:textId="77777777" w:rsidR="0004752F" w:rsidRDefault="0004752F">
      <w:pPr>
        <w:rPr>
          <w:color w:val="303030"/>
          <w:sz w:val="21"/>
          <w:szCs w:val="21"/>
          <w:highlight w:val="white"/>
        </w:rPr>
      </w:pPr>
    </w:p>
    <w:p w14:paraId="76D2E2B4" w14:textId="77777777" w:rsidR="0004752F" w:rsidRDefault="0004752F">
      <w:pPr>
        <w:rPr>
          <w:b/>
          <w:bCs/>
          <w:color w:val="303030"/>
          <w:sz w:val="21"/>
          <w:szCs w:val="21"/>
          <w:highlight w:val="white"/>
        </w:rPr>
      </w:pPr>
    </w:p>
    <w:p w14:paraId="13500C41" w14:textId="77777777" w:rsidR="0004752F" w:rsidRDefault="003B4E5F">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Molecular Mechanisms: The Inflammatory Engines of Carcinogenesis</w:t>
      </w:r>
    </w:p>
    <w:p w14:paraId="00F2CCA5" w14:textId="77777777" w:rsidR="0004752F" w:rsidRDefault="0004752F">
      <w:pPr>
        <w:jc w:val="both"/>
        <w:rPr>
          <w:rFonts w:ascii="Times New Roman" w:eastAsia="Times New Roman" w:hAnsi="Times New Roman" w:cs="Times New Roman"/>
          <w:sz w:val="24"/>
          <w:szCs w:val="24"/>
          <w:highlight w:val="white"/>
        </w:rPr>
      </w:pPr>
    </w:p>
    <w:p w14:paraId="7DA17DCD"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transcription factor nuclear factor kappa B (NF-</w:t>
      </w:r>
      <w:proofErr w:type="spellStart"/>
      <w:r>
        <w:rPr>
          <w:rFonts w:ascii="Times New Roman" w:eastAsia="Times New Roman" w:hAnsi="Times New Roman" w:cs="Times New Roman"/>
          <w:sz w:val="24"/>
          <w:szCs w:val="24"/>
          <w:highlight w:val="white"/>
        </w:rPr>
        <w:t>κB</w:t>
      </w:r>
      <w:proofErr w:type="spellEnd"/>
      <w:r>
        <w:rPr>
          <w:rFonts w:ascii="Times New Roman" w:eastAsia="Times New Roman" w:hAnsi="Times New Roman" w:cs="Times New Roman"/>
          <w:sz w:val="24"/>
          <w:szCs w:val="24"/>
          <w:highlight w:val="white"/>
        </w:rPr>
        <w:t>) serves as a central molecular regulator at the heart of inflammation-driven carcinogenesis in OSCC. When activated by carcinogens, viral proteins, or infectious agents, NF-</w:t>
      </w:r>
      <w:proofErr w:type="spellStart"/>
      <w:r>
        <w:rPr>
          <w:rFonts w:ascii="Times New Roman" w:eastAsia="Times New Roman" w:hAnsi="Times New Roman" w:cs="Times New Roman"/>
          <w:sz w:val="24"/>
          <w:szCs w:val="24"/>
          <w:highlight w:val="white"/>
        </w:rPr>
        <w:t>κB</w:t>
      </w:r>
      <w:proofErr w:type="spellEnd"/>
      <w:r>
        <w:rPr>
          <w:rFonts w:ascii="Times New Roman" w:eastAsia="Times New Roman" w:hAnsi="Times New Roman" w:cs="Times New Roman"/>
          <w:sz w:val="24"/>
          <w:szCs w:val="24"/>
          <w:highlight w:val="white"/>
        </w:rPr>
        <w:t xml:space="preserve"> initiates a pro-inflammatory signalling cascade that promotes cell proliferation, inhibits apoptosis, and facilitates the hallmarks of cancer progression - invasion and angiogenesis [22-25]. Notably, pathogenic bacteria can trigger this pathway by releasing endotoxins like lipopolysaccharide, which activates toll-like receptor 4, further driving NF-</w:t>
      </w:r>
      <w:proofErr w:type="spellStart"/>
      <w:r>
        <w:rPr>
          <w:rFonts w:ascii="Times New Roman" w:eastAsia="Times New Roman" w:hAnsi="Times New Roman" w:cs="Times New Roman"/>
          <w:sz w:val="24"/>
          <w:szCs w:val="24"/>
          <w:highlight w:val="white"/>
        </w:rPr>
        <w:t>κB</w:t>
      </w:r>
      <w:proofErr w:type="spellEnd"/>
      <w:r>
        <w:rPr>
          <w:rFonts w:ascii="Times New Roman" w:eastAsia="Times New Roman" w:hAnsi="Times New Roman" w:cs="Times New Roman"/>
          <w:sz w:val="24"/>
          <w:szCs w:val="24"/>
          <w:highlight w:val="white"/>
        </w:rPr>
        <w:t>-mediated cytokine release [46,47].</w:t>
      </w:r>
    </w:p>
    <w:p w14:paraId="37641397" w14:textId="4DE5B74E"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activation of NF-</w:t>
      </w:r>
      <w:proofErr w:type="spellStart"/>
      <w:r>
        <w:rPr>
          <w:rFonts w:ascii="Times New Roman" w:eastAsia="Times New Roman" w:hAnsi="Times New Roman" w:cs="Times New Roman"/>
          <w:sz w:val="24"/>
          <w:szCs w:val="24"/>
          <w:highlight w:val="white"/>
        </w:rPr>
        <w:t>κB</w:t>
      </w:r>
      <w:proofErr w:type="spellEnd"/>
      <w:r>
        <w:rPr>
          <w:rFonts w:ascii="Times New Roman" w:eastAsia="Times New Roman" w:hAnsi="Times New Roman" w:cs="Times New Roman"/>
          <w:sz w:val="24"/>
          <w:szCs w:val="24"/>
          <w:highlight w:val="white"/>
        </w:rPr>
        <w:t xml:space="preserve"> triggers the overproduction of a diverse array of cytokines in the OSCC microenvironment. Tumour Necrosis Factor-alpha (TNF-α) is a significant predictor of poor clinical outcomes [26-28]. Research involving 76 OSCC patients demonstrated that deceased patients had significantly higher TNF-α </w:t>
      </w:r>
      <w:proofErr w:type="spellStart"/>
      <w:r>
        <w:rPr>
          <w:rFonts w:ascii="Times New Roman" w:eastAsia="Times New Roman" w:hAnsi="Times New Roman" w:cs="Times New Roman"/>
          <w:sz w:val="24"/>
          <w:szCs w:val="24"/>
          <w:highlight w:val="white"/>
        </w:rPr>
        <w:t>immunoexpression</w:t>
      </w:r>
      <w:proofErr w:type="spellEnd"/>
      <w:r>
        <w:rPr>
          <w:rFonts w:ascii="Times New Roman" w:eastAsia="Times New Roman" w:hAnsi="Times New Roman" w:cs="Times New Roman"/>
          <w:sz w:val="24"/>
          <w:szCs w:val="24"/>
          <w:highlight w:val="white"/>
        </w:rPr>
        <w:t xml:space="preserve"> in both primary tumours and metastatic lymph nodes compared to survivors [48]. TNF-α is essential for both the initiation and progression of tumours - it assists in angiogenesis and the synthesis of matrix metalloproteinases (MMPs), which facilitate local invasion and metastasis. Its activation also induces autocrine loops that perpetuate the overproduction of other chemokines and interleukins [49]. Furthermore, TNF-α enhances the fusion between OSCC cells and endothelial cells via the VCAM-1 pathway, further driving metastasis [50].</w:t>
      </w:r>
    </w:p>
    <w:p w14:paraId="15505F73"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Interleukin-6 (IL-6) and IL-1β</w:t>
      </w:r>
      <w:r>
        <w:rPr>
          <w:rFonts w:ascii="Times New Roman" w:eastAsia="Times New Roman" w:hAnsi="Times New Roman" w:cs="Times New Roman"/>
          <w:b/>
          <w:bCs/>
          <w:sz w:val="24"/>
          <w:szCs w:val="24"/>
          <w:highlight w:val="white"/>
        </w:rPr>
        <w:t xml:space="preserve"> </w:t>
      </w:r>
      <w:r>
        <w:rPr>
          <w:rFonts w:ascii="Times New Roman" w:eastAsia="Times New Roman" w:hAnsi="Times New Roman" w:cs="Times New Roman"/>
          <w:sz w:val="24"/>
          <w:szCs w:val="24"/>
          <w:highlight w:val="white"/>
        </w:rPr>
        <w:t xml:space="preserve">are critical mediators in the acute inflammatory response that contribute to the transition to chronic inflammation by recruiting monocytes to the site of injury [51,52]. In OSCC, elevated expression of IL-6 and its receptor is positively associated with increased tumour size, advanced histopathological stage, and resistance to chemotherapy [29-31]. High levels of IL-6 are also implicated in ferroptosis resistance - an iron-dependent form of cell death, by upregulating critical antiporters through the JAK2/STAT3 pathway, thereby reinforcing the role of chronic inflammation in tumour survival [53]. Systemically, IL-6 is the </w:t>
      </w:r>
      <w:r>
        <w:rPr>
          <w:rFonts w:ascii="Times New Roman" w:eastAsia="Times New Roman" w:hAnsi="Times New Roman" w:cs="Times New Roman"/>
          <w:sz w:val="24"/>
          <w:szCs w:val="24"/>
          <w:highlight w:val="white"/>
        </w:rPr>
        <w:lastRenderedPageBreak/>
        <w:t>primary cytokine that stimulates hepatocytes to produce C-reactive protein (CRP), a robust biomarker of systemic inflammation and HNC risk [54].</w:t>
      </w:r>
    </w:p>
    <w:p w14:paraId="476A7F37"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Anti-inflammatory cytokines like IL-10 and IL-4 typically inhibit inflammation. In the OSCC microenvironment, they facilitate immune evasion [55]. IL-10 is often prevalent in tumour tissue and metastatic lymph nodes, where it inhibits the release of pro-inflammatory mediators and suppresses antigen presentation. Rather than offering a better prognosis, high IL-10 expression is associated with a more aggressive tumour phenotype [56]. Similarly, IL-4 has been found in higher concentrations in OSCC compared to premalignant lesions, suggesting a role in suppressing local immune surveillance [55]. Interestingly, while IL-4 typically inhibits inflammation, it may suppress NF-</w:t>
      </w:r>
      <w:proofErr w:type="spellStart"/>
      <w:r>
        <w:rPr>
          <w:rFonts w:ascii="Times New Roman" w:eastAsia="Times New Roman" w:hAnsi="Times New Roman" w:cs="Times New Roman"/>
          <w:sz w:val="24"/>
          <w:szCs w:val="24"/>
          <w:highlight w:val="white"/>
        </w:rPr>
        <w:t>κB</w:t>
      </w:r>
      <w:proofErr w:type="spellEnd"/>
      <w:r>
        <w:rPr>
          <w:rFonts w:ascii="Times New Roman" w:eastAsia="Times New Roman" w:hAnsi="Times New Roman" w:cs="Times New Roman"/>
          <w:sz w:val="24"/>
          <w:szCs w:val="24"/>
          <w:highlight w:val="white"/>
        </w:rPr>
        <w:t xml:space="preserve"> activation in certain contexts to increase the production of MMP-9, thereby paradoxically assisting in the degradation of the extracellular matrix [57,58].</w:t>
      </w:r>
    </w:p>
    <w:p w14:paraId="5B9F42E9"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synergy between these markers and sociodemographic factors is profound - for instance, the combination of high TNF-α expression and low education levels has been shown to result in significantly lower survival rates and more advanced disease staging [48].</w:t>
      </w:r>
    </w:p>
    <w:p w14:paraId="07D6CDFF" w14:textId="77777777" w:rsidR="0004752F" w:rsidRDefault="0004752F">
      <w:pPr>
        <w:rPr>
          <w:color w:val="303030"/>
          <w:sz w:val="21"/>
          <w:szCs w:val="21"/>
          <w:highlight w:val="white"/>
        </w:rPr>
      </w:pPr>
    </w:p>
    <w:p w14:paraId="56A971F2" w14:textId="77777777" w:rsidR="0004752F" w:rsidRDefault="0004752F">
      <w:pPr>
        <w:rPr>
          <w:b/>
          <w:bCs/>
          <w:color w:val="303030"/>
          <w:sz w:val="21"/>
          <w:szCs w:val="21"/>
          <w:highlight w:val="white"/>
        </w:rPr>
      </w:pPr>
    </w:p>
    <w:p w14:paraId="3D85479A" w14:textId="77777777" w:rsidR="0004752F" w:rsidRDefault="003B4E5F">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Systemic Inflammatory Response (SIS) and Peripheral Blood Markers</w:t>
      </w:r>
    </w:p>
    <w:p w14:paraId="3D18ADFF" w14:textId="77777777" w:rsidR="0004752F" w:rsidRDefault="0004752F">
      <w:pPr>
        <w:jc w:val="both"/>
        <w:rPr>
          <w:rFonts w:ascii="Times New Roman" w:eastAsia="Times New Roman" w:hAnsi="Times New Roman" w:cs="Times New Roman"/>
          <w:sz w:val="24"/>
          <w:szCs w:val="24"/>
          <w:highlight w:val="white"/>
        </w:rPr>
      </w:pPr>
    </w:p>
    <w:p w14:paraId="76D7DB50"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Because local inflammation within the tumour microenvironment is frequently reflected in systemic circulation, peripheral blood tests provide a cost-effective, accessible, and non-invasive window into the host's inflammatory state. The systemic inflammatory response (SIS) is increasingly recognised as a pivotal prognostic factor in oral squamous cell carcinoma (OSCC), as it captures the interplay between tumour-induced inflammation and host immunosuppression [32-36,59]. </w:t>
      </w:r>
    </w:p>
    <w:p w14:paraId="5205776F" w14:textId="77777777" w:rsidR="0004752F" w:rsidRDefault="0004752F">
      <w:pPr>
        <w:jc w:val="both"/>
        <w:rPr>
          <w:rFonts w:ascii="Times New Roman" w:eastAsia="Times New Roman" w:hAnsi="Times New Roman" w:cs="Times New Roman"/>
          <w:sz w:val="24"/>
          <w:szCs w:val="24"/>
          <w:highlight w:val="white"/>
        </w:rPr>
      </w:pPr>
    </w:p>
    <w:p w14:paraId="36C3C267"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Table 2. Systemic Inflammatory Response Markers</w:t>
      </w: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04752F" w14:paraId="2D6D9DD6" w14:textId="77777777">
        <w:tc>
          <w:tcPr>
            <w:tcW w:w="4514" w:type="dxa"/>
            <w:tcMar>
              <w:top w:w="100" w:type="dxa"/>
              <w:left w:w="100" w:type="dxa"/>
              <w:bottom w:w="100" w:type="dxa"/>
              <w:right w:w="100" w:type="dxa"/>
            </w:tcMar>
          </w:tcPr>
          <w:p w14:paraId="0F05C489" w14:textId="77777777" w:rsidR="0004752F" w:rsidRDefault="003B4E5F">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Marker</w:t>
            </w:r>
          </w:p>
        </w:tc>
        <w:tc>
          <w:tcPr>
            <w:tcW w:w="4514" w:type="dxa"/>
            <w:tcMar>
              <w:top w:w="100" w:type="dxa"/>
              <w:left w:w="100" w:type="dxa"/>
              <w:bottom w:w="100" w:type="dxa"/>
              <w:right w:w="100" w:type="dxa"/>
            </w:tcMar>
          </w:tcPr>
          <w:p w14:paraId="6B516A73" w14:textId="77777777" w:rsidR="0004752F" w:rsidRDefault="003B4E5F">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Calculation Formula</w:t>
            </w:r>
          </w:p>
        </w:tc>
      </w:tr>
      <w:tr w:rsidR="0004752F" w14:paraId="2549764D" w14:textId="77777777">
        <w:tc>
          <w:tcPr>
            <w:tcW w:w="4514" w:type="dxa"/>
            <w:tcMar>
              <w:top w:w="100" w:type="dxa"/>
              <w:left w:w="100" w:type="dxa"/>
              <w:bottom w:w="100" w:type="dxa"/>
              <w:right w:w="100" w:type="dxa"/>
            </w:tcMar>
          </w:tcPr>
          <w:p w14:paraId="614CEF7C" w14:textId="77777777" w:rsidR="0004752F" w:rsidRDefault="003B4E5F">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Neutrophil-to-Lymphocyte Ratio (NLR)</w:t>
            </w:r>
          </w:p>
        </w:tc>
        <w:tc>
          <w:tcPr>
            <w:tcW w:w="4514" w:type="dxa"/>
            <w:tcMar>
              <w:top w:w="100" w:type="dxa"/>
              <w:left w:w="100" w:type="dxa"/>
              <w:bottom w:w="100" w:type="dxa"/>
              <w:right w:w="100" w:type="dxa"/>
            </w:tcMar>
          </w:tcPr>
          <w:p w14:paraId="5F8C5298" w14:textId="77777777" w:rsidR="0004752F" w:rsidRDefault="003B4E5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Absolute Neutrophil count / Absolute Lymphocyte count</w:t>
            </w:r>
          </w:p>
        </w:tc>
      </w:tr>
      <w:tr w:rsidR="0004752F" w14:paraId="4C54094F" w14:textId="77777777">
        <w:tc>
          <w:tcPr>
            <w:tcW w:w="4514" w:type="dxa"/>
            <w:tcMar>
              <w:top w:w="100" w:type="dxa"/>
              <w:left w:w="100" w:type="dxa"/>
              <w:bottom w:w="100" w:type="dxa"/>
              <w:right w:w="100" w:type="dxa"/>
            </w:tcMar>
          </w:tcPr>
          <w:p w14:paraId="0E4C1CBA" w14:textId="77777777" w:rsidR="0004752F" w:rsidRDefault="003B4E5F">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Platelet-to-Lymphocyte Ratio (PLR)</w:t>
            </w:r>
          </w:p>
        </w:tc>
        <w:tc>
          <w:tcPr>
            <w:tcW w:w="4514" w:type="dxa"/>
            <w:tcMar>
              <w:top w:w="100" w:type="dxa"/>
              <w:left w:w="100" w:type="dxa"/>
              <w:bottom w:w="100" w:type="dxa"/>
              <w:right w:w="100" w:type="dxa"/>
            </w:tcMar>
          </w:tcPr>
          <w:p w14:paraId="18F6BA41" w14:textId="77777777" w:rsidR="0004752F" w:rsidRDefault="003B4E5F">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Absolute Platelet count / Absolute Lymphocyte count</w:t>
            </w:r>
          </w:p>
        </w:tc>
      </w:tr>
    </w:tbl>
    <w:p w14:paraId="4EF5F04B" w14:textId="77777777" w:rsidR="0004752F" w:rsidRDefault="0004752F">
      <w:pPr>
        <w:jc w:val="both"/>
        <w:rPr>
          <w:rFonts w:ascii="Times New Roman" w:eastAsia="Times New Roman" w:hAnsi="Times New Roman" w:cs="Times New Roman"/>
          <w:sz w:val="24"/>
          <w:szCs w:val="24"/>
          <w:highlight w:val="white"/>
        </w:rPr>
      </w:pPr>
    </w:p>
    <w:p w14:paraId="4C1049DB"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Neutrophil-to-Lymphocyte Ratio (NLR) is one of the most robust and widely validated independent factors for survival prediction. Biologically, peripheral blood neutrophilia reflects a pro-inflammatory state where neutrophils facilitate tumour progression by up-regulating matrix metalloproteinase 9 (MMP-9) and vascular endothelial growth factor (VEGF), both of which are essential for driving angiogenesis and extracellular matrix degradation [60]. Conversely, lymphopenia indicates a compromised host immune response, as lymphocytes are the primary mediators of cancer immune surveillance and function as an extrinsic tumour-suppressor system. A high pre-operative NLR reflects this imbalance between aggressive tumour-promoting inflammation and inadequate anti-tumour immunity [32,33]. Clinical </w:t>
      </w:r>
      <w:r>
        <w:rPr>
          <w:rFonts w:ascii="Times New Roman" w:eastAsia="Times New Roman" w:hAnsi="Times New Roman" w:cs="Times New Roman"/>
          <w:sz w:val="24"/>
          <w:szCs w:val="24"/>
          <w:highlight w:val="white"/>
        </w:rPr>
        <w:lastRenderedPageBreak/>
        <w:t>studies have shown that OSCC patients with a low NLR survive significantly longer than those with a high NLR, with a reported hazard ratio (HR) for mortality of 2.39 [61]. Optimal cut-off values typically range from 1.9 to 3.1 [61,62]. Values exceeding these thresholds are consistently associated with advanced AJCC stage, an increased risk of nodal metastasis, and local recurrence [32,33].</w:t>
      </w:r>
    </w:p>
    <w:p w14:paraId="27EE43E1"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Platelet-to-Lymphocyte Ratio (PLR) serves as another critical indicator of systemic inflammation and metastatic potential [63]. Platelets play a multifaceted role in cancer - they interact directly with circulating tumour cells to provide mechanical support and shield them from the cytotoxic activity of natural killer (NK) cells, thereby facilitating survival in the bloodstream and subsequent metastasis. Additionally, platelets contribute to increased vessel permeability and proliferation [64,65]. In OSCC, an elevated PLR - often driven by a combination of thrombocytosis and relative lymphopenia, is strongly associated with a higher pathological stage, increased lymph node involvement, and poorer overall treatment response [63,66].</w:t>
      </w:r>
    </w:p>
    <w:p w14:paraId="7AAEE919"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C-Reactive Protein (CRP) is a pentameric acute-phase protein synthesized in the liver, primarily under the stimulation of Interleukin-6 (IL-6), with IL-1β acting as a synergistic enhancer [67]. As the major cytokine inducing CRP expression, IL-6 also accelerates angiogenesis and inhibits ferroptosis, reinforcing the role of chronic inflammation in tumour survival [51,52]. CRP is regarded as one of the most relevant biomarkers of systemic inflammation. Recent longitudinal research indicates that elevated pre-operative CRP levels (&gt;15 mg/L) independently increase the risk of head and neck cancer (HNC) with a hazard ratio of 4.16 [68]. High CRP levels correlate with pathological aggressiveness, bone involvement, and lower survival rates [34-36,69,70].</w:t>
      </w:r>
    </w:p>
    <w:p w14:paraId="23316689"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Given that these markers can be obtained from routine, inexpensive laboratory panels, they offer a powerful tool for risk stratification and the creation of personalised treatment strategies in high-risk populations.</w:t>
      </w:r>
    </w:p>
    <w:p w14:paraId="39375263" w14:textId="77777777" w:rsidR="0004752F" w:rsidRDefault="0004752F">
      <w:pPr>
        <w:rPr>
          <w:b/>
          <w:bCs/>
          <w:color w:val="303030"/>
          <w:sz w:val="21"/>
          <w:szCs w:val="21"/>
          <w:highlight w:val="white"/>
        </w:rPr>
      </w:pPr>
    </w:p>
    <w:p w14:paraId="1A6077C9" w14:textId="77777777" w:rsidR="0004752F" w:rsidRDefault="0004752F">
      <w:pPr>
        <w:rPr>
          <w:b/>
          <w:bCs/>
          <w:color w:val="303030"/>
          <w:sz w:val="21"/>
          <w:szCs w:val="21"/>
          <w:highlight w:val="white"/>
        </w:rPr>
      </w:pPr>
    </w:p>
    <w:p w14:paraId="01E00901" w14:textId="77777777" w:rsidR="0004752F" w:rsidRDefault="003B4E5F">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The Tumour Microenvironment and Local Host Response</w:t>
      </w:r>
    </w:p>
    <w:p w14:paraId="0AC61A92" w14:textId="77777777" w:rsidR="0004752F" w:rsidRDefault="0004752F">
      <w:pPr>
        <w:jc w:val="both"/>
        <w:rPr>
          <w:rFonts w:ascii="Times New Roman" w:eastAsia="Times New Roman" w:hAnsi="Times New Roman" w:cs="Times New Roman"/>
          <w:sz w:val="24"/>
          <w:szCs w:val="24"/>
          <w:highlight w:val="white"/>
        </w:rPr>
      </w:pPr>
    </w:p>
    <w:p w14:paraId="6CF61726"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local Tumour Microenvironment (TME) consists of various immune cells and the mediators they release, which play an essential role in creating a pathologically favourable environment that allows for uncontrolled cell proliferation. This environment is shaped by two distinct pathways - the intrinsic pathway, mediated by the tumour cells themselves, and the extrinsic pathway, driven by tumour-infiltrating immune cells. Together, these pathways modulate the inflammatory landscape to promote malignancy, invasion, and metastasis [71].</w:t>
      </w:r>
    </w:p>
    <w:p w14:paraId="37E301E9"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Tumour-Associated Macrophages (TAMs), frequently identified by the CD68 pan-macrophage marker, are generally considered an unfavourable prognostic factor. These cells correlate with tumour progression by releasing enzymes and growth factors - such as VEGF and EGF, that interfere with angiogenesis and cell proliferation. Specifically, they release MMPs that lyse the extracellular matrix, directly promoting metastasis. Research has shown that CD68+ mononuclear cells are significantly more prevalent within the primary tumour and metastatic lymph nodes than in the connective tissue of the margin of surgical resection (MSR) [37-39].</w:t>
      </w:r>
    </w:p>
    <w:p w14:paraId="1ACD0E9B"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The Lymphocytic Host Response (LHR) at the invasive tumour front (ITF) serves as a key indicator of the host’s adaptive cytotoxic T-cell activity and immune surveillance. A dense LHR - characterised by a diffuse, continuous band-like lymphoid infiltrate, is associated with improved clinical outcomes and a lower risk of neck nodal metastasis. Conversely, a decreased lymphocyte count within the infiltrate often reflects a state of immunosuppression generated by malignant cells, which is frequently observed in poorly differentiated tumours [40,72]. This local immune response acts as an extrinsic tumour-suppressor system, and its strength is a vital predictor of the host's ability to combat the malignancy.</w:t>
      </w:r>
    </w:p>
    <w:p w14:paraId="47B6044F" w14:textId="77777777" w:rsidR="0004752F" w:rsidRDefault="0004752F">
      <w:pPr>
        <w:jc w:val="both"/>
        <w:rPr>
          <w:rFonts w:ascii="Times New Roman" w:eastAsia="Times New Roman" w:hAnsi="Times New Roman" w:cs="Times New Roman"/>
          <w:sz w:val="24"/>
          <w:szCs w:val="24"/>
          <w:highlight w:val="white"/>
        </w:rPr>
      </w:pPr>
    </w:p>
    <w:p w14:paraId="2CD026CA" w14:textId="77777777" w:rsidR="0004752F" w:rsidRDefault="0004752F">
      <w:pPr>
        <w:jc w:val="both"/>
        <w:rPr>
          <w:rFonts w:ascii="Times New Roman" w:eastAsia="Times New Roman" w:hAnsi="Times New Roman" w:cs="Times New Roman"/>
          <w:sz w:val="24"/>
          <w:szCs w:val="24"/>
          <w:highlight w:val="white"/>
        </w:rPr>
      </w:pPr>
    </w:p>
    <w:p w14:paraId="486CCFED" w14:textId="77777777" w:rsidR="0004752F" w:rsidRDefault="003B4E5F">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Proteolytic and Oxidative Stress Markers</w:t>
      </w:r>
    </w:p>
    <w:p w14:paraId="117187F3" w14:textId="77777777" w:rsidR="0004752F" w:rsidRDefault="0004752F">
      <w:pPr>
        <w:jc w:val="both"/>
        <w:rPr>
          <w:rFonts w:ascii="Times New Roman" w:eastAsia="Times New Roman" w:hAnsi="Times New Roman" w:cs="Times New Roman"/>
          <w:sz w:val="24"/>
          <w:szCs w:val="24"/>
          <w:highlight w:val="white"/>
        </w:rPr>
      </w:pPr>
    </w:p>
    <w:p w14:paraId="4B792861"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Beyond cytokines, other inflammatory mediators contribute to the malignant phenotype. Matrix Metalloproteinases (MMPs), specifically MMP-9, is frequently identified as the marker that best correlates with the transition from normal tissue to neoplasm. High expression of MMP-2 and MMP-7 is associated with poor differentiation and tumour aggressiveness [73].</w:t>
      </w:r>
    </w:p>
    <w:p w14:paraId="020EE670"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Unlike Cyclooxygenase-1 (COX-1), COX-2 is expressed under inflammatory stimuli and is involved in cell proliferation and angiogenesis. Overexpression is associated with a higher risk of recurrence in OSCC [74,75]. Galectin-1 and Galectin-9 are proposed as markers to discriminate between neoplastic processes and reactive changes, with Galectin-9 showing high expression in OSCC compared to premalignant lesions [76,77].</w:t>
      </w:r>
    </w:p>
    <w:p w14:paraId="10AAF7F5"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Chronic inflammation leads to an imbalance between oxidants and antioxidants. Patients with OSCC often show elevated levels of malondialdehyde (MDA) and nitric oxide, alongside reduced antioxidant enzymes like superoxide dismutase (SOD), which correlates with advanced tumour stages [78].</w:t>
      </w:r>
    </w:p>
    <w:p w14:paraId="09F73E5D" w14:textId="77777777" w:rsidR="0004752F" w:rsidRDefault="0004752F">
      <w:pPr>
        <w:jc w:val="both"/>
        <w:rPr>
          <w:rFonts w:ascii="Times New Roman" w:eastAsia="Times New Roman" w:hAnsi="Times New Roman" w:cs="Times New Roman"/>
          <w:sz w:val="24"/>
          <w:szCs w:val="24"/>
          <w:highlight w:val="white"/>
        </w:rPr>
      </w:pPr>
    </w:p>
    <w:p w14:paraId="6D201D6B" w14:textId="77777777" w:rsidR="0004752F" w:rsidRDefault="0004752F">
      <w:pPr>
        <w:rPr>
          <w:color w:val="303030"/>
          <w:sz w:val="21"/>
          <w:szCs w:val="21"/>
          <w:highlight w:val="white"/>
        </w:rPr>
      </w:pPr>
    </w:p>
    <w:p w14:paraId="04159573" w14:textId="77777777" w:rsidR="0004752F" w:rsidRDefault="003B4E5F">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Nutritional Indicators</w:t>
      </w:r>
    </w:p>
    <w:p w14:paraId="4B130EC1" w14:textId="77777777" w:rsidR="0004752F" w:rsidRDefault="0004752F">
      <w:pPr>
        <w:jc w:val="both"/>
        <w:rPr>
          <w:rFonts w:ascii="Times New Roman" w:eastAsia="Times New Roman" w:hAnsi="Times New Roman" w:cs="Times New Roman"/>
          <w:sz w:val="24"/>
          <w:szCs w:val="24"/>
          <w:highlight w:val="white"/>
        </w:rPr>
      </w:pPr>
    </w:p>
    <w:p w14:paraId="3529E1DF"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oral squamous cell carcinoma (OSCC), which remains a leading cause of cancer mortality, the incidence of the disease has been increasing across various global populations. For aged patients specifically, OSCC is more likely than other malignancies to cause functional disorders - such as feeding and swallowing problems. This heightens the risk of progression to nutritional disorders, frailty and sarcopenia. These conditions have a profound negative impact on patient outcomes because nutritional status is inextricably linked to immune competence. Malnutrition, characterised by hypo-nutritional and hyper-catabolic states, leads to a reduced production of immunocompetent cells, thereby weakening the host’s ability to mount an effective anti-tumour response and worsening the overall prognosis [79].</w:t>
      </w:r>
    </w:p>
    <w:p w14:paraId="22CB0719" w14:textId="77777777" w:rsidR="0004752F" w:rsidRDefault="0004752F">
      <w:pPr>
        <w:jc w:val="both"/>
        <w:rPr>
          <w:rFonts w:ascii="Times New Roman" w:eastAsia="Times New Roman" w:hAnsi="Times New Roman" w:cs="Times New Roman"/>
          <w:sz w:val="24"/>
          <w:szCs w:val="24"/>
          <w:highlight w:val="white"/>
        </w:rPr>
      </w:pPr>
    </w:p>
    <w:p w14:paraId="61DC10D0"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Table 3. Nutritional Indicators</w:t>
      </w:r>
    </w:p>
    <w:tbl>
      <w:tblPr>
        <w:tblStyle w:val="a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80"/>
        <w:gridCol w:w="4620"/>
      </w:tblGrid>
      <w:tr w:rsidR="0004752F" w14:paraId="1E0A6B82" w14:textId="77777777">
        <w:tc>
          <w:tcPr>
            <w:tcW w:w="4380" w:type="dxa"/>
            <w:tcMar>
              <w:top w:w="100" w:type="dxa"/>
              <w:left w:w="100" w:type="dxa"/>
              <w:bottom w:w="100" w:type="dxa"/>
              <w:right w:w="100" w:type="dxa"/>
            </w:tcMar>
          </w:tcPr>
          <w:p w14:paraId="527DE762" w14:textId="77777777" w:rsidR="0004752F" w:rsidRDefault="003B4E5F">
            <w:pPr>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Indicators</w:t>
            </w:r>
          </w:p>
        </w:tc>
        <w:tc>
          <w:tcPr>
            <w:tcW w:w="4620" w:type="dxa"/>
            <w:tcMar>
              <w:top w:w="100" w:type="dxa"/>
              <w:left w:w="100" w:type="dxa"/>
              <w:bottom w:w="100" w:type="dxa"/>
              <w:right w:w="100" w:type="dxa"/>
            </w:tcMar>
          </w:tcPr>
          <w:p w14:paraId="4322830D" w14:textId="77777777" w:rsidR="0004752F" w:rsidRDefault="003B4E5F">
            <w:pPr>
              <w:widowControl w:val="0"/>
              <w:pBdr>
                <w:top w:val="nil"/>
                <w:left w:val="nil"/>
                <w:bottom w:val="nil"/>
                <w:right w:val="nil"/>
                <w:between w:val="nil"/>
              </w:pBdr>
              <w:spacing w:line="24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Components</w:t>
            </w:r>
          </w:p>
        </w:tc>
      </w:tr>
      <w:tr w:rsidR="0004752F" w14:paraId="3772E2E8" w14:textId="77777777">
        <w:tc>
          <w:tcPr>
            <w:tcW w:w="4380" w:type="dxa"/>
            <w:tcMar>
              <w:top w:w="100" w:type="dxa"/>
              <w:left w:w="100" w:type="dxa"/>
              <w:bottom w:w="100" w:type="dxa"/>
              <w:right w:w="100" w:type="dxa"/>
            </w:tcMar>
          </w:tcPr>
          <w:p w14:paraId="10CB0F47" w14:textId="77777777" w:rsidR="0004752F" w:rsidRDefault="003B4E5F">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Prognostic Nutritional Index (PNI)</w:t>
            </w:r>
          </w:p>
        </w:tc>
        <w:tc>
          <w:tcPr>
            <w:tcW w:w="4620" w:type="dxa"/>
            <w:tcMar>
              <w:top w:w="100" w:type="dxa"/>
              <w:left w:w="100" w:type="dxa"/>
              <w:bottom w:w="100" w:type="dxa"/>
              <w:right w:w="100" w:type="dxa"/>
            </w:tcMar>
          </w:tcPr>
          <w:p w14:paraId="5915E158" w14:textId="77777777" w:rsidR="0004752F" w:rsidRDefault="003B4E5F">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Serum Albumin, Total Lymphocyte Count</w:t>
            </w:r>
          </w:p>
        </w:tc>
      </w:tr>
      <w:tr w:rsidR="0004752F" w14:paraId="7C2351AD" w14:textId="77777777">
        <w:tc>
          <w:tcPr>
            <w:tcW w:w="4380" w:type="dxa"/>
            <w:tcMar>
              <w:top w:w="100" w:type="dxa"/>
              <w:left w:w="100" w:type="dxa"/>
              <w:bottom w:w="100" w:type="dxa"/>
              <w:right w:w="100" w:type="dxa"/>
            </w:tcMar>
          </w:tcPr>
          <w:p w14:paraId="4D77B460" w14:textId="77777777" w:rsidR="0004752F" w:rsidRDefault="003B4E5F">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Controlling Nutritional Status (CONUT)</w:t>
            </w:r>
          </w:p>
        </w:tc>
        <w:tc>
          <w:tcPr>
            <w:tcW w:w="4620" w:type="dxa"/>
            <w:tcMar>
              <w:top w:w="100" w:type="dxa"/>
              <w:left w:w="100" w:type="dxa"/>
              <w:bottom w:w="100" w:type="dxa"/>
              <w:right w:w="100" w:type="dxa"/>
            </w:tcMar>
          </w:tcPr>
          <w:p w14:paraId="044F9567" w14:textId="77777777" w:rsidR="0004752F" w:rsidRDefault="003B4E5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Serum Albumin, </w:t>
            </w:r>
            <w:r>
              <w:rPr>
                <w:rFonts w:ascii="Times New Roman" w:eastAsia="Times New Roman" w:hAnsi="Times New Roman" w:cs="Times New Roman"/>
                <w:color w:val="0A0A0A"/>
                <w:sz w:val="24"/>
                <w:szCs w:val="24"/>
                <w:highlight w:val="white"/>
              </w:rPr>
              <w:t xml:space="preserve">Total Cholesterol, </w:t>
            </w:r>
            <w:r>
              <w:rPr>
                <w:rFonts w:ascii="Times New Roman" w:eastAsia="Times New Roman" w:hAnsi="Times New Roman" w:cs="Times New Roman"/>
                <w:sz w:val="24"/>
                <w:szCs w:val="24"/>
                <w:highlight w:val="white"/>
              </w:rPr>
              <w:t>Total Lymphocyte Count</w:t>
            </w:r>
          </w:p>
        </w:tc>
      </w:tr>
      <w:tr w:rsidR="0004752F" w14:paraId="6086DC32" w14:textId="77777777">
        <w:tc>
          <w:tcPr>
            <w:tcW w:w="4380" w:type="dxa"/>
            <w:tcMar>
              <w:top w:w="100" w:type="dxa"/>
              <w:left w:w="100" w:type="dxa"/>
              <w:bottom w:w="100" w:type="dxa"/>
              <w:right w:w="100" w:type="dxa"/>
            </w:tcMar>
          </w:tcPr>
          <w:p w14:paraId="72016211" w14:textId="77777777" w:rsidR="0004752F" w:rsidRDefault="003B4E5F">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Modified CONUT (</w:t>
            </w:r>
            <w:proofErr w:type="spellStart"/>
            <w:r>
              <w:rPr>
                <w:rFonts w:ascii="Times New Roman" w:eastAsia="Times New Roman" w:hAnsi="Times New Roman" w:cs="Times New Roman"/>
                <w:sz w:val="24"/>
                <w:szCs w:val="24"/>
                <w:highlight w:val="white"/>
              </w:rPr>
              <w:t>mCONUT</w:t>
            </w:r>
            <w:proofErr w:type="spellEnd"/>
            <w:r>
              <w:rPr>
                <w:rFonts w:ascii="Times New Roman" w:eastAsia="Times New Roman" w:hAnsi="Times New Roman" w:cs="Times New Roman"/>
                <w:sz w:val="24"/>
                <w:szCs w:val="24"/>
                <w:highlight w:val="white"/>
              </w:rPr>
              <w:t>)</w:t>
            </w:r>
          </w:p>
        </w:tc>
        <w:tc>
          <w:tcPr>
            <w:tcW w:w="4620" w:type="dxa"/>
            <w:tcMar>
              <w:top w:w="100" w:type="dxa"/>
              <w:left w:w="100" w:type="dxa"/>
              <w:bottom w:w="100" w:type="dxa"/>
              <w:right w:w="100" w:type="dxa"/>
            </w:tcMar>
          </w:tcPr>
          <w:p w14:paraId="3A1C08B5" w14:textId="77777777" w:rsidR="0004752F" w:rsidRDefault="003B4E5F">
            <w:pPr>
              <w:widowControl w:val="0"/>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Serum Albumin, Haemoglobin</w:t>
            </w:r>
            <w:r>
              <w:rPr>
                <w:rFonts w:ascii="Times New Roman" w:eastAsia="Times New Roman" w:hAnsi="Times New Roman" w:cs="Times New Roman"/>
                <w:color w:val="0A0A0A"/>
                <w:sz w:val="24"/>
                <w:szCs w:val="24"/>
                <w:highlight w:val="white"/>
              </w:rPr>
              <w:t xml:space="preserve">, </w:t>
            </w:r>
            <w:r>
              <w:rPr>
                <w:rFonts w:ascii="Times New Roman" w:eastAsia="Times New Roman" w:hAnsi="Times New Roman" w:cs="Times New Roman"/>
                <w:sz w:val="24"/>
                <w:szCs w:val="24"/>
                <w:highlight w:val="white"/>
              </w:rPr>
              <w:t>Total Lymphocyte Count</w:t>
            </w:r>
          </w:p>
        </w:tc>
      </w:tr>
    </w:tbl>
    <w:p w14:paraId="30BA5F34" w14:textId="77777777" w:rsidR="0004752F" w:rsidRDefault="0004752F">
      <w:pPr>
        <w:jc w:val="both"/>
        <w:rPr>
          <w:rFonts w:ascii="Times New Roman" w:eastAsia="Times New Roman" w:hAnsi="Times New Roman" w:cs="Times New Roman"/>
          <w:sz w:val="24"/>
          <w:szCs w:val="24"/>
          <w:highlight w:val="white"/>
        </w:rPr>
      </w:pPr>
    </w:p>
    <w:p w14:paraId="78E31D16"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Prognostic Nutritional Index (PNI) has emerged as a critical biomarker for assessing this interplay, calculated by the formula - 10 × serum albumin (g/dl) + 0.005 × total lymphocyte counts [80]. By combining a serum nutrient index with a host immune response measure (lymphocytes), the PNI effectively captures the systemic status of the patient. Clinical research indicates that as OSCC progresses from stages I/II to III/IV, serum albumin levels significantly worsen, reflecting a decline in the host's nutritional reserve. Consequently, the pretreatment PNI has demonstrated excellent predictive value for 5-year overall survival (OS) and disease-free survival (DFS) [41,42]. In a retrospective study, patients classified in the "low PNI" group - utilising a calculated cut-off of approximately 50.61 for OS, experienced significantly lower survival probabilities compared to those with normal levels [81].</w:t>
      </w:r>
    </w:p>
    <w:p w14:paraId="3BDFD4F8"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biological mechanism underlying the PNI's prognostic power is rooted in the interaction between systemic inflammation and nutrition. Pro-inflammatory cytokines, such as IL-6 and IL-8, are known to increase neutrophil counts while simultaneously decreasing lymphocyte levels and enhancing proteolysis. This process directly leads to muscle wasting and the development of sarcopenia [82]. Furthermore, evidence suggests that the combination of a low PNI and the presence of sarcopenia is an independent predictor for disease-specific survival in OSCC patients [79,81,83].</w:t>
      </w:r>
    </w:p>
    <w:p w14:paraId="14FA113A"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While various inflammation-nutrition indicators have been investigated, the PNI remains the most robust candidate for predicting OS and DFS in multivariate analyses. Other indices, such as the Controlling Nutritional Status (CONUT) score, incorporate albumin and lymphocyte counts alongside total cholesterol [84]. Its modified version, the </w:t>
      </w:r>
      <w:proofErr w:type="spellStart"/>
      <w:r>
        <w:rPr>
          <w:rFonts w:ascii="Times New Roman" w:eastAsia="Times New Roman" w:hAnsi="Times New Roman" w:cs="Times New Roman"/>
          <w:sz w:val="24"/>
          <w:szCs w:val="24"/>
          <w:highlight w:val="white"/>
        </w:rPr>
        <w:t>mCONUT</w:t>
      </w:r>
      <w:proofErr w:type="spellEnd"/>
      <w:r>
        <w:rPr>
          <w:rFonts w:ascii="Times New Roman" w:eastAsia="Times New Roman" w:hAnsi="Times New Roman" w:cs="Times New Roman"/>
          <w:sz w:val="24"/>
          <w:szCs w:val="24"/>
          <w:highlight w:val="white"/>
        </w:rPr>
        <w:t xml:space="preserve">, replaces total cholesterol with haemoglobin [81]. Both CONUT and </w:t>
      </w:r>
      <w:proofErr w:type="spellStart"/>
      <w:r>
        <w:rPr>
          <w:rFonts w:ascii="Times New Roman" w:eastAsia="Times New Roman" w:hAnsi="Times New Roman" w:cs="Times New Roman"/>
          <w:sz w:val="24"/>
          <w:szCs w:val="24"/>
          <w:highlight w:val="white"/>
        </w:rPr>
        <w:t>mCONUT</w:t>
      </w:r>
      <w:proofErr w:type="spellEnd"/>
      <w:r>
        <w:rPr>
          <w:rFonts w:ascii="Times New Roman" w:eastAsia="Times New Roman" w:hAnsi="Times New Roman" w:cs="Times New Roman"/>
          <w:sz w:val="24"/>
          <w:szCs w:val="24"/>
          <w:highlight w:val="white"/>
        </w:rPr>
        <w:t xml:space="preserve"> have shown significance as risk factors for OS in univariate analyses. However, they often fail to remain independent predictors in multivariate Cox proportional hazards models [81]. This suggests that while cholesterol and haemoglobin are helpful for assessing general malnutrition, the specific synergy between albumin and lymphocytes in the PNI provides a more accurate reflection of the host-tumour interaction and the immune surveillance required to combat malignant progression. Integrating the PNI into routine clinical panels provides an accessible, cost-effective method to guide therapy and follow-up in aged OSCC populations.</w:t>
      </w:r>
    </w:p>
    <w:p w14:paraId="58739D75" w14:textId="77777777" w:rsidR="0004752F" w:rsidRDefault="0004752F">
      <w:pPr>
        <w:rPr>
          <w:color w:val="303030"/>
          <w:sz w:val="21"/>
          <w:szCs w:val="21"/>
          <w:highlight w:val="white"/>
        </w:rPr>
      </w:pPr>
    </w:p>
    <w:p w14:paraId="666C84F7" w14:textId="77777777" w:rsidR="0004752F" w:rsidRDefault="0004752F">
      <w:pPr>
        <w:rPr>
          <w:b/>
          <w:bCs/>
          <w:color w:val="303030"/>
          <w:sz w:val="21"/>
          <w:szCs w:val="21"/>
          <w:highlight w:val="white"/>
        </w:rPr>
      </w:pPr>
    </w:p>
    <w:p w14:paraId="6C35F469" w14:textId="77777777" w:rsidR="0004752F" w:rsidRDefault="003B4E5F">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Oral Health Disorders and Local Inflammation as Precursors to Malignancy</w:t>
      </w:r>
    </w:p>
    <w:p w14:paraId="6CEE4392" w14:textId="77777777" w:rsidR="0004752F" w:rsidRDefault="0004752F">
      <w:pPr>
        <w:jc w:val="both"/>
        <w:rPr>
          <w:rFonts w:ascii="Times New Roman" w:eastAsia="Times New Roman" w:hAnsi="Times New Roman" w:cs="Times New Roman"/>
          <w:sz w:val="24"/>
          <w:szCs w:val="24"/>
          <w:highlight w:val="white"/>
        </w:rPr>
      </w:pPr>
    </w:p>
    <w:p w14:paraId="0BA339BE"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Local inflammatory conditions within the oral cavity are increasingly recognised as significant precursors and predictors of head and neck cancer (HNC) and oral squamous cell carcinoma (OSCC). Chronic inflammation, particularly periodontitis, creates a pathologically favourable microenvironment that facilitates the transition from normal epithelium to a malignant phenotype. This process is driven by oral microbial dysbiosis, where lifestyle habits or medical </w:t>
      </w:r>
      <w:r>
        <w:rPr>
          <w:rFonts w:ascii="Times New Roman" w:eastAsia="Times New Roman" w:hAnsi="Times New Roman" w:cs="Times New Roman"/>
          <w:sz w:val="24"/>
          <w:szCs w:val="24"/>
          <w:highlight w:val="white"/>
        </w:rPr>
        <w:lastRenderedPageBreak/>
        <w:t>conditions alter the oral microbiome, leading to an overpopulation of pathogenic microorganisms [43,44].</w:t>
      </w:r>
    </w:p>
    <w:p w14:paraId="0FEAF1B0"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Periodontitis, affecting roughly 19% of the global adult population, involves the inflammation of the periodontium and subsequent alveolar bone loss. A primary causative bacterial strain in this process is </w:t>
      </w:r>
      <w:r>
        <w:rPr>
          <w:rFonts w:ascii="Times New Roman" w:eastAsia="Times New Roman" w:hAnsi="Times New Roman" w:cs="Times New Roman"/>
          <w:i/>
          <w:iCs/>
          <w:sz w:val="24"/>
          <w:szCs w:val="24"/>
          <w:highlight w:val="white"/>
        </w:rPr>
        <w:t xml:space="preserve">Porphyromonas gingivalis </w:t>
      </w:r>
      <w:r>
        <w:rPr>
          <w:rFonts w:ascii="Times New Roman" w:eastAsia="Times New Roman" w:hAnsi="Times New Roman" w:cs="Times New Roman"/>
          <w:sz w:val="24"/>
          <w:szCs w:val="24"/>
          <w:highlight w:val="white"/>
        </w:rPr>
        <w:t>[85]. This Gram-negative anaerobic bacterium releases endotoxins - such as lipopolysaccharide (LPS), which activate toll-like receptor 4 (TLR4). This activation initiates NF-</w:t>
      </w:r>
      <w:proofErr w:type="spellStart"/>
      <w:r>
        <w:rPr>
          <w:rFonts w:ascii="Times New Roman" w:eastAsia="Times New Roman" w:hAnsi="Times New Roman" w:cs="Times New Roman"/>
          <w:sz w:val="24"/>
          <w:szCs w:val="24"/>
          <w:highlight w:val="white"/>
        </w:rPr>
        <w:t>κB</w:t>
      </w:r>
      <w:proofErr w:type="spellEnd"/>
      <w:r>
        <w:rPr>
          <w:rFonts w:ascii="Times New Roman" w:eastAsia="Times New Roman" w:hAnsi="Times New Roman" w:cs="Times New Roman"/>
          <w:sz w:val="24"/>
          <w:szCs w:val="24"/>
          <w:highlight w:val="white"/>
        </w:rPr>
        <w:t>-mediated signalling cascades, a central regulator of inflammation-driven carcinogenesis. The resulting pathway drives the essential hallmarks of cancer - cellular transformation, proliferation, evasion of apoptosis, angiogenesis, and metastasis [43,44]. Longitudinal research has confirmed that periodontitis is associated with a sixfold increase in the hazard of HNC (HR 5.99) [68]. Furthermore, the shift in the local immune response is critical. While early or stable periodontal lesions are characterised by Th1 cells, the progression to advanced periodontitis involves a Th2/Th17 immune response [86]. This Th2 response is thought to accelerate tumour growth by inhibiting Th1-mediated anti-tumour actions and boosting angiogenesis. Th17 cells also contribute by secreting cytokines like IL-17 and IL-22, which promote inflammation in the tumour microenvironment [87].</w:t>
      </w:r>
    </w:p>
    <w:p w14:paraId="4346A13D"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Structural oral abnormalities, specifically embedded and impacted teeth, carry a remarkably high risk. Research indicates these conditions are linked to a markedly elevated hazard of HNC, with a hazard ratio of 12.52 - the highest among examined oral conditions [68]. This is likely due to constant irritation and persistent infection surrounding the impacted site, which generates chronic inflammation [45]. Additionally, cystic lesions may develop around impacted wisdom teeth, which carry an inherent risk of transforming into malignant tumours.</w:t>
      </w:r>
    </w:p>
    <w:p w14:paraId="07A472C3"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contrast to the risks posed by periodontitis, the relationship between dental caries and HNC presents a unique immunological paradox. Some studies suggest that patients with a high incidence of dental caries - and thus a predominantly cariogenic oral flora, might actually display a reduced propensity for HNC [88]. The proposed mechanism is that cariogenic bacteria induce a Th1-mediated immune response. This Th1 response, characterised by the production of interferon-γ (IFN-γ), functions as an effective extrinsic tumour-suppressor system, providing a protective anti-tumour effect [89,90].</w:t>
      </w:r>
    </w:p>
    <w:p w14:paraId="4AD34EE6" w14:textId="77777777" w:rsidR="0004752F" w:rsidRDefault="0004752F">
      <w:pPr>
        <w:rPr>
          <w:color w:val="303030"/>
          <w:sz w:val="21"/>
          <w:szCs w:val="21"/>
          <w:highlight w:val="white"/>
        </w:rPr>
      </w:pPr>
    </w:p>
    <w:p w14:paraId="27869FE7" w14:textId="77777777" w:rsidR="0004752F" w:rsidRDefault="0004752F">
      <w:pPr>
        <w:rPr>
          <w:b/>
          <w:bCs/>
          <w:color w:val="303030"/>
          <w:sz w:val="21"/>
          <w:szCs w:val="21"/>
          <w:highlight w:val="white"/>
        </w:rPr>
      </w:pPr>
    </w:p>
    <w:p w14:paraId="72B12C4B" w14:textId="77777777" w:rsidR="0004752F" w:rsidRDefault="003B4E5F">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Sociodemographic and Clinical Stratification</w:t>
      </w:r>
    </w:p>
    <w:p w14:paraId="11FD2F1D" w14:textId="77777777" w:rsidR="0004752F" w:rsidRDefault="0004752F">
      <w:pPr>
        <w:jc w:val="both"/>
        <w:rPr>
          <w:rFonts w:ascii="Times New Roman" w:eastAsia="Times New Roman" w:hAnsi="Times New Roman" w:cs="Times New Roman"/>
          <w:sz w:val="24"/>
          <w:szCs w:val="24"/>
          <w:highlight w:val="white"/>
        </w:rPr>
      </w:pPr>
    </w:p>
    <w:p w14:paraId="3905145F"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prognosis of oral squamous cell carcinoma (OSCC) is a complex multifaceted issue that is not merely a biological phenomenon but is also heavily influenced by sociodemographic factors. OSCC represents approximately 95% of all malignancies of the oral cavity and is associated with significant global morbidity [1,48,76]. Among various social indicators, education level has been identified as a critical determinant of patient survival. Research indicates that patients who are illiterate or have not completed primary schooling experience significantly lower survival rates compared to those with higher education [91,92]. This disparity is often attributed to poor access to disease information, which prevents the early recognition of symptoms and leads to a delayed diagnosis. Consequently, these patients are more likely to present with advanced disease, which necessitates the use of more complex and </w:t>
      </w:r>
      <w:r>
        <w:rPr>
          <w:rFonts w:ascii="Times New Roman" w:eastAsia="Times New Roman" w:hAnsi="Times New Roman" w:cs="Times New Roman"/>
          <w:sz w:val="24"/>
          <w:szCs w:val="24"/>
          <w:highlight w:val="white"/>
        </w:rPr>
        <w:lastRenderedPageBreak/>
        <w:t>aggressive combination treatments, such as surgery associated with both radiotherapy and chemotherapy [93].</w:t>
      </w:r>
    </w:p>
    <w:p w14:paraId="12EB5A21"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a multinomial logistic regression, low education levels were found to carry a staggering hazard ratio of 15.64 for mortality [48]. Furthermore, a synergistic relationship is noted between social and biological markers. Patients with low education levels, who also exhibit high </w:t>
      </w:r>
      <w:proofErr w:type="spellStart"/>
      <w:r>
        <w:rPr>
          <w:rFonts w:ascii="Times New Roman" w:eastAsia="Times New Roman" w:hAnsi="Times New Roman" w:cs="Times New Roman"/>
          <w:sz w:val="24"/>
          <w:szCs w:val="24"/>
          <w:highlight w:val="white"/>
        </w:rPr>
        <w:t>immunoexpression</w:t>
      </w:r>
      <w:proofErr w:type="spellEnd"/>
      <w:r>
        <w:rPr>
          <w:rFonts w:ascii="Times New Roman" w:eastAsia="Times New Roman" w:hAnsi="Times New Roman" w:cs="Times New Roman"/>
          <w:sz w:val="24"/>
          <w:szCs w:val="24"/>
          <w:highlight w:val="white"/>
        </w:rPr>
        <w:t xml:space="preserve"> of the pro-inflammatory cytokine TNF-α, demonstrate the lowest survival rates and most advanced tumour stagings [48,94]. This is particularly relevant in countries like India, where OSCC accounts for more than 30% of all annual malignancies, largely due to cultural habits like tobacco chewing.</w:t>
      </w:r>
    </w:p>
    <w:p w14:paraId="69ED60C1"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improve the accuracy of survival estimations, the clinical community has transitioned to the AJCC 8th edition staging system. This updated framework has allowed for better prognostic stratification by integrating essential pathological characteristics such as the depth of invasion (DOI) and extranodal extension (ENE). Unlike earlier iterations, this staging system more effectively accounts for tumour aggressiveness and the risk of metastasis. Within this contemporary framework, the pre-operative neutrophil-to-lymphocyte ratio (NLR) has been verified as a potent independent predictor of survival alongside established markers such as pathologic regional lymph node category (</w:t>
      </w:r>
      <w:proofErr w:type="spellStart"/>
      <w:r>
        <w:rPr>
          <w:rFonts w:ascii="Times New Roman" w:eastAsia="Times New Roman" w:hAnsi="Times New Roman" w:cs="Times New Roman"/>
          <w:sz w:val="24"/>
          <w:szCs w:val="24"/>
          <w:highlight w:val="white"/>
        </w:rPr>
        <w:t>pN</w:t>
      </w:r>
      <w:proofErr w:type="spellEnd"/>
      <w:r>
        <w:rPr>
          <w:rFonts w:ascii="Times New Roman" w:eastAsia="Times New Roman" w:hAnsi="Times New Roman" w:cs="Times New Roman"/>
          <w:sz w:val="24"/>
          <w:szCs w:val="24"/>
          <w:highlight w:val="white"/>
        </w:rPr>
        <w:t>) and perineural invasion (PNI) [62].</w:t>
      </w:r>
    </w:p>
    <w:p w14:paraId="52A5B1DD"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Ultimately, improving OSCC outcomes requires an interdisciplinary approach that combines advanced staging with public health policies targeted at vulnerable populations with low education levels to ensure earlier intervention and personalised care.</w:t>
      </w:r>
    </w:p>
    <w:p w14:paraId="39A55EC0" w14:textId="77777777" w:rsidR="0004752F" w:rsidRDefault="0004752F">
      <w:pPr>
        <w:rPr>
          <w:color w:val="303030"/>
          <w:sz w:val="21"/>
          <w:szCs w:val="21"/>
          <w:highlight w:val="white"/>
        </w:rPr>
      </w:pPr>
    </w:p>
    <w:p w14:paraId="1830C212" w14:textId="77777777" w:rsidR="0004752F" w:rsidRDefault="0004752F">
      <w:pPr>
        <w:rPr>
          <w:b/>
          <w:bCs/>
          <w:color w:val="303030"/>
          <w:sz w:val="21"/>
          <w:szCs w:val="21"/>
          <w:highlight w:val="white"/>
        </w:rPr>
      </w:pPr>
    </w:p>
    <w:p w14:paraId="2191E99C" w14:textId="77777777" w:rsidR="0004752F" w:rsidRDefault="003B4E5F">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Conclusion</w:t>
      </w:r>
    </w:p>
    <w:p w14:paraId="75BBBA91" w14:textId="77777777" w:rsidR="0004752F" w:rsidRDefault="0004752F">
      <w:pPr>
        <w:jc w:val="both"/>
        <w:rPr>
          <w:rFonts w:ascii="Times New Roman" w:eastAsia="Times New Roman" w:hAnsi="Times New Roman" w:cs="Times New Roman"/>
          <w:sz w:val="24"/>
          <w:szCs w:val="24"/>
          <w:highlight w:val="white"/>
        </w:rPr>
      </w:pPr>
    </w:p>
    <w:p w14:paraId="3DF15605" w14:textId="77777777" w:rsidR="0004752F" w:rsidRDefault="003B4E5F">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comprehensive evidence presented in the sources underscores that OSCC is a disease deeply rooted in both local and systemic inflammation. Reliable biomarkers such as NLR, PLR, CRP, and PNI provide vital, cost-effective prognostic information that goes beyond traditional TNM staging. Integrating these systemic markers with oral health screenings - specifically monitoring for periodontitis and impacted teeth, could significantly improve the early detection and risk stratification of HNC. Furthermore, addressing the social profile behind poor prognosis through targeted public health interventions is essential for improving global survival rates. Future clinical strategies should prioritize the development of prognostic nomograms that incorporate these immunological and nutritional markers to create truly personalized treatment pathways for patients with OSCC.</w:t>
      </w:r>
    </w:p>
    <w:p w14:paraId="6E7DD5B4" w14:textId="77777777" w:rsidR="0004752F" w:rsidRDefault="0004752F"/>
    <w:p w14:paraId="6C7C5D10" w14:textId="77777777" w:rsidR="0004752F" w:rsidRDefault="0004752F"/>
    <w:p w14:paraId="7A0B269F" w14:textId="77777777" w:rsidR="0004752F" w:rsidRDefault="003B4E5F">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Declaration</w:t>
      </w:r>
    </w:p>
    <w:p w14:paraId="18D58CB0" w14:textId="77777777" w:rsidR="0004752F" w:rsidRDefault="0004752F">
      <w:pPr>
        <w:shd w:val="clear" w:color="auto" w:fill="FFFFFF"/>
        <w:rPr>
          <w:color w:val="222222"/>
        </w:rPr>
      </w:pPr>
    </w:p>
    <w:p w14:paraId="5382F734" w14:textId="77777777" w:rsidR="0004752F" w:rsidRDefault="003B4E5F">
      <w:pPr>
        <w:widowControl w:val="0"/>
        <w:spacing w:line="360" w:lineRule="auto"/>
        <w:jc w:val="both"/>
        <w:rPr>
          <w:rFonts w:ascii="Times New Roman" w:eastAsia="Times New Roman" w:hAnsi="Times New Roman" w:cs="Times New Roman"/>
          <w:sz w:val="24"/>
          <w:szCs w:val="24"/>
          <w:shd w:val="clear" w:color="auto" w:fill="FCFCFC"/>
        </w:rPr>
      </w:pPr>
      <w:r>
        <w:rPr>
          <w:rFonts w:ascii="Times New Roman" w:eastAsia="Times New Roman" w:hAnsi="Times New Roman" w:cs="Times New Roman"/>
          <w:b/>
          <w:bCs/>
          <w:sz w:val="24"/>
          <w:szCs w:val="24"/>
          <w:shd w:val="clear" w:color="auto" w:fill="FCFCFC"/>
        </w:rPr>
        <w:t xml:space="preserve">Conflicts of interest: </w:t>
      </w:r>
      <w:r>
        <w:rPr>
          <w:rFonts w:ascii="Times New Roman" w:eastAsia="Times New Roman" w:hAnsi="Times New Roman" w:cs="Times New Roman"/>
          <w:sz w:val="24"/>
          <w:szCs w:val="24"/>
          <w:shd w:val="clear" w:color="auto" w:fill="FCFCFC"/>
        </w:rPr>
        <w:t>There is no conflict of interest associated with this study.</w:t>
      </w:r>
    </w:p>
    <w:p w14:paraId="625279BA" w14:textId="77777777" w:rsidR="0004752F" w:rsidRDefault="003B4E5F">
      <w:pPr>
        <w:widowControl w:val="0"/>
        <w:spacing w:line="360" w:lineRule="auto"/>
        <w:jc w:val="both"/>
        <w:rPr>
          <w:rFonts w:ascii="Times New Roman" w:eastAsia="Times New Roman" w:hAnsi="Times New Roman" w:cs="Times New Roman"/>
          <w:sz w:val="24"/>
          <w:szCs w:val="24"/>
          <w:shd w:val="clear" w:color="auto" w:fill="FCFCFC"/>
        </w:rPr>
      </w:pPr>
      <w:r>
        <w:rPr>
          <w:rFonts w:ascii="Times New Roman" w:eastAsia="Times New Roman" w:hAnsi="Times New Roman" w:cs="Times New Roman"/>
          <w:b/>
          <w:bCs/>
          <w:sz w:val="24"/>
          <w:szCs w:val="24"/>
          <w:shd w:val="clear" w:color="auto" w:fill="FCFCFC"/>
        </w:rPr>
        <w:t>Consent for publication:</w:t>
      </w:r>
      <w:r>
        <w:rPr>
          <w:rFonts w:ascii="Times New Roman" w:eastAsia="Times New Roman" w:hAnsi="Times New Roman" w:cs="Times New Roman"/>
          <w:sz w:val="24"/>
          <w:szCs w:val="24"/>
          <w:shd w:val="clear" w:color="auto" w:fill="FCFCFC"/>
        </w:rPr>
        <w:t> There is consent for the publication of this paper.</w:t>
      </w:r>
    </w:p>
    <w:p w14:paraId="66254DC2" w14:textId="77777777" w:rsidR="0004752F" w:rsidRDefault="003B4E5F">
      <w:pPr>
        <w:spacing w:after="160" w:line="259" w:lineRule="auto"/>
        <w:jc w:val="both"/>
        <w:rPr>
          <w:rFonts w:ascii="Times New Roman" w:eastAsia="Times New Roman" w:hAnsi="Times New Roman" w:cs="Times New Roman"/>
          <w:sz w:val="24"/>
          <w:szCs w:val="24"/>
          <w:highlight w:val="white"/>
        </w:rPr>
      </w:pPr>
      <w:bookmarkStart w:id="0" w:name="_nn9h7az1hmdg" w:colFirst="0" w:colLast="0"/>
      <w:bookmarkStart w:id="1" w:name="_GoBack"/>
      <w:bookmarkEnd w:id="0"/>
      <w:bookmarkEnd w:id="1"/>
      <w:r>
        <w:rPr>
          <w:rFonts w:ascii="Times New Roman" w:eastAsia="Times New Roman" w:hAnsi="Times New Roman" w:cs="Times New Roman"/>
          <w:b/>
          <w:bCs/>
          <w:sz w:val="24"/>
          <w:szCs w:val="24"/>
          <w:highlight w:val="white"/>
        </w:rPr>
        <w:t>Ethical approval:</w:t>
      </w:r>
      <w:r>
        <w:rPr>
          <w:rFonts w:ascii="Times New Roman" w:eastAsia="Times New Roman" w:hAnsi="Times New Roman" w:cs="Times New Roman"/>
          <w:sz w:val="24"/>
          <w:szCs w:val="24"/>
          <w:highlight w:val="white"/>
        </w:rPr>
        <w:t xml:space="preserve"> Not required.</w:t>
      </w:r>
    </w:p>
    <w:p w14:paraId="4024E89D" w14:textId="77777777" w:rsidR="0004752F" w:rsidRDefault="003B4E5F">
      <w:pPr>
        <w:spacing w:after="160" w:line="259" w:lineRule="auto"/>
        <w:jc w:val="both"/>
        <w:rPr>
          <w:rFonts w:ascii="Times New Roman" w:eastAsia="Times New Roman" w:hAnsi="Times New Roman" w:cs="Times New Roman"/>
          <w:sz w:val="24"/>
          <w:szCs w:val="24"/>
          <w:highlight w:val="white"/>
        </w:rPr>
      </w:pPr>
      <w:bookmarkStart w:id="2" w:name="_4vm6xr96qwdf" w:colFirst="0" w:colLast="0"/>
      <w:bookmarkEnd w:id="2"/>
      <w:r>
        <w:rPr>
          <w:rFonts w:ascii="Times New Roman" w:eastAsia="Times New Roman" w:hAnsi="Times New Roman" w:cs="Times New Roman"/>
          <w:b/>
          <w:bCs/>
          <w:sz w:val="24"/>
          <w:szCs w:val="24"/>
          <w:highlight w:val="white"/>
        </w:rPr>
        <w:lastRenderedPageBreak/>
        <w:t>Artificial Intelligence:</w:t>
      </w:r>
      <w:r>
        <w:rPr>
          <w:rFonts w:ascii="Times New Roman" w:eastAsia="Times New Roman" w:hAnsi="Times New Roman" w:cs="Times New Roman"/>
          <w:sz w:val="24"/>
          <w:szCs w:val="24"/>
          <w:highlight w:val="white"/>
        </w:rPr>
        <w:t xml:space="preserve"> During the preparation of this work, the authors used Google </w:t>
      </w:r>
      <w:proofErr w:type="spellStart"/>
      <w:r>
        <w:rPr>
          <w:rFonts w:ascii="Times New Roman" w:eastAsia="Times New Roman" w:hAnsi="Times New Roman" w:cs="Times New Roman"/>
          <w:sz w:val="24"/>
          <w:szCs w:val="24"/>
          <w:highlight w:val="white"/>
        </w:rPr>
        <w:t>NotebookLM</w:t>
      </w:r>
      <w:proofErr w:type="spellEnd"/>
      <w:r>
        <w:rPr>
          <w:rFonts w:ascii="Times New Roman" w:eastAsia="Times New Roman" w:hAnsi="Times New Roman" w:cs="Times New Roman"/>
          <w:sz w:val="24"/>
          <w:szCs w:val="24"/>
          <w:highlight w:val="white"/>
        </w:rPr>
        <w:t xml:space="preserve"> to summarize the available data. After using this tool, the authors reviewed and edited the content as needed and take full responsibility for the content of the published article.</w:t>
      </w:r>
    </w:p>
    <w:p w14:paraId="62FCA068" w14:textId="77777777" w:rsidR="0004752F" w:rsidRDefault="0004752F">
      <w:pPr>
        <w:spacing w:after="160" w:line="259" w:lineRule="auto"/>
        <w:jc w:val="both"/>
        <w:rPr>
          <w:rFonts w:ascii="Times New Roman" w:eastAsia="Times New Roman" w:hAnsi="Times New Roman" w:cs="Times New Roman"/>
          <w:sz w:val="24"/>
          <w:szCs w:val="24"/>
          <w:highlight w:val="white"/>
        </w:rPr>
      </w:pPr>
      <w:bookmarkStart w:id="3" w:name="_633jmk7dpjnf" w:colFirst="0" w:colLast="0"/>
      <w:bookmarkEnd w:id="3"/>
    </w:p>
    <w:p w14:paraId="10A299AA" w14:textId="77777777" w:rsidR="0004752F" w:rsidRDefault="003B4E5F">
      <w:pPr>
        <w:spacing w:after="160" w:line="259" w:lineRule="auto"/>
        <w:jc w:val="both"/>
        <w:rPr>
          <w:rFonts w:ascii="Times New Roman" w:eastAsia="Times New Roman" w:hAnsi="Times New Roman" w:cs="Times New Roman"/>
          <w:b/>
          <w:bCs/>
          <w:sz w:val="24"/>
          <w:szCs w:val="24"/>
          <w:highlight w:val="white"/>
        </w:rPr>
      </w:pPr>
      <w:bookmarkStart w:id="4" w:name="_ac87s2z7lrqc" w:colFirst="0" w:colLast="0"/>
      <w:bookmarkEnd w:id="4"/>
      <w:r>
        <w:rPr>
          <w:rFonts w:ascii="Times New Roman" w:eastAsia="Times New Roman" w:hAnsi="Times New Roman" w:cs="Times New Roman"/>
          <w:b/>
          <w:bCs/>
          <w:sz w:val="24"/>
          <w:szCs w:val="24"/>
          <w:highlight w:val="white"/>
        </w:rPr>
        <w:t>References</w:t>
      </w:r>
    </w:p>
    <w:p w14:paraId="48EDC71B" w14:textId="77777777" w:rsidR="0004752F" w:rsidRDefault="003B4E5F">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Muralidharan</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Nikalje</w:t>
      </w:r>
      <w:proofErr w:type="spellEnd"/>
      <w:r>
        <w:rPr>
          <w:rFonts w:ascii="Times New Roman" w:eastAsia="Times New Roman" w:hAnsi="Times New Roman" w:cs="Times New Roman"/>
          <w:sz w:val="24"/>
          <w:szCs w:val="24"/>
          <w:highlight w:val="white"/>
        </w:rPr>
        <w:t xml:space="preserve"> M, Subramaniam T, Koshy JA, Koshy AV, Bangera D. A Narrative Review on Oral Squamous Cell Carcinoma. J Pharm </w:t>
      </w:r>
      <w:proofErr w:type="spellStart"/>
      <w:r>
        <w:rPr>
          <w:rFonts w:ascii="Times New Roman" w:eastAsia="Times New Roman" w:hAnsi="Times New Roman" w:cs="Times New Roman"/>
          <w:sz w:val="24"/>
          <w:szCs w:val="24"/>
          <w:highlight w:val="white"/>
        </w:rPr>
        <w:t>Bioallied</w:t>
      </w:r>
      <w:proofErr w:type="spellEnd"/>
      <w:r>
        <w:rPr>
          <w:rFonts w:ascii="Times New Roman" w:eastAsia="Times New Roman" w:hAnsi="Times New Roman" w:cs="Times New Roman"/>
          <w:sz w:val="24"/>
          <w:szCs w:val="24"/>
          <w:highlight w:val="white"/>
        </w:rPr>
        <w:t xml:space="preserve"> Sci. 2025 May;17(</w:t>
      </w:r>
      <w:proofErr w:type="spellStart"/>
      <w:r>
        <w:rPr>
          <w:rFonts w:ascii="Times New Roman" w:eastAsia="Times New Roman" w:hAnsi="Times New Roman" w:cs="Times New Roman"/>
          <w:sz w:val="24"/>
          <w:szCs w:val="24"/>
          <w:highlight w:val="white"/>
        </w:rPr>
        <w:t>Suppl</w:t>
      </w:r>
      <w:proofErr w:type="spellEnd"/>
      <w:r>
        <w:rPr>
          <w:rFonts w:ascii="Times New Roman" w:eastAsia="Times New Roman" w:hAnsi="Times New Roman" w:cs="Times New Roman"/>
          <w:sz w:val="24"/>
          <w:szCs w:val="24"/>
          <w:highlight w:val="white"/>
        </w:rPr>
        <w:t xml:space="preserve"> 1</w:t>
      </w:r>
      <w:proofErr w:type="gramStart"/>
      <w:r>
        <w:rPr>
          <w:rFonts w:ascii="Times New Roman" w:eastAsia="Times New Roman" w:hAnsi="Times New Roman" w:cs="Times New Roman"/>
          <w:sz w:val="24"/>
          <w:szCs w:val="24"/>
          <w:highlight w:val="white"/>
        </w:rPr>
        <w:t>):S</w:t>
      </w:r>
      <w:proofErr w:type="gramEnd"/>
      <w:r>
        <w:rPr>
          <w:rFonts w:ascii="Times New Roman" w:eastAsia="Times New Roman" w:hAnsi="Times New Roman" w:cs="Times New Roman"/>
          <w:sz w:val="24"/>
          <w:szCs w:val="24"/>
          <w:highlight w:val="white"/>
        </w:rPr>
        <w:t xml:space="preserve">204-S206.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10.4103/jpbs.jpbs_593_25.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2025 Apr 29. PMID: 40511239; PMCID: PMC12156633.</w:t>
      </w:r>
    </w:p>
    <w:p w14:paraId="64FC2110" w14:textId="77777777" w:rsidR="0004752F" w:rsidRDefault="003B4E5F">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Sung H, </w:t>
      </w:r>
      <w:proofErr w:type="spellStart"/>
      <w:r>
        <w:rPr>
          <w:rFonts w:ascii="Times New Roman" w:eastAsia="Times New Roman" w:hAnsi="Times New Roman" w:cs="Times New Roman"/>
          <w:sz w:val="24"/>
          <w:szCs w:val="24"/>
          <w:highlight w:val="white"/>
        </w:rPr>
        <w:t>Ferlay</w:t>
      </w:r>
      <w:proofErr w:type="spellEnd"/>
      <w:r>
        <w:rPr>
          <w:rFonts w:ascii="Times New Roman" w:eastAsia="Times New Roman" w:hAnsi="Times New Roman" w:cs="Times New Roman"/>
          <w:sz w:val="24"/>
          <w:szCs w:val="24"/>
          <w:highlight w:val="white"/>
        </w:rPr>
        <w:t xml:space="preserve"> J, Siegel RL, </w:t>
      </w:r>
      <w:proofErr w:type="spellStart"/>
      <w:r>
        <w:rPr>
          <w:rFonts w:ascii="Times New Roman" w:eastAsia="Times New Roman" w:hAnsi="Times New Roman" w:cs="Times New Roman"/>
          <w:sz w:val="24"/>
          <w:szCs w:val="24"/>
          <w:highlight w:val="white"/>
        </w:rPr>
        <w:t>Laversanne</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Soerjomataram</w:t>
      </w:r>
      <w:proofErr w:type="spellEnd"/>
      <w:r>
        <w:rPr>
          <w:rFonts w:ascii="Times New Roman" w:eastAsia="Times New Roman" w:hAnsi="Times New Roman" w:cs="Times New Roman"/>
          <w:sz w:val="24"/>
          <w:szCs w:val="24"/>
          <w:highlight w:val="white"/>
        </w:rPr>
        <w:t xml:space="preserve"> I, Jemal A, Bray F. Global cancer statistics 2020: GLOBOCAN estimates of incidence and mortality worldwide for 36 cancers in 185 countries. CA Cancer J Clin. 2021 Feb 4.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10.3322/caac.21660.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ahead of print. PMID: 33538338. </w:t>
      </w:r>
    </w:p>
    <w:p w14:paraId="378D3CE1" w14:textId="77777777" w:rsidR="0004752F" w:rsidRDefault="003B4E5F">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Ferlay</w:t>
      </w:r>
      <w:proofErr w:type="spellEnd"/>
      <w:r>
        <w:rPr>
          <w:rFonts w:ascii="Times New Roman" w:eastAsia="Times New Roman" w:hAnsi="Times New Roman" w:cs="Times New Roman"/>
          <w:sz w:val="24"/>
          <w:szCs w:val="24"/>
          <w:highlight w:val="white"/>
        </w:rPr>
        <w:t xml:space="preserve"> J, </w:t>
      </w:r>
      <w:proofErr w:type="spellStart"/>
      <w:r>
        <w:rPr>
          <w:rFonts w:ascii="Times New Roman" w:eastAsia="Times New Roman" w:hAnsi="Times New Roman" w:cs="Times New Roman"/>
          <w:sz w:val="24"/>
          <w:szCs w:val="24"/>
          <w:highlight w:val="white"/>
        </w:rPr>
        <w:t>Colombet</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Soerjomataram</w:t>
      </w:r>
      <w:proofErr w:type="spellEnd"/>
      <w:r>
        <w:rPr>
          <w:rFonts w:ascii="Times New Roman" w:eastAsia="Times New Roman" w:hAnsi="Times New Roman" w:cs="Times New Roman"/>
          <w:sz w:val="24"/>
          <w:szCs w:val="24"/>
          <w:highlight w:val="white"/>
        </w:rPr>
        <w:t xml:space="preserve"> I, Parkin DM, </w:t>
      </w:r>
      <w:proofErr w:type="spellStart"/>
      <w:r>
        <w:rPr>
          <w:rFonts w:ascii="Times New Roman" w:eastAsia="Times New Roman" w:hAnsi="Times New Roman" w:cs="Times New Roman"/>
          <w:sz w:val="24"/>
          <w:szCs w:val="24"/>
          <w:highlight w:val="white"/>
        </w:rPr>
        <w:t>Piñeros</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Znaor</w:t>
      </w:r>
      <w:proofErr w:type="spellEnd"/>
      <w:r>
        <w:rPr>
          <w:rFonts w:ascii="Times New Roman" w:eastAsia="Times New Roman" w:hAnsi="Times New Roman" w:cs="Times New Roman"/>
          <w:sz w:val="24"/>
          <w:szCs w:val="24"/>
          <w:highlight w:val="white"/>
        </w:rPr>
        <w:t xml:space="preserve"> A, Bray F. Cancer statistics for the year 2020: An overview. Int J Cancer. 2021 Apr 5.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10.1002/ijc.33588.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ahead of print. PMID: 33818764.</w:t>
      </w:r>
    </w:p>
    <w:p w14:paraId="406543F4" w14:textId="77777777" w:rsidR="0004752F" w:rsidRDefault="003B4E5F">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Savitha S, Raj Mohan M, Prabu D et. al. Prevalence of Oral Cancer in India: A Systematic Review. Indian Journal of Public Health Research and Development / Vol. 15 No. 4, October-December 2024. DOI </w:t>
      </w:r>
      <w:hyperlink r:id="rId7">
        <w:r>
          <w:rPr>
            <w:rFonts w:ascii="Times New Roman" w:eastAsia="Times New Roman" w:hAnsi="Times New Roman" w:cs="Times New Roman"/>
            <w:sz w:val="24"/>
            <w:szCs w:val="24"/>
            <w:highlight w:val="white"/>
          </w:rPr>
          <w:t>10.37506/1yqne619</w:t>
        </w:r>
      </w:hyperlink>
    </w:p>
    <w:p w14:paraId="07ECB4AC" w14:textId="77777777" w:rsidR="0004752F" w:rsidRDefault="003B4E5F">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Singh, Khushwant &amp; Grover, Ashoo &amp; Dhanasekaran, Kavitha. (2025). Unveiling the cancer epidemic in India: a glimpse into GLOBOCAN 2022 and past patterns. The Lancet Regional Health - Southeast Asia. 34. 100546. 10.1016/j.lansea.2025.100546. </w:t>
      </w:r>
    </w:p>
    <w:p w14:paraId="1EDBD379" w14:textId="77777777" w:rsidR="0004752F" w:rsidRDefault="003B4E5F">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Smith EM, Rubenstein LM, Haugen TH, </w:t>
      </w:r>
      <w:proofErr w:type="spellStart"/>
      <w:r>
        <w:rPr>
          <w:rFonts w:ascii="Times New Roman" w:eastAsia="Times New Roman" w:hAnsi="Times New Roman" w:cs="Times New Roman"/>
          <w:sz w:val="24"/>
          <w:szCs w:val="24"/>
          <w:highlight w:val="white"/>
        </w:rPr>
        <w:t>Hamsikova</w:t>
      </w:r>
      <w:proofErr w:type="spellEnd"/>
      <w:r>
        <w:rPr>
          <w:rFonts w:ascii="Times New Roman" w:eastAsia="Times New Roman" w:hAnsi="Times New Roman" w:cs="Times New Roman"/>
          <w:sz w:val="24"/>
          <w:szCs w:val="24"/>
          <w:highlight w:val="white"/>
        </w:rPr>
        <w:t xml:space="preserve"> E, </w:t>
      </w:r>
      <w:proofErr w:type="spellStart"/>
      <w:r>
        <w:rPr>
          <w:rFonts w:ascii="Times New Roman" w:eastAsia="Times New Roman" w:hAnsi="Times New Roman" w:cs="Times New Roman"/>
          <w:sz w:val="24"/>
          <w:szCs w:val="24"/>
          <w:highlight w:val="white"/>
        </w:rPr>
        <w:t>Turek</w:t>
      </w:r>
      <w:proofErr w:type="spellEnd"/>
      <w:r>
        <w:rPr>
          <w:rFonts w:ascii="Times New Roman" w:eastAsia="Times New Roman" w:hAnsi="Times New Roman" w:cs="Times New Roman"/>
          <w:sz w:val="24"/>
          <w:szCs w:val="24"/>
          <w:highlight w:val="white"/>
        </w:rPr>
        <w:t xml:space="preserve"> LP: Tobacco and alcohol use increases the risk of both HPV-associated and HPV-independent head and neck cancers. Cancer Causes Control 21(9): 1369-1378, 2010. DOI: 10.1007/s10552-010-9564-z</w:t>
      </w:r>
    </w:p>
    <w:p w14:paraId="724C8A24" w14:textId="77777777" w:rsidR="0004752F" w:rsidRDefault="003B4E5F">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Jethwa</w:t>
      </w:r>
      <w:proofErr w:type="spellEnd"/>
      <w:r>
        <w:rPr>
          <w:rFonts w:ascii="Times New Roman" w:eastAsia="Times New Roman" w:hAnsi="Times New Roman" w:cs="Times New Roman"/>
          <w:sz w:val="24"/>
          <w:szCs w:val="24"/>
          <w:highlight w:val="white"/>
        </w:rPr>
        <w:t xml:space="preserve"> AR, </w:t>
      </w:r>
      <w:proofErr w:type="spellStart"/>
      <w:r>
        <w:rPr>
          <w:rFonts w:ascii="Times New Roman" w:eastAsia="Times New Roman" w:hAnsi="Times New Roman" w:cs="Times New Roman"/>
          <w:sz w:val="24"/>
          <w:szCs w:val="24"/>
          <w:highlight w:val="white"/>
        </w:rPr>
        <w:t>Khariwala</w:t>
      </w:r>
      <w:proofErr w:type="spellEnd"/>
      <w:r>
        <w:rPr>
          <w:rFonts w:ascii="Times New Roman" w:eastAsia="Times New Roman" w:hAnsi="Times New Roman" w:cs="Times New Roman"/>
          <w:sz w:val="24"/>
          <w:szCs w:val="24"/>
          <w:highlight w:val="white"/>
        </w:rPr>
        <w:t xml:space="preserve"> SS: Tobacco-related carcinogenesis in head and neck cancer. Cancer Metastasis Rev 36(3): 411-423, 2017. DOI: 10.1007/s10555-017-9689-6</w:t>
      </w:r>
    </w:p>
    <w:p w14:paraId="7D5C8853" w14:textId="77777777" w:rsidR="0004752F" w:rsidRDefault="003B4E5F">
      <w:pPr>
        <w:numPr>
          <w:ilvl w:val="0"/>
          <w:numId w:val="1"/>
        </w:num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Muttagi</w:t>
      </w:r>
      <w:proofErr w:type="spellEnd"/>
      <w:r>
        <w:rPr>
          <w:rFonts w:ascii="Times New Roman" w:eastAsia="Times New Roman" w:hAnsi="Times New Roman" w:cs="Times New Roman"/>
          <w:sz w:val="24"/>
          <w:szCs w:val="24"/>
          <w:highlight w:val="white"/>
        </w:rPr>
        <w:t xml:space="preserve"> SS, Chaturvedi P, Gaikwad R, Singh B, Pawar P: Head and neck squamous cell carcinoma in chronic areca nut chewing Indian women: Case series and review of literature. Indian J Med </w:t>
      </w:r>
      <w:proofErr w:type="spellStart"/>
      <w:r>
        <w:rPr>
          <w:rFonts w:ascii="Times New Roman" w:eastAsia="Times New Roman" w:hAnsi="Times New Roman" w:cs="Times New Roman"/>
          <w:sz w:val="24"/>
          <w:szCs w:val="24"/>
          <w:highlight w:val="white"/>
        </w:rPr>
        <w:t>Paediatr</w:t>
      </w:r>
      <w:proofErr w:type="spellEnd"/>
      <w:r>
        <w:rPr>
          <w:rFonts w:ascii="Times New Roman" w:eastAsia="Times New Roman" w:hAnsi="Times New Roman" w:cs="Times New Roman"/>
          <w:sz w:val="24"/>
          <w:szCs w:val="24"/>
          <w:highlight w:val="white"/>
        </w:rPr>
        <w:t xml:space="preserve"> Oncol 33(1): 32-35, 2012. DOI: 10.4103/0971-5851.96966</w:t>
      </w:r>
    </w:p>
    <w:p w14:paraId="61E6E517"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Leemans CR, </w:t>
      </w:r>
      <w:proofErr w:type="spellStart"/>
      <w:r>
        <w:rPr>
          <w:rFonts w:ascii="Times New Roman" w:eastAsia="Times New Roman" w:hAnsi="Times New Roman" w:cs="Times New Roman"/>
          <w:sz w:val="24"/>
          <w:szCs w:val="24"/>
          <w:highlight w:val="white"/>
        </w:rPr>
        <w:t>Braakhuis</w:t>
      </w:r>
      <w:proofErr w:type="spellEnd"/>
      <w:r>
        <w:rPr>
          <w:rFonts w:ascii="Times New Roman" w:eastAsia="Times New Roman" w:hAnsi="Times New Roman" w:cs="Times New Roman"/>
          <w:sz w:val="24"/>
          <w:szCs w:val="24"/>
          <w:highlight w:val="white"/>
        </w:rPr>
        <w:t xml:space="preserve"> BJ, </w:t>
      </w:r>
      <w:proofErr w:type="spellStart"/>
      <w:r>
        <w:rPr>
          <w:rFonts w:ascii="Times New Roman" w:eastAsia="Times New Roman" w:hAnsi="Times New Roman" w:cs="Times New Roman"/>
          <w:sz w:val="24"/>
          <w:szCs w:val="24"/>
          <w:highlight w:val="white"/>
        </w:rPr>
        <w:t>Brakenhoff</w:t>
      </w:r>
      <w:proofErr w:type="spellEnd"/>
      <w:r>
        <w:rPr>
          <w:rFonts w:ascii="Times New Roman" w:eastAsia="Times New Roman" w:hAnsi="Times New Roman" w:cs="Times New Roman"/>
          <w:sz w:val="24"/>
          <w:szCs w:val="24"/>
          <w:highlight w:val="white"/>
        </w:rPr>
        <w:t xml:space="preserve"> RH. The molecular biology of head and neck cancer. Nat Rev Cancer 2011; 11:9-22.</w:t>
      </w:r>
    </w:p>
    <w:p w14:paraId="71EF96D1"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Torabi</w:t>
      </w:r>
      <w:proofErr w:type="spellEnd"/>
      <w:r>
        <w:rPr>
          <w:rFonts w:ascii="Times New Roman" w:eastAsia="Times New Roman" w:hAnsi="Times New Roman" w:cs="Times New Roman"/>
          <w:sz w:val="24"/>
          <w:szCs w:val="24"/>
          <w:highlight w:val="white"/>
        </w:rPr>
        <w:t xml:space="preserve">, S.J.; </w:t>
      </w:r>
      <w:proofErr w:type="spellStart"/>
      <w:r>
        <w:rPr>
          <w:rFonts w:ascii="Times New Roman" w:eastAsia="Times New Roman" w:hAnsi="Times New Roman" w:cs="Times New Roman"/>
          <w:sz w:val="24"/>
          <w:szCs w:val="24"/>
          <w:highlight w:val="white"/>
        </w:rPr>
        <w:t>Benchetrit</w:t>
      </w:r>
      <w:proofErr w:type="spellEnd"/>
      <w:r>
        <w:rPr>
          <w:rFonts w:ascii="Times New Roman" w:eastAsia="Times New Roman" w:hAnsi="Times New Roman" w:cs="Times New Roman"/>
          <w:sz w:val="24"/>
          <w:szCs w:val="24"/>
          <w:highlight w:val="white"/>
        </w:rPr>
        <w:t xml:space="preserve">, L.; Kuo Yu, P.; </w:t>
      </w:r>
      <w:proofErr w:type="spellStart"/>
      <w:r>
        <w:rPr>
          <w:rFonts w:ascii="Times New Roman" w:eastAsia="Times New Roman" w:hAnsi="Times New Roman" w:cs="Times New Roman"/>
          <w:sz w:val="24"/>
          <w:szCs w:val="24"/>
          <w:highlight w:val="white"/>
        </w:rPr>
        <w:t>Cheraghlou</w:t>
      </w:r>
      <w:proofErr w:type="spellEnd"/>
      <w:r>
        <w:rPr>
          <w:rFonts w:ascii="Times New Roman" w:eastAsia="Times New Roman" w:hAnsi="Times New Roman" w:cs="Times New Roman"/>
          <w:sz w:val="24"/>
          <w:szCs w:val="24"/>
          <w:highlight w:val="white"/>
        </w:rPr>
        <w:t xml:space="preserve">, S.; Savoca, E.L.; Tate, J.P.; Judson, B.L. Prognostic Case Volume Thresholds in Patients </w:t>
      </w:r>
      <w:proofErr w:type="gramStart"/>
      <w:r>
        <w:rPr>
          <w:rFonts w:ascii="Times New Roman" w:eastAsia="Times New Roman" w:hAnsi="Times New Roman" w:cs="Times New Roman"/>
          <w:sz w:val="24"/>
          <w:szCs w:val="24"/>
          <w:highlight w:val="white"/>
        </w:rPr>
        <w:t>With</w:t>
      </w:r>
      <w:proofErr w:type="gramEnd"/>
      <w:r>
        <w:rPr>
          <w:rFonts w:ascii="Times New Roman" w:eastAsia="Times New Roman" w:hAnsi="Times New Roman" w:cs="Times New Roman"/>
          <w:sz w:val="24"/>
          <w:szCs w:val="24"/>
          <w:highlight w:val="white"/>
        </w:rPr>
        <w:t xml:space="preserve"> Head and Neck Squamous Cell Carcinoma. JAMA </w:t>
      </w:r>
      <w:proofErr w:type="spellStart"/>
      <w:r>
        <w:rPr>
          <w:rFonts w:ascii="Times New Roman" w:eastAsia="Times New Roman" w:hAnsi="Times New Roman" w:cs="Times New Roman"/>
          <w:sz w:val="24"/>
          <w:szCs w:val="24"/>
          <w:highlight w:val="white"/>
        </w:rPr>
        <w:t>Otolaryngol</w:t>
      </w:r>
      <w:proofErr w:type="spellEnd"/>
      <w:r>
        <w:rPr>
          <w:rFonts w:ascii="Times New Roman" w:eastAsia="Times New Roman" w:hAnsi="Times New Roman" w:cs="Times New Roman"/>
          <w:sz w:val="24"/>
          <w:szCs w:val="24"/>
          <w:highlight w:val="white"/>
        </w:rPr>
        <w:t>. Head Neck Surg. 2019, 145, 708–715.</w:t>
      </w:r>
    </w:p>
    <w:p w14:paraId="0F79CC9C"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Agarwal AK, Sethi A, Sareen D, et al. Treatment delay in oral and oropharyngeal cancer in our population: The role of socio-economic factors and health-seeking </w:t>
      </w:r>
      <w:proofErr w:type="spellStart"/>
      <w:r>
        <w:rPr>
          <w:rFonts w:ascii="Times New Roman" w:eastAsia="Times New Roman" w:hAnsi="Times New Roman" w:cs="Times New Roman"/>
          <w:sz w:val="24"/>
          <w:szCs w:val="24"/>
          <w:highlight w:val="white"/>
        </w:rPr>
        <w:t>behavior</w:t>
      </w:r>
      <w:proofErr w:type="spellEnd"/>
      <w:r>
        <w:rPr>
          <w:rFonts w:ascii="Times New Roman" w:eastAsia="Times New Roman" w:hAnsi="Times New Roman" w:cs="Times New Roman"/>
          <w:sz w:val="24"/>
          <w:szCs w:val="24"/>
          <w:highlight w:val="white"/>
        </w:rPr>
        <w:t xml:space="preserve">. Indian J </w:t>
      </w:r>
      <w:proofErr w:type="spellStart"/>
      <w:r>
        <w:rPr>
          <w:rFonts w:ascii="Times New Roman" w:eastAsia="Times New Roman" w:hAnsi="Times New Roman" w:cs="Times New Roman"/>
          <w:sz w:val="24"/>
          <w:szCs w:val="24"/>
          <w:highlight w:val="white"/>
        </w:rPr>
        <w:t>Otolaryngol</w:t>
      </w:r>
      <w:proofErr w:type="spellEnd"/>
      <w:r>
        <w:rPr>
          <w:rFonts w:ascii="Times New Roman" w:eastAsia="Times New Roman" w:hAnsi="Times New Roman" w:cs="Times New Roman"/>
          <w:sz w:val="24"/>
          <w:szCs w:val="24"/>
          <w:highlight w:val="white"/>
        </w:rPr>
        <w:t xml:space="preserve"> Head Neck </w:t>
      </w:r>
      <w:proofErr w:type="spellStart"/>
      <w:r>
        <w:rPr>
          <w:rFonts w:ascii="Times New Roman" w:eastAsia="Times New Roman" w:hAnsi="Times New Roman" w:cs="Times New Roman"/>
          <w:sz w:val="24"/>
          <w:szCs w:val="24"/>
          <w:highlight w:val="white"/>
        </w:rPr>
        <w:t>Surg</w:t>
      </w:r>
      <w:proofErr w:type="spellEnd"/>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2011;63:145</w:t>
      </w:r>
      <w:proofErr w:type="gramEnd"/>
      <w:r>
        <w:rPr>
          <w:rFonts w:ascii="Times New Roman" w:eastAsia="Times New Roman" w:hAnsi="Times New Roman" w:cs="Times New Roman"/>
          <w:sz w:val="24"/>
          <w:szCs w:val="24"/>
          <w:highlight w:val="white"/>
        </w:rPr>
        <w:t xml:space="preserve">-50,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10.1007/s12070-011-0134-9. </w:t>
      </w:r>
    </w:p>
    <w:p w14:paraId="4EAB39BD"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Patel UA, Lynn-Macrae A, Rosen F, et al. Advanced stage of head and neck cancer at a tertiary-care county hospital. Laryngoscope </w:t>
      </w:r>
      <w:proofErr w:type="gramStart"/>
      <w:r>
        <w:rPr>
          <w:rFonts w:ascii="Times New Roman" w:eastAsia="Times New Roman" w:hAnsi="Times New Roman" w:cs="Times New Roman"/>
          <w:sz w:val="24"/>
          <w:szCs w:val="24"/>
          <w:highlight w:val="white"/>
        </w:rPr>
        <w:t>2006;116:1473</w:t>
      </w:r>
      <w:proofErr w:type="gramEnd"/>
      <w:r>
        <w:rPr>
          <w:rFonts w:ascii="Times New Roman" w:eastAsia="Times New Roman" w:hAnsi="Times New Roman" w:cs="Times New Roman"/>
          <w:sz w:val="24"/>
          <w:szCs w:val="24"/>
          <w:highlight w:val="white"/>
        </w:rPr>
        <w:t xml:space="preserve">-7,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10.1097/01.mlg.0000227448.71894.8c.</w:t>
      </w:r>
    </w:p>
    <w:p w14:paraId="19D2E2ED"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Dik, E.A.; Willems, S.M.; </w:t>
      </w:r>
      <w:proofErr w:type="spellStart"/>
      <w:r>
        <w:rPr>
          <w:rFonts w:ascii="Times New Roman" w:eastAsia="Times New Roman" w:hAnsi="Times New Roman" w:cs="Times New Roman"/>
          <w:sz w:val="24"/>
          <w:szCs w:val="24"/>
          <w:highlight w:val="white"/>
        </w:rPr>
        <w:t>Ipenburg</w:t>
      </w:r>
      <w:proofErr w:type="spellEnd"/>
      <w:r>
        <w:rPr>
          <w:rFonts w:ascii="Times New Roman" w:eastAsia="Times New Roman" w:hAnsi="Times New Roman" w:cs="Times New Roman"/>
          <w:sz w:val="24"/>
          <w:szCs w:val="24"/>
          <w:highlight w:val="white"/>
        </w:rPr>
        <w:t xml:space="preserve">, N.A.; Rosenberg, A.J.; Van </w:t>
      </w:r>
      <w:proofErr w:type="spellStart"/>
      <w:r>
        <w:rPr>
          <w:rFonts w:ascii="Times New Roman" w:eastAsia="Times New Roman" w:hAnsi="Times New Roman" w:cs="Times New Roman"/>
          <w:sz w:val="24"/>
          <w:szCs w:val="24"/>
          <w:highlight w:val="white"/>
        </w:rPr>
        <w:t>Cann</w:t>
      </w:r>
      <w:proofErr w:type="spellEnd"/>
      <w:r>
        <w:rPr>
          <w:rFonts w:ascii="Times New Roman" w:eastAsia="Times New Roman" w:hAnsi="Times New Roman" w:cs="Times New Roman"/>
          <w:sz w:val="24"/>
          <w:szCs w:val="24"/>
          <w:highlight w:val="white"/>
        </w:rPr>
        <w:t xml:space="preserve">, E.M.; van Es, R.J. Watchful waiting of the neck in early stage oral cancer is unfavourable for patients with occult nodal disease. Int. J. Oral </w:t>
      </w:r>
      <w:proofErr w:type="spellStart"/>
      <w:r>
        <w:rPr>
          <w:rFonts w:ascii="Times New Roman" w:eastAsia="Times New Roman" w:hAnsi="Times New Roman" w:cs="Times New Roman"/>
          <w:sz w:val="24"/>
          <w:szCs w:val="24"/>
          <w:highlight w:val="white"/>
        </w:rPr>
        <w:t>Maxillofac</w:t>
      </w:r>
      <w:proofErr w:type="spellEnd"/>
      <w:r>
        <w:rPr>
          <w:rFonts w:ascii="Times New Roman" w:eastAsia="Times New Roman" w:hAnsi="Times New Roman" w:cs="Times New Roman"/>
          <w:sz w:val="24"/>
          <w:szCs w:val="24"/>
          <w:highlight w:val="white"/>
        </w:rPr>
        <w:t>. Surg. 2016, 45, 945–950.</w:t>
      </w:r>
    </w:p>
    <w:p w14:paraId="4A585AB7"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Murar</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Forastiere</w:t>
      </w:r>
      <w:proofErr w:type="spellEnd"/>
      <w:r>
        <w:rPr>
          <w:rFonts w:ascii="Times New Roman" w:eastAsia="Times New Roman" w:hAnsi="Times New Roman" w:cs="Times New Roman"/>
          <w:sz w:val="24"/>
          <w:szCs w:val="24"/>
          <w:highlight w:val="white"/>
        </w:rPr>
        <w:t xml:space="preserve"> AA. Head and neck cancer: changing epidemiology, diagnosis and treatment. Mayo Clin Proc 2008; 83:489-501.</w:t>
      </w:r>
    </w:p>
    <w:p w14:paraId="3A9CF64C"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Metgud</w:t>
      </w:r>
      <w:proofErr w:type="spellEnd"/>
      <w:r>
        <w:rPr>
          <w:rFonts w:ascii="Times New Roman" w:eastAsia="Times New Roman" w:hAnsi="Times New Roman" w:cs="Times New Roman"/>
          <w:sz w:val="24"/>
          <w:szCs w:val="24"/>
          <w:highlight w:val="white"/>
        </w:rPr>
        <w:t xml:space="preserve"> R, </w:t>
      </w:r>
      <w:proofErr w:type="spellStart"/>
      <w:r>
        <w:rPr>
          <w:rFonts w:ascii="Times New Roman" w:eastAsia="Times New Roman" w:hAnsi="Times New Roman" w:cs="Times New Roman"/>
          <w:sz w:val="24"/>
          <w:szCs w:val="24"/>
          <w:highlight w:val="white"/>
        </w:rPr>
        <w:t>Astekar</w:t>
      </w:r>
      <w:proofErr w:type="spellEnd"/>
      <w:r>
        <w:rPr>
          <w:rFonts w:ascii="Times New Roman" w:eastAsia="Times New Roman" w:hAnsi="Times New Roman" w:cs="Times New Roman"/>
          <w:sz w:val="24"/>
          <w:szCs w:val="24"/>
          <w:highlight w:val="white"/>
        </w:rPr>
        <w:t xml:space="preserve"> M, Verma M, Sharma A. Role of viruses in oral squamous cell carcinoma. Oncol Rev. 2012 Sep 14;6(2</w:t>
      </w:r>
      <w:proofErr w:type="gramStart"/>
      <w:r>
        <w:rPr>
          <w:rFonts w:ascii="Times New Roman" w:eastAsia="Times New Roman" w:hAnsi="Times New Roman" w:cs="Times New Roman"/>
          <w:sz w:val="24"/>
          <w:szCs w:val="24"/>
          <w:highlight w:val="white"/>
        </w:rPr>
        <w:t>):e</w:t>
      </w:r>
      <w:proofErr w:type="gramEnd"/>
      <w:r>
        <w:rPr>
          <w:rFonts w:ascii="Times New Roman" w:eastAsia="Times New Roman" w:hAnsi="Times New Roman" w:cs="Times New Roman"/>
          <w:sz w:val="24"/>
          <w:szCs w:val="24"/>
          <w:highlight w:val="white"/>
        </w:rPr>
        <w:t xml:space="preserve">21.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10.4081/</w:t>
      </w:r>
      <w:proofErr w:type="gramStart"/>
      <w:r>
        <w:rPr>
          <w:rFonts w:ascii="Times New Roman" w:eastAsia="Times New Roman" w:hAnsi="Times New Roman" w:cs="Times New Roman"/>
          <w:sz w:val="24"/>
          <w:szCs w:val="24"/>
          <w:highlight w:val="white"/>
        </w:rPr>
        <w:t>oncol.2012.e</w:t>
      </w:r>
      <w:proofErr w:type="gramEnd"/>
      <w:r>
        <w:rPr>
          <w:rFonts w:ascii="Times New Roman" w:eastAsia="Times New Roman" w:hAnsi="Times New Roman" w:cs="Times New Roman"/>
          <w:sz w:val="24"/>
          <w:szCs w:val="24"/>
          <w:highlight w:val="white"/>
        </w:rPr>
        <w:t>21. PMID: 25992219; PMCID: PMC4419625.</w:t>
      </w:r>
    </w:p>
    <w:p w14:paraId="32A196F4"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Tan, Y., Wang, Z., Xu, M. et al. Oral squamous cell carcinomas: state of the field and emerging directions. Int J Oral Sci 15, 44 (2023). </w:t>
      </w:r>
      <w:hyperlink r:id="rId8">
        <w:r>
          <w:rPr>
            <w:rFonts w:ascii="Times New Roman" w:eastAsia="Times New Roman" w:hAnsi="Times New Roman" w:cs="Times New Roman"/>
            <w:sz w:val="24"/>
            <w:szCs w:val="24"/>
            <w:highlight w:val="white"/>
          </w:rPr>
          <w:t>https://doi.org/10.1038/s41368-023-00249-w</w:t>
        </w:r>
      </w:hyperlink>
    </w:p>
    <w:p w14:paraId="7C28E435"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Irani, Soussan1,2. New Insights into Oral Cancer—Risk Factors and Prevention: A Review of Literature. International Journal of Preventive Medicine 11(1):202, | DOI: 10.4103/ijpvm.IJPVM_403_18 </w:t>
      </w:r>
    </w:p>
    <w:p w14:paraId="47C7AFBA"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Nishida A, Andoh A. The Role of Inflammation in Cancer: Mechanisms of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Initiation, Progression, and Metastasis. Cells. 2025 Mar 25;14(7):488.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10.3390/cells14070488. PMID: 40214442; PMCID: PMC11987742.</w:t>
      </w:r>
    </w:p>
    <w:p w14:paraId="52AD50C1"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Bakrim</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Fessikh</w:t>
      </w:r>
      <w:proofErr w:type="spellEnd"/>
      <w:r>
        <w:rPr>
          <w:rFonts w:ascii="Times New Roman" w:eastAsia="Times New Roman" w:hAnsi="Times New Roman" w:cs="Times New Roman"/>
          <w:sz w:val="24"/>
          <w:szCs w:val="24"/>
          <w:highlight w:val="white"/>
        </w:rPr>
        <w:t xml:space="preserve">, M.E., </w:t>
      </w:r>
      <w:proofErr w:type="spellStart"/>
      <w:r>
        <w:rPr>
          <w:rFonts w:ascii="Times New Roman" w:eastAsia="Times New Roman" w:hAnsi="Times New Roman" w:cs="Times New Roman"/>
          <w:sz w:val="24"/>
          <w:szCs w:val="24"/>
          <w:highlight w:val="white"/>
        </w:rPr>
        <w:t>Elhrech</w:t>
      </w:r>
      <w:proofErr w:type="spellEnd"/>
      <w:r>
        <w:rPr>
          <w:rFonts w:ascii="Times New Roman" w:eastAsia="Times New Roman" w:hAnsi="Times New Roman" w:cs="Times New Roman"/>
          <w:sz w:val="24"/>
          <w:szCs w:val="24"/>
          <w:highlight w:val="white"/>
        </w:rPr>
        <w:t xml:space="preserve">, H. et al. Targeting inflammation in cancer therapy: from mechanistic insights to emerging therapeutic approaches. J </w:t>
      </w:r>
      <w:proofErr w:type="spellStart"/>
      <w:r>
        <w:rPr>
          <w:rFonts w:ascii="Times New Roman" w:eastAsia="Times New Roman" w:hAnsi="Times New Roman" w:cs="Times New Roman"/>
          <w:sz w:val="24"/>
          <w:szCs w:val="24"/>
          <w:highlight w:val="white"/>
        </w:rPr>
        <w:t>Transl</w:t>
      </w:r>
      <w:proofErr w:type="spellEnd"/>
      <w:r>
        <w:rPr>
          <w:rFonts w:ascii="Times New Roman" w:eastAsia="Times New Roman" w:hAnsi="Times New Roman" w:cs="Times New Roman"/>
          <w:sz w:val="24"/>
          <w:szCs w:val="24"/>
          <w:highlight w:val="white"/>
        </w:rPr>
        <w:t xml:space="preserve"> Med 23, 588 (2025). </w:t>
      </w:r>
      <w:hyperlink r:id="rId9">
        <w:r>
          <w:rPr>
            <w:rFonts w:ascii="Times New Roman" w:eastAsia="Times New Roman" w:hAnsi="Times New Roman" w:cs="Times New Roman"/>
            <w:sz w:val="24"/>
            <w:szCs w:val="24"/>
            <w:highlight w:val="white"/>
          </w:rPr>
          <w:t>https://doi.org/10.1186/s12967-025-06583-3</w:t>
        </w:r>
      </w:hyperlink>
    </w:p>
    <w:p w14:paraId="5DFFE250"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Hibino S, Kawazoe T, Kasahara H, Itoh S, Ishimoto T, Sakata-Yanagimoto M, Taniguchi K. Inflammation-Induced Tumorigenesis and Metastasis. Int J Mol Sci. 2021 May 21;22(11):5421.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10.3390/ijms22115421. PMID: 34063828; PMCID: PMC8196678.</w:t>
      </w:r>
    </w:p>
    <w:p w14:paraId="3C9A0DF9"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Singh N, Baby D, Rajguru JP, Patil PB, </w:t>
      </w:r>
      <w:proofErr w:type="spellStart"/>
      <w:r>
        <w:rPr>
          <w:rFonts w:ascii="Times New Roman" w:eastAsia="Times New Roman" w:hAnsi="Times New Roman" w:cs="Times New Roman"/>
          <w:sz w:val="24"/>
          <w:szCs w:val="24"/>
          <w:highlight w:val="white"/>
        </w:rPr>
        <w:t>Thakkannavar</w:t>
      </w:r>
      <w:proofErr w:type="spellEnd"/>
      <w:r>
        <w:rPr>
          <w:rFonts w:ascii="Times New Roman" w:eastAsia="Times New Roman" w:hAnsi="Times New Roman" w:cs="Times New Roman"/>
          <w:sz w:val="24"/>
          <w:szCs w:val="24"/>
          <w:highlight w:val="white"/>
        </w:rPr>
        <w:t xml:space="preserve"> SS, Pujari VB. Inflammation and cancer. Ann </w:t>
      </w:r>
      <w:proofErr w:type="spellStart"/>
      <w:r>
        <w:rPr>
          <w:rFonts w:ascii="Times New Roman" w:eastAsia="Times New Roman" w:hAnsi="Times New Roman" w:cs="Times New Roman"/>
          <w:sz w:val="24"/>
          <w:szCs w:val="24"/>
          <w:highlight w:val="white"/>
        </w:rPr>
        <w:t>Afr</w:t>
      </w:r>
      <w:proofErr w:type="spellEnd"/>
      <w:r>
        <w:rPr>
          <w:rFonts w:ascii="Times New Roman" w:eastAsia="Times New Roman" w:hAnsi="Times New Roman" w:cs="Times New Roman"/>
          <w:sz w:val="24"/>
          <w:szCs w:val="24"/>
          <w:highlight w:val="white"/>
        </w:rPr>
        <w:t xml:space="preserve"> Med. 2019 Jul-Sep;18(3):121-126.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10.4103/aam.aam_56_18. PMID: 31417011; PMCID: PMC6704802.</w:t>
      </w:r>
    </w:p>
    <w:p w14:paraId="7D16ED68"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Mao H, Zhao X, Sun SC. NF-</w:t>
      </w:r>
      <w:proofErr w:type="spellStart"/>
      <w:r>
        <w:rPr>
          <w:rFonts w:ascii="Times New Roman" w:eastAsia="Times New Roman" w:hAnsi="Times New Roman" w:cs="Times New Roman"/>
          <w:sz w:val="24"/>
          <w:szCs w:val="24"/>
          <w:highlight w:val="white"/>
        </w:rPr>
        <w:t>κB</w:t>
      </w:r>
      <w:proofErr w:type="spellEnd"/>
      <w:r>
        <w:rPr>
          <w:rFonts w:ascii="Times New Roman" w:eastAsia="Times New Roman" w:hAnsi="Times New Roman" w:cs="Times New Roman"/>
          <w:sz w:val="24"/>
          <w:szCs w:val="24"/>
          <w:highlight w:val="white"/>
        </w:rPr>
        <w:t xml:space="preserve"> in inflammation and cancer. Cell Mol Immunol. 2025 Aug;22(8):811-839.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10.1038/s41423-025-01310-w.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2025 Jun 25. PMID: 40562870; PMCID: PMC12310982.</w:t>
      </w:r>
    </w:p>
    <w:p w14:paraId="739EBAD2"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Hoesel B, Schmid JA. The complexity of NF-</w:t>
      </w:r>
      <w:proofErr w:type="spellStart"/>
      <w:r>
        <w:rPr>
          <w:rFonts w:ascii="Times New Roman" w:eastAsia="Times New Roman" w:hAnsi="Times New Roman" w:cs="Times New Roman"/>
          <w:sz w:val="24"/>
          <w:szCs w:val="24"/>
          <w:highlight w:val="white"/>
        </w:rPr>
        <w:t>κB</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signaling</w:t>
      </w:r>
      <w:proofErr w:type="spellEnd"/>
      <w:r>
        <w:rPr>
          <w:rFonts w:ascii="Times New Roman" w:eastAsia="Times New Roman" w:hAnsi="Times New Roman" w:cs="Times New Roman"/>
          <w:sz w:val="24"/>
          <w:szCs w:val="24"/>
          <w:highlight w:val="white"/>
        </w:rPr>
        <w:t xml:space="preserve"> in inflammation and cancer. Mol Cancer. 2013 Aug </w:t>
      </w:r>
      <w:proofErr w:type="gramStart"/>
      <w:r>
        <w:rPr>
          <w:rFonts w:ascii="Times New Roman" w:eastAsia="Times New Roman" w:hAnsi="Times New Roman" w:cs="Times New Roman"/>
          <w:sz w:val="24"/>
          <w:szCs w:val="24"/>
          <w:highlight w:val="white"/>
        </w:rPr>
        <w:t>2;12:86</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10.1186/1476-4598-12-86. PMID: 23915189; PMCID: PMC3750319.</w:t>
      </w:r>
    </w:p>
    <w:p w14:paraId="2B71F6DD"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Moneva-Sakelarieva</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Kobakova</w:t>
      </w:r>
      <w:proofErr w:type="spellEnd"/>
      <w:r>
        <w:rPr>
          <w:rFonts w:ascii="Times New Roman" w:eastAsia="Times New Roman" w:hAnsi="Times New Roman" w:cs="Times New Roman"/>
          <w:sz w:val="24"/>
          <w:szCs w:val="24"/>
          <w:highlight w:val="white"/>
        </w:rPr>
        <w:t xml:space="preserve"> Y, </w:t>
      </w:r>
      <w:proofErr w:type="spellStart"/>
      <w:r>
        <w:rPr>
          <w:rFonts w:ascii="Times New Roman" w:eastAsia="Times New Roman" w:hAnsi="Times New Roman" w:cs="Times New Roman"/>
          <w:sz w:val="24"/>
          <w:szCs w:val="24"/>
          <w:highlight w:val="white"/>
        </w:rPr>
        <w:t>Konstantinov</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Momekov</w:t>
      </w:r>
      <w:proofErr w:type="spellEnd"/>
      <w:r>
        <w:rPr>
          <w:rFonts w:ascii="Times New Roman" w:eastAsia="Times New Roman" w:hAnsi="Times New Roman" w:cs="Times New Roman"/>
          <w:sz w:val="24"/>
          <w:szCs w:val="24"/>
          <w:highlight w:val="white"/>
        </w:rPr>
        <w:t xml:space="preserve"> G, Ivanova S, </w:t>
      </w:r>
      <w:proofErr w:type="spellStart"/>
      <w:r>
        <w:rPr>
          <w:rFonts w:ascii="Times New Roman" w:eastAsia="Times New Roman" w:hAnsi="Times New Roman" w:cs="Times New Roman"/>
          <w:sz w:val="24"/>
          <w:szCs w:val="24"/>
          <w:highlight w:val="white"/>
        </w:rPr>
        <w:t>Atanasova</w:t>
      </w:r>
      <w:proofErr w:type="spellEnd"/>
      <w:r>
        <w:rPr>
          <w:rFonts w:ascii="Times New Roman" w:eastAsia="Times New Roman" w:hAnsi="Times New Roman" w:cs="Times New Roman"/>
          <w:sz w:val="24"/>
          <w:szCs w:val="24"/>
          <w:highlight w:val="white"/>
        </w:rPr>
        <w:t xml:space="preserve"> V, </w:t>
      </w:r>
      <w:proofErr w:type="spellStart"/>
      <w:r>
        <w:rPr>
          <w:rFonts w:ascii="Times New Roman" w:eastAsia="Times New Roman" w:hAnsi="Times New Roman" w:cs="Times New Roman"/>
          <w:sz w:val="24"/>
          <w:szCs w:val="24"/>
          <w:highlight w:val="white"/>
        </w:rPr>
        <w:t>Chaneva</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Tododrov</w:t>
      </w:r>
      <w:proofErr w:type="spellEnd"/>
      <w:r>
        <w:rPr>
          <w:rFonts w:ascii="Times New Roman" w:eastAsia="Times New Roman" w:hAnsi="Times New Roman" w:cs="Times New Roman"/>
          <w:sz w:val="24"/>
          <w:szCs w:val="24"/>
          <w:highlight w:val="white"/>
        </w:rPr>
        <w:t xml:space="preserve"> R, </w:t>
      </w:r>
      <w:proofErr w:type="spellStart"/>
      <w:r>
        <w:rPr>
          <w:rFonts w:ascii="Times New Roman" w:eastAsia="Times New Roman" w:hAnsi="Times New Roman" w:cs="Times New Roman"/>
          <w:sz w:val="24"/>
          <w:szCs w:val="24"/>
          <w:highlight w:val="white"/>
        </w:rPr>
        <w:t>Bashev</w:t>
      </w:r>
      <w:proofErr w:type="spellEnd"/>
      <w:r>
        <w:rPr>
          <w:rFonts w:ascii="Times New Roman" w:eastAsia="Times New Roman" w:hAnsi="Times New Roman" w:cs="Times New Roman"/>
          <w:sz w:val="24"/>
          <w:szCs w:val="24"/>
          <w:highlight w:val="white"/>
        </w:rPr>
        <w:t xml:space="preserve"> N, </w:t>
      </w:r>
      <w:proofErr w:type="spellStart"/>
      <w:r>
        <w:rPr>
          <w:rFonts w:ascii="Times New Roman" w:eastAsia="Times New Roman" w:hAnsi="Times New Roman" w:cs="Times New Roman"/>
          <w:sz w:val="24"/>
          <w:szCs w:val="24"/>
          <w:highlight w:val="white"/>
        </w:rPr>
        <w:t>Atanasov</w:t>
      </w:r>
      <w:proofErr w:type="spellEnd"/>
      <w:r>
        <w:rPr>
          <w:rFonts w:ascii="Times New Roman" w:eastAsia="Times New Roman" w:hAnsi="Times New Roman" w:cs="Times New Roman"/>
          <w:sz w:val="24"/>
          <w:szCs w:val="24"/>
          <w:highlight w:val="white"/>
        </w:rPr>
        <w:t xml:space="preserve"> P (2025) The role of the transcription factor NF-kB in the pathogenesis of inflammation and carcinogenesis. Modulation capabilities. Pharmacia 72: 1-13. </w:t>
      </w:r>
      <w:hyperlink r:id="rId10">
        <w:r>
          <w:rPr>
            <w:rFonts w:ascii="Times New Roman" w:eastAsia="Times New Roman" w:hAnsi="Times New Roman" w:cs="Times New Roman"/>
            <w:sz w:val="24"/>
            <w:szCs w:val="24"/>
            <w:highlight w:val="white"/>
          </w:rPr>
          <w:t>https://doi.org/10.3897/pharmacia.72.e146759</w:t>
        </w:r>
      </w:hyperlink>
    </w:p>
    <w:p w14:paraId="4E183767"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Zhang T, Ma C, Zhang Z, Zhang H, Hu H. NF-</w:t>
      </w:r>
      <w:proofErr w:type="spellStart"/>
      <w:r>
        <w:rPr>
          <w:rFonts w:ascii="Times New Roman" w:eastAsia="Times New Roman" w:hAnsi="Times New Roman" w:cs="Times New Roman"/>
          <w:sz w:val="24"/>
          <w:szCs w:val="24"/>
          <w:highlight w:val="white"/>
        </w:rPr>
        <w:t>κB</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signaling</w:t>
      </w:r>
      <w:proofErr w:type="spellEnd"/>
      <w:r>
        <w:rPr>
          <w:rFonts w:ascii="Times New Roman" w:eastAsia="Times New Roman" w:hAnsi="Times New Roman" w:cs="Times New Roman"/>
          <w:sz w:val="24"/>
          <w:szCs w:val="24"/>
          <w:highlight w:val="white"/>
        </w:rPr>
        <w:t xml:space="preserve"> in inflammation and cancer. </w:t>
      </w:r>
      <w:proofErr w:type="spellStart"/>
      <w:r>
        <w:rPr>
          <w:rFonts w:ascii="Times New Roman" w:eastAsia="Times New Roman" w:hAnsi="Times New Roman" w:cs="Times New Roman"/>
          <w:sz w:val="24"/>
          <w:szCs w:val="24"/>
          <w:highlight w:val="white"/>
        </w:rPr>
        <w:t>MedComm</w:t>
      </w:r>
      <w:proofErr w:type="spellEnd"/>
      <w:r>
        <w:rPr>
          <w:rFonts w:ascii="Times New Roman" w:eastAsia="Times New Roman" w:hAnsi="Times New Roman" w:cs="Times New Roman"/>
          <w:sz w:val="24"/>
          <w:szCs w:val="24"/>
          <w:highlight w:val="white"/>
        </w:rPr>
        <w:t xml:space="preserve"> (2020). 2021 Dec 16;2(4):618-653.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10.1002/mco2.104. PMID: 34977871; PMCID: PMC8706767.</w:t>
      </w:r>
    </w:p>
    <w:p w14:paraId="12125053"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Grimm M, </w:t>
      </w:r>
      <w:proofErr w:type="spellStart"/>
      <w:r>
        <w:rPr>
          <w:rFonts w:ascii="Times New Roman" w:eastAsia="Times New Roman" w:hAnsi="Times New Roman" w:cs="Times New Roman"/>
          <w:sz w:val="24"/>
          <w:szCs w:val="24"/>
          <w:highlight w:val="white"/>
        </w:rPr>
        <w:t>Lazariotou</w:t>
      </w:r>
      <w:proofErr w:type="spellEnd"/>
      <w:r>
        <w:rPr>
          <w:rFonts w:ascii="Times New Roman" w:eastAsia="Times New Roman" w:hAnsi="Times New Roman" w:cs="Times New Roman"/>
          <w:sz w:val="24"/>
          <w:szCs w:val="24"/>
          <w:highlight w:val="white"/>
        </w:rPr>
        <w:t xml:space="preserve"> M, Kircher S, </w:t>
      </w:r>
      <w:proofErr w:type="spellStart"/>
      <w:r>
        <w:rPr>
          <w:rFonts w:ascii="Times New Roman" w:eastAsia="Times New Roman" w:hAnsi="Times New Roman" w:cs="Times New Roman"/>
          <w:sz w:val="24"/>
          <w:szCs w:val="24"/>
          <w:highlight w:val="white"/>
        </w:rPr>
        <w:t>Höfelmayr</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Germer</w:t>
      </w:r>
      <w:proofErr w:type="spellEnd"/>
      <w:r>
        <w:rPr>
          <w:rFonts w:ascii="Times New Roman" w:eastAsia="Times New Roman" w:hAnsi="Times New Roman" w:cs="Times New Roman"/>
          <w:sz w:val="24"/>
          <w:szCs w:val="24"/>
          <w:highlight w:val="white"/>
        </w:rPr>
        <w:t xml:space="preserve"> CT, von </w:t>
      </w:r>
      <w:proofErr w:type="spellStart"/>
      <w:r>
        <w:rPr>
          <w:rFonts w:ascii="Times New Roman" w:eastAsia="Times New Roman" w:hAnsi="Times New Roman" w:cs="Times New Roman"/>
          <w:sz w:val="24"/>
          <w:szCs w:val="24"/>
          <w:highlight w:val="white"/>
        </w:rPr>
        <w:t>Rahden</w:t>
      </w:r>
      <w:proofErr w:type="spellEnd"/>
      <w:r>
        <w:rPr>
          <w:rFonts w:ascii="Times New Roman" w:eastAsia="Times New Roman" w:hAnsi="Times New Roman" w:cs="Times New Roman"/>
          <w:sz w:val="24"/>
          <w:szCs w:val="24"/>
          <w:highlight w:val="white"/>
        </w:rPr>
        <w:t xml:space="preserve"> BH, </w:t>
      </w:r>
      <w:proofErr w:type="spellStart"/>
      <w:r>
        <w:rPr>
          <w:rFonts w:ascii="Times New Roman" w:eastAsia="Times New Roman" w:hAnsi="Times New Roman" w:cs="Times New Roman"/>
          <w:sz w:val="24"/>
          <w:szCs w:val="24"/>
          <w:highlight w:val="white"/>
        </w:rPr>
        <w:t>Waaga</w:t>
      </w:r>
      <w:proofErr w:type="spellEnd"/>
      <w:r>
        <w:rPr>
          <w:rFonts w:ascii="Times New Roman" w:eastAsia="Times New Roman" w:hAnsi="Times New Roman" w:cs="Times New Roman"/>
          <w:sz w:val="24"/>
          <w:szCs w:val="24"/>
          <w:highlight w:val="white"/>
        </w:rPr>
        <w:t xml:space="preserve">-Gasser AM, Gasser M.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necrosis factor-α is associated with positive lymph node status in patients with recurrence of colorectal cancer-indications for anti-TNF-α agents in cancer treatment. Cell Oncol (</w:t>
      </w:r>
      <w:proofErr w:type="spellStart"/>
      <w:r>
        <w:rPr>
          <w:rFonts w:ascii="Times New Roman" w:eastAsia="Times New Roman" w:hAnsi="Times New Roman" w:cs="Times New Roman"/>
          <w:sz w:val="24"/>
          <w:szCs w:val="24"/>
          <w:highlight w:val="white"/>
        </w:rPr>
        <w:t>Dordr</w:t>
      </w:r>
      <w:proofErr w:type="spellEnd"/>
      <w:r>
        <w:rPr>
          <w:rFonts w:ascii="Times New Roman" w:eastAsia="Times New Roman" w:hAnsi="Times New Roman" w:cs="Times New Roman"/>
          <w:sz w:val="24"/>
          <w:szCs w:val="24"/>
          <w:highlight w:val="white"/>
        </w:rPr>
        <w:t xml:space="preserve">). 2011 Aug;34(4):315-26.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10.1007/s13402-011-0027-7. PMID: 21573932.</w:t>
      </w:r>
    </w:p>
    <w:p w14:paraId="63A034D3"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Naheed, Zohra1; Rab, Atia Zaka-ur2; Akhtar, Kafil1; Siddiqui, Shahid Ali3. Immunohistochemical Expression of Tumour Necrosis Factor Alpha (TNF-α) as a Potential Prognostic Biomarker in Invasive Breast Cancer. Breast Global Journal 2(1</w:t>
      </w:r>
      <w:proofErr w:type="gramStart"/>
      <w:r>
        <w:rPr>
          <w:rFonts w:ascii="Times New Roman" w:eastAsia="Times New Roman" w:hAnsi="Times New Roman" w:cs="Times New Roman"/>
          <w:sz w:val="24"/>
          <w:szCs w:val="24"/>
          <w:highlight w:val="white"/>
        </w:rPr>
        <w:t>):p</w:t>
      </w:r>
      <w:proofErr w:type="gramEnd"/>
      <w:r>
        <w:rPr>
          <w:rFonts w:ascii="Times New Roman" w:eastAsia="Times New Roman" w:hAnsi="Times New Roman" w:cs="Times New Roman"/>
          <w:sz w:val="24"/>
          <w:szCs w:val="24"/>
          <w:highlight w:val="white"/>
        </w:rPr>
        <w:t xml:space="preserve"> 9-15, January-March 2024. | DOI: 10.4103/bgj.bgj_4_24 </w:t>
      </w:r>
    </w:p>
    <w:p w14:paraId="14177718"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Ben-Baruch A.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Necrosis Factor α: Taking a Personalized Road in Cancer Therapy. Front Immunol. 2022 May </w:t>
      </w:r>
      <w:proofErr w:type="gramStart"/>
      <w:r>
        <w:rPr>
          <w:rFonts w:ascii="Times New Roman" w:eastAsia="Times New Roman" w:hAnsi="Times New Roman" w:cs="Times New Roman"/>
          <w:sz w:val="24"/>
          <w:szCs w:val="24"/>
          <w:highlight w:val="white"/>
        </w:rPr>
        <w:t>18;13:903679</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10.3389/fimmu.2022.903679. PMID: 35663982; PMCID: PMC9157545.</w:t>
      </w:r>
    </w:p>
    <w:p w14:paraId="63409188"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Liang Y, Shao Y, Gu W. Role of interleukin-6 in resistance to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therapy. </w:t>
      </w:r>
      <w:proofErr w:type="spellStart"/>
      <w:r>
        <w:rPr>
          <w:rFonts w:ascii="Times New Roman" w:eastAsia="Times New Roman" w:hAnsi="Times New Roman" w:cs="Times New Roman"/>
          <w:sz w:val="24"/>
          <w:szCs w:val="24"/>
          <w:highlight w:val="white"/>
        </w:rPr>
        <w:t>Discov</w:t>
      </w:r>
      <w:proofErr w:type="spellEnd"/>
      <w:r>
        <w:rPr>
          <w:rFonts w:ascii="Times New Roman" w:eastAsia="Times New Roman" w:hAnsi="Times New Roman" w:cs="Times New Roman"/>
          <w:sz w:val="24"/>
          <w:szCs w:val="24"/>
          <w:highlight w:val="white"/>
        </w:rPr>
        <w:t xml:space="preserve"> Oncol. 2025 Sep 30;16(1):1791.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10.1007/s12672-025-03644-3. PMID: 41026295; PMCID: PMC12484520.</w:t>
      </w:r>
    </w:p>
    <w:p w14:paraId="3F1C08FD"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Nakase, </w:t>
      </w:r>
      <w:proofErr w:type="spellStart"/>
      <w:r>
        <w:rPr>
          <w:rFonts w:ascii="Times New Roman" w:eastAsia="Times New Roman" w:hAnsi="Times New Roman" w:cs="Times New Roman"/>
          <w:sz w:val="24"/>
          <w:szCs w:val="24"/>
          <w:highlight w:val="white"/>
        </w:rPr>
        <w:t>Shimomori</w:t>
      </w:r>
      <w:proofErr w:type="spellEnd"/>
      <w:r>
        <w:rPr>
          <w:rFonts w:ascii="Times New Roman" w:eastAsia="Times New Roman" w:hAnsi="Times New Roman" w:cs="Times New Roman"/>
          <w:sz w:val="24"/>
          <w:szCs w:val="24"/>
          <w:highlight w:val="white"/>
        </w:rPr>
        <w:t xml:space="preserve"> Y (September 13, 2025) Association of Chronic Inflammation-Associated Cancer </w:t>
      </w:r>
      <w:proofErr w:type="gramStart"/>
      <w:r>
        <w:rPr>
          <w:rFonts w:ascii="Times New Roman" w:eastAsia="Times New Roman" w:hAnsi="Times New Roman" w:cs="Times New Roman"/>
          <w:sz w:val="24"/>
          <w:szCs w:val="24"/>
          <w:highlight w:val="white"/>
        </w:rPr>
        <w:t>With</w:t>
      </w:r>
      <w:proofErr w:type="gramEnd"/>
      <w:r>
        <w:rPr>
          <w:rFonts w:ascii="Times New Roman" w:eastAsia="Times New Roman" w:hAnsi="Times New Roman" w:cs="Times New Roman"/>
          <w:sz w:val="24"/>
          <w:szCs w:val="24"/>
          <w:highlight w:val="white"/>
        </w:rPr>
        <w:t xml:space="preserve"> Cytokines. </w:t>
      </w:r>
      <w:proofErr w:type="spellStart"/>
      <w:r>
        <w:rPr>
          <w:rFonts w:ascii="Times New Roman" w:eastAsia="Times New Roman" w:hAnsi="Times New Roman" w:cs="Times New Roman"/>
          <w:sz w:val="24"/>
          <w:szCs w:val="24"/>
          <w:highlight w:val="white"/>
        </w:rPr>
        <w:t>Cureus</w:t>
      </w:r>
      <w:proofErr w:type="spellEnd"/>
      <w:r>
        <w:rPr>
          <w:rFonts w:ascii="Times New Roman" w:eastAsia="Times New Roman" w:hAnsi="Times New Roman" w:cs="Times New Roman"/>
          <w:sz w:val="24"/>
          <w:szCs w:val="24"/>
          <w:highlight w:val="white"/>
        </w:rPr>
        <w:t xml:space="preserve"> 17(9): e92239. doi:10.7759/cureus.92239</w:t>
      </w:r>
    </w:p>
    <w:p w14:paraId="3191B20B"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Kumari N, Dwarakanath BS, Das A, Bhatt AN. Role of interleukin-6 in cancer progression and therapeutic resistance. Tumour Biol. 2016 Sep;37(9):11553-11572.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10.1007/s13277-016-5098-7.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2016 Jun 3. PMID: 27260630.</w:t>
      </w:r>
    </w:p>
    <w:p w14:paraId="3D682B8F"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Chen F, Lin L, Yan L, Qiu Y, Cai L, He B. Preoperative Neutrophil-to-Lymphocyte Ratio Predicts the Prognosis of Oral Squamous Cell Carcinoma: A Large-Sample Prospective Study. J Oral </w:t>
      </w:r>
      <w:proofErr w:type="spellStart"/>
      <w:r>
        <w:rPr>
          <w:rFonts w:ascii="Times New Roman" w:eastAsia="Times New Roman" w:hAnsi="Times New Roman" w:cs="Times New Roman"/>
          <w:sz w:val="24"/>
          <w:szCs w:val="24"/>
          <w:highlight w:val="white"/>
        </w:rPr>
        <w:t>Maxillofac</w:t>
      </w:r>
      <w:proofErr w:type="spellEnd"/>
      <w:r>
        <w:rPr>
          <w:rFonts w:ascii="Times New Roman" w:eastAsia="Times New Roman" w:hAnsi="Times New Roman" w:cs="Times New Roman"/>
          <w:sz w:val="24"/>
          <w:szCs w:val="24"/>
          <w:highlight w:val="white"/>
        </w:rPr>
        <w:t xml:space="preserve"> Surg. 2017 Jun;75(6):1275-1282.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10.1016/j.joms.2016.11.022.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2016 Dec 5. PMID: 28011326.</w:t>
      </w:r>
    </w:p>
    <w:p w14:paraId="605BE570"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Yang L, Huang Y, Zhou L, Dai Y, Hu G. High pretreatment neutrophil-to-lymphocyte ratio as a predictor of poor survival prognosis in head and neck squamous cell carcinoma: Systematic review and meta-analysis. Head Neck. 2019 May;41(5):1525-1535.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10.1002/hed.25583.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2018 Dec 30. PMID: 30597654; PMCID: PMC6590244.</w:t>
      </w:r>
    </w:p>
    <w:p w14:paraId="407DE762"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Zhang Y, Gu D. Prognostic Impact of Serum CRP Level in Head and Neck Squamous Cell Carcinoma. Front Oncol. 2022 Jun </w:t>
      </w:r>
      <w:proofErr w:type="gramStart"/>
      <w:r>
        <w:rPr>
          <w:rFonts w:ascii="Times New Roman" w:eastAsia="Times New Roman" w:hAnsi="Times New Roman" w:cs="Times New Roman"/>
          <w:sz w:val="24"/>
          <w:szCs w:val="24"/>
          <w:highlight w:val="white"/>
        </w:rPr>
        <w:t>29;12:889844</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10.3389/fonc.2022.889844. PMID: 35847918; PMCID: PMC9277075.</w:t>
      </w:r>
    </w:p>
    <w:p w14:paraId="39227172"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Chen, Y., Cong, R., Ji, C. and Ruan, W. (2020), The prognostic role of C-reactive protein in patients with head and neck squamous cell carcinoma: A meta-analysis. Cancer Med., 9: 9541-9553. </w:t>
      </w:r>
      <w:hyperlink r:id="rId11">
        <w:r>
          <w:rPr>
            <w:rFonts w:ascii="Times New Roman" w:eastAsia="Times New Roman" w:hAnsi="Times New Roman" w:cs="Times New Roman"/>
            <w:sz w:val="24"/>
            <w:szCs w:val="24"/>
            <w:highlight w:val="white"/>
          </w:rPr>
          <w:t>https://doi.org/10.1002/cam4.3520</w:t>
        </w:r>
      </w:hyperlink>
    </w:p>
    <w:p w14:paraId="7966E9E4"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Yang Y, Liang Y, Sadeghi F, </w:t>
      </w:r>
      <w:proofErr w:type="spellStart"/>
      <w:r>
        <w:rPr>
          <w:rFonts w:ascii="Times New Roman" w:eastAsia="Times New Roman" w:hAnsi="Times New Roman" w:cs="Times New Roman"/>
          <w:sz w:val="24"/>
          <w:szCs w:val="24"/>
          <w:highlight w:val="white"/>
        </w:rPr>
        <w:t>Feychting</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Hamar</w:t>
      </w:r>
      <w:proofErr w:type="spellEnd"/>
      <w:r>
        <w:rPr>
          <w:rFonts w:ascii="Times New Roman" w:eastAsia="Times New Roman" w:hAnsi="Times New Roman" w:cs="Times New Roman"/>
          <w:sz w:val="24"/>
          <w:szCs w:val="24"/>
          <w:highlight w:val="white"/>
        </w:rPr>
        <w:t xml:space="preserve"> N, Fang F, Zhang Z, Liu Q. Risk of head and neck cancer in relation to blood inflammatory biomarkers in the Swedish AMORIS cohort. Front Immunol. 2023 Oct </w:t>
      </w:r>
      <w:proofErr w:type="gramStart"/>
      <w:r>
        <w:rPr>
          <w:rFonts w:ascii="Times New Roman" w:eastAsia="Times New Roman" w:hAnsi="Times New Roman" w:cs="Times New Roman"/>
          <w:sz w:val="24"/>
          <w:szCs w:val="24"/>
          <w:highlight w:val="white"/>
        </w:rPr>
        <w:t>9;14:1265406</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10.3389/fimmu.2023.1265406. PMID: 37876941; PMCID: PMC10590876.</w:t>
      </w:r>
    </w:p>
    <w:p w14:paraId="7C27DAF7"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Chohan MH, Perry M, Laurance-Young P, Salih VM, </w:t>
      </w:r>
      <w:proofErr w:type="spellStart"/>
      <w:r>
        <w:rPr>
          <w:rFonts w:ascii="Times New Roman" w:eastAsia="Times New Roman" w:hAnsi="Times New Roman" w:cs="Times New Roman"/>
          <w:sz w:val="24"/>
          <w:szCs w:val="24"/>
          <w:highlight w:val="white"/>
        </w:rPr>
        <w:t>Foey</w:t>
      </w:r>
      <w:proofErr w:type="spellEnd"/>
      <w:r>
        <w:rPr>
          <w:rFonts w:ascii="Times New Roman" w:eastAsia="Times New Roman" w:hAnsi="Times New Roman" w:cs="Times New Roman"/>
          <w:sz w:val="24"/>
          <w:szCs w:val="24"/>
          <w:highlight w:val="white"/>
        </w:rPr>
        <w:t xml:space="preserve"> AD. Prognostic Role of CD68+ and CD163+ Tumour-Associated Macrophages and PD-L1 Expression in Oral Squamous Cell Carcinoma: A Meta-Analysis. Br J Biomed Sci. 2023 Jun </w:t>
      </w:r>
      <w:proofErr w:type="gramStart"/>
      <w:r>
        <w:rPr>
          <w:rFonts w:ascii="Times New Roman" w:eastAsia="Times New Roman" w:hAnsi="Times New Roman" w:cs="Times New Roman"/>
          <w:sz w:val="24"/>
          <w:szCs w:val="24"/>
          <w:highlight w:val="white"/>
        </w:rPr>
        <w:t>16;80:11065</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10.3389/bjbs.2023.11065. PMID: 37397243; PMCID: PMC10310926.</w:t>
      </w:r>
    </w:p>
    <w:p w14:paraId="200841C6"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Petruzzi MN, Cherubini K, Salum FG, de Figueiredo MA. Role of tumour-associated macrophages in oral squamous cells carcinoma progression: an update on current knowledge. Diagn </w:t>
      </w:r>
      <w:proofErr w:type="spellStart"/>
      <w:r>
        <w:rPr>
          <w:rFonts w:ascii="Times New Roman" w:eastAsia="Times New Roman" w:hAnsi="Times New Roman" w:cs="Times New Roman"/>
          <w:sz w:val="24"/>
          <w:szCs w:val="24"/>
          <w:highlight w:val="white"/>
        </w:rPr>
        <w:t>Pathol</w:t>
      </w:r>
      <w:proofErr w:type="spellEnd"/>
      <w:r>
        <w:rPr>
          <w:rFonts w:ascii="Times New Roman" w:eastAsia="Times New Roman" w:hAnsi="Times New Roman" w:cs="Times New Roman"/>
          <w:sz w:val="24"/>
          <w:szCs w:val="24"/>
          <w:highlight w:val="white"/>
        </w:rPr>
        <w:t xml:space="preserve">. 2017 Apr 5;12(1):32.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10.1186/s13000-017-0623-6. PMID: 28381274; PMCID: PMC5382416.</w:t>
      </w:r>
    </w:p>
    <w:p w14:paraId="77D00F22"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Takabatake</w:t>
      </w:r>
      <w:proofErr w:type="spellEnd"/>
      <w:r>
        <w:rPr>
          <w:rFonts w:ascii="Times New Roman" w:eastAsia="Times New Roman" w:hAnsi="Times New Roman" w:cs="Times New Roman"/>
          <w:sz w:val="24"/>
          <w:szCs w:val="24"/>
          <w:highlight w:val="white"/>
        </w:rPr>
        <w:t xml:space="preserve">, K., </w:t>
      </w:r>
      <w:proofErr w:type="spellStart"/>
      <w:r>
        <w:rPr>
          <w:rFonts w:ascii="Times New Roman" w:eastAsia="Times New Roman" w:hAnsi="Times New Roman" w:cs="Times New Roman"/>
          <w:sz w:val="24"/>
          <w:szCs w:val="24"/>
          <w:highlight w:val="white"/>
        </w:rPr>
        <w:t>Tianyan</w:t>
      </w:r>
      <w:proofErr w:type="spellEnd"/>
      <w:r>
        <w:rPr>
          <w:rFonts w:ascii="Times New Roman" w:eastAsia="Times New Roman" w:hAnsi="Times New Roman" w:cs="Times New Roman"/>
          <w:sz w:val="24"/>
          <w:szCs w:val="24"/>
          <w:highlight w:val="white"/>
        </w:rPr>
        <w:t xml:space="preserve">, P., </w:t>
      </w:r>
      <w:proofErr w:type="spellStart"/>
      <w:r>
        <w:rPr>
          <w:rFonts w:ascii="Times New Roman" w:eastAsia="Times New Roman" w:hAnsi="Times New Roman" w:cs="Times New Roman"/>
          <w:sz w:val="24"/>
          <w:szCs w:val="24"/>
          <w:highlight w:val="white"/>
        </w:rPr>
        <w:t>Arashima</w:t>
      </w:r>
      <w:proofErr w:type="spellEnd"/>
      <w:r>
        <w:rPr>
          <w:rFonts w:ascii="Times New Roman" w:eastAsia="Times New Roman" w:hAnsi="Times New Roman" w:cs="Times New Roman"/>
          <w:sz w:val="24"/>
          <w:szCs w:val="24"/>
          <w:highlight w:val="white"/>
        </w:rPr>
        <w:t xml:space="preserve">, T., Chang, A., Kawai, H., Eain, H. S., Soe, Y., Min, Z. Z., Fujii, M., Nakano, K., &amp; Nagatsuka, H. (2025). Refining the Role of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-Associated Macrophages in Oral Squamous Cell Carcinoma. Cancers, 17(17), 2770. </w:t>
      </w:r>
      <w:hyperlink r:id="rId12">
        <w:r>
          <w:rPr>
            <w:rFonts w:ascii="Times New Roman" w:eastAsia="Times New Roman" w:hAnsi="Times New Roman" w:cs="Times New Roman"/>
            <w:sz w:val="24"/>
            <w:szCs w:val="24"/>
            <w:highlight w:val="white"/>
          </w:rPr>
          <w:t>https://doi.org/10.3390/cancers17172770</w:t>
        </w:r>
      </w:hyperlink>
    </w:p>
    <w:p w14:paraId="03E19320"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Maleki S, Schlecht NF, Keller C, Diaz J, Moss J, </w:t>
      </w:r>
      <w:proofErr w:type="spellStart"/>
      <w:r>
        <w:rPr>
          <w:rFonts w:ascii="Times New Roman" w:eastAsia="Times New Roman" w:hAnsi="Times New Roman" w:cs="Times New Roman"/>
          <w:sz w:val="24"/>
          <w:szCs w:val="24"/>
          <w:highlight w:val="white"/>
        </w:rPr>
        <w:t>Prystowsky</w:t>
      </w:r>
      <w:proofErr w:type="spellEnd"/>
      <w:r>
        <w:rPr>
          <w:rFonts w:ascii="Times New Roman" w:eastAsia="Times New Roman" w:hAnsi="Times New Roman" w:cs="Times New Roman"/>
          <w:sz w:val="24"/>
          <w:szCs w:val="24"/>
          <w:highlight w:val="white"/>
        </w:rPr>
        <w:t xml:space="preserve"> MB, </w:t>
      </w:r>
      <w:proofErr w:type="spellStart"/>
      <w:r>
        <w:rPr>
          <w:rFonts w:ascii="Times New Roman" w:eastAsia="Times New Roman" w:hAnsi="Times New Roman" w:cs="Times New Roman"/>
          <w:sz w:val="24"/>
          <w:szCs w:val="24"/>
          <w:highlight w:val="white"/>
        </w:rPr>
        <w:t>Macian</w:t>
      </w:r>
      <w:proofErr w:type="spellEnd"/>
      <w:r>
        <w:rPr>
          <w:rFonts w:ascii="Times New Roman" w:eastAsia="Times New Roman" w:hAnsi="Times New Roman" w:cs="Times New Roman"/>
          <w:sz w:val="24"/>
          <w:szCs w:val="24"/>
          <w:highlight w:val="white"/>
        </w:rPr>
        <w:t xml:space="preserve"> F, Brandwein-Gensler M. Lymphocytic host response to oral squamous cell carcinoma: an adaptive T-cell response at the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interface. Head Neck </w:t>
      </w:r>
      <w:proofErr w:type="spellStart"/>
      <w:r>
        <w:rPr>
          <w:rFonts w:ascii="Times New Roman" w:eastAsia="Times New Roman" w:hAnsi="Times New Roman" w:cs="Times New Roman"/>
          <w:sz w:val="24"/>
          <w:szCs w:val="24"/>
          <w:highlight w:val="white"/>
        </w:rPr>
        <w:t>Pathol</w:t>
      </w:r>
      <w:proofErr w:type="spellEnd"/>
      <w:r>
        <w:rPr>
          <w:rFonts w:ascii="Times New Roman" w:eastAsia="Times New Roman" w:hAnsi="Times New Roman" w:cs="Times New Roman"/>
          <w:sz w:val="24"/>
          <w:szCs w:val="24"/>
          <w:highlight w:val="white"/>
        </w:rPr>
        <w:t xml:space="preserve">. 2011 Jun;5(2):117-22.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10.1007/s12105-011-0247-1.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2011 Feb 12. PMID: 21318408; PMCID: PMC3098335.</w:t>
      </w:r>
    </w:p>
    <w:p w14:paraId="7FD5EB31"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Abe A, Hayashi H, </w:t>
      </w:r>
      <w:proofErr w:type="spellStart"/>
      <w:r>
        <w:rPr>
          <w:rFonts w:ascii="Times New Roman" w:eastAsia="Times New Roman" w:hAnsi="Times New Roman" w:cs="Times New Roman"/>
          <w:sz w:val="24"/>
          <w:szCs w:val="24"/>
          <w:highlight w:val="white"/>
        </w:rPr>
        <w:t>Ishihama</w:t>
      </w:r>
      <w:proofErr w:type="spellEnd"/>
      <w:r>
        <w:rPr>
          <w:rFonts w:ascii="Times New Roman" w:eastAsia="Times New Roman" w:hAnsi="Times New Roman" w:cs="Times New Roman"/>
          <w:sz w:val="24"/>
          <w:szCs w:val="24"/>
          <w:highlight w:val="white"/>
        </w:rPr>
        <w:t xml:space="preserve"> T, </w:t>
      </w:r>
      <w:proofErr w:type="spellStart"/>
      <w:r>
        <w:rPr>
          <w:rFonts w:ascii="Times New Roman" w:eastAsia="Times New Roman" w:hAnsi="Times New Roman" w:cs="Times New Roman"/>
          <w:sz w:val="24"/>
          <w:szCs w:val="24"/>
          <w:highlight w:val="white"/>
        </w:rPr>
        <w:t>Furuta</w:t>
      </w:r>
      <w:proofErr w:type="spellEnd"/>
      <w:r>
        <w:rPr>
          <w:rFonts w:ascii="Times New Roman" w:eastAsia="Times New Roman" w:hAnsi="Times New Roman" w:cs="Times New Roman"/>
          <w:sz w:val="24"/>
          <w:szCs w:val="24"/>
          <w:highlight w:val="white"/>
        </w:rPr>
        <w:t xml:space="preserve"> H. Prognostic impact of the prognostic nutritional index in cases of resected oral squamous cell carcinoma: a retrospective study. BMC Oral Health. 2021 Jan 22;21(1):40.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10.1186/s12903-021-01394-6. PMID: 33482792; PMCID: PMC7821535.</w:t>
      </w:r>
    </w:p>
    <w:p w14:paraId="4CACBC53"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Uri I, Horváth A, </w:t>
      </w:r>
      <w:proofErr w:type="spellStart"/>
      <w:r>
        <w:rPr>
          <w:rFonts w:ascii="Times New Roman" w:eastAsia="Times New Roman" w:hAnsi="Times New Roman" w:cs="Times New Roman"/>
          <w:sz w:val="24"/>
          <w:szCs w:val="24"/>
          <w:highlight w:val="white"/>
        </w:rPr>
        <w:t>Tamás</w:t>
      </w:r>
      <w:proofErr w:type="spellEnd"/>
      <w:r>
        <w:rPr>
          <w:rFonts w:ascii="Times New Roman" w:eastAsia="Times New Roman" w:hAnsi="Times New Roman" w:cs="Times New Roman"/>
          <w:sz w:val="24"/>
          <w:szCs w:val="24"/>
          <w:highlight w:val="white"/>
        </w:rPr>
        <w:t xml:space="preserve"> L, </w:t>
      </w:r>
      <w:proofErr w:type="spellStart"/>
      <w:r>
        <w:rPr>
          <w:rFonts w:ascii="Times New Roman" w:eastAsia="Times New Roman" w:hAnsi="Times New Roman" w:cs="Times New Roman"/>
          <w:sz w:val="24"/>
          <w:szCs w:val="24"/>
          <w:highlight w:val="white"/>
        </w:rPr>
        <w:t>Polony</w:t>
      </w:r>
      <w:proofErr w:type="spellEnd"/>
      <w:r>
        <w:rPr>
          <w:rFonts w:ascii="Times New Roman" w:eastAsia="Times New Roman" w:hAnsi="Times New Roman" w:cs="Times New Roman"/>
          <w:sz w:val="24"/>
          <w:szCs w:val="24"/>
          <w:highlight w:val="white"/>
        </w:rPr>
        <w:t xml:space="preserve"> G, </w:t>
      </w:r>
      <w:proofErr w:type="spellStart"/>
      <w:r>
        <w:rPr>
          <w:rFonts w:ascii="Times New Roman" w:eastAsia="Times New Roman" w:hAnsi="Times New Roman" w:cs="Times New Roman"/>
          <w:sz w:val="24"/>
          <w:szCs w:val="24"/>
          <w:highlight w:val="white"/>
        </w:rPr>
        <w:t>Dános</w:t>
      </w:r>
      <w:proofErr w:type="spellEnd"/>
      <w:r>
        <w:rPr>
          <w:rFonts w:ascii="Times New Roman" w:eastAsia="Times New Roman" w:hAnsi="Times New Roman" w:cs="Times New Roman"/>
          <w:sz w:val="24"/>
          <w:szCs w:val="24"/>
          <w:highlight w:val="white"/>
        </w:rPr>
        <w:t xml:space="preserve"> K. Prognostic nutritional index (PNI) correlates with survival in head and neck cancer patients more precisely than other nutritional markers - real world data. Eur Arch </w:t>
      </w:r>
      <w:proofErr w:type="spellStart"/>
      <w:r>
        <w:rPr>
          <w:rFonts w:ascii="Times New Roman" w:eastAsia="Times New Roman" w:hAnsi="Times New Roman" w:cs="Times New Roman"/>
          <w:sz w:val="24"/>
          <w:szCs w:val="24"/>
          <w:highlight w:val="white"/>
        </w:rPr>
        <w:t>Otorhinolaryngol</w:t>
      </w:r>
      <w:proofErr w:type="spellEnd"/>
      <w:r>
        <w:rPr>
          <w:rFonts w:ascii="Times New Roman" w:eastAsia="Times New Roman" w:hAnsi="Times New Roman" w:cs="Times New Roman"/>
          <w:sz w:val="24"/>
          <w:szCs w:val="24"/>
          <w:highlight w:val="white"/>
        </w:rPr>
        <w:t xml:space="preserve">. 2024 Dec;281(12):6599-6611.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10.1007/s00405-024-08865-w.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2024 Aug 6. PMID: 39107550; PMCID: PMC11564356.</w:t>
      </w:r>
    </w:p>
    <w:p w14:paraId="19C18A01"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Gasparoni</w:t>
      </w:r>
      <w:proofErr w:type="spellEnd"/>
      <w:r>
        <w:rPr>
          <w:rFonts w:ascii="Times New Roman" w:eastAsia="Times New Roman" w:hAnsi="Times New Roman" w:cs="Times New Roman"/>
          <w:sz w:val="24"/>
          <w:szCs w:val="24"/>
          <w:highlight w:val="white"/>
        </w:rPr>
        <w:t xml:space="preserve"> LM, Alves FA, </w:t>
      </w:r>
      <w:proofErr w:type="spellStart"/>
      <w:r>
        <w:rPr>
          <w:rFonts w:ascii="Times New Roman" w:eastAsia="Times New Roman" w:hAnsi="Times New Roman" w:cs="Times New Roman"/>
          <w:sz w:val="24"/>
          <w:szCs w:val="24"/>
          <w:highlight w:val="white"/>
        </w:rPr>
        <w:t>Holzhausen</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Pannuti</w:t>
      </w:r>
      <w:proofErr w:type="spellEnd"/>
      <w:r>
        <w:rPr>
          <w:rFonts w:ascii="Times New Roman" w:eastAsia="Times New Roman" w:hAnsi="Times New Roman" w:cs="Times New Roman"/>
          <w:sz w:val="24"/>
          <w:szCs w:val="24"/>
          <w:highlight w:val="white"/>
        </w:rPr>
        <w:t xml:space="preserve"> CM, </w:t>
      </w:r>
      <w:proofErr w:type="spellStart"/>
      <w:r>
        <w:rPr>
          <w:rFonts w:ascii="Times New Roman" w:eastAsia="Times New Roman" w:hAnsi="Times New Roman" w:cs="Times New Roman"/>
          <w:sz w:val="24"/>
          <w:szCs w:val="24"/>
          <w:highlight w:val="white"/>
        </w:rPr>
        <w:t>Serpa</w:t>
      </w:r>
      <w:proofErr w:type="spellEnd"/>
      <w:r>
        <w:rPr>
          <w:rFonts w:ascii="Times New Roman" w:eastAsia="Times New Roman" w:hAnsi="Times New Roman" w:cs="Times New Roman"/>
          <w:sz w:val="24"/>
          <w:szCs w:val="24"/>
          <w:highlight w:val="white"/>
        </w:rPr>
        <w:t xml:space="preserve"> MS. Periodontitis as a risk factor for head and neck cancer. Med Oral </w:t>
      </w:r>
      <w:proofErr w:type="spellStart"/>
      <w:r>
        <w:rPr>
          <w:rFonts w:ascii="Times New Roman" w:eastAsia="Times New Roman" w:hAnsi="Times New Roman" w:cs="Times New Roman"/>
          <w:sz w:val="24"/>
          <w:szCs w:val="24"/>
          <w:highlight w:val="white"/>
        </w:rPr>
        <w:t>Patol</w:t>
      </w:r>
      <w:proofErr w:type="spellEnd"/>
      <w:r>
        <w:rPr>
          <w:rFonts w:ascii="Times New Roman" w:eastAsia="Times New Roman" w:hAnsi="Times New Roman" w:cs="Times New Roman"/>
          <w:sz w:val="24"/>
          <w:szCs w:val="24"/>
          <w:highlight w:val="white"/>
        </w:rPr>
        <w:t xml:space="preserve"> Oral Cir </w:t>
      </w:r>
      <w:proofErr w:type="spellStart"/>
      <w:r>
        <w:rPr>
          <w:rFonts w:ascii="Times New Roman" w:eastAsia="Times New Roman" w:hAnsi="Times New Roman" w:cs="Times New Roman"/>
          <w:sz w:val="24"/>
          <w:szCs w:val="24"/>
          <w:highlight w:val="white"/>
        </w:rPr>
        <w:t>Bucal</w:t>
      </w:r>
      <w:proofErr w:type="spellEnd"/>
      <w:r>
        <w:rPr>
          <w:rFonts w:ascii="Times New Roman" w:eastAsia="Times New Roman" w:hAnsi="Times New Roman" w:cs="Times New Roman"/>
          <w:sz w:val="24"/>
          <w:szCs w:val="24"/>
          <w:highlight w:val="white"/>
        </w:rPr>
        <w:t>. 2021 Jul 1;26(4</w:t>
      </w:r>
      <w:proofErr w:type="gramStart"/>
      <w:r>
        <w:rPr>
          <w:rFonts w:ascii="Times New Roman" w:eastAsia="Times New Roman" w:hAnsi="Times New Roman" w:cs="Times New Roman"/>
          <w:sz w:val="24"/>
          <w:szCs w:val="24"/>
          <w:highlight w:val="white"/>
        </w:rPr>
        <w:t>):e</w:t>
      </w:r>
      <w:proofErr w:type="gramEnd"/>
      <w:r>
        <w:rPr>
          <w:rFonts w:ascii="Times New Roman" w:eastAsia="Times New Roman" w:hAnsi="Times New Roman" w:cs="Times New Roman"/>
          <w:sz w:val="24"/>
          <w:szCs w:val="24"/>
          <w:highlight w:val="white"/>
        </w:rPr>
        <w:t xml:space="preserve">430-e436.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10.4317/medoral.24270. PMID: 33340075; PMCID: PMC8254889.</w:t>
      </w:r>
    </w:p>
    <w:p w14:paraId="30D817A3"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Gopinath D, Kunnath Menon R, K </w:t>
      </w:r>
      <w:proofErr w:type="spellStart"/>
      <w:r>
        <w:rPr>
          <w:rFonts w:ascii="Times New Roman" w:eastAsia="Times New Roman" w:hAnsi="Times New Roman" w:cs="Times New Roman"/>
          <w:sz w:val="24"/>
          <w:szCs w:val="24"/>
          <w:highlight w:val="white"/>
        </w:rPr>
        <w:t>Veettil</w:t>
      </w:r>
      <w:proofErr w:type="spellEnd"/>
      <w:r>
        <w:rPr>
          <w:rFonts w:ascii="Times New Roman" w:eastAsia="Times New Roman" w:hAnsi="Times New Roman" w:cs="Times New Roman"/>
          <w:sz w:val="24"/>
          <w:szCs w:val="24"/>
          <w:highlight w:val="white"/>
        </w:rPr>
        <w:t xml:space="preserve"> S, George Botelho M, Johnson NW. Periodontal Diseases as Putative Risk Factors for Head and Neck Cancer: Systematic Review and Meta-Analysis. Cancers (Basel). 2020 Jul 14;12(7):1893.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10.3390/cancers12071893. PMID: 32674369; PMCID: PMC7409086.</w:t>
      </w:r>
    </w:p>
    <w:p w14:paraId="6D0FA8CC"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Piemonte E, Lazos J, Belardinelli P, Secchi D, </w:t>
      </w:r>
      <w:proofErr w:type="spellStart"/>
      <w:r>
        <w:rPr>
          <w:rFonts w:ascii="Times New Roman" w:eastAsia="Times New Roman" w:hAnsi="Times New Roman" w:cs="Times New Roman"/>
          <w:sz w:val="24"/>
          <w:szCs w:val="24"/>
          <w:highlight w:val="white"/>
        </w:rPr>
        <w:t>Brunotto</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Lanfranchi-Tizeira</w:t>
      </w:r>
      <w:proofErr w:type="spellEnd"/>
      <w:r>
        <w:rPr>
          <w:rFonts w:ascii="Times New Roman" w:eastAsia="Times New Roman" w:hAnsi="Times New Roman" w:cs="Times New Roman"/>
          <w:sz w:val="24"/>
          <w:szCs w:val="24"/>
          <w:highlight w:val="white"/>
        </w:rPr>
        <w:t xml:space="preserve"> H. Oral cancer associated with chronic mechanical irritation of the oral mucosa. Med Oral </w:t>
      </w:r>
      <w:proofErr w:type="spellStart"/>
      <w:r>
        <w:rPr>
          <w:rFonts w:ascii="Times New Roman" w:eastAsia="Times New Roman" w:hAnsi="Times New Roman" w:cs="Times New Roman"/>
          <w:sz w:val="24"/>
          <w:szCs w:val="24"/>
          <w:highlight w:val="white"/>
        </w:rPr>
        <w:t>Patol</w:t>
      </w:r>
      <w:proofErr w:type="spellEnd"/>
      <w:r>
        <w:rPr>
          <w:rFonts w:ascii="Times New Roman" w:eastAsia="Times New Roman" w:hAnsi="Times New Roman" w:cs="Times New Roman"/>
          <w:sz w:val="24"/>
          <w:szCs w:val="24"/>
          <w:highlight w:val="white"/>
        </w:rPr>
        <w:t xml:space="preserve"> Oral Cir </w:t>
      </w:r>
      <w:proofErr w:type="spellStart"/>
      <w:r>
        <w:rPr>
          <w:rFonts w:ascii="Times New Roman" w:eastAsia="Times New Roman" w:hAnsi="Times New Roman" w:cs="Times New Roman"/>
          <w:sz w:val="24"/>
          <w:szCs w:val="24"/>
          <w:highlight w:val="white"/>
        </w:rPr>
        <w:t>Bucal</w:t>
      </w:r>
      <w:proofErr w:type="spellEnd"/>
      <w:r>
        <w:rPr>
          <w:rFonts w:ascii="Times New Roman" w:eastAsia="Times New Roman" w:hAnsi="Times New Roman" w:cs="Times New Roman"/>
          <w:sz w:val="24"/>
          <w:szCs w:val="24"/>
          <w:highlight w:val="white"/>
        </w:rPr>
        <w:t>. 2018 Mar 1;23(2</w:t>
      </w:r>
      <w:proofErr w:type="gramStart"/>
      <w:r>
        <w:rPr>
          <w:rFonts w:ascii="Times New Roman" w:eastAsia="Times New Roman" w:hAnsi="Times New Roman" w:cs="Times New Roman"/>
          <w:sz w:val="24"/>
          <w:szCs w:val="24"/>
          <w:highlight w:val="white"/>
        </w:rPr>
        <w:t>):e</w:t>
      </w:r>
      <w:proofErr w:type="gramEnd"/>
      <w:r>
        <w:rPr>
          <w:rFonts w:ascii="Times New Roman" w:eastAsia="Times New Roman" w:hAnsi="Times New Roman" w:cs="Times New Roman"/>
          <w:sz w:val="24"/>
          <w:szCs w:val="24"/>
          <w:highlight w:val="white"/>
        </w:rPr>
        <w:t xml:space="preserve">151-e160.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10.4317/medoral.22017. PMID: 29476673; PMCID: PMC5911359.</w:t>
      </w:r>
    </w:p>
    <w:p w14:paraId="0CCB791F"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Arya P, Sharma V, Singh P, Thapliyal S, Sharma M. Bacterial endotoxin-lipopolysaccharide role in inflammatory diseases: An overview. Iran J Basic Med Sci. 2025;28(5):553-564.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10.22038/ijbms.2025.82302.17799. PMID: 40666174; PMCID: PMC12258786.</w:t>
      </w:r>
    </w:p>
    <w:p w14:paraId="74F25A06"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Płóciennikowska</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Hromada-Judycka</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Borzęcka</w:t>
      </w:r>
      <w:proofErr w:type="spellEnd"/>
      <w:r>
        <w:rPr>
          <w:rFonts w:ascii="Times New Roman" w:eastAsia="Times New Roman" w:hAnsi="Times New Roman" w:cs="Times New Roman"/>
          <w:sz w:val="24"/>
          <w:szCs w:val="24"/>
          <w:highlight w:val="white"/>
        </w:rPr>
        <w:t xml:space="preserve"> K, </w:t>
      </w:r>
      <w:proofErr w:type="spellStart"/>
      <w:r>
        <w:rPr>
          <w:rFonts w:ascii="Times New Roman" w:eastAsia="Times New Roman" w:hAnsi="Times New Roman" w:cs="Times New Roman"/>
          <w:sz w:val="24"/>
          <w:szCs w:val="24"/>
          <w:highlight w:val="white"/>
        </w:rPr>
        <w:t>Kwiatkowska</w:t>
      </w:r>
      <w:proofErr w:type="spellEnd"/>
      <w:r>
        <w:rPr>
          <w:rFonts w:ascii="Times New Roman" w:eastAsia="Times New Roman" w:hAnsi="Times New Roman" w:cs="Times New Roman"/>
          <w:sz w:val="24"/>
          <w:szCs w:val="24"/>
          <w:highlight w:val="white"/>
        </w:rPr>
        <w:t xml:space="preserve"> K. Co-operation of TLR4 and raft proteins in LPS-induced pro-inflammatory </w:t>
      </w:r>
      <w:proofErr w:type="spellStart"/>
      <w:r>
        <w:rPr>
          <w:rFonts w:ascii="Times New Roman" w:eastAsia="Times New Roman" w:hAnsi="Times New Roman" w:cs="Times New Roman"/>
          <w:sz w:val="24"/>
          <w:szCs w:val="24"/>
          <w:highlight w:val="white"/>
        </w:rPr>
        <w:t>signaling</w:t>
      </w:r>
      <w:proofErr w:type="spellEnd"/>
      <w:r>
        <w:rPr>
          <w:rFonts w:ascii="Times New Roman" w:eastAsia="Times New Roman" w:hAnsi="Times New Roman" w:cs="Times New Roman"/>
          <w:sz w:val="24"/>
          <w:szCs w:val="24"/>
          <w:highlight w:val="white"/>
        </w:rPr>
        <w:t xml:space="preserve">. Cell Mol Life Sci. 2015 Feb;72(3):557-581.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10.1007/s00018-014-1762-5.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2014 Oct 22. PMID: 25332099; PMCID: PMC4293489.</w:t>
      </w:r>
    </w:p>
    <w:p w14:paraId="10748820"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Dantas TS, Barros Silva PG, Lima Verde MEQ, Ribeiro Junior AL, Cunha MDPSS, Mota MRL, Alves APNN, Leitão RFC, Sousa FB. Role of Inflammatory Markers in </w:t>
      </w:r>
      <w:r>
        <w:rPr>
          <w:rFonts w:ascii="Times New Roman" w:eastAsia="Times New Roman" w:hAnsi="Times New Roman" w:cs="Times New Roman"/>
          <w:sz w:val="24"/>
          <w:szCs w:val="24"/>
          <w:highlight w:val="white"/>
        </w:rPr>
        <w:lastRenderedPageBreak/>
        <w:t xml:space="preserve">Prognosis of Oral Squamous Cell Carcinoma. Asian Pac J Cancer Prev. 2019 Dec 1;20(12):3635-3642.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10.31557/APJCP.2019.20.12.3635. PMID: 31870104; PMCID: PMC7173367.</w:t>
      </w:r>
    </w:p>
    <w:p w14:paraId="6196F57C"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Ham B, Fernandez MC, D'Costa Z, Brodt P. The diverse roles of the TNF axis in cancer progression and metastasis. Trends Cancer Res. 2016 Jan 1;11(1):1-27. PMID: 27928197; PMCID: PMC5138060.</w:t>
      </w:r>
    </w:p>
    <w:p w14:paraId="77548949"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Song K, Zhu F, Zhang HZ, Shang ZJ.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necrosis factor-α enhanced fusions between oral squamous cell carcinoma cells and endothelial cells via VCAM-1/VLA-4 pathway. Exp Cell Res. 2012 Aug 15;318(14):1707-15.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10.1016/j.yexcr.2012.05.022.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2012 Jun 1. PMID: 22664325.</w:t>
      </w:r>
    </w:p>
    <w:p w14:paraId="01239D4D"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Gabay C. Interleukin-6 and chronic inflammation. Arthritis Res Ther. 2006;8 </w:t>
      </w:r>
      <w:proofErr w:type="spellStart"/>
      <w:r>
        <w:rPr>
          <w:rFonts w:ascii="Times New Roman" w:eastAsia="Times New Roman" w:hAnsi="Times New Roman" w:cs="Times New Roman"/>
          <w:sz w:val="24"/>
          <w:szCs w:val="24"/>
          <w:highlight w:val="white"/>
        </w:rPr>
        <w:t>Suppl</w:t>
      </w:r>
      <w:proofErr w:type="spellEnd"/>
      <w:r>
        <w:rPr>
          <w:rFonts w:ascii="Times New Roman" w:eastAsia="Times New Roman" w:hAnsi="Times New Roman" w:cs="Times New Roman"/>
          <w:sz w:val="24"/>
          <w:szCs w:val="24"/>
          <w:highlight w:val="white"/>
        </w:rPr>
        <w:t xml:space="preserve"> 2(</w:t>
      </w:r>
      <w:proofErr w:type="spellStart"/>
      <w:r>
        <w:rPr>
          <w:rFonts w:ascii="Times New Roman" w:eastAsia="Times New Roman" w:hAnsi="Times New Roman" w:cs="Times New Roman"/>
          <w:sz w:val="24"/>
          <w:szCs w:val="24"/>
          <w:highlight w:val="white"/>
        </w:rPr>
        <w:t>Suppl</w:t>
      </w:r>
      <w:proofErr w:type="spellEnd"/>
      <w:r>
        <w:rPr>
          <w:rFonts w:ascii="Times New Roman" w:eastAsia="Times New Roman" w:hAnsi="Times New Roman" w:cs="Times New Roman"/>
          <w:sz w:val="24"/>
          <w:szCs w:val="24"/>
          <w:highlight w:val="white"/>
        </w:rPr>
        <w:t xml:space="preserve"> 2</w:t>
      </w:r>
      <w:proofErr w:type="gramStart"/>
      <w:r>
        <w:rPr>
          <w:rFonts w:ascii="Times New Roman" w:eastAsia="Times New Roman" w:hAnsi="Times New Roman" w:cs="Times New Roman"/>
          <w:sz w:val="24"/>
          <w:szCs w:val="24"/>
          <w:highlight w:val="white"/>
        </w:rPr>
        <w:t>):S</w:t>
      </w:r>
      <w:proofErr w:type="gramEnd"/>
      <w:r>
        <w:rPr>
          <w:rFonts w:ascii="Times New Roman" w:eastAsia="Times New Roman" w:hAnsi="Times New Roman" w:cs="Times New Roman"/>
          <w:sz w:val="24"/>
          <w:szCs w:val="24"/>
          <w:highlight w:val="white"/>
        </w:rPr>
        <w:t xml:space="preserve">3.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10.1186/ar1917.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2006 Jul 28. PMID: 16899107; PMCID: PMC3226076.</w:t>
      </w:r>
    </w:p>
    <w:p w14:paraId="4E56361D"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Chen L, Deng H, Cui H, Fang J, Zuo Z, Deng J, Li Y, Wang X, Zhao L. Inflammatory responses and inflammation-associated diseases in organs. </w:t>
      </w:r>
      <w:proofErr w:type="spellStart"/>
      <w:r>
        <w:rPr>
          <w:rFonts w:ascii="Times New Roman" w:eastAsia="Times New Roman" w:hAnsi="Times New Roman" w:cs="Times New Roman"/>
          <w:sz w:val="24"/>
          <w:szCs w:val="24"/>
          <w:highlight w:val="white"/>
        </w:rPr>
        <w:t>Oncotarget</w:t>
      </w:r>
      <w:proofErr w:type="spellEnd"/>
      <w:r>
        <w:rPr>
          <w:rFonts w:ascii="Times New Roman" w:eastAsia="Times New Roman" w:hAnsi="Times New Roman" w:cs="Times New Roman"/>
          <w:sz w:val="24"/>
          <w:szCs w:val="24"/>
          <w:highlight w:val="white"/>
        </w:rPr>
        <w:t xml:space="preserve">. 2017 Dec 14;9(6):7204-7218.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10.18632/oncotarget.23208. PMID: 29467962; PMCID: PMC5805548.</w:t>
      </w:r>
    </w:p>
    <w:p w14:paraId="5C66D7A4"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Dai Y, Cui C, Jiao D, Zhu X. JAK/STAT </w:t>
      </w:r>
      <w:proofErr w:type="spellStart"/>
      <w:r>
        <w:rPr>
          <w:rFonts w:ascii="Times New Roman" w:eastAsia="Times New Roman" w:hAnsi="Times New Roman" w:cs="Times New Roman"/>
          <w:sz w:val="24"/>
          <w:szCs w:val="24"/>
          <w:highlight w:val="white"/>
        </w:rPr>
        <w:t>signaling</w:t>
      </w:r>
      <w:proofErr w:type="spellEnd"/>
      <w:r>
        <w:rPr>
          <w:rFonts w:ascii="Times New Roman" w:eastAsia="Times New Roman" w:hAnsi="Times New Roman" w:cs="Times New Roman"/>
          <w:sz w:val="24"/>
          <w:szCs w:val="24"/>
          <w:highlight w:val="white"/>
        </w:rPr>
        <w:t xml:space="preserve"> as a key regulator of ferroptosis: mechanisms and therapeutic potentials in cancer and diseases. Cancer Cell Int. 2025 Mar 7;25(1):83.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10.1186/s12935-025-03681-6. PMID: 40055704; PMCID: PMC11889932.</w:t>
      </w:r>
    </w:p>
    <w:p w14:paraId="706BA377"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Ngwa DN, Pathak A, Agrawal A. IL-6 regulates induction of C-reactive protein gene expression by activating STAT3 isoforms. Mol Immunol. 2022 </w:t>
      </w:r>
      <w:proofErr w:type="gramStart"/>
      <w:r>
        <w:rPr>
          <w:rFonts w:ascii="Times New Roman" w:eastAsia="Times New Roman" w:hAnsi="Times New Roman" w:cs="Times New Roman"/>
          <w:sz w:val="24"/>
          <w:szCs w:val="24"/>
          <w:highlight w:val="white"/>
        </w:rPr>
        <w:t>Jun;146:50</w:t>
      </w:r>
      <w:proofErr w:type="gramEnd"/>
      <w:r>
        <w:rPr>
          <w:rFonts w:ascii="Times New Roman" w:eastAsia="Times New Roman" w:hAnsi="Times New Roman" w:cs="Times New Roman"/>
          <w:sz w:val="24"/>
          <w:szCs w:val="24"/>
          <w:highlight w:val="white"/>
        </w:rPr>
        <w:t xml:space="preserve">-56.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10.1016/j.molimm.2022.04.003.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2022 Apr 14. PMID: 35430542; PMCID: PMC9811655.</w:t>
      </w:r>
    </w:p>
    <w:p w14:paraId="6C6AF3DB"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Kondoh</w:t>
      </w:r>
      <w:proofErr w:type="spellEnd"/>
      <w:r>
        <w:rPr>
          <w:rFonts w:ascii="Times New Roman" w:eastAsia="Times New Roman" w:hAnsi="Times New Roman" w:cs="Times New Roman"/>
          <w:sz w:val="24"/>
          <w:szCs w:val="24"/>
          <w:highlight w:val="white"/>
        </w:rPr>
        <w:t xml:space="preserve"> N, Mizuno-</w:t>
      </w:r>
      <w:proofErr w:type="spellStart"/>
      <w:r>
        <w:rPr>
          <w:rFonts w:ascii="Times New Roman" w:eastAsia="Times New Roman" w:hAnsi="Times New Roman" w:cs="Times New Roman"/>
          <w:sz w:val="24"/>
          <w:szCs w:val="24"/>
          <w:highlight w:val="white"/>
        </w:rPr>
        <w:t>Kamiya</w:t>
      </w:r>
      <w:proofErr w:type="spellEnd"/>
      <w:r>
        <w:rPr>
          <w:rFonts w:ascii="Times New Roman" w:eastAsia="Times New Roman" w:hAnsi="Times New Roman" w:cs="Times New Roman"/>
          <w:sz w:val="24"/>
          <w:szCs w:val="24"/>
          <w:highlight w:val="white"/>
        </w:rPr>
        <w:t xml:space="preserve"> M, Umemura N, Takayama E, </w:t>
      </w:r>
      <w:proofErr w:type="spellStart"/>
      <w:r>
        <w:rPr>
          <w:rFonts w:ascii="Times New Roman" w:eastAsia="Times New Roman" w:hAnsi="Times New Roman" w:cs="Times New Roman"/>
          <w:sz w:val="24"/>
          <w:szCs w:val="24"/>
          <w:highlight w:val="white"/>
        </w:rPr>
        <w:t>Kawaki</w:t>
      </w:r>
      <w:proofErr w:type="spellEnd"/>
      <w:r>
        <w:rPr>
          <w:rFonts w:ascii="Times New Roman" w:eastAsia="Times New Roman" w:hAnsi="Times New Roman" w:cs="Times New Roman"/>
          <w:sz w:val="24"/>
          <w:szCs w:val="24"/>
          <w:highlight w:val="white"/>
        </w:rPr>
        <w:t xml:space="preserve"> H, </w:t>
      </w:r>
      <w:proofErr w:type="spellStart"/>
      <w:r>
        <w:rPr>
          <w:rFonts w:ascii="Times New Roman" w:eastAsia="Times New Roman" w:hAnsi="Times New Roman" w:cs="Times New Roman"/>
          <w:sz w:val="24"/>
          <w:szCs w:val="24"/>
          <w:highlight w:val="white"/>
        </w:rPr>
        <w:t>Mitsudo</w:t>
      </w:r>
      <w:proofErr w:type="spellEnd"/>
      <w:r>
        <w:rPr>
          <w:rFonts w:ascii="Times New Roman" w:eastAsia="Times New Roman" w:hAnsi="Times New Roman" w:cs="Times New Roman"/>
          <w:sz w:val="24"/>
          <w:szCs w:val="24"/>
          <w:highlight w:val="white"/>
        </w:rPr>
        <w:t xml:space="preserve"> K, </w:t>
      </w:r>
      <w:proofErr w:type="spellStart"/>
      <w:r>
        <w:rPr>
          <w:rFonts w:ascii="Times New Roman" w:eastAsia="Times New Roman" w:hAnsi="Times New Roman" w:cs="Times New Roman"/>
          <w:sz w:val="24"/>
          <w:szCs w:val="24"/>
          <w:highlight w:val="white"/>
        </w:rPr>
        <w:t>Muramatsu</w:t>
      </w:r>
      <w:proofErr w:type="spellEnd"/>
      <w:r>
        <w:rPr>
          <w:rFonts w:ascii="Times New Roman" w:eastAsia="Times New Roman" w:hAnsi="Times New Roman" w:cs="Times New Roman"/>
          <w:sz w:val="24"/>
          <w:szCs w:val="24"/>
          <w:highlight w:val="white"/>
        </w:rPr>
        <w:t xml:space="preserve"> Y, Sumitomo S. Immunomodulatory aspects in the progression and treatment of oral malignancy. </w:t>
      </w:r>
      <w:proofErr w:type="spellStart"/>
      <w:r>
        <w:rPr>
          <w:rFonts w:ascii="Times New Roman" w:eastAsia="Times New Roman" w:hAnsi="Times New Roman" w:cs="Times New Roman"/>
          <w:sz w:val="24"/>
          <w:szCs w:val="24"/>
          <w:highlight w:val="white"/>
        </w:rPr>
        <w:t>Jpn</w:t>
      </w:r>
      <w:proofErr w:type="spellEnd"/>
      <w:r>
        <w:rPr>
          <w:rFonts w:ascii="Times New Roman" w:eastAsia="Times New Roman" w:hAnsi="Times New Roman" w:cs="Times New Roman"/>
          <w:sz w:val="24"/>
          <w:szCs w:val="24"/>
          <w:highlight w:val="white"/>
        </w:rPr>
        <w:t xml:space="preserve"> Dent Sci Rev. 2019 Nov;55(1):113-120.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10.1016/j.jdsr.2019.09.001.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2019 Oct 7. PMID: 31660091; PMCID: PMC6806653.</w:t>
      </w:r>
    </w:p>
    <w:p w14:paraId="5E19FA7D"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Tanikawa T, Wilke CM, </w:t>
      </w:r>
      <w:proofErr w:type="spellStart"/>
      <w:r>
        <w:rPr>
          <w:rFonts w:ascii="Times New Roman" w:eastAsia="Times New Roman" w:hAnsi="Times New Roman" w:cs="Times New Roman"/>
          <w:sz w:val="24"/>
          <w:szCs w:val="24"/>
          <w:highlight w:val="white"/>
        </w:rPr>
        <w:t>Kryczek</w:t>
      </w:r>
      <w:proofErr w:type="spellEnd"/>
      <w:r>
        <w:rPr>
          <w:rFonts w:ascii="Times New Roman" w:eastAsia="Times New Roman" w:hAnsi="Times New Roman" w:cs="Times New Roman"/>
          <w:sz w:val="24"/>
          <w:szCs w:val="24"/>
          <w:highlight w:val="white"/>
        </w:rPr>
        <w:t xml:space="preserve"> I, Chen GY, Kao J, Núñez G, Zou W. Interleukin-10 ablation promotes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development, growth, and metastasis. Cancer Res. 2012 Jan 15;72(2):420-9.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10.1158/0008-5472.CAN-10-4627.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2011 Nov 28. PMID: 22123924; PMCID: PMC3261323.</w:t>
      </w:r>
    </w:p>
    <w:p w14:paraId="25AB76D6"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Hua H, Li M, Luo T, Yin Y, Jiang Y. Matrix metalloproteinases in tumorigenesis: an evolving paradigm. Cell Mol Life Sci. 2011 Dec;68(23):3853-68.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10.1007/s00018-011-0763-x.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2011 Jul 10. PMID: 21744247; PMCID: PMC11114831.</w:t>
      </w:r>
    </w:p>
    <w:p w14:paraId="3DFAB906"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Cabral-Pacheco GA, Garza-Veloz I, Castruita-De la Rosa C, Ramirez-Acuña JM, Perez-Romero BA, Guerrero-Rodriguez JF, Martinez-Avila N, Martinez-Fierro ML. The Roles of Matrix Metalloproteinases and Their Inhibitors in Human Diseases. Int J Mol Sci. 2020 Dec 20;21(24):9739.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10.3390/ijms21249739. PMID: 33419373; PMCID: PMC7767220.</w:t>
      </w:r>
    </w:p>
    <w:p w14:paraId="5698E761"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Cristofaro</w:t>
      </w:r>
      <w:proofErr w:type="spellEnd"/>
      <w:r>
        <w:rPr>
          <w:rFonts w:ascii="Times New Roman" w:eastAsia="Times New Roman" w:hAnsi="Times New Roman" w:cs="Times New Roman"/>
          <w:sz w:val="24"/>
          <w:szCs w:val="24"/>
          <w:highlight w:val="white"/>
        </w:rPr>
        <w:t xml:space="preserve"> MG, </w:t>
      </w:r>
      <w:proofErr w:type="spellStart"/>
      <w:r>
        <w:rPr>
          <w:rFonts w:ascii="Times New Roman" w:eastAsia="Times New Roman" w:hAnsi="Times New Roman" w:cs="Times New Roman"/>
          <w:sz w:val="24"/>
          <w:szCs w:val="24"/>
          <w:highlight w:val="white"/>
        </w:rPr>
        <w:t>Ferragina</w:t>
      </w:r>
      <w:proofErr w:type="spellEnd"/>
      <w:r>
        <w:rPr>
          <w:rFonts w:ascii="Times New Roman" w:eastAsia="Times New Roman" w:hAnsi="Times New Roman" w:cs="Times New Roman"/>
          <w:sz w:val="24"/>
          <w:szCs w:val="24"/>
          <w:highlight w:val="white"/>
        </w:rPr>
        <w:t xml:space="preserve"> F, </w:t>
      </w:r>
      <w:proofErr w:type="spellStart"/>
      <w:r>
        <w:rPr>
          <w:rFonts w:ascii="Times New Roman" w:eastAsia="Times New Roman" w:hAnsi="Times New Roman" w:cs="Times New Roman"/>
          <w:sz w:val="24"/>
          <w:szCs w:val="24"/>
          <w:highlight w:val="white"/>
        </w:rPr>
        <w:t>Tolino</w:t>
      </w:r>
      <w:proofErr w:type="spellEnd"/>
      <w:r>
        <w:rPr>
          <w:rFonts w:ascii="Times New Roman" w:eastAsia="Times New Roman" w:hAnsi="Times New Roman" w:cs="Times New Roman"/>
          <w:sz w:val="24"/>
          <w:szCs w:val="24"/>
          <w:highlight w:val="white"/>
        </w:rPr>
        <w:t xml:space="preserve"> F, Barca I. Systemic Inflammatory Markers as Prognostic Factors in Oral Squamous Cell Carcinoma of the Tongue. Biomedicines. </w:t>
      </w:r>
      <w:r>
        <w:rPr>
          <w:rFonts w:ascii="Times New Roman" w:eastAsia="Times New Roman" w:hAnsi="Times New Roman" w:cs="Times New Roman"/>
          <w:sz w:val="24"/>
          <w:szCs w:val="24"/>
          <w:highlight w:val="white"/>
        </w:rPr>
        <w:lastRenderedPageBreak/>
        <w:t xml:space="preserve">2025 Mar 20;13(3):754.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10.3390/biomedicines13030754. PMID: 40149730; PMCID: PMC11940313.</w:t>
      </w:r>
    </w:p>
    <w:p w14:paraId="42F16A07"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Bekes EM, </w:t>
      </w:r>
      <w:proofErr w:type="spellStart"/>
      <w:r>
        <w:rPr>
          <w:rFonts w:ascii="Times New Roman" w:eastAsia="Times New Roman" w:hAnsi="Times New Roman" w:cs="Times New Roman"/>
          <w:sz w:val="24"/>
          <w:szCs w:val="24"/>
          <w:highlight w:val="white"/>
        </w:rPr>
        <w:t>Schweighofer</w:t>
      </w:r>
      <w:proofErr w:type="spellEnd"/>
      <w:r>
        <w:rPr>
          <w:rFonts w:ascii="Times New Roman" w:eastAsia="Times New Roman" w:hAnsi="Times New Roman" w:cs="Times New Roman"/>
          <w:sz w:val="24"/>
          <w:szCs w:val="24"/>
          <w:highlight w:val="white"/>
        </w:rPr>
        <w:t xml:space="preserve"> B, </w:t>
      </w:r>
      <w:proofErr w:type="spellStart"/>
      <w:r>
        <w:rPr>
          <w:rFonts w:ascii="Times New Roman" w:eastAsia="Times New Roman" w:hAnsi="Times New Roman" w:cs="Times New Roman"/>
          <w:sz w:val="24"/>
          <w:szCs w:val="24"/>
          <w:highlight w:val="white"/>
        </w:rPr>
        <w:t>Kupriyanova</w:t>
      </w:r>
      <w:proofErr w:type="spellEnd"/>
      <w:r>
        <w:rPr>
          <w:rFonts w:ascii="Times New Roman" w:eastAsia="Times New Roman" w:hAnsi="Times New Roman" w:cs="Times New Roman"/>
          <w:sz w:val="24"/>
          <w:szCs w:val="24"/>
          <w:highlight w:val="white"/>
        </w:rPr>
        <w:t xml:space="preserve"> TA, Zajac E, Ardi VC, Quigley JP, </w:t>
      </w:r>
      <w:proofErr w:type="spellStart"/>
      <w:r>
        <w:rPr>
          <w:rFonts w:ascii="Times New Roman" w:eastAsia="Times New Roman" w:hAnsi="Times New Roman" w:cs="Times New Roman"/>
          <w:sz w:val="24"/>
          <w:szCs w:val="24"/>
          <w:highlight w:val="white"/>
        </w:rPr>
        <w:t>Deryugina</w:t>
      </w:r>
      <w:proofErr w:type="spellEnd"/>
      <w:r>
        <w:rPr>
          <w:rFonts w:ascii="Times New Roman" w:eastAsia="Times New Roman" w:hAnsi="Times New Roman" w:cs="Times New Roman"/>
          <w:sz w:val="24"/>
          <w:szCs w:val="24"/>
          <w:highlight w:val="white"/>
        </w:rPr>
        <w:t xml:space="preserve"> EI.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-recruited neutrophils and neutrophil TIMP-free MMP-9 regulate </w:t>
      </w:r>
      <w:proofErr w:type="spellStart"/>
      <w:r>
        <w:rPr>
          <w:rFonts w:ascii="Times New Roman" w:eastAsia="Times New Roman" w:hAnsi="Times New Roman" w:cs="Times New Roman"/>
          <w:sz w:val="24"/>
          <w:szCs w:val="24"/>
          <w:highlight w:val="white"/>
        </w:rPr>
        <w:t>coordinately</w:t>
      </w:r>
      <w:proofErr w:type="spellEnd"/>
      <w:r>
        <w:rPr>
          <w:rFonts w:ascii="Times New Roman" w:eastAsia="Times New Roman" w:hAnsi="Times New Roman" w:cs="Times New Roman"/>
          <w:sz w:val="24"/>
          <w:szCs w:val="24"/>
          <w:highlight w:val="white"/>
        </w:rPr>
        <w:t xml:space="preserve"> the levels of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angiogenesis and efficiency of malignant cell intravasation. Am J </w:t>
      </w:r>
      <w:proofErr w:type="spellStart"/>
      <w:r>
        <w:rPr>
          <w:rFonts w:ascii="Times New Roman" w:eastAsia="Times New Roman" w:hAnsi="Times New Roman" w:cs="Times New Roman"/>
          <w:sz w:val="24"/>
          <w:szCs w:val="24"/>
          <w:highlight w:val="white"/>
        </w:rPr>
        <w:t>Pathol</w:t>
      </w:r>
      <w:proofErr w:type="spellEnd"/>
      <w:r>
        <w:rPr>
          <w:rFonts w:ascii="Times New Roman" w:eastAsia="Times New Roman" w:hAnsi="Times New Roman" w:cs="Times New Roman"/>
          <w:sz w:val="24"/>
          <w:szCs w:val="24"/>
          <w:highlight w:val="white"/>
        </w:rPr>
        <w:t xml:space="preserve">. 2011 Sep;179(3):1455-70.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10.1016/j.ajpath.2011.05.031.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2011 Jul 8. PMID: 21741942; PMCID: PMC3157227.</w:t>
      </w:r>
    </w:p>
    <w:p w14:paraId="427D56B3"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Sun W, Gao M, Hu G, Yuan X. Inflammatory Marker Predicts Outcome of Oral Squamous Cell Carcinoma Receiving Chemo-Radiotherapy. Cancer Manag Res. 2020 Dec </w:t>
      </w:r>
      <w:proofErr w:type="gramStart"/>
      <w:r>
        <w:rPr>
          <w:rFonts w:ascii="Times New Roman" w:eastAsia="Times New Roman" w:hAnsi="Times New Roman" w:cs="Times New Roman"/>
          <w:sz w:val="24"/>
          <w:szCs w:val="24"/>
          <w:highlight w:val="white"/>
        </w:rPr>
        <w:t>1;12:12329</w:t>
      </w:r>
      <w:proofErr w:type="gramEnd"/>
      <w:r>
        <w:rPr>
          <w:rFonts w:ascii="Times New Roman" w:eastAsia="Times New Roman" w:hAnsi="Times New Roman" w:cs="Times New Roman"/>
          <w:sz w:val="24"/>
          <w:szCs w:val="24"/>
          <w:highlight w:val="white"/>
        </w:rPr>
        <w:t xml:space="preserve">-12335.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10.2147/CMAR.S277927. PMID: 33293860; PMCID: PMC7718863.</w:t>
      </w:r>
    </w:p>
    <w:p w14:paraId="5D73E7CB"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Lee S, Kim DW, Kwon S, Kim HJ, Cha IH, Nam W. Prognostic value of systemic inflammatory markers for oral cancer patients based on the 8th edition of AJCC staging system. Sci Rep. 2020 Jul 21;10(1):12111.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10.1038/s41598-020-68991-3. PMID: 32694586; PMCID: PMC7374730.</w:t>
      </w:r>
    </w:p>
    <w:p w14:paraId="42903D9F"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Huang L, Wu W, Hu G. Prognostic value of platelet-to-lymphocyte ratio in patients with oral squamous cell carcinoma: a systematic review and meta-analysis. BMC Oral Health. 2024 Oct 22;24(1):1262.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10.1186/s12903-024-05026-7. PMID: 39438883; PMCID: PMC11494754.</w:t>
      </w:r>
    </w:p>
    <w:p w14:paraId="3298E5AA"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Liao K, Zhang X, Liu J, Teng F, He Y, Cheng J, Yang Q, Zhang W, Xie Y, Guo D, Cao G, Xu Y, Huang B, Wang X. The role of platelets in the regulation of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growth and metastasis: the mechanisms and targeted therapy. </w:t>
      </w:r>
      <w:proofErr w:type="spellStart"/>
      <w:r>
        <w:rPr>
          <w:rFonts w:ascii="Times New Roman" w:eastAsia="Times New Roman" w:hAnsi="Times New Roman" w:cs="Times New Roman"/>
          <w:sz w:val="24"/>
          <w:szCs w:val="24"/>
          <w:highlight w:val="white"/>
        </w:rPr>
        <w:t>MedComm</w:t>
      </w:r>
      <w:proofErr w:type="spellEnd"/>
      <w:r>
        <w:rPr>
          <w:rFonts w:ascii="Times New Roman" w:eastAsia="Times New Roman" w:hAnsi="Times New Roman" w:cs="Times New Roman"/>
          <w:sz w:val="24"/>
          <w:szCs w:val="24"/>
          <w:highlight w:val="white"/>
        </w:rPr>
        <w:t xml:space="preserve"> (2020). 2023 Sep 14;4(5</w:t>
      </w:r>
      <w:proofErr w:type="gramStart"/>
      <w:r>
        <w:rPr>
          <w:rFonts w:ascii="Times New Roman" w:eastAsia="Times New Roman" w:hAnsi="Times New Roman" w:cs="Times New Roman"/>
          <w:sz w:val="24"/>
          <w:szCs w:val="24"/>
          <w:highlight w:val="white"/>
        </w:rPr>
        <w:t>):e</w:t>
      </w:r>
      <w:proofErr w:type="gramEnd"/>
      <w:r>
        <w:rPr>
          <w:rFonts w:ascii="Times New Roman" w:eastAsia="Times New Roman" w:hAnsi="Times New Roman" w:cs="Times New Roman"/>
          <w:sz w:val="24"/>
          <w:szCs w:val="24"/>
          <w:highlight w:val="white"/>
        </w:rPr>
        <w:t xml:space="preserve">350.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10.1002/mco2.350. PMID: 37719444; PMCID: PMC10501337.</w:t>
      </w:r>
    </w:p>
    <w:p w14:paraId="2EAF69A0"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Gan, </w:t>
      </w:r>
      <w:proofErr w:type="spellStart"/>
      <w:r>
        <w:rPr>
          <w:rFonts w:ascii="Times New Roman" w:eastAsia="Times New Roman" w:hAnsi="Times New Roman" w:cs="Times New Roman"/>
          <w:sz w:val="24"/>
          <w:szCs w:val="24"/>
          <w:highlight w:val="white"/>
        </w:rPr>
        <w:t>Jiaqi</w:t>
      </w:r>
      <w:proofErr w:type="spellEnd"/>
      <w:r>
        <w:rPr>
          <w:rFonts w:ascii="Times New Roman" w:eastAsia="Times New Roman" w:hAnsi="Times New Roman" w:cs="Times New Roman"/>
          <w:sz w:val="24"/>
          <w:szCs w:val="24"/>
          <w:highlight w:val="white"/>
        </w:rPr>
        <w:t xml:space="preserve"> &amp; Zhang, </w:t>
      </w:r>
      <w:proofErr w:type="spellStart"/>
      <w:r>
        <w:rPr>
          <w:rFonts w:ascii="Times New Roman" w:eastAsia="Times New Roman" w:hAnsi="Times New Roman" w:cs="Times New Roman"/>
          <w:sz w:val="24"/>
          <w:szCs w:val="24"/>
          <w:highlight w:val="white"/>
        </w:rPr>
        <w:t>Xinjun</w:t>
      </w:r>
      <w:proofErr w:type="spellEnd"/>
      <w:r>
        <w:rPr>
          <w:rFonts w:ascii="Times New Roman" w:eastAsia="Times New Roman" w:hAnsi="Times New Roman" w:cs="Times New Roman"/>
          <w:sz w:val="24"/>
          <w:szCs w:val="24"/>
          <w:highlight w:val="white"/>
        </w:rPr>
        <w:t xml:space="preserve"> &amp; Guo, </w:t>
      </w:r>
      <w:proofErr w:type="spellStart"/>
      <w:r>
        <w:rPr>
          <w:rFonts w:ascii="Times New Roman" w:eastAsia="Times New Roman" w:hAnsi="Times New Roman" w:cs="Times New Roman"/>
          <w:sz w:val="24"/>
          <w:szCs w:val="24"/>
          <w:highlight w:val="white"/>
        </w:rPr>
        <w:t>Jie</w:t>
      </w:r>
      <w:proofErr w:type="spellEnd"/>
      <w:r>
        <w:rPr>
          <w:rFonts w:ascii="Times New Roman" w:eastAsia="Times New Roman" w:hAnsi="Times New Roman" w:cs="Times New Roman"/>
          <w:sz w:val="24"/>
          <w:szCs w:val="24"/>
          <w:highlight w:val="white"/>
        </w:rPr>
        <w:t xml:space="preserve">. (2025). The role of platelets in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immune evasion and metastasis: mechanisms and therapeutic implications. Cancer Cell International. 25. 10.1186/s12935-025-03877-w. </w:t>
      </w:r>
    </w:p>
    <w:p w14:paraId="1A73E1D0"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Lee DS. Clinical implications of the serum platelet-to-lymphocyte ratio in the modern radiation oncology era: research update and literature review. </w:t>
      </w:r>
      <w:proofErr w:type="spellStart"/>
      <w:r>
        <w:rPr>
          <w:rFonts w:ascii="Times New Roman" w:eastAsia="Times New Roman" w:hAnsi="Times New Roman" w:cs="Times New Roman"/>
          <w:sz w:val="24"/>
          <w:szCs w:val="24"/>
          <w:highlight w:val="white"/>
        </w:rPr>
        <w:t>Radiat</w:t>
      </w:r>
      <w:proofErr w:type="spellEnd"/>
      <w:r>
        <w:rPr>
          <w:rFonts w:ascii="Times New Roman" w:eastAsia="Times New Roman" w:hAnsi="Times New Roman" w:cs="Times New Roman"/>
          <w:sz w:val="24"/>
          <w:szCs w:val="24"/>
          <w:highlight w:val="white"/>
        </w:rPr>
        <w:t xml:space="preserve"> Oncol. 2024 Aug 13;19(1):107.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10.1186/s13014-024-02485-8. PMID: 39138484; PMCID: PMC11323450.</w:t>
      </w:r>
    </w:p>
    <w:p w14:paraId="6AAAB55D"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Olson ME, Hornick MG, Stefanski A, Albanna HR, Gjoni A, Hall GD, Hart PC, Rajab IM, Potempa LA. A </w:t>
      </w:r>
      <w:proofErr w:type="spellStart"/>
      <w:r>
        <w:rPr>
          <w:rFonts w:ascii="Times New Roman" w:eastAsia="Times New Roman" w:hAnsi="Times New Roman" w:cs="Times New Roman"/>
          <w:sz w:val="24"/>
          <w:szCs w:val="24"/>
          <w:highlight w:val="white"/>
        </w:rPr>
        <w:t>biofunctional</w:t>
      </w:r>
      <w:proofErr w:type="spellEnd"/>
      <w:r>
        <w:rPr>
          <w:rFonts w:ascii="Times New Roman" w:eastAsia="Times New Roman" w:hAnsi="Times New Roman" w:cs="Times New Roman"/>
          <w:sz w:val="24"/>
          <w:szCs w:val="24"/>
          <w:highlight w:val="white"/>
        </w:rPr>
        <w:t xml:space="preserve"> review of C-reactive protein (CRP) as a mediator of inflammatory and immune responses: differentiating pentameric and modified CRP isoform effects. Front Immunol. 2023 Sep </w:t>
      </w:r>
      <w:proofErr w:type="gramStart"/>
      <w:r>
        <w:rPr>
          <w:rFonts w:ascii="Times New Roman" w:eastAsia="Times New Roman" w:hAnsi="Times New Roman" w:cs="Times New Roman"/>
          <w:sz w:val="24"/>
          <w:szCs w:val="24"/>
          <w:highlight w:val="white"/>
        </w:rPr>
        <w:t>15;14:1264383</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10.3389/fimmu.2023.1264383. PMID: 37781355; PMCID: PMC10540681.</w:t>
      </w:r>
    </w:p>
    <w:p w14:paraId="31FC9198"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Ghanem AS, Sipos K, Tóth Á, Nagy AC. Inflammatory Biomarkers and Oral Health Disorders as Predictors of Head and Neck Cancer: A Retrospective Longitudinal Study. Int J Mol Sci. 2025 Mar 4;26(5):2279.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10.3390/ijms26052279. PMID: 40076898; PMCID: PMC11900271.</w:t>
      </w:r>
    </w:p>
    <w:p w14:paraId="416A41C5"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Metgud</w:t>
      </w:r>
      <w:proofErr w:type="spellEnd"/>
      <w:r>
        <w:rPr>
          <w:rFonts w:ascii="Times New Roman" w:eastAsia="Times New Roman" w:hAnsi="Times New Roman" w:cs="Times New Roman"/>
          <w:sz w:val="24"/>
          <w:szCs w:val="24"/>
          <w:highlight w:val="white"/>
        </w:rPr>
        <w:t xml:space="preserve">, R., &amp; Bajaj, S. (2016). Altered serum and salivary C-reactive protein levels in patients with oral premalignant lesions and oral squamous cell carcinoma. Biotechnic &amp; Histochemistry, 91(2), 96–101. </w:t>
      </w:r>
      <w:hyperlink r:id="rId13">
        <w:r>
          <w:rPr>
            <w:rFonts w:ascii="Times New Roman" w:eastAsia="Times New Roman" w:hAnsi="Times New Roman" w:cs="Times New Roman"/>
            <w:sz w:val="24"/>
            <w:szCs w:val="24"/>
            <w:highlight w:val="white"/>
          </w:rPr>
          <w:t>https://doi.org/10.3109/10520295.2015.1077393</w:t>
        </w:r>
      </w:hyperlink>
    </w:p>
    <w:p w14:paraId="2469FC55"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lastRenderedPageBreak/>
        <w:t>Khandavilli</w:t>
      </w:r>
      <w:proofErr w:type="spellEnd"/>
      <w:r>
        <w:rPr>
          <w:rFonts w:ascii="Times New Roman" w:eastAsia="Times New Roman" w:hAnsi="Times New Roman" w:cs="Times New Roman"/>
          <w:sz w:val="24"/>
          <w:szCs w:val="24"/>
          <w:highlight w:val="white"/>
        </w:rPr>
        <w:t xml:space="preserve"> SD, </w:t>
      </w:r>
      <w:proofErr w:type="spellStart"/>
      <w:r>
        <w:rPr>
          <w:rFonts w:ascii="Times New Roman" w:eastAsia="Times New Roman" w:hAnsi="Times New Roman" w:cs="Times New Roman"/>
          <w:sz w:val="24"/>
          <w:szCs w:val="24"/>
          <w:highlight w:val="white"/>
        </w:rPr>
        <w:t>Ceallaigh</w:t>
      </w:r>
      <w:proofErr w:type="spellEnd"/>
      <w:r>
        <w:rPr>
          <w:rFonts w:ascii="Times New Roman" w:eastAsia="Times New Roman" w:hAnsi="Times New Roman" w:cs="Times New Roman"/>
          <w:sz w:val="24"/>
          <w:szCs w:val="24"/>
          <w:highlight w:val="white"/>
        </w:rPr>
        <w:t xml:space="preserve"> PO, Lloyd CJ, Whitaker R. Serum C-reactive protein as a prognostic indicator in patients with oral squamous cell carcinoma. Oral Oncol. 2009 Oct;45(10):912-4.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10.1016/j.oraloncology.2009.03.015.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2009 Jun 6. PMID: 19502100.</w:t>
      </w:r>
    </w:p>
    <w:p w14:paraId="11021396"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Wang Q, Shao X, Zhang Y, Zhu M, Wang FXC, Mu J, Li J, Yao H, Chen K. Role of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microenvironment in cancer progression and therapeutic strategy. Cancer Med. 2023 May;12(10):11149-11165.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10.1002/cam4.5698.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2023 Feb 21. PMID: 36807772; PMCID: PMC10242329.</w:t>
      </w:r>
    </w:p>
    <w:p w14:paraId="17B618A4"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Xu B, Salama AM, Valero C, Yuan A, </w:t>
      </w:r>
      <w:proofErr w:type="spellStart"/>
      <w:r>
        <w:rPr>
          <w:rFonts w:ascii="Times New Roman" w:eastAsia="Times New Roman" w:hAnsi="Times New Roman" w:cs="Times New Roman"/>
          <w:sz w:val="24"/>
          <w:szCs w:val="24"/>
          <w:highlight w:val="white"/>
        </w:rPr>
        <w:t>Khimraj</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Saliba</w:t>
      </w:r>
      <w:proofErr w:type="spellEnd"/>
      <w:r>
        <w:rPr>
          <w:rFonts w:ascii="Times New Roman" w:eastAsia="Times New Roman" w:hAnsi="Times New Roman" w:cs="Times New Roman"/>
          <w:sz w:val="24"/>
          <w:szCs w:val="24"/>
          <w:highlight w:val="white"/>
        </w:rPr>
        <w:t xml:space="preserve"> M, Zanoni DK, Ganly I, Ghossein R, Patel SG, Katabi N. Histologic evaluation of host immune microenvironment and its prognostic significance in oral tongue squamous cell carcinoma: a comparative study on lymphocytic host response (LHR) and </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infiltrating lymphocytes (TILs). </w:t>
      </w:r>
      <w:proofErr w:type="spellStart"/>
      <w:r>
        <w:rPr>
          <w:rFonts w:ascii="Times New Roman" w:eastAsia="Times New Roman" w:hAnsi="Times New Roman" w:cs="Times New Roman"/>
          <w:sz w:val="24"/>
          <w:szCs w:val="24"/>
          <w:highlight w:val="white"/>
        </w:rPr>
        <w:t>Pathol</w:t>
      </w:r>
      <w:proofErr w:type="spellEnd"/>
      <w:r>
        <w:rPr>
          <w:rFonts w:ascii="Times New Roman" w:eastAsia="Times New Roman" w:hAnsi="Times New Roman" w:cs="Times New Roman"/>
          <w:sz w:val="24"/>
          <w:szCs w:val="24"/>
          <w:highlight w:val="white"/>
        </w:rPr>
        <w:t xml:space="preserve"> Res </w:t>
      </w:r>
      <w:proofErr w:type="spellStart"/>
      <w:r>
        <w:rPr>
          <w:rFonts w:ascii="Times New Roman" w:eastAsia="Times New Roman" w:hAnsi="Times New Roman" w:cs="Times New Roman"/>
          <w:sz w:val="24"/>
          <w:szCs w:val="24"/>
          <w:highlight w:val="white"/>
        </w:rPr>
        <w:t>Pract</w:t>
      </w:r>
      <w:proofErr w:type="spellEnd"/>
      <w:r>
        <w:rPr>
          <w:rFonts w:ascii="Times New Roman" w:eastAsia="Times New Roman" w:hAnsi="Times New Roman" w:cs="Times New Roman"/>
          <w:sz w:val="24"/>
          <w:szCs w:val="24"/>
          <w:highlight w:val="white"/>
        </w:rPr>
        <w:t xml:space="preserve">. 2021 </w:t>
      </w:r>
      <w:proofErr w:type="gramStart"/>
      <w:r>
        <w:rPr>
          <w:rFonts w:ascii="Times New Roman" w:eastAsia="Times New Roman" w:hAnsi="Times New Roman" w:cs="Times New Roman"/>
          <w:sz w:val="24"/>
          <w:szCs w:val="24"/>
          <w:highlight w:val="white"/>
        </w:rPr>
        <w:t>Dec;228:153473</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10.1016/j.prp.2021.153473.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2021 May 10. PMID: 34059347; PMCID: PMC9423079.</w:t>
      </w:r>
    </w:p>
    <w:p w14:paraId="3FDC196E"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Wolosowicz</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Prokopiuk</w:t>
      </w:r>
      <w:proofErr w:type="spellEnd"/>
      <w:r>
        <w:rPr>
          <w:rFonts w:ascii="Times New Roman" w:eastAsia="Times New Roman" w:hAnsi="Times New Roman" w:cs="Times New Roman"/>
          <w:sz w:val="24"/>
          <w:szCs w:val="24"/>
          <w:highlight w:val="white"/>
        </w:rPr>
        <w:t xml:space="preserve"> S, Kaminski TW. Matrix Metalloproteinase-9 (MMP-9) as a Therapeutic Target: Insights into Molecular Pathways and Clinical Applications. Pharmaceutics. 2025 Nov 4;17(11):1425.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10.3390/pharmaceutics17111425. PMID: 41304763; PMCID: PMC12655286.</w:t>
      </w:r>
    </w:p>
    <w:p w14:paraId="79C8603B"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Pannunzio</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Coluccia</w:t>
      </w:r>
      <w:proofErr w:type="spellEnd"/>
      <w:r>
        <w:rPr>
          <w:rFonts w:ascii="Times New Roman" w:eastAsia="Times New Roman" w:hAnsi="Times New Roman" w:cs="Times New Roman"/>
          <w:sz w:val="24"/>
          <w:szCs w:val="24"/>
          <w:highlight w:val="white"/>
        </w:rPr>
        <w:t xml:space="preserve"> M. Cyclooxygenase-1 (COX-1) and COX-1 Inhibitors in Cancer: A Review of Oncology and Medicinal Chemistry Literature. Pharmaceuticals (Basel). 2018 Oct 11;11(4):101.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10.3390/ph11040101. PMID: 30314310; PMCID: PMC6316056.</w:t>
      </w:r>
    </w:p>
    <w:p w14:paraId="1720BE62"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Nasry WHS, Rodriguez-Lecompte JC, Martin CK. Role of COX-2/PGE2 Mediated Inflammation in Oral Squamous Cell Carcinoma. Cancers (Basel). 2018 Sep 22;10(10):348.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10.3390/cancers10100348. PMID: 30248985; PMCID: PMC6211032.</w:t>
      </w:r>
    </w:p>
    <w:p w14:paraId="5E346E52"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Tampa M, Mitran MI, Mitran CI, Sarbu MI, Matei C, Nicolae I, </w:t>
      </w:r>
      <w:proofErr w:type="spellStart"/>
      <w:r>
        <w:rPr>
          <w:rFonts w:ascii="Times New Roman" w:eastAsia="Times New Roman" w:hAnsi="Times New Roman" w:cs="Times New Roman"/>
          <w:sz w:val="24"/>
          <w:szCs w:val="24"/>
          <w:highlight w:val="white"/>
        </w:rPr>
        <w:t>Caruntu</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Tocut</w:t>
      </w:r>
      <w:proofErr w:type="spellEnd"/>
      <w:r>
        <w:rPr>
          <w:rFonts w:ascii="Times New Roman" w:eastAsia="Times New Roman" w:hAnsi="Times New Roman" w:cs="Times New Roman"/>
          <w:sz w:val="24"/>
          <w:szCs w:val="24"/>
          <w:highlight w:val="white"/>
        </w:rPr>
        <w:t xml:space="preserve"> SM, Popa MI, </w:t>
      </w:r>
      <w:proofErr w:type="spellStart"/>
      <w:r>
        <w:rPr>
          <w:rFonts w:ascii="Times New Roman" w:eastAsia="Times New Roman" w:hAnsi="Times New Roman" w:cs="Times New Roman"/>
          <w:sz w:val="24"/>
          <w:szCs w:val="24"/>
          <w:highlight w:val="white"/>
        </w:rPr>
        <w:t>Caruntu</w:t>
      </w:r>
      <w:proofErr w:type="spellEnd"/>
      <w:r>
        <w:rPr>
          <w:rFonts w:ascii="Times New Roman" w:eastAsia="Times New Roman" w:hAnsi="Times New Roman" w:cs="Times New Roman"/>
          <w:sz w:val="24"/>
          <w:szCs w:val="24"/>
          <w:highlight w:val="white"/>
        </w:rPr>
        <w:t xml:space="preserve"> C, Georgescu SR. Mediators of Inflammation - A Potential Source of Biomarkers in Oral Squamous Cell Carcinoma. J Immunol Res. 2018 Nov </w:t>
      </w:r>
      <w:proofErr w:type="gramStart"/>
      <w:r>
        <w:rPr>
          <w:rFonts w:ascii="Times New Roman" w:eastAsia="Times New Roman" w:hAnsi="Times New Roman" w:cs="Times New Roman"/>
          <w:sz w:val="24"/>
          <w:szCs w:val="24"/>
          <w:highlight w:val="white"/>
        </w:rPr>
        <w:t>12;2018:1061780</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10.1155/2018/1061780. PMID: 30539028; PMCID: PMC6260538.</w:t>
      </w:r>
    </w:p>
    <w:p w14:paraId="1C792CE3"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Janusa</w:t>
      </w:r>
      <w:proofErr w:type="spellEnd"/>
      <w:r>
        <w:rPr>
          <w:rFonts w:ascii="Times New Roman" w:eastAsia="Times New Roman" w:hAnsi="Times New Roman" w:cs="Times New Roman"/>
          <w:sz w:val="24"/>
          <w:szCs w:val="24"/>
          <w:highlight w:val="white"/>
        </w:rPr>
        <w:t xml:space="preserve"> Maria Muniz, </w:t>
      </w:r>
      <w:proofErr w:type="spellStart"/>
      <w:r>
        <w:rPr>
          <w:rFonts w:ascii="Times New Roman" w:eastAsia="Times New Roman" w:hAnsi="Times New Roman" w:cs="Times New Roman"/>
          <w:sz w:val="24"/>
          <w:szCs w:val="24"/>
          <w:highlight w:val="white"/>
        </w:rPr>
        <w:t>Cláudia</w:t>
      </w:r>
      <w:proofErr w:type="spellEnd"/>
      <w:r>
        <w:rPr>
          <w:rFonts w:ascii="Times New Roman" w:eastAsia="Times New Roman" w:hAnsi="Times New Roman" w:cs="Times New Roman"/>
          <w:sz w:val="24"/>
          <w:szCs w:val="24"/>
          <w:highlight w:val="white"/>
        </w:rPr>
        <w:t xml:space="preserve"> Renata Bibiano Borges, Marcela </w:t>
      </w:r>
      <w:proofErr w:type="spellStart"/>
      <w:r>
        <w:rPr>
          <w:rFonts w:ascii="Times New Roman" w:eastAsia="Times New Roman" w:hAnsi="Times New Roman" w:cs="Times New Roman"/>
          <w:sz w:val="24"/>
          <w:szCs w:val="24"/>
          <w:highlight w:val="white"/>
        </w:rPr>
        <w:t>Beghini</w:t>
      </w:r>
      <w:proofErr w:type="spellEnd"/>
      <w:r>
        <w:rPr>
          <w:rFonts w:ascii="Times New Roman" w:eastAsia="Times New Roman" w:hAnsi="Times New Roman" w:cs="Times New Roman"/>
          <w:sz w:val="24"/>
          <w:szCs w:val="24"/>
          <w:highlight w:val="white"/>
        </w:rPr>
        <w:t xml:space="preserve">, Marcelo </w:t>
      </w:r>
      <w:proofErr w:type="spellStart"/>
      <w:r>
        <w:rPr>
          <w:rFonts w:ascii="Times New Roman" w:eastAsia="Times New Roman" w:hAnsi="Times New Roman" w:cs="Times New Roman"/>
          <w:sz w:val="24"/>
          <w:szCs w:val="24"/>
          <w:highlight w:val="white"/>
        </w:rPr>
        <w:t>Sivieri</w:t>
      </w:r>
      <w:proofErr w:type="spellEnd"/>
      <w:r>
        <w:rPr>
          <w:rFonts w:ascii="Times New Roman" w:eastAsia="Times New Roman" w:hAnsi="Times New Roman" w:cs="Times New Roman"/>
          <w:sz w:val="24"/>
          <w:szCs w:val="24"/>
          <w:highlight w:val="white"/>
        </w:rPr>
        <w:t xml:space="preserve"> de Araújo, </w:t>
      </w:r>
      <w:proofErr w:type="spellStart"/>
      <w:r>
        <w:rPr>
          <w:rFonts w:ascii="Times New Roman" w:eastAsia="Times New Roman" w:hAnsi="Times New Roman" w:cs="Times New Roman"/>
          <w:sz w:val="24"/>
          <w:szCs w:val="24"/>
          <w:highlight w:val="white"/>
        </w:rPr>
        <w:t>Polyanna</w:t>
      </w:r>
      <w:proofErr w:type="spellEnd"/>
      <w:r>
        <w:rPr>
          <w:rFonts w:ascii="Times New Roman" w:eastAsia="Times New Roman" w:hAnsi="Times New Roman" w:cs="Times New Roman"/>
          <w:sz w:val="24"/>
          <w:szCs w:val="24"/>
          <w:highlight w:val="white"/>
        </w:rPr>
        <w:t xml:space="preserve"> Miranda Alves, Lilian Margareth </w:t>
      </w:r>
      <w:proofErr w:type="spellStart"/>
      <w:r>
        <w:rPr>
          <w:rFonts w:ascii="Times New Roman" w:eastAsia="Times New Roman" w:hAnsi="Times New Roman" w:cs="Times New Roman"/>
          <w:sz w:val="24"/>
          <w:szCs w:val="24"/>
          <w:highlight w:val="white"/>
        </w:rPr>
        <w:t>Biagioni</w:t>
      </w:r>
      <w:proofErr w:type="spellEnd"/>
      <w:r>
        <w:rPr>
          <w:rFonts w:ascii="Times New Roman" w:eastAsia="Times New Roman" w:hAnsi="Times New Roman" w:cs="Times New Roman"/>
          <w:sz w:val="24"/>
          <w:szCs w:val="24"/>
          <w:highlight w:val="white"/>
        </w:rPr>
        <w:t xml:space="preserve"> de Lima, </w:t>
      </w:r>
      <w:proofErr w:type="spellStart"/>
      <w:r>
        <w:rPr>
          <w:rFonts w:ascii="Times New Roman" w:eastAsia="Times New Roman" w:hAnsi="Times New Roman" w:cs="Times New Roman"/>
          <w:sz w:val="24"/>
          <w:szCs w:val="24"/>
          <w:highlight w:val="white"/>
        </w:rPr>
        <w:t>Sanívia</w:t>
      </w:r>
      <w:proofErr w:type="spellEnd"/>
      <w:r>
        <w:rPr>
          <w:rFonts w:ascii="Times New Roman" w:eastAsia="Times New Roman" w:hAnsi="Times New Roman" w:cs="Times New Roman"/>
          <w:sz w:val="24"/>
          <w:szCs w:val="24"/>
          <w:highlight w:val="white"/>
        </w:rPr>
        <w:t xml:space="preserve"> Aparecida de Lima Pereira, </w:t>
      </w:r>
      <w:proofErr w:type="spellStart"/>
      <w:r>
        <w:rPr>
          <w:rFonts w:ascii="Times New Roman" w:eastAsia="Times New Roman" w:hAnsi="Times New Roman" w:cs="Times New Roman"/>
          <w:sz w:val="24"/>
          <w:szCs w:val="24"/>
          <w:highlight w:val="white"/>
        </w:rPr>
        <w:t>Ruchele</w:t>
      </w:r>
      <w:proofErr w:type="spellEnd"/>
      <w:r>
        <w:rPr>
          <w:rFonts w:ascii="Times New Roman" w:eastAsia="Times New Roman" w:hAnsi="Times New Roman" w:cs="Times New Roman"/>
          <w:sz w:val="24"/>
          <w:szCs w:val="24"/>
          <w:highlight w:val="white"/>
        </w:rPr>
        <w:t xml:space="preserve"> Dias Nogueira, Marcelo Henrique </w:t>
      </w:r>
      <w:proofErr w:type="spellStart"/>
      <w:r>
        <w:rPr>
          <w:rFonts w:ascii="Times New Roman" w:eastAsia="Times New Roman" w:hAnsi="Times New Roman" w:cs="Times New Roman"/>
          <w:sz w:val="24"/>
          <w:szCs w:val="24"/>
          <w:highlight w:val="white"/>
        </w:rPr>
        <w:t>Napimoga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Virmondes</w:t>
      </w:r>
      <w:proofErr w:type="spellEnd"/>
      <w:r>
        <w:rPr>
          <w:rFonts w:ascii="Times New Roman" w:eastAsia="Times New Roman" w:hAnsi="Times New Roman" w:cs="Times New Roman"/>
          <w:sz w:val="24"/>
          <w:szCs w:val="24"/>
          <w:highlight w:val="white"/>
        </w:rPr>
        <w:t xml:space="preserve"> Rodrigues, Denise Bertulucci Rocha Rodrigues,Galectin-9 as an important marker in the differential diagnosis between oral squamous cell carcinoma, oral </w:t>
      </w:r>
      <w:proofErr w:type="spellStart"/>
      <w:r>
        <w:rPr>
          <w:rFonts w:ascii="Times New Roman" w:eastAsia="Times New Roman" w:hAnsi="Times New Roman" w:cs="Times New Roman"/>
          <w:sz w:val="24"/>
          <w:szCs w:val="24"/>
          <w:highlight w:val="white"/>
        </w:rPr>
        <w:t>leukoplakia</w:t>
      </w:r>
      <w:proofErr w:type="spellEnd"/>
      <w:r>
        <w:rPr>
          <w:rFonts w:ascii="Times New Roman" w:eastAsia="Times New Roman" w:hAnsi="Times New Roman" w:cs="Times New Roman"/>
          <w:sz w:val="24"/>
          <w:szCs w:val="24"/>
          <w:highlight w:val="white"/>
        </w:rPr>
        <w:t xml:space="preserve"> and oral lichen planus, Immunobiology, Volume 220, Issue 8, 2015, Pages 1006-1011, ISSN 0171-2985, </w:t>
      </w:r>
      <w:hyperlink r:id="rId14">
        <w:r>
          <w:rPr>
            <w:rFonts w:ascii="Times New Roman" w:eastAsia="Times New Roman" w:hAnsi="Times New Roman" w:cs="Times New Roman"/>
            <w:sz w:val="24"/>
            <w:szCs w:val="24"/>
            <w:highlight w:val="white"/>
          </w:rPr>
          <w:t>https://doi.org/10.1016/j.imbio.2015.04.004</w:t>
        </w:r>
      </w:hyperlink>
      <w:r>
        <w:rPr>
          <w:rFonts w:ascii="Times New Roman" w:eastAsia="Times New Roman" w:hAnsi="Times New Roman" w:cs="Times New Roman"/>
          <w:sz w:val="24"/>
          <w:szCs w:val="24"/>
          <w:highlight w:val="white"/>
        </w:rPr>
        <w:t>.</w:t>
      </w:r>
    </w:p>
    <w:p w14:paraId="6FBBC5EC"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Shamsi S, Rai A, Manjhi L, Mahuli SA, Shree P, Haque ZU, Kumari S. Oxidative Stress Enzyme as Markers in Oral Potentially Malignant Disorders and Oral Squamous Cell Carcinoma Patients. Indian J </w:t>
      </w:r>
      <w:proofErr w:type="spellStart"/>
      <w:r>
        <w:rPr>
          <w:rFonts w:ascii="Times New Roman" w:eastAsia="Times New Roman" w:hAnsi="Times New Roman" w:cs="Times New Roman"/>
          <w:sz w:val="24"/>
          <w:szCs w:val="24"/>
          <w:highlight w:val="white"/>
        </w:rPr>
        <w:t>Otolaryngol</w:t>
      </w:r>
      <w:proofErr w:type="spellEnd"/>
      <w:r>
        <w:rPr>
          <w:rFonts w:ascii="Times New Roman" w:eastAsia="Times New Roman" w:hAnsi="Times New Roman" w:cs="Times New Roman"/>
          <w:sz w:val="24"/>
          <w:szCs w:val="24"/>
          <w:highlight w:val="white"/>
        </w:rPr>
        <w:t xml:space="preserve"> Head Neck Surg. 2023 Dec;75(4):3757-3764.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10.1007/s12070-023-04076-7.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2023 Jul 21. PMID: 37974842; PMCID: PMC10645951.</w:t>
      </w:r>
    </w:p>
    <w:p w14:paraId="11A4D730"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Huang CH, Lue KH, Chen PR, Hsieh TC, Chou YF. Association between Sarcopenia and Immediate Complications and Mortality in Patients with Oral Cavity Squamous Cell Carcinoma Undergoing Surgery. Cancers (Basel). 2022 Feb 3;14(3):785.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10.3390/cancers14030785. PMID: 35159050; PMCID: PMC8833832.</w:t>
      </w:r>
    </w:p>
    <w:p w14:paraId="7BE00801"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Wu X, Jiang Y, Ge H, Diao P, Wang D, Wang Y, Cheng J. Predictive value of prognostic nutritional index in patients with oral squamous cell carcinoma. Oral Dis. 2020 Jul;26(5):903-911.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xml:space="preserve">: 10.1111/odi.13318. </w:t>
      </w:r>
      <w:proofErr w:type="spellStart"/>
      <w:r>
        <w:rPr>
          <w:rFonts w:ascii="Times New Roman" w:eastAsia="Times New Roman" w:hAnsi="Times New Roman" w:cs="Times New Roman"/>
          <w:sz w:val="24"/>
          <w:szCs w:val="24"/>
          <w:highlight w:val="white"/>
        </w:rPr>
        <w:t>Epub</w:t>
      </w:r>
      <w:proofErr w:type="spellEnd"/>
      <w:r>
        <w:rPr>
          <w:rFonts w:ascii="Times New Roman" w:eastAsia="Times New Roman" w:hAnsi="Times New Roman" w:cs="Times New Roman"/>
          <w:sz w:val="24"/>
          <w:szCs w:val="24"/>
          <w:highlight w:val="white"/>
        </w:rPr>
        <w:t xml:space="preserve"> 2020 Mar 19. PMID: 32125746.</w:t>
      </w:r>
    </w:p>
    <w:p w14:paraId="5C9FF7B6"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Yoshimura T, Suzuki H, Takayama H, Higashi S, Hirano Y, Tezuka M, Ishida T, </w:t>
      </w:r>
      <w:proofErr w:type="spellStart"/>
      <w:r>
        <w:rPr>
          <w:rFonts w:ascii="Times New Roman" w:eastAsia="Times New Roman" w:hAnsi="Times New Roman" w:cs="Times New Roman"/>
          <w:sz w:val="24"/>
          <w:szCs w:val="24"/>
          <w:highlight w:val="white"/>
        </w:rPr>
        <w:t>Ishihata</w:t>
      </w:r>
      <w:proofErr w:type="spellEnd"/>
      <w:r>
        <w:rPr>
          <w:rFonts w:ascii="Times New Roman" w:eastAsia="Times New Roman" w:hAnsi="Times New Roman" w:cs="Times New Roman"/>
          <w:sz w:val="24"/>
          <w:szCs w:val="24"/>
          <w:highlight w:val="white"/>
        </w:rPr>
        <w:t xml:space="preserve"> K, </w:t>
      </w:r>
      <w:proofErr w:type="spellStart"/>
      <w:r>
        <w:rPr>
          <w:rFonts w:ascii="Times New Roman" w:eastAsia="Times New Roman" w:hAnsi="Times New Roman" w:cs="Times New Roman"/>
          <w:sz w:val="24"/>
          <w:szCs w:val="24"/>
          <w:highlight w:val="white"/>
        </w:rPr>
        <w:t>Amitani</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Amitani</w:t>
      </w:r>
      <w:proofErr w:type="spellEnd"/>
      <w:r>
        <w:rPr>
          <w:rFonts w:ascii="Times New Roman" w:eastAsia="Times New Roman" w:hAnsi="Times New Roman" w:cs="Times New Roman"/>
          <w:sz w:val="24"/>
          <w:szCs w:val="24"/>
          <w:highlight w:val="white"/>
        </w:rPr>
        <w:t xml:space="preserve"> H, Nishi Y, Nakamura Y, Imamura Y, </w:t>
      </w:r>
      <w:proofErr w:type="spellStart"/>
      <w:r>
        <w:rPr>
          <w:rFonts w:ascii="Times New Roman" w:eastAsia="Times New Roman" w:hAnsi="Times New Roman" w:cs="Times New Roman"/>
          <w:sz w:val="24"/>
          <w:szCs w:val="24"/>
          <w:highlight w:val="white"/>
        </w:rPr>
        <w:t>Nozoe</w:t>
      </w:r>
      <w:proofErr w:type="spellEnd"/>
      <w:r>
        <w:rPr>
          <w:rFonts w:ascii="Times New Roman" w:eastAsia="Times New Roman" w:hAnsi="Times New Roman" w:cs="Times New Roman"/>
          <w:sz w:val="24"/>
          <w:szCs w:val="24"/>
          <w:highlight w:val="white"/>
        </w:rPr>
        <w:t xml:space="preserve"> E, Inui A, Nakamura N. Prognostic value of inflammatory biomarkers in aged patients with oral squamous cell carcinoma. Front </w:t>
      </w:r>
      <w:proofErr w:type="spellStart"/>
      <w:r>
        <w:rPr>
          <w:rFonts w:ascii="Times New Roman" w:eastAsia="Times New Roman" w:hAnsi="Times New Roman" w:cs="Times New Roman"/>
          <w:sz w:val="24"/>
          <w:szCs w:val="24"/>
          <w:highlight w:val="white"/>
        </w:rPr>
        <w:t>Pharmacol</w:t>
      </w:r>
      <w:proofErr w:type="spellEnd"/>
      <w:r>
        <w:rPr>
          <w:rFonts w:ascii="Times New Roman" w:eastAsia="Times New Roman" w:hAnsi="Times New Roman" w:cs="Times New Roman"/>
          <w:sz w:val="24"/>
          <w:szCs w:val="24"/>
          <w:highlight w:val="white"/>
        </w:rPr>
        <w:t xml:space="preserve">. 2022 Nov </w:t>
      </w:r>
      <w:proofErr w:type="gramStart"/>
      <w:r>
        <w:rPr>
          <w:rFonts w:ascii="Times New Roman" w:eastAsia="Times New Roman" w:hAnsi="Times New Roman" w:cs="Times New Roman"/>
          <w:sz w:val="24"/>
          <w:szCs w:val="24"/>
          <w:highlight w:val="white"/>
        </w:rPr>
        <w:t>21;13:996757</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10.3389/fphar.2022.996757. PMID: 36479205; PMCID: PMC9719958.</w:t>
      </w:r>
    </w:p>
    <w:p w14:paraId="7FEEE9F0"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Wang J, Leung KS, Chow SK, Cheung WH. Inflammation and age-associated skeletal muscle deterioration (</w:t>
      </w:r>
      <w:proofErr w:type="spellStart"/>
      <w:r>
        <w:rPr>
          <w:rFonts w:ascii="Times New Roman" w:eastAsia="Times New Roman" w:hAnsi="Times New Roman" w:cs="Times New Roman"/>
          <w:sz w:val="24"/>
          <w:szCs w:val="24"/>
          <w:highlight w:val="white"/>
        </w:rPr>
        <w:t>sarcopaenia</w:t>
      </w:r>
      <w:proofErr w:type="spellEnd"/>
      <w:r>
        <w:rPr>
          <w:rFonts w:ascii="Times New Roman" w:eastAsia="Times New Roman" w:hAnsi="Times New Roman" w:cs="Times New Roman"/>
          <w:sz w:val="24"/>
          <w:szCs w:val="24"/>
          <w:highlight w:val="white"/>
        </w:rPr>
        <w:t xml:space="preserve">). J </w:t>
      </w:r>
      <w:proofErr w:type="spellStart"/>
      <w:r>
        <w:rPr>
          <w:rFonts w:ascii="Times New Roman" w:eastAsia="Times New Roman" w:hAnsi="Times New Roman" w:cs="Times New Roman"/>
          <w:sz w:val="24"/>
          <w:szCs w:val="24"/>
          <w:highlight w:val="white"/>
        </w:rPr>
        <w:t>Orthop</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Translat</w:t>
      </w:r>
      <w:proofErr w:type="spellEnd"/>
      <w:r>
        <w:rPr>
          <w:rFonts w:ascii="Times New Roman" w:eastAsia="Times New Roman" w:hAnsi="Times New Roman" w:cs="Times New Roman"/>
          <w:sz w:val="24"/>
          <w:szCs w:val="24"/>
          <w:highlight w:val="white"/>
        </w:rPr>
        <w:t xml:space="preserve">. 2017 Jun </w:t>
      </w:r>
      <w:proofErr w:type="gramStart"/>
      <w:r>
        <w:rPr>
          <w:rFonts w:ascii="Times New Roman" w:eastAsia="Times New Roman" w:hAnsi="Times New Roman" w:cs="Times New Roman"/>
          <w:sz w:val="24"/>
          <w:szCs w:val="24"/>
          <w:highlight w:val="white"/>
        </w:rPr>
        <w:t>3;10:94</w:t>
      </w:r>
      <w:proofErr w:type="gramEnd"/>
      <w:r>
        <w:rPr>
          <w:rFonts w:ascii="Times New Roman" w:eastAsia="Times New Roman" w:hAnsi="Times New Roman" w:cs="Times New Roman"/>
          <w:sz w:val="24"/>
          <w:szCs w:val="24"/>
          <w:highlight w:val="white"/>
        </w:rPr>
        <w:t xml:space="preserve">-101.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10.1016/j.jot.2017.05.006. PMID: 29662761; PMCID: PMC5822997.</w:t>
      </w:r>
    </w:p>
    <w:p w14:paraId="0B91A0D0"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Yoshimura T, Suzuki H, Takayama H, Higashi S, Hirano Y, Tezuka M, Ishida T, </w:t>
      </w:r>
      <w:proofErr w:type="spellStart"/>
      <w:r>
        <w:rPr>
          <w:rFonts w:ascii="Times New Roman" w:eastAsia="Times New Roman" w:hAnsi="Times New Roman" w:cs="Times New Roman"/>
          <w:sz w:val="24"/>
          <w:szCs w:val="24"/>
          <w:highlight w:val="white"/>
        </w:rPr>
        <w:t>Ishihata</w:t>
      </w:r>
      <w:proofErr w:type="spellEnd"/>
      <w:r>
        <w:rPr>
          <w:rFonts w:ascii="Times New Roman" w:eastAsia="Times New Roman" w:hAnsi="Times New Roman" w:cs="Times New Roman"/>
          <w:sz w:val="24"/>
          <w:szCs w:val="24"/>
          <w:highlight w:val="white"/>
        </w:rPr>
        <w:t xml:space="preserve"> K, Nishi Y, Nakamura Y, Imamura Y, </w:t>
      </w:r>
      <w:proofErr w:type="spellStart"/>
      <w:r>
        <w:rPr>
          <w:rFonts w:ascii="Times New Roman" w:eastAsia="Times New Roman" w:hAnsi="Times New Roman" w:cs="Times New Roman"/>
          <w:sz w:val="24"/>
          <w:szCs w:val="24"/>
          <w:highlight w:val="white"/>
        </w:rPr>
        <w:t>Nozoe</w:t>
      </w:r>
      <w:proofErr w:type="spellEnd"/>
      <w:r>
        <w:rPr>
          <w:rFonts w:ascii="Times New Roman" w:eastAsia="Times New Roman" w:hAnsi="Times New Roman" w:cs="Times New Roman"/>
          <w:sz w:val="24"/>
          <w:szCs w:val="24"/>
          <w:highlight w:val="white"/>
        </w:rPr>
        <w:t xml:space="preserve"> E, Nakamura N. Impact of Preoperative Low Prognostic Nutritional Index and High Intramuscular Adipose Tissue Content on Outcomes of Patients with Oral Squamous Cell Carcinoma. Cancers (Basel). 2020 Oct 28;12(11):3167.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10.3390/cancers12113167. PMID: 33126582; PMCID: PMC7692578.</w:t>
      </w:r>
    </w:p>
    <w:p w14:paraId="6CD31284"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Suzuki H, Ito M, Takemura K, Kobayashi S, Kataoka M, Iida N, Sekiya K, Matsumoto T, Koga F. The Controlling Nutritional Status (CONUT) Score is a Prognostic Biomarker in Advanced Urothelial Carcinoma Patients Treated with First-Line Platinum-Based Chemotherapy. Bladder Cancer. 2021 Mar 19;7(1):13-21.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10.3233/BLC-200354. PMID: 38993214; PMCID: PMC11181873.</w:t>
      </w:r>
    </w:p>
    <w:p w14:paraId="787A52AD"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Łasica</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Golec</w:t>
      </w:r>
      <w:proofErr w:type="spellEnd"/>
      <w:r>
        <w:rPr>
          <w:rFonts w:ascii="Times New Roman" w:eastAsia="Times New Roman" w:hAnsi="Times New Roman" w:cs="Times New Roman"/>
          <w:sz w:val="24"/>
          <w:szCs w:val="24"/>
          <w:highlight w:val="white"/>
        </w:rPr>
        <w:t xml:space="preserve"> P, </w:t>
      </w:r>
      <w:proofErr w:type="spellStart"/>
      <w:r>
        <w:rPr>
          <w:rFonts w:ascii="Times New Roman" w:eastAsia="Times New Roman" w:hAnsi="Times New Roman" w:cs="Times New Roman"/>
          <w:sz w:val="24"/>
          <w:szCs w:val="24"/>
          <w:highlight w:val="white"/>
        </w:rPr>
        <w:t>Laskus</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Zalewska</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Gędaj</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Popowska</w:t>
      </w:r>
      <w:proofErr w:type="spellEnd"/>
      <w:r>
        <w:rPr>
          <w:rFonts w:ascii="Times New Roman" w:eastAsia="Times New Roman" w:hAnsi="Times New Roman" w:cs="Times New Roman"/>
          <w:sz w:val="24"/>
          <w:szCs w:val="24"/>
          <w:highlight w:val="white"/>
        </w:rPr>
        <w:t xml:space="preserve"> M. Periodontitis: </w:t>
      </w:r>
      <w:proofErr w:type="spellStart"/>
      <w:r>
        <w:rPr>
          <w:rFonts w:ascii="Times New Roman" w:eastAsia="Times New Roman" w:hAnsi="Times New Roman" w:cs="Times New Roman"/>
          <w:sz w:val="24"/>
          <w:szCs w:val="24"/>
          <w:highlight w:val="white"/>
        </w:rPr>
        <w:t>etiology</w:t>
      </w:r>
      <w:proofErr w:type="spellEnd"/>
      <w:r>
        <w:rPr>
          <w:rFonts w:ascii="Times New Roman" w:eastAsia="Times New Roman" w:hAnsi="Times New Roman" w:cs="Times New Roman"/>
          <w:sz w:val="24"/>
          <w:szCs w:val="24"/>
          <w:highlight w:val="white"/>
        </w:rPr>
        <w:t xml:space="preserve">, conventional treatments, and emerging bacteriophage and predatory bacteria therapies. Front </w:t>
      </w:r>
      <w:proofErr w:type="spellStart"/>
      <w:r>
        <w:rPr>
          <w:rFonts w:ascii="Times New Roman" w:eastAsia="Times New Roman" w:hAnsi="Times New Roman" w:cs="Times New Roman"/>
          <w:sz w:val="24"/>
          <w:szCs w:val="24"/>
          <w:highlight w:val="white"/>
        </w:rPr>
        <w:t>Microbiol</w:t>
      </w:r>
      <w:proofErr w:type="spellEnd"/>
      <w:r>
        <w:rPr>
          <w:rFonts w:ascii="Times New Roman" w:eastAsia="Times New Roman" w:hAnsi="Times New Roman" w:cs="Times New Roman"/>
          <w:sz w:val="24"/>
          <w:szCs w:val="24"/>
          <w:highlight w:val="white"/>
        </w:rPr>
        <w:t xml:space="preserve">. 2024 Sep </w:t>
      </w:r>
      <w:proofErr w:type="gramStart"/>
      <w:r>
        <w:rPr>
          <w:rFonts w:ascii="Times New Roman" w:eastAsia="Times New Roman" w:hAnsi="Times New Roman" w:cs="Times New Roman"/>
          <w:sz w:val="24"/>
          <w:szCs w:val="24"/>
          <w:highlight w:val="white"/>
        </w:rPr>
        <w:t>26;15:1469414</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10.3389/fmicb.2024.1469414. PMID: 39391608; PMCID: PMC11464445.</w:t>
      </w:r>
    </w:p>
    <w:p w14:paraId="07C2B974"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Gaffen</w:t>
      </w:r>
      <w:proofErr w:type="spellEnd"/>
      <w:r>
        <w:rPr>
          <w:rFonts w:ascii="Times New Roman" w:eastAsia="Times New Roman" w:hAnsi="Times New Roman" w:cs="Times New Roman"/>
          <w:sz w:val="24"/>
          <w:szCs w:val="24"/>
          <w:highlight w:val="white"/>
        </w:rPr>
        <w:t xml:space="preserve"> SL, </w:t>
      </w:r>
      <w:proofErr w:type="spellStart"/>
      <w:r>
        <w:rPr>
          <w:rFonts w:ascii="Times New Roman" w:eastAsia="Times New Roman" w:hAnsi="Times New Roman" w:cs="Times New Roman"/>
          <w:sz w:val="24"/>
          <w:szCs w:val="24"/>
          <w:highlight w:val="white"/>
        </w:rPr>
        <w:t>Hajishengallis</w:t>
      </w:r>
      <w:proofErr w:type="spellEnd"/>
      <w:r>
        <w:rPr>
          <w:rFonts w:ascii="Times New Roman" w:eastAsia="Times New Roman" w:hAnsi="Times New Roman" w:cs="Times New Roman"/>
          <w:sz w:val="24"/>
          <w:szCs w:val="24"/>
          <w:highlight w:val="white"/>
        </w:rPr>
        <w:t xml:space="preserve"> G. A new inflammatory cytokine on the block: re-thinking periodontal disease and the Th1/Th2 paradigm in the context of Th17 cells and IL-17. J Dent Res. 2008 Sep;87(9):817-28.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10.1177/154405910808700908. PMID: 18719207; PMCID: PMC2692983.</w:t>
      </w:r>
    </w:p>
    <w:p w14:paraId="54513B55"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Anvar</w:t>
      </w:r>
      <w:proofErr w:type="spellEnd"/>
      <w:r>
        <w:rPr>
          <w:rFonts w:ascii="Times New Roman" w:eastAsia="Times New Roman" w:hAnsi="Times New Roman" w:cs="Times New Roman"/>
          <w:sz w:val="24"/>
          <w:szCs w:val="24"/>
          <w:highlight w:val="white"/>
        </w:rPr>
        <w:t xml:space="preserve"> MT, </w:t>
      </w:r>
      <w:proofErr w:type="spellStart"/>
      <w:r>
        <w:rPr>
          <w:rFonts w:ascii="Times New Roman" w:eastAsia="Times New Roman" w:hAnsi="Times New Roman" w:cs="Times New Roman"/>
          <w:sz w:val="24"/>
          <w:szCs w:val="24"/>
          <w:highlight w:val="white"/>
        </w:rPr>
        <w:t>Rashidan</w:t>
      </w:r>
      <w:proofErr w:type="spellEnd"/>
      <w:r>
        <w:rPr>
          <w:rFonts w:ascii="Times New Roman" w:eastAsia="Times New Roman" w:hAnsi="Times New Roman" w:cs="Times New Roman"/>
          <w:sz w:val="24"/>
          <w:szCs w:val="24"/>
          <w:highlight w:val="white"/>
        </w:rPr>
        <w:t xml:space="preserve"> K, </w:t>
      </w:r>
      <w:proofErr w:type="spellStart"/>
      <w:r>
        <w:rPr>
          <w:rFonts w:ascii="Times New Roman" w:eastAsia="Times New Roman" w:hAnsi="Times New Roman" w:cs="Times New Roman"/>
          <w:sz w:val="24"/>
          <w:szCs w:val="24"/>
          <w:highlight w:val="white"/>
        </w:rPr>
        <w:t>Arsam</w:t>
      </w:r>
      <w:proofErr w:type="spellEnd"/>
      <w:r>
        <w:rPr>
          <w:rFonts w:ascii="Times New Roman" w:eastAsia="Times New Roman" w:hAnsi="Times New Roman" w:cs="Times New Roman"/>
          <w:sz w:val="24"/>
          <w:szCs w:val="24"/>
          <w:highlight w:val="white"/>
        </w:rPr>
        <w:t xml:space="preserve"> N, </w:t>
      </w:r>
      <w:proofErr w:type="spellStart"/>
      <w:r>
        <w:rPr>
          <w:rFonts w:ascii="Times New Roman" w:eastAsia="Times New Roman" w:hAnsi="Times New Roman" w:cs="Times New Roman"/>
          <w:sz w:val="24"/>
          <w:szCs w:val="24"/>
          <w:highlight w:val="white"/>
        </w:rPr>
        <w:t>Rasouli-Saravani</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Yadegari</w:t>
      </w:r>
      <w:proofErr w:type="spellEnd"/>
      <w:r>
        <w:rPr>
          <w:rFonts w:ascii="Times New Roman" w:eastAsia="Times New Roman" w:hAnsi="Times New Roman" w:cs="Times New Roman"/>
          <w:sz w:val="24"/>
          <w:szCs w:val="24"/>
          <w:highlight w:val="white"/>
        </w:rPr>
        <w:t xml:space="preserve"> H, Ahmadi A, Asgari Z, </w:t>
      </w:r>
      <w:proofErr w:type="spellStart"/>
      <w:r>
        <w:rPr>
          <w:rFonts w:ascii="Times New Roman" w:eastAsia="Times New Roman" w:hAnsi="Times New Roman" w:cs="Times New Roman"/>
          <w:sz w:val="24"/>
          <w:szCs w:val="24"/>
          <w:highlight w:val="white"/>
        </w:rPr>
        <w:t>Vanan</w:t>
      </w:r>
      <w:proofErr w:type="spellEnd"/>
      <w:r>
        <w:rPr>
          <w:rFonts w:ascii="Times New Roman" w:eastAsia="Times New Roman" w:hAnsi="Times New Roman" w:cs="Times New Roman"/>
          <w:sz w:val="24"/>
          <w:szCs w:val="24"/>
          <w:highlight w:val="white"/>
        </w:rPr>
        <w:t xml:space="preserve"> AG, </w:t>
      </w:r>
      <w:proofErr w:type="spellStart"/>
      <w:r>
        <w:rPr>
          <w:rFonts w:ascii="Times New Roman" w:eastAsia="Times New Roman" w:hAnsi="Times New Roman" w:cs="Times New Roman"/>
          <w:sz w:val="24"/>
          <w:szCs w:val="24"/>
          <w:highlight w:val="white"/>
        </w:rPr>
        <w:t>Ghorbaninezhad</w:t>
      </w:r>
      <w:proofErr w:type="spellEnd"/>
      <w:r>
        <w:rPr>
          <w:rFonts w:ascii="Times New Roman" w:eastAsia="Times New Roman" w:hAnsi="Times New Roman" w:cs="Times New Roman"/>
          <w:sz w:val="24"/>
          <w:szCs w:val="24"/>
          <w:highlight w:val="white"/>
        </w:rPr>
        <w:t xml:space="preserve"> F, </w:t>
      </w:r>
      <w:proofErr w:type="spellStart"/>
      <w:r>
        <w:rPr>
          <w:rFonts w:ascii="Times New Roman" w:eastAsia="Times New Roman" w:hAnsi="Times New Roman" w:cs="Times New Roman"/>
          <w:sz w:val="24"/>
          <w:szCs w:val="24"/>
          <w:highlight w:val="white"/>
        </w:rPr>
        <w:t>Tahmasebi</w:t>
      </w:r>
      <w:proofErr w:type="spellEnd"/>
      <w:r>
        <w:rPr>
          <w:rFonts w:ascii="Times New Roman" w:eastAsia="Times New Roman" w:hAnsi="Times New Roman" w:cs="Times New Roman"/>
          <w:sz w:val="24"/>
          <w:szCs w:val="24"/>
          <w:highlight w:val="white"/>
        </w:rPr>
        <w:t xml:space="preserve"> S. Th17 cell function in cancers: immunosuppressive agents or anti-</w:t>
      </w:r>
      <w:proofErr w:type="spellStart"/>
      <w:r>
        <w:rPr>
          <w:rFonts w:ascii="Times New Roman" w:eastAsia="Times New Roman" w:hAnsi="Times New Roman" w:cs="Times New Roman"/>
          <w:sz w:val="24"/>
          <w:szCs w:val="24"/>
          <w:highlight w:val="white"/>
        </w:rPr>
        <w:t>tumor</w:t>
      </w:r>
      <w:proofErr w:type="spellEnd"/>
      <w:r>
        <w:rPr>
          <w:rFonts w:ascii="Times New Roman" w:eastAsia="Times New Roman" w:hAnsi="Times New Roman" w:cs="Times New Roman"/>
          <w:sz w:val="24"/>
          <w:szCs w:val="24"/>
          <w:highlight w:val="white"/>
        </w:rPr>
        <w:t xml:space="preserve"> allies? Cancer Cell Int. 2024 Oct 27;24(1):355.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10.1186/s12935-024-03525-9. PMID: 39465401; PMCID: PMC11514949.</w:t>
      </w:r>
    </w:p>
    <w:p w14:paraId="4B5DFB74"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Tezal</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Scannapieco</w:t>
      </w:r>
      <w:proofErr w:type="spellEnd"/>
      <w:r>
        <w:rPr>
          <w:rFonts w:ascii="Times New Roman" w:eastAsia="Times New Roman" w:hAnsi="Times New Roman" w:cs="Times New Roman"/>
          <w:sz w:val="24"/>
          <w:szCs w:val="24"/>
          <w:highlight w:val="white"/>
        </w:rPr>
        <w:t xml:space="preserve"> FA, </w:t>
      </w:r>
      <w:proofErr w:type="spellStart"/>
      <w:r>
        <w:rPr>
          <w:rFonts w:ascii="Times New Roman" w:eastAsia="Times New Roman" w:hAnsi="Times New Roman" w:cs="Times New Roman"/>
          <w:sz w:val="24"/>
          <w:szCs w:val="24"/>
          <w:highlight w:val="white"/>
        </w:rPr>
        <w:t>Wactawski</w:t>
      </w:r>
      <w:proofErr w:type="spellEnd"/>
      <w:r>
        <w:rPr>
          <w:rFonts w:ascii="Times New Roman" w:eastAsia="Times New Roman" w:hAnsi="Times New Roman" w:cs="Times New Roman"/>
          <w:sz w:val="24"/>
          <w:szCs w:val="24"/>
          <w:highlight w:val="white"/>
        </w:rPr>
        <w:t xml:space="preserve">-Wende J, et al. Dental Caries and Head and Neck Cancers. JAMA </w:t>
      </w:r>
      <w:proofErr w:type="spellStart"/>
      <w:r>
        <w:rPr>
          <w:rFonts w:ascii="Times New Roman" w:eastAsia="Times New Roman" w:hAnsi="Times New Roman" w:cs="Times New Roman"/>
          <w:sz w:val="24"/>
          <w:szCs w:val="24"/>
          <w:highlight w:val="white"/>
        </w:rPr>
        <w:t>Otolaryngol</w:t>
      </w:r>
      <w:proofErr w:type="spellEnd"/>
      <w:r>
        <w:rPr>
          <w:rFonts w:ascii="Times New Roman" w:eastAsia="Times New Roman" w:hAnsi="Times New Roman" w:cs="Times New Roman"/>
          <w:sz w:val="24"/>
          <w:szCs w:val="24"/>
          <w:highlight w:val="white"/>
        </w:rPr>
        <w:t xml:space="preserve"> Head Neck Surg. 2013;139(10):1054–1060. doi:10.1001/jamaoto.2013.4569</w:t>
      </w:r>
    </w:p>
    <w:p w14:paraId="6F84673B"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Rankin EB, Yu D, Jiang J, Shen H, Pearce EJ, Goldschmidt MH, Levy DE, </w:t>
      </w:r>
      <w:proofErr w:type="spellStart"/>
      <w:r>
        <w:rPr>
          <w:rFonts w:ascii="Times New Roman" w:eastAsia="Times New Roman" w:hAnsi="Times New Roman" w:cs="Times New Roman"/>
          <w:sz w:val="24"/>
          <w:szCs w:val="24"/>
          <w:highlight w:val="white"/>
        </w:rPr>
        <w:t>Golovkina</w:t>
      </w:r>
      <w:proofErr w:type="spellEnd"/>
      <w:r>
        <w:rPr>
          <w:rFonts w:ascii="Times New Roman" w:eastAsia="Times New Roman" w:hAnsi="Times New Roman" w:cs="Times New Roman"/>
          <w:sz w:val="24"/>
          <w:szCs w:val="24"/>
          <w:highlight w:val="white"/>
        </w:rPr>
        <w:t xml:space="preserve"> TV, Hunter CA, Thomas-Tikhonenko A. An essential role of Th1 responses and </w:t>
      </w:r>
      <w:r>
        <w:rPr>
          <w:rFonts w:ascii="Times New Roman" w:eastAsia="Times New Roman" w:hAnsi="Times New Roman" w:cs="Times New Roman"/>
          <w:sz w:val="24"/>
          <w:szCs w:val="24"/>
          <w:highlight w:val="white"/>
        </w:rPr>
        <w:lastRenderedPageBreak/>
        <w:t xml:space="preserve">interferon gamma in infection-mediated suppression of neoplastic growth. Cancer </w:t>
      </w:r>
      <w:proofErr w:type="spellStart"/>
      <w:r>
        <w:rPr>
          <w:rFonts w:ascii="Times New Roman" w:eastAsia="Times New Roman" w:hAnsi="Times New Roman" w:cs="Times New Roman"/>
          <w:sz w:val="24"/>
          <w:szCs w:val="24"/>
          <w:highlight w:val="white"/>
        </w:rPr>
        <w:t>Biol</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Ther</w:t>
      </w:r>
      <w:proofErr w:type="spellEnd"/>
      <w:r>
        <w:rPr>
          <w:rFonts w:ascii="Times New Roman" w:eastAsia="Times New Roman" w:hAnsi="Times New Roman" w:cs="Times New Roman"/>
          <w:sz w:val="24"/>
          <w:szCs w:val="24"/>
          <w:highlight w:val="white"/>
        </w:rPr>
        <w:t>. 2003 Nov-Dec;2(6):687-93. PMID: 14688478.</w:t>
      </w:r>
    </w:p>
    <w:p w14:paraId="45793752"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Alspach E, Lussier DM, Schreiber RD. Interferon γ and Its Important Roles in Promoting and Inhibiting Spontaneous and Therapeutic Cancer Immunity. Cold Spring </w:t>
      </w:r>
      <w:proofErr w:type="spellStart"/>
      <w:r>
        <w:rPr>
          <w:rFonts w:ascii="Times New Roman" w:eastAsia="Times New Roman" w:hAnsi="Times New Roman" w:cs="Times New Roman"/>
          <w:sz w:val="24"/>
          <w:szCs w:val="24"/>
          <w:highlight w:val="white"/>
        </w:rPr>
        <w:t>Harb</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Perspect</w:t>
      </w:r>
      <w:proofErr w:type="spellEnd"/>
      <w:r>
        <w:rPr>
          <w:rFonts w:ascii="Times New Roman" w:eastAsia="Times New Roman" w:hAnsi="Times New Roman" w:cs="Times New Roman"/>
          <w:sz w:val="24"/>
          <w:szCs w:val="24"/>
          <w:highlight w:val="white"/>
        </w:rPr>
        <w:t xml:space="preserve"> Biol. 2019 Mar 1;11(3</w:t>
      </w:r>
      <w:proofErr w:type="gramStart"/>
      <w:r>
        <w:rPr>
          <w:rFonts w:ascii="Times New Roman" w:eastAsia="Times New Roman" w:hAnsi="Times New Roman" w:cs="Times New Roman"/>
          <w:sz w:val="24"/>
          <w:szCs w:val="24"/>
          <w:highlight w:val="white"/>
        </w:rPr>
        <w:t>):a</w:t>
      </w:r>
      <w:proofErr w:type="gramEnd"/>
      <w:r>
        <w:rPr>
          <w:rFonts w:ascii="Times New Roman" w:eastAsia="Times New Roman" w:hAnsi="Times New Roman" w:cs="Times New Roman"/>
          <w:sz w:val="24"/>
          <w:szCs w:val="24"/>
          <w:highlight w:val="white"/>
        </w:rPr>
        <w:t xml:space="preserve">028480.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10.1101/</w:t>
      </w:r>
      <w:proofErr w:type="gramStart"/>
      <w:r>
        <w:rPr>
          <w:rFonts w:ascii="Times New Roman" w:eastAsia="Times New Roman" w:hAnsi="Times New Roman" w:cs="Times New Roman"/>
          <w:sz w:val="24"/>
          <w:szCs w:val="24"/>
          <w:highlight w:val="white"/>
        </w:rPr>
        <w:t>cshperspect.a</w:t>
      </w:r>
      <w:proofErr w:type="gramEnd"/>
      <w:r>
        <w:rPr>
          <w:rFonts w:ascii="Times New Roman" w:eastAsia="Times New Roman" w:hAnsi="Times New Roman" w:cs="Times New Roman"/>
          <w:sz w:val="24"/>
          <w:szCs w:val="24"/>
          <w:highlight w:val="white"/>
        </w:rPr>
        <w:t xml:space="preserve">028480. PMID: 29661791; PMCID: PMC6396335. </w:t>
      </w:r>
    </w:p>
    <w:p w14:paraId="564C2C6A"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Shahid R, Shoker M, Chu LM, </w:t>
      </w:r>
      <w:proofErr w:type="spellStart"/>
      <w:r>
        <w:rPr>
          <w:rFonts w:ascii="Times New Roman" w:eastAsia="Times New Roman" w:hAnsi="Times New Roman" w:cs="Times New Roman"/>
          <w:sz w:val="24"/>
          <w:szCs w:val="24"/>
          <w:highlight w:val="white"/>
        </w:rPr>
        <w:t>Frehlick</w:t>
      </w:r>
      <w:proofErr w:type="spellEnd"/>
      <w:r>
        <w:rPr>
          <w:rFonts w:ascii="Times New Roman" w:eastAsia="Times New Roman" w:hAnsi="Times New Roman" w:cs="Times New Roman"/>
          <w:sz w:val="24"/>
          <w:szCs w:val="24"/>
          <w:highlight w:val="white"/>
        </w:rPr>
        <w:t xml:space="preserve"> R, Ward H, Pahwa P. Impact of low health literacy on patients' health outcomes: a </w:t>
      </w:r>
      <w:proofErr w:type="spellStart"/>
      <w:r>
        <w:rPr>
          <w:rFonts w:ascii="Times New Roman" w:eastAsia="Times New Roman" w:hAnsi="Times New Roman" w:cs="Times New Roman"/>
          <w:sz w:val="24"/>
          <w:szCs w:val="24"/>
          <w:highlight w:val="white"/>
        </w:rPr>
        <w:t>multicenter</w:t>
      </w:r>
      <w:proofErr w:type="spellEnd"/>
      <w:r>
        <w:rPr>
          <w:rFonts w:ascii="Times New Roman" w:eastAsia="Times New Roman" w:hAnsi="Times New Roman" w:cs="Times New Roman"/>
          <w:sz w:val="24"/>
          <w:szCs w:val="24"/>
          <w:highlight w:val="white"/>
        </w:rPr>
        <w:t xml:space="preserve"> cohort study. BMC Health </w:t>
      </w:r>
      <w:proofErr w:type="spellStart"/>
      <w:r>
        <w:rPr>
          <w:rFonts w:ascii="Times New Roman" w:eastAsia="Times New Roman" w:hAnsi="Times New Roman" w:cs="Times New Roman"/>
          <w:sz w:val="24"/>
          <w:szCs w:val="24"/>
          <w:highlight w:val="white"/>
        </w:rPr>
        <w:t>Serv</w:t>
      </w:r>
      <w:proofErr w:type="spellEnd"/>
      <w:r>
        <w:rPr>
          <w:rFonts w:ascii="Times New Roman" w:eastAsia="Times New Roman" w:hAnsi="Times New Roman" w:cs="Times New Roman"/>
          <w:sz w:val="24"/>
          <w:szCs w:val="24"/>
          <w:highlight w:val="white"/>
        </w:rPr>
        <w:t xml:space="preserve"> Res. 2022 Sep 12;22(1):1148.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10.1186/s12913-022-08527-9. PMID: 36096793; PMCID: PMC9465902.</w:t>
      </w:r>
    </w:p>
    <w:p w14:paraId="4350C05D"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Dewalt DA, Berkman ND, Sheridan S, Lohr KN, Pignone MP. Literacy and health outcomes: a systematic review of the literature. J Gen Intern Med. 2004 Dec;19(12):1228-39.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10.1111/j.1525-1497.2004.</w:t>
      </w:r>
      <w:proofErr w:type="gramStart"/>
      <w:r>
        <w:rPr>
          <w:rFonts w:ascii="Times New Roman" w:eastAsia="Times New Roman" w:hAnsi="Times New Roman" w:cs="Times New Roman"/>
          <w:sz w:val="24"/>
          <w:szCs w:val="24"/>
          <w:highlight w:val="white"/>
        </w:rPr>
        <w:t>40153.x.</w:t>
      </w:r>
      <w:proofErr w:type="gramEnd"/>
      <w:r>
        <w:rPr>
          <w:rFonts w:ascii="Times New Roman" w:eastAsia="Times New Roman" w:hAnsi="Times New Roman" w:cs="Times New Roman"/>
          <w:sz w:val="24"/>
          <w:szCs w:val="24"/>
          <w:highlight w:val="white"/>
        </w:rPr>
        <w:t xml:space="preserve"> PMID: 15610334; PMCID: PMC1492599.</w:t>
      </w:r>
    </w:p>
    <w:p w14:paraId="0BF0922B"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Bernier J, Cooper JS, </w:t>
      </w:r>
      <w:proofErr w:type="spellStart"/>
      <w:r>
        <w:rPr>
          <w:rFonts w:ascii="Times New Roman" w:eastAsia="Times New Roman" w:hAnsi="Times New Roman" w:cs="Times New Roman"/>
          <w:sz w:val="24"/>
          <w:szCs w:val="24"/>
          <w:highlight w:val="white"/>
        </w:rPr>
        <w:t>Pajak</w:t>
      </w:r>
      <w:proofErr w:type="spellEnd"/>
      <w:r>
        <w:rPr>
          <w:rFonts w:ascii="Times New Roman" w:eastAsia="Times New Roman" w:hAnsi="Times New Roman" w:cs="Times New Roman"/>
          <w:sz w:val="24"/>
          <w:szCs w:val="24"/>
          <w:highlight w:val="white"/>
        </w:rPr>
        <w:t xml:space="preserve"> TF, van </w:t>
      </w:r>
      <w:proofErr w:type="spellStart"/>
      <w:r>
        <w:rPr>
          <w:rFonts w:ascii="Times New Roman" w:eastAsia="Times New Roman" w:hAnsi="Times New Roman" w:cs="Times New Roman"/>
          <w:sz w:val="24"/>
          <w:szCs w:val="24"/>
          <w:highlight w:val="white"/>
        </w:rPr>
        <w:t>Glabbeke</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Bourhis</w:t>
      </w:r>
      <w:proofErr w:type="spellEnd"/>
      <w:r>
        <w:rPr>
          <w:rFonts w:ascii="Times New Roman" w:eastAsia="Times New Roman" w:hAnsi="Times New Roman" w:cs="Times New Roman"/>
          <w:sz w:val="24"/>
          <w:szCs w:val="24"/>
          <w:highlight w:val="white"/>
        </w:rPr>
        <w:t xml:space="preserve"> J, </w:t>
      </w:r>
      <w:proofErr w:type="spellStart"/>
      <w:r>
        <w:rPr>
          <w:rFonts w:ascii="Times New Roman" w:eastAsia="Times New Roman" w:hAnsi="Times New Roman" w:cs="Times New Roman"/>
          <w:sz w:val="24"/>
          <w:szCs w:val="24"/>
          <w:highlight w:val="white"/>
        </w:rPr>
        <w:t>Forastiere</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Ozsahin</w:t>
      </w:r>
      <w:proofErr w:type="spellEnd"/>
      <w:r>
        <w:rPr>
          <w:rFonts w:ascii="Times New Roman" w:eastAsia="Times New Roman" w:hAnsi="Times New Roman" w:cs="Times New Roman"/>
          <w:sz w:val="24"/>
          <w:szCs w:val="24"/>
          <w:highlight w:val="white"/>
        </w:rPr>
        <w:t xml:space="preserve"> EM, Jacobs JR, Jassem J, Ang KK, </w:t>
      </w:r>
      <w:proofErr w:type="spellStart"/>
      <w:r>
        <w:rPr>
          <w:rFonts w:ascii="Times New Roman" w:eastAsia="Times New Roman" w:hAnsi="Times New Roman" w:cs="Times New Roman"/>
          <w:sz w:val="24"/>
          <w:szCs w:val="24"/>
          <w:highlight w:val="white"/>
        </w:rPr>
        <w:t>Lefèbvre</w:t>
      </w:r>
      <w:proofErr w:type="spellEnd"/>
      <w:r>
        <w:rPr>
          <w:rFonts w:ascii="Times New Roman" w:eastAsia="Times New Roman" w:hAnsi="Times New Roman" w:cs="Times New Roman"/>
          <w:sz w:val="24"/>
          <w:szCs w:val="24"/>
          <w:highlight w:val="white"/>
        </w:rPr>
        <w:t xml:space="preserve"> JL. Defining risk levels in locally advanced head and neck cancers: a comparative analysis of concurrent postoperative radiation plus chemotherapy trials of the EORTC (#22931) and RTOG (# 9501). Head Neck. 2005 Oct;27(10):843-50.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10.1002/hed.20279. PMID: 16161069.</w:t>
      </w:r>
    </w:p>
    <w:p w14:paraId="2724420E" w14:textId="77777777" w:rsidR="0004752F" w:rsidRDefault="003B4E5F">
      <w:pPr>
        <w:numPr>
          <w:ilvl w:val="0"/>
          <w:numId w:val="1"/>
        </w:numPr>
        <w:pBdr>
          <w:top w:val="none" w:sz="0" w:space="0" w:color="000000"/>
          <w:left w:val="none" w:sz="0" w:space="0" w:color="000000"/>
          <w:bottom w:val="none" w:sz="0" w:space="0" w:color="000000"/>
          <w:right w:val="none" w:sz="0" w:space="0" w:color="000000"/>
          <w:between w:val="none" w:sz="0" w:space="0" w:color="000000"/>
        </w:pBd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Dantas TS, de Barros Silva PG, Sousa EF, da Cunha MDP, de Aguiar ASW, Costa FWG, Mota MRL, Alves APNN, Sousa FB. Influence of Educational Level, Stage, and Histological Type on Survival of Oral Cancer in a Brazilian Population: A Retrospective Study of 10 Years Observation. Medicine (Baltimore). 2016 Jan;95(3</w:t>
      </w:r>
      <w:proofErr w:type="gramStart"/>
      <w:r>
        <w:rPr>
          <w:rFonts w:ascii="Times New Roman" w:eastAsia="Times New Roman" w:hAnsi="Times New Roman" w:cs="Times New Roman"/>
          <w:sz w:val="24"/>
          <w:szCs w:val="24"/>
          <w:highlight w:val="white"/>
        </w:rPr>
        <w:t>):e</w:t>
      </w:r>
      <w:proofErr w:type="gramEnd"/>
      <w:r>
        <w:rPr>
          <w:rFonts w:ascii="Times New Roman" w:eastAsia="Times New Roman" w:hAnsi="Times New Roman" w:cs="Times New Roman"/>
          <w:sz w:val="24"/>
          <w:szCs w:val="24"/>
          <w:highlight w:val="white"/>
        </w:rPr>
        <w:t xml:space="preserve">2314. </w:t>
      </w:r>
      <w:proofErr w:type="spellStart"/>
      <w:r>
        <w:rPr>
          <w:rFonts w:ascii="Times New Roman" w:eastAsia="Times New Roman" w:hAnsi="Times New Roman" w:cs="Times New Roman"/>
          <w:sz w:val="24"/>
          <w:szCs w:val="24"/>
          <w:highlight w:val="white"/>
        </w:rPr>
        <w:t>doi</w:t>
      </w:r>
      <w:proofErr w:type="spellEnd"/>
      <w:r>
        <w:rPr>
          <w:rFonts w:ascii="Times New Roman" w:eastAsia="Times New Roman" w:hAnsi="Times New Roman" w:cs="Times New Roman"/>
          <w:sz w:val="24"/>
          <w:szCs w:val="24"/>
          <w:highlight w:val="white"/>
        </w:rPr>
        <w:t>: 10.1097/MD.0000000000002314. PMID: 26817864; PMCID: PMC4998238.</w:t>
      </w:r>
    </w:p>
    <w:p w14:paraId="3506E309" w14:textId="77777777" w:rsidR="0004752F" w:rsidRDefault="0004752F">
      <w:pPr>
        <w:spacing w:after="160" w:line="259" w:lineRule="auto"/>
        <w:jc w:val="both"/>
        <w:rPr>
          <w:rFonts w:ascii="Times New Roman" w:eastAsia="Times New Roman" w:hAnsi="Times New Roman" w:cs="Times New Roman"/>
          <w:sz w:val="24"/>
          <w:szCs w:val="24"/>
          <w:highlight w:val="white"/>
        </w:rPr>
      </w:pPr>
      <w:bookmarkStart w:id="5" w:name="_z3hx921sqv15" w:colFirst="0" w:colLast="0"/>
      <w:bookmarkEnd w:id="5"/>
    </w:p>
    <w:sectPr w:rsidR="0004752F">
      <w:headerReference w:type="even" r:id="rId15"/>
      <w:headerReference w:type="default" r:id="rId16"/>
      <w:footerReference w:type="even" r:id="rId17"/>
      <w:footerReference w:type="default" r:id="rId18"/>
      <w:headerReference w:type="first" r:id="rId19"/>
      <w:footerReference w:type="first" r:id="rId2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336299" w14:textId="77777777" w:rsidR="00770BC6" w:rsidRDefault="00770BC6" w:rsidP="00102269">
      <w:pPr>
        <w:spacing w:line="240" w:lineRule="auto"/>
      </w:pPr>
      <w:r>
        <w:separator/>
      </w:r>
    </w:p>
  </w:endnote>
  <w:endnote w:type="continuationSeparator" w:id="0">
    <w:p w14:paraId="772839A7" w14:textId="77777777" w:rsidR="00770BC6" w:rsidRDefault="00770BC6" w:rsidP="001022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FD851B6-DCB5-40A4-B342-83AEC687DE35}"/>
  </w:font>
  <w:font w:name="Cambria">
    <w:panose1 w:val="02040503050406030204"/>
    <w:charset w:val="00"/>
    <w:family w:val="roman"/>
    <w:pitch w:val="variable"/>
    <w:sig w:usb0="E00006FF" w:usb1="420024FF" w:usb2="02000000" w:usb3="00000000" w:csb0="0000019F" w:csb1="00000000"/>
    <w:embedRegular r:id="rId2" w:fontKey="{7043F502-ECD4-4F14-ACEA-02F4A80B8D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744C2" w14:textId="77777777" w:rsidR="00102269" w:rsidRDefault="001022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E1B31" w14:textId="77777777" w:rsidR="00102269" w:rsidRDefault="001022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F9E98" w14:textId="77777777" w:rsidR="00102269" w:rsidRDefault="00102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16CB33" w14:textId="77777777" w:rsidR="00770BC6" w:rsidRDefault="00770BC6" w:rsidP="00102269">
      <w:pPr>
        <w:spacing w:line="240" w:lineRule="auto"/>
      </w:pPr>
      <w:r>
        <w:separator/>
      </w:r>
    </w:p>
  </w:footnote>
  <w:footnote w:type="continuationSeparator" w:id="0">
    <w:p w14:paraId="3840EBA6" w14:textId="77777777" w:rsidR="00770BC6" w:rsidRDefault="00770BC6" w:rsidP="001022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407C2" w14:textId="0D094166" w:rsidR="00102269" w:rsidRDefault="00102269">
    <w:pPr>
      <w:pStyle w:val="Header"/>
    </w:pPr>
    <w:r>
      <w:rPr>
        <w:noProof/>
      </w:rPr>
      <w:pict w14:anchorId="52FB48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1.9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26815" w14:textId="08606CF2" w:rsidR="00102269" w:rsidRDefault="00102269">
    <w:pPr>
      <w:pStyle w:val="Header"/>
    </w:pPr>
    <w:r>
      <w:rPr>
        <w:noProof/>
      </w:rPr>
      <w:pict w14:anchorId="260E29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1.9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9D75C" w14:textId="6B8F9553" w:rsidR="00102269" w:rsidRDefault="00102269">
    <w:pPr>
      <w:pStyle w:val="Header"/>
    </w:pPr>
    <w:r>
      <w:rPr>
        <w:noProof/>
      </w:rPr>
      <w:pict w14:anchorId="591A93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1.9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F102E0"/>
    <w:multiLevelType w:val="multilevel"/>
    <w:tmpl w:val="00867E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52F"/>
    <w:rsid w:val="0004752F"/>
    <w:rsid w:val="00102269"/>
    <w:rsid w:val="003B3D5A"/>
    <w:rsid w:val="003B4E5F"/>
    <w:rsid w:val="004F2256"/>
    <w:rsid w:val="00770B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B3F264"/>
  <w15:docId w15:val="{2E9DD9B7-8963-41CF-9A89-3918D58EB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character" w:styleId="Hyperlink">
    <w:name w:val="Hyperlink"/>
    <w:basedOn w:val="DefaultParagraphFont"/>
    <w:uiPriority w:val="99"/>
    <w:unhideWhenUsed/>
    <w:rsid w:val="004F2256"/>
    <w:rPr>
      <w:color w:val="0000FF" w:themeColor="hyperlink"/>
      <w:u w:val="single"/>
    </w:rPr>
  </w:style>
  <w:style w:type="character" w:styleId="UnresolvedMention">
    <w:name w:val="Unresolved Mention"/>
    <w:basedOn w:val="DefaultParagraphFont"/>
    <w:uiPriority w:val="99"/>
    <w:semiHidden/>
    <w:unhideWhenUsed/>
    <w:rsid w:val="004F2256"/>
    <w:rPr>
      <w:color w:val="605E5C"/>
      <w:shd w:val="clear" w:color="auto" w:fill="E1DFDD"/>
    </w:rPr>
  </w:style>
  <w:style w:type="paragraph" w:styleId="Header">
    <w:name w:val="header"/>
    <w:basedOn w:val="Normal"/>
    <w:link w:val="HeaderChar"/>
    <w:uiPriority w:val="99"/>
    <w:unhideWhenUsed/>
    <w:rsid w:val="00102269"/>
    <w:pPr>
      <w:tabs>
        <w:tab w:val="center" w:pos="4680"/>
        <w:tab w:val="right" w:pos="9360"/>
      </w:tabs>
      <w:spacing w:line="240" w:lineRule="auto"/>
    </w:pPr>
  </w:style>
  <w:style w:type="character" w:customStyle="1" w:styleId="HeaderChar">
    <w:name w:val="Header Char"/>
    <w:basedOn w:val="DefaultParagraphFont"/>
    <w:link w:val="Header"/>
    <w:uiPriority w:val="99"/>
    <w:rsid w:val="00102269"/>
  </w:style>
  <w:style w:type="paragraph" w:styleId="Footer">
    <w:name w:val="footer"/>
    <w:basedOn w:val="Normal"/>
    <w:link w:val="FooterChar"/>
    <w:uiPriority w:val="99"/>
    <w:unhideWhenUsed/>
    <w:rsid w:val="00102269"/>
    <w:pPr>
      <w:tabs>
        <w:tab w:val="center" w:pos="4680"/>
        <w:tab w:val="right" w:pos="9360"/>
      </w:tabs>
      <w:spacing w:line="240" w:lineRule="auto"/>
    </w:pPr>
  </w:style>
  <w:style w:type="character" w:customStyle="1" w:styleId="FooterChar">
    <w:name w:val="Footer Char"/>
    <w:basedOn w:val="DefaultParagraphFont"/>
    <w:link w:val="Footer"/>
    <w:uiPriority w:val="99"/>
    <w:rsid w:val="001022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oi.org/10.1038/s41368-023-00249-w" TargetMode="External"/><Relationship Id="rId13" Type="http://schemas.openxmlformats.org/officeDocument/2006/relationships/hyperlink" Target="https://doi.org/10.3109/10520295.2015.1077393"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doi.org/10.37506/1yqne619" TargetMode="External"/><Relationship Id="rId12" Type="http://schemas.openxmlformats.org/officeDocument/2006/relationships/hyperlink" Target="https://doi.org/10.3390/cancers17172770"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2/cam4.3520"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doi.org/10.3897/pharmacia.72.e146759"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doi.org/10.1186/s12967-025-06583-3" TargetMode="External"/><Relationship Id="rId14" Type="http://schemas.openxmlformats.org/officeDocument/2006/relationships/hyperlink" Target="https://doi.org/10.1016/j.imbio.2015.04.004"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7902</Words>
  <Characters>45046</Characters>
  <Application>Microsoft Office Word</Application>
  <DocSecurity>0</DocSecurity>
  <Lines>375</Lines>
  <Paragraphs>105</Paragraphs>
  <ScaleCrop>false</ScaleCrop>
  <Company/>
  <LinksUpToDate>false</LinksUpToDate>
  <CharactersWithSpaces>52843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4</cp:revision>
  <dcterms:created xsi:type="dcterms:W3CDTF">2026-02-06T11:07:00Z</dcterms:created>
  <dcterms:modified xsi:type="dcterms:W3CDTF">2026-02-06T12:52:00Z</dcterms:modified>
</cp:coreProperties>
</file>