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BF8AB" w14:textId="59C0ACA9" w:rsidR="004055CF" w:rsidRDefault="004055CF" w:rsidP="00EC6620">
      <w:pPr>
        <w:jc w:val="center"/>
        <w:rPr>
          <w:rFonts w:ascii="Times New Roman" w:hAnsi="Times New Roman"/>
          <w:b/>
          <w:bCs/>
        </w:rPr>
      </w:pPr>
      <w:r w:rsidRPr="008014F8">
        <w:rPr>
          <w:rFonts w:ascii="Times New Roman" w:hAnsi="Times New Roman"/>
          <w:b/>
          <w:bCs/>
        </w:rPr>
        <w:t>THE CASE OF GLUTAMIC ACID IN CANCER PROGRESSION</w:t>
      </w:r>
    </w:p>
    <w:p w14:paraId="342E29C3" w14:textId="62B62C86" w:rsidR="00C10947" w:rsidRDefault="00C10947" w:rsidP="00EC6620">
      <w:pPr>
        <w:rPr>
          <w:rFonts w:ascii="Times New Roman" w:hAnsi="Times New Roman"/>
        </w:rPr>
      </w:pPr>
    </w:p>
    <w:p w14:paraId="01D6F157" w14:textId="77777777" w:rsidR="00C51C8F" w:rsidRPr="00EC6620" w:rsidRDefault="00C51C8F" w:rsidP="00EC6620">
      <w:pPr>
        <w:rPr>
          <w:rFonts w:ascii="Times New Roman" w:hAnsi="Times New Roman"/>
        </w:rPr>
      </w:pPr>
      <w:bookmarkStart w:id="0" w:name="_GoBack"/>
      <w:bookmarkEnd w:id="0"/>
    </w:p>
    <w:p w14:paraId="45E48D3A" w14:textId="6ECAD7BA" w:rsidR="004055CF" w:rsidRPr="00FF7CFC" w:rsidRDefault="004055CF">
      <w:pPr>
        <w:rPr>
          <w:rFonts w:ascii="Times New Roman" w:hAnsi="Times New Roman"/>
          <w:b/>
          <w:bCs/>
        </w:rPr>
      </w:pPr>
      <w:r w:rsidRPr="00FF7CFC">
        <w:rPr>
          <w:rFonts w:ascii="Times New Roman" w:hAnsi="Times New Roman"/>
          <w:b/>
          <w:bCs/>
        </w:rPr>
        <w:t>ABSTRACT</w:t>
      </w:r>
    </w:p>
    <w:p w14:paraId="2EAB8BD1" w14:textId="238B3164" w:rsidR="004055CF" w:rsidRPr="006415D5" w:rsidRDefault="001669E2" w:rsidP="007529E2">
      <w:pPr>
        <w:jc w:val="both"/>
        <w:rPr>
          <w:rFonts w:ascii="Times New Roman" w:hAnsi="Times New Roman"/>
        </w:rPr>
      </w:pPr>
      <w:r w:rsidRPr="006415D5">
        <w:rPr>
          <w:rFonts w:ascii="Times New Roman" w:hAnsi="Times New Roman"/>
          <w:b/>
          <w:bCs/>
        </w:rPr>
        <w:t>Background:</w:t>
      </w:r>
      <w:r w:rsidRPr="006415D5">
        <w:rPr>
          <w:rFonts w:ascii="Times New Roman" w:hAnsi="Times New Roman"/>
        </w:rPr>
        <w:t xml:space="preserve"> Cancer remains a major global challenge </w:t>
      </w:r>
      <w:proofErr w:type="spellStart"/>
      <w:r w:rsidRPr="006415D5">
        <w:rPr>
          <w:rFonts w:ascii="Times New Roman" w:hAnsi="Times New Roman"/>
        </w:rPr>
        <w:t>characterised</w:t>
      </w:r>
      <w:proofErr w:type="spellEnd"/>
      <w:r w:rsidRPr="006415D5">
        <w:rPr>
          <w:rFonts w:ascii="Times New Roman" w:hAnsi="Times New Roman"/>
        </w:rPr>
        <w:t xml:space="preserve"> by uncontrolled cell proliferation and metabolic reprogramming. Beyond the traditional somatic theory, emerging evidence supports the mitochondrial metabolic theory of cancer, which attributes disease progression to impaired oxidative phosphorylation and increased reliance on </w:t>
      </w:r>
      <w:proofErr w:type="spellStart"/>
      <w:r w:rsidRPr="006415D5">
        <w:rPr>
          <w:rFonts w:ascii="Times New Roman" w:hAnsi="Times New Roman"/>
        </w:rPr>
        <w:t>glutaminolysis</w:t>
      </w:r>
      <w:proofErr w:type="spellEnd"/>
      <w:r w:rsidRPr="006415D5">
        <w:rPr>
          <w:rFonts w:ascii="Times New Roman" w:hAnsi="Times New Roman"/>
        </w:rPr>
        <w:t>.</w:t>
      </w:r>
    </w:p>
    <w:p w14:paraId="108A677D" w14:textId="365D50DB" w:rsidR="001669E2" w:rsidRPr="006415D5" w:rsidRDefault="001669E2" w:rsidP="007529E2">
      <w:pPr>
        <w:jc w:val="both"/>
        <w:rPr>
          <w:rFonts w:ascii="Times New Roman" w:hAnsi="Times New Roman"/>
        </w:rPr>
      </w:pPr>
      <w:r w:rsidRPr="006415D5">
        <w:rPr>
          <w:rFonts w:ascii="Times New Roman" w:hAnsi="Times New Roman"/>
          <w:b/>
          <w:bCs/>
        </w:rPr>
        <w:t>Aim</w:t>
      </w:r>
      <w:r w:rsidRPr="006415D5">
        <w:rPr>
          <w:rFonts w:ascii="Times New Roman" w:hAnsi="Times New Roman"/>
        </w:rPr>
        <w:t>: The aim of the study is to evaluate the levels of glutamic acid in cancer patients and apparently healthy control subjects.</w:t>
      </w:r>
    </w:p>
    <w:p w14:paraId="06B39ADC" w14:textId="6B294CA9" w:rsidR="001669E2" w:rsidRPr="006415D5" w:rsidRDefault="00FF7CFC" w:rsidP="007529E2">
      <w:pPr>
        <w:jc w:val="both"/>
        <w:rPr>
          <w:rFonts w:ascii="Times New Roman" w:hAnsi="Times New Roman"/>
        </w:rPr>
      </w:pPr>
      <w:r w:rsidRPr="006415D5">
        <w:rPr>
          <w:rFonts w:ascii="Times New Roman" w:hAnsi="Times New Roman"/>
          <w:b/>
          <w:bCs/>
        </w:rPr>
        <w:t>Study Design</w:t>
      </w:r>
      <w:r w:rsidRPr="006415D5">
        <w:rPr>
          <w:rFonts w:ascii="Times New Roman" w:hAnsi="Times New Roman"/>
        </w:rPr>
        <w:t xml:space="preserve">: </w:t>
      </w:r>
      <w:r w:rsidR="007529E2" w:rsidRPr="006415D5">
        <w:rPr>
          <w:rFonts w:ascii="Times New Roman" w:hAnsi="Times New Roman"/>
        </w:rPr>
        <w:t>T</w:t>
      </w:r>
      <w:r w:rsidRPr="006415D5">
        <w:rPr>
          <w:rFonts w:ascii="Times New Roman" w:hAnsi="Times New Roman"/>
        </w:rPr>
        <w:t>his was</w:t>
      </w:r>
      <w:r w:rsidR="007529E2" w:rsidRPr="006415D5">
        <w:rPr>
          <w:rFonts w:ascii="Times New Roman" w:hAnsi="Times New Roman"/>
        </w:rPr>
        <w:t xml:space="preserve"> a</w:t>
      </w:r>
      <w:r w:rsidRPr="006415D5">
        <w:rPr>
          <w:rFonts w:ascii="Times New Roman" w:hAnsi="Times New Roman"/>
        </w:rPr>
        <w:t xml:space="preserve"> cross-sectional study and subjects were recruited using a convenience sampling technique. </w:t>
      </w:r>
    </w:p>
    <w:p w14:paraId="618297A2" w14:textId="4A293F16" w:rsidR="00FF7CFC" w:rsidRPr="006415D5" w:rsidRDefault="00FF7CFC" w:rsidP="007529E2">
      <w:pPr>
        <w:jc w:val="both"/>
        <w:rPr>
          <w:rFonts w:ascii="Times New Roman" w:hAnsi="Times New Roman"/>
        </w:rPr>
      </w:pPr>
      <w:r w:rsidRPr="006415D5">
        <w:rPr>
          <w:rFonts w:ascii="Times New Roman" w:hAnsi="Times New Roman"/>
          <w:b/>
          <w:bCs/>
        </w:rPr>
        <w:t>Methodology</w:t>
      </w:r>
      <w:r w:rsidRPr="006415D5">
        <w:rPr>
          <w:rFonts w:ascii="Times New Roman" w:hAnsi="Times New Roman"/>
        </w:rPr>
        <w:t>: A total</w:t>
      </w:r>
      <w:r w:rsidR="00695B62" w:rsidRPr="006415D5">
        <w:rPr>
          <w:rFonts w:ascii="Times New Roman" w:hAnsi="Times New Roman"/>
        </w:rPr>
        <w:t xml:space="preserve"> of 100 participants (50 cancer patients and 50 apparently control subjects) were recruited for the study from R</w:t>
      </w:r>
      <w:r w:rsidR="006415D5" w:rsidRPr="006415D5">
        <w:rPr>
          <w:rFonts w:ascii="Times New Roman" w:hAnsi="Times New Roman"/>
        </w:rPr>
        <w:t xml:space="preserve">ivers </w:t>
      </w:r>
      <w:r w:rsidR="00695B62" w:rsidRPr="006415D5">
        <w:rPr>
          <w:rFonts w:ascii="Times New Roman" w:hAnsi="Times New Roman"/>
        </w:rPr>
        <w:t>S</w:t>
      </w:r>
      <w:r w:rsidR="006415D5" w:rsidRPr="006415D5">
        <w:rPr>
          <w:rFonts w:ascii="Times New Roman" w:hAnsi="Times New Roman"/>
        </w:rPr>
        <w:t xml:space="preserve">tate </w:t>
      </w:r>
      <w:r w:rsidR="00695B62" w:rsidRPr="006415D5">
        <w:rPr>
          <w:rFonts w:ascii="Times New Roman" w:hAnsi="Times New Roman"/>
        </w:rPr>
        <w:t>U</w:t>
      </w:r>
      <w:r w:rsidR="006415D5" w:rsidRPr="006415D5">
        <w:rPr>
          <w:rFonts w:ascii="Times New Roman" w:hAnsi="Times New Roman"/>
        </w:rPr>
        <w:t xml:space="preserve">niversity </w:t>
      </w:r>
      <w:r w:rsidR="00695B62" w:rsidRPr="006415D5">
        <w:rPr>
          <w:rFonts w:ascii="Times New Roman" w:hAnsi="Times New Roman"/>
        </w:rPr>
        <w:t>T</w:t>
      </w:r>
      <w:r w:rsidR="006415D5" w:rsidRPr="006415D5">
        <w:rPr>
          <w:rFonts w:ascii="Times New Roman" w:hAnsi="Times New Roman"/>
        </w:rPr>
        <w:t xml:space="preserve">eaching </w:t>
      </w:r>
      <w:r w:rsidR="00695B62" w:rsidRPr="006415D5">
        <w:rPr>
          <w:rFonts w:ascii="Times New Roman" w:hAnsi="Times New Roman"/>
        </w:rPr>
        <w:t>H</w:t>
      </w:r>
      <w:r w:rsidR="006415D5" w:rsidRPr="006415D5">
        <w:rPr>
          <w:rFonts w:ascii="Times New Roman" w:hAnsi="Times New Roman"/>
        </w:rPr>
        <w:t>ospital</w:t>
      </w:r>
      <w:r w:rsidR="00695B62" w:rsidRPr="006415D5">
        <w:rPr>
          <w:rFonts w:ascii="Times New Roman" w:hAnsi="Times New Roman"/>
        </w:rPr>
        <w:t xml:space="preserve"> and U</w:t>
      </w:r>
      <w:r w:rsidR="006415D5" w:rsidRPr="006415D5">
        <w:rPr>
          <w:rFonts w:ascii="Times New Roman" w:hAnsi="Times New Roman"/>
        </w:rPr>
        <w:t xml:space="preserve">niversity of </w:t>
      </w:r>
      <w:r w:rsidR="00695B62" w:rsidRPr="006415D5">
        <w:rPr>
          <w:rFonts w:ascii="Times New Roman" w:hAnsi="Times New Roman"/>
        </w:rPr>
        <w:t>P</w:t>
      </w:r>
      <w:r w:rsidR="006415D5" w:rsidRPr="006415D5">
        <w:rPr>
          <w:rFonts w:ascii="Times New Roman" w:hAnsi="Times New Roman"/>
        </w:rPr>
        <w:t xml:space="preserve">ort </w:t>
      </w:r>
      <w:r w:rsidR="00695B62" w:rsidRPr="006415D5">
        <w:rPr>
          <w:rFonts w:ascii="Times New Roman" w:hAnsi="Times New Roman"/>
        </w:rPr>
        <w:t>H</w:t>
      </w:r>
      <w:r w:rsidR="006415D5">
        <w:rPr>
          <w:rFonts w:ascii="Times New Roman" w:hAnsi="Times New Roman"/>
        </w:rPr>
        <w:t>arcourt Teaching Hospital</w:t>
      </w:r>
      <w:r w:rsidR="00695B62" w:rsidRPr="006415D5">
        <w:rPr>
          <w:rFonts w:ascii="Times New Roman" w:hAnsi="Times New Roman"/>
        </w:rPr>
        <w:t xml:space="preserve"> in Port Harcourt, Rivers State. The plasma concentration of glutamic acid was </w:t>
      </w:r>
      <w:proofErr w:type="spellStart"/>
      <w:r w:rsidR="00695B62" w:rsidRPr="006415D5">
        <w:rPr>
          <w:rFonts w:ascii="Times New Roman" w:hAnsi="Times New Roman"/>
        </w:rPr>
        <w:t>analysed</w:t>
      </w:r>
      <w:proofErr w:type="spellEnd"/>
      <w:r w:rsidR="00695B62" w:rsidRPr="006415D5">
        <w:rPr>
          <w:rFonts w:ascii="Times New Roman" w:hAnsi="Times New Roman"/>
        </w:rPr>
        <w:t xml:space="preserve"> using </w:t>
      </w:r>
      <w:r w:rsidR="009803BC" w:rsidRPr="006415D5">
        <w:rPr>
          <w:rFonts w:ascii="Times New Roman" w:hAnsi="Times New Roman"/>
        </w:rPr>
        <w:t xml:space="preserve">glutamic acid </w:t>
      </w:r>
      <w:proofErr w:type="spellStart"/>
      <w:r w:rsidR="00695B62" w:rsidRPr="006415D5">
        <w:rPr>
          <w:rFonts w:ascii="Times New Roman" w:hAnsi="Times New Roman"/>
        </w:rPr>
        <w:t>colourimetric</w:t>
      </w:r>
      <w:proofErr w:type="spellEnd"/>
      <w:r w:rsidR="009803BC" w:rsidRPr="006415D5">
        <w:rPr>
          <w:rFonts w:ascii="Times New Roman" w:hAnsi="Times New Roman"/>
        </w:rPr>
        <w:t xml:space="preserve"> kits.</w:t>
      </w:r>
    </w:p>
    <w:p w14:paraId="61A29234" w14:textId="3F283FFA" w:rsidR="009803BC" w:rsidRPr="006415D5" w:rsidRDefault="009803BC" w:rsidP="007529E2">
      <w:pPr>
        <w:jc w:val="both"/>
        <w:rPr>
          <w:rFonts w:ascii="Times New Roman" w:hAnsi="Times New Roman"/>
        </w:rPr>
      </w:pPr>
      <w:r w:rsidRPr="006415D5">
        <w:rPr>
          <w:rFonts w:ascii="Times New Roman" w:hAnsi="Times New Roman"/>
          <w:b/>
          <w:bCs/>
        </w:rPr>
        <w:t>Results</w:t>
      </w:r>
      <w:r w:rsidRPr="006415D5">
        <w:rPr>
          <w:rFonts w:ascii="Times New Roman" w:hAnsi="Times New Roman"/>
        </w:rPr>
        <w:t xml:space="preserve">: The mean plasma glutamic acid concentration in cancer (134.83 ± 14.66) subjects was higher compared to the healthy control (101.82 ± 10.99), confirming increased </w:t>
      </w:r>
      <w:proofErr w:type="spellStart"/>
      <w:r w:rsidRPr="006415D5">
        <w:rPr>
          <w:rFonts w:ascii="Times New Roman" w:hAnsi="Times New Roman"/>
        </w:rPr>
        <w:t>glutaminolysis</w:t>
      </w:r>
      <w:proofErr w:type="spellEnd"/>
      <w:r w:rsidRPr="006415D5">
        <w:rPr>
          <w:rFonts w:ascii="Times New Roman" w:hAnsi="Times New Roman"/>
        </w:rPr>
        <w:t xml:space="preserve"> and alteration in metabolic pathways in cancer. The result obtained also show a statistically significant difference in glutamic acid level across the various stages of cancer progression, with stage iv having the highest (150.93 ± 12.54), followed by </w:t>
      </w:r>
      <w:r w:rsidR="006415D5">
        <w:rPr>
          <w:rFonts w:ascii="Times New Roman" w:hAnsi="Times New Roman"/>
        </w:rPr>
        <w:t>S</w:t>
      </w:r>
      <w:r w:rsidRPr="006415D5">
        <w:rPr>
          <w:rFonts w:ascii="Times New Roman" w:hAnsi="Times New Roman"/>
        </w:rPr>
        <w:t>tage III (134.25 ± 12.12) and then Stage I-II (124.52 ± 5.29). From the results, glutamic acid, a byproduct of glutamine metabolism can be used as a biomarker for early cancer detection.</w:t>
      </w:r>
    </w:p>
    <w:p w14:paraId="17C7C93A" w14:textId="6AA75C9C" w:rsidR="008014F8" w:rsidRPr="006415D5" w:rsidRDefault="008014F8" w:rsidP="007529E2">
      <w:pPr>
        <w:jc w:val="both"/>
        <w:rPr>
          <w:rFonts w:ascii="Times New Roman" w:hAnsi="Times New Roman"/>
        </w:rPr>
      </w:pPr>
      <w:r w:rsidRPr="006415D5">
        <w:rPr>
          <w:rFonts w:ascii="Times New Roman" w:hAnsi="Times New Roman"/>
          <w:b/>
          <w:bCs/>
        </w:rPr>
        <w:t>CONLUSION</w:t>
      </w:r>
      <w:r w:rsidRPr="006415D5">
        <w:rPr>
          <w:rFonts w:ascii="Times New Roman" w:hAnsi="Times New Roman"/>
        </w:rPr>
        <w:t>: There was significant increase in glutamic acid in cancer patients compared to the apparently healthy control. Thus, indicating metabolic reprogramming in cancer supports substrate level phosphorylation.</w:t>
      </w:r>
    </w:p>
    <w:p w14:paraId="6DBF6DA6" w14:textId="761E0184" w:rsidR="009803BC" w:rsidRPr="006415D5" w:rsidRDefault="008014F8" w:rsidP="007529E2">
      <w:pPr>
        <w:jc w:val="both"/>
        <w:rPr>
          <w:rFonts w:ascii="Times New Roman" w:hAnsi="Times New Roman"/>
        </w:rPr>
      </w:pPr>
      <w:r w:rsidRPr="006415D5">
        <w:rPr>
          <w:rFonts w:ascii="Times New Roman" w:hAnsi="Times New Roman"/>
        </w:rPr>
        <w:t xml:space="preserve"> </w:t>
      </w:r>
      <w:r w:rsidR="00742A64" w:rsidRPr="006415D5">
        <w:rPr>
          <w:rFonts w:ascii="Times New Roman" w:hAnsi="Times New Roman"/>
          <w:b/>
          <w:bCs/>
        </w:rPr>
        <w:t>Keywords:</w:t>
      </w:r>
      <w:r w:rsidR="00742A64" w:rsidRPr="006415D5">
        <w:rPr>
          <w:rFonts w:ascii="Times New Roman" w:hAnsi="Times New Roman"/>
        </w:rPr>
        <w:t xml:space="preserve"> Cancer, mitochondria, </w:t>
      </w:r>
      <w:proofErr w:type="spellStart"/>
      <w:r w:rsidR="00742A64" w:rsidRPr="006415D5">
        <w:rPr>
          <w:rFonts w:ascii="Times New Roman" w:hAnsi="Times New Roman"/>
        </w:rPr>
        <w:t>glutaminolysis</w:t>
      </w:r>
      <w:proofErr w:type="spellEnd"/>
      <w:r w:rsidR="00742A64" w:rsidRPr="006415D5">
        <w:rPr>
          <w:rFonts w:ascii="Times New Roman" w:hAnsi="Times New Roman"/>
        </w:rPr>
        <w:t>, substrate level phosphorylation</w:t>
      </w:r>
    </w:p>
    <w:p w14:paraId="59BFDD87" w14:textId="77777777" w:rsidR="007529E2" w:rsidRPr="001669E2" w:rsidRDefault="007529E2" w:rsidP="001669E2">
      <w:pPr>
        <w:jc w:val="both"/>
        <w:rPr>
          <w:rFonts w:ascii="Times New Roman" w:hAnsi="Times New Roman"/>
        </w:rPr>
      </w:pPr>
    </w:p>
    <w:p w14:paraId="501A7F62" w14:textId="10D79717" w:rsidR="007A2994" w:rsidRPr="007529E2" w:rsidRDefault="007A2994">
      <w:pPr>
        <w:rPr>
          <w:rFonts w:ascii="Times New Roman" w:hAnsi="Times New Roman"/>
          <w:b/>
          <w:bCs/>
        </w:rPr>
      </w:pPr>
      <w:r w:rsidRPr="007529E2">
        <w:rPr>
          <w:rFonts w:ascii="Times New Roman" w:hAnsi="Times New Roman"/>
          <w:b/>
          <w:bCs/>
        </w:rPr>
        <w:t>INTRODUCTION</w:t>
      </w:r>
    </w:p>
    <w:p w14:paraId="4120CE85" w14:textId="062B2281" w:rsidR="005C20BA" w:rsidRDefault="007A2994" w:rsidP="00D723F0">
      <w:pPr>
        <w:spacing w:line="360" w:lineRule="auto"/>
        <w:jc w:val="both"/>
        <w:rPr>
          <w:rFonts w:ascii="Times New Roman" w:hAnsi="Times New Roman"/>
        </w:rPr>
      </w:pPr>
      <w:r w:rsidRPr="00950145">
        <w:rPr>
          <w:rFonts w:ascii="Times New Roman" w:hAnsi="Times New Roman"/>
        </w:rPr>
        <w:t>Cancer is a systemic disease affect</w:t>
      </w:r>
      <w:r>
        <w:rPr>
          <w:rFonts w:ascii="Times New Roman" w:hAnsi="Times New Roman"/>
        </w:rPr>
        <w:t>ing</w:t>
      </w:r>
      <w:r w:rsidRPr="00950145">
        <w:rPr>
          <w:rFonts w:ascii="Times New Roman" w:hAnsi="Times New Roman"/>
        </w:rPr>
        <w:t xml:space="preserve"> not just</w:t>
      </w:r>
      <w:r w:rsidR="00C721D6">
        <w:rPr>
          <w:rFonts w:ascii="Times New Roman" w:hAnsi="Times New Roman"/>
        </w:rPr>
        <w:t xml:space="preserve"> </w:t>
      </w:r>
      <w:r w:rsidRPr="00950145">
        <w:rPr>
          <w:rFonts w:ascii="Times New Roman" w:hAnsi="Times New Roman"/>
        </w:rPr>
        <w:t xml:space="preserve">human </w:t>
      </w:r>
      <w:r w:rsidR="00A02FE8">
        <w:rPr>
          <w:rFonts w:ascii="Times New Roman" w:hAnsi="Times New Roman"/>
        </w:rPr>
        <w:t>beings</w:t>
      </w:r>
      <w:r w:rsidRPr="00950145">
        <w:rPr>
          <w:rFonts w:ascii="Times New Roman" w:hAnsi="Times New Roman"/>
        </w:rPr>
        <w:t xml:space="preserve"> but other species of animals</w:t>
      </w:r>
      <w:r w:rsidR="00C721D6">
        <w:rPr>
          <w:rFonts w:ascii="Times New Roman" w:hAnsi="Times New Roman"/>
        </w:rPr>
        <w:t>, like dogs etc</w:t>
      </w:r>
      <w:r w:rsidR="006415D5">
        <w:rPr>
          <w:rFonts w:ascii="Times New Roman" w:hAnsi="Times New Roman"/>
        </w:rPr>
        <w:t>.</w:t>
      </w:r>
      <w:r w:rsidR="00C721D6">
        <w:rPr>
          <w:rFonts w:ascii="Times New Roman" w:hAnsi="Times New Roman"/>
        </w:rPr>
        <w:t xml:space="preserve"> </w:t>
      </w:r>
      <w:r w:rsidRPr="00950145">
        <w:rPr>
          <w:rFonts w:ascii="Times New Roman" w:hAnsi="Times New Roman"/>
        </w:rPr>
        <w:t>(</w:t>
      </w:r>
      <w:proofErr w:type="spellStart"/>
      <w:r w:rsidRPr="00950145">
        <w:rPr>
          <w:rFonts w:ascii="Times New Roman" w:hAnsi="Times New Roman"/>
        </w:rPr>
        <w:t>Kattner</w:t>
      </w:r>
      <w:proofErr w:type="spellEnd"/>
      <w:r w:rsidRPr="00950145">
        <w:rPr>
          <w:rFonts w:ascii="Times New Roman" w:hAnsi="Times New Roman"/>
        </w:rPr>
        <w:t xml:space="preserve"> </w:t>
      </w:r>
      <w:r w:rsidRPr="00950145">
        <w:rPr>
          <w:rFonts w:ascii="Times New Roman" w:hAnsi="Times New Roman"/>
          <w:i/>
          <w:iCs/>
        </w:rPr>
        <w:t>et al</w:t>
      </w:r>
      <w:r w:rsidRPr="00950145">
        <w:rPr>
          <w:rFonts w:ascii="Times New Roman" w:hAnsi="Times New Roman"/>
        </w:rPr>
        <w:t>., 2021).</w:t>
      </w:r>
      <w:r w:rsidR="00A02FE8">
        <w:rPr>
          <w:rFonts w:ascii="Times New Roman" w:hAnsi="Times New Roman"/>
        </w:rPr>
        <w:t xml:space="preserve"> In the human population, </w:t>
      </w:r>
      <w:r w:rsidR="0060155E">
        <w:rPr>
          <w:rFonts w:ascii="Times New Roman" w:hAnsi="Times New Roman"/>
        </w:rPr>
        <w:t>cancer</w:t>
      </w:r>
      <w:r w:rsidR="00A02FE8">
        <w:rPr>
          <w:rFonts w:ascii="Times New Roman" w:hAnsi="Times New Roman"/>
        </w:rPr>
        <w:t xml:space="preserve"> </w:t>
      </w:r>
      <w:r w:rsidR="00A02FE8" w:rsidRPr="00950145">
        <w:rPr>
          <w:rFonts w:ascii="Times New Roman" w:hAnsi="Times New Roman"/>
        </w:rPr>
        <w:t xml:space="preserve">is considered the second leading cause of death </w:t>
      </w:r>
      <w:r w:rsidR="00A02FE8">
        <w:rPr>
          <w:rFonts w:ascii="Times New Roman" w:hAnsi="Times New Roman"/>
        </w:rPr>
        <w:t xml:space="preserve">globally, </w:t>
      </w:r>
      <w:r w:rsidR="00A02FE8" w:rsidRPr="00950145">
        <w:rPr>
          <w:rFonts w:ascii="Times New Roman" w:hAnsi="Times New Roman"/>
        </w:rPr>
        <w:t>and an important barrier to life expectancy. According to the International Agency for Research on Cancer</w:t>
      </w:r>
      <w:r w:rsidR="00A02FE8">
        <w:rPr>
          <w:rFonts w:ascii="Times New Roman" w:hAnsi="Times New Roman"/>
        </w:rPr>
        <w:t xml:space="preserve"> (IARC)</w:t>
      </w:r>
      <w:r w:rsidR="00A02FE8" w:rsidRPr="00950145">
        <w:rPr>
          <w:rFonts w:ascii="Times New Roman" w:hAnsi="Times New Roman"/>
        </w:rPr>
        <w:t xml:space="preserve"> of the World Health </w:t>
      </w:r>
      <w:proofErr w:type="spellStart"/>
      <w:r w:rsidR="00A02FE8" w:rsidRPr="00950145">
        <w:rPr>
          <w:rFonts w:ascii="Times New Roman" w:hAnsi="Times New Roman"/>
        </w:rPr>
        <w:t>Organisation</w:t>
      </w:r>
      <w:proofErr w:type="spellEnd"/>
      <w:r w:rsidR="00A02FE8" w:rsidRPr="00950145">
        <w:rPr>
          <w:rFonts w:ascii="Times New Roman" w:hAnsi="Times New Roman"/>
        </w:rPr>
        <w:t xml:space="preserve"> (WHO), about 18.1 </w:t>
      </w:r>
      <w:r w:rsidR="00A02FE8" w:rsidRPr="00950145">
        <w:rPr>
          <w:rFonts w:ascii="Times New Roman" w:hAnsi="Times New Roman"/>
        </w:rPr>
        <w:lastRenderedPageBreak/>
        <w:t xml:space="preserve">million new cases of cancer was diagnosed in 2018 out of which 9.6 million died (Bray </w:t>
      </w:r>
      <w:r w:rsidR="00A02FE8" w:rsidRPr="00950145">
        <w:rPr>
          <w:rFonts w:ascii="Times New Roman" w:hAnsi="Times New Roman"/>
          <w:i/>
          <w:iCs/>
        </w:rPr>
        <w:t>et al</w:t>
      </w:r>
      <w:r w:rsidR="00A02FE8" w:rsidRPr="00950145">
        <w:rPr>
          <w:rFonts w:ascii="Times New Roman" w:hAnsi="Times New Roman"/>
        </w:rPr>
        <w:t>., 2018).</w:t>
      </w:r>
      <w:r w:rsidR="00B87695">
        <w:rPr>
          <w:rFonts w:ascii="Times New Roman" w:hAnsi="Times New Roman"/>
        </w:rPr>
        <w:t xml:space="preserve"> </w:t>
      </w:r>
      <w:r w:rsidR="0060155E">
        <w:rPr>
          <w:rFonts w:ascii="Times New Roman" w:hAnsi="Times New Roman"/>
        </w:rPr>
        <w:t xml:space="preserve">Going forward on cancer prevalence, </w:t>
      </w:r>
      <w:r w:rsidR="0060155E" w:rsidRPr="00950145">
        <w:rPr>
          <w:rFonts w:ascii="Times New Roman" w:hAnsi="Times New Roman"/>
        </w:rPr>
        <w:t xml:space="preserve">global statistics on cancer in 2020 (GLOBOCAN 2020) reported 19.3 million new cases and 10 million deaths. These figures highlight the rising global burden of cancer, particularly in low-and-middle-income countries that are undergoing economic and epidemiological transition notwithstanding the advancement in cancer genetics (Sung </w:t>
      </w:r>
      <w:r w:rsidR="0060155E" w:rsidRPr="00950145">
        <w:rPr>
          <w:rFonts w:ascii="Times New Roman" w:hAnsi="Times New Roman"/>
          <w:i/>
          <w:iCs/>
        </w:rPr>
        <w:t>et al</w:t>
      </w:r>
      <w:r w:rsidR="0060155E" w:rsidRPr="00950145">
        <w:rPr>
          <w:rFonts w:ascii="Times New Roman" w:hAnsi="Times New Roman"/>
        </w:rPr>
        <w:t>., 2021).</w:t>
      </w:r>
      <w:r w:rsidR="00922E1F">
        <w:rPr>
          <w:rFonts w:ascii="Times New Roman" w:hAnsi="Times New Roman"/>
        </w:rPr>
        <w:t xml:space="preserve"> </w:t>
      </w:r>
      <w:r w:rsidR="00922E1F" w:rsidRPr="00950145">
        <w:rPr>
          <w:rFonts w:ascii="Times New Roman" w:hAnsi="Times New Roman"/>
        </w:rPr>
        <w:t xml:space="preserve">This increased morbidity and mortality rate in the human population have resulted in monumental losses of life and potential, leaving behind emotional trauma, depression and even psychological instability (Quinto </w:t>
      </w:r>
      <w:r w:rsidR="00922E1F" w:rsidRPr="00950145">
        <w:rPr>
          <w:rFonts w:ascii="Times New Roman" w:hAnsi="Times New Roman"/>
          <w:i/>
          <w:iCs/>
        </w:rPr>
        <w:t>et al</w:t>
      </w:r>
      <w:r w:rsidR="00922E1F" w:rsidRPr="00950145">
        <w:rPr>
          <w:rFonts w:ascii="Times New Roman" w:hAnsi="Times New Roman"/>
        </w:rPr>
        <w:t xml:space="preserve">., 2022). While cancer can occur at any age, studies shows that </w:t>
      </w:r>
      <w:r w:rsidR="00922E1F">
        <w:rPr>
          <w:rFonts w:ascii="Times New Roman" w:hAnsi="Times New Roman"/>
        </w:rPr>
        <w:t xml:space="preserve">its </w:t>
      </w:r>
      <w:r w:rsidR="00922E1F" w:rsidRPr="00950145">
        <w:rPr>
          <w:rFonts w:ascii="Times New Roman" w:hAnsi="Times New Roman"/>
        </w:rPr>
        <w:t xml:space="preserve">prevalence increase significantly with aging (McGuire </w:t>
      </w:r>
      <w:r w:rsidR="00922E1F" w:rsidRPr="00950145">
        <w:rPr>
          <w:rFonts w:ascii="Times New Roman" w:hAnsi="Times New Roman"/>
          <w:i/>
          <w:iCs/>
        </w:rPr>
        <w:t>et al</w:t>
      </w:r>
      <w:r w:rsidR="00922E1F" w:rsidRPr="00950145">
        <w:rPr>
          <w:rFonts w:ascii="Times New Roman" w:hAnsi="Times New Roman"/>
        </w:rPr>
        <w:t>., 2015).</w:t>
      </w:r>
    </w:p>
    <w:p w14:paraId="26F70AB6" w14:textId="64744A01" w:rsidR="0071556C" w:rsidRDefault="00C80EAB" w:rsidP="00D723F0">
      <w:pPr>
        <w:spacing w:line="360" w:lineRule="auto"/>
        <w:jc w:val="both"/>
        <w:rPr>
          <w:rFonts w:ascii="Times New Roman" w:hAnsi="Times New Roman"/>
        </w:rPr>
      </w:pPr>
      <w:r>
        <w:rPr>
          <w:rFonts w:ascii="Times New Roman" w:hAnsi="Times New Roman"/>
        </w:rPr>
        <w:t>In Nigeria and sub-</w:t>
      </w:r>
      <w:r w:rsidR="00C8379F">
        <w:rPr>
          <w:rFonts w:ascii="Times New Roman" w:hAnsi="Times New Roman"/>
        </w:rPr>
        <w:t>S</w:t>
      </w:r>
      <w:r>
        <w:rPr>
          <w:rFonts w:ascii="Times New Roman" w:hAnsi="Times New Roman"/>
        </w:rPr>
        <w:t>ahara</w:t>
      </w:r>
      <w:r w:rsidR="00C8379F">
        <w:rPr>
          <w:rFonts w:ascii="Times New Roman" w:hAnsi="Times New Roman"/>
        </w:rPr>
        <w:t>n</w:t>
      </w:r>
      <w:r>
        <w:rPr>
          <w:rFonts w:ascii="Times New Roman" w:hAnsi="Times New Roman"/>
        </w:rPr>
        <w:t xml:space="preserve"> Africa</w:t>
      </w:r>
      <w:r w:rsidR="00C8379F">
        <w:rPr>
          <w:rFonts w:ascii="Times New Roman" w:hAnsi="Times New Roman"/>
        </w:rPr>
        <w:t xml:space="preserve">, the prevalence of cancer is alarming and demands urgent intervention and public health concern to curtail its death related cases. </w:t>
      </w:r>
      <w:r w:rsidR="00810497">
        <w:rPr>
          <w:rFonts w:ascii="Times New Roman" w:hAnsi="Times New Roman"/>
        </w:rPr>
        <w:t xml:space="preserve">Late diagnosis, poor health infrastructure, financial constraints and limited access to treatment are major factors responsible for decreased survival and increased cancer-related death in the region </w:t>
      </w:r>
      <w:r w:rsidR="00810497" w:rsidRPr="00950145">
        <w:rPr>
          <w:rFonts w:ascii="Times New Roman" w:hAnsi="Times New Roman"/>
        </w:rPr>
        <w:t>(</w:t>
      </w:r>
      <w:proofErr w:type="spellStart"/>
      <w:r w:rsidR="00810497" w:rsidRPr="00950145">
        <w:rPr>
          <w:rFonts w:ascii="Times New Roman" w:hAnsi="Times New Roman"/>
        </w:rPr>
        <w:t>Mattiuzzi</w:t>
      </w:r>
      <w:proofErr w:type="spellEnd"/>
      <w:r w:rsidR="00810497" w:rsidRPr="00950145">
        <w:rPr>
          <w:rFonts w:ascii="Times New Roman" w:hAnsi="Times New Roman"/>
        </w:rPr>
        <w:t xml:space="preserve"> &amp; Lippi, 2019).</w:t>
      </w:r>
      <w:r w:rsidR="0071556C">
        <w:rPr>
          <w:rFonts w:ascii="Times New Roman" w:hAnsi="Times New Roman"/>
        </w:rPr>
        <w:t xml:space="preserve"> </w:t>
      </w:r>
      <w:r w:rsidR="00B62073">
        <w:rPr>
          <w:rFonts w:ascii="Times New Roman" w:hAnsi="Times New Roman"/>
        </w:rPr>
        <w:t>Although the prevalence of cancer across the continent (Africa) differs, but in</w:t>
      </w:r>
      <w:r w:rsidR="0071556C" w:rsidRPr="00950145">
        <w:rPr>
          <w:rFonts w:ascii="Times New Roman" w:hAnsi="Times New Roman"/>
        </w:rPr>
        <w:t xml:space="preserve"> Nigeria,</w:t>
      </w:r>
      <w:r w:rsidR="00B62073">
        <w:rPr>
          <w:rFonts w:ascii="Times New Roman" w:hAnsi="Times New Roman"/>
        </w:rPr>
        <w:t xml:space="preserve"> about </w:t>
      </w:r>
      <w:r w:rsidR="0071556C" w:rsidRPr="00950145">
        <w:rPr>
          <w:rFonts w:ascii="Times New Roman" w:hAnsi="Times New Roman"/>
        </w:rPr>
        <w:t>100</w:t>
      </w:r>
      <w:r w:rsidR="004070E6">
        <w:rPr>
          <w:rFonts w:ascii="Times New Roman" w:hAnsi="Times New Roman"/>
        </w:rPr>
        <w:t>,</w:t>
      </w:r>
      <w:r w:rsidR="0071556C" w:rsidRPr="00950145">
        <w:rPr>
          <w:rFonts w:ascii="Times New Roman" w:hAnsi="Times New Roman"/>
        </w:rPr>
        <w:t>000 new cases occur annually with a high fatality ratio. Studies of cancer epidemiolocal pattern from registries showed that the most frequent cancer among Nigerian men are prostate and colorectal cancer while breast and cervical cancer are predominant in female. With approximately 20% of the population of Africa, Nigeria contributed 15% to the estimated 681,000 new cases of cancer that occurred in the continent in the year, 2008 (</w:t>
      </w:r>
      <w:proofErr w:type="spellStart"/>
      <w:r w:rsidR="0071556C" w:rsidRPr="00950145">
        <w:rPr>
          <w:rFonts w:ascii="Times New Roman" w:hAnsi="Times New Roman"/>
        </w:rPr>
        <w:t>Fapohunda</w:t>
      </w:r>
      <w:proofErr w:type="spellEnd"/>
      <w:r w:rsidR="0071556C" w:rsidRPr="00950145">
        <w:rPr>
          <w:rFonts w:ascii="Times New Roman" w:hAnsi="Times New Roman"/>
        </w:rPr>
        <w:t xml:space="preserve"> </w:t>
      </w:r>
      <w:r w:rsidR="0071556C" w:rsidRPr="00950145">
        <w:rPr>
          <w:rFonts w:ascii="Times New Roman" w:hAnsi="Times New Roman"/>
          <w:i/>
          <w:iCs/>
        </w:rPr>
        <w:t>et al</w:t>
      </w:r>
      <w:r w:rsidR="0071556C" w:rsidRPr="00950145">
        <w:rPr>
          <w:rFonts w:ascii="Times New Roman" w:hAnsi="Times New Roman"/>
        </w:rPr>
        <w:t>., 2020).</w:t>
      </w:r>
    </w:p>
    <w:p w14:paraId="43FB9A32" w14:textId="5C47FD53" w:rsidR="00F15923" w:rsidRPr="00950145" w:rsidRDefault="00F15923" w:rsidP="00D723F0">
      <w:pPr>
        <w:tabs>
          <w:tab w:val="left" w:pos="3060"/>
        </w:tabs>
        <w:spacing w:line="360" w:lineRule="auto"/>
        <w:jc w:val="both"/>
        <w:rPr>
          <w:rFonts w:ascii="Times New Roman" w:hAnsi="Times New Roman"/>
        </w:rPr>
      </w:pPr>
      <w:r w:rsidRPr="00950145">
        <w:rPr>
          <w:rFonts w:ascii="Times New Roman" w:hAnsi="Times New Roman"/>
        </w:rPr>
        <w:t xml:space="preserve">The causes of cancer are multifactorial, including infectious biological agents like human immunodeficiency virus (HIV), hepatitis B, Epstein Barr virus (Saini </w:t>
      </w:r>
      <w:r w:rsidRPr="00950145">
        <w:rPr>
          <w:rFonts w:ascii="Times New Roman" w:hAnsi="Times New Roman"/>
          <w:i/>
          <w:iCs/>
        </w:rPr>
        <w:t>et al</w:t>
      </w:r>
      <w:r w:rsidRPr="00950145">
        <w:rPr>
          <w:rFonts w:ascii="Times New Roman" w:hAnsi="Times New Roman"/>
        </w:rPr>
        <w:t>.,</w:t>
      </w:r>
      <w:r w:rsidR="004070E6">
        <w:rPr>
          <w:rFonts w:ascii="Times New Roman" w:hAnsi="Times New Roman"/>
        </w:rPr>
        <w:t xml:space="preserve"> </w:t>
      </w:r>
      <w:r w:rsidRPr="00950145">
        <w:rPr>
          <w:rFonts w:ascii="Times New Roman" w:hAnsi="Times New Roman"/>
        </w:rPr>
        <w:t xml:space="preserve">2020). Unhealthy lifestyle such as smoking of tobacco, poor diet intake, excessive consumption of alcohol and lack of physical exercise is another factor liable to cause cancer in the human population (Singh </w:t>
      </w:r>
      <w:r w:rsidRPr="00950145">
        <w:rPr>
          <w:rFonts w:ascii="Times New Roman" w:hAnsi="Times New Roman"/>
          <w:i/>
          <w:iCs/>
        </w:rPr>
        <w:t>et al</w:t>
      </w:r>
      <w:r w:rsidRPr="00950145">
        <w:rPr>
          <w:rFonts w:ascii="Times New Roman" w:hAnsi="Times New Roman"/>
        </w:rPr>
        <w:t xml:space="preserve">., 2024) as well as exposure to radiation (Saini </w:t>
      </w:r>
      <w:r w:rsidRPr="00950145">
        <w:rPr>
          <w:rFonts w:ascii="Times New Roman" w:hAnsi="Times New Roman"/>
          <w:i/>
          <w:iCs/>
        </w:rPr>
        <w:t>et al</w:t>
      </w:r>
      <w:r w:rsidRPr="00950145">
        <w:rPr>
          <w:rFonts w:ascii="Times New Roman" w:hAnsi="Times New Roman"/>
        </w:rPr>
        <w:t xml:space="preserve">., 2020). Away from infectious biological agents and unhealthy lifestyle, different studies have proven that cancer is caused by mutation of genes and proteins such as </w:t>
      </w:r>
      <w:proofErr w:type="spellStart"/>
      <w:r w:rsidRPr="00950145">
        <w:rPr>
          <w:rFonts w:ascii="Times New Roman" w:hAnsi="Times New Roman"/>
        </w:rPr>
        <w:t>tumour</w:t>
      </w:r>
      <w:proofErr w:type="spellEnd"/>
      <w:r w:rsidRPr="00950145">
        <w:rPr>
          <w:rFonts w:ascii="Times New Roman" w:hAnsi="Times New Roman"/>
        </w:rPr>
        <w:t xml:space="preserve"> suppressor gene (P53), antigen-presenting cells (APC), </w:t>
      </w:r>
      <w:proofErr w:type="spellStart"/>
      <w:r w:rsidRPr="00950145">
        <w:rPr>
          <w:rFonts w:ascii="Times New Roman" w:hAnsi="Times New Roman"/>
        </w:rPr>
        <w:t>keinstein</w:t>
      </w:r>
      <w:proofErr w:type="spellEnd"/>
      <w:r w:rsidRPr="00950145">
        <w:rPr>
          <w:rFonts w:ascii="Times New Roman" w:hAnsi="Times New Roman"/>
        </w:rPr>
        <w:t xml:space="preserve"> rat sarcoma (KRAS) and MAPK (</w:t>
      </w:r>
      <w:proofErr w:type="spellStart"/>
      <w:r w:rsidRPr="00950145">
        <w:rPr>
          <w:rFonts w:ascii="Times New Roman" w:hAnsi="Times New Roman"/>
        </w:rPr>
        <w:t>Mundel</w:t>
      </w:r>
      <w:proofErr w:type="spellEnd"/>
      <w:r w:rsidRPr="00950145">
        <w:rPr>
          <w:rFonts w:ascii="Times New Roman" w:hAnsi="Times New Roman"/>
        </w:rPr>
        <w:t xml:space="preserve"> </w:t>
      </w:r>
      <w:r w:rsidRPr="00950145">
        <w:rPr>
          <w:rFonts w:ascii="Times New Roman" w:hAnsi="Times New Roman"/>
          <w:i/>
          <w:iCs/>
        </w:rPr>
        <w:t>et al</w:t>
      </w:r>
      <w:r w:rsidRPr="00950145">
        <w:rPr>
          <w:rFonts w:ascii="Times New Roman" w:hAnsi="Times New Roman"/>
        </w:rPr>
        <w:t>., 2023).</w:t>
      </w:r>
    </w:p>
    <w:p w14:paraId="67B24255" w14:textId="77777777" w:rsidR="00E2269D" w:rsidRDefault="00E2269D" w:rsidP="00D723F0">
      <w:pPr>
        <w:spacing w:line="360" w:lineRule="auto"/>
        <w:jc w:val="both"/>
        <w:rPr>
          <w:rFonts w:ascii="Times New Roman" w:hAnsi="Times New Roman"/>
        </w:rPr>
      </w:pPr>
      <w:r w:rsidRPr="00950145">
        <w:rPr>
          <w:rFonts w:ascii="Times New Roman" w:hAnsi="Times New Roman"/>
        </w:rPr>
        <w:t>Cancer</w:t>
      </w:r>
      <w:r w:rsidRPr="00950145">
        <w:rPr>
          <w:rFonts w:ascii="Times New Roman" w:hAnsi="Times New Roman"/>
          <w:b/>
          <w:bCs/>
        </w:rPr>
        <w:t xml:space="preserve"> </w:t>
      </w:r>
      <w:r w:rsidRPr="00950145">
        <w:rPr>
          <w:rFonts w:ascii="Times New Roman" w:hAnsi="Times New Roman"/>
        </w:rPr>
        <w:t xml:space="preserve">is described by different researchers in diverse ways, but largely conform to the current definition by the National Cancer Institute (NCI) in 2021. NCI defines cancer as a disease </w:t>
      </w:r>
      <w:proofErr w:type="spellStart"/>
      <w:r w:rsidRPr="00950145">
        <w:rPr>
          <w:rFonts w:ascii="Times New Roman" w:hAnsi="Times New Roman"/>
        </w:rPr>
        <w:t>characterised</w:t>
      </w:r>
      <w:proofErr w:type="spellEnd"/>
      <w:r w:rsidRPr="00950145">
        <w:rPr>
          <w:rFonts w:ascii="Times New Roman" w:hAnsi="Times New Roman"/>
        </w:rPr>
        <w:t xml:space="preserve"> by the uncontrolled growth of some body’s cells, which have the tendency of </w:t>
      </w:r>
      <w:r w:rsidRPr="00950145">
        <w:rPr>
          <w:rFonts w:ascii="Times New Roman" w:hAnsi="Times New Roman"/>
        </w:rPr>
        <w:lastRenderedPageBreak/>
        <w:t xml:space="preserve">spreading to other parts of the body. These proliferating body cells are transformed cells, having abnormal structure with an altered physiological function that differ from normal cells (Brown </w:t>
      </w:r>
      <w:r w:rsidRPr="00950145">
        <w:rPr>
          <w:rFonts w:ascii="Times New Roman" w:hAnsi="Times New Roman"/>
          <w:i/>
          <w:iCs/>
        </w:rPr>
        <w:t>et al</w:t>
      </w:r>
      <w:r w:rsidRPr="00950145">
        <w:rPr>
          <w:rFonts w:ascii="Times New Roman" w:hAnsi="Times New Roman"/>
        </w:rPr>
        <w:t xml:space="preserve">. 2023). </w:t>
      </w:r>
    </w:p>
    <w:p w14:paraId="55B59536" w14:textId="77777777" w:rsidR="00F438B0" w:rsidRPr="00950145" w:rsidRDefault="003E6914" w:rsidP="00D723F0">
      <w:pPr>
        <w:spacing w:line="360" w:lineRule="auto"/>
        <w:jc w:val="both"/>
        <w:rPr>
          <w:rFonts w:ascii="Times New Roman" w:hAnsi="Times New Roman"/>
        </w:rPr>
      </w:pPr>
      <w:r>
        <w:rPr>
          <w:rFonts w:ascii="Times New Roman" w:hAnsi="Times New Roman"/>
        </w:rPr>
        <w:t>Traditionally, cancer is viewed as a</w:t>
      </w:r>
      <w:r w:rsidRPr="00950145">
        <w:rPr>
          <w:rFonts w:ascii="Times New Roman" w:hAnsi="Times New Roman"/>
        </w:rPr>
        <w:t xml:space="preserve"> genetic disease that arises as a result of genetic and epigenetic mutation of the somatic cells. This mutation usual occurs in nonreproductive cells like p53 and </w:t>
      </w:r>
      <w:proofErr w:type="spellStart"/>
      <w:r w:rsidRPr="00950145">
        <w:rPr>
          <w:rFonts w:ascii="Times New Roman" w:hAnsi="Times New Roman"/>
        </w:rPr>
        <w:t>tumour</w:t>
      </w:r>
      <w:proofErr w:type="spellEnd"/>
      <w:r w:rsidRPr="00950145">
        <w:rPr>
          <w:rFonts w:ascii="Times New Roman" w:hAnsi="Times New Roman"/>
        </w:rPr>
        <w:t xml:space="preserve"> suppressor gene that safeguard the nuclear and mitochondrial deoxyribonucleic acid (DNA) against damage</w:t>
      </w:r>
      <w:r>
        <w:rPr>
          <w:rFonts w:ascii="Times New Roman" w:hAnsi="Times New Roman"/>
        </w:rPr>
        <w:t xml:space="preserve"> </w:t>
      </w:r>
      <w:r w:rsidRPr="00950145">
        <w:rPr>
          <w:rFonts w:ascii="Times New Roman" w:hAnsi="Times New Roman"/>
        </w:rPr>
        <w:t xml:space="preserve">(Saini </w:t>
      </w:r>
      <w:r w:rsidRPr="00950145">
        <w:rPr>
          <w:rFonts w:ascii="Times New Roman" w:hAnsi="Times New Roman"/>
          <w:i/>
          <w:iCs/>
        </w:rPr>
        <w:t>et al</w:t>
      </w:r>
      <w:r w:rsidRPr="00950145">
        <w:rPr>
          <w:rFonts w:ascii="Times New Roman" w:hAnsi="Times New Roman"/>
        </w:rPr>
        <w:t>., 2020).</w:t>
      </w:r>
      <w:r w:rsidR="00F438B0">
        <w:rPr>
          <w:rFonts w:ascii="Times New Roman" w:hAnsi="Times New Roman"/>
        </w:rPr>
        <w:t xml:space="preserve"> </w:t>
      </w:r>
      <w:r w:rsidR="00F438B0" w:rsidRPr="00950145">
        <w:rPr>
          <w:rFonts w:ascii="Times New Roman" w:hAnsi="Times New Roman"/>
        </w:rPr>
        <w:t xml:space="preserve">The somatic mutation theory (SMT) establishes a dogma in oncology that serve as a hallmark for the general acceptance of the traditional view of cancer as a genetic disease. This theory was established by Theodore </w:t>
      </w:r>
      <w:proofErr w:type="spellStart"/>
      <w:r w:rsidR="00F438B0" w:rsidRPr="00950145">
        <w:rPr>
          <w:rFonts w:ascii="Times New Roman" w:hAnsi="Times New Roman"/>
        </w:rPr>
        <w:t>Boveri</w:t>
      </w:r>
      <w:proofErr w:type="spellEnd"/>
      <w:r w:rsidR="00F438B0" w:rsidRPr="00950145">
        <w:rPr>
          <w:rFonts w:ascii="Times New Roman" w:hAnsi="Times New Roman"/>
        </w:rPr>
        <w:t xml:space="preserve"> in 1914 (</w:t>
      </w:r>
      <w:proofErr w:type="spellStart"/>
      <w:r w:rsidR="00F438B0" w:rsidRPr="00950145">
        <w:rPr>
          <w:rFonts w:ascii="Times New Roman" w:hAnsi="Times New Roman"/>
        </w:rPr>
        <w:t>Seyfried</w:t>
      </w:r>
      <w:proofErr w:type="spellEnd"/>
      <w:r w:rsidR="00F438B0" w:rsidRPr="00950145">
        <w:rPr>
          <w:rFonts w:ascii="Times New Roman" w:hAnsi="Times New Roman"/>
        </w:rPr>
        <w:t xml:space="preserve"> </w:t>
      </w:r>
      <w:r w:rsidR="00F438B0" w:rsidRPr="00950145">
        <w:rPr>
          <w:rFonts w:ascii="Times New Roman" w:hAnsi="Times New Roman"/>
          <w:i/>
          <w:iCs/>
        </w:rPr>
        <w:t>et al</w:t>
      </w:r>
      <w:r w:rsidR="00F438B0" w:rsidRPr="00950145">
        <w:rPr>
          <w:rFonts w:ascii="Times New Roman" w:hAnsi="Times New Roman"/>
        </w:rPr>
        <w:t>., 2020).</w:t>
      </w:r>
    </w:p>
    <w:p w14:paraId="43660938" w14:textId="75924F94" w:rsidR="004B7557" w:rsidRDefault="00F438B0" w:rsidP="00D723F0">
      <w:pPr>
        <w:spacing w:line="360" w:lineRule="auto"/>
        <w:jc w:val="both"/>
        <w:rPr>
          <w:rFonts w:ascii="Times New Roman" w:hAnsi="Times New Roman"/>
        </w:rPr>
      </w:pPr>
      <w:r w:rsidRPr="00950145">
        <w:rPr>
          <w:rFonts w:ascii="Times New Roman" w:hAnsi="Times New Roman"/>
        </w:rPr>
        <w:t xml:space="preserve">Contrary to the somatic mutation theory, different studies </w:t>
      </w:r>
      <w:proofErr w:type="gramStart"/>
      <w:r w:rsidRPr="00950145">
        <w:rPr>
          <w:rFonts w:ascii="Times New Roman" w:hAnsi="Times New Roman"/>
        </w:rPr>
        <w:t>suggests</w:t>
      </w:r>
      <w:proofErr w:type="gramEnd"/>
      <w:r w:rsidRPr="00950145">
        <w:rPr>
          <w:rFonts w:ascii="Times New Roman" w:hAnsi="Times New Roman"/>
        </w:rPr>
        <w:t xml:space="preserve"> that dysfunction in the mitochondria is </w:t>
      </w:r>
      <w:r w:rsidR="004070E6">
        <w:rPr>
          <w:rFonts w:ascii="Times New Roman" w:hAnsi="Times New Roman"/>
        </w:rPr>
        <w:t>a contributing factor to</w:t>
      </w:r>
      <w:r w:rsidRPr="00950145">
        <w:rPr>
          <w:rFonts w:ascii="Times New Roman" w:hAnsi="Times New Roman"/>
        </w:rPr>
        <w:t xml:space="preserve"> cancer. This dysfunction entails metabolic reprogramming of various pathways such as glycolysis, Krebs cycle, electron transport chain (ETC) etc. (</w:t>
      </w:r>
      <w:proofErr w:type="spellStart"/>
      <w:r w:rsidRPr="00950145">
        <w:rPr>
          <w:rFonts w:ascii="Times New Roman" w:hAnsi="Times New Roman"/>
        </w:rPr>
        <w:t>Seyfried</w:t>
      </w:r>
      <w:proofErr w:type="spellEnd"/>
      <w:r w:rsidRPr="00950145">
        <w:rPr>
          <w:rFonts w:ascii="Times New Roman" w:hAnsi="Times New Roman"/>
        </w:rPr>
        <w:t xml:space="preserve"> </w:t>
      </w:r>
      <w:r w:rsidRPr="00950145">
        <w:rPr>
          <w:rFonts w:ascii="Times New Roman" w:hAnsi="Times New Roman"/>
          <w:i/>
          <w:iCs/>
        </w:rPr>
        <w:t>et al</w:t>
      </w:r>
      <w:r w:rsidRPr="00950145">
        <w:rPr>
          <w:rFonts w:ascii="Times New Roman" w:hAnsi="Times New Roman"/>
        </w:rPr>
        <w:t xml:space="preserve">., 2020). The concept of cancer as a metabolic disease is rooted in the work of Otto Warburg. Otto Warburg </w:t>
      </w:r>
      <w:r>
        <w:rPr>
          <w:rFonts w:ascii="Times New Roman" w:hAnsi="Times New Roman"/>
        </w:rPr>
        <w:t>wa</w:t>
      </w:r>
      <w:r w:rsidRPr="00950145">
        <w:rPr>
          <w:rFonts w:ascii="Times New Roman" w:hAnsi="Times New Roman"/>
        </w:rPr>
        <w:t>s a German biochemist and physiologist, who, discovered that cancer cell relies on the fermentation of glucose even in the presence of excess oxygen. This is termed Warburg effect (Warburg, 1925). Tumor cells consume high amounts of glucose and glutamine to produce lactic and succinic acid respectively via substrate level phosphorylation.</w:t>
      </w:r>
      <w:r w:rsidR="004B7557">
        <w:rPr>
          <w:rFonts w:ascii="Times New Roman" w:hAnsi="Times New Roman"/>
        </w:rPr>
        <w:t xml:space="preserve"> The Warburg effect undermine t</w:t>
      </w:r>
      <w:r w:rsidR="004B7557" w:rsidRPr="00950145">
        <w:rPr>
          <w:rFonts w:ascii="Times New Roman" w:hAnsi="Times New Roman"/>
        </w:rPr>
        <w:t xml:space="preserve">he shift from oxidative phosphorylation to substrate level phosphorylation by cancer </w:t>
      </w:r>
      <w:r w:rsidR="004B7557">
        <w:rPr>
          <w:rFonts w:ascii="Times New Roman" w:hAnsi="Times New Roman"/>
        </w:rPr>
        <w:t xml:space="preserve">cells as a </w:t>
      </w:r>
      <w:r w:rsidR="004B7557" w:rsidRPr="00950145">
        <w:rPr>
          <w:rFonts w:ascii="Times New Roman" w:hAnsi="Times New Roman"/>
        </w:rPr>
        <w:t>bioenergetic alteration mechanism to meet up their high energy</w:t>
      </w:r>
      <w:r w:rsidR="004B7557">
        <w:rPr>
          <w:rFonts w:ascii="Times New Roman" w:hAnsi="Times New Roman"/>
        </w:rPr>
        <w:t xml:space="preserve"> demands</w:t>
      </w:r>
      <w:r w:rsidR="004B7557" w:rsidRPr="00950145">
        <w:rPr>
          <w:rFonts w:ascii="Times New Roman" w:hAnsi="Times New Roman"/>
        </w:rPr>
        <w:t xml:space="preserve"> (Potter </w:t>
      </w:r>
      <w:r w:rsidR="004B7557" w:rsidRPr="00950145">
        <w:rPr>
          <w:rFonts w:ascii="Times New Roman" w:hAnsi="Times New Roman"/>
          <w:i/>
          <w:iCs/>
        </w:rPr>
        <w:t>et al</w:t>
      </w:r>
      <w:r w:rsidR="004B7557" w:rsidRPr="00950145">
        <w:rPr>
          <w:rFonts w:ascii="Times New Roman" w:hAnsi="Times New Roman"/>
        </w:rPr>
        <w:t xml:space="preserve">., 2016). </w:t>
      </w:r>
      <w:r w:rsidR="004B7557">
        <w:rPr>
          <w:rFonts w:ascii="Times New Roman" w:hAnsi="Times New Roman"/>
        </w:rPr>
        <w:t xml:space="preserve">Hence, it </w:t>
      </w:r>
      <w:r w:rsidR="004B7557" w:rsidRPr="00950145">
        <w:rPr>
          <w:rFonts w:ascii="Times New Roman" w:hAnsi="Times New Roman"/>
        </w:rPr>
        <w:t xml:space="preserve">serves as a crucial machinery that drives cancer progression, resistance to therapies and reduced patient </w:t>
      </w:r>
      <w:r w:rsidR="00AF66EC">
        <w:rPr>
          <w:rFonts w:ascii="Times New Roman" w:hAnsi="Times New Roman"/>
        </w:rPr>
        <w:t xml:space="preserve">survival </w:t>
      </w:r>
      <w:r w:rsidR="004B7557" w:rsidRPr="00950145">
        <w:rPr>
          <w:rFonts w:ascii="Times New Roman" w:hAnsi="Times New Roman"/>
        </w:rPr>
        <w:t>outcome (</w:t>
      </w:r>
      <w:proofErr w:type="spellStart"/>
      <w:r w:rsidR="004B7557" w:rsidRPr="00950145">
        <w:rPr>
          <w:rFonts w:ascii="Times New Roman" w:hAnsi="Times New Roman"/>
        </w:rPr>
        <w:t>Vaupel</w:t>
      </w:r>
      <w:proofErr w:type="spellEnd"/>
      <w:r w:rsidR="004B7557" w:rsidRPr="00950145">
        <w:rPr>
          <w:rFonts w:ascii="Times New Roman" w:hAnsi="Times New Roman"/>
        </w:rPr>
        <w:t xml:space="preserve"> &amp; </w:t>
      </w:r>
      <w:proofErr w:type="spellStart"/>
      <w:r w:rsidR="004B7557" w:rsidRPr="00950145">
        <w:rPr>
          <w:rFonts w:ascii="Times New Roman" w:hAnsi="Times New Roman"/>
        </w:rPr>
        <w:t>Multhoff</w:t>
      </w:r>
      <w:proofErr w:type="spellEnd"/>
      <w:r w:rsidR="004B7557" w:rsidRPr="00950145">
        <w:rPr>
          <w:rFonts w:ascii="Times New Roman" w:hAnsi="Times New Roman"/>
        </w:rPr>
        <w:t>, 2021).</w:t>
      </w:r>
    </w:p>
    <w:p w14:paraId="7A101CC1" w14:textId="68F51057" w:rsidR="0018522A" w:rsidRDefault="00990C98" w:rsidP="00D723F0">
      <w:pPr>
        <w:spacing w:line="360" w:lineRule="auto"/>
        <w:jc w:val="both"/>
        <w:rPr>
          <w:rFonts w:ascii="Times New Roman" w:hAnsi="Times New Roman"/>
        </w:rPr>
      </w:pPr>
      <w:r w:rsidRPr="00950145">
        <w:rPr>
          <w:rFonts w:ascii="Times New Roman" w:hAnsi="Times New Roman"/>
        </w:rPr>
        <w:t>The mitochondria, often refer to as the powerhouse of the cell, is an intracellular organelle situated in the cytosol of cells, and are responsible for the generation of respiratory ATP for metabolism and other cellular activit</w:t>
      </w:r>
      <w:r>
        <w:rPr>
          <w:rFonts w:ascii="Times New Roman" w:hAnsi="Times New Roman"/>
        </w:rPr>
        <w:t xml:space="preserve">ies like </w:t>
      </w:r>
      <w:r w:rsidR="002D03F7">
        <w:rPr>
          <w:rFonts w:ascii="Times New Roman" w:hAnsi="Times New Roman"/>
        </w:rPr>
        <w:t>intracellular signaling</w:t>
      </w:r>
      <w:r w:rsidRPr="00950145">
        <w:rPr>
          <w:rFonts w:ascii="Times New Roman" w:hAnsi="Times New Roman"/>
        </w:rPr>
        <w:t xml:space="preserve"> in eukaryotic cells</w:t>
      </w:r>
      <w:r w:rsidR="002D03F7">
        <w:rPr>
          <w:rFonts w:ascii="Times New Roman" w:hAnsi="Times New Roman"/>
        </w:rPr>
        <w:t xml:space="preserve"> </w:t>
      </w:r>
      <w:r w:rsidR="002D03F7" w:rsidRPr="00950145">
        <w:rPr>
          <w:rFonts w:ascii="Times New Roman" w:hAnsi="Times New Roman"/>
        </w:rPr>
        <w:t>(Annesley &amp; Fisher, 2019).</w:t>
      </w:r>
      <w:r w:rsidR="002D03F7" w:rsidRPr="002D03F7">
        <w:rPr>
          <w:rFonts w:ascii="Times New Roman" w:hAnsi="Times New Roman"/>
        </w:rPr>
        <w:t xml:space="preserve"> </w:t>
      </w:r>
      <w:r w:rsidR="002D03F7" w:rsidRPr="00950145">
        <w:rPr>
          <w:rFonts w:ascii="Times New Roman" w:hAnsi="Times New Roman"/>
        </w:rPr>
        <w:t>It is involved in the production and clearance of reactive oxygen species (ROS), synthesis of nucleotides and amino acids, calcium homeostasis and initiation of apoptosis- natural cell death</w:t>
      </w:r>
      <w:r w:rsidR="002D03F7">
        <w:rPr>
          <w:rFonts w:ascii="Times New Roman" w:hAnsi="Times New Roman"/>
        </w:rPr>
        <w:t xml:space="preserve">. However, </w:t>
      </w:r>
      <w:r w:rsidR="005A54D5">
        <w:rPr>
          <w:rFonts w:ascii="Times New Roman" w:hAnsi="Times New Roman"/>
        </w:rPr>
        <w:t>despite the relevance of mitochondria to life, its dysfunction</w:t>
      </w:r>
      <w:r w:rsidR="00C87CCB">
        <w:rPr>
          <w:rFonts w:ascii="Times New Roman" w:hAnsi="Times New Roman"/>
        </w:rPr>
        <w:t>, which is characterized by alteration in structural morphology and reprogrammed metabolic pathways</w:t>
      </w:r>
      <w:r w:rsidR="005A54D5">
        <w:rPr>
          <w:rFonts w:ascii="Times New Roman" w:hAnsi="Times New Roman"/>
        </w:rPr>
        <w:t xml:space="preserve"> could lead to several pathological condition such as cancer, type-1 diabetes,</w:t>
      </w:r>
      <w:r w:rsidR="005A54D5" w:rsidRPr="005A54D5">
        <w:rPr>
          <w:rFonts w:ascii="Times New Roman" w:hAnsi="Times New Roman"/>
        </w:rPr>
        <w:t xml:space="preserve"> </w:t>
      </w:r>
      <w:r w:rsidR="005A54D5" w:rsidRPr="00950145">
        <w:rPr>
          <w:rFonts w:ascii="Times New Roman" w:hAnsi="Times New Roman"/>
        </w:rPr>
        <w:t xml:space="preserve">aging, Alzheimer’s disease and Parkinson’s </w:t>
      </w:r>
      <w:r w:rsidR="005A54D5" w:rsidRPr="00950145">
        <w:rPr>
          <w:rFonts w:ascii="Times New Roman" w:hAnsi="Times New Roman"/>
        </w:rPr>
        <w:lastRenderedPageBreak/>
        <w:t>disease among others</w:t>
      </w:r>
      <w:r w:rsidR="002D03F7" w:rsidRPr="00950145">
        <w:rPr>
          <w:rFonts w:ascii="Times New Roman" w:hAnsi="Times New Roman"/>
        </w:rPr>
        <w:t xml:space="preserve"> (Li </w:t>
      </w:r>
      <w:r w:rsidR="002D03F7" w:rsidRPr="00950145">
        <w:rPr>
          <w:rFonts w:ascii="Times New Roman" w:hAnsi="Times New Roman"/>
          <w:i/>
          <w:iCs/>
        </w:rPr>
        <w:t>et al</w:t>
      </w:r>
      <w:r w:rsidR="002D03F7" w:rsidRPr="00950145">
        <w:rPr>
          <w:rFonts w:ascii="Times New Roman" w:hAnsi="Times New Roman"/>
        </w:rPr>
        <w:t>., 2024).</w:t>
      </w:r>
      <w:r w:rsidR="005A54D5">
        <w:rPr>
          <w:rFonts w:ascii="Times New Roman" w:hAnsi="Times New Roman"/>
        </w:rPr>
        <w:t xml:space="preserve"> Over production of ROS which </w:t>
      </w:r>
      <w:r w:rsidR="001E74EC">
        <w:rPr>
          <w:rFonts w:ascii="Times New Roman" w:hAnsi="Times New Roman"/>
        </w:rPr>
        <w:t>causes damage</w:t>
      </w:r>
      <w:r w:rsidR="005A54D5">
        <w:rPr>
          <w:rFonts w:ascii="Times New Roman" w:hAnsi="Times New Roman"/>
        </w:rPr>
        <w:t xml:space="preserve"> to the cell’s genome and inhibits cellular activity </w:t>
      </w:r>
      <w:r w:rsidR="00CC1436">
        <w:rPr>
          <w:rFonts w:ascii="Times New Roman" w:hAnsi="Times New Roman"/>
        </w:rPr>
        <w:t>occur</w:t>
      </w:r>
      <w:r w:rsidR="005A54D5">
        <w:rPr>
          <w:rFonts w:ascii="Times New Roman" w:hAnsi="Times New Roman"/>
        </w:rPr>
        <w:t xml:space="preserve"> as a result of dysfunctional mitochondria</w:t>
      </w:r>
      <w:r w:rsidR="001E74EC">
        <w:rPr>
          <w:rFonts w:ascii="Times New Roman" w:hAnsi="Times New Roman"/>
        </w:rPr>
        <w:t xml:space="preserve"> </w:t>
      </w:r>
      <w:r w:rsidR="001E74EC" w:rsidRPr="00950145">
        <w:rPr>
          <w:rFonts w:ascii="Times New Roman" w:hAnsi="Times New Roman"/>
        </w:rPr>
        <w:t>(</w:t>
      </w:r>
      <w:proofErr w:type="spellStart"/>
      <w:r w:rsidR="001E74EC" w:rsidRPr="00950145">
        <w:rPr>
          <w:rFonts w:ascii="Times New Roman" w:hAnsi="Times New Roman"/>
        </w:rPr>
        <w:t>Kausar</w:t>
      </w:r>
      <w:proofErr w:type="spellEnd"/>
      <w:r w:rsidR="001E74EC" w:rsidRPr="00950145">
        <w:rPr>
          <w:rFonts w:ascii="Times New Roman" w:hAnsi="Times New Roman"/>
        </w:rPr>
        <w:t xml:space="preserve"> </w:t>
      </w:r>
      <w:r w:rsidR="001E74EC" w:rsidRPr="00950145">
        <w:rPr>
          <w:rFonts w:ascii="Times New Roman" w:hAnsi="Times New Roman"/>
          <w:i/>
          <w:iCs/>
        </w:rPr>
        <w:t>et al</w:t>
      </w:r>
      <w:r w:rsidR="001E74EC" w:rsidRPr="00950145">
        <w:rPr>
          <w:rFonts w:ascii="Times New Roman" w:hAnsi="Times New Roman"/>
        </w:rPr>
        <w:t>., 2018).</w:t>
      </w:r>
      <w:r w:rsidR="00BA66C7">
        <w:rPr>
          <w:rFonts w:ascii="Times New Roman" w:hAnsi="Times New Roman"/>
        </w:rPr>
        <w:t xml:space="preserve"> </w:t>
      </w:r>
      <w:r w:rsidR="00C87CCB">
        <w:rPr>
          <w:rFonts w:ascii="Times New Roman" w:hAnsi="Times New Roman"/>
        </w:rPr>
        <w:t xml:space="preserve">These  </w:t>
      </w:r>
    </w:p>
    <w:p w14:paraId="421E23AA" w14:textId="2FFB8D13" w:rsidR="0053556A" w:rsidRDefault="0053556A" w:rsidP="00D723F0">
      <w:pPr>
        <w:spacing w:line="360" w:lineRule="auto"/>
        <w:jc w:val="both"/>
        <w:rPr>
          <w:rFonts w:ascii="Times New Roman" w:hAnsi="Times New Roman"/>
        </w:rPr>
      </w:pPr>
      <w:r>
        <w:rPr>
          <w:rFonts w:ascii="Times New Roman" w:hAnsi="Times New Roman"/>
        </w:rPr>
        <w:t>Glutamic acid, a nonessential amino acid under physiological condition is crucial for the synthesis of other amino acid</w:t>
      </w:r>
      <w:r w:rsidR="00167128">
        <w:rPr>
          <w:rFonts w:ascii="Times New Roman" w:hAnsi="Times New Roman"/>
        </w:rPr>
        <w:t xml:space="preserve"> </w:t>
      </w:r>
      <w:r>
        <w:rPr>
          <w:rFonts w:ascii="Times New Roman" w:hAnsi="Times New Roman"/>
        </w:rPr>
        <w:t xml:space="preserve">proteins and also serves as neurotransmitter in the central nervous system </w:t>
      </w:r>
      <w:r w:rsidRPr="00950145">
        <w:rPr>
          <w:rFonts w:ascii="Times New Roman" w:hAnsi="Times New Roman"/>
        </w:rPr>
        <w:t>(</w:t>
      </w:r>
      <w:proofErr w:type="spellStart"/>
      <w:r w:rsidRPr="00950145">
        <w:rPr>
          <w:rFonts w:ascii="Times New Roman" w:hAnsi="Times New Roman"/>
        </w:rPr>
        <w:t>Axmedov</w:t>
      </w:r>
      <w:proofErr w:type="spellEnd"/>
      <w:r w:rsidRPr="00950145">
        <w:rPr>
          <w:rFonts w:ascii="Times New Roman" w:hAnsi="Times New Roman"/>
        </w:rPr>
        <w:t>, 2025).</w:t>
      </w:r>
      <w:r w:rsidR="00167128">
        <w:rPr>
          <w:rFonts w:ascii="Times New Roman" w:hAnsi="Times New Roman"/>
        </w:rPr>
        <w:t xml:space="preserve"> </w:t>
      </w:r>
      <w:r w:rsidR="00167128" w:rsidRPr="00950145">
        <w:rPr>
          <w:rFonts w:ascii="Times New Roman" w:hAnsi="Times New Roman"/>
        </w:rPr>
        <w:t>It serves as a substrate for the synthesis of glutathione, which is crucial for protecting the mucosa from peroxide damage</w:t>
      </w:r>
      <w:r w:rsidR="00D12CAA">
        <w:rPr>
          <w:rFonts w:ascii="Times New Roman" w:hAnsi="Times New Roman"/>
        </w:rPr>
        <w:t>,</w:t>
      </w:r>
      <w:r w:rsidR="00167128" w:rsidRPr="00950145">
        <w:rPr>
          <w:rFonts w:ascii="Times New Roman" w:hAnsi="Times New Roman"/>
        </w:rPr>
        <w:t xml:space="preserve"> dietary toxins</w:t>
      </w:r>
      <w:r w:rsidR="00D12CAA">
        <w:rPr>
          <w:rFonts w:ascii="Times New Roman" w:hAnsi="Times New Roman"/>
        </w:rPr>
        <w:t xml:space="preserve"> and prevent the toxic effects of ROS on </w:t>
      </w:r>
      <w:proofErr w:type="spellStart"/>
      <w:r w:rsidR="00D12CAA">
        <w:rPr>
          <w:rFonts w:ascii="Times New Roman" w:hAnsi="Times New Roman"/>
        </w:rPr>
        <w:t>tumour</w:t>
      </w:r>
      <w:proofErr w:type="spellEnd"/>
      <w:r w:rsidR="00D12CAA">
        <w:rPr>
          <w:rFonts w:ascii="Times New Roman" w:hAnsi="Times New Roman"/>
        </w:rPr>
        <w:t xml:space="preserve"> cells</w:t>
      </w:r>
      <w:r w:rsidR="00167128" w:rsidRPr="00950145">
        <w:rPr>
          <w:rFonts w:ascii="Times New Roman" w:hAnsi="Times New Roman"/>
        </w:rPr>
        <w:t>.</w:t>
      </w:r>
      <w:r w:rsidR="00C87CCB">
        <w:rPr>
          <w:rFonts w:ascii="Times New Roman" w:hAnsi="Times New Roman"/>
        </w:rPr>
        <w:t xml:space="preserve"> Glutamic acid </w:t>
      </w:r>
      <w:r w:rsidR="00D12CAA">
        <w:rPr>
          <w:rFonts w:ascii="Times New Roman" w:hAnsi="Times New Roman"/>
        </w:rPr>
        <w:t>is</w:t>
      </w:r>
      <w:r w:rsidR="00C87CCB">
        <w:rPr>
          <w:rFonts w:ascii="Times New Roman" w:hAnsi="Times New Roman"/>
        </w:rPr>
        <w:t xml:space="preserve"> produced from </w:t>
      </w:r>
      <w:r w:rsidR="00D12CAA">
        <w:rPr>
          <w:rFonts w:ascii="Times New Roman" w:hAnsi="Times New Roman"/>
        </w:rPr>
        <w:t xml:space="preserve">glutamine, under the catalytic effect of the enzyme glutaminase, through the </w:t>
      </w:r>
      <w:proofErr w:type="spellStart"/>
      <w:r w:rsidR="00D12CAA">
        <w:rPr>
          <w:rFonts w:ascii="Times New Roman" w:hAnsi="Times New Roman"/>
        </w:rPr>
        <w:t>glutaminolysis</w:t>
      </w:r>
      <w:proofErr w:type="spellEnd"/>
      <w:r w:rsidR="00D12CAA">
        <w:rPr>
          <w:rFonts w:ascii="Times New Roman" w:hAnsi="Times New Roman"/>
        </w:rPr>
        <w:t xml:space="preserve"> pathway </w:t>
      </w:r>
      <w:r w:rsidR="00D12CAA" w:rsidRPr="00950145">
        <w:rPr>
          <w:rFonts w:ascii="Times New Roman" w:hAnsi="Times New Roman"/>
        </w:rPr>
        <w:t>(</w:t>
      </w:r>
      <w:proofErr w:type="spellStart"/>
      <w:r w:rsidR="00D12CAA" w:rsidRPr="00950145">
        <w:rPr>
          <w:rFonts w:ascii="Times New Roman" w:hAnsi="Times New Roman"/>
        </w:rPr>
        <w:t>Korytko</w:t>
      </w:r>
      <w:proofErr w:type="spellEnd"/>
      <w:r w:rsidR="00D12CAA" w:rsidRPr="00950145">
        <w:rPr>
          <w:rFonts w:ascii="Times New Roman" w:hAnsi="Times New Roman"/>
        </w:rPr>
        <w:t>, 2024).</w:t>
      </w:r>
    </w:p>
    <w:p w14:paraId="3404B947" w14:textId="77777777" w:rsidR="0026737C" w:rsidRDefault="00D12CAA" w:rsidP="00D723F0">
      <w:pPr>
        <w:spacing w:line="360" w:lineRule="auto"/>
        <w:jc w:val="both"/>
        <w:rPr>
          <w:rFonts w:ascii="Times New Roman" w:hAnsi="Times New Roman"/>
        </w:rPr>
      </w:pPr>
      <w:r>
        <w:rPr>
          <w:rFonts w:ascii="Times New Roman" w:hAnsi="Times New Roman"/>
        </w:rPr>
        <w:t xml:space="preserve">In cancer, </w:t>
      </w:r>
      <w:proofErr w:type="spellStart"/>
      <w:r>
        <w:rPr>
          <w:rFonts w:ascii="Times New Roman" w:hAnsi="Times New Roman"/>
        </w:rPr>
        <w:t>glutaminolysis</w:t>
      </w:r>
      <w:proofErr w:type="spellEnd"/>
      <w:r>
        <w:rPr>
          <w:rFonts w:ascii="Times New Roman" w:hAnsi="Times New Roman"/>
        </w:rPr>
        <w:t xml:space="preserve"> is upregulated leading to</w:t>
      </w:r>
      <w:r w:rsidR="008A3305" w:rsidRPr="00950145">
        <w:rPr>
          <w:rFonts w:ascii="Times New Roman" w:hAnsi="Times New Roman"/>
        </w:rPr>
        <w:t xml:space="preserve"> elevated concentration of glutamic acid (glutamate) (Yi </w:t>
      </w:r>
      <w:r w:rsidR="008A3305" w:rsidRPr="00950145">
        <w:rPr>
          <w:rFonts w:ascii="Times New Roman" w:hAnsi="Times New Roman"/>
          <w:i/>
          <w:iCs/>
        </w:rPr>
        <w:t>et al</w:t>
      </w:r>
      <w:r w:rsidR="008A3305" w:rsidRPr="00950145">
        <w:rPr>
          <w:rFonts w:ascii="Times New Roman" w:hAnsi="Times New Roman"/>
        </w:rPr>
        <w:t>., 2020).</w:t>
      </w:r>
      <w:r w:rsidR="008A3305">
        <w:rPr>
          <w:rFonts w:ascii="Times New Roman" w:hAnsi="Times New Roman"/>
        </w:rPr>
        <w:t xml:space="preserve"> </w:t>
      </w:r>
      <w:r w:rsidR="002520F7">
        <w:rPr>
          <w:rFonts w:ascii="Times New Roman" w:hAnsi="Times New Roman"/>
        </w:rPr>
        <w:t>This is also supported by previous</w:t>
      </w:r>
      <w:r w:rsidR="002520F7" w:rsidRPr="00950145">
        <w:rPr>
          <w:rFonts w:ascii="Times New Roman" w:hAnsi="Times New Roman"/>
        </w:rPr>
        <w:t xml:space="preserve"> study on cancer metabolism</w:t>
      </w:r>
      <w:r w:rsidR="002520F7">
        <w:rPr>
          <w:rFonts w:ascii="Times New Roman" w:hAnsi="Times New Roman"/>
        </w:rPr>
        <w:t xml:space="preserve"> which</w:t>
      </w:r>
      <w:r w:rsidR="002520F7" w:rsidRPr="00950145">
        <w:rPr>
          <w:rFonts w:ascii="Times New Roman" w:hAnsi="Times New Roman"/>
        </w:rPr>
        <w:t xml:space="preserve"> suggest</w:t>
      </w:r>
      <w:r w:rsidR="002520F7">
        <w:rPr>
          <w:rFonts w:ascii="Times New Roman" w:hAnsi="Times New Roman"/>
        </w:rPr>
        <w:t>s</w:t>
      </w:r>
      <w:r w:rsidR="002520F7" w:rsidRPr="00950145">
        <w:rPr>
          <w:rFonts w:ascii="Times New Roman" w:hAnsi="Times New Roman"/>
        </w:rPr>
        <w:t xml:space="preserve"> that glutamine is converted to glutamic acid via </w:t>
      </w:r>
      <w:proofErr w:type="spellStart"/>
      <w:r w:rsidR="002520F7" w:rsidRPr="00950145">
        <w:rPr>
          <w:rFonts w:ascii="Times New Roman" w:hAnsi="Times New Roman"/>
        </w:rPr>
        <w:t>glutaminolysis</w:t>
      </w:r>
      <w:proofErr w:type="spellEnd"/>
      <w:r w:rsidR="002520F7" w:rsidRPr="00950145">
        <w:rPr>
          <w:rFonts w:ascii="Times New Roman" w:hAnsi="Times New Roman"/>
        </w:rPr>
        <w:t xml:space="preserve"> pathway, making glutamic acid concentration increased in blood plasma (Li &amp; Le, 2018).</w:t>
      </w:r>
      <w:r w:rsidR="008A3305">
        <w:rPr>
          <w:rFonts w:ascii="Times New Roman" w:hAnsi="Times New Roman"/>
        </w:rPr>
        <w:t xml:space="preserve">With this significant increase in glutamic acid concentration in cancer patients compared to apparently healthy counterpart, other studies suggested that </w:t>
      </w:r>
      <w:r w:rsidR="008A3305" w:rsidRPr="00950145">
        <w:rPr>
          <w:rFonts w:ascii="Times New Roman" w:hAnsi="Times New Roman"/>
        </w:rPr>
        <w:t xml:space="preserve">glutamic acid can be used as a diagnostic marker for </w:t>
      </w:r>
      <w:r w:rsidR="008A3305">
        <w:rPr>
          <w:rFonts w:ascii="Times New Roman" w:hAnsi="Times New Roman"/>
        </w:rPr>
        <w:t xml:space="preserve">detection of cancers, particularly </w:t>
      </w:r>
      <w:r w:rsidR="008A3305" w:rsidRPr="00950145">
        <w:rPr>
          <w:rFonts w:ascii="Times New Roman" w:hAnsi="Times New Roman"/>
        </w:rPr>
        <w:t xml:space="preserve">breast cancer (Wang </w:t>
      </w:r>
      <w:r w:rsidR="008A3305" w:rsidRPr="00950145">
        <w:rPr>
          <w:rFonts w:ascii="Times New Roman" w:hAnsi="Times New Roman"/>
          <w:i/>
          <w:iCs/>
        </w:rPr>
        <w:t>et al</w:t>
      </w:r>
      <w:r w:rsidR="008A3305" w:rsidRPr="00950145">
        <w:rPr>
          <w:rFonts w:ascii="Times New Roman" w:hAnsi="Times New Roman"/>
        </w:rPr>
        <w:t>., 2018)</w:t>
      </w:r>
      <w:r w:rsidR="008A3305">
        <w:rPr>
          <w:rFonts w:ascii="Times New Roman" w:hAnsi="Times New Roman"/>
        </w:rPr>
        <w:t>.</w:t>
      </w:r>
      <w:r w:rsidR="008A3305" w:rsidRPr="00950145">
        <w:rPr>
          <w:rFonts w:ascii="Times New Roman" w:hAnsi="Times New Roman"/>
        </w:rPr>
        <w:t xml:space="preserve"> </w:t>
      </w:r>
      <w:r w:rsidR="0026737C" w:rsidRPr="00950145">
        <w:rPr>
          <w:rFonts w:ascii="Times New Roman" w:hAnsi="Times New Roman"/>
        </w:rPr>
        <w:t xml:space="preserve">This increased generation of glutamate were as a result of cancer metabolic pathways reprogramming (Nilsson </w:t>
      </w:r>
      <w:r w:rsidR="0026737C" w:rsidRPr="00950145">
        <w:rPr>
          <w:rFonts w:ascii="Times New Roman" w:hAnsi="Times New Roman"/>
          <w:i/>
          <w:iCs/>
        </w:rPr>
        <w:t>et al</w:t>
      </w:r>
      <w:r w:rsidR="0026737C" w:rsidRPr="00950145">
        <w:rPr>
          <w:rFonts w:ascii="Times New Roman" w:hAnsi="Times New Roman"/>
        </w:rPr>
        <w:t>., 2020).</w:t>
      </w:r>
    </w:p>
    <w:p w14:paraId="0ABCA052" w14:textId="51187E20" w:rsidR="007529E2" w:rsidRPr="00D723F0" w:rsidRDefault="001B69B0" w:rsidP="00D723F0">
      <w:pPr>
        <w:spacing w:line="360" w:lineRule="auto"/>
        <w:jc w:val="both"/>
        <w:rPr>
          <w:rFonts w:ascii="Times New Roman" w:hAnsi="Times New Roman" w:cs="Times New Roman"/>
        </w:rPr>
      </w:pPr>
      <w:r w:rsidRPr="001B69B0">
        <w:rPr>
          <w:rFonts w:ascii="Times New Roman" w:hAnsi="Times New Roman" w:cs="Times New Roman"/>
        </w:rPr>
        <w:t xml:space="preserve">Therefore, this study aims to explore the clinical implications of glutamate alterations in cancer patients </w:t>
      </w:r>
      <w:r>
        <w:rPr>
          <w:rFonts w:ascii="Times New Roman" w:hAnsi="Times New Roman" w:cs="Times New Roman"/>
        </w:rPr>
        <w:t>and apparently healthy control</w:t>
      </w:r>
      <w:r w:rsidRPr="001B69B0">
        <w:rPr>
          <w:rFonts w:ascii="Times New Roman" w:hAnsi="Times New Roman" w:cs="Times New Roman"/>
        </w:rPr>
        <w:t>, viewed through the lens of the mitochondrial metabolic theory of cancer. Understanding how mitochondrial glutamate metabolism responds to cytotoxic stress may not only enhance diagnostic and prognostic approaches but also support the development of more targeted therapeutic interventions in Nigerian oncology practice</w:t>
      </w:r>
      <w:r>
        <w:rPr>
          <w:rFonts w:ascii="Times New Roman" w:hAnsi="Times New Roman" w:cs="Times New Roman"/>
        </w:rPr>
        <w:t xml:space="preserve"> and the world at large</w:t>
      </w:r>
      <w:r w:rsidRPr="001B69B0">
        <w:rPr>
          <w:rFonts w:ascii="Times New Roman" w:hAnsi="Times New Roman" w:cs="Times New Roman"/>
        </w:rPr>
        <w:t>.</w:t>
      </w:r>
    </w:p>
    <w:p w14:paraId="019A9F92" w14:textId="647C7FD8" w:rsidR="00C721D6" w:rsidRDefault="001B69B0">
      <w:pPr>
        <w:rPr>
          <w:rFonts w:ascii="Times New Roman" w:hAnsi="Times New Roman"/>
        </w:rPr>
      </w:pPr>
      <w:r w:rsidRPr="00CC1878">
        <w:rPr>
          <w:rFonts w:ascii="Times New Roman" w:hAnsi="Times New Roman"/>
          <w:b/>
          <w:bCs/>
        </w:rPr>
        <w:t>2.0</w:t>
      </w:r>
      <w:r>
        <w:rPr>
          <w:rFonts w:ascii="Times New Roman" w:hAnsi="Times New Roman"/>
        </w:rPr>
        <w:t xml:space="preserve"> </w:t>
      </w:r>
      <w:r w:rsidRPr="001B69B0">
        <w:rPr>
          <w:rFonts w:ascii="Times New Roman" w:hAnsi="Times New Roman"/>
          <w:b/>
          <w:bCs/>
        </w:rPr>
        <w:t>MATERIALS AND METHODS</w:t>
      </w:r>
    </w:p>
    <w:p w14:paraId="46801C03" w14:textId="359A37A8" w:rsidR="001B69B0" w:rsidRDefault="001B69B0" w:rsidP="007529E2">
      <w:pPr>
        <w:spacing w:line="480" w:lineRule="auto"/>
        <w:jc w:val="both"/>
        <w:rPr>
          <w:rFonts w:ascii="Times New Roman" w:hAnsi="Times New Roman"/>
          <w:b/>
          <w:bCs/>
        </w:rPr>
      </w:pPr>
      <w:r w:rsidRPr="00CC1878">
        <w:rPr>
          <w:rFonts w:ascii="Times New Roman" w:hAnsi="Times New Roman"/>
          <w:b/>
          <w:bCs/>
        </w:rPr>
        <w:t>2.1</w:t>
      </w:r>
      <w:r>
        <w:rPr>
          <w:rFonts w:ascii="Times New Roman" w:hAnsi="Times New Roman"/>
        </w:rPr>
        <w:t xml:space="preserve"> </w:t>
      </w:r>
      <w:r>
        <w:rPr>
          <w:rFonts w:ascii="Times New Roman" w:hAnsi="Times New Roman"/>
          <w:b/>
          <w:bCs/>
        </w:rPr>
        <w:t>S</w:t>
      </w:r>
      <w:r w:rsidRPr="001B69B0">
        <w:rPr>
          <w:rFonts w:ascii="Times New Roman" w:hAnsi="Times New Roman"/>
          <w:b/>
          <w:bCs/>
        </w:rPr>
        <w:t xml:space="preserve">tudy </w:t>
      </w:r>
      <w:r>
        <w:rPr>
          <w:rFonts w:ascii="Times New Roman" w:hAnsi="Times New Roman"/>
          <w:b/>
          <w:bCs/>
        </w:rPr>
        <w:t>A</w:t>
      </w:r>
      <w:r w:rsidRPr="001B69B0">
        <w:rPr>
          <w:rFonts w:ascii="Times New Roman" w:hAnsi="Times New Roman"/>
          <w:b/>
          <w:bCs/>
        </w:rPr>
        <w:t>rea</w:t>
      </w:r>
    </w:p>
    <w:p w14:paraId="484164CD" w14:textId="41A32D0C" w:rsidR="001B69B0" w:rsidRPr="00950145" w:rsidRDefault="001B69B0" w:rsidP="007529E2">
      <w:pPr>
        <w:spacing w:line="480" w:lineRule="auto"/>
        <w:jc w:val="both"/>
        <w:rPr>
          <w:rFonts w:ascii="Times New Roman" w:hAnsi="Times New Roman"/>
        </w:rPr>
      </w:pPr>
      <w:r w:rsidRPr="00950145">
        <w:rPr>
          <w:rFonts w:ascii="Times New Roman" w:hAnsi="Times New Roman"/>
        </w:rPr>
        <w:t>Th</w:t>
      </w:r>
      <w:r>
        <w:rPr>
          <w:rFonts w:ascii="Times New Roman" w:hAnsi="Times New Roman"/>
        </w:rPr>
        <w:t>e</w:t>
      </w:r>
      <w:r w:rsidRPr="00950145">
        <w:rPr>
          <w:rFonts w:ascii="Times New Roman" w:hAnsi="Times New Roman"/>
        </w:rPr>
        <w:t xml:space="preserve"> study was conducted in Rivers state University Teaching Hospital (RSUTH) and University of Port Harcourt Teaching Hospital (UPTH), Port Harcourt, Rivers state, Nigeria. </w:t>
      </w:r>
    </w:p>
    <w:p w14:paraId="121A41D6" w14:textId="493377D5" w:rsidR="001B69B0" w:rsidRDefault="001B69B0" w:rsidP="007529E2">
      <w:pPr>
        <w:widowControl w:val="0"/>
        <w:autoSpaceDE w:val="0"/>
        <w:autoSpaceDN w:val="0"/>
        <w:adjustRightInd w:val="0"/>
        <w:spacing w:after="200" w:line="480" w:lineRule="auto"/>
        <w:jc w:val="both"/>
        <w:rPr>
          <w:rFonts w:ascii="Times New Roman" w:hAnsi="Times New Roman"/>
          <w:kern w:val="0"/>
        </w:rPr>
      </w:pPr>
      <w:r w:rsidRPr="00950145">
        <w:rPr>
          <w:rFonts w:ascii="Times New Roman" w:hAnsi="Times New Roman"/>
          <w:kern w:val="0"/>
          <w:lang w:val="en"/>
        </w:rPr>
        <w:t xml:space="preserve">RSUTH is situated in Port Harcourt city local government area, precisely at 5-8 Harvey Street, </w:t>
      </w:r>
      <w:r w:rsidRPr="00950145">
        <w:rPr>
          <w:rFonts w:ascii="Times New Roman" w:hAnsi="Times New Roman"/>
          <w:kern w:val="0"/>
          <w:lang w:val="en"/>
        </w:rPr>
        <w:lastRenderedPageBreak/>
        <w:t xml:space="preserve">Old GRA, Port Harcourt, Rivers State. It is a tertiary hospital, which handle referral and complex medical cases from different part of the region. UPTH on the other hand, is a federal </w:t>
      </w:r>
      <w:r w:rsidRPr="00950145">
        <w:rPr>
          <w:rFonts w:ascii="Times New Roman" w:hAnsi="Times New Roman"/>
          <w:kern w:val="0"/>
        </w:rPr>
        <w:t xml:space="preserve">government owned teaching hospital attached to the university of Port Harcourt. it is situated in </w:t>
      </w:r>
      <w:proofErr w:type="spellStart"/>
      <w:r w:rsidRPr="00950145">
        <w:rPr>
          <w:rFonts w:ascii="Times New Roman" w:hAnsi="Times New Roman"/>
          <w:kern w:val="0"/>
        </w:rPr>
        <w:t>Obio</w:t>
      </w:r>
      <w:proofErr w:type="spellEnd"/>
      <w:r w:rsidRPr="00950145">
        <w:rPr>
          <w:rFonts w:ascii="Times New Roman" w:hAnsi="Times New Roman"/>
          <w:kern w:val="0"/>
        </w:rPr>
        <w:t>/</w:t>
      </w:r>
      <w:proofErr w:type="spellStart"/>
      <w:r w:rsidRPr="00950145">
        <w:rPr>
          <w:rFonts w:ascii="Times New Roman" w:hAnsi="Times New Roman"/>
          <w:kern w:val="0"/>
        </w:rPr>
        <w:t>Akpor</w:t>
      </w:r>
      <w:proofErr w:type="spellEnd"/>
      <w:r w:rsidRPr="00950145">
        <w:rPr>
          <w:rFonts w:ascii="Times New Roman" w:hAnsi="Times New Roman"/>
          <w:kern w:val="0"/>
        </w:rPr>
        <w:t xml:space="preserve"> local government area, East-West Road opposite </w:t>
      </w:r>
      <w:proofErr w:type="spellStart"/>
      <w:r w:rsidRPr="00950145">
        <w:rPr>
          <w:rFonts w:ascii="Times New Roman" w:hAnsi="Times New Roman"/>
          <w:kern w:val="0"/>
        </w:rPr>
        <w:t>Alakahia</w:t>
      </w:r>
      <w:proofErr w:type="spellEnd"/>
      <w:r w:rsidRPr="00950145">
        <w:rPr>
          <w:rFonts w:ascii="Times New Roman" w:hAnsi="Times New Roman"/>
          <w:kern w:val="0"/>
        </w:rPr>
        <w:t xml:space="preserve"> junction, port Harcourt, Rivers state, with postal address P.M.B 6173. It is also a tertiary hospital with special oncology department that deal on the diagnosis and treatment of different cancer cases.</w:t>
      </w:r>
    </w:p>
    <w:p w14:paraId="6B49D4B1" w14:textId="21B3C5EA" w:rsidR="00CC1878" w:rsidRPr="00950145" w:rsidRDefault="00CC1878" w:rsidP="007529E2">
      <w:pPr>
        <w:widowControl w:val="0"/>
        <w:autoSpaceDE w:val="0"/>
        <w:autoSpaceDN w:val="0"/>
        <w:adjustRightInd w:val="0"/>
        <w:spacing w:after="200" w:line="480" w:lineRule="auto"/>
        <w:jc w:val="both"/>
        <w:rPr>
          <w:rFonts w:ascii="Times New Roman" w:hAnsi="Times New Roman"/>
          <w:kern w:val="0"/>
        </w:rPr>
      </w:pPr>
      <w:r w:rsidRPr="00950145">
        <w:rPr>
          <w:rFonts w:ascii="Times New Roman" w:hAnsi="Times New Roman"/>
          <w:kern w:val="0"/>
        </w:rPr>
        <w:t xml:space="preserve">Port Harcourt, the Headquarters of Rivers State is a metropolitan city located in South-South geopolitical zone of Nigeria. </w:t>
      </w:r>
      <w:r w:rsidR="002257E6">
        <w:rPr>
          <w:rFonts w:ascii="Times New Roman" w:hAnsi="Times New Roman"/>
          <w:kern w:val="0"/>
        </w:rPr>
        <w:t>It</w:t>
      </w:r>
      <w:r w:rsidRPr="00CC1878">
        <w:rPr>
          <w:rFonts w:ascii="Times New Roman" w:hAnsi="Times New Roman"/>
          <w:kern w:val="0"/>
        </w:rPr>
        <w:t xml:space="preserve"> is situated within latitude 4°49´27ʺ N and longitude 7°2´1 ʺ E with an estimated population of 3,480,101 and a land area of 369 km</w:t>
      </w:r>
      <w:r w:rsidRPr="00CC1878">
        <w:rPr>
          <w:rFonts w:ascii="Times New Roman" w:hAnsi="Times New Roman"/>
          <w:kern w:val="0"/>
          <w:vertAlign w:val="superscript"/>
        </w:rPr>
        <w:t>2</w:t>
      </w:r>
      <w:r w:rsidRPr="00CC1878">
        <w:rPr>
          <w:rFonts w:ascii="Times New Roman" w:hAnsi="Times New Roman"/>
          <w:kern w:val="0"/>
        </w:rPr>
        <w:t xml:space="preserve">. </w:t>
      </w:r>
      <w:r w:rsidR="002257E6">
        <w:rPr>
          <w:rFonts w:ascii="Times New Roman" w:hAnsi="Times New Roman"/>
          <w:kern w:val="0"/>
        </w:rPr>
        <w:t>Port Harcourt</w:t>
      </w:r>
      <w:r w:rsidRPr="00950145">
        <w:rPr>
          <w:rFonts w:ascii="Times New Roman" w:hAnsi="Times New Roman"/>
          <w:kern w:val="0"/>
        </w:rPr>
        <w:t xml:space="preserve"> is known for its rich heritage and mineral resources, making it a hub for different industrial activities.</w:t>
      </w:r>
    </w:p>
    <w:p w14:paraId="20D95A23" w14:textId="77777777" w:rsidR="00BC48B8" w:rsidRPr="00950145" w:rsidRDefault="00BC48B8" w:rsidP="00BC48B8">
      <w:pPr>
        <w:widowControl w:val="0"/>
        <w:autoSpaceDE w:val="0"/>
        <w:autoSpaceDN w:val="0"/>
        <w:adjustRightInd w:val="0"/>
        <w:spacing w:after="200" w:line="480" w:lineRule="auto"/>
        <w:jc w:val="both"/>
        <w:rPr>
          <w:rFonts w:ascii="Times New Roman" w:hAnsi="Times New Roman"/>
          <w:kern w:val="0"/>
        </w:rPr>
      </w:pPr>
    </w:p>
    <w:p w14:paraId="075BC6E7" w14:textId="5CA1D274" w:rsidR="00BC48B8" w:rsidRPr="00950145" w:rsidRDefault="00BC48B8" w:rsidP="00BC48B8">
      <w:pPr>
        <w:spacing w:line="480" w:lineRule="auto"/>
        <w:jc w:val="both"/>
        <w:rPr>
          <w:rFonts w:ascii="Times New Roman" w:hAnsi="Times New Roman"/>
        </w:rPr>
      </w:pPr>
      <w:r w:rsidRPr="00950145">
        <w:rPr>
          <w:rFonts w:ascii="Times New Roman" w:hAnsi="Times New Roman"/>
          <w:noProof/>
        </w:rPr>
        <w:drawing>
          <wp:inline distT="0" distB="0" distL="0" distR="0" wp14:anchorId="4194EE20" wp14:editId="3E6E338C">
            <wp:extent cx="5943600" cy="3448050"/>
            <wp:effectExtent l="0" t="0" r="0" b="0"/>
            <wp:docPr id="1821421179" name="Picture 7" descr="Rivers state showing hospital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vers state showing hospital loca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a:ln>
                      <a:noFill/>
                    </a:ln>
                  </pic:spPr>
                </pic:pic>
              </a:graphicData>
            </a:graphic>
          </wp:inline>
        </w:drawing>
      </w:r>
    </w:p>
    <w:p w14:paraId="552901D0" w14:textId="6D657795" w:rsidR="00BC48B8" w:rsidRDefault="00BC48B8" w:rsidP="001B69B0">
      <w:pPr>
        <w:widowControl w:val="0"/>
        <w:autoSpaceDE w:val="0"/>
        <w:autoSpaceDN w:val="0"/>
        <w:adjustRightInd w:val="0"/>
        <w:spacing w:after="200" w:line="240" w:lineRule="auto"/>
        <w:jc w:val="both"/>
        <w:rPr>
          <w:rFonts w:ascii="Times New Roman" w:hAnsi="Times New Roman"/>
        </w:rPr>
      </w:pPr>
      <w:r w:rsidRPr="00950145">
        <w:rPr>
          <w:rFonts w:ascii="Times New Roman" w:hAnsi="Times New Roman"/>
        </w:rPr>
        <w:t>Figure 1 Map of Rivers State showing UPTH and RSUTH (from google map)</w:t>
      </w:r>
    </w:p>
    <w:p w14:paraId="5391B9A6" w14:textId="77777777" w:rsidR="002257E6" w:rsidRDefault="002257E6" w:rsidP="001B69B0">
      <w:pPr>
        <w:widowControl w:val="0"/>
        <w:autoSpaceDE w:val="0"/>
        <w:autoSpaceDN w:val="0"/>
        <w:adjustRightInd w:val="0"/>
        <w:spacing w:after="200" w:line="240" w:lineRule="auto"/>
        <w:jc w:val="both"/>
        <w:rPr>
          <w:rFonts w:ascii="Times New Roman" w:hAnsi="Times New Roman"/>
          <w:b/>
          <w:bCs/>
          <w:kern w:val="0"/>
          <w:lang w:val="en"/>
        </w:rPr>
      </w:pPr>
    </w:p>
    <w:p w14:paraId="4B7BE696" w14:textId="6C8C15B0" w:rsidR="00CC1878" w:rsidRDefault="00CC1878" w:rsidP="007529E2">
      <w:pPr>
        <w:widowControl w:val="0"/>
        <w:autoSpaceDE w:val="0"/>
        <w:autoSpaceDN w:val="0"/>
        <w:adjustRightInd w:val="0"/>
        <w:spacing w:after="200" w:line="480" w:lineRule="auto"/>
        <w:jc w:val="both"/>
        <w:rPr>
          <w:rFonts w:ascii="Times New Roman" w:hAnsi="Times New Roman"/>
          <w:b/>
          <w:bCs/>
          <w:kern w:val="0"/>
          <w:lang w:val="en"/>
        </w:rPr>
      </w:pPr>
      <w:r w:rsidRPr="00CC1878">
        <w:rPr>
          <w:rFonts w:ascii="Times New Roman" w:hAnsi="Times New Roman"/>
          <w:b/>
          <w:bCs/>
          <w:kern w:val="0"/>
          <w:lang w:val="en"/>
        </w:rPr>
        <w:t>2.2 Study Population</w:t>
      </w:r>
    </w:p>
    <w:p w14:paraId="683A03FD" w14:textId="1C3CC54E" w:rsidR="00CC1878" w:rsidRDefault="00CC1878" w:rsidP="007529E2">
      <w:pPr>
        <w:widowControl w:val="0"/>
        <w:autoSpaceDE w:val="0"/>
        <w:autoSpaceDN w:val="0"/>
        <w:adjustRightInd w:val="0"/>
        <w:spacing w:after="200" w:line="480" w:lineRule="auto"/>
        <w:jc w:val="both"/>
        <w:rPr>
          <w:rFonts w:ascii="Times New Roman" w:hAnsi="Times New Roman"/>
          <w:kern w:val="0"/>
        </w:rPr>
      </w:pPr>
      <w:r w:rsidRPr="00950145">
        <w:rPr>
          <w:rFonts w:ascii="Times New Roman" w:hAnsi="Times New Roman"/>
          <w:kern w:val="0"/>
        </w:rPr>
        <w:t>The study was carried out in RSUTH and UPTH among patients who were diagnosed with cancer (both those receiving chemotherapy and others that are yet to start) and apparently healthy control subjects.</w:t>
      </w:r>
    </w:p>
    <w:p w14:paraId="18BBC063" w14:textId="3155B211" w:rsidR="00CC1878" w:rsidRDefault="00CC1878" w:rsidP="007529E2">
      <w:pPr>
        <w:widowControl w:val="0"/>
        <w:autoSpaceDE w:val="0"/>
        <w:autoSpaceDN w:val="0"/>
        <w:adjustRightInd w:val="0"/>
        <w:spacing w:after="200" w:line="480" w:lineRule="auto"/>
        <w:jc w:val="both"/>
        <w:rPr>
          <w:rFonts w:ascii="Times New Roman" w:hAnsi="Times New Roman"/>
          <w:b/>
          <w:bCs/>
          <w:kern w:val="0"/>
        </w:rPr>
      </w:pPr>
      <w:r w:rsidRPr="00863DC1">
        <w:rPr>
          <w:rFonts w:ascii="Times New Roman" w:hAnsi="Times New Roman"/>
          <w:b/>
          <w:bCs/>
          <w:kern w:val="0"/>
        </w:rPr>
        <w:t>2.3 Selection Criteria</w:t>
      </w:r>
    </w:p>
    <w:p w14:paraId="4A6AFB3C" w14:textId="5D842217" w:rsidR="002257E6" w:rsidRDefault="00863DC1" w:rsidP="007529E2">
      <w:pPr>
        <w:widowControl w:val="0"/>
        <w:autoSpaceDE w:val="0"/>
        <w:autoSpaceDN w:val="0"/>
        <w:adjustRightInd w:val="0"/>
        <w:spacing w:after="200" w:line="480" w:lineRule="auto"/>
        <w:jc w:val="both"/>
        <w:rPr>
          <w:rFonts w:ascii="Times New Roman" w:hAnsi="Times New Roman"/>
          <w:kern w:val="0"/>
        </w:rPr>
      </w:pPr>
      <w:r w:rsidRPr="00863DC1">
        <w:rPr>
          <w:rFonts w:ascii="Times New Roman" w:hAnsi="Times New Roman"/>
          <w:kern w:val="0"/>
        </w:rPr>
        <w:t xml:space="preserve">Individuals </w:t>
      </w:r>
      <w:r>
        <w:rPr>
          <w:rFonts w:ascii="Times New Roman" w:hAnsi="Times New Roman"/>
          <w:kern w:val="0"/>
        </w:rPr>
        <w:t xml:space="preserve">diagnosed and confirmed with cancer </w:t>
      </w:r>
      <w:r w:rsidR="00117ABF">
        <w:rPr>
          <w:rFonts w:ascii="Times New Roman" w:hAnsi="Times New Roman"/>
          <w:kern w:val="0"/>
        </w:rPr>
        <w:t xml:space="preserve">and apparently healthy control subjects </w:t>
      </w:r>
      <w:r w:rsidRPr="00863DC1">
        <w:rPr>
          <w:rFonts w:ascii="Times New Roman" w:hAnsi="Times New Roman"/>
          <w:kern w:val="0"/>
        </w:rPr>
        <w:t>with</w:t>
      </w:r>
      <w:r>
        <w:rPr>
          <w:rFonts w:ascii="Times New Roman" w:hAnsi="Times New Roman"/>
          <w:kern w:val="0"/>
        </w:rPr>
        <w:t>in the</w:t>
      </w:r>
      <w:r w:rsidRPr="00863DC1">
        <w:rPr>
          <w:rFonts w:ascii="Times New Roman" w:hAnsi="Times New Roman"/>
          <w:kern w:val="0"/>
        </w:rPr>
        <w:t xml:space="preserve"> age 17-55 years and above</w:t>
      </w:r>
      <w:r w:rsidR="00D723F0">
        <w:rPr>
          <w:rFonts w:ascii="Times New Roman" w:hAnsi="Times New Roman"/>
          <w:kern w:val="0"/>
        </w:rPr>
        <w:t>, and</w:t>
      </w:r>
      <w:r>
        <w:rPr>
          <w:rFonts w:ascii="Times New Roman" w:hAnsi="Times New Roman"/>
          <w:kern w:val="0"/>
        </w:rPr>
        <w:t xml:space="preserve"> attending RSUTH and UPTH were recruited for the study.</w:t>
      </w:r>
      <w:r w:rsidR="00117ABF">
        <w:rPr>
          <w:rFonts w:ascii="Times New Roman" w:hAnsi="Times New Roman"/>
          <w:kern w:val="0"/>
        </w:rPr>
        <w:t xml:space="preserve"> Control subjects with liver or kidney dysfunction, children and subjects below age 17 were not recruited to participate in the study, as well as those who refused to give their consent of participation.</w:t>
      </w:r>
    </w:p>
    <w:p w14:paraId="1BC45D9F" w14:textId="5B894861" w:rsidR="00117ABF" w:rsidRDefault="00117ABF" w:rsidP="007529E2">
      <w:pPr>
        <w:widowControl w:val="0"/>
        <w:autoSpaceDE w:val="0"/>
        <w:autoSpaceDN w:val="0"/>
        <w:adjustRightInd w:val="0"/>
        <w:spacing w:after="200" w:line="480" w:lineRule="auto"/>
        <w:jc w:val="both"/>
        <w:rPr>
          <w:rFonts w:ascii="Times New Roman" w:hAnsi="Times New Roman"/>
          <w:b/>
          <w:bCs/>
          <w:kern w:val="0"/>
        </w:rPr>
      </w:pPr>
      <w:r w:rsidRPr="00117ABF">
        <w:rPr>
          <w:rFonts w:ascii="Times New Roman" w:hAnsi="Times New Roman"/>
          <w:b/>
          <w:bCs/>
          <w:kern w:val="0"/>
        </w:rPr>
        <w:t>2.4 Sample Collection</w:t>
      </w:r>
      <w:r w:rsidR="00713C38">
        <w:rPr>
          <w:rFonts w:ascii="Times New Roman" w:hAnsi="Times New Roman"/>
          <w:b/>
          <w:bCs/>
          <w:kern w:val="0"/>
        </w:rPr>
        <w:t xml:space="preserve"> and Preparation</w:t>
      </w:r>
    </w:p>
    <w:p w14:paraId="59ECCF7B" w14:textId="6B7E820C" w:rsidR="00713C38" w:rsidRDefault="00713C38" w:rsidP="007529E2">
      <w:pPr>
        <w:widowControl w:val="0"/>
        <w:autoSpaceDE w:val="0"/>
        <w:autoSpaceDN w:val="0"/>
        <w:adjustRightInd w:val="0"/>
        <w:spacing w:after="200" w:line="480" w:lineRule="auto"/>
        <w:jc w:val="both"/>
        <w:rPr>
          <w:rFonts w:ascii="Times New Roman" w:hAnsi="Times New Roman"/>
          <w:kern w:val="0"/>
          <w:lang w:val="en"/>
        </w:rPr>
      </w:pPr>
      <w:r w:rsidRPr="00950145">
        <w:rPr>
          <w:rFonts w:ascii="Times New Roman" w:hAnsi="Times New Roman"/>
          <w:kern w:val="0"/>
          <w:lang w:val="en"/>
        </w:rPr>
        <w:t>Five (5) ml of the participants’ venous blood sample was collected in ethylenediamine tetra-acetic acid (EDTA) anticoagulant bottle using standard phlebotomy procedure. The procedure was strictly followed to ensure the subjects’ safety and well-being, and reducing risk. After collection, the sample was spun in the centrifuge at 3000RPM for 5minutes, and plasma was extracted into a well labeled plain sample bottle(s).</w:t>
      </w:r>
      <w:r>
        <w:rPr>
          <w:rFonts w:ascii="Times New Roman" w:hAnsi="Times New Roman"/>
          <w:kern w:val="0"/>
          <w:lang w:val="en"/>
        </w:rPr>
        <w:t xml:space="preserve"> The extracted plasma in the plain bottles was</w:t>
      </w:r>
      <w:r w:rsidR="00431DE7">
        <w:rPr>
          <w:rFonts w:ascii="Times New Roman" w:hAnsi="Times New Roman"/>
          <w:kern w:val="0"/>
          <w:lang w:val="en"/>
        </w:rPr>
        <w:t xml:space="preserve"> stored</w:t>
      </w:r>
      <w:r>
        <w:rPr>
          <w:rFonts w:ascii="Times New Roman" w:hAnsi="Times New Roman"/>
          <w:kern w:val="0"/>
          <w:lang w:val="en"/>
        </w:rPr>
        <w:t xml:space="preserve"> in the freezer at below 4</w:t>
      </w:r>
      <w:r w:rsidRPr="00713C38">
        <w:rPr>
          <w:rFonts w:ascii="Times New Roman" w:hAnsi="Times New Roman"/>
          <w:kern w:val="0"/>
          <w:vertAlign w:val="superscript"/>
          <w:lang w:val="en"/>
        </w:rPr>
        <w:t>0</w:t>
      </w:r>
      <w:r>
        <w:rPr>
          <w:rFonts w:ascii="Times New Roman" w:hAnsi="Times New Roman"/>
          <w:kern w:val="0"/>
          <w:lang w:val="en"/>
        </w:rPr>
        <w:t xml:space="preserve"> Celsius, awaiting laboratory analysis.</w:t>
      </w:r>
    </w:p>
    <w:p w14:paraId="757CC686" w14:textId="5EAC0F5F" w:rsidR="00EC1A82" w:rsidRDefault="00EC1A82" w:rsidP="007529E2">
      <w:pPr>
        <w:widowControl w:val="0"/>
        <w:autoSpaceDE w:val="0"/>
        <w:autoSpaceDN w:val="0"/>
        <w:adjustRightInd w:val="0"/>
        <w:spacing w:after="200" w:line="480" w:lineRule="auto"/>
        <w:jc w:val="both"/>
        <w:rPr>
          <w:rFonts w:ascii="Times New Roman" w:hAnsi="Times New Roman"/>
          <w:b/>
          <w:bCs/>
          <w:kern w:val="0"/>
          <w:lang w:val="en"/>
        </w:rPr>
      </w:pPr>
      <w:r w:rsidRPr="00EC1A82">
        <w:rPr>
          <w:rFonts w:ascii="Times New Roman" w:hAnsi="Times New Roman"/>
          <w:b/>
          <w:bCs/>
          <w:kern w:val="0"/>
          <w:lang w:val="en"/>
        </w:rPr>
        <w:t>2.5 Sample Size Determination</w:t>
      </w:r>
    </w:p>
    <w:p w14:paraId="08A1D960" w14:textId="0B9B6F2F" w:rsidR="00EC1A82" w:rsidRDefault="00EC1A82" w:rsidP="007529E2">
      <w:pPr>
        <w:widowControl w:val="0"/>
        <w:autoSpaceDE w:val="0"/>
        <w:autoSpaceDN w:val="0"/>
        <w:adjustRightInd w:val="0"/>
        <w:spacing w:after="200" w:line="480" w:lineRule="auto"/>
        <w:jc w:val="both"/>
        <w:rPr>
          <w:rFonts w:ascii="Times New Roman" w:hAnsi="Times New Roman"/>
        </w:rPr>
      </w:pPr>
      <w:r>
        <w:rPr>
          <w:rFonts w:ascii="Times New Roman" w:hAnsi="Times New Roman"/>
          <w:kern w:val="0"/>
          <w:lang w:val="en"/>
        </w:rPr>
        <w:t xml:space="preserve">The study used a prevalence of 30% determined by </w:t>
      </w:r>
      <w:r w:rsidRPr="00950145">
        <w:rPr>
          <w:rFonts w:ascii="Times New Roman" w:hAnsi="Times New Roman"/>
        </w:rPr>
        <w:t>(</w:t>
      </w:r>
      <w:proofErr w:type="spellStart"/>
      <w:r w:rsidRPr="00950145">
        <w:rPr>
          <w:rFonts w:ascii="Times New Roman" w:hAnsi="Times New Roman"/>
        </w:rPr>
        <w:t>Folorunso</w:t>
      </w:r>
      <w:proofErr w:type="spellEnd"/>
      <w:r w:rsidRPr="00950145">
        <w:rPr>
          <w:rFonts w:ascii="Times New Roman" w:hAnsi="Times New Roman"/>
        </w:rPr>
        <w:t xml:space="preserve"> </w:t>
      </w:r>
      <w:r w:rsidRPr="00950145">
        <w:rPr>
          <w:rFonts w:ascii="Times New Roman" w:hAnsi="Times New Roman"/>
          <w:i/>
          <w:iCs/>
        </w:rPr>
        <w:t>et al</w:t>
      </w:r>
      <w:r w:rsidRPr="00950145">
        <w:rPr>
          <w:rFonts w:ascii="Times New Roman" w:hAnsi="Times New Roman"/>
        </w:rPr>
        <w:t>., 2024)</w:t>
      </w:r>
      <w:r>
        <w:rPr>
          <w:rFonts w:ascii="Times New Roman" w:hAnsi="Times New Roman"/>
        </w:rPr>
        <w:t xml:space="preserve"> in University of Ibadan Teaching Hospital. Using the Cochran formula</w:t>
      </w:r>
      <w:r w:rsidR="00515D9D">
        <w:rPr>
          <w:rFonts w:ascii="Times New Roman" w:hAnsi="Times New Roman"/>
        </w:rPr>
        <w:t xml:space="preserve"> of sample size, </w:t>
      </w:r>
      <w:r w:rsidR="00515D9D" w:rsidRPr="00950145">
        <w:rPr>
          <w:rFonts w:ascii="Times New Roman" w:hAnsi="Times New Roman"/>
          <w:i/>
          <w:iCs/>
        </w:rPr>
        <w:t>n</w:t>
      </w:r>
      <w:r w:rsidR="00515D9D" w:rsidRPr="00950145">
        <w:rPr>
          <w:rFonts w:ascii="Times New Roman" w:hAnsi="Times New Roman"/>
        </w:rPr>
        <w:t> = </w:t>
      </w:r>
      <w:r w:rsidR="00515D9D" w:rsidRPr="00950145">
        <w:rPr>
          <w:rFonts w:ascii="Times New Roman" w:hAnsi="Times New Roman"/>
          <w:i/>
          <w:iCs/>
        </w:rPr>
        <w:t>Z</w:t>
      </w:r>
      <w:r w:rsidR="00515D9D" w:rsidRPr="00950145">
        <w:rPr>
          <w:rFonts w:ascii="Times New Roman" w:hAnsi="Times New Roman"/>
          <w:vertAlign w:val="superscript"/>
        </w:rPr>
        <w:t>2</w:t>
      </w:r>
      <w:r w:rsidR="00515D9D" w:rsidRPr="00950145">
        <w:rPr>
          <w:rFonts w:ascii="Times New Roman" w:hAnsi="Times New Roman"/>
        </w:rPr>
        <w:t> p q/d</w:t>
      </w:r>
      <w:r w:rsidR="00515D9D" w:rsidRPr="00950145">
        <w:rPr>
          <w:rFonts w:ascii="Times New Roman" w:hAnsi="Times New Roman"/>
          <w:vertAlign w:val="superscript"/>
        </w:rPr>
        <w:t>2</w:t>
      </w:r>
      <w:r w:rsidR="00515D9D">
        <w:rPr>
          <w:rFonts w:ascii="Times New Roman" w:hAnsi="Times New Roman"/>
        </w:rPr>
        <w:t xml:space="preserve">, the appropriate </w:t>
      </w:r>
      <w:r w:rsidR="00515D9D">
        <w:rPr>
          <w:rFonts w:ascii="Times New Roman" w:hAnsi="Times New Roman"/>
        </w:rPr>
        <w:lastRenderedPageBreak/>
        <w:t xml:space="preserve">sample size given the specified combination of precision, confidence and variability was 99.6. </w:t>
      </w:r>
      <w:r w:rsidR="009827D2">
        <w:rPr>
          <w:rFonts w:ascii="Times New Roman" w:hAnsi="Times New Roman"/>
        </w:rPr>
        <w:t>T</w:t>
      </w:r>
      <w:r w:rsidR="00515D9D">
        <w:rPr>
          <w:rFonts w:ascii="Times New Roman" w:hAnsi="Times New Roman"/>
        </w:rPr>
        <w:t>herefore, the sample size was 100 (50 cancer patients and 50 apparently health control).</w:t>
      </w:r>
    </w:p>
    <w:p w14:paraId="76283829" w14:textId="5BEECE97" w:rsidR="00515D9D" w:rsidRDefault="00515D9D" w:rsidP="007529E2">
      <w:pPr>
        <w:widowControl w:val="0"/>
        <w:autoSpaceDE w:val="0"/>
        <w:autoSpaceDN w:val="0"/>
        <w:adjustRightInd w:val="0"/>
        <w:spacing w:after="200" w:line="480" w:lineRule="auto"/>
        <w:jc w:val="both"/>
        <w:rPr>
          <w:rFonts w:ascii="Times New Roman" w:hAnsi="Times New Roman"/>
          <w:b/>
          <w:bCs/>
        </w:rPr>
      </w:pPr>
      <w:r w:rsidRPr="00515D9D">
        <w:rPr>
          <w:rFonts w:ascii="Times New Roman" w:hAnsi="Times New Roman"/>
          <w:b/>
          <w:bCs/>
        </w:rPr>
        <w:t>2.6 Laboratory Analysis</w:t>
      </w:r>
    </w:p>
    <w:p w14:paraId="102ACCB3" w14:textId="1E7CD313" w:rsidR="00BC48B8" w:rsidRDefault="00515D9D" w:rsidP="007529E2">
      <w:pPr>
        <w:widowControl w:val="0"/>
        <w:autoSpaceDE w:val="0"/>
        <w:autoSpaceDN w:val="0"/>
        <w:adjustRightInd w:val="0"/>
        <w:spacing w:after="0" w:line="480" w:lineRule="auto"/>
        <w:jc w:val="both"/>
        <w:rPr>
          <w:rFonts w:ascii="Times New Roman" w:hAnsi="Times New Roman"/>
          <w:kern w:val="0"/>
          <w:lang w:val="en"/>
        </w:rPr>
      </w:pPr>
      <w:r w:rsidRPr="00FA4149">
        <w:rPr>
          <w:rFonts w:ascii="Times New Roman" w:hAnsi="Times New Roman"/>
        </w:rPr>
        <w:t xml:space="preserve">Glutamic acid in the sample was </w:t>
      </w:r>
      <w:proofErr w:type="spellStart"/>
      <w:r w:rsidRPr="00FA4149">
        <w:rPr>
          <w:rFonts w:ascii="Times New Roman" w:hAnsi="Times New Roman"/>
        </w:rPr>
        <w:t>analysed</w:t>
      </w:r>
      <w:proofErr w:type="spellEnd"/>
      <w:r w:rsidRPr="00FA4149">
        <w:rPr>
          <w:rFonts w:ascii="Times New Roman" w:hAnsi="Times New Roman"/>
        </w:rPr>
        <w:t xml:space="preserve"> using</w:t>
      </w:r>
      <w:r w:rsidR="00FA4149" w:rsidRPr="00FA4149">
        <w:rPr>
          <w:rFonts w:ascii="Times New Roman" w:hAnsi="Times New Roman"/>
        </w:rPr>
        <w:t xml:space="preserve"> </w:t>
      </w:r>
      <w:r w:rsidR="00FA4149" w:rsidRPr="00FA4149">
        <w:rPr>
          <w:rFonts w:ascii="Times New Roman" w:hAnsi="Times New Roman"/>
          <w:kern w:val="0"/>
          <w:lang w:val="en"/>
        </w:rPr>
        <w:t xml:space="preserve">the glutamic acid </w:t>
      </w:r>
      <w:proofErr w:type="spellStart"/>
      <w:r w:rsidR="00FA4149" w:rsidRPr="00FA4149">
        <w:rPr>
          <w:rFonts w:ascii="Times New Roman" w:hAnsi="Times New Roman"/>
          <w:kern w:val="0"/>
          <w:lang w:val="en"/>
        </w:rPr>
        <w:t>colourimetric</w:t>
      </w:r>
      <w:proofErr w:type="spellEnd"/>
      <w:r w:rsidR="00FA4149" w:rsidRPr="00FA4149">
        <w:rPr>
          <w:rFonts w:ascii="Times New Roman" w:hAnsi="Times New Roman"/>
          <w:kern w:val="0"/>
          <w:lang w:val="en"/>
        </w:rPr>
        <w:t xml:space="preserve"> kits following the instruction by the manufacturer. Before the laboratory analysis, the</w:t>
      </w:r>
      <w:r w:rsidR="00FA4149">
        <w:rPr>
          <w:rFonts w:ascii="Times New Roman" w:hAnsi="Times New Roman"/>
          <w:kern w:val="0"/>
          <w:lang w:val="en"/>
        </w:rPr>
        <w:t xml:space="preserve"> reconstituted reagent stored in the fre</w:t>
      </w:r>
      <w:r w:rsidR="00502C6C">
        <w:rPr>
          <w:rFonts w:ascii="Times New Roman" w:hAnsi="Times New Roman"/>
          <w:kern w:val="0"/>
          <w:lang w:val="en"/>
        </w:rPr>
        <w:t>e</w:t>
      </w:r>
      <w:r w:rsidR="00FA4149">
        <w:rPr>
          <w:rFonts w:ascii="Times New Roman" w:hAnsi="Times New Roman"/>
          <w:kern w:val="0"/>
          <w:lang w:val="en"/>
        </w:rPr>
        <w:t>zer for 7 days and</w:t>
      </w:r>
      <w:r w:rsidR="00FA4149" w:rsidRPr="00FA4149">
        <w:rPr>
          <w:rFonts w:ascii="Times New Roman" w:hAnsi="Times New Roman"/>
          <w:kern w:val="0"/>
          <w:lang w:val="en"/>
        </w:rPr>
        <w:t xml:space="preserve"> </w:t>
      </w:r>
      <w:r w:rsidR="00502C6C">
        <w:rPr>
          <w:rFonts w:ascii="Times New Roman" w:hAnsi="Times New Roman"/>
          <w:kern w:val="0"/>
          <w:lang w:val="en"/>
        </w:rPr>
        <w:t xml:space="preserve">the </w:t>
      </w:r>
      <w:r w:rsidR="00FA4149" w:rsidRPr="00FA4149">
        <w:rPr>
          <w:rFonts w:ascii="Times New Roman" w:hAnsi="Times New Roman"/>
          <w:kern w:val="0"/>
          <w:lang w:val="en"/>
        </w:rPr>
        <w:t>samples were brought from the freezer and allow to stand on the bench</w:t>
      </w:r>
      <w:r w:rsidR="00D723F0">
        <w:rPr>
          <w:rFonts w:ascii="Times New Roman" w:hAnsi="Times New Roman"/>
          <w:kern w:val="0"/>
          <w:lang w:val="en"/>
        </w:rPr>
        <w:t>, thaw,</w:t>
      </w:r>
      <w:r w:rsidR="00FA4149" w:rsidRPr="00FA4149">
        <w:rPr>
          <w:rFonts w:ascii="Times New Roman" w:hAnsi="Times New Roman"/>
          <w:kern w:val="0"/>
          <w:lang w:val="en"/>
        </w:rPr>
        <w:t xml:space="preserve"> until room temperature was a</w:t>
      </w:r>
      <w:r w:rsidR="0080202F">
        <w:rPr>
          <w:rFonts w:ascii="Times New Roman" w:hAnsi="Times New Roman"/>
          <w:kern w:val="0"/>
          <w:lang w:val="en"/>
        </w:rPr>
        <w:t>t</w:t>
      </w:r>
      <w:r w:rsidR="00FA4149" w:rsidRPr="00FA4149">
        <w:rPr>
          <w:rFonts w:ascii="Times New Roman" w:hAnsi="Times New Roman"/>
          <w:kern w:val="0"/>
          <w:lang w:val="en"/>
        </w:rPr>
        <w:t xml:space="preserve">tained. 0.6ml of protein precipitate solution was added </w:t>
      </w:r>
      <w:r w:rsidR="00D723F0">
        <w:rPr>
          <w:rFonts w:ascii="Times New Roman" w:hAnsi="Times New Roman"/>
          <w:kern w:val="0"/>
          <w:lang w:val="en"/>
        </w:rPr>
        <w:t xml:space="preserve">to </w:t>
      </w:r>
      <w:r w:rsidR="00FA4149" w:rsidRPr="00FA4149">
        <w:rPr>
          <w:rFonts w:ascii="Times New Roman" w:hAnsi="Times New Roman"/>
          <w:kern w:val="0"/>
          <w:lang w:val="en"/>
        </w:rPr>
        <w:t>a test tube containing</w:t>
      </w:r>
      <w:r w:rsidR="00D723F0">
        <w:rPr>
          <w:rFonts w:ascii="Times New Roman" w:hAnsi="Times New Roman"/>
          <w:kern w:val="0"/>
          <w:lang w:val="en"/>
        </w:rPr>
        <w:t>,</w:t>
      </w:r>
      <w:r w:rsidR="00FA4149" w:rsidRPr="00FA4149">
        <w:rPr>
          <w:rFonts w:ascii="Times New Roman" w:hAnsi="Times New Roman"/>
          <w:kern w:val="0"/>
          <w:lang w:val="en"/>
        </w:rPr>
        <w:t xml:space="preserve"> 0.2ml of plasma and mixed properly. After which the test tube was spun in the centrifuge at 3100RPM for 10 minutes.</w:t>
      </w:r>
      <w:r w:rsidR="00502C6C">
        <w:rPr>
          <w:rFonts w:ascii="Times New Roman" w:hAnsi="Times New Roman"/>
          <w:kern w:val="0"/>
          <w:lang w:val="en"/>
        </w:rPr>
        <w:t xml:space="preserve"> </w:t>
      </w:r>
      <w:r w:rsidR="00FA4149" w:rsidRPr="00FA4149">
        <w:rPr>
          <w:rFonts w:ascii="Times New Roman" w:hAnsi="Times New Roman"/>
          <w:kern w:val="0"/>
          <w:lang w:val="en"/>
        </w:rPr>
        <w:t>After centrifugation, 0.5ml of the supernatant was placed in a clean grease free test tube and 1.5ml of the reaction working reagent was added, mixed using the vortex mixer for 3 seconds. In the blank and standard test tube, 0.5ml distilled water and standard solution respectively was added alongside the working reagents in each tube.</w:t>
      </w:r>
      <w:r w:rsidR="00FA4149">
        <w:rPr>
          <w:rFonts w:ascii="Times New Roman" w:hAnsi="Times New Roman"/>
          <w:kern w:val="0"/>
          <w:lang w:val="en"/>
        </w:rPr>
        <w:t xml:space="preserve"> </w:t>
      </w:r>
      <w:r w:rsidR="00FA4149" w:rsidRPr="00FA4149">
        <w:rPr>
          <w:rFonts w:ascii="Times New Roman" w:hAnsi="Times New Roman"/>
          <w:kern w:val="0"/>
          <w:lang w:val="en"/>
        </w:rPr>
        <w:t>Absorbance was read at 340 nm of wavelength using the spectrophotometer.</w:t>
      </w:r>
      <w:r w:rsidR="00502C6C">
        <w:rPr>
          <w:rFonts w:ascii="Times New Roman" w:hAnsi="Times New Roman"/>
          <w:kern w:val="0"/>
          <w:lang w:val="en"/>
        </w:rPr>
        <w:t xml:space="preserve"> After the first absorbance reading, </w:t>
      </w:r>
      <w:r w:rsidR="00FA4149" w:rsidRPr="00FA4149">
        <w:rPr>
          <w:rFonts w:ascii="Times New Roman" w:hAnsi="Times New Roman"/>
          <w:kern w:val="0"/>
          <w:lang w:val="en"/>
        </w:rPr>
        <w:t>0.2ml of enzyme working reagent was added to the solution, mixed properly and incubated at 37</w:t>
      </w:r>
      <w:r w:rsidR="00FA4149" w:rsidRPr="00FA4149">
        <w:rPr>
          <w:rFonts w:ascii="Times New Roman" w:hAnsi="Times New Roman"/>
          <w:kern w:val="0"/>
          <w:vertAlign w:val="superscript"/>
          <w:lang w:val="en"/>
        </w:rPr>
        <w:t>0</w:t>
      </w:r>
      <w:r w:rsidR="00FA4149" w:rsidRPr="00FA4149">
        <w:rPr>
          <w:rFonts w:ascii="Times New Roman" w:hAnsi="Times New Roman"/>
          <w:kern w:val="0"/>
          <w:lang w:val="en"/>
        </w:rPr>
        <w:t xml:space="preserve"> Celsius for 40 minutes. </w:t>
      </w:r>
      <w:r w:rsidR="00502C6C">
        <w:rPr>
          <w:rFonts w:ascii="Times New Roman" w:hAnsi="Times New Roman"/>
          <w:kern w:val="0"/>
          <w:lang w:val="en"/>
        </w:rPr>
        <w:t>T</w:t>
      </w:r>
      <w:r w:rsidR="00FA4149" w:rsidRPr="00FA4149">
        <w:rPr>
          <w:rFonts w:ascii="Times New Roman" w:hAnsi="Times New Roman"/>
          <w:kern w:val="0"/>
          <w:lang w:val="en"/>
        </w:rPr>
        <w:t>he</w:t>
      </w:r>
      <w:r w:rsidR="00502C6C">
        <w:rPr>
          <w:rFonts w:ascii="Times New Roman" w:hAnsi="Times New Roman"/>
          <w:kern w:val="0"/>
          <w:lang w:val="en"/>
        </w:rPr>
        <w:t xml:space="preserve"> second </w:t>
      </w:r>
      <w:r w:rsidR="00FA4149" w:rsidRPr="00FA4149">
        <w:rPr>
          <w:rFonts w:ascii="Times New Roman" w:hAnsi="Times New Roman"/>
          <w:kern w:val="0"/>
          <w:lang w:val="en"/>
        </w:rPr>
        <w:t>absorbance of the test solution was read using the spectrophotometer at 340nm.</w:t>
      </w:r>
    </w:p>
    <w:p w14:paraId="17550878" w14:textId="10A753AE" w:rsidR="00502C6C" w:rsidRPr="00502C6C" w:rsidRDefault="00502C6C" w:rsidP="007529E2">
      <w:pPr>
        <w:widowControl w:val="0"/>
        <w:autoSpaceDE w:val="0"/>
        <w:autoSpaceDN w:val="0"/>
        <w:adjustRightInd w:val="0"/>
        <w:spacing w:after="0" w:line="480" w:lineRule="auto"/>
        <w:jc w:val="both"/>
        <w:rPr>
          <w:rFonts w:ascii="Times New Roman" w:hAnsi="Times New Roman"/>
          <w:b/>
          <w:bCs/>
          <w:kern w:val="0"/>
          <w:lang w:val="en"/>
        </w:rPr>
      </w:pPr>
      <w:r w:rsidRPr="00502C6C">
        <w:rPr>
          <w:rFonts w:ascii="Times New Roman" w:hAnsi="Times New Roman"/>
          <w:b/>
          <w:bCs/>
          <w:kern w:val="0"/>
          <w:lang w:val="en"/>
        </w:rPr>
        <w:t>2.7 Results Interpretation</w:t>
      </w:r>
    </w:p>
    <w:p w14:paraId="19BC1518" w14:textId="77777777" w:rsidR="00502C6C" w:rsidRPr="00950145" w:rsidRDefault="00502C6C" w:rsidP="007529E2">
      <w:pPr>
        <w:widowControl w:val="0"/>
        <w:autoSpaceDE w:val="0"/>
        <w:autoSpaceDN w:val="0"/>
        <w:adjustRightInd w:val="0"/>
        <w:spacing w:after="200" w:line="480" w:lineRule="auto"/>
        <w:jc w:val="both"/>
        <w:rPr>
          <w:rFonts w:ascii="Times New Roman" w:hAnsi="Times New Roman"/>
          <w:kern w:val="0"/>
          <w:lang w:val="en"/>
        </w:rPr>
      </w:pPr>
      <w:r w:rsidRPr="00950145">
        <w:rPr>
          <w:rFonts w:ascii="Times New Roman" w:hAnsi="Times New Roman"/>
          <w:kern w:val="0"/>
          <w:lang w:val="en"/>
        </w:rPr>
        <w:t>The concentration of glutamic acid in the test samples was determined using the formula below:</w:t>
      </w:r>
    </w:p>
    <w:p w14:paraId="5F81F6B5" w14:textId="77777777" w:rsidR="00502C6C" w:rsidRPr="00950145" w:rsidRDefault="00502C6C" w:rsidP="007529E2">
      <w:pPr>
        <w:widowControl w:val="0"/>
        <w:autoSpaceDE w:val="0"/>
        <w:autoSpaceDN w:val="0"/>
        <w:adjustRightInd w:val="0"/>
        <w:spacing w:after="0" w:line="240" w:lineRule="auto"/>
        <w:jc w:val="both"/>
        <w:rPr>
          <w:rFonts w:ascii="Times New Roman" w:hAnsi="Times New Roman"/>
          <w:kern w:val="0"/>
          <w:lang w:val="en"/>
        </w:rPr>
      </w:pPr>
      <w:r w:rsidRPr="00950145">
        <w:rPr>
          <w:rFonts w:ascii="Times New Roman" w:hAnsi="Times New Roman"/>
          <w:kern w:val="0"/>
          <w:lang w:val="en"/>
        </w:rPr>
        <w:t xml:space="preserve">Glutamic acid concentration = </w:t>
      </w:r>
      <w:r w:rsidRPr="00950145">
        <w:rPr>
          <w:rFonts w:ascii="Times New Roman" w:hAnsi="Times New Roman"/>
          <w:kern w:val="0"/>
          <w:u w:val="single"/>
          <w:lang w:val="en"/>
        </w:rPr>
        <w:t>(A</w:t>
      </w:r>
      <w:r w:rsidRPr="00950145">
        <w:rPr>
          <w:rFonts w:ascii="Times New Roman" w:hAnsi="Times New Roman"/>
          <w:kern w:val="0"/>
          <w:vertAlign w:val="subscript"/>
          <w:lang w:val="en"/>
        </w:rPr>
        <w:t>2</w:t>
      </w:r>
      <w:r w:rsidRPr="00950145">
        <w:rPr>
          <w:rFonts w:ascii="Times New Roman" w:hAnsi="Times New Roman"/>
          <w:kern w:val="0"/>
          <w:u w:val="single"/>
          <w:lang w:val="en"/>
        </w:rPr>
        <w:t>sample -A</w:t>
      </w:r>
      <w:r w:rsidRPr="00950145">
        <w:rPr>
          <w:rFonts w:ascii="Times New Roman" w:hAnsi="Times New Roman"/>
          <w:kern w:val="0"/>
          <w:u w:val="single"/>
          <w:vertAlign w:val="subscript"/>
          <w:lang w:val="en"/>
        </w:rPr>
        <w:t>1</w:t>
      </w:r>
      <w:r w:rsidRPr="00950145">
        <w:rPr>
          <w:rFonts w:ascii="Times New Roman" w:hAnsi="Times New Roman"/>
          <w:kern w:val="0"/>
          <w:u w:val="single"/>
          <w:lang w:val="en"/>
        </w:rPr>
        <w:t xml:space="preserve"> sample) – (A</w:t>
      </w:r>
      <w:r w:rsidRPr="00950145">
        <w:rPr>
          <w:rFonts w:ascii="Times New Roman" w:hAnsi="Times New Roman"/>
          <w:kern w:val="0"/>
          <w:u w:val="single"/>
          <w:vertAlign w:val="subscript"/>
          <w:lang w:val="en"/>
        </w:rPr>
        <w:t>2</w:t>
      </w:r>
      <w:r w:rsidRPr="00950145">
        <w:rPr>
          <w:rFonts w:ascii="Times New Roman" w:hAnsi="Times New Roman"/>
          <w:kern w:val="0"/>
          <w:u w:val="single"/>
          <w:lang w:val="en"/>
        </w:rPr>
        <w:t xml:space="preserve"> blank-A</w:t>
      </w:r>
      <w:r w:rsidRPr="00950145">
        <w:rPr>
          <w:rFonts w:ascii="Times New Roman" w:hAnsi="Times New Roman"/>
          <w:kern w:val="0"/>
          <w:u w:val="single"/>
          <w:vertAlign w:val="subscript"/>
          <w:lang w:val="en"/>
        </w:rPr>
        <w:t>1</w:t>
      </w:r>
      <w:r w:rsidRPr="00950145">
        <w:rPr>
          <w:rFonts w:ascii="Times New Roman" w:hAnsi="Times New Roman"/>
          <w:kern w:val="0"/>
          <w:u w:val="single"/>
          <w:lang w:val="en"/>
        </w:rPr>
        <w:t>blank)</w:t>
      </w:r>
      <w:r w:rsidRPr="00950145">
        <w:rPr>
          <w:rFonts w:ascii="Times New Roman" w:hAnsi="Times New Roman"/>
          <w:kern w:val="0"/>
          <w:lang w:val="en"/>
        </w:rPr>
        <w:t xml:space="preserve"> * c * 4</w:t>
      </w:r>
    </w:p>
    <w:p w14:paraId="17E2786A" w14:textId="77777777" w:rsidR="00502C6C" w:rsidRPr="00950145" w:rsidRDefault="00502C6C" w:rsidP="007529E2">
      <w:pPr>
        <w:widowControl w:val="0"/>
        <w:autoSpaceDE w:val="0"/>
        <w:autoSpaceDN w:val="0"/>
        <w:adjustRightInd w:val="0"/>
        <w:spacing w:after="0" w:line="240" w:lineRule="auto"/>
        <w:jc w:val="both"/>
        <w:rPr>
          <w:rFonts w:ascii="Times New Roman" w:hAnsi="Times New Roman"/>
          <w:kern w:val="0"/>
          <w:lang w:val="en"/>
        </w:rPr>
      </w:pPr>
      <w:r w:rsidRPr="00950145">
        <w:rPr>
          <w:rFonts w:ascii="Times New Roman" w:hAnsi="Times New Roman"/>
          <w:kern w:val="0"/>
          <w:lang w:val="en"/>
        </w:rPr>
        <w:t xml:space="preserve">                                                 (A</w:t>
      </w:r>
      <w:r w:rsidRPr="00950145">
        <w:rPr>
          <w:rFonts w:ascii="Times New Roman" w:hAnsi="Times New Roman"/>
          <w:kern w:val="0"/>
          <w:vertAlign w:val="subscript"/>
          <w:lang w:val="en"/>
        </w:rPr>
        <w:t>2</w:t>
      </w:r>
      <w:r w:rsidRPr="00950145">
        <w:rPr>
          <w:rFonts w:ascii="Times New Roman" w:hAnsi="Times New Roman"/>
          <w:kern w:val="0"/>
          <w:lang w:val="en"/>
        </w:rPr>
        <w:t xml:space="preserve"> standard-A</w:t>
      </w:r>
      <w:r w:rsidRPr="00950145">
        <w:rPr>
          <w:rFonts w:ascii="Times New Roman" w:hAnsi="Times New Roman"/>
          <w:kern w:val="0"/>
          <w:vertAlign w:val="subscript"/>
          <w:lang w:val="en"/>
        </w:rPr>
        <w:t>1</w:t>
      </w:r>
      <w:r w:rsidRPr="00950145">
        <w:rPr>
          <w:rFonts w:ascii="Times New Roman" w:hAnsi="Times New Roman"/>
          <w:kern w:val="0"/>
          <w:lang w:val="en"/>
        </w:rPr>
        <w:t xml:space="preserve"> standard) – (A</w:t>
      </w:r>
      <w:r w:rsidRPr="00950145">
        <w:rPr>
          <w:rFonts w:ascii="Times New Roman" w:hAnsi="Times New Roman"/>
          <w:kern w:val="0"/>
          <w:vertAlign w:val="subscript"/>
          <w:lang w:val="en"/>
        </w:rPr>
        <w:t>2</w:t>
      </w:r>
      <w:r w:rsidRPr="00950145">
        <w:rPr>
          <w:rFonts w:ascii="Times New Roman" w:hAnsi="Times New Roman"/>
          <w:kern w:val="0"/>
          <w:lang w:val="en"/>
        </w:rPr>
        <w:t xml:space="preserve"> blank-A</w:t>
      </w:r>
      <w:r w:rsidRPr="00950145">
        <w:rPr>
          <w:rFonts w:ascii="Times New Roman" w:hAnsi="Times New Roman"/>
          <w:kern w:val="0"/>
          <w:vertAlign w:val="subscript"/>
          <w:lang w:val="en"/>
        </w:rPr>
        <w:t>1</w:t>
      </w:r>
      <w:r w:rsidRPr="00950145">
        <w:rPr>
          <w:rFonts w:ascii="Times New Roman" w:hAnsi="Times New Roman"/>
          <w:kern w:val="0"/>
          <w:lang w:val="en"/>
        </w:rPr>
        <w:t>blank)</w:t>
      </w:r>
    </w:p>
    <w:p w14:paraId="6C97E9F4" w14:textId="77777777" w:rsidR="007529E2" w:rsidRDefault="007529E2" w:rsidP="007529E2">
      <w:pPr>
        <w:widowControl w:val="0"/>
        <w:autoSpaceDE w:val="0"/>
        <w:autoSpaceDN w:val="0"/>
        <w:adjustRightInd w:val="0"/>
        <w:spacing w:after="0" w:line="480" w:lineRule="auto"/>
        <w:jc w:val="both"/>
        <w:rPr>
          <w:rFonts w:ascii="Times New Roman" w:hAnsi="Times New Roman"/>
          <w:kern w:val="0"/>
          <w:lang w:val="en"/>
        </w:rPr>
      </w:pPr>
    </w:p>
    <w:p w14:paraId="66323B3E" w14:textId="10CB9175" w:rsidR="00502C6C" w:rsidRPr="00950145" w:rsidRDefault="00502C6C" w:rsidP="007529E2">
      <w:pPr>
        <w:widowControl w:val="0"/>
        <w:autoSpaceDE w:val="0"/>
        <w:autoSpaceDN w:val="0"/>
        <w:adjustRightInd w:val="0"/>
        <w:spacing w:after="0" w:line="480" w:lineRule="auto"/>
        <w:jc w:val="both"/>
        <w:rPr>
          <w:rFonts w:ascii="Times New Roman" w:hAnsi="Times New Roman"/>
          <w:kern w:val="0"/>
          <w:lang w:val="en"/>
        </w:rPr>
      </w:pPr>
      <w:r w:rsidRPr="00950145">
        <w:rPr>
          <w:rFonts w:ascii="Times New Roman" w:hAnsi="Times New Roman"/>
          <w:kern w:val="0"/>
          <w:lang w:val="en"/>
        </w:rPr>
        <w:t>Where: A</w:t>
      </w:r>
      <w:r w:rsidRPr="00950145">
        <w:rPr>
          <w:rFonts w:ascii="Times New Roman" w:hAnsi="Times New Roman"/>
          <w:kern w:val="0"/>
          <w:vertAlign w:val="subscript"/>
          <w:lang w:val="en"/>
        </w:rPr>
        <w:t>1</w:t>
      </w:r>
      <w:r w:rsidRPr="00950145">
        <w:rPr>
          <w:rFonts w:ascii="Times New Roman" w:hAnsi="Times New Roman"/>
          <w:kern w:val="0"/>
          <w:lang w:val="en"/>
        </w:rPr>
        <w:t xml:space="preserve"> is the absorbance value when the test was first read</w:t>
      </w:r>
    </w:p>
    <w:p w14:paraId="3017B754" w14:textId="77777777" w:rsidR="00502C6C" w:rsidRPr="00950145" w:rsidRDefault="00502C6C" w:rsidP="007529E2">
      <w:pPr>
        <w:widowControl w:val="0"/>
        <w:autoSpaceDE w:val="0"/>
        <w:autoSpaceDN w:val="0"/>
        <w:adjustRightInd w:val="0"/>
        <w:spacing w:after="0" w:line="480" w:lineRule="auto"/>
        <w:jc w:val="both"/>
        <w:rPr>
          <w:rFonts w:ascii="Times New Roman" w:hAnsi="Times New Roman"/>
          <w:kern w:val="0"/>
          <w:lang w:val="en"/>
        </w:rPr>
      </w:pPr>
      <w:r w:rsidRPr="00950145">
        <w:rPr>
          <w:rFonts w:ascii="Times New Roman" w:hAnsi="Times New Roman"/>
          <w:kern w:val="0"/>
          <w:lang w:val="en"/>
        </w:rPr>
        <w:t>A</w:t>
      </w:r>
      <w:r w:rsidRPr="00950145">
        <w:rPr>
          <w:rFonts w:ascii="Times New Roman" w:hAnsi="Times New Roman"/>
          <w:kern w:val="0"/>
          <w:vertAlign w:val="subscript"/>
          <w:lang w:val="en"/>
        </w:rPr>
        <w:t>2</w:t>
      </w:r>
      <w:r w:rsidRPr="00950145">
        <w:rPr>
          <w:rFonts w:ascii="Times New Roman" w:hAnsi="Times New Roman"/>
          <w:kern w:val="0"/>
          <w:lang w:val="en"/>
        </w:rPr>
        <w:t xml:space="preserve"> is the value of absorbance for the second reading</w:t>
      </w:r>
    </w:p>
    <w:p w14:paraId="3A618E9D" w14:textId="79700F0D" w:rsidR="00502C6C" w:rsidRDefault="00D723F0" w:rsidP="00D723F0">
      <w:pPr>
        <w:widowControl w:val="0"/>
        <w:autoSpaceDE w:val="0"/>
        <w:autoSpaceDN w:val="0"/>
        <w:adjustRightInd w:val="0"/>
        <w:spacing w:after="0" w:line="480" w:lineRule="auto"/>
        <w:jc w:val="both"/>
        <w:rPr>
          <w:rFonts w:ascii="Times New Roman" w:hAnsi="Times New Roman"/>
          <w:kern w:val="0"/>
          <w:lang w:val="en"/>
        </w:rPr>
      </w:pPr>
      <w:r>
        <w:rPr>
          <w:rFonts w:ascii="Times New Roman" w:hAnsi="Times New Roman"/>
          <w:kern w:val="0"/>
          <w:lang w:val="en"/>
        </w:rPr>
        <w:lastRenderedPageBreak/>
        <w:t>c</w:t>
      </w:r>
      <w:r w:rsidR="00502C6C" w:rsidRPr="00950145">
        <w:rPr>
          <w:rFonts w:ascii="Times New Roman" w:hAnsi="Times New Roman"/>
          <w:kern w:val="0"/>
          <w:lang w:val="en"/>
        </w:rPr>
        <w:t>= concentration of the standard solution, which is 200µmol/l</w:t>
      </w:r>
      <w:r>
        <w:rPr>
          <w:rFonts w:ascii="Times New Roman" w:hAnsi="Times New Roman"/>
          <w:kern w:val="0"/>
          <w:lang w:val="en"/>
        </w:rPr>
        <w:t xml:space="preserve">. </w:t>
      </w:r>
      <w:r w:rsidR="00502C6C" w:rsidRPr="00950145">
        <w:rPr>
          <w:rFonts w:ascii="Times New Roman" w:hAnsi="Times New Roman"/>
          <w:kern w:val="0"/>
          <w:lang w:val="en"/>
        </w:rPr>
        <w:t>The dilution factor is 4</w:t>
      </w:r>
    </w:p>
    <w:p w14:paraId="1B2AE80E" w14:textId="2F419778" w:rsidR="00502C6C" w:rsidRPr="00502C6C" w:rsidRDefault="00502C6C" w:rsidP="007529E2">
      <w:pPr>
        <w:widowControl w:val="0"/>
        <w:autoSpaceDE w:val="0"/>
        <w:autoSpaceDN w:val="0"/>
        <w:adjustRightInd w:val="0"/>
        <w:spacing w:after="200" w:line="480" w:lineRule="auto"/>
        <w:jc w:val="both"/>
        <w:rPr>
          <w:rFonts w:ascii="Times New Roman" w:hAnsi="Times New Roman"/>
          <w:b/>
          <w:bCs/>
          <w:kern w:val="0"/>
          <w:lang w:val="en"/>
        </w:rPr>
      </w:pPr>
      <w:r w:rsidRPr="00502C6C">
        <w:rPr>
          <w:rFonts w:ascii="Times New Roman" w:hAnsi="Times New Roman"/>
          <w:b/>
          <w:bCs/>
          <w:kern w:val="0"/>
          <w:lang w:val="en"/>
        </w:rPr>
        <w:t>2.8 Data Analysis</w:t>
      </w:r>
    </w:p>
    <w:p w14:paraId="04498B01" w14:textId="5AFE6A92" w:rsidR="0080202F" w:rsidRPr="00D723F0" w:rsidRDefault="00832425" w:rsidP="00D723F0">
      <w:pPr>
        <w:widowControl w:val="0"/>
        <w:autoSpaceDE w:val="0"/>
        <w:autoSpaceDN w:val="0"/>
        <w:adjustRightInd w:val="0"/>
        <w:spacing w:after="200" w:line="480" w:lineRule="auto"/>
        <w:jc w:val="both"/>
        <w:rPr>
          <w:rFonts w:ascii="Times New Roman" w:hAnsi="Times New Roman" w:cs="Times New Roman"/>
          <w:kern w:val="0"/>
          <w:lang w:val="en"/>
        </w:rPr>
      </w:pPr>
      <w:r>
        <w:rPr>
          <w:rFonts w:ascii="Times New Roman" w:hAnsi="Times New Roman"/>
          <w:kern w:val="0"/>
          <w:lang w:val="en"/>
        </w:rPr>
        <w:t xml:space="preserve">Data obtained from this study were </w:t>
      </w:r>
      <w:proofErr w:type="spellStart"/>
      <w:r>
        <w:rPr>
          <w:rFonts w:ascii="Times New Roman" w:hAnsi="Times New Roman"/>
          <w:kern w:val="0"/>
          <w:lang w:val="en"/>
        </w:rPr>
        <w:t>analysed</w:t>
      </w:r>
      <w:proofErr w:type="spellEnd"/>
      <w:r>
        <w:rPr>
          <w:rFonts w:ascii="Times New Roman" w:hAnsi="Times New Roman"/>
          <w:kern w:val="0"/>
          <w:lang w:val="en"/>
        </w:rPr>
        <w:t xml:space="preserve"> using Excel and </w:t>
      </w:r>
      <w:r w:rsidRPr="00950145">
        <w:rPr>
          <w:rFonts w:ascii="Times New Roman" w:hAnsi="Times New Roman"/>
          <w:kern w:val="0"/>
          <w:lang w:val="en"/>
        </w:rPr>
        <w:t>IBM SPSS Statistics version 26</w:t>
      </w:r>
      <w:r>
        <w:rPr>
          <w:rFonts w:ascii="Times New Roman" w:hAnsi="Times New Roman"/>
          <w:kern w:val="0"/>
          <w:lang w:val="en"/>
        </w:rPr>
        <w:t xml:space="preserve">. The results were expressed as percentage, mean </w:t>
      </w:r>
      <w:r>
        <w:rPr>
          <w:rFonts w:ascii="Times New Roman" w:hAnsi="Times New Roman" w:cs="Times New Roman"/>
          <w:kern w:val="0"/>
          <w:lang w:val="en"/>
        </w:rPr>
        <w:t>± standard deviation. The comparison of means between the group was done using independent (student) t-test and one-way ANOVA, Turkey post hoc with p ≤ 0.05 considered statistically significant.</w:t>
      </w:r>
    </w:p>
    <w:p w14:paraId="377FF663" w14:textId="55E04F91" w:rsidR="00C721D6" w:rsidRDefault="00BC48B8">
      <w:pPr>
        <w:rPr>
          <w:rFonts w:ascii="Times New Roman" w:hAnsi="Times New Roman"/>
          <w:b/>
          <w:bCs/>
        </w:rPr>
      </w:pPr>
      <w:r w:rsidRPr="00BC48B8">
        <w:rPr>
          <w:rFonts w:ascii="Times New Roman" w:hAnsi="Times New Roman"/>
          <w:b/>
          <w:bCs/>
        </w:rPr>
        <w:t>3.0 RESULTS</w:t>
      </w:r>
    </w:p>
    <w:p w14:paraId="6BFDC9E6" w14:textId="1B5586EA" w:rsidR="007529E2" w:rsidRDefault="007529E2" w:rsidP="007529E2">
      <w:pPr>
        <w:spacing w:after="0" w:line="480" w:lineRule="auto"/>
        <w:jc w:val="both"/>
        <w:rPr>
          <w:rFonts w:ascii="Times New Roman" w:hAnsi="Times New Roman"/>
        </w:rPr>
      </w:pPr>
      <w:r>
        <w:rPr>
          <w:rFonts w:ascii="Times New Roman" w:hAnsi="Times New Roman"/>
        </w:rPr>
        <w:t xml:space="preserve">From table 1 below, </w:t>
      </w:r>
      <w:r w:rsidR="002D0115">
        <w:rPr>
          <w:rFonts w:ascii="Times New Roman" w:hAnsi="Times New Roman"/>
        </w:rPr>
        <w:t>t</w:t>
      </w:r>
      <w:r w:rsidRPr="00950145">
        <w:rPr>
          <w:rFonts w:ascii="Times New Roman" w:hAnsi="Times New Roman"/>
        </w:rPr>
        <w:t>he cancer subjects were significantly older, with a mean age of 50.06 ± 14.42 years compared to the healthy control group, which had a mean age of   27.04 ± 9.380 years. The control subjects had a sex distribution of 20 (40%) and 30 (60%) for male and female subjects respectively. While the cancer group were predominantly female, consisting 41(82%) female and 9 (18%) males. A notable difference was found in marital status: the cancer group comprised 44 married persons and 6 singles, while the control group had 11 married persons, 38 single individuals and one widow. This suggests a higher prevalence of cancer among the married population, which is also noted to be mostly dependent on their age and lifestyle. Based on the educational qualification of the recruited participants, the control group had 2 (4%) persons with SSCE, 39 (78%0) undergraduates and 9 (18%) graduates while the cancer group had 3 (6%) persons with FSLC, 22 (44%) with SSCE, 2 (4%) with OND, 2 (4%) undergraduates, 17 (34%) graduates and 4 (8%) postgraduates.</w:t>
      </w:r>
    </w:p>
    <w:p w14:paraId="00B57D93" w14:textId="77777777" w:rsidR="00317474" w:rsidRDefault="00317474" w:rsidP="007529E2">
      <w:pPr>
        <w:spacing w:after="0" w:line="480" w:lineRule="auto"/>
        <w:jc w:val="both"/>
        <w:rPr>
          <w:rFonts w:ascii="Times New Roman" w:hAnsi="Times New Roman"/>
        </w:rPr>
      </w:pPr>
    </w:p>
    <w:p w14:paraId="6C86A80A" w14:textId="77777777" w:rsidR="00317474" w:rsidRDefault="00317474" w:rsidP="007529E2">
      <w:pPr>
        <w:spacing w:after="0" w:line="480" w:lineRule="auto"/>
        <w:jc w:val="both"/>
        <w:rPr>
          <w:rFonts w:ascii="Times New Roman" w:hAnsi="Times New Roman"/>
        </w:rPr>
      </w:pPr>
    </w:p>
    <w:p w14:paraId="23FD2DC7" w14:textId="77777777" w:rsidR="00317474" w:rsidRDefault="00317474" w:rsidP="007529E2">
      <w:pPr>
        <w:spacing w:after="0" w:line="480" w:lineRule="auto"/>
        <w:jc w:val="both"/>
        <w:rPr>
          <w:rFonts w:ascii="Times New Roman" w:hAnsi="Times New Roman"/>
        </w:rPr>
      </w:pPr>
    </w:p>
    <w:p w14:paraId="7AB6120B" w14:textId="77777777" w:rsidR="00D723F0" w:rsidRPr="007529E2" w:rsidRDefault="00D723F0" w:rsidP="007529E2">
      <w:pPr>
        <w:spacing w:after="0" w:line="480" w:lineRule="auto"/>
        <w:jc w:val="both"/>
        <w:rPr>
          <w:rFonts w:ascii="Times New Roman" w:hAnsi="Times New Roman"/>
        </w:rPr>
      </w:pPr>
    </w:p>
    <w:p w14:paraId="55E4193E" w14:textId="65DC1F13" w:rsidR="00BC48B8" w:rsidRPr="00950145" w:rsidRDefault="00BC48B8" w:rsidP="00BC48B8">
      <w:pPr>
        <w:jc w:val="both"/>
        <w:rPr>
          <w:rFonts w:ascii="Times New Roman" w:hAnsi="Times New Roman"/>
          <w:b/>
          <w:bCs/>
        </w:rPr>
      </w:pPr>
      <w:r>
        <w:rPr>
          <w:rFonts w:ascii="Times New Roman" w:hAnsi="Times New Roman"/>
          <w:b/>
          <w:bCs/>
        </w:rPr>
        <w:lastRenderedPageBreak/>
        <w:t>Table 1</w:t>
      </w:r>
      <w:r w:rsidRPr="00BC48B8">
        <w:rPr>
          <w:rFonts w:ascii="Times New Roman" w:hAnsi="Times New Roman"/>
          <w:b/>
          <w:bCs/>
        </w:rPr>
        <w:t xml:space="preserve"> </w:t>
      </w:r>
      <w:r w:rsidRPr="00BC48B8">
        <w:rPr>
          <w:rFonts w:ascii="Times New Roman" w:hAnsi="Times New Roman"/>
        </w:rPr>
        <w:t>Demographic Characteristics of the subjects</w:t>
      </w:r>
    </w:p>
    <w:p w14:paraId="2AA94AE6" w14:textId="77777777" w:rsidR="00BC48B8" w:rsidRPr="00950145" w:rsidRDefault="00BC48B8" w:rsidP="008F50E5">
      <w:pPr>
        <w:spacing w:after="0" w:line="240" w:lineRule="auto"/>
        <w:jc w:val="both"/>
        <w:rPr>
          <w:rFonts w:ascii="Times New Roman" w:hAnsi="Times New Roman"/>
        </w:rPr>
      </w:pPr>
      <w:r w:rsidRPr="00950145">
        <w:rPr>
          <w:rFonts w:ascii="Times New Roman" w:hAnsi="Times New Roman"/>
        </w:rPr>
        <w:t>________________________________________________________</w:t>
      </w:r>
    </w:p>
    <w:p w14:paraId="3BAB1832"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 xml:space="preserve">Parameters                       </w:t>
      </w:r>
      <w:r>
        <w:rPr>
          <w:rFonts w:ascii="Times New Roman" w:hAnsi="Times New Roman"/>
        </w:rPr>
        <w:t xml:space="preserve"> </w:t>
      </w:r>
      <w:r w:rsidRPr="00950145">
        <w:rPr>
          <w:rFonts w:ascii="Times New Roman" w:hAnsi="Times New Roman"/>
        </w:rPr>
        <w:t xml:space="preserve">Control                          Cancer Subjects       </w:t>
      </w:r>
    </w:p>
    <w:p w14:paraId="2DCC0A4F"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 xml:space="preserve">                                           (n=50)                           </w:t>
      </w:r>
      <w:proofErr w:type="gramStart"/>
      <w:r w:rsidRPr="00950145">
        <w:rPr>
          <w:rFonts w:ascii="Times New Roman" w:hAnsi="Times New Roman"/>
        </w:rPr>
        <w:t xml:space="preserve">   (</w:t>
      </w:r>
      <w:proofErr w:type="gramEnd"/>
      <w:r w:rsidRPr="00950145">
        <w:rPr>
          <w:rFonts w:ascii="Times New Roman" w:hAnsi="Times New Roman"/>
        </w:rPr>
        <w:t>n=50)</w:t>
      </w:r>
    </w:p>
    <w:p w14:paraId="07B451DE"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_________________________________________________________</w:t>
      </w:r>
    </w:p>
    <w:p w14:paraId="2BB56AF8"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 xml:space="preserve">Age (mean ± </w:t>
      </w:r>
      <w:proofErr w:type="gramStart"/>
      <w:r w:rsidRPr="00950145">
        <w:rPr>
          <w:rFonts w:ascii="Times New Roman" w:hAnsi="Times New Roman"/>
        </w:rPr>
        <w:t xml:space="preserve">SD)   </w:t>
      </w:r>
      <w:proofErr w:type="gramEnd"/>
      <w:r w:rsidRPr="00950145">
        <w:rPr>
          <w:rFonts w:ascii="Times New Roman" w:hAnsi="Times New Roman"/>
        </w:rPr>
        <w:t xml:space="preserve">             27.04 ± 9.38                        50.06 ± 14.42</w:t>
      </w:r>
    </w:p>
    <w:p w14:paraId="69D58435" w14:textId="77777777" w:rsidR="00BC48B8" w:rsidRPr="00950145" w:rsidRDefault="00BC48B8" w:rsidP="001A76A0">
      <w:pPr>
        <w:spacing w:after="0" w:line="240" w:lineRule="auto"/>
        <w:jc w:val="both"/>
        <w:rPr>
          <w:rFonts w:ascii="Times New Roman" w:hAnsi="Times New Roman"/>
        </w:rPr>
      </w:pPr>
    </w:p>
    <w:p w14:paraId="3F3DD679" w14:textId="77777777" w:rsidR="00BC48B8" w:rsidRPr="00950145" w:rsidRDefault="00BC48B8" w:rsidP="001A76A0">
      <w:pPr>
        <w:spacing w:after="0" w:line="240" w:lineRule="auto"/>
        <w:jc w:val="both"/>
        <w:rPr>
          <w:rFonts w:ascii="Times New Roman" w:hAnsi="Times New Roman"/>
        </w:rPr>
      </w:pPr>
      <w:proofErr w:type="gramStart"/>
      <w:r w:rsidRPr="00950145">
        <w:rPr>
          <w:rFonts w:ascii="Times New Roman" w:hAnsi="Times New Roman"/>
        </w:rPr>
        <w:t>Sex  n</w:t>
      </w:r>
      <w:proofErr w:type="gramEnd"/>
      <w:r w:rsidRPr="00950145">
        <w:rPr>
          <w:rFonts w:ascii="Times New Roman" w:hAnsi="Times New Roman"/>
        </w:rPr>
        <w:t>(%):</w:t>
      </w:r>
    </w:p>
    <w:p w14:paraId="4259A50B"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Male                                    20 (40</w:t>
      </w:r>
      <w:proofErr w:type="gramStart"/>
      <w:r w:rsidRPr="00950145">
        <w:rPr>
          <w:rFonts w:ascii="Times New Roman" w:hAnsi="Times New Roman"/>
        </w:rPr>
        <w:t xml:space="preserve">%)   </w:t>
      </w:r>
      <w:proofErr w:type="gramEnd"/>
      <w:r w:rsidRPr="00950145">
        <w:rPr>
          <w:rFonts w:ascii="Times New Roman" w:hAnsi="Times New Roman"/>
        </w:rPr>
        <w:t xml:space="preserve">                          9 (18%)</w:t>
      </w:r>
    </w:p>
    <w:p w14:paraId="041D5C9C"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Female                                30 (60</w:t>
      </w:r>
      <w:proofErr w:type="gramStart"/>
      <w:r w:rsidRPr="00950145">
        <w:rPr>
          <w:rFonts w:ascii="Times New Roman" w:hAnsi="Times New Roman"/>
        </w:rPr>
        <w:t xml:space="preserve">%)   </w:t>
      </w:r>
      <w:proofErr w:type="gramEnd"/>
      <w:r w:rsidRPr="00950145">
        <w:rPr>
          <w:rFonts w:ascii="Times New Roman" w:hAnsi="Times New Roman"/>
        </w:rPr>
        <w:t xml:space="preserve">                          41 (82%)</w:t>
      </w:r>
    </w:p>
    <w:p w14:paraId="75767654" w14:textId="77777777" w:rsidR="00BC48B8" w:rsidRPr="00950145" w:rsidRDefault="00BC48B8" w:rsidP="001A76A0">
      <w:pPr>
        <w:spacing w:after="0" w:line="240" w:lineRule="auto"/>
        <w:jc w:val="both"/>
        <w:rPr>
          <w:rFonts w:ascii="Times New Roman" w:hAnsi="Times New Roman"/>
        </w:rPr>
      </w:pPr>
    </w:p>
    <w:p w14:paraId="5CA6746B"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Marital status:</w:t>
      </w:r>
    </w:p>
    <w:p w14:paraId="78CD091B"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Married                                11 (22</w:t>
      </w:r>
      <w:proofErr w:type="gramStart"/>
      <w:r w:rsidRPr="00950145">
        <w:rPr>
          <w:rFonts w:ascii="Times New Roman" w:hAnsi="Times New Roman"/>
        </w:rPr>
        <w:t xml:space="preserve">%)   </w:t>
      </w:r>
      <w:proofErr w:type="gramEnd"/>
      <w:r w:rsidRPr="00950145">
        <w:rPr>
          <w:rFonts w:ascii="Times New Roman" w:hAnsi="Times New Roman"/>
        </w:rPr>
        <w:t xml:space="preserve">                          44 (88%)</w:t>
      </w:r>
    </w:p>
    <w:p w14:paraId="6CE341A6"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Single                                   38 (76</w:t>
      </w:r>
      <w:proofErr w:type="gramStart"/>
      <w:r w:rsidRPr="00950145">
        <w:rPr>
          <w:rFonts w:ascii="Times New Roman" w:hAnsi="Times New Roman"/>
        </w:rPr>
        <w:t xml:space="preserve">%)   </w:t>
      </w:r>
      <w:proofErr w:type="gramEnd"/>
      <w:r w:rsidRPr="00950145">
        <w:rPr>
          <w:rFonts w:ascii="Times New Roman" w:hAnsi="Times New Roman"/>
        </w:rPr>
        <w:t xml:space="preserve">                          6 (12%)</w:t>
      </w:r>
    </w:p>
    <w:p w14:paraId="655A6C6C"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Widow                                  1 (2</w:t>
      </w:r>
      <w:proofErr w:type="gramStart"/>
      <w:r w:rsidRPr="00950145">
        <w:rPr>
          <w:rFonts w:ascii="Times New Roman" w:hAnsi="Times New Roman"/>
        </w:rPr>
        <w:t xml:space="preserve">%)   </w:t>
      </w:r>
      <w:proofErr w:type="gramEnd"/>
      <w:r w:rsidRPr="00950145">
        <w:rPr>
          <w:rFonts w:ascii="Times New Roman" w:hAnsi="Times New Roman"/>
        </w:rPr>
        <w:t xml:space="preserve">                                     −</w:t>
      </w:r>
    </w:p>
    <w:p w14:paraId="58FE5375" w14:textId="77777777" w:rsidR="00BC48B8" w:rsidRPr="00950145" w:rsidRDefault="00BC48B8" w:rsidP="001A76A0">
      <w:pPr>
        <w:spacing w:after="0" w:line="240" w:lineRule="auto"/>
        <w:jc w:val="both"/>
        <w:rPr>
          <w:rFonts w:ascii="Times New Roman" w:hAnsi="Times New Roman"/>
        </w:rPr>
      </w:pPr>
    </w:p>
    <w:p w14:paraId="2FD4A2BF"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Educational level:</w:t>
      </w:r>
    </w:p>
    <w:p w14:paraId="0B743ACD"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 xml:space="preserve">FSLC                                           −                                  </w:t>
      </w:r>
      <w:r>
        <w:rPr>
          <w:rFonts w:ascii="Times New Roman" w:hAnsi="Times New Roman"/>
        </w:rPr>
        <w:t xml:space="preserve"> </w:t>
      </w:r>
      <w:r w:rsidRPr="00950145">
        <w:rPr>
          <w:rFonts w:ascii="Times New Roman" w:hAnsi="Times New Roman"/>
        </w:rPr>
        <w:t xml:space="preserve"> 3 (6%)</w:t>
      </w:r>
    </w:p>
    <w:p w14:paraId="050093E8"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SSCE                                      2 (4</w:t>
      </w:r>
      <w:proofErr w:type="gramStart"/>
      <w:r w:rsidRPr="00950145">
        <w:rPr>
          <w:rFonts w:ascii="Times New Roman" w:hAnsi="Times New Roman"/>
        </w:rPr>
        <w:t xml:space="preserve">%)   </w:t>
      </w:r>
      <w:proofErr w:type="gramEnd"/>
      <w:r w:rsidRPr="00950145">
        <w:rPr>
          <w:rFonts w:ascii="Times New Roman" w:hAnsi="Times New Roman"/>
        </w:rPr>
        <w:t xml:space="preserve">                             22 (44%)</w:t>
      </w:r>
    </w:p>
    <w:p w14:paraId="0236DF10"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 xml:space="preserve">OND                                             −                                   </w:t>
      </w:r>
      <w:r>
        <w:rPr>
          <w:rFonts w:ascii="Times New Roman" w:hAnsi="Times New Roman"/>
        </w:rPr>
        <w:t xml:space="preserve"> </w:t>
      </w:r>
      <w:r w:rsidRPr="00950145">
        <w:rPr>
          <w:rFonts w:ascii="Times New Roman" w:hAnsi="Times New Roman"/>
        </w:rPr>
        <w:t>2 (4%)</w:t>
      </w:r>
    </w:p>
    <w:p w14:paraId="0E1809A2"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Undergraduate                        39 (78</w:t>
      </w:r>
      <w:proofErr w:type="gramStart"/>
      <w:r w:rsidRPr="00950145">
        <w:rPr>
          <w:rFonts w:ascii="Times New Roman" w:hAnsi="Times New Roman"/>
        </w:rPr>
        <w:t xml:space="preserve">%)   </w:t>
      </w:r>
      <w:proofErr w:type="gramEnd"/>
      <w:r w:rsidRPr="00950145">
        <w:rPr>
          <w:rFonts w:ascii="Times New Roman" w:hAnsi="Times New Roman"/>
        </w:rPr>
        <w:t xml:space="preserve">                          2 (4%)</w:t>
      </w:r>
    </w:p>
    <w:p w14:paraId="4B3654C2"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Graduate                                 9 (18</w:t>
      </w:r>
      <w:proofErr w:type="gramStart"/>
      <w:r w:rsidRPr="00950145">
        <w:rPr>
          <w:rFonts w:ascii="Times New Roman" w:hAnsi="Times New Roman"/>
        </w:rPr>
        <w:t xml:space="preserve">%)   </w:t>
      </w:r>
      <w:proofErr w:type="gramEnd"/>
      <w:r w:rsidRPr="00950145">
        <w:rPr>
          <w:rFonts w:ascii="Times New Roman" w:hAnsi="Times New Roman"/>
        </w:rPr>
        <w:t xml:space="preserve">                           </w:t>
      </w:r>
      <w:r>
        <w:rPr>
          <w:rFonts w:ascii="Times New Roman" w:hAnsi="Times New Roman"/>
        </w:rPr>
        <w:t xml:space="preserve"> </w:t>
      </w:r>
      <w:r w:rsidRPr="00950145">
        <w:rPr>
          <w:rFonts w:ascii="Times New Roman" w:hAnsi="Times New Roman"/>
        </w:rPr>
        <w:t>17 (34%)</w:t>
      </w:r>
    </w:p>
    <w:p w14:paraId="7E5E7D33"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 xml:space="preserve">Post graduate                             </w:t>
      </w:r>
      <w:r>
        <w:rPr>
          <w:rFonts w:ascii="Times New Roman" w:hAnsi="Times New Roman"/>
        </w:rPr>
        <w:t xml:space="preserve"> </w:t>
      </w:r>
      <w:r w:rsidRPr="00950145">
        <w:rPr>
          <w:rFonts w:ascii="Times New Roman" w:hAnsi="Times New Roman"/>
        </w:rPr>
        <w:t>−                                      4 (8 %)</w:t>
      </w:r>
    </w:p>
    <w:p w14:paraId="09F60EDB" w14:textId="77777777" w:rsidR="00BC48B8" w:rsidRPr="00950145" w:rsidRDefault="00BC48B8" w:rsidP="001A76A0">
      <w:pPr>
        <w:spacing w:after="0" w:line="240" w:lineRule="auto"/>
        <w:jc w:val="both"/>
        <w:rPr>
          <w:rFonts w:ascii="Times New Roman" w:hAnsi="Times New Roman"/>
        </w:rPr>
      </w:pPr>
      <w:r w:rsidRPr="00950145">
        <w:rPr>
          <w:rFonts w:ascii="Times New Roman" w:hAnsi="Times New Roman"/>
        </w:rPr>
        <w:t>________________________________________________________</w:t>
      </w:r>
    </w:p>
    <w:p w14:paraId="2BE934A0" w14:textId="62A4A5C3" w:rsidR="00317474" w:rsidRDefault="00BC48B8" w:rsidP="001A76A0">
      <w:pPr>
        <w:spacing w:after="0" w:line="240" w:lineRule="auto"/>
        <w:jc w:val="both"/>
        <w:rPr>
          <w:rFonts w:ascii="Times New Roman" w:hAnsi="Times New Roman"/>
        </w:rPr>
      </w:pPr>
      <w:r w:rsidRPr="00950145">
        <w:rPr>
          <w:rFonts w:ascii="Times New Roman" w:hAnsi="Times New Roman"/>
        </w:rPr>
        <w:t>Key: SD – standard deviation</w:t>
      </w:r>
    </w:p>
    <w:p w14:paraId="47941C85" w14:textId="77777777" w:rsidR="001A76A0" w:rsidRDefault="001A76A0" w:rsidP="001A76A0">
      <w:pPr>
        <w:spacing w:after="0" w:line="240" w:lineRule="auto"/>
        <w:jc w:val="both"/>
        <w:rPr>
          <w:rFonts w:ascii="Times New Roman" w:hAnsi="Times New Roman"/>
        </w:rPr>
      </w:pPr>
    </w:p>
    <w:p w14:paraId="459E3D50" w14:textId="77777777" w:rsidR="001A76A0" w:rsidRDefault="001A76A0" w:rsidP="001A76A0">
      <w:pPr>
        <w:spacing w:after="0" w:line="240" w:lineRule="auto"/>
        <w:jc w:val="both"/>
        <w:rPr>
          <w:rFonts w:ascii="Times New Roman" w:hAnsi="Times New Roman"/>
        </w:rPr>
      </w:pPr>
    </w:p>
    <w:p w14:paraId="221AB446" w14:textId="77777777" w:rsidR="001A76A0" w:rsidRDefault="001A76A0" w:rsidP="001A76A0">
      <w:pPr>
        <w:spacing w:after="0" w:line="240" w:lineRule="auto"/>
        <w:jc w:val="both"/>
        <w:rPr>
          <w:rFonts w:ascii="Times New Roman" w:hAnsi="Times New Roman"/>
        </w:rPr>
      </w:pPr>
    </w:p>
    <w:p w14:paraId="2FCDA07A" w14:textId="77777777" w:rsidR="001A76A0" w:rsidRDefault="001A76A0" w:rsidP="001A76A0">
      <w:pPr>
        <w:spacing w:after="0" w:line="240" w:lineRule="auto"/>
        <w:jc w:val="both"/>
        <w:rPr>
          <w:rFonts w:ascii="Times New Roman" w:hAnsi="Times New Roman"/>
        </w:rPr>
      </w:pPr>
    </w:p>
    <w:p w14:paraId="4B03FBF2" w14:textId="77777777" w:rsidR="001A76A0" w:rsidRDefault="001A76A0" w:rsidP="001A76A0">
      <w:pPr>
        <w:spacing w:after="0" w:line="240" w:lineRule="auto"/>
        <w:jc w:val="both"/>
        <w:rPr>
          <w:rFonts w:ascii="Times New Roman" w:hAnsi="Times New Roman"/>
        </w:rPr>
      </w:pPr>
    </w:p>
    <w:p w14:paraId="644DBC4C" w14:textId="77777777" w:rsidR="001A76A0" w:rsidRDefault="001A76A0" w:rsidP="001A76A0">
      <w:pPr>
        <w:spacing w:after="0" w:line="240" w:lineRule="auto"/>
        <w:jc w:val="both"/>
        <w:rPr>
          <w:rFonts w:ascii="Times New Roman" w:hAnsi="Times New Roman"/>
        </w:rPr>
      </w:pPr>
    </w:p>
    <w:p w14:paraId="77AEB157" w14:textId="77777777" w:rsidR="001A76A0" w:rsidRDefault="001A76A0" w:rsidP="001A76A0">
      <w:pPr>
        <w:spacing w:after="0" w:line="240" w:lineRule="auto"/>
        <w:jc w:val="both"/>
        <w:rPr>
          <w:rFonts w:ascii="Times New Roman" w:hAnsi="Times New Roman"/>
        </w:rPr>
      </w:pPr>
    </w:p>
    <w:p w14:paraId="4DDBF6D4" w14:textId="77777777" w:rsidR="001A76A0" w:rsidRDefault="001A76A0" w:rsidP="001A76A0">
      <w:pPr>
        <w:spacing w:after="0" w:line="240" w:lineRule="auto"/>
        <w:jc w:val="both"/>
        <w:rPr>
          <w:rFonts w:ascii="Times New Roman" w:hAnsi="Times New Roman"/>
        </w:rPr>
      </w:pPr>
    </w:p>
    <w:p w14:paraId="2BF7FA69" w14:textId="77777777" w:rsidR="001A76A0" w:rsidRDefault="001A76A0" w:rsidP="001A76A0">
      <w:pPr>
        <w:spacing w:after="0" w:line="240" w:lineRule="auto"/>
        <w:jc w:val="both"/>
        <w:rPr>
          <w:rFonts w:ascii="Times New Roman" w:hAnsi="Times New Roman"/>
        </w:rPr>
      </w:pPr>
    </w:p>
    <w:p w14:paraId="5034B486" w14:textId="77777777" w:rsidR="001A76A0" w:rsidRDefault="001A76A0" w:rsidP="001A76A0">
      <w:pPr>
        <w:spacing w:after="0" w:line="240" w:lineRule="auto"/>
        <w:jc w:val="both"/>
        <w:rPr>
          <w:rFonts w:ascii="Times New Roman" w:hAnsi="Times New Roman"/>
        </w:rPr>
      </w:pPr>
    </w:p>
    <w:p w14:paraId="06D8F3B1" w14:textId="77777777" w:rsidR="001A76A0" w:rsidRDefault="001A76A0" w:rsidP="001A76A0">
      <w:pPr>
        <w:spacing w:after="0" w:line="240" w:lineRule="auto"/>
        <w:jc w:val="both"/>
        <w:rPr>
          <w:rFonts w:ascii="Times New Roman" w:hAnsi="Times New Roman"/>
        </w:rPr>
      </w:pPr>
    </w:p>
    <w:p w14:paraId="23E040FE" w14:textId="77777777" w:rsidR="001A76A0" w:rsidRDefault="001A76A0" w:rsidP="001A76A0">
      <w:pPr>
        <w:spacing w:after="0" w:line="240" w:lineRule="auto"/>
        <w:jc w:val="both"/>
        <w:rPr>
          <w:rFonts w:ascii="Times New Roman" w:hAnsi="Times New Roman"/>
        </w:rPr>
      </w:pPr>
    </w:p>
    <w:p w14:paraId="02D86C28" w14:textId="77777777" w:rsidR="001A76A0" w:rsidRDefault="001A76A0" w:rsidP="001A76A0">
      <w:pPr>
        <w:spacing w:after="0" w:line="240" w:lineRule="auto"/>
        <w:jc w:val="both"/>
        <w:rPr>
          <w:rFonts w:ascii="Times New Roman" w:hAnsi="Times New Roman"/>
        </w:rPr>
      </w:pPr>
    </w:p>
    <w:p w14:paraId="4C2F33F5" w14:textId="77777777" w:rsidR="001A76A0" w:rsidRDefault="001A76A0" w:rsidP="001A76A0">
      <w:pPr>
        <w:spacing w:after="0" w:line="240" w:lineRule="auto"/>
        <w:jc w:val="both"/>
        <w:rPr>
          <w:rFonts w:ascii="Times New Roman" w:hAnsi="Times New Roman"/>
        </w:rPr>
      </w:pPr>
    </w:p>
    <w:p w14:paraId="0D1C7877" w14:textId="77777777" w:rsidR="001A76A0" w:rsidRDefault="001A76A0" w:rsidP="001A76A0">
      <w:pPr>
        <w:spacing w:after="0" w:line="240" w:lineRule="auto"/>
        <w:jc w:val="both"/>
        <w:rPr>
          <w:rFonts w:ascii="Times New Roman" w:hAnsi="Times New Roman"/>
        </w:rPr>
      </w:pPr>
    </w:p>
    <w:p w14:paraId="55AF2DEF" w14:textId="77777777" w:rsidR="001A76A0" w:rsidRDefault="001A76A0" w:rsidP="001A76A0">
      <w:pPr>
        <w:spacing w:after="0" w:line="240" w:lineRule="auto"/>
        <w:jc w:val="both"/>
        <w:rPr>
          <w:rFonts w:ascii="Times New Roman" w:hAnsi="Times New Roman"/>
        </w:rPr>
      </w:pPr>
    </w:p>
    <w:p w14:paraId="6354BC9C" w14:textId="77777777" w:rsidR="001A76A0" w:rsidRDefault="001A76A0" w:rsidP="001A76A0">
      <w:pPr>
        <w:spacing w:after="0" w:line="240" w:lineRule="auto"/>
        <w:jc w:val="both"/>
        <w:rPr>
          <w:rFonts w:ascii="Times New Roman" w:hAnsi="Times New Roman"/>
        </w:rPr>
      </w:pPr>
    </w:p>
    <w:p w14:paraId="5F76E459" w14:textId="77777777" w:rsidR="001A76A0" w:rsidRDefault="001A76A0" w:rsidP="001A76A0">
      <w:pPr>
        <w:spacing w:after="0" w:line="240" w:lineRule="auto"/>
        <w:jc w:val="both"/>
        <w:rPr>
          <w:rFonts w:ascii="Times New Roman" w:hAnsi="Times New Roman"/>
        </w:rPr>
      </w:pPr>
    </w:p>
    <w:p w14:paraId="2DC87922" w14:textId="77777777" w:rsidR="001A76A0" w:rsidRDefault="001A76A0" w:rsidP="001A76A0">
      <w:pPr>
        <w:spacing w:after="0" w:line="240" w:lineRule="auto"/>
        <w:jc w:val="both"/>
        <w:rPr>
          <w:rFonts w:ascii="Times New Roman" w:hAnsi="Times New Roman"/>
        </w:rPr>
      </w:pPr>
    </w:p>
    <w:p w14:paraId="0263BB2E" w14:textId="7A9BD564" w:rsidR="00F404EA" w:rsidRPr="00950145" w:rsidRDefault="00317474" w:rsidP="00317474">
      <w:pPr>
        <w:spacing w:after="0" w:line="480" w:lineRule="auto"/>
        <w:jc w:val="both"/>
        <w:rPr>
          <w:rFonts w:ascii="Times New Roman" w:hAnsi="Times New Roman"/>
        </w:rPr>
      </w:pPr>
      <w:r w:rsidRPr="00950145">
        <w:rPr>
          <w:rFonts w:ascii="Times New Roman" w:hAnsi="Times New Roman"/>
        </w:rPr>
        <w:lastRenderedPageBreak/>
        <w:t>In</w:t>
      </w:r>
      <w:r>
        <w:rPr>
          <w:rFonts w:ascii="Times New Roman" w:hAnsi="Times New Roman"/>
        </w:rPr>
        <w:t xml:space="preserve"> table 2 below, </w:t>
      </w:r>
      <w:r w:rsidRPr="00950145">
        <w:rPr>
          <w:rFonts w:ascii="Times New Roman" w:hAnsi="Times New Roman"/>
        </w:rPr>
        <w:t xml:space="preserve">14 subjects (28%) </w:t>
      </w:r>
      <w:r>
        <w:rPr>
          <w:rFonts w:ascii="Times New Roman" w:hAnsi="Times New Roman"/>
        </w:rPr>
        <w:t xml:space="preserve">of the control group </w:t>
      </w:r>
      <w:r w:rsidRPr="00950145">
        <w:rPr>
          <w:rFonts w:ascii="Times New Roman" w:hAnsi="Times New Roman"/>
        </w:rPr>
        <w:t>have never consumed alcohol, 35 (70%) consumed it occasionally and 1 (2%) on regular basis. From the cancer group, 33 (66%) subjects had never consumed alcohol, 16 (32%) consumes it occasionally and 1(2%) consumes it regularly. All control subjects had never smoked, while in the cancer group, 2 (4%) subjects were currently smokers and 48 (96%) subjects had never smoked.  A majority of the cancer subjects, 31 (62%) reported weight loss, while the remaining 19 (38%) did not.  On the basis of appetite, out of the 50 recruited participants in the cancer group, 30 (60%) subjects had good appetite, but a substantial number of 14 (28%) reported poor appetite and 6 (12%) fair appetite for food; while the apparently healthy control subjects all had good appetites.</w:t>
      </w:r>
    </w:p>
    <w:p w14:paraId="59EF2880" w14:textId="77777777" w:rsidR="009D45AB" w:rsidRPr="00950145" w:rsidRDefault="009D45AB" w:rsidP="009D45AB">
      <w:pPr>
        <w:spacing w:after="0" w:line="480" w:lineRule="auto"/>
        <w:jc w:val="both"/>
        <w:rPr>
          <w:rFonts w:ascii="Times New Roman" w:hAnsi="Times New Roman"/>
          <w:b/>
          <w:bCs/>
        </w:rPr>
      </w:pPr>
      <w:r w:rsidRPr="009D45AB">
        <w:rPr>
          <w:rFonts w:ascii="Times New Roman" w:hAnsi="Times New Roman"/>
          <w:b/>
          <w:bCs/>
        </w:rPr>
        <w:t>Table 2</w:t>
      </w:r>
      <w:r>
        <w:rPr>
          <w:rFonts w:ascii="Times New Roman" w:hAnsi="Times New Roman"/>
          <w:b/>
          <w:bCs/>
        </w:rPr>
        <w:t xml:space="preserve"> </w:t>
      </w:r>
      <w:r w:rsidRPr="009D45AB">
        <w:rPr>
          <w:rFonts w:ascii="Times New Roman" w:hAnsi="Times New Roman"/>
        </w:rPr>
        <w:t>Clinical History and Nutritional Status of Subjects</w:t>
      </w:r>
      <w:r w:rsidRPr="00950145">
        <w:rPr>
          <w:rFonts w:ascii="Times New Roman" w:hAnsi="Times New Roman"/>
          <w:b/>
          <w:bCs/>
        </w:rPr>
        <w:t xml:space="preserve"> </w:t>
      </w:r>
    </w:p>
    <w:p w14:paraId="46F1943C"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_________________________________________________________</w:t>
      </w:r>
    </w:p>
    <w:p w14:paraId="3CD0A48E"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 xml:space="preserve"> Parameters                       Control                         Cancer Subjects       </w:t>
      </w:r>
    </w:p>
    <w:p w14:paraId="2B459E80"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 xml:space="preserve">                                           (n=50)                          </w:t>
      </w:r>
      <w:proofErr w:type="gramStart"/>
      <w:r w:rsidRPr="00950145">
        <w:rPr>
          <w:rFonts w:ascii="Times New Roman" w:hAnsi="Times New Roman"/>
        </w:rPr>
        <w:t xml:space="preserve">   (</w:t>
      </w:r>
      <w:proofErr w:type="gramEnd"/>
      <w:r w:rsidRPr="00950145">
        <w:rPr>
          <w:rFonts w:ascii="Times New Roman" w:hAnsi="Times New Roman"/>
        </w:rPr>
        <w:t>n=50)</w:t>
      </w:r>
    </w:p>
    <w:p w14:paraId="28DE4FD8"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__________________________________________________________</w:t>
      </w:r>
    </w:p>
    <w:p w14:paraId="73A9E5E9"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 xml:space="preserve">Alcohol </w:t>
      </w:r>
      <w:proofErr w:type="gramStart"/>
      <w:r w:rsidRPr="00950145">
        <w:rPr>
          <w:rFonts w:ascii="Times New Roman" w:hAnsi="Times New Roman"/>
        </w:rPr>
        <w:t>n(</w:t>
      </w:r>
      <w:proofErr w:type="gramEnd"/>
      <w:r w:rsidRPr="00950145">
        <w:rPr>
          <w:rFonts w:ascii="Times New Roman" w:hAnsi="Times New Roman"/>
        </w:rPr>
        <w:t>%):</w:t>
      </w:r>
    </w:p>
    <w:p w14:paraId="57E610AE" w14:textId="6EB893D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Never                                    14 (28</w:t>
      </w:r>
      <w:proofErr w:type="gramStart"/>
      <w:r w:rsidRPr="00950145">
        <w:rPr>
          <w:rFonts w:ascii="Times New Roman" w:hAnsi="Times New Roman"/>
        </w:rPr>
        <w:t xml:space="preserve">%)   </w:t>
      </w:r>
      <w:proofErr w:type="gramEnd"/>
      <w:r w:rsidRPr="00950145">
        <w:rPr>
          <w:rFonts w:ascii="Times New Roman" w:hAnsi="Times New Roman"/>
        </w:rPr>
        <w:t xml:space="preserve">                         33 (66%)                     </w:t>
      </w:r>
    </w:p>
    <w:p w14:paraId="301AD8ED" w14:textId="3A0C9904" w:rsidR="009D45AB" w:rsidRPr="00950145" w:rsidRDefault="009D45AB" w:rsidP="009D45AB">
      <w:pPr>
        <w:spacing w:after="0" w:line="240" w:lineRule="auto"/>
        <w:jc w:val="both"/>
        <w:rPr>
          <w:rFonts w:ascii="Times New Roman" w:hAnsi="Times New Roman"/>
        </w:rPr>
      </w:pPr>
      <w:r w:rsidRPr="00950145">
        <w:rPr>
          <w:rFonts w:ascii="Times New Roman" w:hAnsi="Times New Roman"/>
        </w:rPr>
        <w:t>Occasionally                         35 (70</w:t>
      </w:r>
      <w:proofErr w:type="gramStart"/>
      <w:r w:rsidRPr="00950145">
        <w:rPr>
          <w:rFonts w:ascii="Times New Roman" w:hAnsi="Times New Roman"/>
        </w:rPr>
        <w:t xml:space="preserve">%)   </w:t>
      </w:r>
      <w:proofErr w:type="gramEnd"/>
      <w:r w:rsidRPr="00950145">
        <w:rPr>
          <w:rFonts w:ascii="Times New Roman" w:hAnsi="Times New Roman"/>
        </w:rPr>
        <w:t xml:space="preserve">                         16 (32%)</w:t>
      </w:r>
    </w:p>
    <w:p w14:paraId="1100BD4A" w14:textId="1056F650" w:rsidR="009D45AB" w:rsidRPr="00950145" w:rsidRDefault="009D45AB" w:rsidP="009D45AB">
      <w:pPr>
        <w:spacing w:after="0" w:line="240" w:lineRule="auto"/>
        <w:jc w:val="both"/>
        <w:rPr>
          <w:rFonts w:ascii="Times New Roman" w:hAnsi="Times New Roman"/>
        </w:rPr>
      </w:pPr>
      <w:r w:rsidRPr="00950145">
        <w:rPr>
          <w:rFonts w:ascii="Times New Roman" w:hAnsi="Times New Roman"/>
        </w:rPr>
        <w:t>Regularly                               1 (2</w:t>
      </w:r>
      <w:proofErr w:type="gramStart"/>
      <w:r w:rsidRPr="00950145">
        <w:rPr>
          <w:rFonts w:ascii="Times New Roman" w:hAnsi="Times New Roman"/>
        </w:rPr>
        <w:t xml:space="preserve">%)   </w:t>
      </w:r>
      <w:proofErr w:type="gramEnd"/>
      <w:r w:rsidRPr="00950145">
        <w:rPr>
          <w:rFonts w:ascii="Times New Roman" w:hAnsi="Times New Roman"/>
        </w:rPr>
        <w:t xml:space="preserve">                             1 (2%)</w:t>
      </w:r>
    </w:p>
    <w:p w14:paraId="646A7468" w14:textId="77777777" w:rsidR="009D45AB" w:rsidRPr="00950145" w:rsidRDefault="009D45AB" w:rsidP="009D45AB">
      <w:pPr>
        <w:spacing w:after="0" w:line="240" w:lineRule="auto"/>
        <w:jc w:val="both"/>
        <w:rPr>
          <w:rFonts w:ascii="Times New Roman" w:hAnsi="Times New Roman"/>
        </w:rPr>
      </w:pPr>
    </w:p>
    <w:p w14:paraId="6300A048"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Smoking:</w:t>
      </w:r>
    </w:p>
    <w:p w14:paraId="2A11D694" w14:textId="733415F4" w:rsidR="009D45AB" w:rsidRPr="00950145" w:rsidRDefault="009D45AB" w:rsidP="009D45AB">
      <w:pPr>
        <w:spacing w:after="0" w:line="240" w:lineRule="auto"/>
        <w:jc w:val="both"/>
        <w:rPr>
          <w:rFonts w:ascii="Times New Roman" w:hAnsi="Times New Roman"/>
        </w:rPr>
      </w:pPr>
      <w:r w:rsidRPr="00950145">
        <w:rPr>
          <w:rFonts w:ascii="Times New Roman" w:hAnsi="Times New Roman"/>
        </w:rPr>
        <w:t>Current                                    −                                        2 (4%)</w:t>
      </w:r>
    </w:p>
    <w:p w14:paraId="0961BF3D"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Never                                   50 (100</w:t>
      </w:r>
      <w:proofErr w:type="gramStart"/>
      <w:r w:rsidRPr="00950145">
        <w:rPr>
          <w:rFonts w:ascii="Times New Roman" w:hAnsi="Times New Roman"/>
        </w:rPr>
        <w:t xml:space="preserve">%)   </w:t>
      </w:r>
      <w:proofErr w:type="gramEnd"/>
      <w:r w:rsidRPr="00950145">
        <w:rPr>
          <w:rFonts w:ascii="Times New Roman" w:hAnsi="Times New Roman"/>
        </w:rPr>
        <w:t xml:space="preserve">                         48 (96%)</w:t>
      </w:r>
    </w:p>
    <w:p w14:paraId="05F247FA" w14:textId="77777777" w:rsidR="009D45AB" w:rsidRPr="00950145" w:rsidRDefault="009D45AB" w:rsidP="009D45AB">
      <w:pPr>
        <w:spacing w:after="0" w:line="240" w:lineRule="auto"/>
        <w:jc w:val="both"/>
        <w:rPr>
          <w:rFonts w:ascii="Times New Roman" w:hAnsi="Times New Roman"/>
        </w:rPr>
      </w:pPr>
    </w:p>
    <w:p w14:paraId="3ABFF9DE"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Weight loss:</w:t>
      </w:r>
    </w:p>
    <w:p w14:paraId="71E18E64"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No                                         50 (100</w:t>
      </w:r>
      <w:proofErr w:type="gramStart"/>
      <w:r w:rsidRPr="00950145">
        <w:rPr>
          <w:rFonts w:ascii="Times New Roman" w:hAnsi="Times New Roman"/>
        </w:rPr>
        <w:t xml:space="preserve">%)   </w:t>
      </w:r>
      <w:proofErr w:type="gramEnd"/>
      <w:r w:rsidRPr="00950145">
        <w:rPr>
          <w:rFonts w:ascii="Times New Roman" w:hAnsi="Times New Roman"/>
        </w:rPr>
        <w:t xml:space="preserve">                       19 (38%)</w:t>
      </w:r>
    </w:p>
    <w:p w14:paraId="75207CE0"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Yes                                            −                                     31 (62%)</w:t>
      </w:r>
    </w:p>
    <w:p w14:paraId="7A63829A" w14:textId="77777777" w:rsidR="009D45AB" w:rsidRPr="00950145" w:rsidRDefault="009D45AB" w:rsidP="009D45AB">
      <w:pPr>
        <w:spacing w:after="0" w:line="240" w:lineRule="auto"/>
        <w:jc w:val="both"/>
        <w:rPr>
          <w:rFonts w:ascii="Times New Roman" w:hAnsi="Times New Roman"/>
        </w:rPr>
      </w:pPr>
    </w:p>
    <w:p w14:paraId="56963712"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Appetite:</w:t>
      </w:r>
    </w:p>
    <w:p w14:paraId="5BCB8162"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Poor                                           −                                     14 (28%)</w:t>
      </w:r>
    </w:p>
    <w:p w14:paraId="292F7042"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Fair                                            −                                     6 (12%)</w:t>
      </w:r>
    </w:p>
    <w:p w14:paraId="1BF25DC9"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Good                                      50 (100</w:t>
      </w:r>
      <w:proofErr w:type="gramStart"/>
      <w:r w:rsidRPr="00950145">
        <w:rPr>
          <w:rFonts w:ascii="Times New Roman" w:hAnsi="Times New Roman"/>
        </w:rPr>
        <w:t xml:space="preserve">%)   </w:t>
      </w:r>
      <w:proofErr w:type="gramEnd"/>
      <w:r w:rsidRPr="00950145">
        <w:rPr>
          <w:rFonts w:ascii="Times New Roman" w:hAnsi="Times New Roman"/>
        </w:rPr>
        <w:t xml:space="preserve">                       30 (60%)</w:t>
      </w:r>
    </w:p>
    <w:p w14:paraId="3C049846" w14:textId="77777777" w:rsidR="009D45AB" w:rsidRDefault="009D45AB" w:rsidP="009D45AB">
      <w:pPr>
        <w:spacing w:after="0" w:line="240" w:lineRule="auto"/>
        <w:jc w:val="both"/>
        <w:rPr>
          <w:rFonts w:ascii="Times New Roman" w:hAnsi="Times New Roman"/>
        </w:rPr>
      </w:pPr>
      <w:r w:rsidRPr="00950145">
        <w:rPr>
          <w:rFonts w:ascii="Times New Roman" w:hAnsi="Times New Roman"/>
        </w:rPr>
        <w:t>_________________________________________________________</w:t>
      </w:r>
    </w:p>
    <w:p w14:paraId="17528E5F" w14:textId="77777777" w:rsidR="009D45AB" w:rsidRPr="00950145" w:rsidRDefault="009D45AB" w:rsidP="009D45AB">
      <w:pPr>
        <w:spacing w:after="0"/>
        <w:jc w:val="both"/>
        <w:rPr>
          <w:rFonts w:ascii="Times New Roman" w:hAnsi="Times New Roman"/>
        </w:rPr>
      </w:pPr>
    </w:p>
    <w:p w14:paraId="23D205F6" w14:textId="77777777" w:rsidR="00C721D6" w:rsidRDefault="00C721D6">
      <w:pPr>
        <w:rPr>
          <w:rFonts w:ascii="Times New Roman" w:hAnsi="Times New Roman"/>
        </w:rPr>
      </w:pPr>
    </w:p>
    <w:p w14:paraId="43B78404" w14:textId="77777777" w:rsidR="00C721D6" w:rsidRDefault="00C721D6">
      <w:pPr>
        <w:rPr>
          <w:rFonts w:ascii="Times New Roman" w:hAnsi="Times New Roman"/>
        </w:rPr>
      </w:pPr>
    </w:p>
    <w:p w14:paraId="21124A14" w14:textId="627690DC" w:rsidR="00C721D6" w:rsidRDefault="00317474" w:rsidP="00317474">
      <w:pPr>
        <w:spacing w:after="0" w:line="480" w:lineRule="auto"/>
        <w:jc w:val="both"/>
        <w:rPr>
          <w:rFonts w:ascii="Times New Roman" w:hAnsi="Times New Roman"/>
        </w:rPr>
      </w:pPr>
      <w:r>
        <w:rPr>
          <w:rFonts w:ascii="Times New Roman" w:hAnsi="Times New Roman"/>
        </w:rPr>
        <w:lastRenderedPageBreak/>
        <w:t>Table 3 showed that t</w:t>
      </w:r>
      <w:r w:rsidRPr="00950145">
        <w:rPr>
          <w:rFonts w:ascii="Times New Roman" w:hAnsi="Times New Roman"/>
        </w:rPr>
        <w:t xml:space="preserve">he levels of glutamic acid in cancer subjects were higher (134.83 ± 14.66) than the control subjects (101.82 ± 10.99), and the difference was statistically significant (p-value &lt;0.001). This imply that there is high concentration of glutamic acid levels in cancer subjects, which is considered consequential of increased metabolic activity and alterations in the pathways of metabolism. </w:t>
      </w:r>
    </w:p>
    <w:p w14:paraId="4F685957" w14:textId="77777777" w:rsidR="00D723F0" w:rsidRPr="00D723F0" w:rsidRDefault="00D723F0" w:rsidP="00317474">
      <w:pPr>
        <w:spacing w:after="0" w:line="480" w:lineRule="auto"/>
        <w:jc w:val="both"/>
        <w:rPr>
          <w:rFonts w:ascii="Times New Roman" w:hAnsi="Times New Roman"/>
          <w:sz w:val="14"/>
          <w:szCs w:val="14"/>
        </w:rPr>
      </w:pPr>
    </w:p>
    <w:p w14:paraId="576DDC2C" w14:textId="7B6188FC" w:rsidR="009D45AB" w:rsidRPr="00950145" w:rsidRDefault="009D45AB" w:rsidP="009D45AB">
      <w:pPr>
        <w:spacing w:after="0" w:line="480" w:lineRule="auto"/>
        <w:jc w:val="both"/>
        <w:rPr>
          <w:rFonts w:ascii="Times New Roman" w:hAnsi="Times New Roman"/>
          <w:b/>
          <w:bCs/>
        </w:rPr>
      </w:pPr>
      <w:r w:rsidRPr="009D45AB">
        <w:rPr>
          <w:rFonts w:ascii="Times New Roman" w:hAnsi="Times New Roman"/>
          <w:b/>
          <w:bCs/>
        </w:rPr>
        <w:t>Table 3</w:t>
      </w:r>
      <w:r w:rsidRPr="00950145">
        <w:rPr>
          <w:rFonts w:ascii="Times New Roman" w:hAnsi="Times New Roman"/>
          <w:b/>
          <w:bCs/>
        </w:rPr>
        <w:t xml:space="preserve"> </w:t>
      </w:r>
      <w:r w:rsidR="007F0885">
        <w:rPr>
          <w:rFonts w:ascii="Times New Roman" w:hAnsi="Times New Roman"/>
        </w:rPr>
        <w:t>C</w:t>
      </w:r>
      <w:r w:rsidRPr="009D45AB">
        <w:rPr>
          <w:rFonts w:ascii="Times New Roman" w:hAnsi="Times New Roman"/>
        </w:rPr>
        <w:t xml:space="preserve">omparison </w:t>
      </w:r>
      <w:r w:rsidR="007F0885">
        <w:rPr>
          <w:rFonts w:ascii="Times New Roman" w:hAnsi="Times New Roman"/>
        </w:rPr>
        <w:t xml:space="preserve">of </w:t>
      </w:r>
      <w:r w:rsidRPr="009D45AB">
        <w:rPr>
          <w:rFonts w:ascii="Times New Roman" w:hAnsi="Times New Roman"/>
        </w:rPr>
        <w:t>Glutamic Acid level in Cancer Patients and Healthy Control</w:t>
      </w:r>
    </w:p>
    <w:p w14:paraId="2CA479FF" w14:textId="77777777" w:rsidR="009D45AB" w:rsidRPr="00950145" w:rsidRDefault="009D45AB" w:rsidP="009D45AB">
      <w:pPr>
        <w:spacing w:after="0" w:line="240" w:lineRule="auto"/>
        <w:jc w:val="both"/>
        <w:rPr>
          <w:rFonts w:ascii="Times New Roman" w:hAnsi="Times New Roman"/>
        </w:rPr>
      </w:pPr>
      <w:r w:rsidRPr="00950145">
        <w:rPr>
          <w:rFonts w:ascii="Times New Roman" w:hAnsi="Times New Roman"/>
        </w:rPr>
        <w:t>_________________________________________</w:t>
      </w:r>
    </w:p>
    <w:p w14:paraId="3CE908B3" w14:textId="77777777" w:rsidR="009D45AB" w:rsidRPr="00950145" w:rsidRDefault="009D45AB" w:rsidP="00317474">
      <w:pPr>
        <w:spacing w:after="0" w:line="480" w:lineRule="auto"/>
        <w:jc w:val="both"/>
        <w:rPr>
          <w:rFonts w:ascii="Times New Roman" w:hAnsi="Times New Roman"/>
        </w:rPr>
      </w:pPr>
      <w:r w:rsidRPr="00950145">
        <w:rPr>
          <w:rFonts w:ascii="Times New Roman" w:hAnsi="Times New Roman"/>
        </w:rPr>
        <w:t>Subjects (</w:t>
      </w:r>
      <w:proofErr w:type="gramStart"/>
      <w:r w:rsidRPr="00950145">
        <w:rPr>
          <w:rFonts w:ascii="Times New Roman" w:hAnsi="Times New Roman"/>
        </w:rPr>
        <w:t xml:space="preserve">n)   </w:t>
      </w:r>
      <w:proofErr w:type="gramEnd"/>
      <w:r w:rsidRPr="00950145">
        <w:rPr>
          <w:rFonts w:ascii="Times New Roman" w:hAnsi="Times New Roman"/>
        </w:rPr>
        <w:t xml:space="preserve">                     Glutamic acid (µmol/L)               </w:t>
      </w:r>
    </w:p>
    <w:p w14:paraId="52FF856E" w14:textId="77777777" w:rsidR="009D45AB" w:rsidRPr="00950145" w:rsidRDefault="009D45AB" w:rsidP="00317474">
      <w:pPr>
        <w:spacing w:after="0" w:line="480" w:lineRule="auto"/>
        <w:jc w:val="both"/>
        <w:rPr>
          <w:rFonts w:ascii="Times New Roman" w:hAnsi="Times New Roman"/>
        </w:rPr>
      </w:pPr>
      <w:r w:rsidRPr="00950145">
        <w:rPr>
          <w:rFonts w:ascii="Times New Roman" w:hAnsi="Times New Roman"/>
        </w:rPr>
        <w:t>_________________________________________</w:t>
      </w:r>
    </w:p>
    <w:p w14:paraId="2FAEB4F6" w14:textId="77777777" w:rsidR="009D45AB" w:rsidRPr="00950145" w:rsidRDefault="009D45AB" w:rsidP="00317474">
      <w:pPr>
        <w:spacing w:after="0" w:line="480" w:lineRule="auto"/>
        <w:jc w:val="both"/>
        <w:rPr>
          <w:rFonts w:ascii="Times New Roman" w:hAnsi="Times New Roman"/>
        </w:rPr>
      </w:pPr>
      <w:r w:rsidRPr="00950145">
        <w:rPr>
          <w:rFonts w:ascii="Times New Roman" w:hAnsi="Times New Roman"/>
        </w:rPr>
        <w:t xml:space="preserve">Cancer                              </w:t>
      </w:r>
      <w:bookmarkStart w:id="1" w:name="_Hlk210992602"/>
      <w:r w:rsidRPr="00950145">
        <w:rPr>
          <w:rFonts w:ascii="Times New Roman" w:hAnsi="Times New Roman"/>
        </w:rPr>
        <w:t>134.83 ± 14.66</w:t>
      </w:r>
      <w:bookmarkEnd w:id="1"/>
      <w:r w:rsidRPr="00950145">
        <w:rPr>
          <w:rFonts w:ascii="Times New Roman" w:hAnsi="Times New Roman"/>
        </w:rPr>
        <w:t xml:space="preserve"> (50)                        </w:t>
      </w:r>
    </w:p>
    <w:p w14:paraId="5C611FB3" w14:textId="77777777" w:rsidR="009D45AB" w:rsidRPr="00950145" w:rsidRDefault="009D45AB" w:rsidP="00317474">
      <w:pPr>
        <w:spacing w:after="0" w:line="480" w:lineRule="auto"/>
        <w:jc w:val="both"/>
        <w:rPr>
          <w:rFonts w:ascii="Times New Roman" w:hAnsi="Times New Roman"/>
        </w:rPr>
      </w:pPr>
      <w:r w:rsidRPr="00950145">
        <w:rPr>
          <w:rFonts w:ascii="Times New Roman" w:hAnsi="Times New Roman"/>
        </w:rPr>
        <w:t xml:space="preserve">Control                             </w:t>
      </w:r>
      <w:bookmarkStart w:id="2" w:name="_Hlk210992902"/>
      <w:r w:rsidRPr="00950145">
        <w:rPr>
          <w:rFonts w:ascii="Times New Roman" w:hAnsi="Times New Roman"/>
        </w:rPr>
        <w:t>101.82 ± 10.99</w:t>
      </w:r>
      <w:bookmarkEnd w:id="2"/>
      <w:r w:rsidRPr="00950145">
        <w:rPr>
          <w:rFonts w:ascii="Times New Roman" w:hAnsi="Times New Roman"/>
        </w:rPr>
        <w:t xml:space="preserve"> (50)                        </w:t>
      </w:r>
    </w:p>
    <w:p w14:paraId="150A0A2B" w14:textId="77777777" w:rsidR="009D45AB" w:rsidRPr="00950145" w:rsidRDefault="009D45AB" w:rsidP="00317474">
      <w:pPr>
        <w:spacing w:after="0" w:line="480" w:lineRule="auto"/>
        <w:jc w:val="both"/>
        <w:rPr>
          <w:rFonts w:ascii="Times New Roman" w:hAnsi="Times New Roman"/>
        </w:rPr>
      </w:pPr>
      <w:r w:rsidRPr="00950145">
        <w:rPr>
          <w:rFonts w:ascii="Times New Roman" w:hAnsi="Times New Roman"/>
        </w:rPr>
        <w:t xml:space="preserve">t-value                              12.743                                             </w:t>
      </w:r>
    </w:p>
    <w:p w14:paraId="3D34DBED" w14:textId="77777777" w:rsidR="009D45AB" w:rsidRPr="00950145" w:rsidRDefault="009D45AB" w:rsidP="00317474">
      <w:pPr>
        <w:spacing w:after="0" w:line="480" w:lineRule="auto"/>
        <w:jc w:val="both"/>
        <w:rPr>
          <w:rFonts w:ascii="Times New Roman" w:hAnsi="Times New Roman"/>
        </w:rPr>
      </w:pPr>
      <w:r w:rsidRPr="00950145">
        <w:rPr>
          <w:rFonts w:ascii="Times New Roman" w:hAnsi="Times New Roman"/>
        </w:rPr>
        <w:t xml:space="preserve">p-value                             &lt;0.001                                             </w:t>
      </w:r>
    </w:p>
    <w:p w14:paraId="2FE5F7CD" w14:textId="77777777" w:rsidR="009D45AB" w:rsidRPr="00950145" w:rsidRDefault="009D45AB" w:rsidP="00317474">
      <w:pPr>
        <w:spacing w:after="0" w:line="480" w:lineRule="auto"/>
        <w:jc w:val="both"/>
        <w:rPr>
          <w:rFonts w:ascii="Times New Roman" w:hAnsi="Times New Roman"/>
        </w:rPr>
      </w:pPr>
      <w:r w:rsidRPr="00950145">
        <w:rPr>
          <w:rFonts w:ascii="Times New Roman" w:hAnsi="Times New Roman"/>
        </w:rPr>
        <w:t xml:space="preserve">Remark                              S                                                      </w:t>
      </w:r>
    </w:p>
    <w:p w14:paraId="2460521C" w14:textId="77777777" w:rsidR="009D45AB" w:rsidRPr="00950145" w:rsidRDefault="009D45AB" w:rsidP="00317474">
      <w:pPr>
        <w:spacing w:after="0" w:line="480" w:lineRule="auto"/>
        <w:jc w:val="both"/>
        <w:rPr>
          <w:rFonts w:ascii="Times New Roman" w:hAnsi="Times New Roman"/>
        </w:rPr>
      </w:pPr>
      <w:r w:rsidRPr="00950145">
        <w:rPr>
          <w:rFonts w:ascii="Times New Roman" w:hAnsi="Times New Roman"/>
        </w:rPr>
        <w:t>_________________________________________</w:t>
      </w:r>
    </w:p>
    <w:p w14:paraId="1E3ABF76" w14:textId="77777777" w:rsidR="009D45AB" w:rsidRDefault="009D45AB" w:rsidP="00317474">
      <w:pPr>
        <w:spacing w:after="0" w:line="480" w:lineRule="auto"/>
        <w:jc w:val="both"/>
        <w:rPr>
          <w:rFonts w:ascii="Times New Roman" w:hAnsi="Times New Roman"/>
        </w:rPr>
      </w:pPr>
      <w:r w:rsidRPr="00950145">
        <w:rPr>
          <w:rFonts w:ascii="Times New Roman" w:hAnsi="Times New Roman"/>
        </w:rPr>
        <w:t xml:space="preserve">Key: S – </w:t>
      </w:r>
      <w:r>
        <w:rPr>
          <w:rFonts w:ascii="Times New Roman" w:hAnsi="Times New Roman"/>
        </w:rPr>
        <w:t>S</w:t>
      </w:r>
      <w:r w:rsidRPr="00950145">
        <w:rPr>
          <w:rFonts w:ascii="Times New Roman" w:hAnsi="Times New Roman"/>
        </w:rPr>
        <w:t>ignificant, n – number of subjects</w:t>
      </w:r>
    </w:p>
    <w:p w14:paraId="52F04D38" w14:textId="77777777" w:rsidR="00317474" w:rsidRDefault="00317474" w:rsidP="00317474">
      <w:pPr>
        <w:spacing w:after="0" w:line="480" w:lineRule="auto"/>
        <w:jc w:val="both"/>
        <w:rPr>
          <w:rFonts w:ascii="Times New Roman" w:hAnsi="Times New Roman"/>
        </w:rPr>
      </w:pPr>
    </w:p>
    <w:p w14:paraId="6007CBFC" w14:textId="77777777" w:rsidR="00317474" w:rsidRDefault="00317474" w:rsidP="00317474">
      <w:pPr>
        <w:spacing w:after="0" w:line="480" w:lineRule="auto"/>
        <w:jc w:val="both"/>
        <w:rPr>
          <w:rFonts w:ascii="Times New Roman" w:hAnsi="Times New Roman"/>
        </w:rPr>
      </w:pPr>
    </w:p>
    <w:p w14:paraId="1C512D90" w14:textId="77777777" w:rsidR="00317474" w:rsidRDefault="00317474" w:rsidP="00317474">
      <w:pPr>
        <w:spacing w:after="0" w:line="480" w:lineRule="auto"/>
        <w:jc w:val="both"/>
        <w:rPr>
          <w:rFonts w:ascii="Times New Roman" w:hAnsi="Times New Roman"/>
        </w:rPr>
      </w:pPr>
    </w:p>
    <w:p w14:paraId="49C51B10" w14:textId="77777777" w:rsidR="00317474" w:rsidRDefault="00317474" w:rsidP="00317474">
      <w:pPr>
        <w:spacing w:after="0" w:line="480" w:lineRule="auto"/>
        <w:jc w:val="both"/>
        <w:rPr>
          <w:rFonts w:ascii="Times New Roman" w:hAnsi="Times New Roman"/>
        </w:rPr>
      </w:pPr>
    </w:p>
    <w:p w14:paraId="4A925921" w14:textId="77777777" w:rsidR="00317474" w:rsidRPr="00950145" w:rsidRDefault="00317474" w:rsidP="00317474">
      <w:pPr>
        <w:spacing w:after="0" w:line="480" w:lineRule="auto"/>
        <w:jc w:val="both"/>
        <w:rPr>
          <w:rFonts w:ascii="Times New Roman" w:hAnsi="Times New Roman"/>
        </w:rPr>
      </w:pPr>
    </w:p>
    <w:p w14:paraId="4ECFC9B0" w14:textId="77777777" w:rsidR="009D45AB" w:rsidRDefault="009D45AB" w:rsidP="009D45AB">
      <w:pPr>
        <w:spacing w:after="0" w:line="240" w:lineRule="auto"/>
        <w:jc w:val="both"/>
        <w:rPr>
          <w:rFonts w:ascii="Times New Roman" w:hAnsi="Times New Roman"/>
        </w:rPr>
      </w:pPr>
    </w:p>
    <w:p w14:paraId="15C69DC1" w14:textId="77777777" w:rsidR="00317474" w:rsidRDefault="00317474" w:rsidP="009D45AB">
      <w:pPr>
        <w:spacing w:after="0" w:line="240" w:lineRule="auto"/>
        <w:jc w:val="both"/>
        <w:rPr>
          <w:rFonts w:ascii="Times New Roman" w:hAnsi="Times New Roman"/>
        </w:rPr>
      </w:pPr>
    </w:p>
    <w:p w14:paraId="06FE0047" w14:textId="77777777" w:rsidR="00317474" w:rsidRDefault="00317474" w:rsidP="009D45AB">
      <w:pPr>
        <w:spacing w:after="0" w:line="240" w:lineRule="auto"/>
        <w:jc w:val="both"/>
        <w:rPr>
          <w:rFonts w:ascii="Times New Roman" w:hAnsi="Times New Roman"/>
        </w:rPr>
      </w:pPr>
    </w:p>
    <w:p w14:paraId="5E34DA52" w14:textId="10C637DF" w:rsidR="007F0885" w:rsidRPr="00950145" w:rsidRDefault="00317474" w:rsidP="00317474">
      <w:pPr>
        <w:spacing w:after="0" w:line="480" w:lineRule="auto"/>
        <w:jc w:val="both"/>
        <w:rPr>
          <w:rFonts w:ascii="Times New Roman" w:hAnsi="Times New Roman"/>
        </w:rPr>
      </w:pPr>
      <w:r w:rsidRPr="00950145">
        <w:rPr>
          <w:rFonts w:ascii="Times New Roman" w:hAnsi="Times New Roman"/>
        </w:rPr>
        <w:lastRenderedPageBreak/>
        <w:t>The levels of glutamic acid progressively increase with the cancer stage, with the highest value observed in Stage IV (150.93 ± 12.54), followed by Stage III (134.25 ± 12.12) and then Stage I-II (124.52 ± 5.29). Hence, the proportional increase of the acid levels with the stages is statistically significant (p-value 0.001). Base</w:t>
      </w:r>
      <w:r w:rsidR="00D723F0">
        <w:rPr>
          <w:rFonts w:ascii="Times New Roman" w:hAnsi="Times New Roman"/>
        </w:rPr>
        <w:t>d</w:t>
      </w:r>
      <w:r w:rsidRPr="00950145">
        <w:rPr>
          <w:rFonts w:ascii="Times New Roman" w:hAnsi="Times New Roman"/>
        </w:rPr>
        <w:t xml:space="preserve"> on the age value, subjects in the Stage III have a higher mean age value (52.87 ± 10.77) than Stage I-II (49.38 ± 16.44) and Stage IV (48.07 ± 15. 01), however the differences in age value between the different stages of cancer are not statistically significant (p-value 0.653).</w:t>
      </w:r>
    </w:p>
    <w:p w14:paraId="76A8219F" w14:textId="77777777" w:rsidR="007F0885" w:rsidRPr="00950145" w:rsidRDefault="007F0885" w:rsidP="00317474">
      <w:pPr>
        <w:spacing w:after="0" w:line="480" w:lineRule="auto"/>
        <w:jc w:val="both"/>
        <w:rPr>
          <w:rFonts w:ascii="Times New Roman" w:hAnsi="Times New Roman"/>
          <w:b/>
          <w:bCs/>
        </w:rPr>
      </w:pPr>
      <w:r w:rsidRPr="007F0885">
        <w:rPr>
          <w:rFonts w:ascii="Times New Roman" w:hAnsi="Times New Roman"/>
          <w:b/>
          <w:bCs/>
        </w:rPr>
        <w:t>Table 4</w:t>
      </w:r>
      <w:r>
        <w:rPr>
          <w:rFonts w:ascii="Times New Roman" w:hAnsi="Times New Roman"/>
          <w:b/>
          <w:bCs/>
        </w:rPr>
        <w:t xml:space="preserve"> </w:t>
      </w:r>
      <w:r w:rsidRPr="00950145">
        <w:rPr>
          <w:rFonts w:ascii="Times New Roman" w:hAnsi="Times New Roman"/>
          <w:b/>
          <w:bCs/>
        </w:rPr>
        <w:t>Comparison of the Levels of Glutamic Acid and Age based on the Cancer Stages</w:t>
      </w:r>
    </w:p>
    <w:p w14:paraId="2B1EBF95"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____________________________________________________________________________</w:t>
      </w:r>
    </w:p>
    <w:p w14:paraId="55A8837B"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Parameters (</w:t>
      </w:r>
      <w:proofErr w:type="gramStart"/>
      <w:r w:rsidRPr="00950145">
        <w:rPr>
          <w:rFonts w:ascii="Times New Roman" w:hAnsi="Times New Roman"/>
        </w:rPr>
        <w:t xml:space="preserve">n)   </w:t>
      </w:r>
      <w:proofErr w:type="gramEnd"/>
      <w:r w:rsidRPr="00950145">
        <w:rPr>
          <w:rFonts w:ascii="Times New Roman" w:hAnsi="Times New Roman"/>
        </w:rPr>
        <w:t xml:space="preserve">                      Glutamic acid (µmol/L)                  Age (years)</w:t>
      </w:r>
    </w:p>
    <w:p w14:paraId="3CC8E30B"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____________________________________________________________________________</w:t>
      </w:r>
    </w:p>
    <w:p w14:paraId="01BB0347"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Stage I and II                        124.52 ± 5.29</w:t>
      </w:r>
      <w:r w:rsidRPr="00950145">
        <w:rPr>
          <w:rFonts w:ascii="Times New Roman" w:hAnsi="Times New Roman"/>
          <w:vertAlign w:val="superscript"/>
        </w:rPr>
        <w:t>a</w:t>
      </w:r>
      <w:r w:rsidRPr="00950145">
        <w:rPr>
          <w:rFonts w:ascii="Times New Roman" w:hAnsi="Times New Roman"/>
        </w:rPr>
        <w:t xml:space="preserve"> (21)                    49.38 ± 16.44</w:t>
      </w:r>
      <w:r w:rsidRPr="00950145">
        <w:rPr>
          <w:rFonts w:ascii="Times New Roman" w:hAnsi="Times New Roman"/>
          <w:vertAlign w:val="superscript"/>
        </w:rPr>
        <w:t>a</w:t>
      </w:r>
      <w:r w:rsidRPr="00950145">
        <w:rPr>
          <w:rFonts w:ascii="Times New Roman" w:hAnsi="Times New Roman"/>
        </w:rPr>
        <w:t xml:space="preserve"> (21)</w:t>
      </w:r>
    </w:p>
    <w:p w14:paraId="7E796BF1"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Stage III                                134.25 ± 12.12</w:t>
      </w:r>
      <w:r w:rsidRPr="00950145">
        <w:rPr>
          <w:rFonts w:ascii="Times New Roman" w:hAnsi="Times New Roman"/>
          <w:vertAlign w:val="superscript"/>
        </w:rPr>
        <w:t>b</w:t>
      </w:r>
      <w:r w:rsidRPr="00950145">
        <w:rPr>
          <w:rFonts w:ascii="Times New Roman" w:hAnsi="Times New Roman"/>
        </w:rPr>
        <w:t xml:space="preserve"> (15)                  52.87 ± 10.77</w:t>
      </w:r>
      <w:r w:rsidRPr="00950145">
        <w:rPr>
          <w:rFonts w:ascii="Times New Roman" w:hAnsi="Times New Roman"/>
          <w:vertAlign w:val="superscript"/>
        </w:rPr>
        <w:t>a</w:t>
      </w:r>
      <w:r w:rsidRPr="00950145">
        <w:rPr>
          <w:rFonts w:ascii="Times New Roman" w:hAnsi="Times New Roman"/>
        </w:rPr>
        <w:t xml:space="preserve"> (15)</w:t>
      </w:r>
    </w:p>
    <w:p w14:paraId="132F02C1"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Stage IV                                150.93 ± 12.54</w:t>
      </w:r>
      <w:r w:rsidRPr="00950145">
        <w:rPr>
          <w:rFonts w:ascii="Times New Roman" w:hAnsi="Times New Roman"/>
          <w:vertAlign w:val="superscript"/>
        </w:rPr>
        <w:t>c</w:t>
      </w:r>
      <w:r w:rsidRPr="00950145">
        <w:rPr>
          <w:rFonts w:ascii="Times New Roman" w:hAnsi="Times New Roman"/>
        </w:rPr>
        <w:t xml:space="preserve"> (14)                  48.07 ± 15. 01</w:t>
      </w:r>
      <w:r w:rsidRPr="00950145">
        <w:rPr>
          <w:rFonts w:ascii="Times New Roman" w:hAnsi="Times New Roman"/>
          <w:vertAlign w:val="superscript"/>
        </w:rPr>
        <w:t xml:space="preserve">a </w:t>
      </w:r>
      <w:r w:rsidRPr="00950145">
        <w:rPr>
          <w:rFonts w:ascii="Times New Roman" w:hAnsi="Times New Roman"/>
        </w:rPr>
        <w:t>(14)</w:t>
      </w:r>
    </w:p>
    <w:p w14:paraId="0D895672"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F-ratio                                   29.572                                         0.430</w:t>
      </w:r>
    </w:p>
    <w:p w14:paraId="68C60CF5"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p-value                                  &lt;0.001                                         0.653</w:t>
      </w:r>
    </w:p>
    <w:p w14:paraId="10EC0007"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Remark                                   S                                                NS</w:t>
      </w:r>
    </w:p>
    <w:p w14:paraId="48C9CB08"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______________________________________________________________________________</w:t>
      </w:r>
    </w:p>
    <w:p w14:paraId="007EDE7B" w14:textId="77777777" w:rsidR="007F0885" w:rsidRPr="00950145" w:rsidRDefault="007F0885" w:rsidP="00317474">
      <w:pPr>
        <w:spacing w:after="0" w:line="480" w:lineRule="auto"/>
        <w:jc w:val="both"/>
        <w:rPr>
          <w:rFonts w:ascii="Times New Roman" w:hAnsi="Times New Roman"/>
        </w:rPr>
      </w:pPr>
      <w:r w:rsidRPr="00950145">
        <w:rPr>
          <w:rFonts w:ascii="Times New Roman" w:hAnsi="Times New Roman"/>
        </w:rPr>
        <w:t xml:space="preserve">Key: S – significant (p&lt;0.05), NS – </w:t>
      </w:r>
      <w:r>
        <w:rPr>
          <w:rFonts w:ascii="Times New Roman" w:hAnsi="Times New Roman"/>
        </w:rPr>
        <w:t>N</w:t>
      </w:r>
      <w:r w:rsidRPr="00950145">
        <w:rPr>
          <w:rFonts w:ascii="Times New Roman" w:hAnsi="Times New Roman"/>
        </w:rPr>
        <w:t>on</w:t>
      </w:r>
      <w:r>
        <w:rPr>
          <w:rFonts w:ascii="Times New Roman" w:hAnsi="Times New Roman"/>
        </w:rPr>
        <w:t>-S</w:t>
      </w:r>
      <w:r w:rsidRPr="00950145">
        <w:rPr>
          <w:rFonts w:ascii="Times New Roman" w:hAnsi="Times New Roman"/>
        </w:rPr>
        <w:t>ignificant (p&gt;0.05), mean value with different superscript are significantly different from each other in the same column and vice versa</w:t>
      </w:r>
    </w:p>
    <w:p w14:paraId="7651E023" w14:textId="1E29CFBB" w:rsidR="00C721D6" w:rsidRPr="007F0885" w:rsidRDefault="00C721D6" w:rsidP="009D45AB">
      <w:pPr>
        <w:spacing w:line="240" w:lineRule="auto"/>
        <w:rPr>
          <w:rFonts w:ascii="Times New Roman" w:hAnsi="Times New Roman"/>
          <w:b/>
          <w:bCs/>
        </w:rPr>
      </w:pPr>
    </w:p>
    <w:p w14:paraId="7449B11C" w14:textId="77777777" w:rsidR="00C721D6" w:rsidRDefault="00C721D6">
      <w:pPr>
        <w:rPr>
          <w:rFonts w:ascii="Times New Roman" w:hAnsi="Times New Roman"/>
        </w:rPr>
      </w:pPr>
    </w:p>
    <w:p w14:paraId="40FF06D4" w14:textId="77777777" w:rsidR="00C721D6" w:rsidRDefault="00C721D6">
      <w:pPr>
        <w:rPr>
          <w:rFonts w:ascii="Times New Roman" w:hAnsi="Times New Roman"/>
        </w:rPr>
      </w:pPr>
    </w:p>
    <w:p w14:paraId="630AE488" w14:textId="77777777" w:rsidR="00C721D6" w:rsidRDefault="00C721D6">
      <w:pPr>
        <w:rPr>
          <w:rFonts w:ascii="Times New Roman" w:hAnsi="Times New Roman"/>
        </w:rPr>
      </w:pPr>
    </w:p>
    <w:p w14:paraId="53AAC65F" w14:textId="6069E212" w:rsidR="000D3D58" w:rsidRPr="000D3D58" w:rsidRDefault="000D3D58" w:rsidP="007F0885">
      <w:pPr>
        <w:spacing w:after="0" w:line="480" w:lineRule="auto"/>
        <w:jc w:val="both"/>
        <w:rPr>
          <w:rFonts w:ascii="Times New Roman" w:hAnsi="Times New Roman"/>
        </w:rPr>
      </w:pPr>
      <w:r>
        <w:rPr>
          <w:rFonts w:ascii="Times New Roman" w:hAnsi="Times New Roman"/>
        </w:rPr>
        <w:lastRenderedPageBreak/>
        <w:t xml:space="preserve">In table 5 below, </w:t>
      </w:r>
      <w:r w:rsidRPr="00950145">
        <w:rPr>
          <w:rFonts w:ascii="Times New Roman" w:hAnsi="Times New Roman"/>
        </w:rPr>
        <w:t>Glutamic acid levels were significantly higher in female cancer subjects (136.97 ± 15.14) compared to their male counterparts (125.11 ± 6.27), with a statistically significant difference (p-value 0.026). On the other hand, the levels of glutamic acid in the control subjects were higher in males (105.02 ± 8.79) than in females (99.69 ± 11.90), but the difference between them were not statistically significant (p-value 0.093).</w:t>
      </w:r>
    </w:p>
    <w:p w14:paraId="03847699" w14:textId="22D800FE" w:rsidR="007F0885" w:rsidRPr="00950145" w:rsidRDefault="007F0885" w:rsidP="000D3D58">
      <w:pPr>
        <w:spacing w:after="0" w:line="480" w:lineRule="auto"/>
        <w:jc w:val="both"/>
        <w:rPr>
          <w:rFonts w:ascii="Times New Roman" w:hAnsi="Times New Roman"/>
          <w:b/>
          <w:bCs/>
        </w:rPr>
      </w:pPr>
      <w:r w:rsidRPr="007F0885">
        <w:rPr>
          <w:rFonts w:ascii="Times New Roman" w:hAnsi="Times New Roman"/>
          <w:b/>
          <w:bCs/>
        </w:rPr>
        <w:t>Table 5</w:t>
      </w:r>
      <w:r>
        <w:rPr>
          <w:rFonts w:ascii="Times New Roman" w:hAnsi="Times New Roman"/>
        </w:rPr>
        <w:t xml:space="preserve"> </w:t>
      </w:r>
      <w:r w:rsidRPr="007F0885">
        <w:rPr>
          <w:rFonts w:ascii="Times New Roman" w:hAnsi="Times New Roman"/>
        </w:rPr>
        <w:t>Mean ± SD of Glutamic acid Levels of Cancer Subjects and Control based on Sex</w:t>
      </w:r>
    </w:p>
    <w:p w14:paraId="0BC68F8C"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________________________________________________________________________</w:t>
      </w:r>
    </w:p>
    <w:p w14:paraId="5B7D97AB"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Subjects (</w:t>
      </w:r>
      <w:proofErr w:type="gramStart"/>
      <w:r w:rsidRPr="00950145">
        <w:rPr>
          <w:rFonts w:ascii="Times New Roman" w:hAnsi="Times New Roman"/>
        </w:rPr>
        <w:t xml:space="preserve">n)   </w:t>
      </w:r>
      <w:proofErr w:type="gramEnd"/>
      <w:r w:rsidRPr="00950145">
        <w:rPr>
          <w:rFonts w:ascii="Times New Roman" w:hAnsi="Times New Roman"/>
        </w:rPr>
        <w:t xml:space="preserve">                       Glutamic acid (µmol/L)               Glutamic acid (µmol/L)</w:t>
      </w:r>
    </w:p>
    <w:p w14:paraId="7C306298"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 xml:space="preserve">                                                 Cancer                                             Control</w:t>
      </w:r>
    </w:p>
    <w:p w14:paraId="67435B80"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________________________________________________________________________</w:t>
      </w:r>
    </w:p>
    <w:p w14:paraId="1E1A2820"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Female                             136.97 ± 15.14 (41)                       99.69 ± 11.90 (30)</w:t>
      </w:r>
    </w:p>
    <w:p w14:paraId="6C82194E"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Male                                 125.11 ± 6.27 (9)                           105.02 ± 8.79 (20)</w:t>
      </w:r>
    </w:p>
    <w:p w14:paraId="5611C2B1"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t-value                              2.291                                             -1.712</w:t>
      </w:r>
    </w:p>
    <w:p w14:paraId="0266D5CC"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p-value                             0.026                                              0.093</w:t>
      </w:r>
    </w:p>
    <w:p w14:paraId="3E24B040"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 xml:space="preserve">Remark                             </w:t>
      </w:r>
      <w:r>
        <w:rPr>
          <w:rFonts w:ascii="Times New Roman" w:hAnsi="Times New Roman"/>
        </w:rPr>
        <w:t xml:space="preserve"> </w:t>
      </w:r>
      <w:r w:rsidRPr="00950145">
        <w:rPr>
          <w:rFonts w:ascii="Times New Roman" w:hAnsi="Times New Roman"/>
        </w:rPr>
        <w:t xml:space="preserve">S                                                   </w:t>
      </w:r>
      <w:r>
        <w:rPr>
          <w:rFonts w:ascii="Times New Roman" w:hAnsi="Times New Roman"/>
        </w:rPr>
        <w:t xml:space="preserve"> </w:t>
      </w:r>
      <w:r w:rsidRPr="00950145">
        <w:rPr>
          <w:rFonts w:ascii="Times New Roman" w:hAnsi="Times New Roman"/>
        </w:rPr>
        <w:t xml:space="preserve"> NS</w:t>
      </w:r>
    </w:p>
    <w:p w14:paraId="208A697C"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________________________________________________________________________</w:t>
      </w:r>
    </w:p>
    <w:p w14:paraId="78FD898B" w14:textId="77777777" w:rsidR="007F0885" w:rsidRPr="00950145" w:rsidRDefault="007F0885" w:rsidP="000D3D58">
      <w:pPr>
        <w:spacing w:after="0" w:line="480" w:lineRule="auto"/>
        <w:jc w:val="both"/>
        <w:rPr>
          <w:rFonts w:ascii="Times New Roman" w:hAnsi="Times New Roman"/>
        </w:rPr>
      </w:pPr>
      <w:r w:rsidRPr="00950145">
        <w:rPr>
          <w:rFonts w:ascii="Times New Roman" w:hAnsi="Times New Roman"/>
        </w:rPr>
        <w:t xml:space="preserve">Key: NS – </w:t>
      </w:r>
      <w:r>
        <w:rPr>
          <w:rFonts w:ascii="Times New Roman" w:hAnsi="Times New Roman"/>
        </w:rPr>
        <w:t>N</w:t>
      </w:r>
      <w:r w:rsidRPr="00950145">
        <w:rPr>
          <w:rFonts w:ascii="Times New Roman" w:hAnsi="Times New Roman"/>
        </w:rPr>
        <w:t>on</w:t>
      </w:r>
      <w:r>
        <w:rPr>
          <w:rFonts w:ascii="Times New Roman" w:hAnsi="Times New Roman"/>
        </w:rPr>
        <w:t>-S</w:t>
      </w:r>
      <w:r w:rsidRPr="00950145">
        <w:rPr>
          <w:rFonts w:ascii="Times New Roman" w:hAnsi="Times New Roman"/>
        </w:rPr>
        <w:t xml:space="preserve">ignificant, S - </w:t>
      </w:r>
      <w:r>
        <w:rPr>
          <w:rFonts w:ascii="Times New Roman" w:hAnsi="Times New Roman"/>
        </w:rPr>
        <w:t>S</w:t>
      </w:r>
      <w:r w:rsidRPr="00950145">
        <w:rPr>
          <w:rFonts w:ascii="Times New Roman" w:hAnsi="Times New Roman"/>
        </w:rPr>
        <w:t>ignificant</w:t>
      </w:r>
    </w:p>
    <w:p w14:paraId="31928EFC" w14:textId="77777777" w:rsidR="007F0885" w:rsidRPr="00950145" w:rsidRDefault="007F0885" w:rsidP="000D3D58">
      <w:pPr>
        <w:spacing w:after="0" w:line="480" w:lineRule="auto"/>
        <w:jc w:val="both"/>
        <w:rPr>
          <w:rFonts w:ascii="Times New Roman" w:hAnsi="Times New Roman"/>
        </w:rPr>
      </w:pPr>
    </w:p>
    <w:p w14:paraId="0FA03B0E" w14:textId="77777777" w:rsidR="007F0885" w:rsidRPr="00950145" w:rsidRDefault="007F0885" w:rsidP="007F0885">
      <w:pPr>
        <w:spacing w:after="0" w:line="240" w:lineRule="auto"/>
        <w:jc w:val="both"/>
        <w:rPr>
          <w:rFonts w:ascii="Times New Roman" w:hAnsi="Times New Roman"/>
        </w:rPr>
      </w:pPr>
    </w:p>
    <w:p w14:paraId="1106471B" w14:textId="77777777" w:rsidR="007F0885" w:rsidRPr="00950145" w:rsidRDefault="007F0885" w:rsidP="007F0885">
      <w:pPr>
        <w:spacing w:line="240" w:lineRule="auto"/>
        <w:jc w:val="both"/>
        <w:rPr>
          <w:rFonts w:ascii="Times New Roman" w:hAnsi="Times New Roman"/>
        </w:rPr>
      </w:pPr>
    </w:p>
    <w:p w14:paraId="38E28112" w14:textId="77777777" w:rsidR="007F0885" w:rsidRPr="00950145" w:rsidRDefault="007F0885" w:rsidP="007F0885">
      <w:pPr>
        <w:spacing w:line="240" w:lineRule="auto"/>
        <w:jc w:val="both"/>
        <w:rPr>
          <w:rFonts w:ascii="Times New Roman" w:hAnsi="Times New Roman"/>
        </w:rPr>
      </w:pPr>
    </w:p>
    <w:p w14:paraId="510D7B90" w14:textId="647E5419" w:rsidR="00C721D6" w:rsidRDefault="00C721D6" w:rsidP="007F0885">
      <w:pPr>
        <w:spacing w:line="240" w:lineRule="auto"/>
        <w:rPr>
          <w:rFonts w:ascii="Times New Roman" w:hAnsi="Times New Roman"/>
        </w:rPr>
      </w:pPr>
    </w:p>
    <w:p w14:paraId="7194B895" w14:textId="77777777" w:rsidR="00C721D6" w:rsidRDefault="00C721D6" w:rsidP="007F0885">
      <w:pPr>
        <w:spacing w:line="240" w:lineRule="auto"/>
        <w:rPr>
          <w:rFonts w:ascii="Times New Roman" w:hAnsi="Times New Roman"/>
        </w:rPr>
      </w:pPr>
    </w:p>
    <w:p w14:paraId="2329D304" w14:textId="77777777" w:rsidR="007F0885" w:rsidRDefault="007F0885">
      <w:pPr>
        <w:rPr>
          <w:rFonts w:ascii="Times New Roman" w:hAnsi="Times New Roman"/>
        </w:rPr>
      </w:pPr>
    </w:p>
    <w:p w14:paraId="377B01A5" w14:textId="77777777" w:rsidR="000D3D58" w:rsidRDefault="000D3D58">
      <w:pPr>
        <w:rPr>
          <w:rFonts w:ascii="Times New Roman" w:hAnsi="Times New Roman"/>
        </w:rPr>
      </w:pPr>
    </w:p>
    <w:p w14:paraId="557CDA02" w14:textId="61837F6C" w:rsidR="007F0885" w:rsidRPr="007F0885" w:rsidRDefault="007F0885" w:rsidP="000D3D58">
      <w:pPr>
        <w:spacing w:line="480" w:lineRule="auto"/>
        <w:rPr>
          <w:rFonts w:ascii="Times New Roman" w:hAnsi="Times New Roman"/>
          <w:b/>
          <w:bCs/>
        </w:rPr>
      </w:pPr>
      <w:r w:rsidRPr="007F0885">
        <w:rPr>
          <w:rFonts w:ascii="Times New Roman" w:hAnsi="Times New Roman"/>
          <w:b/>
          <w:bCs/>
        </w:rPr>
        <w:lastRenderedPageBreak/>
        <w:t>4.0 DICUSSION</w:t>
      </w:r>
    </w:p>
    <w:p w14:paraId="1EC9F41A" w14:textId="727845D3" w:rsidR="00BE0EE1" w:rsidRPr="00950145" w:rsidRDefault="00BE0EE1" w:rsidP="00D723F0">
      <w:pPr>
        <w:spacing w:line="360" w:lineRule="auto"/>
        <w:jc w:val="both"/>
        <w:rPr>
          <w:rFonts w:ascii="Times New Roman" w:hAnsi="Times New Roman"/>
        </w:rPr>
      </w:pPr>
      <w:r>
        <w:rPr>
          <w:rFonts w:ascii="Times New Roman" w:hAnsi="Times New Roman"/>
        </w:rPr>
        <w:t xml:space="preserve">The </w:t>
      </w:r>
      <w:r w:rsidRPr="00950145">
        <w:rPr>
          <w:rFonts w:ascii="Times New Roman" w:hAnsi="Times New Roman"/>
        </w:rPr>
        <w:t xml:space="preserve">research study, conducted in Rivers State University Teaching Hospital (RSUTH) and University of Port Harcourt Teaching Hospital (UPTH), evaluated the levels of glutamic acid in patients diagnosed and confirmed with cancer and apparently healthy control. In this study, a total of 100 subjects participated out of which 50 were cancer patients and remaining 50 were healthy control subjects without kidney or liver dysfunction. </w:t>
      </w:r>
    </w:p>
    <w:p w14:paraId="44A646A9" w14:textId="77777777" w:rsidR="00BE0EE1" w:rsidRPr="00950145" w:rsidRDefault="00BE0EE1" w:rsidP="00D723F0">
      <w:pPr>
        <w:spacing w:line="360" w:lineRule="auto"/>
        <w:jc w:val="both"/>
        <w:rPr>
          <w:rFonts w:ascii="Times New Roman" w:hAnsi="Times New Roman"/>
        </w:rPr>
      </w:pPr>
      <w:r w:rsidRPr="00950145">
        <w:rPr>
          <w:rFonts w:ascii="Times New Roman" w:hAnsi="Times New Roman"/>
        </w:rPr>
        <w:t xml:space="preserve">The result obtained from the social demographic data showed that cancer subjects have a higher age value (50.06 ± 14.42) than the healthy controls (27.04 ± 9.38). This conspicuously demonstrated that cancer prevalence increases with age. This finding goes in tandem with McGuire </w:t>
      </w:r>
      <w:r w:rsidRPr="00950145">
        <w:rPr>
          <w:rFonts w:ascii="Times New Roman" w:hAnsi="Times New Roman"/>
          <w:i/>
          <w:iCs/>
        </w:rPr>
        <w:t>et al</w:t>
      </w:r>
      <w:r w:rsidRPr="00950145">
        <w:rPr>
          <w:rFonts w:ascii="Times New Roman" w:hAnsi="Times New Roman"/>
        </w:rPr>
        <w:t xml:space="preserve">, (2015), which established through experimental work that cancer can occur at any age, but its prevalence increases significantly with aging. Among the 50 cancer subjects that participated in the study, 41were female and 9 were male counterparts, showing an increased prevalence of cancer in female than male. Other studies by Siegel and his colleagues in 2025, have reported a gradual decline in overall cancer incidence among men and a slight increase among women, thereby reducing the male-to-female rate ratio from approximately 1.6 to 1.1 as of 2021 (Siegel </w:t>
      </w:r>
      <w:r w:rsidRPr="00950145">
        <w:rPr>
          <w:rFonts w:ascii="Times New Roman" w:hAnsi="Times New Roman"/>
          <w:i/>
          <w:iCs/>
        </w:rPr>
        <w:t>et al</w:t>
      </w:r>
      <w:r w:rsidRPr="00950145">
        <w:rPr>
          <w:rFonts w:ascii="Times New Roman" w:hAnsi="Times New Roman"/>
        </w:rPr>
        <w:t xml:space="preserve">., 2025). On the bases of educational level, out of the 50 cancer subjects that participated in the study, 22 had SSCE, 17 were graduates and 4 post graduates. Higher cancer prevalence among SSCE holders may reflects limited awareness and occupational exposure, while cases among graduates and postgraduates respectively, despite their levels of cancer enlightenment may be influenced by lifestyle, occupational risk and environmental factors. This agrees with Dong &amp; Qin (2020), who reported that women with higher educational levels had an increased prevalence of breast cancer compared to those with lower educational attainment. </w:t>
      </w:r>
    </w:p>
    <w:p w14:paraId="39F1AA98" w14:textId="77777777" w:rsidR="00BE0EE1" w:rsidRPr="00950145" w:rsidRDefault="00BE0EE1" w:rsidP="00D723F0">
      <w:pPr>
        <w:spacing w:line="360" w:lineRule="auto"/>
        <w:jc w:val="both"/>
        <w:rPr>
          <w:rFonts w:ascii="Times New Roman" w:hAnsi="Times New Roman"/>
        </w:rPr>
      </w:pPr>
      <w:r w:rsidRPr="00950145">
        <w:rPr>
          <w:rFonts w:ascii="Times New Roman" w:hAnsi="Times New Roman"/>
        </w:rPr>
        <w:t xml:space="preserve">In addition, findings from the clinical history implied that majority of the cancer subjects (66%) had never consumed alcohol, 32% takes it occasionally and 2% consumed it regularly. Also, 96% (48) of the cancer subjects had never smoked cigarette, with 4% who were currently smokers. These lifestyle variables, though relevant, appear secondary to intrinsic metabolic and mitochondrial alterations driving </w:t>
      </w:r>
      <w:proofErr w:type="spellStart"/>
      <w:r w:rsidRPr="00950145">
        <w:rPr>
          <w:rFonts w:ascii="Times New Roman" w:hAnsi="Times New Roman"/>
        </w:rPr>
        <w:t>tumour</w:t>
      </w:r>
      <w:proofErr w:type="spellEnd"/>
      <w:r w:rsidRPr="00950145">
        <w:rPr>
          <w:rFonts w:ascii="Times New Roman" w:hAnsi="Times New Roman"/>
        </w:rPr>
        <w:t xml:space="preserve"> progression. This view is supported by Saini and his colleagues in their research work titled: “Cancer Causes and Treatment” which identified factors like infectious biological agents, exposure to radiation and carcinogens, and lack of physical exercise as a major contributor to developing cancer (Saini </w:t>
      </w:r>
      <w:r w:rsidRPr="00950145">
        <w:rPr>
          <w:rFonts w:ascii="Times New Roman" w:hAnsi="Times New Roman"/>
          <w:i/>
          <w:iCs/>
        </w:rPr>
        <w:t>et al</w:t>
      </w:r>
      <w:r w:rsidRPr="00950145">
        <w:rPr>
          <w:rFonts w:ascii="Times New Roman" w:hAnsi="Times New Roman"/>
        </w:rPr>
        <w:t xml:space="preserve">., 2020). </w:t>
      </w:r>
    </w:p>
    <w:p w14:paraId="072A63F6" w14:textId="77777777" w:rsidR="00BE0EE1" w:rsidRDefault="00BE0EE1" w:rsidP="00D723F0">
      <w:pPr>
        <w:spacing w:line="360" w:lineRule="auto"/>
        <w:jc w:val="both"/>
        <w:rPr>
          <w:rFonts w:ascii="Times New Roman" w:hAnsi="Times New Roman"/>
        </w:rPr>
      </w:pPr>
      <w:r w:rsidRPr="00950145">
        <w:rPr>
          <w:rFonts w:ascii="Times New Roman" w:hAnsi="Times New Roman"/>
        </w:rPr>
        <w:lastRenderedPageBreak/>
        <w:t xml:space="preserve">The issues of anorexia which was substantially noticed in cancer subjects is multifactorial, involving cytokines, chemical mediators, hormones and receptors. In most cases, pro-inflammatory cytokines like interleukin-6 and other chemicals released by cancer cells inhibits the hypothalamus from sending hunger signal. Consequentially, leading to loss of weight (62%), which was observed in the cancer subjects. These findings are consistent with the report by </w:t>
      </w:r>
      <w:proofErr w:type="spellStart"/>
      <w:r w:rsidRPr="00950145">
        <w:rPr>
          <w:rFonts w:ascii="Times New Roman" w:hAnsi="Times New Roman"/>
        </w:rPr>
        <w:t>Hariyanto</w:t>
      </w:r>
      <w:proofErr w:type="spellEnd"/>
      <w:r w:rsidRPr="00950145">
        <w:rPr>
          <w:rFonts w:ascii="Times New Roman" w:hAnsi="Times New Roman"/>
        </w:rPr>
        <w:t xml:space="preserve"> and Kurniawan (2021) in their researcher work titled: “Appetite problem in cancer patients: Pathophysiology, diagnosis, and treatment”. Theses researchers observed that anorexia and weight loss are common manifestations in cancer patients due to cytokine-mediated appetite suppression (</w:t>
      </w:r>
      <w:proofErr w:type="spellStart"/>
      <w:r w:rsidRPr="00950145">
        <w:rPr>
          <w:rFonts w:ascii="Times New Roman" w:hAnsi="Times New Roman"/>
        </w:rPr>
        <w:t>Hariyanto</w:t>
      </w:r>
      <w:proofErr w:type="spellEnd"/>
      <w:r w:rsidRPr="00950145">
        <w:rPr>
          <w:rFonts w:ascii="Times New Roman" w:hAnsi="Times New Roman"/>
        </w:rPr>
        <w:t xml:space="preserve"> &amp; Kurniawan, 2021).</w:t>
      </w:r>
    </w:p>
    <w:p w14:paraId="2E0B4C1E" w14:textId="13148A74" w:rsidR="00C977FF" w:rsidRDefault="00C977FF" w:rsidP="00D723F0">
      <w:pPr>
        <w:spacing w:line="360" w:lineRule="auto"/>
        <w:jc w:val="both"/>
        <w:rPr>
          <w:rFonts w:ascii="Times New Roman" w:hAnsi="Times New Roman"/>
        </w:rPr>
      </w:pPr>
      <w:r w:rsidRPr="00950145">
        <w:rPr>
          <w:rFonts w:ascii="Times New Roman" w:hAnsi="Times New Roman"/>
        </w:rPr>
        <w:t xml:space="preserve">The results obtained from the analytical comparison of the levels of glutamic acid in healthy control and cancer subjects demonstrated (Table </w:t>
      </w:r>
      <w:r>
        <w:rPr>
          <w:rFonts w:ascii="Times New Roman" w:hAnsi="Times New Roman"/>
        </w:rPr>
        <w:t>3</w:t>
      </w:r>
      <w:r w:rsidRPr="00950145">
        <w:rPr>
          <w:rFonts w:ascii="Times New Roman" w:hAnsi="Times New Roman"/>
        </w:rPr>
        <w:t xml:space="preserve">) that cancer subjects had a higher level of glutamic acid concentration in plasma (134.83 ± 14.66) than the healthy control (101.82 ± 10.99). These increased levels of glutamic acid in cancer subjects reflects metabolic alterations, involving substrate level phosphorylation, where energy production occurs in the absence of oxygen, even when it is abundantly present in the body. The elevation of glutamic acid in cancer subjects supports existing literature describing cancer as a mitochondrial metabolic disease rather than a purely genetic one. It also suggests enhanced </w:t>
      </w:r>
      <w:proofErr w:type="spellStart"/>
      <w:r w:rsidRPr="00950145">
        <w:rPr>
          <w:rFonts w:ascii="Times New Roman" w:hAnsi="Times New Roman"/>
        </w:rPr>
        <w:t>glutaminolysis</w:t>
      </w:r>
      <w:proofErr w:type="spellEnd"/>
      <w:r w:rsidRPr="00950145">
        <w:rPr>
          <w:rFonts w:ascii="Times New Roman" w:hAnsi="Times New Roman"/>
        </w:rPr>
        <w:t xml:space="preserve"> – a process involving the breakdown of glutamine to glutamate by the enzyme, glutaminase; which fuels the TCA cycle to produce ATP for </w:t>
      </w:r>
      <w:proofErr w:type="spellStart"/>
      <w:r w:rsidRPr="00950145">
        <w:rPr>
          <w:rFonts w:ascii="Times New Roman" w:hAnsi="Times New Roman"/>
        </w:rPr>
        <w:t>tumour</w:t>
      </w:r>
      <w:proofErr w:type="spellEnd"/>
      <w:r w:rsidRPr="00950145">
        <w:rPr>
          <w:rFonts w:ascii="Times New Roman" w:hAnsi="Times New Roman"/>
        </w:rPr>
        <w:t xml:space="preserve"> survival (</w:t>
      </w:r>
      <w:proofErr w:type="spellStart"/>
      <w:r w:rsidRPr="00950145">
        <w:rPr>
          <w:rFonts w:ascii="Times New Roman" w:hAnsi="Times New Roman"/>
        </w:rPr>
        <w:t>Seyfried</w:t>
      </w:r>
      <w:proofErr w:type="spellEnd"/>
      <w:r w:rsidRPr="00950145">
        <w:rPr>
          <w:rFonts w:ascii="Times New Roman" w:hAnsi="Times New Roman"/>
        </w:rPr>
        <w:t xml:space="preserve"> </w:t>
      </w:r>
      <w:r w:rsidRPr="00950145">
        <w:rPr>
          <w:rFonts w:ascii="Times New Roman" w:hAnsi="Times New Roman"/>
          <w:i/>
          <w:iCs/>
        </w:rPr>
        <w:t>et al</w:t>
      </w:r>
      <w:r w:rsidRPr="00950145">
        <w:rPr>
          <w:rFonts w:ascii="Times New Roman" w:hAnsi="Times New Roman"/>
        </w:rPr>
        <w:t xml:space="preserve">., 2025; Choi &amp; </w:t>
      </w:r>
      <w:proofErr w:type="spellStart"/>
      <w:r w:rsidRPr="00950145">
        <w:rPr>
          <w:rFonts w:ascii="Times New Roman" w:hAnsi="Times New Roman"/>
        </w:rPr>
        <w:t>Coloff</w:t>
      </w:r>
      <w:proofErr w:type="spellEnd"/>
      <w:r w:rsidRPr="00950145">
        <w:rPr>
          <w:rFonts w:ascii="Times New Roman" w:hAnsi="Times New Roman"/>
        </w:rPr>
        <w:t xml:space="preserve">, 2019). This aligns with studies on the quantitative analysis of amino acid metabolism in liver cancer that reported an elevated glutamic acid production in liver cancer cells (Nilsson </w:t>
      </w:r>
      <w:r w:rsidRPr="00950145">
        <w:rPr>
          <w:rFonts w:ascii="Times New Roman" w:hAnsi="Times New Roman"/>
          <w:i/>
          <w:iCs/>
        </w:rPr>
        <w:t>et al</w:t>
      </w:r>
      <w:r w:rsidRPr="00950145">
        <w:rPr>
          <w:rFonts w:ascii="Times New Roman" w:hAnsi="Times New Roman"/>
        </w:rPr>
        <w:t xml:space="preserve">., 2020). It is also confirmed by other studies by Wang and his coresearchers showing its elevation in breast cancer, as such can be used as biomarker for diagnosis, therapy and understanding of cancer pathogenesis (Wang </w:t>
      </w:r>
      <w:r w:rsidRPr="00950145">
        <w:rPr>
          <w:rFonts w:ascii="Times New Roman" w:hAnsi="Times New Roman"/>
          <w:i/>
          <w:iCs/>
        </w:rPr>
        <w:t>et al</w:t>
      </w:r>
      <w:r w:rsidRPr="00950145">
        <w:rPr>
          <w:rFonts w:ascii="Times New Roman" w:hAnsi="Times New Roman"/>
        </w:rPr>
        <w:t xml:space="preserve">., 2018). The metabolic shift also correlates with the Warburg effect, where impaired oxidative phosphorylation drives compensatory substrate level phosphorylation via </w:t>
      </w:r>
      <w:proofErr w:type="spellStart"/>
      <w:r w:rsidRPr="00950145">
        <w:rPr>
          <w:rFonts w:ascii="Times New Roman" w:hAnsi="Times New Roman"/>
        </w:rPr>
        <w:t>glutaminolysis</w:t>
      </w:r>
      <w:proofErr w:type="spellEnd"/>
    </w:p>
    <w:p w14:paraId="3E1503DF" w14:textId="77777777" w:rsidR="00072B6B" w:rsidRPr="00950145" w:rsidRDefault="00072B6B" w:rsidP="00D723F0">
      <w:pPr>
        <w:spacing w:line="360" w:lineRule="auto"/>
        <w:jc w:val="both"/>
        <w:rPr>
          <w:rFonts w:ascii="Times New Roman" w:hAnsi="Times New Roman"/>
        </w:rPr>
      </w:pPr>
      <w:r w:rsidRPr="00950145">
        <w:rPr>
          <w:rFonts w:ascii="Times New Roman" w:hAnsi="Times New Roman"/>
        </w:rPr>
        <w:t xml:space="preserve">Furthermore, result obtained from this study also showed significant variability in glutamic acid concentration (levels) in the different stages of cancer. Stage IV had the highest level of glutamic acid (150.93 ± 12.54), followed by Stage III (134.25 ± 12.12) and then Stage I-II (124.52 ± 5.29). From this statistical information, it can be deduced that glutamic acid levels are proportional to the cancer progression (stage). As </w:t>
      </w:r>
      <w:proofErr w:type="spellStart"/>
      <w:r w:rsidRPr="00950145">
        <w:rPr>
          <w:rFonts w:ascii="Times New Roman" w:hAnsi="Times New Roman"/>
        </w:rPr>
        <w:t>tumour</w:t>
      </w:r>
      <w:proofErr w:type="spellEnd"/>
      <w:r w:rsidRPr="00950145">
        <w:rPr>
          <w:rFonts w:ascii="Times New Roman" w:hAnsi="Times New Roman"/>
        </w:rPr>
        <w:t xml:space="preserve"> advances, it exhibits increased in metabolic demand, thus </w:t>
      </w:r>
      <w:r w:rsidRPr="00950145">
        <w:rPr>
          <w:rFonts w:ascii="Times New Roman" w:hAnsi="Times New Roman"/>
        </w:rPr>
        <w:lastRenderedPageBreak/>
        <w:t xml:space="preserve">consuming more glutamine and producing more glutamic acid as a byproduct of sustained </w:t>
      </w:r>
      <w:proofErr w:type="spellStart"/>
      <w:r w:rsidRPr="00950145">
        <w:rPr>
          <w:rFonts w:ascii="Times New Roman" w:hAnsi="Times New Roman"/>
        </w:rPr>
        <w:t>anaplerosis</w:t>
      </w:r>
      <w:proofErr w:type="spellEnd"/>
      <w:r w:rsidRPr="00950145">
        <w:rPr>
          <w:rFonts w:ascii="Times New Roman" w:hAnsi="Times New Roman"/>
        </w:rPr>
        <w:t xml:space="preserve">. This finding aligns with reports from Yusof </w:t>
      </w:r>
      <w:r w:rsidRPr="00950145">
        <w:rPr>
          <w:rFonts w:ascii="Times New Roman" w:hAnsi="Times New Roman"/>
          <w:i/>
          <w:iCs/>
        </w:rPr>
        <w:t>et al</w:t>
      </w:r>
      <w:r w:rsidRPr="00950145">
        <w:rPr>
          <w:rFonts w:ascii="Times New Roman" w:hAnsi="Times New Roman"/>
        </w:rPr>
        <w:t>., (2018), a study titled: “Metabolomics profiling on different stages of colorectal cancer: a systematic review” which opined that glutamic acid in cancer, particularly colorectal cancer increases with the stages of progression.  However, there was no significant difference in the ages associated with the various stages, implying that age is not a major determinant of glutamic acid levels in cancer patients.</w:t>
      </w:r>
    </w:p>
    <w:p w14:paraId="466F7CD6" w14:textId="4F4417BA" w:rsidR="00072B6B" w:rsidRPr="00950145" w:rsidRDefault="00072B6B" w:rsidP="00D723F0">
      <w:pPr>
        <w:spacing w:line="360" w:lineRule="auto"/>
        <w:jc w:val="both"/>
        <w:rPr>
          <w:rFonts w:ascii="Times New Roman" w:hAnsi="Times New Roman"/>
        </w:rPr>
      </w:pPr>
      <w:proofErr w:type="spellStart"/>
      <w:r w:rsidRPr="00950145">
        <w:rPr>
          <w:rFonts w:ascii="Times New Roman" w:hAnsi="Times New Roman"/>
        </w:rPr>
        <w:t>Moreso</w:t>
      </w:r>
      <w:proofErr w:type="spellEnd"/>
      <w:r w:rsidRPr="00950145">
        <w:rPr>
          <w:rFonts w:ascii="Times New Roman" w:hAnsi="Times New Roman"/>
        </w:rPr>
        <w:t xml:space="preserve">, the study also revealed a higher concentration of glutamic acid in female cancer subjects (136.97 ± 15.14) compared to the male (125.11 ± 6.27) counterparts with a p-value of 0.026 (significant). This variability in the concentration of glutamic acid is due to differences in cellular metabolism, hormonal influence and catalytic activity of enzymes. Studies showed that </w:t>
      </w:r>
      <w:proofErr w:type="spellStart"/>
      <w:r w:rsidRPr="00950145">
        <w:rPr>
          <w:rFonts w:ascii="Times New Roman" w:hAnsi="Times New Roman"/>
        </w:rPr>
        <w:t>tumour</w:t>
      </w:r>
      <w:proofErr w:type="spellEnd"/>
      <w:r w:rsidRPr="00950145">
        <w:rPr>
          <w:rFonts w:ascii="Times New Roman" w:hAnsi="Times New Roman"/>
        </w:rPr>
        <w:t xml:space="preserve"> cells in male </w:t>
      </w:r>
      <w:proofErr w:type="spellStart"/>
      <w:r w:rsidRPr="00950145">
        <w:rPr>
          <w:rFonts w:ascii="Times New Roman" w:hAnsi="Times New Roman"/>
        </w:rPr>
        <w:t>metabolised</w:t>
      </w:r>
      <w:proofErr w:type="spellEnd"/>
      <w:r w:rsidRPr="00950145">
        <w:rPr>
          <w:rFonts w:ascii="Times New Roman" w:hAnsi="Times New Roman"/>
        </w:rPr>
        <w:t xml:space="preserve"> more quantity of glutamine and are sensitive to glutaminase inhibition. This sensitivity to glutaminase inhibition in males was driven by their dependence on glutamine-derived glutamate for α-ketoglutarate synthesis and tricarboxylic acid (TCA) cycle replenishment. The higher glutamic acid in female may be attributed to hormonal regulation and differential metabolic enzymes expression. Female exhibits resistant to glutaminase inhibition via enhanced pyruvate carboxylase activity, promoting glutamic acids accumulation (</w:t>
      </w:r>
      <w:proofErr w:type="spellStart"/>
      <w:r w:rsidRPr="00950145">
        <w:rPr>
          <w:rFonts w:ascii="Times New Roman" w:hAnsi="Times New Roman"/>
        </w:rPr>
        <w:t>Sponagel</w:t>
      </w:r>
      <w:proofErr w:type="spellEnd"/>
      <w:r w:rsidRPr="00950145">
        <w:rPr>
          <w:rFonts w:ascii="Times New Roman" w:hAnsi="Times New Roman"/>
        </w:rPr>
        <w:t xml:space="preserve"> </w:t>
      </w:r>
      <w:r w:rsidRPr="00950145">
        <w:rPr>
          <w:rFonts w:ascii="Times New Roman" w:hAnsi="Times New Roman"/>
          <w:i/>
          <w:iCs/>
        </w:rPr>
        <w:t>et al</w:t>
      </w:r>
      <w:r w:rsidRPr="00950145">
        <w:rPr>
          <w:rFonts w:ascii="Times New Roman" w:hAnsi="Times New Roman"/>
        </w:rPr>
        <w:t xml:space="preserve">., 2022). Also, </w:t>
      </w:r>
      <w:proofErr w:type="spellStart"/>
      <w:r w:rsidRPr="00950145">
        <w:rPr>
          <w:rFonts w:ascii="Times New Roman" w:hAnsi="Times New Roman"/>
        </w:rPr>
        <w:t>oestrogen</w:t>
      </w:r>
      <w:proofErr w:type="spellEnd"/>
      <w:r w:rsidRPr="00950145">
        <w:rPr>
          <w:rFonts w:ascii="Times New Roman" w:hAnsi="Times New Roman"/>
        </w:rPr>
        <w:t xml:space="preserve"> and progesterone which are predominant female hormones are known to regulate metabolic processes, increase survival of </w:t>
      </w:r>
      <w:proofErr w:type="spellStart"/>
      <w:r w:rsidRPr="00950145">
        <w:rPr>
          <w:rFonts w:ascii="Times New Roman" w:hAnsi="Times New Roman"/>
        </w:rPr>
        <w:t>tumour</w:t>
      </w:r>
      <w:proofErr w:type="spellEnd"/>
      <w:r w:rsidRPr="00950145">
        <w:rPr>
          <w:rFonts w:ascii="Times New Roman" w:hAnsi="Times New Roman"/>
        </w:rPr>
        <w:t xml:space="preserve"> cells, which are driven by </w:t>
      </w:r>
      <w:proofErr w:type="spellStart"/>
      <w:r w:rsidRPr="00950145">
        <w:rPr>
          <w:rFonts w:ascii="Times New Roman" w:hAnsi="Times New Roman"/>
        </w:rPr>
        <w:t>oestrogen</w:t>
      </w:r>
      <w:proofErr w:type="spellEnd"/>
      <w:r w:rsidRPr="00950145">
        <w:rPr>
          <w:rFonts w:ascii="Times New Roman" w:hAnsi="Times New Roman"/>
        </w:rPr>
        <w:t xml:space="preserve"> receptor signaling. In the control subjects, the levels of glutamic acid are slightly higher in male (105.02 ± 8.79) than female (105.02 ± 8.79), but their differences are not statistically significant.</w:t>
      </w:r>
    </w:p>
    <w:p w14:paraId="3A827ECF" w14:textId="4AF5B596" w:rsidR="007F0885" w:rsidRPr="006B5031" w:rsidRDefault="006B5031" w:rsidP="000D3D58">
      <w:pPr>
        <w:spacing w:line="480" w:lineRule="auto"/>
        <w:rPr>
          <w:rFonts w:ascii="Times New Roman" w:hAnsi="Times New Roman"/>
          <w:b/>
          <w:bCs/>
        </w:rPr>
      </w:pPr>
      <w:r w:rsidRPr="006B5031">
        <w:rPr>
          <w:rFonts w:ascii="Times New Roman" w:hAnsi="Times New Roman"/>
          <w:b/>
          <w:bCs/>
        </w:rPr>
        <w:t>5.0 CONCLUSION</w:t>
      </w:r>
    </w:p>
    <w:p w14:paraId="5326C41A" w14:textId="77777777" w:rsidR="00896D9A" w:rsidRDefault="00896D9A" w:rsidP="00D723F0">
      <w:pPr>
        <w:spacing w:line="360" w:lineRule="auto"/>
        <w:jc w:val="both"/>
        <w:rPr>
          <w:rFonts w:ascii="Times New Roman" w:hAnsi="Times New Roman"/>
        </w:rPr>
      </w:pPr>
      <w:r w:rsidRPr="00950145">
        <w:rPr>
          <w:rFonts w:ascii="Times New Roman" w:hAnsi="Times New Roman"/>
        </w:rPr>
        <w:t xml:space="preserve">Findings from this research study, which aimed to evaluate the levels of glutamic acid in healthy control and cancer subjects, established that there is significant increase in glutamic acid level in cancer subjects compared to the healthy control. Also, plasma glutamic acid concentration increases proportionally with cancer stage, underscoring its crucial role as a biochemical indicator of cancer progression. The findings substantiate the Mitochondrial Metabolic Theory of cancer, which explain cancer as a metabolic disorder resulting from mitochondrial dysfunction and altered energy metabolism. </w:t>
      </w:r>
    </w:p>
    <w:p w14:paraId="21495DF0" w14:textId="77777777" w:rsidR="00896D9A" w:rsidRPr="00950145" w:rsidRDefault="00896D9A" w:rsidP="00D723F0">
      <w:pPr>
        <w:spacing w:line="360" w:lineRule="auto"/>
        <w:jc w:val="both"/>
        <w:rPr>
          <w:rFonts w:ascii="Times New Roman" w:hAnsi="Times New Roman"/>
        </w:rPr>
      </w:pPr>
      <w:r w:rsidRPr="00950145">
        <w:rPr>
          <w:rFonts w:ascii="Times New Roman" w:hAnsi="Times New Roman"/>
        </w:rPr>
        <w:lastRenderedPageBreak/>
        <w:t xml:space="preserve">Moreover, the study also revealed a disparity in the levels of glutamic acid in male and female. This variation is as a result of hormonal differences and enzymatic activity. The elevated glutamic acid level reflects enhanced </w:t>
      </w:r>
      <w:proofErr w:type="spellStart"/>
      <w:r w:rsidRPr="00950145">
        <w:rPr>
          <w:rFonts w:ascii="Times New Roman" w:hAnsi="Times New Roman"/>
        </w:rPr>
        <w:t>glutaminolysis</w:t>
      </w:r>
      <w:proofErr w:type="spellEnd"/>
      <w:r w:rsidRPr="00950145">
        <w:rPr>
          <w:rFonts w:ascii="Times New Roman" w:hAnsi="Times New Roman"/>
        </w:rPr>
        <w:t xml:space="preserve"> which fuels </w:t>
      </w:r>
      <w:proofErr w:type="spellStart"/>
      <w:r w:rsidRPr="00950145">
        <w:rPr>
          <w:rFonts w:ascii="Times New Roman" w:hAnsi="Times New Roman"/>
        </w:rPr>
        <w:t>tumour</w:t>
      </w:r>
      <w:proofErr w:type="spellEnd"/>
      <w:r w:rsidRPr="00950145">
        <w:rPr>
          <w:rFonts w:ascii="Times New Roman" w:hAnsi="Times New Roman"/>
        </w:rPr>
        <w:t xml:space="preserve"> proliferation, metastasis and resistance to therapy.</w:t>
      </w:r>
    </w:p>
    <w:p w14:paraId="16A58B0B" w14:textId="77777777" w:rsidR="00896D9A" w:rsidRDefault="00896D9A" w:rsidP="00D723F0">
      <w:pPr>
        <w:spacing w:line="360" w:lineRule="auto"/>
        <w:jc w:val="both"/>
        <w:rPr>
          <w:rFonts w:ascii="Times New Roman" w:hAnsi="Times New Roman"/>
        </w:rPr>
      </w:pPr>
      <w:r w:rsidRPr="00950145">
        <w:rPr>
          <w:rFonts w:ascii="Times New Roman" w:hAnsi="Times New Roman"/>
        </w:rPr>
        <w:t>Therefore, glutamic acid serves as a potential diagnostic, prognostic and therapeutic biomarker, providing an effective link between cancer metabolism and disease progression.</w:t>
      </w:r>
    </w:p>
    <w:p w14:paraId="5B031D41" w14:textId="7E2C8DAB" w:rsidR="00B51376" w:rsidRDefault="00B51376" w:rsidP="000D3D58">
      <w:pPr>
        <w:spacing w:line="480" w:lineRule="auto"/>
        <w:jc w:val="both"/>
        <w:rPr>
          <w:rFonts w:ascii="Times New Roman" w:hAnsi="Times New Roman"/>
          <w:b/>
          <w:bCs/>
        </w:rPr>
      </w:pPr>
      <w:r w:rsidRPr="00B51376">
        <w:rPr>
          <w:rFonts w:ascii="Times New Roman" w:hAnsi="Times New Roman"/>
          <w:b/>
          <w:bCs/>
        </w:rPr>
        <w:t>CONSENT</w:t>
      </w:r>
    </w:p>
    <w:p w14:paraId="112DB47D" w14:textId="77777777" w:rsidR="00BE59D8" w:rsidRDefault="00B51376" w:rsidP="000D3D58">
      <w:pPr>
        <w:spacing w:line="480" w:lineRule="auto"/>
        <w:jc w:val="both"/>
        <w:rPr>
          <w:rFonts w:ascii="Times New Roman" w:hAnsi="Times New Roman"/>
        </w:rPr>
      </w:pPr>
      <w:r>
        <w:rPr>
          <w:rFonts w:ascii="Times New Roman" w:hAnsi="Times New Roman"/>
        </w:rPr>
        <w:t xml:space="preserve">A well written informed consent document was </w:t>
      </w:r>
      <w:r w:rsidR="00BE59D8">
        <w:rPr>
          <w:rFonts w:ascii="Times New Roman" w:hAnsi="Times New Roman"/>
        </w:rPr>
        <w:t>duly</w:t>
      </w:r>
      <w:r>
        <w:rPr>
          <w:rFonts w:ascii="Times New Roman" w:hAnsi="Times New Roman"/>
        </w:rPr>
        <w:t xml:space="preserve"> read and signed by th</w:t>
      </w:r>
      <w:r w:rsidR="00BE59D8">
        <w:rPr>
          <w:rFonts w:ascii="Times New Roman" w:hAnsi="Times New Roman"/>
        </w:rPr>
        <w:t>e</w:t>
      </w:r>
      <w:r>
        <w:rPr>
          <w:rFonts w:ascii="Times New Roman" w:hAnsi="Times New Roman"/>
        </w:rPr>
        <w:t xml:space="preserve"> participants </w:t>
      </w:r>
      <w:r w:rsidR="00BE59D8">
        <w:rPr>
          <w:rFonts w:ascii="Times New Roman" w:hAnsi="Times New Roman"/>
        </w:rPr>
        <w:t>before their venous sample was collected. A copy is available for review by the Editorial Office of this Journal.</w:t>
      </w:r>
    </w:p>
    <w:p w14:paraId="6517C213" w14:textId="77777777" w:rsidR="00BE59D8" w:rsidRDefault="00BE59D8" w:rsidP="000D3D58">
      <w:pPr>
        <w:spacing w:line="480" w:lineRule="auto"/>
        <w:jc w:val="both"/>
        <w:rPr>
          <w:rFonts w:ascii="Times New Roman" w:hAnsi="Times New Roman"/>
          <w:b/>
          <w:bCs/>
        </w:rPr>
      </w:pPr>
      <w:r w:rsidRPr="00BE59D8">
        <w:rPr>
          <w:rFonts w:ascii="Times New Roman" w:hAnsi="Times New Roman"/>
          <w:b/>
          <w:bCs/>
        </w:rPr>
        <w:t>ETHICAL APPROVAL</w:t>
      </w:r>
    </w:p>
    <w:p w14:paraId="6C5B247F" w14:textId="68713DFA" w:rsidR="00BE59D8" w:rsidRDefault="00BE59D8" w:rsidP="000D3D58">
      <w:pPr>
        <w:spacing w:line="480" w:lineRule="auto"/>
        <w:jc w:val="both"/>
        <w:rPr>
          <w:rFonts w:ascii="Times New Roman" w:hAnsi="Times New Roman"/>
          <w:kern w:val="0"/>
        </w:rPr>
      </w:pPr>
      <w:r w:rsidRPr="00BE59D8">
        <w:rPr>
          <w:rFonts w:ascii="Times New Roman" w:hAnsi="Times New Roman"/>
        </w:rPr>
        <w:t xml:space="preserve">Ethical approval to </w:t>
      </w:r>
      <w:proofErr w:type="spellStart"/>
      <w:r w:rsidRPr="00BE59D8">
        <w:rPr>
          <w:rFonts w:ascii="Times New Roman" w:hAnsi="Times New Roman"/>
        </w:rPr>
        <w:t>carryout</w:t>
      </w:r>
      <w:proofErr w:type="spellEnd"/>
      <w:r w:rsidRPr="00BE59D8">
        <w:rPr>
          <w:rFonts w:ascii="Times New Roman" w:hAnsi="Times New Roman"/>
        </w:rPr>
        <w:t xml:space="preserve"> this study was obtained from </w:t>
      </w:r>
      <w:r w:rsidRPr="00BE59D8">
        <w:rPr>
          <w:rFonts w:ascii="Times New Roman" w:hAnsi="Times New Roman"/>
          <w:kern w:val="0"/>
        </w:rPr>
        <w:t>Rivers State University Teaching Hospital</w:t>
      </w:r>
      <w:r w:rsidRPr="00950145">
        <w:rPr>
          <w:rFonts w:ascii="Times New Roman" w:hAnsi="Times New Roman"/>
          <w:kern w:val="0"/>
        </w:rPr>
        <w:t xml:space="preserve"> and University of Port Harcourt Teaching Hospital Health Research Ethics Committee.</w:t>
      </w:r>
    </w:p>
    <w:p w14:paraId="2FC13F06" w14:textId="3A94A139" w:rsidR="00BE59D8" w:rsidRPr="00BE59D8" w:rsidRDefault="00BE59D8" w:rsidP="000D3D58">
      <w:pPr>
        <w:spacing w:line="480" w:lineRule="auto"/>
        <w:jc w:val="both"/>
        <w:rPr>
          <w:rFonts w:ascii="Times New Roman" w:hAnsi="Times New Roman"/>
          <w:b/>
          <w:bCs/>
          <w:kern w:val="0"/>
        </w:rPr>
      </w:pPr>
      <w:r w:rsidRPr="00BE59D8">
        <w:rPr>
          <w:rFonts w:ascii="Times New Roman" w:hAnsi="Times New Roman"/>
          <w:b/>
          <w:bCs/>
          <w:kern w:val="0"/>
        </w:rPr>
        <w:t>COMPETING</w:t>
      </w:r>
      <w:r w:rsidR="00D723F0">
        <w:rPr>
          <w:rFonts w:ascii="Times New Roman" w:hAnsi="Times New Roman"/>
          <w:b/>
          <w:bCs/>
          <w:kern w:val="0"/>
        </w:rPr>
        <w:t xml:space="preserve"> INTEREST</w:t>
      </w:r>
    </w:p>
    <w:p w14:paraId="6E78D5C9" w14:textId="074475B6" w:rsidR="008D52A2" w:rsidRDefault="00BE59D8" w:rsidP="00D723F0">
      <w:pPr>
        <w:spacing w:line="480" w:lineRule="auto"/>
        <w:jc w:val="both"/>
        <w:rPr>
          <w:rFonts w:ascii="Times New Roman" w:hAnsi="Times New Roman"/>
        </w:rPr>
      </w:pPr>
      <w:r>
        <w:rPr>
          <w:rFonts w:ascii="Times New Roman" w:hAnsi="Times New Roman"/>
          <w:kern w:val="0"/>
        </w:rPr>
        <w:t xml:space="preserve">No competing </w:t>
      </w:r>
      <w:r w:rsidR="00D723F0">
        <w:rPr>
          <w:rFonts w:ascii="Times New Roman" w:hAnsi="Times New Roman"/>
          <w:kern w:val="0"/>
        </w:rPr>
        <w:t xml:space="preserve">interest </w:t>
      </w:r>
      <w:r>
        <w:rPr>
          <w:rFonts w:ascii="Times New Roman" w:hAnsi="Times New Roman"/>
          <w:kern w:val="0"/>
        </w:rPr>
        <w:t>exists at all</w:t>
      </w:r>
    </w:p>
    <w:p w14:paraId="6C1364A3" w14:textId="77777777" w:rsidR="000D3D58" w:rsidRDefault="000D3D58">
      <w:pPr>
        <w:rPr>
          <w:rFonts w:ascii="Times New Roman" w:hAnsi="Times New Roman"/>
        </w:rPr>
      </w:pPr>
    </w:p>
    <w:p w14:paraId="3DCCDCB7" w14:textId="3B3FD83C" w:rsidR="000D3D58" w:rsidRPr="008F50E5" w:rsidRDefault="00C721D6" w:rsidP="000D3D58">
      <w:pPr>
        <w:spacing w:after="240"/>
        <w:jc w:val="center"/>
        <w:rPr>
          <w:rFonts w:ascii="Times New Roman" w:hAnsi="Times New Roman"/>
          <w:b/>
          <w:bCs/>
        </w:rPr>
      </w:pPr>
      <w:r w:rsidRPr="008F50E5">
        <w:rPr>
          <w:rFonts w:ascii="Times New Roman" w:hAnsi="Times New Roman"/>
          <w:b/>
          <w:bCs/>
        </w:rPr>
        <w:t>REFERENC</w:t>
      </w:r>
      <w:r w:rsidR="000D3D58" w:rsidRPr="008F50E5">
        <w:rPr>
          <w:rFonts w:ascii="Times New Roman" w:hAnsi="Times New Roman"/>
          <w:b/>
          <w:bCs/>
        </w:rPr>
        <w:t>E</w:t>
      </w:r>
    </w:p>
    <w:p w14:paraId="773C2654"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Annesley, S. J. &amp; Fisher, P. R. (2019). Mitochondria in health and disease. </w:t>
      </w:r>
      <w:r w:rsidRPr="00950145">
        <w:rPr>
          <w:rFonts w:ascii="Times New Roman" w:hAnsi="Times New Roman"/>
          <w:i/>
          <w:iCs/>
        </w:rPr>
        <w:t>Cells</w:t>
      </w:r>
      <w:r w:rsidRPr="00950145">
        <w:rPr>
          <w:rFonts w:ascii="Times New Roman" w:hAnsi="Times New Roman"/>
        </w:rPr>
        <w:t>, 8(7), 680.</w:t>
      </w:r>
    </w:p>
    <w:p w14:paraId="59975A27" w14:textId="77777777" w:rsidR="000D3D58" w:rsidRPr="00950145" w:rsidRDefault="000D3D58" w:rsidP="000D3D58">
      <w:pPr>
        <w:spacing w:after="240" w:line="240" w:lineRule="auto"/>
        <w:ind w:left="720" w:hanging="900"/>
        <w:jc w:val="both"/>
        <w:rPr>
          <w:rFonts w:ascii="Times New Roman" w:hAnsi="Times New Roman"/>
        </w:rPr>
      </w:pPr>
      <w:proofErr w:type="spellStart"/>
      <w:r w:rsidRPr="00950145">
        <w:rPr>
          <w:rFonts w:ascii="Times New Roman" w:hAnsi="Times New Roman"/>
        </w:rPr>
        <w:t>Axmedov</w:t>
      </w:r>
      <w:proofErr w:type="spellEnd"/>
      <w:r w:rsidRPr="00950145">
        <w:rPr>
          <w:rFonts w:ascii="Times New Roman" w:hAnsi="Times New Roman"/>
        </w:rPr>
        <w:t>, S. (2025). The role, functions and importance of glutamic acid in the human body. </w:t>
      </w:r>
      <w:r w:rsidRPr="00950145">
        <w:rPr>
          <w:rFonts w:ascii="Times New Roman" w:hAnsi="Times New Roman"/>
          <w:i/>
          <w:iCs/>
        </w:rPr>
        <w:t>Modern Science and Research</w:t>
      </w:r>
      <w:r w:rsidRPr="00950145">
        <w:rPr>
          <w:rFonts w:ascii="Times New Roman" w:hAnsi="Times New Roman"/>
        </w:rPr>
        <w:t>, 4(5).</w:t>
      </w:r>
    </w:p>
    <w:p w14:paraId="1E6A6AE7" w14:textId="77777777" w:rsidR="000D3D58" w:rsidRPr="00950145" w:rsidRDefault="000D3D58" w:rsidP="000D3D58">
      <w:pPr>
        <w:spacing w:after="240" w:line="240" w:lineRule="auto"/>
        <w:ind w:left="720" w:hanging="907"/>
        <w:jc w:val="both"/>
        <w:rPr>
          <w:rFonts w:ascii="Times New Roman" w:hAnsi="Times New Roman"/>
        </w:rPr>
      </w:pPr>
      <w:r w:rsidRPr="00950145">
        <w:rPr>
          <w:rFonts w:ascii="Times New Roman" w:hAnsi="Times New Roman"/>
        </w:rPr>
        <w:t xml:space="preserve">Bray, F., </w:t>
      </w:r>
      <w:proofErr w:type="spellStart"/>
      <w:r w:rsidRPr="00950145">
        <w:rPr>
          <w:rFonts w:ascii="Times New Roman" w:hAnsi="Times New Roman"/>
        </w:rPr>
        <w:t>Ferlay</w:t>
      </w:r>
      <w:proofErr w:type="spellEnd"/>
      <w:r w:rsidRPr="00950145">
        <w:rPr>
          <w:rFonts w:ascii="Times New Roman" w:hAnsi="Times New Roman"/>
        </w:rPr>
        <w:t xml:space="preserve">, J., </w:t>
      </w:r>
      <w:proofErr w:type="spellStart"/>
      <w:r w:rsidRPr="00950145">
        <w:rPr>
          <w:rFonts w:ascii="Times New Roman" w:hAnsi="Times New Roman"/>
        </w:rPr>
        <w:t>Soerjomataram</w:t>
      </w:r>
      <w:proofErr w:type="spellEnd"/>
      <w:r w:rsidRPr="00950145">
        <w:rPr>
          <w:rFonts w:ascii="Times New Roman" w:hAnsi="Times New Roman"/>
        </w:rPr>
        <w:t>, I., Siegel, R. L., Torre, L. A. &amp; Jemal, A. (2018). Global cancer statistics 2018: GLOBOCAN estimates of incidence and mortality worldwide for 36 cancers in 185 countries. </w:t>
      </w:r>
      <w:r w:rsidRPr="00950145">
        <w:rPr>
          <w:rFonts w:ascii="Times New Roman" w:hAnsi="Times New Roman"/>
          <w:i/>
          <w:iCs/>
        </w:rPr>
        <w:t>CA: A Cancer Journal for Clinicians</w:t>
      </w:r>
      <w:r w:rsidRPr="00950145">
        <w:rPr>
          <w:rFonts w:ascii="Times New Roman" w:hAnsi="Times New Roman"/>
        </w:rPr>
        <w:t>, 68(6), 394-424.</w:t>
      </w:r>
    </w:p>
    <w:p w14:paraId="7393E67F"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 xml:space="preserve">Brown, J. S., Amend, S. R., Austin, R. H., </w:t>
      </w:r>
      <w:proofErr w:type="spellStart"/>
      <w:r w:rsidRPr="00950145">
        <w:rPr>
          <w:rFonts w:ascii="Times New Roman" w:hAnsi="Times New Roman"/>
        </w:rPr>
        <w:t>Gatenby</w:t>
      </w:r>
      <w:proofErr w:type="spellEnd"/>
      <w:r w:rsidRPr="00950145">
        <w:rPr>
          <w:rFonts w:ascii="Times New Roman" w:hAnsi="Times New Roman"/>
        </w:rPr>
        <w:t xml:space="preserve">, R. A., Hammarlund, E. U. &amp; </w:t>
      </w:r>
      <w:proofErr w:type="spellStart"/>
      <w:r w:rsidRPr="00950145">
        <w:rPr>
          <w:rFonts w:ascii="Times New Roman" w:hAnsi="Times New Roman"/>
        </w:rPr>
        <w:t>Pienta</w:t>
      </w:r>
      <w:proofErr w:type="spellEnd"/>
      <w:r w:rsidRPr="00950145">
        <w:rPr>
          <w:rFonts w:ascii="Times New Roman" w:hAnsi="Times New Roman"/>
        </w:rPr>
        <w:t>, K. J. (2023). Updating the definition of cancer. </w:t>
      </w:r>
      <w:r w:rsidRPr="00950145">
        <w:rPr>
          <w:rFonts w:ascii="Times New Roman" w:hAnsi="Times New Roman"/>
          <w:i/>
          <w:iCs/>
        </w:rPr>
        <w:t>Molecular Cancer Research</w:t>
      </w:r>
      <w:r w:rsidRPr="00950145">
        <w:rPr>
          <w:rFonts w:ascii="Times New Roman" w:hAnsi="Times New Roman"/>
        </w:rPr>
        <w:t>, 21(11), 1142-1147.</w:t>
      </w:r>
    </w:p>
    <w:p w14:paraId="0BFE9A63"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lastRenderedPageBreak/>
        <w:t xml:space="preserve">Choi, B. H. &amp; </w:t>
      </w:r>
      <w:proofErr w:type="spellStart"/>
      <w:r w:rsidRPr="00950145">
        <w:rPr>
          <w:rFonts w:ascii="Times New Roman" w:hAnsi="Times New Roman"/>
        </w:rPr>
        <w:t>Coloff</w:t>
      </w:r>
      <w:proofErr w:type="spellEnd"/>
      <w:r w:rsidRPr="00950145">
        <w:rPr>
          <w:rFonts w:ascii="Times New Roman" w:hAnsi="Times New Roman"/>
        </w:rPr>
        <w:t>, J. L. (2019). The diverse functions of non-essential amino acids in cancer. </w:t>
      </w:r>
      <w:r w:rsidRPr="00950145">
        <w:rPr>
          <w:rFonts w:ascii="Times New Roman" w:hAnsi="Times New Roman"/>
          <w:i/>
          <w:iCs/>
        </w:rPr>
        <w:t>Cancers</w:t>
      </w:r>
      <w:r w:rsidRPr="00950145">
        <w:rPr>
          <w:rFonts w:ascii="Times New Roman" w:hAnsi="Times New Roman"/>
        </w:rPr>
        <w:t>, 11(5), 675.</w:t>
      </w:r>
    </w:p>
    <w:p w14:paraId="4175925E"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Dong, J. Y. &amp; Qin, L. Q. (2020). Education level and breast cancer incidence: a meta-analysis of cohort studies. </w:t>
      </w:r>
      <w:r w:rsidRPr="00950145">
        <w:rPr>
          <w:rFonts w:ascii="Times New Roman" w:hAnsi="Times New Roman"/>
          <w:i/>
          <w:iCs/>
        </w:rPr>
        <w:t>Menopause</w:t>
      </w:r>
      <w:r w:rsidRPr="00950145">
        <w:rPr>
          <w:rFonts w:ascii="Times New Roman" w:hAnsi="Times New Roman"/>
        </w:rPr>
        <w:t>, 27(1), 113-118.</w:t>
      </w:r>
    </w:p>
    <w:p w14:paraId="567D0826" w14:textId="77777777" w:rsidR="000D3D58" w:rsidRPr="00950145" w:rsidRDefault="000D3D58" w:rsidP="000D3D58">
      <w:pPr>
        <w:spacing w:after="240" w:line="240" w:lineRule="auto"/>
        <w:ind w:left="720" w:hanging="907"/>
        <w:jc w:val="both"/>
        <w:rPr>
          <w:rFonts w:ascii="Times New Roman" w:hAnsi="Times New Roman"/>
        </w:rPr>
      </w:pPr>
      <w:proofErr w:type="spellStart"/>
      <w:r w:rsidRPr="00950145">
        <w:rPr>
          <w:rFonts w:ascii="Times New Roman" w:hAnsi="Times New Roman"/>
        </w:rPr>
        <w:t>Fapohunda</w:t>
      </w:r>
      <w:proofErr w:type="spellEnd"/>
      <w:r w:rsidRPr="00950145">
        <w:rPr>
          <w:rFonts w:ascii="Times New Roman" w:hAnsi="Times New Roman"/>
        </w:rPr>
        <w:t xml:space="preserve">, A., </w:t>
      </w:r>
      <w:proofErr w:type="spellStart"/>
      <w:r w:rsidRPr="00950145">
        <w:rPr>
          <w:rFonts w:ascii="Times New Roman" w:hAnsi="Times New Roman"/>
        </w:rPr>
        <w:t>Fakolade</w:t>
      </w:r>
      <w:proofErr w:type="spellEnd"/>
      <w:r w:rsidRPr="00950145">
        <w:rPr>
          <w:rFonts w:ascii="Times New Roman" w:hAnsi="Times New Roman"/>
        </w:rPr>
        <w:t xml:space="preserve">, A., </w:t>
      </w:r>
      <w:proofErr w:type="spellStart"/>
      <w:r w:rsidRPr="00950145">
        <w:rPr>
          <w:rFonts w:ascii="Times New Roman" w:hAnsi="Times New Roman"/>
        </w:rPr>
        <w:t>Omiye</w:t>
      </w:r>
      <w:proofErr w:type="spellEnd"/>
      <w:r w:rsidRPr="00950145">
        <w:rPr>
          <w:rFonts w:ascii="Times New Roman" w:hAnsi="Times New Roman"/>
        </w:rPr>
        <w:t xml:space="preserve">, J., </w:t>
      </w:r>
      <w:proofErr w:type="spellStart"/>
      <w:r w:rsidRPr="00950145">
        <w:rPr>
          <w:rFonts w:ascii="Times New Roman" w:hAnsi="Times New Roman"/>
        </w:rPr>
        <w:t>Afolaranmi</w:t>
      </w:r>
      <w:proofErr w:type="spellEnd"/>
      <w:r w:rsidRPr="00950145">
        <w:rPr>
          <w:rFonts w:ascii="Times New Roman" w:hAnsi="Times New Roman"/>
        </w:rPr>
        <w:t xml:space="preserve">, O., </w:t>
      </w:r>
      <w:proofErr w:type="spellStart"/>
      <w:r w:rsidRPr="00950145">
        <w:rPr>
          <w:rFonts w:ascii="Times New Roman" w:hAnsi="Times New Roman"/>
        </w:rPr>
        <w:t>Arowojolu</w:t>
      </w:r>
      <w:proofErr w:type="spellEnd"/>
      <w:r w:rsidRPr="00950145">
        <w:rPr>
          <w:rFonts w:ascii="Times New Roman" w:hAnsi="Times New Roman"/>
        </w:rPr>
        <w:t xml:space="preserve">, O., </w:t>
      </w:r>
      <w:proofErr w:type="spellStart"/>
      <w:r w:rsidRPr="00950145">
        <w:rPr>
          <w:rFonts w:ascii="Times New Roman" w:hAnsi="Times New Roman"/>
        </w:rPr>
        <w:t>Oyebamiji</w:t>
      </w:r>
      <w:proofErr w:type="spellEnd"/>
      <w:r w:rsidRPr="00950145">
        <w:rPr>
          <w:rFonts w:ascii="Times New Roman" w:hAnsi="Times New Roman"/>
        </w:rPr>
        <w:t xml:space="preserve">, T. &amp; </w:t>
      </w:r>
      <w:proofErr w:type="spellStart"/>
      <w:r w:rsidRPr="00950145">
        <w:rPr>
          <w:rFonts w:ascii="Times New Roman" w:hAnsi="Times New Roman"/>
        </w:rPr>
        <w:t>Mutiu</w:t>
      </w:r>
      <w:proofErr w:type="spellEnd"/>
      <w:r w:rsidRPr="00950145">
        <w:rPr>
          <w:rFonts w:ascii="Times New Roman" w:hAnsi="Times New Roman"/>
        </w:rPr>
        <w:t>, J. (2020). Cancer presentation patterns in Lagos, Nigeria: Experience from a private cancer center. </w:t>
      </w:r>
      <w:r w:rsidRPr="00950145">
        <w:rPr>
          <w:rFonts w:ascii="Times New Roman" w:hAnsi="Times New Roman"/>
          <w:i/>
          <w:iCs/>
        </w:rPr>
        <w:t>Journal of Public Health in Africa</w:t>
      </w:r>
      <w:r w:rsidRPr="00950145">
        <w:rPr>
          <w:rFonts w:ascii="Times New Roman" w:hAnsi="Times New Roman"/>
        </w:rPr>
        <w:t>, 11(2), 1138.</w:t>
      </w:r>
    </w:p>
    <w:p w14:paraId="15AE7824" w14:textId="77777777" w:rsidR="000D3D58" w:rsidRPr="00950145" w:rsidRDefault="000D3D58" w:rsidP="000D3D58">
      <w:pPr>
        <w:spacing w:after="240" w:line="240" w:lineRule="auto"/>
        <w:ind w:left="720" w:hanging="900"/>
        <w:jc w:val="both"/>
        <w:rPr>
          <w:rFonts w:ascii="Times New Roman" w:hAnsi="Times New Roman"/>
        </w:rPr>
      </w:pPr>
      <w:proofErr w:type="spellStart"/>
      <w:r w:rsidRPr="00950145">
        <w:rPr>
          <w:rFonts w:ascii="Times New Roman" w:hAnsi="Times New Roman"/>
        </w:rPr>
        <w:t>Hariyanto</w:t>
      </w:r>
      <w:proofErr w:type="spellEnd"/>
      <w:r w:rsidRPr="00950145">
        <w:rPr>
          <w:rFonts w:ascii="Times New Roman" w:hAnsi="Times New Roman"/>
        </w:rPr>
        <w:t>, T. I. &amp; Kurniawan, A. (2021). Appetite problem in cancer patients: Pathophysiology, diagnosis, and treatment. </w:t>
      </w:r>
      <w:r w:rsidRPr="00950145">
        <w:rPr>
          <w:rFonts w:ascii="Times New Roman" w:hAnsi="Times New Roman"/>
          <w:i/>
          <w:iCs/>
        </w:rPr>
        <w:t>Cancer Treatment and Research Communications</w:t>
      </w:r>
      <w:r w:rsidRPr="00950145">
        <w:rPr>
          <w:rFonts w:ascii="Times New Roman" w:hAnsi="Times New Roman"/>
        </w:rPr>
        <w:t>, 27, 100336.</w:t>
      </w:r>
    </w:p>
    <w:p w14:paraId="6143CADA" w14:textId="77777777" w:rsidR="000D3D58" w:rsidRDefault="000D3D58" w:rsidP="000D3D58">
      <w:pPr>
        <w:spacing w:after="240" w:line="240" w:lineRule="auto"/>
        <w:ind w:left="720" w:hanging="907"/>
        <w:jc w:val="both"/>
        <w:rPr>
          <w:rFonts w:ascii="Times New Roman" w:hAnsi="Times New Roman"/>
        </w:rPr>
      </w:pPr>
      <w:proofErr w:type="spellStart"/>
      <w:r w:rsidRPr="00950145">
        <w:rPr>
          <w:rFonts w:ascii="Times New Roman" w:hAnsi="Times New Roman"/>
        </w:rPr>
        <w:t>Kattner</w:t>
      </w:r>
      <w:proofErr w:type="spellEnd"/>
      <w:r w:rsidRPr="00950145">
        <w:rPr>
          <w:rFonts w:ascii="Times New Roman" w:hAnsi="Times New Roman"/>
        </w:rPr>
        <w:t xml:space="preserve">, P., </w:t>
      </w:r>
      <w:proofErr w:type="spellStart"/>
      <w:r w:rsidRPr="00950145">
        <w:rPr>
          <w:rFonts w:ascii="Times New Roman" w:hAnsi="Times New Roman"/>
        </w:rPr>
        <w:t>Zeiler</w:t>
      </w:r>
      <w:proofErr w:type="spellEnd"/>
      <w:r w:rsidRPr="00950145">
        <w:rPr>
          <w:rFonts w:ascii="Times New Roman" w:hAnsi="Times New Roman"/>
        </w:rPr>
        <w:t xml:space="preserve">, K., </w:t>
      </w:r>
      <w:proofErr w:type="spellStart"/>
      <w:r w:rsidRPr="00950145">
        <w:rPr>
          <w:rFonts w:ascii="Times New Roman" w:hAnsi="Times New Roman"/>
        </w:rPr>
        <w:t>Herbener</w:t>
      </w:r>
      <w:proofErr w:type="spellEnd"/>
      <w:r w:rsidRPr="00950145">
        <w:rPr>
          <w:rFonts w:ascii="Times New Roman" w:hAnsi="Times New Roman"/>
        </w:rPr>
        <w:t xml:space="preserve">, V. J., La </w:t>
      </w:r>
      <w:proofErr w:type="spellStart"/>
      <w:r w:rsidRPr="00950145">
        <w:rPr>
          <w:rFonts w:ascii="Times New Roman" w:hAnsi="Times New Roman"/>
        </w:rPr>
        <w:t>Ferla-Brühl</w:t>
      </w:r>
      <w:proofErr w:type="spellEnd"/>
      <w:r w:rsidRPr="00950145">
        <w:rPr>
          <w:rFonts w:ascii="Times New Roman" w:hAnsi="Times New Roman"/>
        </w:rPr>
        <w:t xml:space="preserve">, K., </w:t>
      </w:r>
      <w:proofErr w:type="spellStart"/>
      <w:r w:rsidRPr="00950145">
        <w:rPr>
          <w:rFonts w:ascii="Times New Roman" w:hAnsi="Times New Roman"/>
        </w:rPr>
        <w:t>Kassubek</w:t>
      </w:r>
      <w:proofErr w:type="spellEnd"/>
      <w:r w:rsidRPr="00950145">
        <w:rPr>
          <w:rFonts w:ascii="Times New Roman" w:hAnsi="Times New Roman"/>
        </w:rPr>
        <w:t xml:space="preserve">, R., </w:t>
      </w:r>
      <w:proofErr w:type="spellStart"/>
      <w:r w:rsidRPr="00950145">
        <w:rPr>
          <w:rFonts w:ascii="Times New Roman" w:hAnsi="Times New Roman"/>
        </w:rPr>
        <w:t>Grunert</w:t>
      </w:r>
      <w:proofErr w:type="spellEnd"/>
      <w:r w:rsidRPr="00950145">
        <w:rPr>
          <w:rFonts w:ascii="Times New Roman" w:hAnsi="Times New Roman"/>
        </w:rPr>
        <w:t xml:space="preserve">, M. &amp; </w:t>
      </w:r>
      <w:proofErr w:type="spellStart"/>
      <w:r w:rsidRPr="00950145">
        <w:rPr>
          <w:rFonts w:ascii="Times New Roman" w:hAnsi="Times New Roman"/>
        </w:rPr>
        <w:t>Westhoff</w:t>
      </w:r>
      <w:proofErr w:type="spellEnd"/>
      <w:r w:rsidRPr="00950145">
        <w:rPr>
          <w:rFonts w:ascii="Times New Roman" w:hAnsi="Times New Roman"/>
        </w:rPr>
        <w:t>, M. A. (2021). What animal cancers teach us about human biology. </w:t>
      </w:r>
      <w:proofErr w:type="spellStart"/>
      <w:r w:rsidRPr="00950145">
        <w:rPr>
          <w:rFonts w:ascii="Times New Roman" w:hAnsi="Times New Roman"/>
          <w:i/>
          <w:iCs/>
        </w:rPr>
        <w:t>Theranostics</w:t>
      </w:r>
      <w:proofErr w:type="spellEnd"/>
      <w:r w:rsidRPr="00950145">
        <w:rPr>
          <w:rFonts w:ascii="Times New Roman" w:hAnsi="Times New Roman"/>
        </w:rPr>
        <w:t>, 11(14), 6682.</w:t>
      </w:r>
    </w:p>
    <w:p w14:paraId="00C9FBDE" w14:textId="77777777" w:rsidR="000D3D58" w:rsidRPr="00950145" w:rsidRDefault="000D3D58" w:rsidP="000D3D58">
      <w:pPr>
        <w:spacing w:after="240" w:line="240" w:lineRule="auto"/>
        <w:ind w:left="720" w:hanging="900"/>
        <w:jc w:val="both"/>
        <w:rPr>
          <w:rFonts w:ascii="Times New Roman" w:hAnsi="Times New Roman"/>
        </w:rPr>
      </w:pPr>
      <w:proofErr w:type="spellStart"/>
      <w:r w:rsidRPr="00950145">
        <w:rPr>
          <w:rFonts w:ascii="Times New Roman" w:hAnsi="Times New Roman"/>
        </w:rPr>
        <w:t>Kausar</w:t>
      </w:r>
      <w:proofErr w:type="spellEnd"/>
      <w:r w:rsidRPr="00950145">
        <w:rPr>
          <w:rFonts w:ascii="Times New Roman" w:hAnsi="Times New Roman"/>
        </w:rPr>
        <w:t>, S., Wang, F. &amp; Cui, H. (2018). The role of mitochondria in reactive oxygen species generation and its implications for neurodegenerative diseases. </w:t>
      </w:r>
      <w:r w:rsidRPr="00950145">
        <w:rPr>
          <w:rFonts w:ascii="Times New Roman" w:hAnsi="Times New Roman"/>
          <w:i/>
          <w:iCs/>
        </w:rPr>
        <w:t>Cells</w:t>
      </w:r>
      <w:r w:rsidRPr="00950145">
        <w:rPr>
          <w:rFonts w:ascii="Times New Roman" w:hAnsi="Times New Roman"/>
        </w:rPr>
        <w:t>, </w:t>
      </w:r>
      <w:r w:rsidRPr="008709C0">
        <w:rPr>
          <w:rFonts w:ascii="Times New Roman" w:hAnsi="Times New Roman"/>
        </w:rPr>
        <w:t>7</w:t>
      </w:r>
      <w:r w:rsidRPr="00950145">
        <w:rPr>
          <w:rFonts w:ascii="Times New Roman" w:hAnsi="Times New Roman"/>
        </w:rPr>
        <w:t>(12), 274.</w:t>
      </w:r>
    </w:p>
    <w:p w14:paraId="5FD031FD" w14:textId="77777777" w:rsidR="000D3D58" w:rsidRPr="00950145" w:rsidRDefault="000D3D58" w:rsidP="000D3D58">
      <w:pPr>
        <w:spacing w:after="240" w:line="240" w:lineRule="auto"/>
        <w:ind w:left="720" w:hanging="900"/>
        <w:jc w:val="both"/>
        <w:rPr>
          <w:rFonts w:ascii="Times New Roman" w:hAnsi="Times New Roman"/>
        </w:rPr>
      </w:pPr>
      <w:proofErr w:type="spellStart"/>
      <w:r w:rsidRPr="00950145">
        <w:rPr>
          <w:rFonts w:ascii="Times New Roman" w:hAnsi="Times New Roman"/>
        </w:rPr>
        <w:t>Korytko</w:t>
      </w:r>
      <w:proofErr w:type="spellEnd"/>
      <w:r w:rsidRPr="00950145">
        <w:rPr>
          <w:rFonts w:ascii="Times New Roman" w:hAnsi="Times New Roman"/>
        </w:rPr>
        <w:t>, O. O. (2024). Biological role and use of L-glutamic acid and its influence on the body. </w:t>
      </w:r>
      <w:r w:rsidRPr="00950145">
        <w:rPr>
          <w:rFonts w:ascii="Times New Roman" w:hAnsi="Times New Roman"/>
          <w:i/>
          <w:iCs/>
        </w:rPr>
        <w:t>Scientific Messenger of LNU of Veterinary Medicine and Biotechnologies. Series: Agricultural sciences</w:t>
      </w:r>
      <w:r w:rsidRPr="00950145">
        <w:rPr>
          <w:rFonts w:ascii="Times New Roman" w:hAnsi="Times New Roman"/>
        </w:rPr>
        <w:t>, 26(101), 242-250.</w:t>
      </w:r>
    </w:p>
    <w:p w14:paraId="511A958C"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Li, T. &amp; Le, A. (2018). Glutamine metabolism in cancer. </w:t>
      </w:r>
      <w:r w:rsidRPr="00950145">
        <w:rPr>
          <w:rFonts w:ascii="Times New Roman" w:hAnsi="Times New Roman"/>
          <w:i/>
          <w:iCs/>
        </w:rPr>
        <w:t>The Heterogeneity of Cancer Metabolism</w:t>
      </w:r>
      <w:r w:rsidRPr="00950145">
        <w:rPr>
          <w:rFonts w:ascii="Times New Roman" w:hAnsi="Times New Roman"/>
        </w:rPr>
        <w:t>, 13-32.</w:t>
      </w:r>
    </w:p>
    <w:p w14:paraId="03E7EA9D"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Li, Y., Zhang, H., Yu, C., Dong, X., Yang, F., Wang, M.</w:t>
      </w:r>
      <w:r>
        <w:rPr>
          <w:rFonts w:ascii="Times New Roman" w:hAnsi="Times New Roman"/>
        </w:rPr>
        <w:t xml:space="preserve"> </w:t>
      </w:r>
      <w:r w:rsidRPr="00950145">
        <w:rPr>
          <w:rFonts w:ascii="Times New Roman" w:hAnsi="Times New Roman"/>
        </w:rPr>
        <w:t>&amp; Yang, L. (2024). New insights into mitochondria in health and diseases. </w:t>
      </w:r>
      <w:r w:rsidRPr="00950145">
        <w:rPr>
          <w:rFonts w:ascii="Times New Roman" w:hAnsi="Times New Roman"/>
          <w:i/>
          <w:iCs/>
        </w:rPr>
        <w:t>International Journal of Molecular Sciences</w:t>
      </w:r>
      <w:r w:rsidRPr="00950145">
        <w:rPr>
          <w:rFonts w:ascii="Times New Roman" w:hAnsi="Times New Roman"/>
        </w:rPr>
        <w:t>, 25(18), 9975.</w:t>
      </w:r>
    </w:p>
    <w:p w14:paraId="732038D6" w14:textId="77777777" w:rsidR="000D3D58" w:rsidRDefault="000D3D58" w:rsidP="000D3D58">
      <w:pPr>
        <w:spacing w:after="240" w:line="240" w:lineRule="auto"/>
        <w:ind w:left="720" w:hanging="907"/>
        <w:jc w:val="both"/>
        <w:rPr>
          <w:rFonts w:ascii="Times New Roman" w:hAnsi="Times New Roman"/>
        </w:rPr>
      </w:pPr>
      <w:proofErr w:type="spellStart"/>
      <w:r w:rsidRPr="00950145">
        <w:rPr>
          <w:rFonts w:ascii="Times New Roman" w:hAnsi="Times New Roman"/>
        </w:rPr>
        <w:t>Mattiuzzi</w:t>
      </w:r>
      <w:proofErr w:type="spellEnd"/>
      <w:r w:rsidRPr="00950145">
        <w:rPr>
          <w:rFonts w:ascii="Times New Roman" w:hAnsi="Times New Roman"/>
        </w:rPr>
        <w:t>, C. &amp; Lippi, G. (2019). Current cancer epidemiology. </w:t>
      </w:r>
      <w:r w:rsidRPr="00950145">
        <w:rPr>
          <w:rFonts w:ascii="Times New Roman" w:hAnsi="Times New Roman"/>
          <w:i/>
          <w:iCs/>
        </w:rPr>
        <w:t>Journal of Epidemiology and Global Health</w:t>
      </w:r>
      <w:r w:rsidRPr="00950145">
        <w:rPr>
          <w:rFonts w:ascii="Times New Roman" w:hAnsi="Times New Roman"/>
        </w:rPr>
        <w:t>, 9(4), 217-222.</w:t>
      </w:r>
    </w:p>
    <w:p w14:paraId="36316599" w14:textId="77777777" w:rsidR="000D3D58" w:rsidRPr="00950145" w:rsidRDefault="000D3D58" w:rsidP="000D3D58">
      <w:pPr>
        <w:tabs>
          <w:tab w:val="left" w:pos="270"/>
        </w:tabs>
        <w:spacing w:after="240" w:line="240" w:lineRule="auto"/>
        <w:ind w:left="720" w:hanging="907"/>
        <w:jc w:val="both"/>
        <w:rPr>
          <w:rFonts w:ascii="Times New Roman" w:hAnsi="Times New Roman"/>
        </w:rPr>
      </w:pPr>
      <w:r w:rsidRPr="00950145">
        <w:rPr>
          <w:rFonts w:ascii="Times New Roman" w:hAnsi="Times New Roman"/>
        </w:rPr>
        <w:t xml:space="preserve">McGuire, A., Brown, J. A., Malone, C., McLaughlin, R. &amp; </w:t>
      </w:r>
      <w:proofErr w:type="spellStart"/>
      <w:r w:rsidRPr="00950145">
        <w:rPr>
          <w:rFonts w:ascii="Times New Roman" w:hAnsi="Times New Roman"/>
        </w:rPr>
        <w:t>Kerin</w:t>
      </w:r>
      <w:proofErr w:type="spellEnd"/>
      <w:r w:rsidRPr="00950145">
        <w:rPr>
          <w:rFonts w:ascii="Times New Roman" w:hAnsi="Times New Roman"/>
        </w:rPr>
        <w:t>, M. J. (2015). Effects of age on     the detection and management of breast cancer. </w:t>
      </w:r>
      <w:r w:rsidRPr="00950145">
        <w:rPr>
          <w:rFonts w:ascii="Times New Roman" w:hAnsi="Times New Roman"/>
          <w:i/>
          <w:iCs/>
        </w:rPr>
        <w:t>Cancers, </w:t>
      </w:r>
      <w:r w:rsidRPr="00950145">
        <w:rPr>
          <w:rFonts w:ascii="Times New Roman" w:hAnsi="Times New Roman"/>
        </w:rPr>
        <w:t>7(2), 908-929.</w:t>
      </w:r>
    </w:p>
    <w:p w14:paraId="2013822A" w14:textId="77777777" w:rsidR="000D3D58" w:rsidRPr="00950145" w:rsidRDefault="000D3D58" w:rsidP="000D3D58">
      <w:pPr>
        <w:tabs>
          <w:tab w:val="left" w:pos="270"/>
        </w:tabs>
        <w:spacing w:after="240" w:line="240" w:lineRule="auto"/>
        <w:ind w:left="720" w:hanging="900"/>
        <w:jc w:val="both"/>
        <w:rPr>
          <w:rFonts w:ascii="Times New Roman" w:hAnsi="Times New Roman"/>
        </w:rPr>
      </w:pPr>
      <w:r w:rsidRPr="00950145">
        <w:rPr>
          <w:rFonts w:ascii="Times New Roman" w:hAnsi="Times New Roman"/>
        </w:rPr>
        <w:t xml:space="preserve">McGuire, A., Brown, J. A., Malone, C., McLaughlin, R. &amp; </w:t>
      </w:r>
      <w:proofErr w:type="spellStart"/>
      <w:r w:rsidRPr="00950145">
        <w:rPr>
          <w:rFonts w:ascii="Times New Roman" w:hAnsi="Times New Roman"/>
        </w:rPr>
        <w:t>Kerin</w:t>
      </w:r>
      <w:proofErr w:type="spellEnd"/>
      <w:r w:rsidRPr="00950145">
        <w:rPr>
          <w:rFonts w:ascii="Times New Roman" w:hAnsi="Times New Roman"/>
        </w:rPr>
        <w:t>, M. J. (2015). Effects of age on     the detection and management of breast cancer. </w:t>
      </w:r>
      <w:r w:rsidRPr="00950145">
        <w:rPr>
          <w:rFonts w:ascii="Times New Roman" w:hAnsi="Times New Roman"/>
          <w:i/>
          <w:iCs/>
        </w:rPr>
        <w:t>Cancers, </w:t>
      </w:r>
      <w:r w:rsidRPr="00950145">
        <w:rPr>
          <w:rFonts w:ascii="Times New Roman" w:hAnsi="Times New Roman"/>
        </w:rPr>
        <w:t>7(2), 908-929.</w:t>
      </w:r>
    </w:p>
    <w:p w14:paraId="27754818" w14:textId="77777777" w:rsidR="000D3D58" w:rsidRDefault="000D3D58" w:rsidP="000D3D58">
      <w:pPr>
        <w:spacing w:after="240" w:line="240" w:lineRule="auto"/>
        <w:ind w:left="720" w:hanging="900"/>
        <w:jc w:val="both"/>
        <w:rPr>
          <w:rFonts w:ascii="Times New Roman" w:hAnsi="Times New Roman"/>
        </w:rPr>
      </w:pPr>
      <w:proofErr w:type="spellStart"/>
      <w:r w:rsidRPr="00950145">
        <w:rPr>
          <w:rFonts w:ascii="Times New Roman" w:hAnsi="Times New Roman"/>
        </w:rPr>
        <w:t>Mundel</w:t>
      </w:r>
      <w:proofErr w:type="spellEnd"/>
      <w:r w:rsidRPr="00950145">
        <w:rPr>
          <w:rFonts w:ascii="Times New Roman" w:hAnsi="Times New Roman"/>
        </w:rPr>
        <w:t xml:space="preserve">, R., </w:t>
      </w:r>
      <w:proofErr w:type="spellStart"/>
      <w:r w:rsidRPr="00950145">
        <w:rPr>
          <w:rFonts w:ascii="Times New Roman" w:hAnsi="Times New Roman"/>
        </w:rPr>
        <w:t>Dhadwal</w:t>
      </w:r>
      <w:proofErr w:type="spellEnd"/>
      <w:r w:rsidRPr="00950145">
        <w:rPr>
          <w:rFonts w:ascii="Times New Roman" w:hAnsi="Times New Roman"/>
        </w:rPr>
        <w:t>, S., Bharti, S. &amp; Chatterjee, M. (2023). A comprehensive overview of various cancer types and their progression. </w:t>
      </w:r>
      <w:r w:rsidRPr="00950145">
        <w:rPr>
          <w:rFonts w:ascii="Times New Roman" w:hAnsi="Times New Roman"/>
          <w:i/>
          <w:iCs/>
        </w:rPr>
        <w:t xml:space="preserve">Handbook of </w:t>
      </w:r>
      <w:proofErr w:type="spellStart"/>
      <w:r w:rsidRPr="00950145">
        <w:rPr>
          <w:rFonts w:ascii="Times New Roman" w:hAnsi="Times New Roman"/>
          <w:i/>
          <w:iCs/>
        </w:rPr>
        <w:t>Oncobiology</w:t>
      </w:r>
      <w:proofErr w:type="spellEnd"/>
      <w:r w:rsidRPr="00950145">
        <w:rPr>
          <w:rFonts w:ascii="Times New Roman" w:hAnsi="Times New Roman"/>
          <w:i/>
          <w:iCs/>
        </w:rPr>
        <w:t>: From Basic to Clinical Sciences</w:t>
      </w:r>
      <w:r w:rsidRPr="00950145">
        <w:rPr>
          <w:rFonts w:ascii="Times New Roman" w:hAnsi="Times New Roman"/>
        </w:rPr>
        <w:t>, 1-17.</w:t>
      </w:r>
    </w:p>
    <w:p w14:paraId="595B9B75"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 xml:space="preserve">Nilsson, A., </w:t>
      </w:r>
      <w:proofErr w:type="spellStart"/>
      <w:r w:rsidRPr="00950145">
        <w:rPr>
          <w:rFonts w:ascii="Times New Roman" w:hAnsi="Times New Roman"/>
        </w:rPr>
        <w:t>Haanstra</w:t>
      </w:r>
      <w:proofErr w:type="spellEnd"/>
      <w:r w:rsidRPr="00950145">
        <w:rPr>
          <w:rFonts w:ascii="Times New Roman" w:hAnsi="Times New Roman"/>
        </w:rPr>
        <w:t xml:space="preserve">, J. R., </w:t>
      </w:r>
      <w:proofErr w:type="spellStart"/>
      <w:r w:rsidRPr="00950145">
        <w:rPr>
          <w:rFonts w:ascii="Times New Roman" w:hAnsi="Times New Roman"/>
        </w:rPr>
        <w:t>Engqvist</w:t>
      </w:r>
      <w:proofErr w:type="spellEnd"/>
      <w:r w:rsidRPr="00950145">
        <w:rPr>
          <w:rFonts w:ascii="Times New Roman" w:hAnsi="Times New Roman"/>
        </w:rPr>
        <w:t xml:space="preserve">, M., </w:t>
      </w:r>
      <w:proofErr w:type="spellStart"/>
      <w:r w:rsidRPr="00950145">
        <w:rPr>
          <w:rFonts w:ascii="Times New Roman" w:hAnsi="Times New Roman"/>
        </w:rPr>
        <w:t>Gerding</w:t>
      </w:r>
      <w:proofErr w:type="spellEnd"/>
      <w:r w:rsidRPr="00950145">
        <w:rPr>
          <w:rFonts w:ascii="Times New Roman" w:hAnsi="Times New Roman"/>
        </w:rPr>
        <w:t xml:space="preserve">, A., Bakker, B. M., </w:t>
      </w:r>
      <w:proofErr w:type="spellStart"/>
      <w:r w:rsidRPr="00950145">
        <w:rPr>
          <w:rFonts w:ascii="Times New Roman" w:hAnsi="Times New Roman"/>
        </w:rPr>
        <w:t>Klingmüller</w:t>
      </w:r>
      <w:proofErr w:type="spellEnd"/>
      <w:r w:rsidRPr="00950145">
        <w:rPr>
          <w:rFonts w:ascii="Times New Roman" w:hAnsi="Times New Roman"/>
        </w:rPr>
        <w:t>, U. &amp; Nielsen, J. (2020). Quantitative analysis of amino acid metabolism in liver cancer links glutamate excretion to nucleotide synthesis. </w:t>
      </w:r>
      <w:r w:rsidRPr="00950145">
        <w:rPr>
          <w:rFonts w:ascii="Times New Roman" w:hAnsi="Times New Roman"/>
          <w:i/>
          <w:iCs/>
        </w:rPr>
        <w:t>Proceedings of the National Academy of Sciences</w:t>
      </w:r>
      <w:r w:rsidRPr="00950145">
        <w:rPr>
          <w:rFonts w:ascii="Times New Roman" w:hAnsi="Times New Roman"/>
        </w:rPr>
        <w:t>, 117(19), 10294-10304.</w:t>
      </w:r>
    </w:p>
    <w:p w14:paraId="2A67B012"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lastRenderedPageBreak/>
        <w:t>Potter, M., Newport, E. &amp; Morten, K. J. (2016). The Warburg effect: 80 years on. </w:t>
      </w:r>
      <w:r w:rsidRPr="00950145">
        <w:rPr>
          <w:rFonts w:ascii="Times New Roman" w:hAnsi="Times New Roman"/>
          <w:i/>
          <w:iCs/>
        </w:rPr>
        <w:t>Biochemical Society Transactions</w:t>
      </w:r>
      <w:r w:rsidRPr="00950145">
        <w:rPr>
          <w:rFonts w:ascii="Times New Roman" w:hAnsi="Times New Roman"/>
        </w:rPr>
        <w:t>, 44(5), 1499-1505.</w:t>
      </w:r>
    </w:p>
    <w:p w14:paraId="66DA70D6" w14:textId="77777777" w:rsidR="000D3D58" w:rsidRDefault="000D3D58" w:rsidP="000D3D58">
      <w:pPr>
        <w:tabs>
          <w:tab w:val="left" w:pos="270"/>
        </w:tabs>
        <w:spacing w:after="240" w:line="240" w:lineRule="auto"/>
        <w:ind w:left="720" w:hanging="907"/>
        <w:jc w:val="both"/>
        <w:rPr>
          <w:rFonts w:ascii="Times New Roman" w:hAnsi="Times New Roman"/>
        </w:rPr>
      </w:pPr>
      <w:r w:rsidRPr="00950145">
        <w:rPr>
          <w:rFonts w:ascii="Times New Roman" w:hAnsi="Times New Roman"/>
        </w:rPr>
        <w:t xml:space="preserve">Quinto, R. M., De Vincenzo, F., </w:t>
      </w:r>
      <w:proofErr w:type="spellStart"/>
      <w:r w:rsidRPr="00950145">
        <w:rPr>
          <w:rFonts w:ascii="Times New Roman" w:hAnsi="Times New Roman"/>
        </w:rPr>
        <w:t>Campitiello</w:t>
      </w:r>
      <w:proofErr w:type="spellEnd"/>
      <w:r w:rsidRPr="00950145">
        <w:rPr>
          <w:rFonts w:ascii="Times New Roman" w:hAnsi="Times New Roman"/>
        </w:rPr>
        <w:t xml:space="preserve">, L., </w:t>
      </w:r>
      <w:proofErr w:type="spellStart"/>
      <w:r w:rsidRPr="00950145">
        <w:rPr>
          <w:rFonts w:ascii="Times New Roman" w:hAnsi="Times New Roman"/>
        </w:rPr>
        <w:t>Innamorati</w:t>
      </w:r>
      <w:proofErr w:type="spellEnd"/>
      <w:r w:rsidRPr="00950145">
        <w:rPr>
          <w:rFonts w:ascii="Times New Roman" w:hAnsi="Times New Roman"/>
        </w:rPr>
        <w:t xml:space="preserve">, M., </w:t>
      </w:r>
      <w:proofErr w:type="spellStart"/>
      <w:r w:rsidRPr="00950145">
        <w:rPr>
          <w:rFonts w:ascii="Times New Roman" w:hAnsi="Times New Roman"/>
        </w:rPr>
        <w:t>Secinti</w:t>
      </w:r>
      <w:proofErr w:type="spellEnd"/>
      <w:r w:rsidRPr="00950145">
        <w:rPr>
          <w:rFonts w:ascii="Times New Roman" w:hAnsi="Times New Roman"/>
        </w:rPr>
        <w:t xml:space="preserve">, E. &amp; </w:t>
      </w:r>
      <w:proofErr w:type="spellStart"/>
      <w:r w:rsidRPr="00950145">
        <w:rPr>
          <w:rFonts w:ascii="Times New Roman" w:hAnsi="Times New Roman"/>
        </w:rPr>
        <w:t>Iani</w:t>
      </w:r>
      <w:proofErr w:type="spellEnd"/>
      <w:r w:rsidRPr="00950145">
        <w:rPr>
          <w:rFonts w:ascii="Times New Roman" w:hAnsi="Times New Roman"/>
        </w:rPr>
        <w:t xml:space="preserve">, L. (2022). Meaning in life and the acceptance of cancer: a systematic review. </w:t>
      </w:r>
      <w:r w:rsidRPr="00950145">
        <w:rPr>
          <w:rFonts w:ascii="Times New Roman" w:hAnsi="Times New Roman"/>
          <w:i/>
          <w:iCs/>
        </w:rPr>
        <w:t>International Journal of Environmental Research and Public Health</w:t>
      </w:r>
      <w:r w:rsidRPr="00950145">
        <w:rPr>
          <w:rFonts w:ascii="Times New Roman" w:hAnsi="Times New Roman"/>
        </w:rPr>
        <w:t>, 19(9), 5547.</w:t>
      </w:r>
    </w:p>
    <w:p w14:paraId="6527BAD3" w14:textId="77777777" w:rsidR="000D3D58" w:rsidRDefault="000D3D58" w:rsidP="000D3D58">
      <w:pPr>
        <w:spacing w:after="240" w:line="240" w:lineRule="auto"/>
        <w:ind w:left="720" w:hanging="900"/>
        <w:jc w:val="both"/>
        <w:rPr>
          <w:rFonts w:ascii="Times New Roman" w:hAnsi="Times New Roman"/>
        </w:rPr>
      </w:pPr>
      <w:r w:rsidRPr="00950145">
        <w:rPr>
          <w:rFonts w:ascii="Times New Roman" w:hAnsi="Times New Roman"/>
        </w:rPr>
        <w:t>Saini, A., Kumar, M., Bhatt, S., Saini, V. &amp; Malik, A. (2020). Cancer causes and treatments. </w:t>
      </w:r>
      <w:r w:rsidRPr="00950145">
        <w:rPr>
          <w:rFonts w:ascii="Times New Roman" w:hAnsi="Times New Roman"/>
          <w:i/>
          <w:iCs/>
        </w:rPr>
        <w:t>Int J Pharm Sci Res</w:t>
      </w:r>
      <w:r w:rsidRPr="00950145">
        <w:rPr>
          <w:rFonts w:ascii="Times New Roman" w:hAnsi="Times New Roman"/>
        </w:rPr>
        <w:t>, 11(7), 3121-3134.</w:t>
      </w:r>
    </w:p>
    <w:p w14:paraId="40371EDF" w14:textId="77777777" w:rsidR="000D3D58" w:rsidRPr="00950145" w:rsidRDefault="000D3D58" w:rsidP="000D3D58">
      <w:pPr>
        <w:spacing w:after="240" w:line="240" w:lineRule="auto"/>
        <w:ind w:left="720" w:hanging="900"/>
        <w:jc w:val="both"/>
        <w:rPr>
          <w:rFonts w:ascii="Times New Roman" w:hAnsi="Times New Roman"/>
        </w:rPr>
      </w:pPr>
      <w:proofErr w:type="spellStart"/>
      <w:r w:rsidRPr="00950145">
        <w:rPr>
          <w:rFonts w:ascii="Times New Roman" w:hAnsi="Times New Roman"/>
        </w:rPr>
        <w:t>Seyfried</w:t>
      </w:r>
      <w:proofErr w:type="spellEnd"/>
      <w:r w:rsidRPr="00950145">
        <w:rPr>
          <w:rFonts w:ascii="Times New Roman" w:hAnsi="Times New Roman"/>
        </w:rPr>
        <w:t xml:space="preserve">, T. N., Lee, D. C., </w:t>
      </w:r>
      <w:proofErr w:type="spellStart"/>
      <w:r w:rsidRPr="00950145">
        <w:rPr>
          <w:rFonts w:ascii="Times New Roman" w:hAnsi="Times New Roman"/>
        </w:rPr>
        <w:t>Duraj</w:t>
      </w:r>
      <w:proofErr w:type="spellEnd"/>
      <w:r w:rsidRPr="00950145">
        <w:rPr>
          <w:rFonts w:ascii="Times New Roman" w:hAnsi="Times New Roman"/>
        </w:rPr>
        <w:t xml:space="preserve">, T., Ta, N. L., Mukherjee, P., </w:t>
      </w:r>
      <w:proofErr w:type="spellStart"/>
      <w:r w:rsidRPr="00950145">
        <w:rPr>
          <w:rFonts w:ascii="Times New Roman" w:hAnsi="Times New Roman"/>
        </w:rPr>
        <w:t>Kiebish</w:t>
      </w:r>
      <w:proofErr w:type="spellEnd"/>
      <w:r w:rsidRPr="00950145">
        <w:rPr>
          <w:rFonts w:ascii="Times New Roman" w:hAnsi="Times New Roman"/>
        </w:rPr>
        <w:t xml:space="preserve">, M. &amp; </w:t>
      </w:r>
      <w:proofErr w:type="spellStart"/>
      <w:r w:rsidRPr="00950145">
        <w:rPr>
          <w:rFonts w:ascii="Times New Roman" w:hAnsi="Times New Roman"/>
        </w:rPr>
        <w:t>Chinopoulos</w:t>
      </w:r>
      <w:proofErr w:type="spellEnd"/>
      <w:r w:rsidRPr="00950145">
        <w:rPr>
          <w:rFonts w:ascii="Times New Roman" w:hAnsi="Times New Roman"/>
        </w:rPr>
        <w:t>, C. (2025). The Warburg hypothesis and the emergence of the mitochondrial metabolic theory of cancer. </w:t>
      </w:r>
      <w:r w:rsidRPr="00950145">
        <w:rPr>
          <w:rFonts w:ascii="Times New Roman" w:hAnsi="Times New Roman"/>
          <w:i/>
          <w:iCs/>
        </w:rPr>
        <w:t xml:space="preserve">Journal of Bioenergetics and </w:t>
      </w:r>
      <w:proofErr w:type="spellStart"/>
      <w:r w:rsidRPr="00950145">
        <w:rPr>
          <w:rFonts w:ascii="Times New Roman" w:hAnsi="Times New Roman"/>
          <w:i/>
          <w:iCs/>
        </w:rPr>
        <w:t>Biomembranes</w:t>
      </w:r>
      <w:proofErr w:type="spellEnd"/>
      <w:r w:rsidRPr="00950145">
        <w:rPr>
          <w:rFonts w:ascii="Times New Roman" w:hAnsi="Times New Roman"/>
        </w:rPr>
        <w:t>, 1-27.</w:t>
      </w:r>
    </w:p>
    <w:p w14:paraId="1DA83245" w14:textId="77777777" w:rsidR="000D3D58" w:rsidRPr="00950145" w:rsidRDefault="000D3D58" w:rsidP="000D3D58">
      <w:pPr>
        <w:spacing w:after="240" w:line="240" w:lineRule="auto"/>
        <w:ind w:left="720" w:hanging="900"/>
        <w:jc w:val="both"/>
        <w:rPr>
          <w:rFonts w:ascii="Times New Roman" w:hAnsi="Times New Roman"/>
        </w:rPr>
      </w:pPr>
      <w:proofErr w:type="spellStart"/>
      <w:r w:rsidRPr="00950145">
        <w:rPr>
          <w:rFonts w:ascii="Times New Roman" w:hAnsi="Times New Roman"/>
        </w:rPr>
        <w:t>Seyfried</w:t>
      </w:r>
      <w:proofErr w:type="spellEnd"/>
      <w:r w:rsidRPr="00950145">
        <w:rPr>
          <w:rFonts w:ascii="Times New Roman" w:hAnsi="Times New Roman"/>
        </w:rPr>
        <w:t xml:space="preserve">, T. N., Mukherjee, P., </w:t>
      </w:r>
      <w:proofErr w:type="spellStart"/>
      <w:r w:rsidRPr="00950145">
        <w:rPr>
          <w:rFonts w:ascii="Times New Roman" w:hAnsi="Times New Roman"/>
        </w:rPr>
        <w:t>Iyikesici</w:t>
      </w:r>
      <w:proofErr w:type="spellEnd"/>
      <w:r w:rsidRPr="00950145">
        <w:rPr>
          <w:rFonts w:ascii="Times New Roman" w:hAnsi="Times New Roman"/>
        </w:rPr>
        <w:t xml:space="preserve">, M. S., Slocum, A., </w:t>
      </w:r>
      <w:proofErr w:type="spellStart"/>
      <w:r w:rsidRPr="00950145">
        <w:rPr>
          <w:rFonts w:ascii="Times New Roman" w:hAnsi="Times New Roman"/>
        </w:rPr>
        <w:t>Kalamian</w:t>
      </w:r>
      <w:proofErr w:type="spellEnd"/>
      <w:r w:rsidRPr="00950145">
        <w:rPr>
          <w:rFonts w:ascii="Times New Roman" w:hAnsi="Times New Roman"/>
        </w:rPr>
        <w:t xml:space="preserve">, M., Spinosa, J. P. &amp; </w:t>
      </w:r>
      <w:proofErr w:type="spellStart"/>
      <w:r w:rsidRPr="00950145">
        <w:rPr>
          <w:rFonts w:ascii="Times New Roman" w:hAnsi="Times New Roman"/>
        </w:rPr>
        <w:t>Chinopoulos</w:t>
      </w:r>
      <w:proofErr w:type="spellEnd"/>
      <w:r w:rsidRPr="00950145">
        <w:rPr>
          <w:rFonts w:ascii="Times New Roman" w:hAnsi="Times New Roman"/>
        </w:rPr>
        <w:t>, C. (2020). Consideration of ketogenic metabolic therapy as a complementary or alternative approach for managing breast cancer. </w:t>
      </w:r>
      <w:r w:rsidRPr="00950145">
        <w:rPr>
          <w:rFonts w:ascii="Times New Roman" w:hAnsi="Times New Roman"/>
          <w:i/>
          <w:iCs/>
        </w:rPr>
        <w:t>Frontiers in Nutrition</w:t>
      </w:r>
      <w:r w:rsidRPr="00950145">
        <w:rPr>
          <w:rFonts w:ascii="Times New Roman" w:hAnsi="Times New Roman"/>
        </w:rPr>
        <w:t>, 7, 21.</w:t>
      </w:r>
    </w:p>
    <w:p w14:paraId="589D5210"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 xml:space="preserve">Siegel, R. L., </w:t>
      </w:r>
      <w:proofErr w:type="spellStart"/>
      <w:r w:rsidRPr="00950145">
        <w:rPr>
          <w:rFonts w:ascii="Times New Roman" w:hAnsi="Times New Roman"/>
        </w:rPr>
        <w:t>Kratzer</w:t>
      </w:r>
      <w:proofErr w:type="spellEnd"/>
      <w:r w:rsidRPr="00950145">
        <w:rPr>
          <w:rFonts w:ascii="Times New Roman" w:hAnsi="Times New Roman"/>
        </w:rPr>
        <w:t xml:space="preserve">, T. B., </w:t>
      </w:r>
      <w:proofErr w:type="spellStart"/>
      <w:r w:rsidRPr="00950145">
        <w:rPr>
          <w:rFonts w:ascii="Times New Roman" w:hAnsi="Times New Roman"/>
        </w:rPr>
        <w:t>Giaquinto</w:t>
      </w:r>
      <w:proofErr w:type="spellEnd"/>
      <w:r w:rsidRPr="00950145">
        <w:rPr>
          <w:rFonts w:ascii="Times New Roman" w:hAnsi="Times New Roman"/>
        </w:rPr>
        <w:t>, A. N., Sung, H. &amp; Jemal, A. (2025). Cancer statistics, 2025. </w:t>
      </w:r>
      <w:r w:rsidRPr="00950145">
        <w:rPr>
          <w:rFonts w:ascii="Times New Roman" w:hAnsi="Times New Roman"/>
          <w:i/>
          <w:iCs/>
        </w:rPr>
        <w:t>Ca</w:t>
      </w:r>
      <w:r w:rsidRPr="00950145">
        <w:rPr>
          <w:rFonts w:ascii="Times New Roman" w:hAnsi="Times New Roman"/>
        </w:rPr>
        <w:t>, 75(1), 10.</w:t>
      </w:r>
    </w:p>
    <w:p w14:paraId="26621737"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 xml:space="preserve">Singh, H. V., Jain, A. &amp; </w:t>
      </w:r>
      <w:proofErr w:type="spellStart"/>
      <w:r w:rsidRPr="00950145">
        <w:rPr>
          <w:rFonts w:ascii="Times New Roman" w:hAnsi="Times New Roman"/>
        </w:rPr>
        <w:t>Singhai</w:t>
      </w:r>
      <w:proofErr w:type="spellEnd"/>
      <w:r w:rsidRPr="00950145">
        <w:rPr>
          <w:rFonts w:ascii="Times New Roman" w:hAnsi="Times New Roman"/>
        </w:rPr>
        <w:t>, A. K. (2024). Breast Cancer: From Etiology to Therapeutic Interventions. </w:t>
      </w:r>
      <w:r w:rsidRPr="00950145">
        <w:rPr>
          <w:rFonts w:ascii="Times New Roman" w:hAnsi="Times New Roman"/>
          <w:i/>
          <w:iCs/>
        </w:rPr>
        <w:t>Research Journal of Pharmacology and Pharmacodynamics</w:t>
      </w:r>
      <w:r w:rsidRPr="00950145">
        <w:rPr>
          <w:rFonts w:ascii="Times New Roman" w:hAnsi="Times New Roman"/>
        </w:rPr>
        <w:t>, 16(3), 199-207.</w:t>
      </w:r>
    </w:p>
    <w:p w14:paraId="1C2165EF" w14:textId="77777777" w:rsidR="000D3D58" w:rsidRPr="00950145" w:rsidRDefault="000D3D58" w:rsidP="000D3D58">
      <w:pPr>
        <w:spacing w:after="240" w:line="240" w:lineRule="auto"/>
        <w:ind w:left="720" w:hanging="900"/>
        <w:jc w:val="both"/>
        <w:rPr>
          <w:rFonts w:ascii="Times New Roman" w:hAnsi="Times New Roman"/>
        </w:rPr>
      </w:pPr>
      <w:proofErr w:type="spellStart"/>
      <w:r w:rsidRPr="00950145">
        <w:rPr>
          <w:rFonts w:ascii="Times New Roman" w:hAnsi="Times New Roman"/>
        </w:rPr>
        <w:t>Sponagel</w:t>
      </w:r>
      <w:proofErr w:type="spellEnd"/>
      <w:r w:rsidRPr="00950145">
        <w:rPr>
          <w:rFonts w:ascii="Times New Roman" w:hAnsi="Times New Roman"/>
        </w:rPr>
        <w:t xml:space="preserve">, J., Jones, J. K., </w:t>
      </w:r>
      <w:proofErr w:type="spellStart"/>
      <w:r w:rsidRPr="00950145">
        <w:rPr>
          <w:rFonts w:ascii="Times New Roman" w:hAnsi="Times New Roman"/>
        </w:rPr>
        <w:t>Frankfater</w:t>
      </w:r>
      <w:proofErr w:type="spellEnd"/>
      <w:r w:rsidRPr="00950145">
        <w:rPr>
          <w:rFonts w:ascii="Times New Roman" w:hAnsi="Times New Roman"/>
        </w:rPr>
        <w:t>, C., Zhang, S., Tung, O., Cho, K. &amp; Ippolito, J. E. (2022). Sex differences in brain tumor glutamine metabolism reveal sex-specific vulnerabilities to treatment. </w:t>
      </w:r>
      <w:r w:rsidRPr="00950145">
        <w:rPr>
          <w:rFonts w:ascii="Times New Roman" w:hAnsi="Times New Roman"/>
          <w:i/>
          <w:iCs/>
        </w:rPr>
        <w:t>Med</w:t>
      </w:r>
      <w:r w:rsidRPr="00950145">
        <w:rPr>
          <w:rFonts w:ascii="Times New Roman" w:hAnsi="Times New Roman"/>
        </w:rPr>
        <w:t>, 3(11), 792-811.</w:t>
      </w:r>
    </w:p>
    <w:p w14:paraId="48504A34" w14:textId="77777777" w:rsidR="000D3D58" w:rsidRPr="00950145" w:rsidRDefault="000D3D58" w:rsidP="000D3D58">
      <w:pPr>
        <w:spacing w:after="240" w:line="240" w:lineRule="auto"/>
        <w:ind w:left="720" w:hanging="907"/>
        <w:jc w:val="both"/>
        <w:rPr>
          <w:rFonts w:ascii="Times New Roman" w:hAnsi="Times New Roman"/>
        </w:rPr>
      </w:pPr>
      <w:r w:rsidRPr="00950145">
        <w:rPr>
          <w:rFonts w:ascii="Times New Roman" w:hAnsi="Times New Roman"/>
        </w:rPr>
        <w:t xml:space="preserve">Sung, H., </w:t>
      </w:r>
      <w:proofErr w:type="spellStart"/>
      <w:r w:rsidRPr="00950145">
        <w:rPr>
          <w:rFonts w:ascii="Times New Roman" w:hAnsi="Times New Roman"/>
        </w:rPr>
        <w:t>Ferlay</w:t>
      </w:r>
      <w:proofErr w:type="spellEnd"/>
      <w:r w:rsidRPr="00950145">
        <w:rPr>
          <w:rFonts w:ascii="Times New Roman" w:hAnsi="Times New Roman"/>
        </w:rPr>
        <w:t xml:space="preserve">, J., Siegel, R. L., </w:t>
      </w:r>
      <w:proofErr w:type="spellStart"/>
      <w:r w:rsidRPr="00950145">
        <w:rPr>
          <w:rFonts w:ascii="Times New Roman" w:hAnsi="Times New Roman"/>
        </w:rPr>
        <w:t>Laversanne</w:t>
      </w:r>
      <w:proofErr w:type="spellEnd"/>
      <w:r w:rsidRPr="00950145">
        <w:rPr>
          <w:rFonts w:ascii="Times New Roman" w:hAnsi="Times New Roman"/>
        </w:rPr>
        <w:t xml:space="preserve">, M., </w:t>
      </w:r>
      <w:proofErr w:type="spellStart"/>
      <w:r w:rsidRPr="00950145">
        <w:rPr>
          <w:rFonts w:ascii="Times New Roman" w:hAnsi="Times New Roman"/>
        </w:rPr>
        <w:t>Soerjomataram</w:t>
      </w:r>
      <w:proofErr w:type="spellEnd"/>
      <w:r w:rsidRPr="00950145">
        <w:rPr>
          <w:rFonts w:ascii="Times New Roman" w:hAnsi="Times New Roman"/>
        </w:rPr>
        <w:t>, I., Jemal, A. &amp; Bray, F. (2021). Global cancer statistics 2020: GLOBOCAN estimates of incidence and mortality worldwide for 36 cancers in 185 countries. </w:t>
      </w:r>
      <w:r w:rsidRPr="00950145">
        <w:rPr>
          <w:rFonts w:ascii="Times New Roman" w:hAnsi="Times New Roman"/>
          <w:i/>
          <w:iCs/>
        </w:rPr>
        <w:t xml:space="preserve">CA: </w:t>
      </w:r>
      <w:r>
        <w:rPr>
          <w:rFonts w:ascii="Times New Roman" w:hAnsi="Times New Roman"/>
          <w:i/>
          <w:iCs/>
        </w:rPr>
        <w:t>A C</w:t>
      </w:r>
      <w:r w:rsidRPr="00950145">
        <w:rPr>
          <w:rFonts w:ascii="Times New Roman" w:hAnsi="Times New Roman"/>
          <w:i/>
          <w:iCs/>
        </w:rPr>
        <w:t xml:space="preserve">ancer </w:t>
      </w:r>
      <w:r>
        <w:rPr>
          <w:rFonts w:ascii="Times New Roman" w:hAnsi="Times New Roman"/>
          <w:i/>
          <w:iCs/>
        </w:rPr>
        <w:t>J</w:t>
      </w:r>
      <w:r w:rsidRPr="00950145">
        <w:rPr>
          <w:rFonts w:ascii="Times New Roman" w:hAnsi="Times New Roman"/>
          <w:i/>
          <w:iCs/>
        </w:rPr>
        <w:t xml:space="preserve">ournal for </w:t>
      </w:r>
      <w:r>
        <w:rPr>
          <w:rFonts w:ascii="Times New Roman" w:hAnsi="Times New Roman"/>
          <w:i/>
          <w:iCs/>
        </w:rPr>
        <w:t>C</w:t>
      </w:r>
      <w:r w:rsidRPr="00950145">
        <w:rPr>
          <w:rFonts w:ascii="Times New Roman" w:hAnsi="Times New Roman"/>
          <w:i/>
          <w:iCs/>
        </w:rPr>
        <w:t>linicians</w:t>
      </w:r>
      <w:r w:rsidRPr="00950145">
        <w:rPr>
          <w:rFonts w:ascii="Times New Roman" w:hAnsi="Times New Roman"/>
        </w:rPr>
        <w:t>, 71(3), 209-249.</w:t>
      </w:r>
    </w:p>
    <w:p w14:paraId="4B3B9890" w14:textId="77777777" w:rsidR="000D3D58" w:rsidRPr="00950145" w:rsidRDefault="000D3D58" w:rsidP="000D3D58">
      <w:pPr>
        <w:spacing w:after="240" w:line="240" w:lineRule="auto"/>
        <w:ind w:left="720" w:hanging="900"/>
        <w:jc w:val="both"/>
        <w:rPr>
          <w:rFonts w:ascii="Times New Roman" w:hAnsi="Times New Roman"/>
        </w:rPr>
      </w:pPr>
      <w:proofErr w:type="spellStart"/>
      <w:r w:rsidRPr="00950145">
        <w:rPr>
          <w:rFonts w:ascii="Times New Roman" w:hAnsi="Times New Roman"/>
        </w:rPr>
        <w:t>Vaupel</w:t>
      </w:r>
      <w:proofErr w:type="spellEnd"/>
      <w:r w:rsidRPr="00950145">
        <w:rPr>
          <w:rFonts w:ascii="Times New Roman" w:hAnsi="Times New Roman"/>
        </w:rPr>
        <w:t xml:space="preserve">, P. &amp; </w:t>
      </w:r>
      <w:proofErr w:type="spellStart"/>
      <w:r w:rsidRPr="00950145">
        <w:rPr>
          <w:rFonts w:ascii="Times New Roman" w:hAnsi="Times New Roman"/>
        </w:rPr>
        <w:t>Multhoff</w:t>
      </w:r>
      <w:proofErr w:type="spellEnd"/>
      <w:r w:rsidRPr="00950145">
        <w:rPr>
          <w:rFonts w:ascii="Times New Roman" w:hAnsi="Times New Roman"/>
        </w:rPr>
        <w:t>, G. (2021). Revisiting the Warburg effect: historical dogma versus current understanding. </w:t>
      </w:r>
      <w:r w:rsidRPr="00950145">
        <w:rPr>
          <w:rFonts w:ascii="Times New Roman" w:hAnsi="Times New Roman"/>
          <w:i/>
          <w:iCs/>
        </w:rPr>
        <w:t>The Journal of Physiology</w:t>
      </w:r>
      <w:r w:rsidRPr="00950145">
        <w:rPr>
          <w:rFonts w:ascii="Times New Roman" w:hAnsi="Times New Roman"/>
        </w:rPr>
        <w:t>, 599(6), 1745-1757.</w:t>
      </w:r>
    </w:p>
    <w:p w14:paraId="4858A6D3"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Wang, X., Zhao, X., Chou, J., Yu, J., Yang, T., Liu, L. &amp; Zhang, F. (2018). Taurine, glutamic acid and ethylmalonic acid as important metabolites for detecting human breast cancer based on the targeted metabolomics. </w:t>
      </w:r>
      <w:r w:rsidRPr="00950145">
        <w:rPr>
          <w:rFonts w:ascii="Times New Roman" w:hAnsi="Times New Roman"/>
          <w:i/>
          <w:iCs/>
        </w:rPr>
        <w:t>Cancer Biomarkers</w:t>
      </w:r>
      <w:r w:rsidRPr="00950145">
        <w:rPr>
          <w:rFonts w:ascii="Times New Roman" w:hAnsi="Times New Roman"/>
        </w:rPr>
        <w:t>, 23(2), 255-268.</w:t>
      </w:r>
    </w:p>
    <w:p w14:paraId="0C04D6AE"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Wang, X., Zhao, X., Chou, J., Yu, J., Yang, T., Liu, L. &amp; Zhang, F. (2018). Taurine, glutamic acid and ethylmalonic acid as important metabolites for detecting human breast cancer based on the targeted metabolomics. </w:t>
      </w:r>
      <w:r w:rsidRPr="00950145">
        <w:rPr>
          <w:rFonts w:ascii="Times New Roman" w:hAnsi="Times New Roman"/>
          <w:i/>
          <w:iCs/>
        </w:rPr>
        <w:t>Cancer Biomarkers</w:t>
      </w:r>
      <w:r w:rsidRPr="00950145">
        <w:rPr>
          <w:rFonts w:ascii="Times New Roman" w:hAnsi="Times New Roman"/>
        </w:rPr>
        <w:t>, 23(2), 255-268.</w:t>
      </w:r>
    </w:p>
    <w:p w14:paraId="30AC8583"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t xml:space="preserve">Yi, H., </w:t>
      </w:r>
      <w:proofErr w:type="spellStart"/>
      <w:r w:rsidRPr="00950145">
        <w:rPr>
          <w:rFonts w:ascii="Times New Roman" w:hAnsi="Times New Roman"/>
        </w:rPr>
        <w:t>Talmon</w:t>
      </w:r>
      <w:proofErr w:type="spellEnd"/>
      <w:r w:rsidRPr="00950145">
        <w:rPr>
          <w:rFonts w:ascii="Times New Roman" w:hAnsi="Times New Roman"/>
        </w:rPr>
        <w:t>, G. &amp; Wang, J. (2020). Glutamate in cancers: from metabolism to signaling. </w:t>
      </w:r>
      <w:r w:rsidRPr="00950145">
        <w:rPr>
          <w:rFonts w:ascii="Times New Roman" w:hAnsi="Times New Roman"/>
          <w:i/>
          <w:iCs/>
        </w:rPr>
        <w:t>Journal of Biomedical Research</w:t>
      </w:r>
      <w:r w:rsidRPr="00950145">
        <w:rPr>
          <w:rFonts w:ascii="Times New Roman" w:hAnsi="Times New Roman"/>
        </w:rPr>
        <w:t>, 34(4), 260.</w:t>
      </w:r>
    </w:p>
    <w:p w14:paraId="658AC42F" w14:textId="77777777" w:rsidR="000D3D58" w:rsidRPr="00950145" w:rsidRDefault="000D3D58" w:rsidP="000D3D58">
      <w:pPr>
        <w:spacing w:after="240" w:line="240" w:lineRule="auto"/>
        <w:ind w:left="720" w:hanging="900"/>
        <w:jc w:val="both"/>
        <w:rPr>
          <w:rFonts w:ascii="Times New Roman" w:hAnsi="Times New Roman"/>
        </w:rPr>
      </w:pPr>
      <w:r w:rsidRPr="00950145">
        <w:rPr>
          <w:rFonts w:ascii="Times New Roman" w:hAnsi="Times New Roman"/>
        </w:rPr>
        <w:lastRenderedPageBreak/>
        <w:t xml:space="preserve">Yusof, H. M., Ab-Rahim, S. H. A. R. A. N. I. Z. A., </w:t>
      </w:r>
      <w:proofErr w:type="spellStart"/>
      <w:r w:rsidRPr="00950145">
        <w:rPr>
          <w:rFonts w:ascii="Times New Roman" w:hAnsi="Times New Roman"/>
        </w:rPr>
        <w:t>Suddin</w:t>
      </w:r>
      <w:proofErr w:type="spellEnd"/>
      <w:r w:rsidRPr="00950145">
        <w:rPr>
          <w:rFonts w:ascii="Times New Roman" w:hAnsi="Times New Roman"/>
        </w:rPr>
        <w:t xml:space="preserve">, L. S., </w:t>
      </w:r>
      <w:proofErr w:type="spellStart"/>
      <w:r w:rsidRPr="00950145">
        <w:rPr>
          <w:rFonts w:ascii="Times New Roman" w:hAnsi="Times New Roman"/>
        </w:rPr>
        <w:t>Saman</w:t>
      </w:r>
      <w:proofErr w:type="spellEnd"/>
      <w:r w:rsidRPr="00950145">
        <w:rPr>
          <w:rFonts w:ascii="Times New Roman" w:hAnsi="Times New Roman"/>
        </w:rPr>
        <w:t>, M. S. A. &amp; Mazlan, M. U. S. A. L. M. A. H. (2018). Metabolomics profiling on different stages of colorectal cancer: a systematic review. </w:t>
      </w:r>
      <w:r w:rsidRPr="00950145">
        <w:rPr>
          <w:rFonts w:ascii="Times New Roman" w:hAnsi="Times New Roman"/>
          <w:i/>
          <w:iCs/>
        </w:rPr>
        <w:t>The Malaysian Journal of Medical Sciences: MJMS</w:t>
      </w:r>
      <w:r w:rsidRPr="00950145">
        <w:rPr>
          <w:rFonts w:ascii="Times New Roman" w:hAnsi="Times New Roman"/>
        </w:rPr>
        <w:t>, 25(5), 16.</w:t>
      </w:r>
    </w:p>
    <w:p w14:paraId="49FC2647" w14:textId="77777777" w:rsidR="00C721D6" w:rsidRDefault="00C721D6" w:rsidP="000D3D58">
      <w:pPr>
        <w:spacing w:after="240"/>
        <w:jc w:val="both"/>
        <w:rPr>
          <w:rFonts w:ascii="Times New Roman" w:hAnsi="Times New Roman"/>
        </w:rPr>
      </w:pPr>
    </w:p>
    <w:p w14:paraId="0AA79BFB" w14:textId="77777777" w:rsidR="00C721D6" w:rsidRPr="007A2994" w:rsidRDefault="00C721D6" w:rsidP="000D3D58">
      <w:pPr>
        <w:spacing w:after="240"/>
        <w:jc w:val="both"/>
        <w:rPr>
          <w:rFonts w:ascii="Times New Roman" w:hAnsi="Times New Roman" w:cs="Times New Roman"/>
        </w:rPr>
      </w:pPr>
    </w:p>
    <w:sectPr w:rsidR="00C721D6" w:rsidRPr="007A29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03DA3" w14:textId="77777777" w:rsidR="001F64AF" w:rsidRDefault="001F64AF" w:rsidP="00C51C8F">
      <w:pPr>
        <w:spacing w:after="0" w:line="240" w:lineRule="auto"/>
      </w:pPr>
      <w:r>
        <w:separator/>
      </w:r>
    </w:p>
  </w:endnote>
  <w:endnote w:type="continuationSeparator" w:id="0">
    <w:p w14:paraId="3841FD7B" w14:textId="77777777" w:rsidR="001F64AF" w:rsidRDefault="001F64AF" w:rsidP="00C5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1DC18" w14:textId="77777777" w:rsidR="00C51C8F" w:rsidRDefault="00C51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A2B8" w14:textId="77777777" w:rsidR="00C51C8F" w:rsidRDefault="00C51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B571" w14:textId="77777777" w:rsidR="00C51C8F" w:rsidRDefault="00C5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0F299" w14:textId="77777777" w:rsidR="001F64AF" w:rsidRDefault="001F64AF" w:rsidP="00C51C8F">
      <w:pPr>
        <w:spacing w:after="0" w:line="240" w:lineRule="auto"/>
      </w:pPr>
      <w:r>
        <w:separator/>
      </w:r>
    </w:p>
  </w:footnote>
  <w:footnote w:type="continuationSeparator" w:id="0">
    <w:p w14:paraId="50F67123" w14:textId="77777777" w:rsidR="001F64AF" w:rsidRDefault="001F64AF" w:rsidP="00C5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5D20D" w14:textId="36947E16" w:rsidR="00C51C8F" w:rsidRDefault="00C51C8F">
    <w:pPr>
      <w:pStyle w:val="Header"/>
    </w:pPr>
    <w:r>
      <w:rPr>
        <w:noProof/>
      </w:rPr>
      <w:pict w14:anchorId="51BF6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792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6323" w14:textId="4CF984A5" w:rsidR="00C51C8F" w:rsidRDefault="00C51C8F">
    <w:pPr>
      <w:pStyle w:val="Header"/>
    </w:pPr>
    <w:r>
      <w:rPr>
        <w:noProof/>
      </w:rPr>
      <w:pict w14:anchorId="0C4BA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792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4EC6" w14:textId="56EDF5A7" w:rsidR="00C51C8F" w:rsidRDefault="00C51C8F">
    <w:pPr>
      <w:pStyle w:val="Header"/>
    </w:pPr>
    <w:r>
      <w:rPr>
        <w:noProof/>
      </w:rPr>
      <w:pict w14:anchorId="415E3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792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85525"/>
    <w:multiLevelType w:val="hybridMultilevel"/>
    <w:tmpl w:val="C83C4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94"/>
    <w:rsid w:val="00050A41"/>
    <w:rsid w:val="00072B6B"/>
    <w:rsid w:val="000A6D5C"/>
    <w:rsid w:val="000D3D58"/>
    <w:rsid w:val="00117ABF"/>
    <w:rsid w:val="00143A57"/>
    <w:rsid w:val="001669E2"/>
    <w:rsid w:val="00167128"/>
    <w:rsid w:val="0018522A"/>
    <w:rsid w:val="00195789"/>
    <w:rsid w:val="001A76A0"/>
    <w:rsid w:val="001B69B0"/>
    <w:rsid w:val="001E74EC"/>
    <w:rsid w:val="001F581B"/>
    <w:rsid w:val="001F64AF"/>
    <w:rsid w:val="002257E6"/>
    <w:rsid w:val="002520F7"/>
    <w:rsid w:val="0026737C"/>
    <w:rsid w:val="00280221"/>
    <w:rsid w:val="002D0115"/>
    <w:rsid w:val="002D03F7"/>
    <w:rsid w:val="00317474"/>
    <w:rsid w:val="003E6914"/>
    <w:rsid w:val="004055CF"/>
    <w:rsid w:val="004070E6"/>
    <w:rsid w:val="00411985"/>
    <w:rsid w:val="004137D7"/>
    <w:rsid w:val="00431DE7"/>
    <w:rsid w:val="00465EE5"/>
    <w:rsid w:val="004B7557"/>
    <w:rsid w:val="004D753F"/>
    <w:rsid w:val="00502C6C"/>
    <w:rsid w:val="00515D9D"/>
    <w:rsid w:val="0053556A"/>
    <w:rsid w:val="0054766D"/>
    <w:rsid w:val="00560A23"/>
    <w:rsid w:val="005A54D5"/>
    <w:rsid w:val="005C20BA"/>
    <w:rsid w:val="0060155E"/>
    <w:rsid w:val="006415D5"/>
    <w:rsid w:val="00695B62"/>
    <w:rsid w:val="006B5031"/>
    <w:rsid w:val="006B525D"/>
    <w:rsid w:val="00713C38"/>
    <w:rsid w:val="0071556C"/>
    <w:rsid w:val="00742A64"/>
    <w:rsid w:val="007529E2"/>
    <w:rsid w:val="007A2994"/>
    <w:rsid w:val="007A5773"/>
    <w:rsid w:val="007F0885"/>
    <w:rsid w:val="008014F8"/>
    <w:rsid w:val="0080202F"/>
    <w:rsid w:val="00810497"/>
    <w:rsid w:val="00832425"/>
    <w:rsid w:val="00863DC1"/>
    <w:rsid w:val="00896D9A"/>
    <w:rsid w:val="008A3305"/>
    <w:rsid w:val="008D52A2"/>
    <w:rsid w:val="008F50E5"/>
    <w:rsid w:val="00922E1F"/>
    <w:rsid w:val="0096707C"/>
    <w:rsid w:val="009803BC"/>
    <w:rsid w:val="009827D2"/>
    <w:rsid w:val="00990C98"/>
    <w:rsid w:val="009D45AB"/>
    <w:rsid w:val="00A02FE8"/>
    <w:rsid w:val="00A0349F"/>
    <w:rsid w:val="00AF66EC"/>
    <w:rsid w:val="00B51376"/>
    <w:rsid w:val="00B62073"/>
    <w:rsid w:val="00B87695"/>
    <w:rsid w:val="00BA66C7"/>
    <w:rsid w:val="00BC48B8"/>
    <w:rsid w:val="00BE0EE1"/>
    <w:rsid w:val="00BE59D8"/>
    <w:rsid w:val="00C10810"/>
    <w:rsid w:val="00C10947"/>
    <w:rsid w:val="00C51C8F"/>
    <w:rsid w:val="00C721D6"/>
    <w:rsid w:val="00C80EAB"/>
    <w:rsid w:val="00C8379F"/>
    <w:rsid w:val="00C87CCB"/>
    <w:rsid w:val="00C977FF"/>
    <w:rsid w:val="00CC1436"/>
    <w:rsid w:val="00CC1878"/>
    <w:rsid w:val="00D12CAA"/>
    <w:rsid w:val="00D449CE"/>
    <w:rsid w:val="00D723F0"/>
    <w:rsid w:val="00DE213F"/>
    <w:rsid w:val="00E1124A"/>
    <w:rsid w:val="00E2269D"/>
    <w:rsid w:val="00EC1A82"/>
    <w:rsid w:val="00EC6620"/>
    <w:rsid w:val="00EE1AED"/>
    <w:rsid w:val="00EF3A1F"/>
    <w:rsid w:val="00F15923"/>
    <w:rsid w:val="00F404EA"/>
    <w:rsid w:val="00F438B0"/>
    <w:rsid w:val="00F61A75"/>
    <w:rsid w:val="00FA2B15"/>
    <w:rsid w:val="00FA4149"/>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C84159"/>
  <w15:chartTrackingRefBased/>
  <w15:docId w15:val="{00FFB023-140B-4D57-8B11-BA355DFF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9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9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9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9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9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9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9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9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9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9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994"/>
    <w:rPr>
      <w:rFonts w:eastAsiaTheme="majorEastAsia" w:cstheme="majorBidi"/>
      <w:color w:val="272727" w:themeColor="text1" w:themeTint="D8"/>
    </w:rPr>
  </w:style>
  <w:style w:type="paragraph" w:styleId="Title">
    <w:name w:val="Title"/>
    <w:basedOn w:val="Normal"/>
    <w:next w:val="Normal"/>
    <w:link w:val="TitleChar"/>
    <w:uiPriority w:val="10"/>
    <w:qFormat/>
    <w:rsid w:val="007A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994"/>
    <w:pPr>
      <w:spacing w:before="160"/>
      <w:jc w:val="center"/>
    </w:pPr>
    <w:rPr>
      <w:i/>
      <w:iCs/>
      <w:color w:val="404040" w:themeColor="text1" w:themeTint="BF"/>
    </w:rPr>
  </w:style>
  <w:style w:type="character" w:customStyle="1" w:styleId="QuoteChar">
    <w:name w:val="Quote Char"/>
    <w:basedOn w:val="DefaultParagraphFont"/>
    <w:link w:val="Quote"/>
    <w:uiPriority w:val="29"/>
    <w:rsid w:val="007A2994"/>
    <w:rPr>
      <w:i/>
      <w:iCs/>
      <w:color w:val="404040" w:themeColor="text1" w:themeTint="BF"/>
    </w:rPr>
  </w:style>
  <w:style w:type="paragraph" w:styleId="ListParagraph">
    <w:name w:val="List Paragraph"/>
    <w:basedOn w:val="Normal"/>
    <w:uiPriority w:val="34"/>
    <w:qFormat/>
    <w:rsid w:val="007A2994"/>
    <w:pPr>
      <w:ind w:left="720"/>
      <w:contextualSpacing/>
    </w:pPr>
  </w:style>
  <w:style w:type="character" w:styleId="IntenseEmphasis">
    <w:name w:val="Intense Emphasis"/>
    <w:basedOn w:val="DefaultParagraphFont"/>
    <w:uiPriority w:val="21"/>
    <w:qFormat/>
    <w:rsid w:val="007A2994"/>
    <w:rPr>
      <w:i/>
      <w:iCs/>
      <w:color w:val="2F5496" w:themeColor="accent1" w:themeShade="BF"/>
    </w:rPr>
  </w:style>
  <w:style w:type="paragraph" w:styleId="IntenseQuote">
    <w:name w:val="Intense Quote"/>
    <w:basedOn w:val="Normal"/>
    <w:next w:val="Normal"/>
    <w:link w:val="IntenseQuoteChar"/>
    <w:uiPriority w:val="30"/>
    <w:qFormat/>
    <w:rsid w:val="007A2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994"/>
    <w:rPr>
      <w:i/>
      <w:iCs/>
      <w:color w:val="2F5496" w:themeColor="accent1" w:themeShade="BF"/>
    </w:rPr>
  </w:style>
  <w:style w:type="character" w:styleId="IntenseReference">
    <w:name w:val="Intense Reference"/>
    <w:basedOn w:val="DefaultParagraphFont"/>
    <w:uiPriority w:val="32"/>
    <w:qFormat/>
    <w:rsid w:val="007A2994"/>
    <w:rPr>
      <w:b/>
      <w:bCs/>
      <w:smallCaps/>
      <w:color w:val="2F5496" w:themeColor="accent1" w:themeShade="BF"/>
      <w:spacing w:val="5"/>
    </w:rPr>
  </w:style>
  <w:style w:type="character" w:styleId="Hyperlink">
    <w:name w:val="Hyperlink"/>
    <w:basedOn w:val="DefaultParagraphFont"/>
    <w:uiPriority w:val="99"/>
    <w:unhideWhenUsed/>
    <w:rsid w:val="00EC6620"/>
    <w:rPr>
      <w:color w:val="0563C1" w:themeColor="hyperlink"/>
      <w:u w:val="single"/>
    </w:rPr>
  </w:style>
  <w:style w:type="character" w:styleId="UnresolvedMention">
    <w:name w:val="Unresolved Mention"/>
    <w:basedOn w:val="DefaultParagraphFont"/>
    <w:uiPriority w:val="99"/>
    <w:semiHidden/>
    <w:unhideWhenUsed/>
    <w:rsid w:val="00EC6620"/>
    <w:rPr>
      <w:color w:val="605E5C"/>
      <w:shd w:val="clear" w:color="auto" w:fill="E1DFDD"/>
    </w:rPr>
  </w:style>
  <w:style w:type="paragraph" w:styleId="Header">
    <w:name w:val="header"/>
    <w:basedOn w:val="Normal"/>
    <w:link w:val="HeaderChar"/>
    <w:uiPriority w:val="99"/>
    <w:unhideWhenUsed/>
    <w:rsid w:val="00C51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C8F"/>
  </w:style>
  <w:style w:type="paragraph" w:styleId="Footer">
    <w:name w:val="footer"/>
    <w:basedOn w:val="Normal"/>
    <w:link w:val="FooterChar"/>
    <w:uiPriority w:val="99"/>
    <w:unhideWhenUsed/>
    <w:rsid w:val="00C51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5834</Words>
  <Characters>33257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barinem.sunday1@gmail.com</dc:creator>
  <cp:keywords/>
  <dc:description/>
  <cp:lastModifiedBy>SDI 1084</cp:lastModifiedBy>
  <cp:revision>9</cp:revision>
  <dcterms:created xsi:type="dcterms:W3CDTF">2026-01-13T12:23:00Z</dcterms:created>
  <dcterms:modified xsi:type="dcterms:W3CDTF">2026-01-21T10:45:00Z</dcterms:modified>
</cp:coreProperties>
</file>