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97DE1" w14:textId="77777777" w:rsidR="00F469FB" w:rsidRDefault="00F469FB" w:rsidP="00342E3F">
      <w:pPr>
        <w:shd w:val="clear" w:color="auto" w:fill="FFFFFF"/>
        <w:spacing w:before="480" w:after="240"/>
        <w:jc w:val="center"/>
        <w:outlineLvl w:val="2"/>
        <w:rPr>
          <w:rFonts w:eastAsia="Times New Roman" w:cstheme="minorHAnsi"/>
          <w:b/>
          <w:bCs/>
          <w:color w:val="000000" w:themeColor="text1"/>
          <w:sz w:val="28"/>
          <w:szCs w:val="28"/>
          <w:lang w:val="en-US" w:eastAsia="fr-FR"/>
        </w:rPr>
      </w:pPr>
      <w:bookmarkStart w:id="0" w:name="_GoBack"/>
      <w:bookmarkEnd w:id="0"/>
      <w:r w:rsidRPr="00F469FB">
        <w:rPr>
          <w:rFonts w:eastAsia="Times New Roman" w:cstheme="minorHAnsi"/>
          <w:b/>
          <w:bCs/>
          <w:color w:val="000000" w:themeColor="text1"/>
          <w:sz w:val="28"/>
          <w:szCs w:val="28"/>
          <w:lang w:val="en-US" w:eastAsia="fr-FR"/>
        </w:rPr>
        <w:t xml:space="preserve">Case report </w:t>
      </w:r>
    </w:p>
    <w:p w14:paraId="02EB6BE1" w14:textId="77777777" w:rsidR="00F469FB" w:rsidRDefault="00F469FB" w:rsidP="00342E3F">
      <w:pPr>
        <w:shd w:val="clear" w:color="auto" w:fill="FFFFFF"/>
        <w:spacing w:before="480" w:after="240"/>
        <w:jc w:val="center"/>
        <w:outlineLvl w:val="2"/>
        <w:rPr>
          <w:rFonts w:eastAsia="Times New Roman" w:cstheme="minorHAnsi"/>
          <w:b/>
          <w:bCs/>
          <w:color w:val="000000" w:themeColor="text1"/>
          <w:sz w:val="28"/>
          <w:szCs w:val="28"/>
          <w:lang w:val="en-US" w:eastAsia="fr-FR"/>
        </w:rPr>
      </w:pPr>
    </w:p>
    <w:p w14:paraId="10CCBAD7" w14:textId="3FCEFDCD" w:rsidR="00F72160" w:rsidRPr="00342E3F" w:rsidRDefault="00F72160" w:rsidP="00342E3F">
      <w:pPr>
        <w:shd w:val="clear" w:color="auto" w:fill="FFFFFF"/>
        <w:spacing w:before="480" w:after="240"/>
        <w:jc w:val="center"/>
        <w:outlineLvl w:val="2"/>
        <w:rPr>
          <w:rFonts w:eastAsia="Times New Roman" w:cstheme="minorHAnsi"/>
          <w:b/>
          <w:bCs/>
          <w:color w:val="000000" w:themeColor="text1"/>
          <w:sz w:val="28"/>
          <w:szCs w:val="28"/>
          <w:lang w:val="en-US" w:eastAsia="fr-FR"/>
        </w:rPr>
      </w:pPr>
      <w:r w:rsidRPr="00342E3F">
        <w:rPr>
          <w:rFonts w:eastAsia="Times New Roman" w:cstheme="minorHAnsi"/>
          <w:b/>
          <w:bCs/>
          <w:color w:val="000000" w:themeColor="text1"/>
          <w:sz w:val="28"/>
          <w:szCs w:val="28"/>
          <w:lang w:val="en-US" w:eastAsia="fr-FR"/>
        </w:rPr>
        <w:t>Giant Cell Arteritis on 18F-FDG PET/CT: The Influence of Corticosteroid Therapy – A Case Report</w:t>
      </w:r>
    </w:p>
    <w:p w14:paraId="600C8840" w14:textId="77777777" w:rsidR="00DA42CC" w:rsidRDefault="00DA42CC" w:rsidP="00342E3F">
      <w:pPr>
        <w:shd w:val="clear" w:color="auto" w:fill="FFFFFF"/>
        <w:spacing w:before="480" w:after="240" w:line="360" w:lineRule="auto"/>
        <w:jc w:val="both"/>
        <w:outlineLvl w:val="2"/>
        <w:rPr>
          <w:rFonts w:eastAsia="Times New Roman" w:cstheme="minorHAnsi"/>
          <w:b/>
          <w:bCs/>
          <w:color w:val="000000" w:themeColor="text1"/>
          <w:lang w:val="en-US" w:eastAsia="fr-FR"/>
        </w:rPr>
      </w:pPr>
    </w:p>
    <w:p w14:paraId="72E30E8E" w14:textId="758DE80F"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val="en-US" w:eastAsia="fr-FR"/>
        </w:rPr>
      </w:pPr>
      <w:r w:rsidRPr="0068216F">
        <w:rPr>
          <w:rFonts w:eastAsia="Times New Roman" w:cstheme="minorHAnsi"/>
          <w:b/>
          <w:bCs/>
          <w:color w:val="000000" w:themeColor="text1"/>
          <w:lang w:val="en-US" w:eastAsia="fr-FR"/>
        </w:rPr>
        <w:t>Abstract</w:t>
      </w:r>
    </w:p>
    <w:p w14:paraId="0BB25686"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Background:</w:t>
      </w:r>
      <w:r w:rsidRPr="0068216F">
        <w:rPr>
          <w:rFonts w:eastAsia="Times New Roman" w:cstheme="minorHAnsi"/>
          <w:color w:val="000000" w:themeColor="text1"/>
          <w:lang w:val="en-US" w:eastAsia="fr-FR"/>
        </w:rPr>
        <w:t> Giant cell arteritis (GCA), or Horton's disease, is a granulomatous large-vessel vasculitis that typically affects patients over 50 years of age. It can lead to severe vascular complications, including irreversible blindness, highlighting the need for prompt diagnosis and immediate initiation of appropriate therapy. 18F-Fluorodeoxyglucose Positron Emission Tomography/Computed Tomography (18F-FDG PET/CT) has emerged as a valuable tool for early diagnosis, but its sensitivity is influenced by prior corticosteroid treatment.</w:t>
      </w:r>
    </w:p>
    <w:p w14:paraId="53AE0CC0"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Case Presentation:</w:t>
      </w:r>
      <w:r w:rsidRPr="0068216F">
        <w:rPr>
          <w:rFonts w:eastAsia="Times New Roman" w:cstheme="minorHAnsi"/>
          <w:color w:val="000000" w:themeColor="text1"/>
          <w:lang w:val="en-US" w:eastAsia="fr-FR"/>
        </w:rPr>
        <w:t> We report the case of a 73-year-old man who presented to the emergency department with acute-onset left eye blindness. Ophthalmological examination concluded ischemic optic neuropathy. The patient also reported persistent frontotemporal headaches and recent unintentional weight loss of 5 kg, accompanied by a significant biological inflammatory syndrome. GCA was strongly suspected, and high-dose systemic corticosteroid therapy was initiated urgently (intravenous boluses for three days, followed by oral prednisone at 1 mg/kg/day) due to the high risk of bilateral blindness. An 18F-FDG PET/CT scan performed five days after treatment initiation revealed moderate, linear, bilateral, and nearly symmetric hypermetabolism of the supra-aortic arterial trunks, particularly the common carotid and subclavian arteries, with maximum standardized uptake values (</w:t>
      </w:r>
      <w:proofErr w:type="spellStart"/>
      <w:r w:rsidRPr="0068216F">
        <w:rPr>
          <w:rFonts w:eastAsia="Times New Roman" w:cstheme="minorHAnsi"/>
          <w:color w:val="000000" w:themeColor="text1"/>
          <w:lang w:val="en-US" w:eastAsia="fr-FR"/>
        </w:rPr>
        <w:t>SUVmax</w:t>
      </w:r>
      <w:proofErr w:type="spellEnd"/>
      <w:r w:rsidRPr="0068216F">
        <w:rPr>
          <w:rFonts w:eastAsia="Times New Roman" w:cstheme="minorHAnsi"/>
          <w:color w:val="000000" w:themeColor="text1"/>
          <w:lang w:val="en-US" w:eastAsia="fr-FR"/>
        </w:rPr>
        <w:t xml:space="preserve">) ranging from 2.3 to 3.4 (liver </w:t>
      </w:r>
      <w:proofErr w:type="spellStart"/>
      <w:r w:rsidRPr="0068216F">
        <w:rPr>
          <w:rFonts w:eastAsia="Times New Roman" w:cstheme="minorHAnsi"/>
          <w:color w:val="000000" w:themeColor="text1"/>
          <w:lang w:val="en-US" w:eastAsia="fr-FR"/>
        </w:rPr>
        <w:t>SUVmax</w:t>
      </w:r>
      <w:proofErr w:type="spellEnd"/>
      <w:r w:rsidRPr="0068216F">
        <w:rPr>
          <w:rFonts w:eastAsia="Times New Roman" w:cstheme="minorHAnsi"/>
          <w:color w:val="000000" w:themeColor="text1"/>
          <w:lang w:val="en-US" w:eastAsia="fr-FR"/>
        </w:rPr>
        <w:t xml:space="preserve"> 3.4). Based on the clinical, biological, and imaging findings, the diagnosis of GCA was confirmed. Corticosteroid therapy was continued, leading to clinical improvement and normalization of inflammatory markers.</w:t>
      </w:r>
    </w:p>
    <w:p w14:paraId="572BF2D2"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lastRenderedPageBreak/>
        <w:t>Conclusion:</w:t>
      </w:r>
      <w:r w:rsidRPr="0068216F">
        <w:rPr>
          <w:rFonts w:eastAsia="Times New Roman" w:cstheme="minorHAnsi"/>
          <w:color w:val="000000" w:themeColor="text1"/>
          <w:lang w:val="en-US" w:eastAsia="fr-FR"/>
        </w:rPr>
        <w:t> This case illustrates that 18F-FDG PET/CT can retain diagnostic utility in GCA even after the initiation of corticosteroid therapy, provided the scan is performed within a narrow time window. It underscores the critical importance of performing PET/CT within the first few days of treatment (ideally within 7 days) to balance the urgent need for corticosteroid therapy to prevent vascular complications with the goal of obtaining a confirmatory imaging study and minimizing the risk of false-negative results.</w:t>
      </w:r>
    </w:p>
    <w:p w14:paraId="4C0F50A8" w14:textId="77777777" w:rsidR="00F72160" w:rsidRPr="0068216F" w:rsidRDefault="00F72160" w:rsidP="0068216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Keywords:</w:t>
      </w:r>
      <w:r w:rsidRPr="0068216F">
        <w:rPr>
          <w:rFonts w:eastAsia="Times New Roman" w:cstheme="minorHAnsi"/>
          <w:color w:val="000000" w:themeColor="text1"/>
          <w:lang w:val="en-US" w:eastAsia="fr-FR"/>
        </w:rPr>
        <w:t> Giant Cell Arteritis; Horton's Disease; Large-Vessel Vasculitis; 18F-FDG PET/CT; Corticosteroid Therapy; Ischemic Optic Neuropathy.</w:t>
      </w:r>
    </w:p>
    <w:p w14:paraId="02962C3B" w14:textId="77777777" w:rsidR="0068216F" w:rsidRPr="0068216F" w:rsidRDefault="0068216F" w:rsidP="0068216F">
      <w:pPr>
        <w:shd w:val="clear" w:color="auto" w:fill="FFFFFF"/>
        <w:spacing w:before="240" w:after="240" w:line="360" w:lineRule="auto"/>
        <w:jc w:val="both"/>
        <w:rPr>
          <w:rFonts w:eastAsia="Times New Roman" w:cstheme="minorHAnsi"/>
          <w:color w:val="000000" w:themeColor="text1"/>
          <w:lang w:val="en-US" w:eastAsia="fr-FR"/>
        </w:rPr>
      </w:pPr>
    </w:p>
    <w:p w14:paraId="562B75D3" w14:textId="77777777"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val="en-US" w:eastAsia="fr-FR"/>
        </w:rPr>
      </w:pPr>
      <w:r w:rsidRPr="0068216F">
        <w:rPr>
          <w:rFonts w:eastAsia="Times New Roman" w:cstheme="minorHAnsi"/>
          <w:b/>
          <w:bCs/>
          <w:color w:val="000000" w:themeColor="text1"/>
          <w:lang w:val="en-US" w:eastAsia="fr-FR"/>
        </w:rPr>
        <w:t>Introduction</w:t>
      </w:r>
    </w:p>
    <w:p w14:paraId="5C5407CE"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Giant cell arteritis (GCA), also known as Horton's disease or temporal arteritis, is the most common primary systemic vasculitis in adults, with a predilection for individuals over the age of 50 [1]. It is a granulomatous inflammatory disorder that primarily affects large and medium-sized arteries, with a particular tropism for the cranial branches of the aorta, especially the temporal arteries, but also the extracranial vessels such as the aorta itself, its primary branches, and the arteries of the extremities [2].</w:t>
      </w:r>
    </w:p>
    <w:p w14:paraId="1EBC46C0"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The pathophysiology involves a misguided immune response leading to infiltration of the arterial wall by T-cells and macrophages, which form granulomas. This inflammation can result in intimal hyperplasia, luminal stenosis, and thrombosis, culminating in devastating ischemic complications. The most feared complication is permanent vision loss due to anterior ischemic optic neuropathy (AION), which can become bilateral within days if untreated [3]. Other serious complications include stroke, aortic dissection, and limb claudication.</w:t>
      </w:r>
    </w:p>
    <w:p w14:paraId="37F2F038"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Diagnosis is often challenging and relies on a combination of clinical features (new-onset headache, scalp tenderness, jaw claudication, visual symptoms), elevated acute-phase reactants (erythema sediment rate - ESR, C-reactive protein - CRP), and confirmatory findings on temporal artery biopsy (TAB) or imaging. However, TAB, while specific, is invasive and can be falsely negative due to skip lesions [4]. Consequently, there is a critical need for non-invasive, sensitive, and rapidly accessible diagnostic tools.</w:t>
      </w:r>
    </w:p>
    <w:p w14:paraId="7DF65E38"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lastRenderedPageBreak/>
        <w:t>18F-FDG PET/CT has emerged as a powerful imaging modality in this context. It exploits the increased glucose metabolism of activated inflammatory cells (macrophages, lymphocytes, giant cells) within the inflamed vessel walls, visualizing the metabolic activity of the vasculitis [5]. It offers the advantage of assessing the entire vascular tree, detecting both cranial and extracranial large-vessel involvement. However, a significant clinical dilemma is that the initiation of high-dose corticosteroid therapy, which is the standard of care and must be started immediately upon clinical suspicion to prevent blindness, can rapidly suppress the inflammatory signal and reduce the sensitivity of PET/CT [6].</w:t>
      </w:r>
    </w:p>
    <w:p w14:paraId="6F898E4A"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We present a case that highlights this delicate balance and the importance of an optimal timing window for performing 18F-FDG PET/CT in suspected GCA.</w:t>
      </w:r>
    </w:p>
    <w:p w14:paraId="0B24A825" w14:textId="77777777"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val="en-US" w:eastAsia="fr-FR"/>
        </w:rPr>
      </w:pPr>
      <w:r w:rsidRPr="0068216F">
        <w:rPr>
          <w:rFonts w:eastAsia="Times New Roman" w:cstheme="minorHAnsi"/>
          <w:b/>
          <w:bCs/>
          <w:color w:val="000000" w:themeColor="text1"/>
          <w:lang w:val="en-US" w:eastAsia="fr-FR"/>
        </w:rPr>
        <w:t>Case Presentation</w:t>
      </w:r>
    </w:p>
    <w:p w14:paraId="18533F47"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A 73-year-old Caucasian male with a history of well-controlled hypertension presented to the emergency department with a chief complaint of sudden, painless loss of vision in his left eye, which had occurred approximately 12 hours prior to arrival. He described it as a "curtain falling" over his vision, which rapidly progressed to complete blindness in that eye.</w:t>
      </w:r>
    </w:p>
    <w:p w14:paraId="4CAF443C"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Upon further questioning, the patient revealed that for the past three to four weeks, he had been experiencing persistent, dull frontotemporal headaches, bitemporal tenderness, and occasional jaw pain while chewing (jaw claudication). He also reported generalized fatigue, anorexia, and an unintentional weight loss of approximately 5 kg over the preceding two months. He denied any scalp nodules, fever, or symptoms of polymyalgia rheumatica.</w:t>
      </w:r>
    </w:p>
    <w:p w14:paraId="7AD98989"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On physical examination, the patient was afebrile and hemodynamically stable. Ophthalmologic evaluation, including fundoscopy, revealed a pale, swollen left optic disc with a few splinter hemorrhages, consistent with acute anterior ischemic optic neuropathy (AION). The right eye examination was unremarkable at that time. Palpation of the temporal arteries revealed bilateral tenderness, more pronounced on the left, with a weak but palpable pulse. No bruits were auscultated over the carotid or subclavian arteries.</w:t>
      </w:r>
    </w:p>
    <w:p w14:paraId="067E4183"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 xml:space="preserve">Initial laboratory investigations demonstrated a marked inflammatory syndrome: ESR was 92 mm/h (normal &lt;20 mm/h), and CRP was 145 mg/L (normal &lt;5 mg/L). Complete blood count </w:t>
      </w:r>
      <w:r w:rsidRPr="0068216F">
        <w:rPr>
          <w:rFonts w:eastAsia="Times New Roman" w:cstheme="minorHAnsi"/>
          <w:color w:val="000000" w:themeColor="text1"/>
          <w:lang w:val="en-US" w:eastAsia="fr-FR"/>
        </w:rPr>
        <w:lastRenderedPageBreak/>
        <w:t>showed mild normocytic anemia (hemoglobin 11.2 g/dL). Liver and renal function tests were within normal limits.</w:t>
      </w:r>
    </w:p>
    <w:p w14:paraId="34A3F211"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Given the acute visual loss in the setting of clinical symptoms highly suggestive of GCA, the patient was diagnosed with suspected giant cell arteritis with a complication of left AION. Due to the imminent risk of contralateral eye involvement, high-dose systemic corticosteroid therapy was initiated immediately, before any confirmatory imaging or biopsy. He received 1 gram of intravenous methylprednisolone daily for three consecutive days, followed by a transition to oral prednisone at a dose of 1 mg/kg/day (80 mg/day).</w:t>
      </w:r>
    </w:p>
    <w:p w14:paraId="108A47DA"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 xml:space="preserve">To obtain diagnostic confirmation and assess the extent of large-vessel involvement, an 18F-FDG PET/CT scan was performed five days after the initiation of corticosteroid therapy (i.e., two days after starting oral prednisone). The patient fasted for at least 6 hours prior to the intravenous injection of 370 </w:t>
      </w:r>
      <w:proofErr w:type="spellStart"/>
      <w:r w:rsidRPr="0068216F">
        <w:rPr>
          <w:rFonts w:eastAsia="Times New Roman" w:cstheme="minorHAnsi"/>
          <w:color w:val="000000" w:themeColor="text1"/>
          <w:lang w:val="en-US" w:eastAsia="fr-FR"/>
        </w:rPr>
        <w:t>MBq</w:t>
      </w:r>
      <w:proofErr w:type="spellEnd"/>
      <w:r w:rsidRPr="0068216F">
        <w:rPr>
          <w:rFonts w:eastAsia="Times New Roman" w:cstheme="minorHAnsi"/>
          <w:color w:val="000000" w:themeColor="text1"/>
          <w:lang w:val="en-US" w:eastAsia="fr-FR"/>
        </w:rPr>
        <w:t xml:space="preserve"> of 18F-FDG, and image acquisition began 60 minutes post-injection. A low-dose non-contrast CT scan was used for attenuation correction and anatomical localization.</w:t>
      </w:r>
    </w:p>
    <w:p w14:paraId="23F32939"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The PET/CT images revealed moderate, linear, and continuous 18F-FDG uptake along the walls of several large arteries. Specifically, there was bilateral and relatively symmetric hypermetabolism involving the common carotid arteries and the subclavian arteries (Figure 1). The maximum standardized uptake values (</w:t>
      </w:r>
      <w:proofErr w:type="spellStart"/>
      <w:r w:rsidRPr="0068216F">
        <w:rPr>
          <w:rFonts w:eastAsia="Times New Roman" w:cstheme="minorHAnsi"/>
          <w:color w:val="000000" w:themeColor="text1"/>
          <w:lang w:val="en-US" w:eastAsia="fr-FR"/>
        </w:rPr>
        <w:t>SUVmax</w:t>
      </w:r>
      <w:proofErr w:type="spellEnd"/>
      <w:r w:rsidRPr="0068216F">
        <w:rPr>
          <w:rFonts w:eastAsia="Times New Roman" w:cstheme="minorHAnsi"/>
          <w:color w:val="000000" w:themeColor="text1"/>
          <w:lang w:val="en-US" w:eastAsia="fr-FR"/>
        </w:rPr>
        <w:t xml:space="preserve">) measured in these arterial segments ranged from 2.3 to 3.4. The metabolic activity in the liver, used as a reference background, showed an </w:t>
      </w:r>
      <w:proofErr w:type="spellStart"/>
      <w:r w:rsidRPr="0068216F">
        <w:rPr>
          <w:rFonts w:eastAsia="Times New Roman" w:cstheme="minorHAnsi"/>
          <w:color w:val="000000" w:themeColor="text1"/>
          <w:lang w:val="en-US" w:eastAsia="fr-FR"/>
        </w:rPr>
        <w:t>SUVmax</w:t>
      </w:r>
      <w:proofErr w:type="spellEnd"/>
      <w:r w:rsidRPr="0068216F">
        <w:rPr>
          <w:rFonts w:eastAsia="Times New Roman" w:cstheme="minorHAnsi"/>
          <w:color w:val="000000" w:themeColor="text1"/>
          <w:lang w:val="en-US" w:eastAsia="fr-FR"/>
        </w:rPr>
        <w:t xml:space="preserve"> of 3.4. No significant uptake was visualized in the thoracic aorta or the temporal arteries (the latter being beyond the resolution of the scanner). There was no other pathological FDG uptake to suggest an alternative diagnosis such as malignancy or infection.</w:t>
      </w:r>
    </w:p>
    <w:p w14:paraId="42813DEF"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The constellation of clinical symptoms (headache, jaw claudication), the objective finding of AION, the profound inflammatory response, and the characteristic large-vessel FDG uptake on PET/CT collectively confirmed the diagnosis of giant cell arteritis with large-vessel involvement.</w:t>
      </w:r>
    </w:p>
    <w:p w14:paraId="7331C593"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 xml:space="preserve">The patient was continued on high-dose oral prednisone with a planned slow tapering regimen under close clinical and biological monitoring. He was also started on low-dose aspirin (75 mg daily) for its antiplatelet effects to potentially reduce the risk of further ischemic events </w:t>
      </w:r>
      <w:r w:rsidRPr="0068216F">
        <w:rPr>
          <w:rFonts w:eastAsia="Times New Roman" w:cstheme="minorHAnsi"/>
          <w:color w:val="000000" w:themeColor="text1"/>
          <w:lang w:val="en-US" w:eastAsia="fr-FR"/>
        </w:rPr>
        <w:lastRenderedPageBreak/>
        <w:t>[7]. His left eye vision did not recover, which is typical for established AION, but the headaches resolved within 48 hours, and his appetite and energy levels improved significantly. Follow-up at 3 months showed normalized ESR and CRP, and a gradual taper of prednisone was ongoing.</w:t>
      </w:r>
    </w:p>
    <w:p w14:paraId="57758ABE" w14:textId="77777777"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val="en-US" w:eastAsia="fr-FR"/>
        </w:rPr>
      </w:pPr>
      <w:r w:rsidRPr="0068216F">
        <w:rPr>
          <w:rFonts w:eastAsia="Times New Roman" w:cstheme="minorHAnsi"/>
          <w:b/>
          <w:bCs/>
          <w:color w:val="000000" w:themeColor="text1"/>
          <w:lang w:val="en-US" w:eastAsia="fr-FR"/>
        </w:rPr>
        <w:t>Discussion</w:t>
      </w:r>
    </w:p>
    <w:p w14:paraId="53587C0E"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This case powerfully illustrates several critical aspects of managing giant cell arteritis, particularly the interplay between urgent treatment necessity and confirmatory diagnostic imaging.</w:t>
      </w:r>
    </w:p>
    <w:p w14:paraId="049C078C" w14:textId="77777777" w:rsidR="00F72160" w:rsidRPr="0068216F" w:rsidRDefault="00F72160" w:rsidP="0068216F">
      <w:pPr>
        <w:shd w:val="clear" w:color="auto" w:fill="FFFFFF"/>
        <w:spacing w:before="240" w:after="240" w:line="360" w:lineRule="auto"/>
        <w:rPr>
          <w:rFonts w:eastAsia="Times New Roman" w:cstheme="minorHAnsi"/>
          <w:color w:val="000000" w:themeColor="text1"/>
          <w:lang w:val="en-US" w:eastAsia="fr-FR"/>
        </w:rPr>
      </w:pPr>
      <w:r w:rsidRPr="0068216F">
        <w:rPr>
          <w:rFonts w:eastAsia="Times New Roman" w:cstheme="minorHAnsi"/>
          <w:bCs/>
          <w:color w:val="000000" w:themeColor="text1"/>
          <w:lang w:val="en-US" w:eastAsia="fr-FR"/>
        </w:rPr>
        <w:t>The Diagnostic Challenge and the Role of 18F-FDG PET/CT</w:t>
      </w:r>
      <w:r w:rsidRPr="0068216F">
        <w:rPr>
          <w:rFonts w:eastAsia="Times New Roman" w:cstheme="minorHAnsi"/>
          <w:b/>
          <w:bCs/>
          <w:color w:val="000000" w:themeColor="text1"/>
          <w:lang w:val="en-US" w:eastAsia="fr-FR"/>
        </w:rPr>
        <w:t>:</w:t>
      </w:r>
      <w:r w:rsidR="0068216F" w:rsidRPr="0068216F">
        <w:rPr>
          <w:rFonts w:eastAsia="Times New Roman" w:cstheme="minorHAnsi"/>
          <w:color w:val="000000" w:themeColor="text1"/>
          <w:lang w:val="en-US" w:eastAsia="fr-FR"/>
        </w:rPr>
        <w:t xml:space="preserve"> </w:t>
      </w:r>
      <w:r w:rsidRPr="0068216F">
        <w:rPr>
          <w:rFonts w:eastAsia="Times New Roman" w:cstheme="minorHAnsi"/>
          <w:color w:val="000000" w:themeColor="text1"/>
          <w:lang w:val="en-US" w:eastAsia="fr-FR"/>
        </w:rPr>
        <w:t>GCA is a medical emergency. The primary goal of immediate high-dose corticosteroid therapy is to prevent irreversible ischemic complications, most importantly permanent vision loss in the contralateral eye [3]. While temporal artery biopsy (TAB) remains a traditional gold standard, it is invasive, and its sensitivity can be compromised by skip lesions and rapid initiation of steroids [4]. 18F-FDG PET/CT has emerged as a highly sensitive and non-invasive alternative, particularly for detecting large-vessel vasculitis (LVV), which may be missed on TAB [8].</w:t>
      </w:r>
    </w:p>
    <w:p w14:paraId="70DA2CE5"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 xml:space="preserve">A meta-analysis by </w:t>
      </w:r>
      <w:proofErr w:type="spellStart"/>
      <w:r w:rsidRPr="0068216F">
        <w:rPr>
          <w:rFonts w:eastAsia="Times New Roman" w:cstheme="minorHAnsi"/>
          <w:color w:val="000000" w:themeColor="text1"/>
          <w:lang w:val="en-US" w:eastAsia="fr-FR"/>
        </w:rPr>
        <w:t>Soussan</w:t>
      </w:r>
      <w:proofErr w:type="spellEnd"/>
      <w:r w:rsidRPr="0068216F">
        <w:rPr>
          <w:rFonts w:eastAsia="Times New Roman" w:cstheme="minorHAnsi"/>
          <w:color w:val="000000" w:themeColor="text1"/>
          <w:lang w:val="en-US" w:eastAsia="fr-FR"/>
        </w:rPr>
        <w:t xml:space="preserve"> et al. reported excellent diagnostic performance for 18F-FDG PET/CT in GCA, with a pooled sensitivity of 84-90% and specificity of 92-98% for detecting LVV [9]. The typical pattern is a smooth, linear, and intense FDG uptake along the walls of affected vessels, often involving the thoracic aorta, subclavian arteries, carotid arteries, axillary arteries, and iliac arteries. Our patient's scan demonstrated this classic pattern, with moderate but clearly pathological linear uptake in the supra-aortic trunks, confirming the diagnosis. It is crucial to note that PET/CT lacks the spatial resolution to assess the temporal arteries themselves (&lt;2mm diameter), which are often best evaluated by ultrasound or high-resolution MRI [10].</w:t>
      </w:r>
    </w:p>
    <w:p w14:paraId="7CF93F61"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bCs/>
          <w:color w:val="000000" w:themeColor="text1"/>
          <w:lang w:val="en-US" w:eastAsia="fr-FR"/>
        </w:rPr>
        <w:t>The Critical Impact of Corticosteroid Therapy on PET/CT Sensitivity:</w:t>
      </w:r>
      <w:r w:rsidRPr="0068216F">
        <w:rPr>
          <w:rFonts w:eastAsia="Times New Roman" w:cstheme="minorHAnsi"/>
          <w:color w:val="000000" w:themeColor="text1"/>
          <w:lang w:val="en-US" w:eastAsia="fr-FR"/>
        </w:rPr>
        <w:br/>
        <w:t xml:space="preserve">The most instructive aspect of this case is the timing of the PET/CT scan, performed five days after initiating high-dose steroids. Glucocorticoids work rapidly to suppress the inflammatory cascade by inhibiting cytokine production and reducing the metabolic activity and recruitment </w:t>
      </w:r>
      <w:r w:rsidRPr="0068216F">
        <w:rPr>
          <w:rFonts w:eastAsia="Times New Roman" w:cstheme="minorHAnsi"/>
          <w:color w:val="000000" w:themeColor="text1"/>
          <w:lang w:val="en-US" w:eastAsia="fr-FR"/>
        </w:rPr>
        <w:lastRenderedPageBreak/>
        <w:t>of inflammatory cells. Consequently, FDG uptake, which reflects this glycolytic activity, can diminish quickly after treatment begins [6].</w:t>
      </w:r>
    </w:p>
    <w:p w14:paraId="0101658D"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Our finding of moderate but diagnostic uptake (</w:t>
      </w:r>
      <w:proofErr w:type="spellStart"/>
      <w:r w:rsidRPr="0068216F">
        <w:rPr>
          <w:rFonts w:eastAsia="Times New Roman" w:cstheme="minorHAnsi"/>
          <w:color w:val="000000" w:themeColor="text1"/>
          <w:lang w:val="en-US" w:eastAsia="fr-FR"/>
        </w:rPr>
        <w:t>SUVmax</w:t>
      </w:r>
      <w:proofErr w:type="spellEnd"/>
      <w:r w:rsidRPr="0068216F">
        <w:rPr>
          <w:rFonts w:eastAsia="Times New Roman" w:cstheme="minorHAnsi"/>
          <w:color w:val="000000" w:themeColor="text1"/>
          <w:lang w:val="en-US" w:eastAsia="fr-FR"/>
        </w:rPr>
        <w:t xml:space="preserve"> up to 3.4, comparable to liver background) is consistent with published literature on this topic. Prieto-González et al. conducted a pivotal prospective study evaluating the effect of corticosteroid therapy on the diagnostic yield of PET/CT in GCA [11]. They found that while the sensitivity was highest in untreated patients, it remained high (77%) in patients scanned within 3 days of treatment initiation. Crucially, they also demonstrated that a significant number of patients (42%) still showed abnormal vascular uptake even after 3 to 10 days of treatment. The authors emphasized a significant negative correlation between the cumulative corticosteroid dose at the time of the PET/CT and the intensity of vascular FDG uptake. A more recent study by Nielsen et al. reinforced that scanning within 72 hours of starting therapy provides the highest diagnostic yield, but scans performed up to 7-10 days can still be informative, especially if the inflammatory burden was initially very high, as in our patient [12].</w:t>
      </w:r>
    </w:p>
    <w:p w14:paraId="2DA188B2" w14:textId="77777777" w:rsidR="00F72160" w:rsidRPr="0068216F" w:rsidRDefault="00F72160" w:rsidP="0068216F">
      <w:pPr>
        <w:shd w:val="clear" w:color="auto" w:fill="FFFFFF"/>
        <w:spacing w:before="240" w:after="240" w:line="360" w:lineRule="auto"/>
        <w:rPr>
          <w:rFonts w:eastAsia="Times New Roman" w:cstheme="minorHAnsi"/>
          <w:color w:val="000000" w:themeColor="text1"/>
          <w:lang w:val="en-US" w:eastAsia="fr-FR"/>
        </w:rPr>
      </w:pPr>
      <w:r w:rsidRPr="0068216F">
        <w:rPr>
          <w:rFonts w:eastAsia="Times New Roman" w:cstheme="minorHAnsi"/>
          <w:bCs/>
          <w:color w:val="000000" w:themeColor="text1"/>
          <w:lang w:val="en-US" w:eastAsia="fr-FR"/>
        </w:rPr>
        <w:t>Practical Implications for Clinical Management</w:t>
      </w:r>
      <w:r w:rsidRPr="0068216F">
        <w:rPr>
          <w:rFonts w:eastAsia="Times New Roman" w:cstheme="minorHAnsi"/>
          <w:b/>
          <w:bCs/>
          <w:color w:val="000000" w:themeColor="text1"/>
          <w:lang w:val="en-US" w:eastAsia="fr-FR"/>
        </w:rPr>
        <w:t>:</w:t>
      </w:r>
      <w:r w:rsidR="0068216F" w:rsidRPr="0068216F">
        <w:rPr>
          <w:rFonts w:eastAsia="Times New Roman" w:cstheme="minorHAnsi"/>
          <w:color w:val="000000" w:themeColor="text1"/>
          <w:lang w:val="en-US" w:eastAsia="fr-FR"/>
        </w:rPr>
        <w:t xml:space="preserve"> </w:t>
      </w:r>
      <w:r w:rsidRPr="0068216F">
        <w:rPr>
          <w:rFonts w:eastAsia="Times New Roman" w:cstheme="minorHAnsi"/>
          <w:color w:val="000000" w:themeColor="text1"/>
          <w:lang w:val="en-US" w:eastAsia="fr-FR"/>
        </w:rPr>
        <w:t>This case underscores a practical algorithm for managing suspected GCA. Upon strong clinical suspicion, especially with visual symptoms, high-dose corticosteroids should never be delayed for imaging. However, if the diagnosis is uncertain or confirmation of large-vessel extent is desired, every effort should be made to perform an 18F-FDG PET/CT as soon as possible, ideally within the first 72 hours and certainly within the first week of treatment. Communication between the referring physician and the nuclear medicine department is essential to prioritize and expedite the scan.</w:t>
      </w:r>
    </w:p>
    <w:p w14:paraId="2905F087"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Alternative imaging modalities, such as color Doppler ultrasound (CDUS) of the temporal and axillary arteries or high-resolution MRI, may also be considered, as they can be performed rapidly and are potentially less affected by short-term steroid use, though data on this are limited [13]. In our center, a negative or equivocal PET/CT in a patient started on steroids more than a week prior might prompt consideration of these alternative imaging techniques or a clinical trial of therapy based on the initial strong clinical picture.</w:t>
      </w:r>
    </w:p>
    <w:p w14:paraId="63E9448B" w14:textId="77777777"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val="en-US" w:eastAsia="fr-FR"/>
        </w:rPr>
      </w:pPr>
      <w:r w:rsidRPr="0068216F">
        <w:rPr>
          <w:rFonts w:eastAsia="Times New Roman" w:cstheme="minorHAnsi"/>
          <w:b/>
          <w:bCs/>
          <w:color w:val="000000" w:themeColor="text1"/>
          <w:lang w:val="en-US" w:eastAsia="fr-FR"/>
        </w:rPr>
        <w:t>Conclusion</w:t>
      </w:r>
    </w:p>
    <w:p w14:paraId="06F7745C"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lastRenderedPageBreak/>
        <w:t>This case report of a 73-year-old man with acute blindness due to GCA highlights the enduring diagnostic value of 18F-FDG PET/CT even after the commencement of life- and sight-saving corticosteroid therapy. The scan, performed five days into treatment, successfully demonstrated characteristic large-vessel FDG uptake, confirming the diagnosis and guiding long-term management.</w:t>
      </w:r>
    </w:p>
    <w:p w14:paraId="5E379FC6" w14:textId="77777777" w:rsidR="00F72160" w:rsidRPr="0068216F" w:rsidRDefault="00F72160" w:rsidP="00342E3F">
      <w:pPr>
        <w:shd w:val="clear" w:color="auto" w:fill="FFFFFF"/>
        <w:spacing w:before="240" w:after="240" w:line="360" w:lineRule="auto"/>
        <w:jc w:val="both"/>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The key learning point is the importance of adhering to a narrow diagnostic window. While corticosteroid therapy should never be postponed, 18F-FDG PET/CT can and should be performed urgently within the first week (ideally within 3-7 days) of treatment initiation to maximize its sensitivity for confirming GCA and assessing the extent of large-vessel involvement. This integrated approach allows clinicians to safely manage the acute vascular emergency while securing a definitive diagnosis, thereby minimizing the risk of false-negative imaging results and optimizing patient outcomes.</w:t>
      </w:r>
    </w:p>
    <w:p w14:paraId="16F94B2B" w14:textId="77777777"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val="en-US" w:eastAsia="fr-FR"/>
        </w:rPr>
      </w:pPr>
      <w:r w:rsidRPr="0068216F">
        <w:rPr>
          <w:rFonts w:eastAsia="Times New Roman" w:cstheme="minorHAnsi"/>
          <w:b/>
          <w:bCs/>
          <w:color w:val="000000" w:themeColor="text1"/>
          <w:lang w:val="en-US" w:eastAsia="fr-FR"/>
        </w:rPr>
        <w:t>List of Abbreviations</w:t>
      </w:r>
    </w:p>
    <w:p w14:paraId="74C57B19" w14:textId="77777777" w:rsidR="00F72160" w:rsidRPr="0068216F" w:rsidRDefault="00F72160" w:rsidP="0068216F">
      <w:pPr>
        <w:shd w:val="clear" w:color="auto" w:fill="FFFFFF"/>
        <w:spacing w:before="240" w:after="240" w:line="360" w:lineRule="auto"/>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GCA: Giant Cell Arteritis</w:t>
      </w:r>
      <w:r w:rsidRPr="0068216F">
        <w:rPr>
          <w:rFonts w:eastAsia="Times New Roman" w:cstheme="minorHAnsi"/>
          <w:color w:val="000000" w:themeColor="text1"/>
          <w:lang w:val="en-US" w:eastAsia="fr-FR"/>
        </w:rPr>
        <w:br/>
        <w:t>18F-FDG: 18F-Fluorodeoxyglucose</w:t>
      </w:r>
      <w:r w:rsidRPr="0068216F">
        <w:rPr>
          <w:rFonts w:eastAsia="Times New Roman" w:cstheme="minorHAnsi"/>
          <w:color w:val="000000" w:themeColor="text1"/>
          <w:lang w:val="en-US" w:eastAsia="fr-FR"/>
        </w:rPr>
        <w:br/>
        <w:t>PET/CT: Positron Emission Tomography/Computed Tomography</w:t>
      </w:r>
      <w:r w:rsidRPr="0068216F">
        <w:rPr>
          <w:rFonts w:eastAsia="Times New Roman" w:cstheme="minorHAnsi"/>
          <w:color w:val="000000" w:themeColor="text1"/>
          <w:lang w:val="en-US" w:eastAsia="fr-FR"/>
        </w:rPr>
        <w:br/>
      </w:r>
      <w:proofErr w:type="spellStart"/>
      <w:r w:rsidRPr="0068216F">
        <w:rPr>
          <w:rFonts w:eastAsia="Times New Roman" w:cstheme="minorHAnsi"/>
          <w:color w:val="000000" w:themeColor="text1"/>
          <w:lang w:val="en-US" w:eastAsia="fr-FR"/>
        </w:rPr>
        <w:t>SUVmax</w:t>
      </w:r>
      <w:proofErr w:type="spellEnd"/>
      <w:r w:rsidRPr="0068216F">
        <w:rPr>
          <w:rFonts w:eastAsia="Times New Roman" w:cstheme="minorHAnsi"/>
          <w:color w:val="000000" w:themeColor="text1"/>
          <w:lang w:val="en-US" w:eastAsia="fr-FR"/>
        </w:rPr>
        <w:t>: Maximum Standardized Uptake Value</w:t>
      </w:r>
      <w:r w:rsidRPr="0068216F">
        <w:rPr>
          <w:rFonts w:eastAsia="Times New Roman" w:cstheme="minorHAnsi"/>
          <w:color w:val="000000" w:themeColor="text1"/>
          <w:lang w:val="en-US" w:eastAsia="fr-FR"/>
        </w:rPr>
        <w:br/>
        <w:t>AION: Anterior Ischemic Optic Neuropathy</w:t>
      </w:r>
      <w:r w:rsidRPr="0068216F">
        <w:rPr>
          <w:rFonts w:eastAsia="Times New Roman" w:cstheme="minorHAnsi"/>
          <w:color w:val="000000" w:themeColor="text1"/>
          <w:lang w:val="en-US" w:eastAsia="fr-FR"/>
        </w:rPr>
        <w:br/>
        <w:t>ESR: Erythrocyte Sedimentation Rate</w:t>
      </w:r>
      <w:r w:rsidRPr="0068216F">
        <w:rPr>
          <w:rFonts w:eastAsia="Times New Roman" w:cstheme="minorHAnsi"/>
          <w:color w:val="000000" w:themeColor="text1"/>
          <w:lang w:val="en-US" w:eastAsia="fr-FR"/>
        </w:rPr>
        <w:br/>
        <w:t>CRP: C-Reactive Protein</w:t>
      </w:r>
      <w:r w:rsidRPr="0068216F">
        <w:rPr>
          <w:rFonts w:eastAsia="Times New Roman" w:cstheme="minorHAnsi"/>
          <w:color w:val="000000" w:themeColor="text1"/>
          <w:lang w:val="en-US" w:eastAsia="fr-FR"/>
        </w:rPr>
        <w:br/>
        <w:t>TAB: Temporal Artery Biopsy</w:t>
      </w:r>
      <w:r w:rsidRPr="0068216F">
        <w:rPr>
          <w:rFonts w:eastAsia="Times New Roman" w:cstheme="minorHAnsi"/>
          <w:color w:val="000000" w:themeColor="text1"/>
          <w:lang w:val="en-US" w:eastAsia="fr-FR"/>
        </w:rPr>
        <w:br/>
        <w:t>LVV: Large-Vessel Vasculitis</w:t>
      </w:r>
      <w:r w:rsidRPr="0068216F">
        <w:rPr>
          <w:rFonts w:eastAsia="Times New Roman" w:cstheme="minorHAnsi"/>
          <w:color w:val="000000" w:themeColor="text1"/>
          <w:lang w:val="en-US" w:eastAsia="fr-FR"/>
        </w:rPr>
        <w:br/>
        <w:t>CDUS: Color Doppler Ultrasound</w:t>
      </w:r>
      <w:r w:rsidRPr="0068216F">
        <w:rPr>
          <w:rFonts w:eastAsia="Times New Roman" w:cstheme="minorHAnsi"/>
          <w:color w:val="000000" w:themeColor="text1"/>
          <w:lang w:val="en-US" w:eastAsia="fr-FR"/>
        </w:rPr>
        <w:br/>
        <w:t>MRI: Magnetic Resonance Imaging</w:t>
      </w:r>
    </w:p>
    <w:p w14:paraId="57105D0D" w14:textId="77777777"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eastAsia="fr-FR"/>
        </w:rPr>
      </w:pPr>
      <w:proofErr w:type="spellStart"/>
      <w:r w:rsidRPr="0068216F">
        <w:rPr>
          <w:rFonts w:eastAsia="Times New Roman" w:cstheme="minorHAnsi"/>
          <w:b/>
          <w:bCs/>
          <w:color w:val="000000" w:themeColor="text1"/>
          <w:lang w:eastAsia="fr-FR"/>
        </w:rPr>
        <w:t>Declarations</w:t>
      </w:r>
      <w:proofErr w:type="spellEnd"/>
    </w:p>
    <w:p w14:paraId="29CE9603" w14:textId="77777777" w:rsidR="00F72160" w:rsidRPr="0068216F" w:rsidRDefault="00F72160" w:rsidP="00342E3F">
      <w:pPr>
        <w:numPr>
          <w:ilvl w:val="0"/>
          <w:numId w:val="1"/>
        </w:numPr>
        <w:shd w:val="clear" w:color="auto" w:fill="FFFFFF"/>
        <w:spacing w:before="100" w:beforeAutospacing="1" w:line="360" w:lineRule="auto"/>
        <w:ind w:left="0"/>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Ethics approval and consent to participate:</w:t>
      </w:r>
      <w:r w:rsidRPr="0068216F">
        <w:rPr>
          <w:rFonts w:eastAsia="Times New Roman" w:cstheme="minorHAnsi"/>
          <w:color w:val="000000" w:themeColor="text1"/>
          <w:lang w:val="en-US" w:eastAsia="fr-FR"/>
        </w:rPr>
        <w:t> Written informed consent was obtained from the patient for publication of this case report and any accompanying images.</w:t>
      </w:r>
    </w:p>
    <w:p w14:paraId="755DC635" w14:textId="77777777" w:rsidR="00F72160" w:rsidRPr="0068216F" w:rsidRDefault="00F72160" w:rsidP="00342E3F">
      <w:pPr>
        <w:numPr>
          <w:ilvl w:val="0"/>
          <w:numId w:val="1"/>
        </w:numPr>
        <w:shd w:val="clear" w:color="auto" w:fill="FFFFFF"/>
        <w:spacing w:before="100" w:beforeAutospacing="1" w:line="360" w:lineRule="auto"/>
        <w:ind w:left="0"/>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Consent for publication:</w:t>
      </w:r>
      <w:r w:rsidRPr="0068216F">
        <w:rPr>
          <w:rFonts w:eastAsia="Times New Roman" w:cstheme="minorHAnsi"/>
          <w:color w:val="000000" w:themeColor="text1"/>
          <w:lang w:val="en-US" w:eastAsia="fr-FR"/>
        </w:rPr>
        <w:t> Obtained from the patient.</w:t>
      </w:r>
    </w:p>
    <w:p w14:paraId="2989C648" w14:textId="77777777" w:rsidR="00F72160" w:rsidRPr="0068216F" w:rsidRDefault="00F72160" w:rsidP="00342E3F">
      <w:pPr>
        <w:numPr>
          <w:ilvl w:val="0"/>
          <w:numId w:val="1"/>
        </w:numPr>
        <w:shd w:val="clear" w:color="auto" w:fill="FFFFFF"/>
        <w:spacing w:before="100" w:beforeAutospacing="1" w:line="360" w:lineRule="auto"/>
        <w:ind w:left="0"/>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lastRenderedPageBreak/>
        <w:t>Availability of data and materials:</w:t>
      </w:r>
      <w:r w:rsidRPr="0068216F">
        <w:rPr>
          <w:rFonts w:eastAsia="Times New Roman" w:cstheme="minorHAnsi"/>
          <w:color w:val="000000" w:themeColor="text1"/>
          <w:lang w:val="en-US" w:eastAsia="fr-FR"/>
        </w:rPr>
        <w:t> All data generated or analyzed during this case are included in this published article.</w:t>
      </w:r>
    </w:p>
    <w:p w14:paraId="258888B5" w14:textId="77777777" w:rsidR="00F72160" w:rsidRPr="0068216F" w:rsidRDefault="00F72160" w:rsidP="00342E3F">
      <w:pPr>
        <w:numPr>
          <w:ilvl w:val="0"/>
          <w:numId w:val="1"/>
        </w:numPr>
        <w:shd w:val="clear" w:color="auto" w:fill="FFFFFF"/>
        <w:spacing w:before="100" w:beforeAutospacing="1" w:line="360" w:lineRule="auto"/>
        <w:ind w:left="0"/>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Competing interests:</w:t>
      </w:r>
      <w:r w:rsidRPr="0068216F">
        <w:rPr>
          <w:rFonts w:eastAsia="Times New Roman" w:cstheme="minorHAnsi"/>
          <w:color w:val="000000" w:themeColor="text1"/>
          <w:lang w:val="en-US" w:eastAsia="fr-FR"/>
        </w:rPr>
        <w:t> The authors declare that they have no competing interests.</w:t>
      </w:r>
    </w:p>
    <w:p w14:paraId="741D7470" w14:textId="77777777" w:rsidR="00F72160" w:rsidRPr="0068216F" w:rsidRDefault="00F72160" w:rsidP="00342E3F">
      <w:pPr>
        <w:shd w:val="clear" w:color="auto" w:fill="FFFFFF"/>
        <w:spacing w:before="480" w:after="240" w:line="360" w:lineRule="auto"/>
        <w:jc w:val="both"/>
        <w:outlineLvl w:val="2"/>
        <w:rPr>
          <w:rFonts w:eastAsia="Times New Roman" w:cstheme="minorHAnsi"/>
          <w:b/>
          <w:bCs/>
          <w:color w:val="000000" w:themeColor="text1"/>
          <w:lang w:eastAsia="fr-FR"/>
        </w:rPr>
      </w:pPr>
      <w:proofErr w:type="spellStart"/>
      <w:r w:rsidRPr="0068216F">
        <w:rPr>
          <w:rFonts w:eastAsia="Times New Roman" w:cstheme="minorHAnsi"/>
          <w:b/>
          <w:bCs/>
          <w:color w:val="000000" w:themeColor="text1"/>
          <w:lang w:eastAsia="fr-FR"/>
        </w:rPr>
        <w:t>References</w:t>
      </w:r>
      <w:proofErr w:type="spellEnd"/>
    </w:p>
    <w:p w14:paraId="2908DE21" w14:textId="77777777" w:rsidR="00F72160" w:rsidRPr="0068216F" w:rsidRDefault="00F72160" w:rsidP="0068216F">
      <w:pPr>
        <w:shd w:val="clear" w:color="auto" w:fill="FFFFFF"/>
        <w:spacing w:before="240" w:after="240" w:line="360" w:lineRule="auto"/>
        <w:rPr>
          <w:rFonts w:eastAsia="Times New Roman" w:cstheme="minorHAnsi"/>
          <w:color w:val="000000" w:themeColor="text1"/>
          <w:lang w:val="en-US" w:eastAsia="fr-FR"/>
        </w:rPr>
      </w:pPr>
      <w:r w:rsidRPr="0068216F">
        <w:rPr>
          <w:rFonts w:eastAsia="Times New Roman" w:cstheme="minorHAnsi"/>
          <w:color w:val="000000" w:themeColor="text1"/>
          <w:lang w:val="en-US" w:eastAsia="fr-FR"/>
        </w:rPr>
        <w:t xml:space="preserve">[1] </w:t>
      </w:r>
      <w:proofErr w:type="spellStart"/>
      <w:r w:rsidRPr="0068216F">
        <w:rPr>
          <w:rFonts w:eastAsia="Times New Roman" w:cstheme="minorHAnsi"/>
          <w:color w:val="000000" w:themeColor="text1"/>
          <w:lang w:val="en-US" w:eastAsia="fr-FR"/>
        </w:rPr>
        <w:t>Salvarani</w:t>
      </w:r>
      <w:proofErr w:type="spellEnd"/>
      <w:r w:rsidRPr="0068216F">
        <w:rPr>
          <w:rFonts w:eastAsia="Times New Roman" w:cstheme="minorHAnsi"/>
          <w:color w:val="000000" w:themeColor="text1"/>
          <w:lang w:val="en-US" w:eastAsia="fr-FR"/>
        </w:rPr>
        <w:t xml:space="preserve"> C, Cantini F, </w:t>
      </w:r>
      <w:proofErr w:type="spellStart"/>
      <w:r w:rsidRPr="0068216F">
        <w:rPr>
          <w:rFonts w:eastAsia="Times New Roman" w:cstheme="minorHAnsi"/>
          <w:color w:val="000000" w:themeColor="text1"/>
          <w:lang w:val="en-US" w:eastAsia="fr-FR"/>
        </w:rPr>
        <w:t>Boiardi</w:t>
      </w:r>
      <w:proofErr w:type="spellEnd"/>
      <w:r w:rsidRPr="0068216F">
        <w:rPr>
          <w:rFonts w:eastAsia="Times New Roman" w:cstheme="minorHAnsi"/>
          <w:color w:val="000000" w:themeColor="text1"/>
          <w:lang w:val="en-US" w:eastAsia="fr-FR"/>
        </w:rPr>
        <w:t xml:space="preserve"> L, </w:t>
      </w:r>
      <w:proofErr w:type="spellStart"/>
      <w:r w:rsidRPr="0068216F">
        <w:rPr>
          <w:rFonts w:eastAsia="Times New Roman" w:cstheme="minorHAnsi"/>
          <w:color w:val="000000" w:themeColor="text1"/>
          <w:lang w:val="en-US" w:eastAsia="fr-FR"/>
        </w:rPr>
        <w:t>Hunder</w:t>
      </w:r>
      <w:proofErr w:type="spellEnd"/>
      <w:r w:rsidRPr="0068216F">
        <w:rPr>
          <w:rFonts w:eastAsia="Times New Roman" w:cstheme="minorHAnsi"/>
          <w:color w:val="000000" w:themeColor="text1"/>
          <w:lang w:val="en-US" w:eastAsia="fr-FR"/>
        </w:rPr>
        <w:t xml:space="preserve"> GG. Polymyalgia rheumatica and giant-cell arteritis. </w:t>
      </w:r>
      <w:r w:rsidRPr="0068216F">
        <w:rPr>
          <w:rFonts w:eastAsia="Times New Roman" w:cstheme="minorHAnsi"/>
          <w:i/>
          <w:iCs/>
          <w:color w:val="000000" w:themeColor="text1"/>
          <w:lang w:val="en-US" w:eastAsia="fr-FR"/>
        </w:rPr>
        <w:t xml:space="preserve">N </w:t>
      </w:r>
      <w:proofErr w:type="spellStart"/>
      <w:r w:rsidRPr="0068216F">
        <w:rPr>
          <w:rFonts w:eastAsia="Times New Roman" w:cstheme="minorHAnsi"/>
          <w:i/>
          <w:iCs/>
          <w:color w:val="000000" w:themeColor="text1"/>
          <w:lang w:val="en-US" w:eastAsia="fr-FR"/>
        </w:rPr>
        <w:t>Engl</w:t>
      </w:r>
      <w:proofErr w:type="spellEnd"/>
      <w:r w:rsidRPr="0068216F">
        <w:rPr>
          <w:rFonts w:eastAsia="Times New Roman" w:cstheme="minorHAnsi"/>
          <w:i/>
          <w:iCs/>
          <w:color w:val="000000" w:themeColor="text1"/>
          <w:lang w:val="en-US" w:eastAsia="fr-FR"/>
        </w:rPr>
        <w:t xml:space="preserve"> J Med</w:t>
      </w:r>
      <w:r w:rsidRPr="0068216F">
        <w:rPr>
          <w:rFonts w:eastAsia="Times New Roman" w:cstheme="minorHAnsi"/>
          <w:color w:val="000000" w:themeColor="text1"/>
          <w:lang w:val="en-US" w:eastAsia="fr-FR"/>
        </w:rPr>
        <w:t>. 2002;347(4):261-271.</w:t>
      </w:r>
      <w:r w:rsidRPr="0068216F">
        <w:rPr>
          <w:rFonts w:eastAsia="Times New Roman" w:cstheme="minorHAnsi"/>
          <w:color w:val="000000" w:themeColor="text1"/>
          <w:lang w:val="en-US" w:eastAsia="fr-FR"/>
        </w:rPr>
        <w:br/>
        <w:t xml:space="preserve">[2] </w:t>
      </w:r>
      <w:proofErr w:type="spellStart"/>
      <w:r w:rsidRPr="0068216F">
        <w:rPr>
          <w:rFonts w:eastAsia="Times New Roman" w:cstheme="minorHAnsi"/>
          <w:color w:val="000000" w:themeColor="text1"/>
          <w:lang w:val="en-US" w:eastAsia="fr-FR"/>
        </w:rPr>
        <w:t>Weyand</w:t>
      </w:r>
      <w:proofErr w:type="spellEnd"/>
      <w:r w:rsidRPr="0068216F">
        <w:rPr>
          <w:rFonts w:eastAsia="Times New Roman" w:cstheme="minorHAnsi"/>
          <w:color w:val="000000" w:themeColor="text1"/>
          <w:lang w:val="en-US" w:eastAsia="fr-FR"/>
        </w:rPr>
        <w:t xml:space="preserve"> CM, </w:t>
      </w:r>
      <w:proofErr w:type="spellStart"/>
      <w:r w:rsidRPr="0068216F">
        <w:rPr>
          <w:rFonts w:eastAsia="Times New Roman" w:cstheme="minorHAnsi"/>
          <w:color w:val="000000" w:themeColor="text1"/>
          <w:lang w:val="en-US" w:eastAsia="fr-FR"/>
        </w:rPr>
        <w:t>Goronzy</w:t>
      </w:r>
      <w:proofErr w:type="spellEnd"/>
      <w:r w:rsidRPr="0068216F">
        <w:rPr>
          <w:rFonts w:eastAsia="Times New Roman" w:cstheme="minorHAnsi"/>
          <w:color w:val="000000" w:themeColor="text1"/>
          <w:lang w:val="en-US" w:eastAsia="fr-FR"/>
        </w:rPr>
        <w:t xml:space="preserve"> JJ. Giant-cell arteritis and polymyalgia rheumatica. </w:t>
      </w:r>
      <w:r w:rsidRPr="0068216F">
        <w:rPr>
          <w:rFonts w:eastAsia="Times New Roman" w:cstheme="minorHAnsi"/>
          <w:i/>
          <w:iCs/>
          <w:color w:val="000000" w:themeColor="text1"/>
          <w:lang w:val="en-US" w:eastAsia="fr-FR"/>
        </w:rPr>
        <w:t>Ann Intern Med</w:t>
      </w:r>
      <w:r w:rsidRPr="0068216F">
        <w:rPr>
          <w:rFonts w:eastAsia="Times New Roman" w:cstheme="minorHAnsi"/>
          <w:color w:val="000000" w:themeColor="text1"/>
          <w:lang w:val="en-US" w:eastAsia="fr-FR"/>
        </w:rPr>
        <w:t>. 2003;139(6):505-515.</w:t>
      </w:r>
      <w:r w:rsidRPr="0068216F">
        <w:rPr>
          <w:rFonts w:eastAsia="Times New Roman" w:cstheme="minorHAnsi"/>
          <w:color w:val="000000" w:themeColor="text1"/>
          <w:lang w:val="en-US" w:eastAsia="fr-FR"/>
        </w:rPr>
        <w:br/>
        <w:t xml:space="preserve">[3] </w:t>
      </w:r>
      <w:proofErr w:type="spellStart"/>
      <w:r w:rsidRPr="0068216F">
        <w:rPr>
          <w:rFonts w:eastAsia="Times New Roman" w:cstheme="minorHAnsi"/>
          <w:color w:val="000000" w:themeColor="text1"/>
          <w:lang w:val="en-US" w:eastAsia="fr-FR"/>
        </w:rPr>
        <w:t>Hayreh</w:t>
      </w:r>
      <w:proofErr w:type="spellEnd"/>
      <w:r w:rsidRPr="0068216F">
        <w:rPr>
          <w:rFonts w:eastAsia="Times New Roman" w:cstheme="minorHAnsi"/>
          <w:color w:val="000000" w:themeColor="text1"/>
          <w:lang w:val="en-US" w:eastAsia="fr-FR"/>
        </w:rPr>
        <w:t xml:space="preserve"> SS, </w:t>
      </w:r>
      <w:proofErr w:type="spellStart"/>
      <w:r w:rsidRPr="0068216F">
        <w:rPr>
          <w:rFonts w:eastAsia="Times New Roman" w:cstheme="minorHAnsi"/>
          <w:color w:val="000000" w:themeColor="text1"/>
          <w:lang w:val="en-US" w:eastAsia="fr-FR"/>
        </w:rPr>
        <w:t>Podhajsky</w:t>
      </w:r>
      <w:proofErr w:type="spellEnd"/>
      <w:r w:rsidRPr="0068216F">
        <w:rPr>
          <w:rFonts w:eastAsia="Times New Roman" w:cstheme="minorHAnsi"/>
          <w:color w:val="000000" w:themeColor="text1"/>
          <w:lang w:val="en-US" w:eastAsia="fr-FR"/>
        </w:rPr>
        <w:t xml:space="preserve"> PA, Zimmerman B. Ocular manifestations of giant cell arteritis. </w:t>
      </w:r>
      <w:r w:rsidRPr="0068216F">
        <w:rPr>
          <w:rFonts w:eastAsia="Times New Roman" w:cstheme="minorHAnsi"/>
          <w:i/>
          <w:iCs/>
          <w:color w:val="000000" w:themeColor="text1"/>
          <w:lang w:val="en-US" w:eastAsia="fr-FR"/>
        </w:rPr>
        <w:t xml:space="preserve">Am J </w:t>
      </w:r>
      <w:proofErr w:type="spellStart"/>
      <w:r w:rsidRPr="0068216F">
        <w:rPr>
          <w:rFonts w:eastAsia="Times New Roman" w:cstheme="minorHAnsi"/>
          <w:i/>
          <w:iCs/>
          <w:color w:val="000000" w:themeColor="text1"/>
          <w:lang w:val="en-US" w:eastAsia="fr-FR"/>
        </w:rPr>
        <w:t>Ophthalmol</w:t>
      </w:r>
      <w:proofErr w:type="spellEnd"/>
      <w:r w:rsidRPr="0068216F">
        <w:rPr>
          <w:rFonts w:eastAsia="Times New Roman" w:cstheme="minorHAnsi"/>
          <w:color w:val="000000" w:themeColor="text1"/>
          <w:lang w:val="en-US" w:eastAsia="fr-FR"/>
        </w:rPr>
        <w:t>. 1998;125(4):509-520.</w:t>
      </w:r>
      <w:r w:rsidRPr="0068216F">
        <w:rPr>
          <w:rFonts w:eastAsia="Times New Roman" w:cstheme="minorHAnsi"/>
          <w:color w:val="000000" w:themeColor="text1"/>
          <w:lang w:val="en-US" w:eastAsia="fr-FR"/>
        </w:rPr>
        <w:br/>
        <w:t xml:space="preserve">[4] </w:t>
      </w:r>
      <w:proofErr w:type="spellStart"/>
      <w:r w:rsidRPr="0068216F">
        <w:rPr>
          <w:rFonts w:eastAsia="Times New Roman" w:cstheme="minorHAnsi"/>
          <w:color w:val="000000" w:themeColor="text1"/>
          <w:lang w:val="en-US" w:eastAsia="fr-FR"/>
        </w:rPr>
        <w:t>Niederkohr</w:t>
      </w:r>
      <w:proofErr w:type="spellEnd"/>
      <w:r w:rsidRPr="0068216F">
        <w:rPr>
          <w:rFonts w:eastAsia="Times New Roman" w:cstheme="minorHAnsi"/>
          <w:color w:val="000000" w:themeColor="text1"/>
          <w:lang w:val="en-US" w:eastAsia="fr-FR"/>
        </w:rPr>
        <w:t xml:space="preserve"> RD, Levin LA. A Bayesian analysis of the true sensitivity of a temporal artery biopsy. </w:t>
      </w:r>
      <w:r w:rsidRPr="0068216F">
        <w:rPr>
          <w:rFonts w:eastAsia="Times New Roman" w:cstheme="minorHAnsi"/>
          <w:i/>
          <w:iCs/>
          <w:color w:val="000000" w:themeColor="text1"/>
          <w:lang w:eastAsia="fr-FR"/>
        </w:rPr>
        <w:t xml:space="preserve">Invest </w:t>
      </w:r>
      <w:proofErr w:type="spellStart"/>
      <w:r w:rsidRPr="0068216F">
        <w:rPr>
          <w:rFonts w:eastAsia="Times New Roman" w:cstheme="minorHAnsi"/>
          <w:i/>
          <w:iCs/>
          <w:color w:val="000000" w:themeColor="text1"/>
          <w:lang w:eastAsia="fr-FR"/>
        </w:rPr>
        <w:t>Ophthalmol</w:t>
      </w:r>
      <w:proofErr w:type="spellEnd"/>
      <w:r w:rsidRPr="0068216F">
        <w:rPr>
          <w:rFonts w:eastAsia="Times New Roman" w:cstheme="minorHAnsi"/>
          <w:i/>
          <w:iCs/>
          <w:color w:val="000000" w:themeColor="text1"/>
          <w:lang w:eastAsia="fr-FR"/>
        </w:rPr>
        <w:t xml:space="preserve"> Vis </w:t>
      </w:r>
      <w:proofErr w:type="spellStart"/>
      <w:r w:rsidRPr="0068216F">
        <w:rPr>
          <w:rFonts w:eastAsia="Times New Roman" w:cstheme="minorHAnsi"/>
          <w:i/>
          <w:iCs/>
          <w:color w:val="000000" w:themeColor="text1"/>
          <w:lang w:eastAsia="fr-FR"/>
        </w:rPr>
        <w:t>Sci</w:t>
      </w:r>
      <w:proofErr w:type="spellEnd"/>
      <w:r w:rsidRPr="0068216F">
        <w:rPr>
          <w:rFonts w:eastAsia="Times New Roman" w:cstheme="minorHAnsi"/>
          <w:color w:val="000000" w:themeColor="text1"/>
          <w:lang w:eastAsia="fr-FR"/>
        </w:rPr>
        <w:t>. 2007;48(2):675-680.</w:t>
      </w:r>
      <w:r w:rsidRPr="0068216F">
        <w:rPr>
          <w:rFonts w:eastAsia="Times New Roman" w:cstheme="minorHAnsi"/>
          <w:color w:val="000000" w:themeColor="text1"/>
          <w:lang w:eastAsia="fr-FR"/>
        </w:rPr>
        <w:br/>
        <w:t xml:space="preserve">[5] </w:t>
      </w:r>
      <w:proofErr w:type="spellStart"/>
      <w:r w:rsidRPr="0068216F">
        <w:rPr>
          <w:rFonts w:eastAsia="Times New Roman" w:cstheme="minorHAnsi"/>
          <w:color w:val="000000" w:themeColor="text1"/>
          <w:lang w:eastAsia="fr-FR"/>
        </w:rPr>
        <w:t>Meller</w:t>
      </w:r>
      <w:proofErr w:type="spellEnd"/>
      <w:r w:rsidRPr="0068216F">
        <w:rPr>
          <w:rFonts w:eastAsia="Times New Roman" w:cstheme="minorHAnsi"/>
          <w:color w:val="000000" w:themeColor="text1"/>
          <w:lang w:eastAsia="fr-FR"/>
        </w:rPr>
        <w:t xml:space="preserve"> J, </w:t>
      </w:r>
      <w:proofErr w:type="spellStart"/>
      <w:r w:rsidRPr="0068216F">
        <w:rPr>
          <w:rFonts w:eastAsia="Times New Roman" w:cstheme="minorHAnsi"/>
          <w:color w:val="000000" w:themeColor="text1"/>
          <w:lang w:eastAsia="fr-FR"/>
        </w:rPr>
        <w:t>Strutz</w:t>
      </w:r>
      <w:proofErr w:type="spellEnd"/>
      <w:r w:rsidRPr="0068216F">
        <w:rPr>
          <w:rFonts w:eastAsia="Times New Roman" w:cstheme="minorHAnsi"/>
          <w:color w:val="000000" w:themeColor="text1"/>
          <w:lang w:eastAsia="fr-FR"/>
        </w:rPr>
        <w:t xml:space="preserve"> F, </w:t>
      </w:r>
      <w:proofErr w:type="spellStart"/>
      <w:r w:rsidRPr="0068216F">
        <w:rPr>
          <w:rFonts w:eastAsia="Times New Roman" w:cstheme="minorHAnsi"/>
          <w:color w:val="000000" w:themeColor="text1"/>
          <w:lang w:eastAsia="fr-FR"/>
        </w:rPr>
        <w:t>Siefker</w:t>
      </w:r>
      <w:proofErr w:type="spellEnd"/>
      <w:r w:rsidRPr="0068216F">
        <w:rPr>
          <w:rFonts w:eastAsia="Times New Roman" w:cstheme="minorHAnsi"/>
          <w:color w:val="000000" w:themeColor="text1"/>
          <w:lang w:eastAsia="fr-FR"/>
        </w:rPr>
        <w:t xml:space="preserve"> U, et al. </w:t>
      </w:r>
      <w:r w:rsidRPr="0068216F">
        <w:rPr>
          <w:rFonts w:eastAsia="Times New Roman" w:cstheme="minorHAnsi"/>
          <w:color w:val="000000" w:themeColor="text1"/>
          <w:lang w:val="en-US" w:eastAsia="fr-FR"/>
        </w:rPr>
        <w:t>Early diagnosis and follow-up of aortitis with [18</w:t>
      </w:r>
      <w:proofErr w:type="gramStart"/>
      <w:r w:rsidRPr="0068216F">
        <w:rPr>
          <w:rFonts w:eastAsia="Times New Roman" w:cstheme="minorHAnsi"/>
          <w:color w:val="000000" w:themeColor="text1"/>
          <w:lang w:val="en-US" w:eastAsia="fr-FR"/>
        </w:rPr>
        <w:t>F]FDG</w:t>
      </w:r>
      <w:proofErr w:type="gramEnd"/>
      <w:r w:rsidRPr="0068216F">
        <w:rPr>
          <w:rFonts w:eastAsia="Times New Roman" w:cstheme="minorHAnsi"/>
          <w:color w:val="000000" w:themeColor="text1"/>
          <w:lang w:val="en-US" w:eastAsia="fr-FR"/>
        </w:rPr>
        <w:t xml:space="preserve"> PET and MRI. </w:t>
      </w:r>
      <w:r w:rsidRPr="0068216F">
        <w:rPr>
          <w:rFonts w:eastAsia="Times New Roman" w:cstheme="minorHAnsi"/>
          <w:i/>
          <w:iCs/>
          <w:color w:val="000000" w:themeColor="text1"/>
          <w:lang w:val="en-US" w:eastAsia="fr-FR"/>
        </w:rPr>
        <w:t xml:space="preserve">Eur J </w:t>
      </w:r>
      <w:proofErr w:type="spellStart"/>
      <w:r w:rsidRPr="0068216F">
        <w:rPr>
          <w:rFonts w:eastAsia="Times New Roman" w:cstheme="minorHAnsi"/>
          <w:i/>
          <w:iCs/>
          <w:color w:val="000000" w:themeColor="text1"/>
          <w:lang w:val="en-US" w:eastAsia="fr-FR"/>
        </w:rPr>
        <w:t>Nucl</w:t>
      </w:r>
      <w:proofErr w:type="spellEnd"/>
      <w:r w:rsidRPr="0068216F">
        <w:rPr>
          <w:rFonts w:eastAsia="Times New Roman" w:cstheme="minorHAnsi"/>
          <w:i/>
          <w:iCs/>
          <w:color w:val="000000" w:themeColor="text1"/>
          <w:lang w:val="en-US" w:eastAsia="fr-FR"/>
        </w:rPr>
        <w:t xml:space="preserve"> Med Mol Imaging</w:t>
      </w:r>
      <w:r w:rsidRPr="0068216F">
        <w:rPr>
          <w:rFonts w:eastAsia="Times New Roman" w:cstheme="minorHAnsi"/>
          <w:color w:val="000000" w:themeColor="text1"/>
          <w:lang w:val="en-US" w:eastAsia="fr-FR"/>
        </w:rPr>
        <w:t>. 2003;30(5):730-736.</w:t>
      </w:r>
      <w:r w:rsidRPr="0068216F">
        <w:rPr>
          <w:rFonts w:eastAsia="Times New Roman" w:cstheme="minorHAnsi"/>
          <w:color w:val="000000" w:themeColor="text1"/>
          <w:lang w:val="en-US" w:eastAsia="fr-FR"/>
        </w:rPr>
        <w:br/>
        <w:t xml:space="preserve">[6] </w:t>
      </w:r>
      <w:proofErr w:type="spellStart"/>
      <w:r w:rsidRPr="0068216F">
        <w:rPr>
          <w:rFonts w:eastAsia="Times New Roman" w:cstheme="minorHAnsi"/>
          <w:color w:val="000000" w:themeColor="text1"/>
          <w:lang w:val="en-US" w:eastAsia="fr-FR"/>
        </w:rPr>
        <w:t>Blockmans</w:t>
      </w:r>
      <w:proofErr w:type="spellEnd"/>
      <w:r w:rsidRPr="0068216F">
        <w:rPr>
          <w:rFonts w:eastAsia="Times New Roman" w:cstheme="minorHAnsi"/>
          <w:color w:val="000000" w:themeColor="text1"/>
          <w:lang w:val="en-US" w:eastAsia="fr-FR"/>
        </w:rPr>
        <w:t xml:space="preserve"> D, de </w:t>
      </w:r>
      <w:proofErr w:type="spellStart"/>
      <w:r w:rsidRPr="0068216F">
        <w:rPr>
          <w:rFonts w:eastAsia="Times New Roman" w:cstheme="minorHAnsi"/>
          <w:color w:val="000000" w:themeColor="text1"/>
          <w:lang w:val="en-US" w:eastAsia="fr-FR"/>
        </w:rPr>
        <w:t>Ceuninck</w:t>
      </w:r>
      <w:proofErr w:type="spellEnd"/>
      <w:r w:rsidRPr="0068216F">
        <w:rPr>
          <w:rFonts w:eastAsia="Times New Roman" w:cstheme="minorHAnsi"/>
          <w:color w:val="000000" w:themeColor="text1"/>
          <w:lang w:val="en-US" w:eastAsia="fr-FR"/>
        </w:rPr>
        <w:t xml:space="preserve"> L, </w:t>
      </w:r>
      <w:proofErr w:type="spellStart"/>
      <w:r w:rsidRPr="0068216F">
        <w:rPr>
          <w:rFonts w:eastAsia="Times New Roman" w:cstheme="minorHAnsi"/>
          <w:color w:val="000000" w:themeColor="text1"/>
          <w:lang w:val="en-US" w:eastAsia="fr-FR"/>
        </w:rPr>
        <w:t>Vanderschueren</w:t>
      </w:r>
      <w:proofErr w:type="spellEnd"/>
      <w:r w:rsidRPr="0068216F">
        <w:rPr>
          <w:rFonts w:eastAsia="Times New Roman" w:cstheme="minorHAnsi"/>
          <w:color w:val="000000" w:themeColor="text1"/>
          <w:lang w:val="en-US" w:eastAsia="fr-FR"/>
        </w:rPr>
        <w:t xml:space="preserve"> S, </w:t>
      </w:r>
      <w:proofErr w:type="spellStart"/>
      <w:r w:rsidRPr="0068216F">
        <w:rPr>
          <w:rFonts w:eastAsia="Times New Roman" w:cstheme="minorHAnsi"/>
          <w:color w:val="000000" w:themeColor="text1"/>
          <w:lang w:val="en-US" w:eastAsia="fr-FR"/>
        </w:rPr>
        <w:t>Knockaert</w:t>
      </w:r>
      <w:proofErr w:type="spellEnd"/>
      <w:r w:rsidRPr="0068216F">
        <w:rPr>
          <w:rFonts w:eastAsia="Times New Roman" w:cstheme="minorHAnsi"/>
          <w:color w:val="000000" w:themeColor="text1"/>
          <w:lang w:val="en-US" w:eastAsia="fr-FR"/>
        </w:rPr>
        <w:t xml:space="preserve"> D, </w:t>
      </w:r>
      <w:proofErr w:type="spellStart"/>
      <w:r w:rsidRPr="0068216F">
        <w:rPr>
          <w:rFonts w:eastAsia="Times New Roman" w:cstheme="minorHAnsi"/>
          <w:color w:val="000000" w:themeColor="text1"/>
          <w:lang w:val="en-US" w:eastAsia="fr-FR"/>
        </w:rPr>
        <w:t>Mortelmans</w:t>
      </w:r>
      <w:proofErr w:type="spellEnd"/>
      <w:r w:rsidRPr="0068216F">
        <w:rPr>
          <w:rFonts w:eastAsia="Times New Roman" w:cstheme="minorHAnsi"/>
          <w:color w:val="000000" w:themeColor="text1"/>
          <w:lang w:val="en-US" w:eastAsia="fr-FR"/>
        </w:rPr>
        <w:t xml:space="preserve"> L, </w:t>
      </w:r>
      <w:proofErr w:type="spellStart"/>
      <w:r w:rsidRPr="0068216F">
        <w:rPr>
          <w:rFonts w:eastAsia="Times New Roman" w:cstheme="minorHAnsi"/>
          <w:color w:val="000000" w:themeColor="text1"/>
          <w:lang w:val="en-US" w:eastAsia="fr-FR"/>
        </w:rPr>
        <w:t>Bobbaers</w:t>
      </w:r>
      <w:proofErr w:type="spellEnd"/>
      <w:r w:rsidRPr="0068216F">
        <w:rPr>
          <w:rFonts w:eastAsia="Times New Roman" w:cstheme="minorHAnsi"/>
          <w:color w:val="000000" w:themeColor="text1"/>
          <w:lang w:val="en-US" w:eastAsia="fr-FR"/>
        </w:rPr>
        <w:t xml:space="preserve"> H. Repetitive 18F-fluorodeoxyglucose positron emission tomography in giant cell arteritis: a prospective study of 35 patients. </w:t>
      </w:r>
      <w:r w:rsidRPr="0068216F">
        <w:rPr>
          <w:rFonts w:eastAsia="Times New Roman" w:cstheme="minorHAnsi"/>
          <w:i/>
          <w:iCs/>
          <w:color w:val="000000" w:themeColor="text1"/>
          <w:lang w:val="en-US" w:eastAsia="fr-FR"/>
        </w:rPr>
        <w:t>Arthritis Rheum</w:t>
      </w:r>
      <w:r w:rsidRPr="0068216F">
        <w:rPr>
          <w:rFonts w:eastAsia="Times New Roman" w:cstheme="minorHAnsi"/>
          <w:color w:val="000000" w:themeColor="text1"/>
          <w:lang w:val="en-US" w:eastAsia="fr-FR"/>
        </w:rPr>
        <w:t>. 2006;55(1):131-137.</w:t>
      </w:r>
      <w:r w:rsidRPr="0068216F">
        <w:rPr>
          <w:rFonts w:eastAsia="Times New Roman" w:cstheme="minorHAnsi"/>
          <w:color w:val="000000" w:themeColor="text1"/>
          <w:lang w:val="en-US" w:eastAsia="fr-FR"/>
        </w:rPr>
        <w:br/>
        <w:t xml:space="preserve">[7] Nesher G, </w:t>
      </w:r>
      <w:proofErr w:type="spellStart"/>
      <w:r w:rsidRPr="0068216F">
        <w:rPr>
          <w:rFonts w:eastAsia="Times New Roman" w:cstheme="minorHAnsi"/>
          <w:color w:val="000000" w:themeColor="text1"/>
          <w:lang w:val="en-US" w:eastAsia="fr-FR"/>
        </w:rPr>
        <w:t>Berkun</w:t>
      </w:r>
      <w:proofErr w:type="spellEnd"/>
      <w:r w:rsidRPr="0068216F">
        <w:rPr>
          <w:rFonts w:eastAsia="Times New Roman" w:cstheme="minorHAnsi"/>
          <w:color w:val="000000" w:themeColor="text1"/>
          <w:lang w:val="en-US" w:eastAsia="fr-FR"/>
        </w:rPr>
        <w:t xml:space="preserve"> Y, Mates M, </w:t>
      </w:r>
      <w:proofErr w:type="spellStart"/>
      <w:r w:rsidRPr="0068216F">
        <w:rPr>
          <w:rFonts w:eastAsia="Times New Roman" w:cstheme="minorHAnsi"/>
          <w:color w:val="000000" w:themeColor="text1"/>
          <w:lang w:val="en-US" w:eastAsia="fr-FR"/>
        </w:rPr>
        <w:t>Baras</w:t>
      </w:r>
      <w:proofErr w:type="spellEnd"/>
      <w:r w:rsidRPr="0068216F">
        <w:rPr>
          <w:rFonts w:eastAsia="Times New Roman" w:cstheme="minorHAnsi"/>
          <w:color w:val="000000" w:themeColor="text1"/>
          <w:lang w:val="en-US" w:eastAsia="fr-FR"/>
        </w:rPr>
        <w:t xml:space="preserve"> M, Nesher R, </w:t>
      </w:r>
      <w:proofErr w:type="spellStart"/>
      <w:r w:rsidRPr="0068216F">
        <w:rPr>
          <w:rFonts w:eastAsia="Times New Roman" w:cstheme="minorHAnsi"/>
          <w:color w:val="000000" w:themeColor="text1"/>
          <w:lang w:val="en-US" w:eastAsia="fr-FR"/>
        </w:rPr>
        <w:t>Rubinow</w:t>
      </w:r>
      <w:proofErr w:type="spellEnd"/>
      <w:r w:rsidRPr="0068216F">
        <w:rPr>
          <w:rFonts w:eastAsia="Times New Roman" w:cstheme="minorHAnsi"/>
          <w:color w:val="000000" w:themeColor="text1"/>
          <w:lang w:val="en-US" w:eastAsia="fr-FR"/>
        </w:rPr>
        <w:t xml:space="preserve"> A, </w:t>
      </w:r>
      <w:proofErr w:type="spellStart"/>
      <w:r w:rsidRPr="0068216F">
        <w:rPr>
          <w:rFonts w:eastAsia="Times New Roman" w:cstheme="minorHAnsi"/>
          <w:color w:val="000000" w:themeColor="text1"/>
          <w:lang w:val="en-US" w:eastAsia="fr-FR"/>
        </w:rPr>
        <w:t>Sonnenblick</w:t>
      </w:r>
      <w:proofErr w:type="spellEnd"/>
      <w:r w:rsidRPr="0068216F">
        <w:rPr>
          <w:rFonts w:eastAsia="Times New Roman" w:cstheme="minorHAnsi"/>
          <w:color w:val="000000" w:themeColor="text1"/>
          <w:lang w:val="en-US" w:eastAsia="fr-FR"/>
        </w:rPr>
        <w:t xml:space="preserve"> M. Low-dose aspirin and prevention of cranial ischemic complications in giant cell arteritis. </w:t>
      </w:r>
      <w:proofErr w:type="spellStart"/>
      <w:r w:rsidRPr="0068216F">
        <w:rPr>
          <w:rFonts w:eastAsia="Times New Roman" w:cstheme="minorHAnsi"/>
          <w:i/>
          <w:iCs/>
          <w:color w:val="000000" w:themeColor="text1"/>
          <w:lang w:eastAsia="fr-FR"/>
        </w:rPr>
        <w:t>Arthritis</w:t>
      </w:r>
      <w:proofErr w:type="spellEnd"/>
      <w:r w:rsidRPr="0068216F">
        <w:rPr>
          <w:rFonts w:eastAsia="Times New Roman" w:cstheme="minorHAnsi"/>
          <w:i/>
          <w:iCs/>
          <w:color w:val="000000" w:themeColor="text1"/>
          <w:lang w:eastAsia="fr-FR"/>
        </w:rPr>
        <w:t xml:space="preserve"> </w:t>
      </w:r>
      <w:proofErr w:type="spellStart"/>
      <w:r w:rsidRPr="0068216F">
        <w:rPr>
          <w:rFonts w:eastAsia="Times New Roman" w:cstheme="minorHAnsi"/>
          <w:i/>
          <w:iCs/>
          <w:color w:val="000000" w:themeColor="text1"/>
          <w:lang w:eastAsia="fr-FR"/>
        </w:rPr>
        <w:t>Rheum</w:t>
      </w:r>
      <w:proofErr w:type="spellEnd"/>
      <w:r w:rsidRPr="0068216F">
        <w:rPr>
          <w:rFonts w:eastAsia="Times New Roman" w:cstheme="minorHAnsi"/>
          <w:color w:val="000000" w:themeColor="text1"/>
          <w:lang w:eastAsia="fr-FR"/>
        </w:rPr>
        <w:t>. 2004;50(4):1332-1337.</w:t>
      </w:r>
      <w:r w:rsidRPr="0068216F">
        <w:rPr>
          <w:rFonts w:eastAsia="Times New Roman" w:cstheme="minorHAnsi"/>
          <w:color w:val="000000" w:themeColor="text1"/>
          <w:lang w:eastAsia="fr-FR"/>
        </w:rPr>
        <w:br/>
        <w:t xml:space="preserve">[8] Besson FL, </w:t>
      </w:r>
      <w:proofErr w:type="spellStart"/>
      <w:r w:rsidRPr="0068216F">
        <w:rPr>
          <w:rFonts w:eastAsia="Times New Roman" w:cstheme="minorHAnsi"/>
          <w:color w:val="000000" w:themeColor="text1"/>
          <w:lang w:eastAsia="fr-FR"/>
        </w:rPr>
        <w:t>Parienti</w:t>
      </w:r>
      <w:proofErr w:type="spellEnd"/>
      <w:r w:rsidRPr="0068216F">
        <w:rPr>
          <w:rFonts w:eastAsia="Times New Roman" w:cstheme="minorHAnsi"/>
          <w:color w:val="000000" w:themeColor="text1"/>
          <w:lang w:eastAsia="fr-FR"/>
        </w:rPr>
        <w:t xml:space="preserve"> JJ, Bienvenu B, et al. </w:t>
      </w:r>
      <w:r w:rsidRPr="0068216F">
        <w:rPr>
          <w:rFonts w:eastAsia="Times New Roman" w:cstheme="minorHAnsi"/>
          <w:color w:val="000000" w:themeColor="text1"/>
          <w:lang w:val="en-US" w:eastAsia="fr-FR"/>
        </w:rPr>
        <w:t>Diagnostic performance of 18F-fluorodeoxyglucose positron emission tomography in giant cell arteritis: a systematic review and meta-analysis. </w:t>
      </w:r>
      <w:r w:rsidRPr="0068216F">
        <w:rPr>
          <w:rFonts w:eastAsia="Times New Roman" w:cstheme="minorHAnsi"/>
          <w:i/>
          <w:iCs/>
          <w:color w:val="000000" w:themeColor="text1"/>
          <w:lang w:val="en-US" w:eastAsia="fr-FR"/>
        </w:rPr>
        <w:t xml:space="preserve">Eur J </w:t>
      </w:r>
      <w:proofErr w:type="spellStart"/>
      <w:r w:rsidRPr="0068216F">
        <w:rPr>
          <w:rFonts w:eastAsia="Times New Roman" w:cstheme="minorHAnsi"/>
          <w:i/>
          <w:iCs/>
          <w:color w:val="000000" w:themeColor="text1"/>
          <w:lang w:val="en-US" w:eastAsia="fr-FR"/>
        </w:rPr>
        <w:t>Nucl</w:t>
      </w:r>
      <w:proofErr w:type="spellEnd"/>
      <w:r w:rsidRPr="0068216F">
        <w:rPr>
          <w:rFonts w:eastAsia="Times New Roman" w:cstheme="minorHAnsi"/>
          <w:i/>
          <w:iCs/>
          <w:color w:val="000000" w:themeColor="text1"/>
          <w:lang w:val="en-US" w:eastAsia="fr-FR"/>
        </w:rPr>
        <w:t xml:space="preserve"> Med Mol Imaging</w:t>
      </w:r>
      <w:r w:rsidRPr="0068216F">
        <w:rPr>
          <w:rFonts w:eastAsia="Times New Roman" w:cstheme="minorHAnsi"/>
          <w:color w:val="000000" w:themeColor="text1"/>
          <w:lang w:val="en-US" w:eastAsia="fr-FR"/>
        </w:rPr>
        <w:t>. 2011;38(9):1764-1772.</w:t>
      </w:r>
      <w:r w:rsidRPr="0068216F">
        <w:rPr>
          <w:rFonts w:eastAsia="Times New Roman" w:cstheme="minorHAnsi"/>
          <w:color w:val="000000" w:themeColor="text1"/>
          <w:lang w:val="en-US" w:eastAsia="fr-FR"/>
        </w:rPr>
        <w:br/>
        <w:t xml:space="preserve">[9] </w:t>
      </w:r>
      <w:proofErr w:type="spellStart"/>
      <w:r w:rsidRPr="0068216F">
        <w:rPr>
          <w:rFonts w:eastAsia="Times New Roman" w:cstheme="minorHAnsi"/>
          <w:color w:val="000000" w:themeColor="text1"/>
          <w:lang w:val="en-US" w:eastAsia="fr-FR"/>
        </w:rPr>
        <w:t>Soussan</w:t>
      </w:r>
      <w:proofErr w:type="spellEnd"/>
      <w:r w:rsidRPr="0068216F">
        <w:rPr>
          <w:rFonts w:eastAsia="Times New Roman" w:cstheme="minorHAnsi"/>
          <w:color w:val="000000" w:themeColor="text1"/>
          <w:lang w:val="en-US" w:eastAsia="fr-FR"/>
        </w:rPr>
        <w:t xml:space="preserve"> M, Nicolas P, Schramm C, et al. Management of large-vessel vasculitis with FDG-PET: a systematic literature review and meta-analysis. </w:t>
      </w:r>
      <w:r w:rsidRPr="0068216F">
        <w:rPr>
          <w:rFonts w:eastAsia="Times New Roman" w:cstheme="minorHAnsi"/>
          <w:i/>
          <w:iCs/>
          <w:color w:val="000000" w:themeColor="text1"/>
          <w:lang w:val="en-US" w:eastAsia="fr-FR"/>
        </w:rPr>
        <w:t>Medicine (Baltimore)</w:t>
      </w:r>
      <w:r w:rsidRPr="0068216F">
        <w:rPr>
          <w:rFonts w:eastAsia="Times New Roman" w:cstheme="minorHAnsi"/>
          <w:color w:val="000000" w:themeColor="text1"/>
          <w:lang w:val="en-US" w:eastAsia="fr-FR"/>
        </w:rPr>
        <w:t>. 2015;94(14</w:t>
      </w:r>
      <w:proofErr w:type="gramStart"/>
      <w:r w:rsidRPr="0068216F">
        <w:rPr>
          <w:rFonts w:eastAsia="Times New Roman" w:cstheme="minorHAnsi"/>
          <w:color w:val="000000" w:themeColor="text1"/>
          <w:lang w:val="en-US" w:eastAsia="fr-FR"/>
        </w:rPr>
        <w:t>):e</w:t>
      </w:r>
      <w:proofErr w:type="gramEnd"/>
      <w:r w:rsidRPr="0068216F">
        <w:rPr>
          <w:rFonts w:eastAsia="Times New Roman" w:cstheme="minorHAnsi"/>
          <w:color w:val="000000" w:themeColor="text1"/>
          <w:lang w:val="en-US" w:eastAsia="fr-FR"/>
        </w:rPr>
        <w:t>622.</w:t>
      </w:r>
      <w:r w:rsidRPr="0068216F">
        <w:rPr>
          <w:rFonts w:eastAsia="Times New Roman" w:cstheme="minorHAnsi"/>
          <w:color w:val="000000" w:themeColor="text1"/>
          <w:lang w:val="en-US" w:eastAsia="fr-FR"/>
        </w:rPr>
        <w:br/>
        <w:t xml:space="preserve">[10] Bley TA, </w:t>
      </w:r>
      <w:proofErr w:type="spellStart"/>
      <w:r w:rsidRPr="0068216F">
        <w:rPr>
          <w:rFonts w:eastAsia="Times New Roman" w:cstheme="minorHAnsi"/>
          <w:color w:val="000000" w:themeColor="text1"/>
          <w:lang w:val="en-US" w:eastAsia="fr-FR"/>
        </w:rPr>
        <w:t>Uhl</w:t>
      </w:r>
      <w:proofErr w:type="spellEnd"/>
      <w:r w:rsidRPr="0068216F">
        <w:rPr>
          <w:rFonts w:eastAsia="Times New Roman" w:cstheme="minorHAnsi"/>
          <w:color w:val="000000" w:themeColor="text1"/>
          <w:lang w:val="en-US" w:eastAsia="fr-FR"/>
        </w:rPr>
        <w:t xml:space="preserve"> M, Carew J, et al. Diagnostic value of high-resolution MR imaging in giant cell arteritis. </w:t>
      </w:r>
      <w:r w:rsidRPr="0068216F">
        <w:rPr>
          <w:rFonts w:eastAsia="Times New Roman" w:cstheme="minorHAnsi"/>
          <w:i/>
          <w:iCs/>
          <w:color w:val="000000" w:themeColor="text1"/>
          <w:lang w:val="en-US" w:eastAsia="fr-FR"/>
        </w:rPr>
        <w:t xml:space="preserve">AJNR Am J </w:t>
      </w:r>
      <w:proofErr w:type="spellStart"/>
      <w:r w:rsidRPr="0068216F">
        <w:rPr>
          <w:rFonts w:eastAsia="Times New Roman" w:cstheme="minorHAnsi"/>
          <w:i/>
          <w:iCs/>
          <w:color w:val="000000" w:themeColor="text1"/>
          <w:lang w:val="en-US" w:eastAsia="fr-FR"/>
        </w:rPr>
        <w:t>Neuroradiol</w:t>
      </w:r>
      <w:proofErr w:type="spellEnd"/>
      <w:r w:rsidRPr="0068216F">
        <w:rPr>
          <w:rFonts w:eastAsia="Times New Roman" w:cstheme="minorHAnsi"/>
          <w:color w:val="000000" w:themeColor="text1"/>
          <w:lang w:val="en-US" w:eastAsia="fr-FR"/>
        </w:rPr>
        <w:t>. 2007;28(9):1722-1727.</w:t>
      </w:r>
      <w:r w:rsidRPr="0068216F">
        <w:rPr>
          <w:rFonts w:eastAsia="Times New Roman" w:cstheme="minorHAnsi"/>
          <w:color w:val="000000" w:themeColor="text1"/>
          <w:lang w:val="en-US" w:eastAsia="fr-FR"/>
        </w:rPr>
        <w:br/>
        <w:t xml:space="preserve">[11] Prieto-González S, </w:t>
      </w:r>
      <w:proofErr w:type="spellStart"/>
      <w:r w:rsidRPr="0068216F">
        <w:rPr>
          <w:rFonts w:eastAsia="Times New Roman" w:cstheme="minorHAnsi"/>
          <w:color w:val="000000" w:themeColor="text1"/>
          <w:lang w:val="en-US" w:eastAsia="fr-FR"/>
        </w:rPr>
        <w:t>Depetris</w:t>
      </w:r>
      <w:proofErr w:type="spellEnd"/>
      <w:r w:rsidRPr="0068216F">
        <w:rPr>
          <w:rFonts w:eastAsia="Times New Roman" w:cstheme="minorHAnsi"/>
          <w:color w:val="000000" w:themeColor="text1"/>
          <w:lang w:val="en-US" w:eastAsia="fr-FR"/>
        </w:rPr>
        <w:t xml:space="preserve"> M, García-Martínez A, et al. Positron emission tomography assessment of large vessel inflammation in patients with newly diagnosed, biopsy-proven </w:t>
      </w:r>
      <w:r w:rsidRPr="0068216F">
        <w:rPr>
          <w:rFonts w:eastAsia="Times New Roman" w:cstheme="minorHAnsi"/>
          <w:color w:val="000000" w:themeColor="text1"/>
          <w:lang w:val="en-US" w:eastAsia="fr-FR"/>
        </w:rPr>
        <w:lastRenderedPageBreak/>
        <w:t>giant cell arteritis: a prospective, case-control study. </w:t>
      </w:r>
      <w:r w:rsidRPr="0068216F">
        <w:rPr>
          <w:rFonts w:eastAsia="Times New Roman" w:cstheme="minorHAnsi"/>
          <w:i/>
          <w:iCs/>
          <w:color w:val="000000" w:themeColor="text1"/>
          <w:lang w:val="en-US" w:eastAsia="fr-FR"/>
        </w:rPr>
        <w:t>Ann Rheum Dis</w:t>
      </w:r>
      <w:r w:rsidRPr="0068216F">
        <w:rPr>
          <w:rFonts w:eastAsia="Times New Roman" w:cstheme="minorHAnsi"/>
          <w:color w:val="000000" w:themeColor="text1"/>
          <w:lang w:val="en-US" w:eastAsia="fr-FR"/>
        </w:rPr>
        <w:t>. 2014;73(7):1388-1392.</w:t>
      </w:r>
      <w:r w:rsidRPr="0068216F">
        <w:rPr>
          <w:rFonts w:eastAsia="Times New Roman" w:cstheme="minorHAnsi"/>
          <w:color w:val="000000" w:themeColor="text1"/>
          <w:lang w:val="en-US" w:eastAsia="fr-FR"/>
        </w:rPr>
        <w:br/>
        <w:t xml:space="preserve">[12] Nielsen BD, </w:t>
      </w:r>
      <w:proofErr w:type="spellStart"/>
      <w:r w:rsidRPr="0068216F">
        <w:rPr>
          <w:rFonts w:eastAsia="Times New Roman" w:cstheme="minorHAnsi"/>
          <w:color w:val="000000" w:themeColor="text1"/>
          <w:lang w:val="en-US" w:eastAsia="fr-FR"/>
        </w:rPr>
        <w:t>Gormsen</w:t>
      </w:r>
      <w:proofErr w:type="spellEnd"/>
      <w:r w:rsidRPr="0068216F">
        <w:rPr>
          <w:rFonts w:eastAsia="Times New Roman" w:cstheme="minorHAnsi"/>
          <w:color w:val="000000" w:themeColor="text1"/>
          <w:lang w:val="en-US" w:eastAsia="fr-FR"/>
        </w:rPr>
        <w:t xml:space="preserve"> LC, Hansen IT, et al. Three days of high-dose glucocorticoid treatment does not impair the diagnostic accuracy of 18F-FDG PET/CT in patients with newly diagnosed giant cell arteritis. </w:t>
      </w:r>
      <w:r w:rsidRPr="0068216F">
        <w:rPr>
          <w:rFonts w:eastAsia="Times New Roman" w:cstheme="minorHAnsi"/>
          <w:i/>
          <w:iCs/>
          <w:color w:val="000000" w:themeColor="text1"/>
          <w:lang w:val="en-US" w:eastAsia="fr-FR"/>
        </w:rPr>
        <w:t xml:space="preserve">J </w:t>
      </w:r>
      <w:proofErr w:type="spellStart"/>
      <w:r w:rsidRPr="0068216F">
        <w:rPr>
          <w:rFonts w:eastAsia="Times New Roman" w:cstheme="minorHAnsi"/>
          <w:i/>
          <w:iCs/>
          <w:color w:val="000000" w:themeColor="text1"/>
          <w:lang w:val="en-US" w:eastAsia="fr-FR"/>
        </w:rPr>
        <w:t>Nucl</w:t>
      </w:r>
      <w:proofErr w:type="spellEnd"/>
      <w:r w:rsidRPr="0068216F">
        <w:rPr>
          <w:rFonts w:eastAsia="Times New Roman" w:cstheme="minorHAnsi"/>
          <w:i/>
          <w:iCs/>
          <w:color w:val="000000" w:themeColor="text1"/>
          <w:lang w:val="en-US" w:eastAsia="fr-FR"/>
        </w:rPr>
        <w:t xml:space="preserve"> Med</w:t>
      </w:r>
      <w:r w:rsidRPr="0068216F">
        <w:rPr>
          <w:rFonts w:eastAsia="Times New Roman" w:cstheme="minorHAnsi"/>
          <w:color w:val="000000" w:themeColor="text1"/>
          <w:lang w:val="en-US" w:eastAsia="fr-FR"/>
        </w:rPr>
        <w:t>. 2018;59(9):1427-1432.</w:t>
      </w:r>
      <w:r w:rsidRPr="0068216F">
        <w:rPr>
          <w:rFonts w:eastAsia="Times New Roman" w:cstheme="minorHAnsi"/>
          <w:color w:val="000000" w:themeColor="text1"/>
          <w:lang w:val="en-US" w:eastAsia="fr-FR"/>
        </w:rPr>
        <w:br/>
        <w:t xml:space="preserve">[13] Schmidt WA, Kraft HE, Vorpahl K, </w:t>
      </w:r>
      <w:proofErr w:type="spellStart"/>
      <w:r w:rsidRPr="0068216F">
        <w:rPr>
          <w:rFonts w:eastAsia="Times New Roman" w:cstheme="minorHAnsi"/>
          <w:color w:val="000000" w:themeColor="text1"/>
          <w:lang w:val="en-US" w:eastAsia="fr-FR"/>
        </w:rPr>
        <w:t>Völker</w:t>
      </w:r>
      <w:proofErr w:type="spellEnd"/>
      <w:r w:rsidRPr="0068216F">
        <w:rPr>
          <w:rFonts w:eastAsia="Times New Roman" w:cstheme="minorHAnsi"/>
          <w:color w:val="000000" w:themeColor="text1"/>
          <w:lang w:val="en-US" w:eastAsia="fr-FR"/>
        </w:rPr>
        <w:t xml:space="preserve"> L, </w:t>
      </w:r>
      <w:proofErr w:type="spellStart"/>
      <w:r w:rsidRPr="0068216F">
        <w:rPr>
          <w:rFonts w:eastAsia="Times New Roman" w:cstheme="minorHAnsi"/>
          <w:color w:val="000000" w:themeColor="text1"/>
          <w:lang w:val="en-US" w:eastAsia="fr-FR"/>
        </w:rPr>
        <w:t>Gromnica-Ihle</w:t>
      </w:r>
      <w:proofErr w:type="spellEnd"/>
      <w:r w:rsidRPr="0068216F">
        <w:rPr>
          <w:rFonts w:eastAsia="Times New Roman" w:cstheme="minorHAnsi"/>
          <w:color w:val="000000" w:themeColor="text1"/>
          <w:lang w:val="en-US" w:eastAsia="fr-FR"/>
        </w:rPr>
        <w:t xml:space="preserve"> EJ. Color duplex ultrasonography in the diagnosis of temporal arteritis. </w:t>
      </w:r>
      <w:r w:rsidRPr="0068216F">
        <w:rPr>
          <w:rFonts w:eastAsia="Times New Roman" w:cstheme="minorHAnsi"/>
          <w:i/>
          <w:iCs/>
          <w:color w:val="000000" w:themeColor="text1"/>
          <w:lang w:val="en-US" w:eastAsia="fr-FR"/>
        </w:rPr>
        <w:t xml:space="preserve">N </w:t>
      </w:r>
      <w:proofErr w:type="spellStart"/>
      <w:r w:rsidRPr="0068216F">
        <w:rPr>
          <w:rFonts w:eastAsia="Times New Roman" w:cstheme="minorHAnsi"/>
          <w:i/>
          <w:iCs/>
          <w:color w:val="000000" w:themeColor="text1"/>
          <w:lang w:val="en-US" w:eastAsia="fr-FR"/>
        </w:rPr>
        <w:t>Engl</w:t>
      </w:r>
      <w:proofErr w:type="spellEnd"/>
      <w:r w:rsidRPr="0068216F">
        <w:rPr>
          <w:rFonts w:eastAsia="Times New Roman" w:cstheme="minorHAnsi"/>
          <w:i/>
          <w:iCs/>
          <w:color w:val="000000" w:themeColor="text1"/>
          <w:lang w:val="en-US" w:eastAsia="fr-FR"/>
        </w:rPr>
        <w:t xml:space="preserve"> J Med</w:t>
      </w:r>
      <w:r w:rsidRPr="0068216F">
        <w:rPr>
          <w:rFonts w:eastAsia="Times New Roman" w:cstheme="minorHAnsi"/>
          <w:color w:val="000000" w:themeColor="text1"/>
          <w:lang w:val="en-US" w:eastAsia="fr-FR"/>
        </w:rPr>
        <w:t>. 1997;337(19):1336-1342.</w:t>
      </w:r>
    </w:p>
    <w:p w14:paraId="7AAD232B" w14:textId="7C1BE811" w:rsidR="00F72160" w:rsidRPr="00D67598" w:rsidRDefault="00F72160" w:rsidP="00342E3F">
      <w:pPr>
        <w:numPr>
          <w:ilvl w:val="0"/>
          <w:numId w:val="2"/>
        </w:numPr>
        <w:shd w:val="clear" w:color="auto" w:fill="FFFFFF"/>
        <w:spacing w:before="100" w:beforeAutospacing="1" w:line="360" w:lineRule="auto"/>
        <w:ind w:left="0"/>
        <w:jc w:val="both"/>
        <w:rPr>
          <w:rFonts w:eastAsia="Times New Roman" w:cstheme="minorHAnsi"/>
          <w:color w:val="000000" w:themeColor="text1"/>
          <w:lang w:val="en-US" w:eastAsia="fr-FR"/>
        </w:rPr>
      </w:pPr>
      <w:r w:rsidRPr="0068216F">
        <w:rPr>
          <w:rFonts w:eastAsia="Times New Roman" w:cstheme="minorHAnsi"/>
          <w:b/>
          <w:bCs/>
          <w:color w:val="000000" w:themeColor="text1"/>
          <w:lang w:val="en-US" w:eastAsia="fr-FR"/>
        </w:rPr>
        <w:t>Figure 1:</w:t>
      </w:r>
      <w:r w:rsidRPr="0068216F">
        <w:rPr>
          <w:rFonts w:eastAsia="Times New Roman" w:cstheme="minorHAnsi"/>
          <w:color w:val="000000" w:themeColor="text1"/>
          <w:lang w:val="en-US" w:eastAsia="fr-FR"/>
        </w:rPr>
        <w:t> Maximum intensity projection (MIP) an</w:t>
      </w:r>
      <w:r w:rsidR="003802E7">
        <w:rPr>
          <w:rFonts w:eastAsia="Times New Roman" w:cstheme="minorHAnsi"/>
          <w:color w:val="000000" w:themeColor="text1"/>
          <w:lang w:val="en-US" w:eastAsia="fr-FR"/>
        </w:rPr>
        <w:t>d axial fused PET/CT images of</w:t>
      </w:r>
      <w:r w:rsidRPr="0068216F">
        <w:rPr>
          <w:rFonts w:eastAsia="Times New Roman" w:cstheme="minorHAnsi"/>
          <w:color w:val="000000" w:themeColor="text1"/>
          <w:lang w:val="en-US" w:eastAsia="fr-FR"/>
        </w:rPr>
        <w:t xml:space="preserve"> a 73-year-old man with giant cell arteritis, performed 5 days after starting high-dose corticosteroids. </w:t>
      </w:r>
    </w:p>
    <w:p w14:paraId="5F2B17E3" w14:textId="77777777" w:rsidR="00F72160" w:rsidRPr="00D67598" w:rsidRDefault="00D67598" w:rsidP="00F72160">
      <w:pPr>
        <w:shd w:val="clear" w:color="auto" w:fill="FFFFFF"/>
        <w:spacing w:before="480" w:after="480"/>
        <w:rPr>
          <w:rFonts w:ascii="system-ui" w:eastAsia="Times New Roman" w:hAnsi="system-ui" w:cs="Times New Roman"/>
          <w:color w:val="000000" w:themeColor="text1"/>
          <w:sz w:val="21"/>
          <w:szCs w:val="21"/>
          <w:lang w:val="en-US" w:eastAsia="fr-FR"/>
        </w:rPr>
      </w:pPr>
      <w:r>
        <w:rPr>
          <w:noProof/>
          <w:lang w:val="en-US"/>
        </w:rPr>
        <w:drawing>
          <wp:inline distT="0" distB="0" distL="0" distR="0" wp14:anchorId="2621C620" wp14:editId="78BA7BC9">
            <wp:extent cx="2795665" cy="3047155"/>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n008.png"/>
                    <pic:cNvPicPr/>
                  </pic:nvPicPr>
                  <pic:blipFill>
                    <a:blip r:embed="rId7">
                      <a:extLst>
                        <a:ext uri="{28A0092B-C50C-407E-A947-70E740481C1C}">
                          <a14:useLocalDpi xmlns:a14="http://schemas.microsoft.com/office/drawing/2010/main" val="0"/>
                        </a:ext>
                      </a:extLst>
                    </a:blip>
                    <a:stretch>
                      <a:fillRect/>
                    </a:stretch>
                  </pic:blipFill>
                  <pic:spPr>
                    <a:xfrm>
                      <a:off x="0" y="0"/>
                      <a:ext cx="2805642" cy="3058030"/>
                    </a:xfrm>
                    <a:prstGeom prst="rect">
                      <a:avLst/>
                    </a:prstGeom>
                  </pic:spPr>
                </pic:pic>
              </a:graphicData>
            </a:graphic>
          </wp:inline>
        </w:drawing>
      </w:r>
    </w:p>
    <w:p w14:paraId="134055A1" w14:textId="55A2C5B1" w:rsidR="009A287D" w:rsidRDefault="00D67598">
      <w:pPr>
        <w:rPr>
          <w:lang w:val="en-US"/>
        </w:rPr>
      </w:pPr>
      <w:r>
        <w:rPr>
          <w:noProof/>
          <w:lang w:val="en-US"/>
        </w:rPr>
        <w:drawing>
          <wp:inline distT="0" distB="0" distL="0" distR="0" wp14:anchorId="252BB6C5" wp14:editId="190F7B03">
            <wp:extent cx="2901950" cy="1978602"/>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n012.png"/>
                    <pic:cNvPicPr/>
                  </pic:nvPicPr>
                  <pic:blipFill>
                    <a:blip r:embed="rId8">
                      <a:extLst>
                        <a:ext uri="{28A0092B-C50C-407E-A947-70E740481C1C}">
                          <a14:useLocalDpi xmlns:a14="http://schemas.microsoft.com/office/drawing/2010/main" val="0"/>
                        </a:ext>
                      </a:extLst>
                    </a:blip>
                    <a:stretch>
                      <a:fillRect/>
                    </a:stretch>
                  </pic:blipFill>
                  <pic:spPr>
                    <a:xfrm>
                      <a:off x="0" y="0"/>
                      <a:ext cx="2920416" cy="1991193"/>
                    </a:xfrm>
                    <a:prstGeom prst="rect">
                      <a:avLst/>
                    </a:prstGeom>
                  </pic:spPr>
                </pic:pic>
              </a:graphicData>
            </a:graphic>
          </wp:inline>
        </w:drawing>
      </w:r>
      <w:r>
        <w:rPr>
          <w:noProof/>
          <w:lang w:val="en-US"/>
        </w:rPr>
        <w:drawing>
          <wp:inline distT="0" distB="0" distL="0" distR="0" wp14:anchorId="01EED498" wp14:editId="425E8F07">
            <wp:extent cx="2792095" cy="1978652"/>
            <wp:effectExtent l="0" t="0" r="1905"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n013.png"/>
                    <pic:cNvPicPr/>
                  </pic:nvPicPr>
                  <pic:blipFill>
                    <a:blip r:embed="rId9">
                      <a:extLst>
                        <a:ext uri="{28A0092B-C50C-407E-A947-70E740481C1C}">
                          <a14:useLocalDpi xmlns:a14="http://schemas.microsoft.com/office/drawing/2010/main" val="0"/>
                        </a:ext>
                      </a:extLst>
                    </a:blip>
                    <a:stretch>
                      <a:fillRect/>
                    </a:stretch>
                  </pic:blipFill>
                  <pic:spPr>
                    <a:xfrm>
                      <a:off x="0" y="0"/>
                      <a:ext cx="2826626" cy="2003123"/>
                    </a:xfrm>
                    <a:prstGeom prst="rect">
                      <a:avLst/>
                    </a:prstGeom>
                  </pic:spPr>
                </pic:pic>
              </a:graphicData>
            </a:graphic>
          </wp:inline>
        </w:drawing>
      </w:r>
    </w:p>
    <w:p w14:paraId="6086F855" w14:textId="34F1B756" w:rsidR="003802E7" w:rsidRDefault="003802E7">
      <w:pPr>
        <w:rPr>
          <w:lang w:val="en-US"/>
        </w:rPr>
      </w:pPr>
    </w:p>
    <w:p w14:paraId="38132BA5" w14:textId="56E44002" w:rsidR="003802E7" w:rsidRPr="00342E3F" w:rsidRDefault="003802E7">
      <w:pPr>
        <w:rPr>
          <w:lang w:val="en-US"/>
        </w:rPr>
      </w:pPr>
      <w:r w:rsidRPr="003802E7">
        <w:rPr>
          <w:lang w:val="en-US"/>
        </w:rPr>
        <w:lastRenderedPageBreak/>
        <w:t xml:space="preserve">Images demonstrate moderate, linear, bilateral 18F-FDG uptake in the walls of the common carotid arteries and subclavian arteries, consistent with active large-vessel vasculitis. The </w:t>
      </w:r>
      <w:proofErr w:type="spellStart"/>
      <w:r w:rsidRPr="003802E7">
        <w:rPr>
          <w:lang w:val="en-US"/>
        </w:rPr>
        <w:t>SUVmax</w:t>
      </w:r>
      <w:proofErr w:type="spellEnd"/>
      <w:r w:rsidRPr="003802E7">
        <w:rPr>
          <w:lang w:val="en-US"/>
        </w:rPr>
        <w:t xml:space="preserve"> values were comparable to liver background (</w:t>
      </w:r>
      <w:proofErr w:type="spellStart"/>
      <w:r w:rsidRPr="003802E7">
        <w:rPr>
          <w:lang w:val="en-US"/>
        </w:rPr>
        <w:t>SUVmax</w:t>
      </w:r>
      <w:proofErr w:type="spellEnd"/>
      <w:r w:rsidRPr="003802E7">
        <w:rPr>
          <w:lang w:val="en-US"/>
        </w:rPr>
        <w:t xml:space="preserve"> 3.4).</w:t>
      </w:r>
    </w:p>
    <w:sectPr w:rsidR="003802E7" w:rsidRPr="00342E3F" w:rsidSect="00BD11A3">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6A667" w14:textId="77777777" w:rsidR="006A72E5" w:rsidRDefault="006A72E5" w:rsidP="00DA42CC">
      <w:r>
        <w:separator/>
      </w:r>
    </w:p>
  </w:endnote>
  <w:endnote w:type="continuationSeparator" w:id="0">
    <w:p w14:paraId="58A0F730" w14:textId="77777777" w:rsidR="006A72E5" w:rsidRDefault="006A72E5" w:rsidP="00DA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3627" w14:textId="77777777" w:rsidR="00DA42CC" w:rsidRDefault="00DA4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C38C" w14:textId="77777777" w:rsidR="00DA42CC" w:rsidRDefault="00DA4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E817" w14:textId="77777777" w:rsidR="00DA42CC" w:rsidRDefault="00DA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B0F70" w14:textId="77777777" w:rsidR="006A72E5" w:rsidRDefault="006A72E5" w:rsidP="00DA42CC">
      <w:r>
        <w:separator/>
      </w:r>
    </w:p>
  </w:footnote>
  <w:footnote w:type="continuationSeparator" w:id="0">
    <w:p w14:paraId="4EECF24D" w14:textId="77777777" w:rsidR="006A72E5" w:rsidRDefault="006A72E5" w:rsidP="00DA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8A5D" w14:textId="5BB97D8D" w:rsidR="00DA42CC" w:rsidRDefault="00A37F42">
    <w:pPr>
      <w:pStyle w:val="Header"/>
    </w:pPr>
    <w:r>
      <w:rPr>
        <w:noProof/>
      </w:rPr>
      <w:pict w14:anchorId="31852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7.6pt;height:10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r w:rsidR="006A72E5">
      <w:rPr>
        <w:noProof/>
      </w:rPr>
      <w:pict w14:anchorId="04A8113D">
        <v:shape id="_x0000_s2050" type="#_x0000_t136" style="position:absolute;margin-left:0;margin-top:0;width:537.6pt;height:10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0053" w14:textId="2741AB2B" w:rsidR="00DA42CC" w:rsidRDefault="00A37F42">
    <w:pPr>
      <w:pStyle w:val="Header"/>
    </w:pPr>
    <w:r>
      <w:rPr>
        <w:noProof/>
      </w:rPr>
      <w:pict w14:anchorId="0AD4F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7.6pt;height:10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6A72E5">
      <w:rPr>
        <w:noProof/>
      </w:rPr>
      <w:pict w14:anchorId="0A1A0B2A">
        <v:shape id="_x0000_s2051" type="#_x0000_t136" style="position:absolute;margin-left:0;margin-top:0;width:537.6pt;height:10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9874" w14:textId="4207D662" w:rsidR="00DA42CC" w:rsidRDefault="00A37F42">
    <w:pPr>
      <w:pStyle w:val="Header"/>
    </w:pPr>
    <w:r>
      <w:rPr>
        <w:noProof/>
      </w:rPr>
      <w:pict w14:anchorId="7E669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37.6pt;height:10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02EC1"/>
    <w:multiLevelType w:val="multilevel"/>
    <w:tmpl w:val="9FFAE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6556E3"/>
    <w:multiLevelType w:val="multilevel"/>
    <w:tmpl w:val="2F3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E761A"/>
    <w:multiLevelType w:val="multilevel"/>
    <w:tmpl w:val="339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ctiveWritingStyle w:appName="MSWord" w:lang="fr-BE"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BE" w:vendorID="64" w:dllVersion="4096" w:nlCheck="1" w:checkStyle="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3MDU3NrU0tLA0NjRT0lEKTi0uzszPAykwrAUA/EgyAywAAAA="/>
  </w:docVars>
  <w:rsids>
    <w:rsidRoot w:val="00F72160"/>
    <w:rsid w:val="0021262A"/>
    <w:rsid w:val="0026390A"/>
    <w:rsid w:val="00342E3F"/>
    <w:rsid w:val="003802E7"/>
    <w:rsid w:val="005956A2"/>
    <w:rsid w:val="0068216F"/>
    <w:rsid w:val="006A72E5"/>
    <w:rsid w:val="009A287D"/>
    <w:rsid w:val="00A37F42"/>
    <w:rsid w:val="00AB1CD2"/>
    <w:rsid w:val="00BD11A3"/>
    <w:rsid w:val="00CB0142"/>
    <w:rsid w:val="00D67598"/>
    <w:rsid w:val="00DA42CC"/>
    <w:rsid w:val="00F469FB"/>
    <w:rsid w:val="00F721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1BBEE5"/>
  <w15:chartTrackingRefBased/>
  <w15:docId w15:val="{364AC15C-7196-AC46-BFB2-C68255B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72160"/>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160"/>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F72160"/>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F72160"/>
    <w:rPr>
      <w:b/>
      <w:bCs/>
    </w:rPr>
  </w:style>
  <w:style w:type="character" w:styleId="Emphasis">
    <w:name w:val="Emphasis"/>
    <w:basedOn w:val="DefaultParagraphFont"/>
    <w:uiPriority w:val="20"/>
    <w:qFormat/>
    <w:rsid w:val="00F72160"/>
    <w:rPr>
      <w:i/>
      <w:iCs/>
    </w:rPr>
  </w:style>
  <w:style w:type="character" w:styleId="Hyperlink">
    <w:name w:val="Hyperlink"/>
    <w:basedOn w:val="DefaultParagraphFont"/>
    <w:uiPriority w:val="99"/>
    <w:unhideWhenUsed/>
    <w:rsid w:val="00F469FB"/>
    <w:rPr>
      <w:color w:val="0563C1" w:themeColor="hyperlink"/>
      <w:u w:val="single"/>
    </w:rPr>
  </w:style>
  <w:style w:type="character" w:customStyle="1" w:styleId="UnresolvedMention1">
    <w:name w:val="Unresolved Mention1"/>
    <w:basedOn w:val="DefaultParagraphFont"/>
    <w:uiPriority w:val="99"/>
    <w:semiHidden/>
    <w:unhideWhenUsed/>
    <w:rsid w:val="00F469FB"/>
    <w:rPr>
      <w:color w:val="605E5C"/>
      <w:shd w:val="clear" w:color="auto" w:fill="E1DFDD"/>
    </w:rPr>
  </w:style>
  <w:style w:type="paragraph" w:styleId="Header">
    <w:name w:val="header"/>
    <w:basedOn w:val="Normal"/>
    <w:link w:val="HeaderChar"/>
    <w:uiPriority w:val="99"/>
    <w:unhideWhenUsed/>
    <w:rsid w:val="00DA42CC"/>
    <w:pPr>
      <w:tabs>
        <w:tab w:val="center" w:pos="4680"/>
        <w:tab w:val="right" w:pos="9360"/>
      </w:tabs>
    </w:pPr>
  </w:style>
  <w:style w:type="character" w:customStyle="1" w:styleId="HeaderChar">
    <w:name w:val="Header Char"/>
    <w:basedOn w:val="DefaultParagraphFont"/>
    <w:link w:val="Header"/>
    <w:uiPriority w:val="99"/>
    <w:rsid w:val="00DA42CC"/>
  </w:style>
  <w:style w:type="paragraph" w:styleId="Footer">
    <w:name w:val="footer"/>
    <w:basedOn w:val="Normal"/>
    <w:link w:val="FooterChar"/>
    <w:uiPriority w:val="99"/>
    <w:unhideWhenUsed/>
    <w:rsid w:val="00DA42CC"/>
    <w:pPr>
      <w:tabs>
        <w:tab w:val="center" w:pos="4680"/>
        <w:tab w:val="right" w:pos="9360"/>
      </w:tabs>
    </w:pPr>
  </w:style>
  <w:style w:type="character" w:customStyle="1" w:styleId="FooterChar">
    <w:name w:val="Footer Char"/>
    <w:basedOn w:val="DefaultParagraphFont"/>
    <w:link w:val="Footer"/>
    <w:uiPriority w:val="99"/>
    <w:rsid w:val="00DA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726297">
      <w:bodyDiv w:val="1"/>
      <w:marLeft w:val="0"/>
      <w:marRight w:val="0"/>
      <w:marTop w:val="0"/>
      <w:marBottom w:val="0"/>
      <w:divBdr>
        <w:top w:val="none" w:sz="0" w:space="0" w:color="auto"/>
        <w:left w:val="none" w:sz="0" w:space="0" w:color="auto"/>
        <w:bottom w:val="none" w:sz="0" w:space="0" w:color="auto"/>
        <w:right w:val="none" w:sz="0" w:space="0" w:color="auto"/>
      </w:divBdr>
      <w:divsChild>
        <w:div w:id="1498111215">
          <w:marLeft w:val="0"/>
          <w:marRight w:val="0"/>
          <w:marTop w:val="0"/>
          <w:marBottom w:val="0"/>
          <w:divBdr>
            <w:top w:val="none" w:sz="0" w:space="0" w:color="auto"/>
            <w:left w:val="none" w:sz="0" w:space="0" w:color="auto"/>
            <w:bottom w:val="none" w:sz="0" w:space="0" w:color="auto"/>
            <w:right w:val="none" w:sz="0" w:space="0" w:color="auto"/>
          </w:divBdr>
          <w:divsChild>
            <w:div w:id="723333729">
              <w:marLeft w:val="0"/>
              <w:marRight w:val="0"/>
              <w:marTop w:val="0"/>
              <w:marBottom w:val="0"/>
              <w:divBdr>
                <w:top w:val="none" w:sz="0" w:space="0" w:color="auto"/>
                <w:left w:val="none" w:sz="0" w:space="0" w:color="auto"/>
                <w:bottom w:val="none" w:sz="0" w:space="0" w:color="auto"/>
                <w:right w:val="none" w:sz="0" w:space="0" w:color="auto"/>
              </w:divBdr>
              <w:divsChild>
                <w:div w:id="1549565338">
                  <w:marLeft w:val="0"/>
                  <w:marRight w:val="0"/>
                  <w:marTop w:val="0"/>
                  <w:marBottom w:val="0"/>
                  <w:divBdr>
                    <w:top w:val="none" w:sz="0" w:space="0" w:color="auto"/>
                    <w:left w:val="none" w:sz="0" w:space="0" w:color="auto"/>
                    <w:bottom w:val="none" w:sz="0" w:space="0" w:color="auto"/>
                    <w:right w:val="none" w:sz="0" w:space="0" w:color="auto"/>
                  </w:divBdr>
                  <w:divsChild>
                    <w:div w:id="13947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3016">
          <w:marLeft w:val="0"/>
          <w:marRight w:val="0"/>
          <w:marTop w:val="0"/>
          <w:marBottom w:val="0"/>
          <w:divBdr>
            <w:top w:val="none" w:sz="0" w:space="0" w:color="auto"/>
            <w:left w:val="none" w:sz="0" w:space="0" w:color="auto"/>
            <w:bottom w:val="none" w:sz="0" w:space="0" w:color="auto"/>
            <w:right w:val="none" w:sz="0" w:space="0" w:color="auto"/>
          </w:divBdr>
          <w:divsChild>
            <w:div w:id="10307004">
              <w:marLeft w:val="0"/>
              <w:marRight w:val="0"/>
              <w:marTop w:val="0"/>
              <w:marBottom w:val="0"/>
              <w:divBdr>
                <w:top w:val="none" w:sz="0" w:space="0" w:color="auto"/>
                <w:left w:val="none" w:sz="0" w:space="0" w:color="auto"/>
                <w:bottom w:val="none" w:sz="0" w:space="0" w:color="auto"/>
                <w:right w:val="none" w:sz="0" w:space="0" w:color="auto"/>
              </w:divBdr>
              <w:divsChild>
                <w:div w:id="1447694911">
                  <w:marLeft w:val="0"/>
                  <w:marRight w:val="0"/>
                  <w:marTop w:val="0"/>
                  <w:marBottom w:val="0"/>
                  <w:divBdr>
                    <w:top w:val="none" w:sz="0" w:space="0" w:color="auto"/>
                    <w:left w:val="none" w:sz="0" w:space="0" w:color="auto"/>
                    <w:bottom w:val="none" w:sz="0" w:space="0" w:color="auto"/>
                    <w:right w:val="none" w:sz="0" w:space="0" w:color="auto"/>
                  </w:divBdr>
                  <w:divsChild>
                    <w:div w:id="1342898614">
                      <w:marLeft w:val="0"/>
                      <w:marRight w:val="120"/>
                      <w:marTop w:val="0"/>
                      <w:marBottom w:val="0"/>
                      <w:divBdr>
                        <w:top w:val="none" w:sz="0" w:space="0" w:color="auto"/>
                        <w:left w:val="none" w:sz="0" w:space="0" w:color="auto"/>
                        <w:bottom w:val="none" w:sz="0" w:space="0" w:color="auto"/>
                        <w:right w:val="none" w:sz="0" w:space="0" w:color="auto"/>
                      </w:divBdr>
                      <w:divsChild>
                        <w:div w:id="1452281916">
                          <w:marLeft w:val="0"/>
                          <w:marRight w:val="180"/>
                          <w:marTop w:val="0"/>
                          <w:marBottom w:val="0"/>
                          <w:divBdr>
                            <w:top w:val="none" w:sz="0" w:space="0" w:color="auto"/>
                            <w:left w:val="none" w:sz="0" w:space="0" w:color="auto"/>
                            <w:bottom w:val="none" w:sz="0" w:space="0" w:color="auto"/>
                            <w:right w:val="none" w:sz="0" w:space="0" w:color="auto"/>
                          </w:divBdr>
                        </w:div>
                      </w:divsChild>
                    </w:div>
                    <w:div w:id="582103153">
                      <w:marLeft w:val="0"/>
                      <w:marRight w:val="120"/>
                      <w:marTop w:val="150"/>
                      <w:marBottom w:val="0"/>
                      <w:divBdr>
                        <w:top w:val="none" w:sz="0" w:space="0" w:color="auto"/>
                        <w:left w:val="none" w:sz="0" w:space="0" w:color="auto"/>
                        <w:bottom w:val="none" w:sz="0" w:space="0" w:color="auto"/>
                        <w:right w:val="none" w:sz="0" w:space="0" w:color="auto"/>
                      </w:divBdr>
                      <w:divsChild>
                        <w:div w:id="797574472">
                          <w:marLeft w:val="0"/>
                          <w:marRight w:val="180"/>
                          <w:marTop w:val="0"/>
                          <w:marBottom w:val="0"/>
                          <w:divBdr>
                            <w:top w:val="none" w:sz="0" w:space="0" w:color="auto"/>
                            <w:left w:val="none" w:sz="0" w:space="0" w:color="auto"/>
                            <w:bottom w:val="none" w:sz="0" w:space="0" w:color="auto"/>
                            <w:right w:val="none" w:sz="0" w:space="0" w:color="auto"/>
                          </w:divBdr>
                        </w:div>
                      </w:divsChild>
                    </w:div>
                    <w:div w:id="889415147">
                      <w:marLeft w:val="0"/>
                      <w:marRight w:val="120"/>
                      <w:marTop w:val="150"/>
                      <w:marBottom w:val="0"/>
                      <w:divBdr>
                        <w:top w:val="none" w:sz="0" w:space="0" w:color="auto"/>
                        <w:left w:val="none" w:sz="0" w:space="0" w:color="auto"/>
                        <w:bottom w:val="none" w:sz="0" w:space="0" w:color="auto"/>
                        <w:right w:val="none" w:sz="0" w:space="0" w:color="auto"/>
                      </w:divBdr>
                      <w:divsChild>
                        <w:div w:id="1756898948">
                          <w:marLeft w:val="0"/>
                          <w:marRight w:val="180"/>
                          <w:marTop w:val="0"/>
                          <w:marBottom w:val="0"/>
                          <w:divBdr>
                            <w:top w:val="none" w:sz="0" w:space="0" w:color="auto"/>
                            <w:left w:val="none" w:sz="0" w:space="0" w:color="auto"/>
                            <w:bottom w:val="none" w:sz="0" w:space="0" w:color="auto"/>
                            <w:right w:val="none" w:sz="0" w:space="0" w:color="auto"/>
                          </w:divBdr>
                        </w:div>
                      </w:divsChild>
                    </w:div>
                    <w:div w:id="1030642273">
                      <w:marLeft w:val="0"/>
                      <w:marRight w:val="120"/>
                      <w:marTop w:val="150"/>
                      <w:marBottom w:val="0"/>
                      <w:divBdr>
                        <w:top w:val="none" w:sz="0" w:space="0" w:color="auto"/>
                        <w:left w:val="none" w:sz="0" w:space="0" w:color="auto"/>
                        <w:bottom w:val="none" w:sz="0" w:space="0" w:color="auto"/>
                        <w:right w:val="none" w:sz="0" w:space="0" w:color="auto"/>
                      </w:divBdr>
                      <w:divsChild>
                        <w:div w:id="35785656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2701</Words>
  <Characters>15400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omaraitsahel85@gmail.com</dc:creator>
  <cp:keywords/>
  <dc:description/>
  <cp:lastModifiedBy>SDI 1084</cp:lastModifiedBy>
  <cp:revision>7</cp:revision>
  <dcterms:created xsi:type="dcterms:W3CDTF">2026-02-14T21:22:00Z</dcterms:created>
  <dcterms:modified xsi:type="dcterms:W3CDTF">2026-02-16T13:30:00Z</dcterms:modified>
</cp:coreProperties>
</file>