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69DEB" w14:textId="19799CA8" w:rsidR="00AA2721" w:rsidRDefault="00C27F1D" w:rsidP="00C27F1D">
      <w:pPr>
        <w:pStyle w:val="Heading1"/>
        <w:spacing w:before="0"/>
        <w:ind w:firstLine="709"/>
        <w:jc w:val="center"/>
        <w:rPr>
          <w:rFonts w:ascii="Times New Roman" w:hAnsi="Times New Roman" w:cs="Times New Roman"/>
          <w:color w:val="auto"/>
          <w:sz w:val="24"/>
          <w:szCs w:val="24"/>
        </w:rPr>
      </w:pPr>
      <w:r w:rsidRPr="00C27F1D">
        <w:rPr>
          <w:rFonts w:ascii="Times New Roman" w:hAnsi="Times New Roman" w:cs="Times New Roman"/>
          <w:color w:val="auto"/>
          <w:sz w:val="24"/>
          <w:szCs w:val="24"/>
        </w:rPr>
        <w:t>AGE-SPECIFIC PATTERNS OF OVARIAN CANCER INCIDENCE IN UZBEKISTAN (2016–2024): NATIONAL TRENDS, REGIONAL HETEROGENEITY, AND AGE-SPECIFIC RATES</w:t>
      </w:r>
    </w:p>
    <w:p w14:paraId="35A9AAF8" w14:textId="77777777" w:rsidR="00C27F1D" w:rsidRDefault="00C27F1D" w:rsidP="00C27F1D">
      <w:pPr>
        <w:spacing w:after="0"/>
        <w:jc w:val="center"/>
        <w:rPr>
          <w:b/>
          <w:i/>
        </w:rPr>
      </w:pPr>
    </w:p>
    <w:p w14:paraId="1376BE95" w14:textId="77777777" w:rsidR="00B13A4C" w:rsidRDefault="00B13A4C" w:rsidP="00C27F1D">
      <w:pPr>
        <w:pStyle w:val="Heading1"/>
        <w:spacing w:before="0"/>
        <w:ind w:firstLine="709"/>
        <w:jc w:val="both"/>
        <w:rPr>
          <w:rFonts w:ascii="Times New Roman" w:hAnsi="Times New Roman" w:cs="Times New Roman"/>
          <w:color w:val="auto"/>
          <w:sz w:val="24"/>
          <w:szCs w:val="24"/>
        </w:rPr>
      </w:pPr>
    </w:p>
    <w:p w14:paraId="470F1F1D" w14:textId="3C2C8853" w:rsidR="00AA2721" w:rsidRPr="00C27F1D" w:rsidRDefault="00B743D8" w:rsidP="00C27F1D">
      <w:pPr>
        <w:pStyle w:val="Heading1"/>
        <w:spacing w:before="0"/>
        <w:ind w:firstLine="709"/>
        <w:jc w:val="both"/>
        <w:rPr>
          <w:rFonts w:ascii="Times New Roman" w:hAnsi="Times New Roman" w:cs="Times New Roman"/>
          <w:color w:val="auto"/>
          <w:sz w:val="24"/>
          <w:szCs w:val="24"/>
        </w:rPr>
      </w:pPr>
      <w:r w:rsidRPr="00C27F1D">
        <w:rPr>
          <w:rFonts w:ascii="Times New Roman" w:hAnsi="Times New Roman" w:cs="Times New Roman"/>
          <w:color w:val="auto"/>
          <w:sz w:val="24"/>
          <w:szCs w:val="24"/>
        </w:rPr>
        <w:t>Abstract</w:t>
      </w:r>
    </w:p>
    <w:p w14:paraId="2A296B8F" w14:textId="3AFFA456" w:rsidR="00AA2721" w:rsidRPr="00C27F1D" w:rsidRDefault="00F30168" w:rsidP="00C27F1D">
      <w:pPr>
        <w:spacing w:after="0"/>
        <w:ind w:firstLine="709"/>
        <w:jc w:val="both"/>
        <w:rPr>
          <w:rFonts w:cs="Times New Roman"/>
          <w:szCs w:val="24"/>
        </w:rPr>
      </w:pPr>
      <w:r w:rsidRPr="00C27F1D">
        <w:rPr>
          <w:rFonts w:cs="Times New Roman"/>
          <w:b/>
          <w:bCs/>
          <w:szCs w:val="24"/>
        </w:rPr>
        <w:t xml:space="preserve">Background. </w:t>
      </w:r>
      <w:r w:rsidRPr="00C27F1D">
        <w:rPr>
          <w:rFonts w:cs="Times New Roman"/>
          <w:szCs w:val="24"/>
        </w:rPr>
        <w:t>Age significantly influences the risk and outcomes associated with ovarian cancer; however, contemporary age-specific profiles from Central Asia are rarely documented.</w:t>
      </w:r>
    </w:p>
    <w:p w14:paraId="1210267E" w14:textId="69FB21B4" w:rsidR="00AA2721" w:rsidRPr="00C27F1D" w:rsidRDefault="00F30168" w:rsidP="00C27F1D">
      <w:pPr>
        <w:spacing w:after="0"/>
        <w:ind w:firstLine="709"/>
        <w:jc w:val="both"/>
        <w:rPr>
          <w:rFonts w:cs="Times New Roman"/>
          <w:szCs w:val="24"/>
        </w:rPr>
      </w:pPr>
      <w:r w:rsidRPr="00C27F1D">
        <w:rPr>
          <w:rFonts w:cs="Times New Roman"/>
          <w:b/>
          <w:bCs/>
          <w:szCs w:val="24"/>
        </w:rPr>
        <w:t xml:space="preserve">Objective. </w:t>
      </w:r>
      <w:r w:rsidRPr="00C27F1D">
        <w:rPr>
          <w:rFonts w:cs="Times New Roman"/>
          <w:szCs w:val="24"/>
        </w:rPr>
        <w:t xml:space="preserve">The primary </w:t>
      </w:r>
      <w:r w:rsidR="00577660" w:rsidRPr="00C27F1D">
        <w:rPr>
          <w:rFonts w:cs="Times New Roman"/>
          <w:szCs w:val="24"/>
        </w:rPr>
        <w:t>aim</w:t>
      </w:r>
      <w:r w:rsidRPr="00C27F1D">
        <w:rPr>
          <w:rFonts w:cs="Times New Roman"/>
          <w:szCs w:val="24"/>
        </w:rPr>
        <w:t xml:space="preserve"> of this research is to offer a comprehensive analysis of national trends, regional disparities, and age-dependent incidence rates of ovarian cancer in Uzbekistan from 2016 to 2024. Attaining this objective enables a meaningful contribution to the domains of epidemiology and public health policy.</w:t>
      </w:r>
    </w:p>
    <w:p w14:paraId="10A16593" w14:textId="0384BA8F" w:rsidR="00AA2721" w:rsidRPr="00C27F1D" w:rsidRDefault="00B743D8" w:rsidP="00C27F1D">
      <w:pPr>
        <w:spacing w:after="0"/>
        <w:ind w:firstLine="709"/>
        <w:jc w:val="both"/>
        <w:rPr>
          <w:rFonts w:cs="Times New Roman"/>
          <w:szCs w:val="24"/>
        </w:rPr>
      </w:pPr>
      <w:r w:rsidRPr="00C27F1D">
        <w:rPr>
          <w:rFonts w:cs="Times New Roman"/>
          <w:b/>
          <w:bCs/>
          <w:szCs w:val="24"/>
        </w:rPr>
        <w:t>Methods.</w:t>
      </w:r>
      <w:r w:rsidRPr="00C27F1D">
        <w:rPr>
          <w:rFonts w:cs="Times New Roman"/>
          <w:szCs w:val="24"/>
        </w:rPr>
        <w:t xml:space="preserve"> </w:t>
      </w:r>
      <w:r w:rsidR="00DA0D07" w:rsidRPr="00C27F1D">
        <w:rPr>
          <w:rFonts w:cs="Times New Roman"/>
          <w:szCs w:val="24"/>
        </w:rPr>
        <w:t xml:space="preserve">We conducted a retrospective analysis </w:t>
      </w:r>
      <w:proofErr w:type="spellStart"/>
      <w:r w:rsidR="00DA0D07" w:rsidRPr="00C27F1D">
        <w:rPr>
          <w:rFonts w:cs="Times New Roman"/>
          <w:szCs w:val="24"/>
        </w:rPr>
        <w:t>utilising</w:t>
      </w:r>
      <w:proofErr w:type="spellEnd"/>
      <w:r w:rsidR="00DA0D07" w:rsidRPr="00C27F1D">
        <w:rPr>
          <w:rFonts w:cs="Times New Roman"/>
          <w:szCs w:val="24"/>
        </w:rPr>
        <w:t xml:space="preserve"> population-based registry data, </w:t>
      </w:r>
      <w:proofErr w:type="spellStart"/>
      <w:r w:rsidR="00DA0D07" w:rsidRPr="00C27F1D">
        <w:rPr>
          <w:rFonts w:cs="Times New Roman"/>
          <w:szCs w:val="24"/>
        </w:rPr>
        <w:t>organised</w:t>
      </w:r>
      <w:proofErr w:type="spellEnd"/>
      <w:r w:rsidR="00DA0D07" w:rsidRPr="00C27F1D">
        <w:rPr>
          <w:rFonts w:cs="Times New Roman"/>
          <w:szCs w:val="24"/>
        </w:rPr>
        <w:t xml:space="preserve"> by year, region, and five-year age groups. Age-specific crude rates (CR per 100,000) were calculated, and the temporal variations of these rates were </w:t>
      </w:r>
      <w:proofErr w:type="spellStart"/>
      <w:r w:rsidR="00DA0D07" w:rsidRPr="00C27F1D">
        <w:rPr>
          <w:rFonts w:cs="Times New Roman"/>
          <w:szCs w:val="24"/>
        </w:rPr>
        <w:t>analysed</w:t>
      </w:r>
      <w:proofErr w:type="spellEnd"/>
      <w:r w:rsidR="00DA0D07" w:rsidRPr="00C27F1D">
        <w:rPr>
          <w:rFonts w:cs="Times New Roman"/>
          <w:szCs w:val="24"/>
        </w:rPr>
        <w:t xml:space="preserve"> through log-linear models, with trends </w:t>
      </w:r>
      <w:proofErr w:type="spellStart"/>
      <w:r w:rsidR="00DA0D07" w:rsidRPr="00C27F1D">
        <w:rPr>
          <w:rFonts w:cs="Times New Roman"/>
          <w:szCs w:val="24"/>
        </w:rPr>
        <w:t>summarised</w:t>
      </w:r>
      <w:proofErr w:type="spellEnd"/>
      <w:r w:rsidR="00DA0D07" w:rsidRPr="00C27F1D">
        <w:rPr>
          <w:rFonts w:cs="Times New Roman"/>
          <w:szCs w:val="24"/>
        </w:rPr>
        <w:t xml:space="preserve"> as the Annual Percentage Change (APC). Additionally, the distribution of broad age groups (0–19, 20–39, 40–59, 60–79, 80+) across different years and regions was compared using Pearson’s χ² test.</w:t>
      </w:r>
    </w:p>
    <w:p w14:paraId="1AC27BEA" w14:textId="328953E6" w:rsidR="00AA2721" w:rsidRPr="00C27F1D" w:rsidRDefault="00B743D8" w:rsidP="00C27F1D">
      <w:pPr>
        <w:spacing w:after="0"/>
        <w:ind w:firstLine="709"/>
        <w:jc w:val="both"/>
        <w:rPr>
          <w:rFonts w:cs="Times New Roman"/>
          <w:szCs w:val="24"/>
        </w:rPr>
      </w:pPr>
      <w:r w:rsidRPr="00C27F1D">
        <w:rPr>
          <w:rFonts w:cs="Times New Roman"/>
          <w:b/>
          <w:bCs/>
          <w:szCs w:val="24"/>
        </w:rPr>
        <w:t>Results.</w:t>
      </w:r>
      <w:r w:rsidRPr="00C27F1D">
        <w:rPr>
          <w:rFonts w:cs="Times New Roman"/>
          <w:szCs w:val="24"/>
        </w:rPr>
        <w:t xml:space="preserve"> </w:t>
      </w:r>
      <w:r w:rsidR="00577660" w:rsidRPr="00C27F1D">
        <w:rPr>
          <w:rFonts w:cs="Times New Roman"/>
          <w:szCs w:val="24"/>
        </w:rPr>
        <w:t>The demographic burden has shifted towards older populations. Between 2016 and 2024, the proportion of individuals aged 60–79 increased from 24.0% to 43.6%, representing a 19.6 percentage point increase. Conversely, the proportion of those aged 40–59 declined from 57.3% to 42.0%, reflecting a decrease of 15.3 percentage points. These annual variations were statistically significant (p &lt; 0.001). Regional disparities in age structure were considerable (p &lt; 0.001), with the 40–59 and 60–79 age groups consistently being the most prevalent. The chronic rate (CR) increased with age; by 2024, it reached 40.76 in women aged 70–74 and 44.71 in women aged 75–79, while comparatively lower rates were observed among younger female cohorts.</w:t>
      </w:r>
    </w:p>
    <w:p w14:paraId="32188CBC" w14:textId="0B3A7E39" w:rsidR="00AA2721" w:rsidRPr="00C27F1D" w:rsidRDefault="00B743D8" w:rsidP="00C27F1D">
      <w:pPr>
        <w:spacing w:after="0"/>
        <w:ind w:firstLine="709"/>
        <w:jc w:val="both"/>
        <w:rPr>
          <w:rFonts w:cs="Times New Roman"/>
          <w:szCs w:val="24"/>
        </w:rPr>
      </w:pPr>
      <w:r w:rsidRPr="00C27F1D">
        <w:rPr>
          <w:rFonts w:cs="Times New Roman"/>
          <w:b/>
          <w:bCs/>
          <w:szCs w:val="24"/>
        </w:rPr>
        <w:t>Conclusion.</w:t>
      </w:r>
      <w:r w:rsidRPr="00C27F1D">
        <w:rPr>
          <w:rFonts w:cs="Times New Roman"/>
          <w:szCs w:val="24"/>
        </w:rPr>
        <w:t xml:space="preserve"> </w:t>
      </w:r>
      <w:r w:rsidR="00F30168" w:rsidRPr="00C27F1D">
        <w:rPr>
          <w:rFonts w:cs="Times New Roman"/>
          <w:szCs w:val="24"/>
        </w:rPr>
        <w:t xml:space="preserve">The findings of this study underscore the significant ageing trend and the heterogeneous age structures of ovarian cancer across Uzbekistan. These insights are crucial for health policymakers and practitioners, as they </w:t>
      </w:r>
      <w:proofErr w:type="spellStart"/>
      <w:r w:rsidR="00F30168" w:rsidRPr="00C27F1D">
        <w:rPr>
          <w:rFonts w:cs="Times New Roman"/>
          <w:szCs w:val="24"/>
        </w:rPr>
        <w:t>emphasise</w:t>
      </w:r>
      <w:proofErr w:type="spellEnd"/>
      <w:r w:rsidR="00F30168" w:rsidRPr="00C27F1D">
        <w:rPr>
          <w:rFonts w:cs="Times New Roman"/>
          <w:szCs w:val="24"/>
        </w:rPr>
        <w:t xml:space="preserve"> the necessity of </w:t>
      </w:r>
      <w:proofErr w:type="spellStart"/>
      <w:r w:rsidR="00F30168" w:rsidRPr="00C27F1D">
        <w:rPr>
          <w:rFonts w:cs="Times New Roman"/>
          <w:szCs w:val="24"/>
        </w:rPr>
        <w:t>prioritising</w:t>
      </w:r>
      <w:proofErr w:type="spellEnd"/>
      <w:r w:rsidR="00F30168" w:rsidRPr="00C27F1D">
        <w:rPr>
          <w:rFonts w:cs="Times New Roman"/>
          <w:szCs w:val="24"/>
        </w:rPr>
        <w:t xml:space="preserve"> diagnostic procedures and capacity building for older women, thereby improving the efficacy of healthcare services.</w:t>
      </w:r>
    </w:p>
    <w:p w14:paraId="6D4A5E5A" w14:textId="77777777" w:rsidR="00C27F1D" w:rsidRDefault="00C27F1D" w:rsidP="00C27F1D">
      <w:pPr>
        <w:spacing w:after="0"/>
        <w:ind w:firstLine="709"/>
        <w:jc w:val="both"/>
        <w:rPr>
          <w:rFonts w:cs="Times New Roman"/>
          <w:b/>
          <w:bCs/>
          <w:i/>
          <w:iCs/>
          <w:szCs w:val="24"/>
        </w:rPr>
      </w:pPr>
    </w:p>
    <w:p w14:paraId="3B36C0EB" w14:textId="77777777" w:rsidR="00C27F1D" w:rsidRDefault="00C27F1D" w:rsidP="00C27F1D">
      <w:pPr>
        <w:spacing w:after="0"/>
        <w:ind w:firstLine="709"/>
        <w:jc w:val="both"/>
        <w:rPr>
          <w:rFonts w:cs="Times New Roman"/>
          <w:b/>
          <w:bCs/>
          <w:i/>
          <w:iCs/>
          <w:szCs w:val="24"/>
        </w:rPr>
      </w:pPr>
    </w:p>
    <w:p w14:paraId="72DBE222" w14:textId="5912A452" w:rsidR="00AA2721" w:rsidRDefault="00B743D8" w:rsidP="00C27F1D">
      <w:pPr>
        <w:spacing w:after="0"/>
        <w:ind w:firstLine="709"/>
        <w:jc w:val="both"/>
        <w:rPr>
          <w:rFonts w:cs="Times New Roman"/>
          <w:i/>
          <w:iCs/>
          <w:szCs w:val="24"/>
        </w:rPr>
      </w:pPr>
      <w:r w:rsidRPr="00C27F1D">
        <w:rPr>
          <w:rFonts w:cs="Times New Roman"/>
          <w:b/>
          <w:bCs/>
          <w:i/>
          <w:iCs/>
          <w:szCs w:val="24"/>
        </w:rPr>
        <w:t>Keywords:</w:t>
      </w:r>
      <w:r w:rsidRPr="00C27F1D">
        <w:rPr>
          <w:rFonts w:cs="Times New Roman"/>
          <w:i/>
          <w:iCs/>
          <w:szCs w:val="24"/>
        </w:rPr>
        <w:t xml:space="preserve"> ovarian cancer; age structure; age-specific incidence; crude rate; APC; Uzbekistan.</w:t>
      </w:r>
    </w:p>
    <w:p w14:paraId="4D91D406" w14:textId="6E7FD600" w:rsidR="00C27F1D" w:rsidRDefault="00C27F1D" w:rsidP="00C27F1D">
      <w:pPr>
        <w:spacing w:after="0"/>
        <w:ind w:firstLine="709"/>
        <w:jc w:val="both"/>
        <w:rPr>
          <w:rFonts w:cs="Times New Roman"/>
          <w:i/>
          <w:iCs/>
          <w:szCs w:val="24"/>
        </w:rPr>
      </w:pPr>
    </w:p>
    <w:p w14:paraId="3941A673" w14:textId="269B6BB6" w:rsidR="00C27F1D" w:rsidRDefault="00C27F1D" w:rsidP="00C27F1D">
      <w:pPr>
        <w:spacing w:after="0"/>
        <w:ind w:firstLine="709"/>
        <w:jc w:val="both"/>
        <w:rPr>
          <w:rFonts w:cs="Times New Roman"/>
          <w:i/>
          <w:iCs/>
          <w:szCs w:val="24"/>
        </w:rPr>
      </w:pPr>
    </w:p>
    <w:p w14:paraId="787F2A62" w14:textId="77777777" w:rsidR="00AA2721" w:rsidRPr="00C27F1D" w:rsidRDefault="00B743D8" w:rsidP="00C27F1D">
      <w:pPr>
        <w:pStyle w:val="Heading1"/>
        <w:spacing w:before="0"/>
        <w:ind w:firstLine="709"/>
        <w:jc w:val="both"/>
        <w:rPr>
          <w:rFonts w:ascii="Times New Roman" w:hAnsi="Times New Roman" w:cs="Times New Roman"/>
          <w:color w:val="auto"/>
          <w:sz w:val="24"/>
          <w:szCs w:val="24"/>
        </w:rPr>
      </w:pPr>
      <w:r w:rsidRPr="00C27F1D">
        <w:rPr>
          <w:rFonts w:ascii="Times New Roman" w:hAnsi="Times New Roman" w:cs="Times New Roman"/>
          <w:color w:val="auto"/>
          <w:sz w:val="24"/>
          <w:szCs w:val="24"/>
        </w:rPr>
        <w:t>Introduction</w:t>
      </w:r>
    </w:p>
    <w:p w14:paraId="286255B5" w14:textId="79E493BE" w:rsidR="00F30168" w:rsidRPr="00C27F1D" w:rsidRDefault="00577660" w:rsidP="00C27F1D">
      <w:pPr>
        <w:spacing w:after="0"/>
        <w:ind w:firstLine="709"/>
        <w:jc w:val="both"/>
        <w:rPr>
          <w:rFonts w:cs="Times New Roman"/>
          <w:szCs w:val="24"/>
        </w:rPr>
      </w:pPr>
      <w:r w:rsidRPr="00C27F1D">
        <w:rPr>
          <w:rFonts w:cs="Times New Roman"/>
          <w:szCs w:val="24"/>
        </w:rPr>
        <w:t xml:space="preserve">Ovarian cancer continues to be a leading cause of mortality within gynecologic malignancies, chiefly due to diagnoses at advanced stages and the lack of a comprehensive </w:t>
      </w:r>
      <w:r w:rsidRPr="00C27F1D">
        <w:rPr>
          <w:rFonts w:cs="Times New Roman"/>
          <w:szCs w:val="24"/>
        </w:rPr>
        <w:lastRenderedPageBreak/>
        <w:t xml:space="preserve">screening test that provides definitive evidence of mortality benefit for the general population. Global data reveal significant geographic variations in both incidence and mortality rates, indicative of disparities in demographic factors, reproductive histories, and access to </w:t>
      </w:r>
      <w:proofErr w:type="spellStart"/>
      <w:r w:rsidRPr="00C27F1D">
        <w:rPr>
          <w:rFonts w:cs="Times New Roman"/>
          <w:szCs w:val="24"/>
        </w:rPr>
        <w:t>specialised</w:t>
      </w:r>
      <w:proofErr w:type="spellEnd"/>
      <w:r w:rsidRPr="00C27F1D">
        <w:rPr>
          <w:rFonts w:cs="Times New Roman"/>
          <w:szCs w:val="24"/>
        </w:rPr>
        <w:t xml:space="preserve"> oncological </w:t>
      </w:r>
      <w:proofErr w:type="spellStart"/>
      <w:r w:rsidRPr="00C27F1D">
        <w:rPr>
          <w:rFonts w:cs="Times New Roman"/>
          <w:szCs w:val="24"/>
        </w:rPr>
        <w:t>gynaecological</w:t>
      </w:r>
      <w:proofErr w:type="spellEnd"/>
      <w:r w:rsidRPr="00C27F1D">
        <w:rPr>
          <w:rFonts w:cs="Times New Roman"/>
          <w:szCs w:val="24"/>
        </w:rPr>
        <w:t xml:space="preserve"> services. </w:t>
      </w:r>
      <w:r w:rsidR="00DA0D07" w:rsidRPr="00C27F1D">
        <w:rPr>
          <w:rFonts w:cs="Times New Roman"/>
          <w:szCs w:val="24"/>
        </w:rPr>
        <w:t xml:space="preserve">[1–4]. </w:t>
      </w:r>
    </w:p>
    <w:p w14:paraId="6402BE19" w14:textId="30D4BB81" w:rsidR="00AA2721" w:rsidRPr="00C27F1D" w:rsidRDefault="00577660" w:rsidP="00C27F1D">
      <w:pPr>
        <w:spacing w:after="0"/>
        <w:ind w:firstLine="709"/>
        <w:jc w:val="both"/>
        <w:rPr>
          <w:rFonts w:cs="Times New Roman"/>
          <w:szCs w:val="24"/>
        </w:rPr>
      </w:pPr>
      <w:r w:rsidRPr="00C27F1D">
        <w:rPr>
          <w:rFonts w:cs="Times New Roman"/>
          <w:szCs w:val="24"/>
        </w:rPr>
        <w:t>Age continues to be the primary factor affecting both incidence and prognosis. Across all regions, the age-specific incidence rate escalates markedly after menopause and reaches its zenith among older women; the precise timing and magnitude of this peak fluctuate in accordance with the population structure and the distribution of risk factors.</w:t>
      </w:r>
      <w:r w:rsidR="00F30168" w:rsidRPr="00C27F1D">
        <w:rPr>
          <w:rFonts w:cs="Times New Roman"/>
          <w:szCs w:val="24"/>
        </w:rPr>
        <w:t xml:space="preserve"> [2–5]. </w:t>
      </w:r>
      <w:r w:rsidRPr="00C27F1D">
        <w:rPr>
          <w:rFonts w:cs="Times New Roman"/>
          <w:szCs w:val="24"/>
        </w:rPr>
        <w:t xml:space="preserve">Hormonal and reproductive factors, including parity, oral contraceptive use, and breastfeeding, as well as endometriosis and genetic susceptibility, all contribute to this pattern. </w:t>
      </w:r>
      <w:r w:rsidR="00F30168" w:rsidRPr="00C27F1D">
        <w:rPr>
          <w:rFonts w:cs="Times New Roman"/>
          <w:szCs w:val="24"/>
        </w:rPr>
        <w:t xml:space="preserve">[5,6]. </w:t>
      </w:r>
      <w:r w:rsidRPr="00C27F1D">
        <w:rPr>
          <w:rFonts w:cs="Times New Roman"/>
          <w:szCs w:val="24"/>
        </w:rPr>
        <w:t xml:space="preserve">Diagnosis based on symptoms—such as abdominal distension, early satiety, pelvic pain—is common; however, these symptoms are non-specific and often encountered in primary care, which can delay definitive investigation and referral to specialists. </w:t>
      </w:r>
      <w:r w:rsidR="00F30168" w:rsidRPr="00C27F1D">
        <w:rPr>
          <w:rFonts w:cs="Times New Roman"/>
          <w:szCs w:val="24"/>
        </w:rPr>
        <w:t>[7–9].</w:t>
      </w:r>
    </w:p>
    <w:p w14:paraId="2A11E2FA" w14:textId="40B7A240" w:rsidR="00F30168" w:rsidRPr="00C27F1D" w:rsidRDefault="0080531D" w:rsidP="00C27F1D">
      <w:pPr>
        <w:spacing w:after="0"/>
        <w:ind w:firstLine="709"/>
        <w:jc w:val="both"/>
        <w:rPr>
          <w:rFonts w:cs="Times New Roman"/>
          <w:szCs w:val="24"/>
        </w:rPr>
      </w:pPr>
      <w:r w:rsidRPr="00C27F1D">
        <w:rPr>
          <w:rFonts w:cs="Times New Roman"/>
          <w:szCs w:val="24"/>
        </w:rPr>
        <w:t xml:space="preserve">Long-term </w:t>
      </w:r>
      <w:proofErr w:type="spellStart"/>
      <w:r w:rsidRPr="00C27F1D">
        <w:rPr>
          <w:rFonts w:cs="Times New Roman"/>
          <w:szCs w:val="24"/>
        </w:rPr>
        <w:t>randomised</w:t>
      </w:r>
      <w:proofErr w:type="spellEnd"/>
      <w:r w:rsidRPr="00C27F1D">
        <w:rPr>
          <w:rFonts w:cs="Times New Roman"/>
          <w:szCs w:val="24"/>
        </w:rPr>
        <w:t xml:space="preserve"> trials have not demonstrated a decrease in mortality through general population screening methods, such as transvaginal ultrasound and/or CA-125 algorithms. This finding underscores the policy emphasis on the prompt evaluation of symptomatic women rather than on mass screening initiatives. </w:t>
      </w:r>
      <w:r w:rsidR="00F30168" w:rsidRPr="00C27F1D">
        <w:rPr>
          <w:rFonts w:cs="Times New Roman"/>
          <w:szCs w:val="24"/>
        </w:rPr>
        <w:t>[7–9]. In this context, health service planning benefits from direct examination of age-specific crude rates (CR) and shifts in the distribution of cases across age groups, even when age-</w:t>
      </w:r>
      <w:proofErr w:type="spellStart"/>
      <w:r w:rsidR="00F30168" w:rsidRPr="00C27F1D">
        <w:rPr>
          <w:rFonts w:cs="Times New Roman"/>
          <w:szCs w:val="24"/>
        </w:rPr>
        <w:t>standardised</w:t>
      </w:r>
      <w:proofErr w:type="spellEnd"/>
      <w:r w:rsidR="00F30168" w:rsidRPr="00C27F1D">
        <w:rPr>
          <w:rFonts w:cs="Times New Roman"/>
          <w:szCs w:val="24"/>
        </w:rPr>
        <w:t xml:space="preserve"> rates (ASR) are used for international comparisons [2,3,10]. </w:t>
      </w:r>
    </w:p>
    <w:p w14:paraId="38A70DB4" w14:textId="09DCB741" w:rsidR="00AA2721" w:rsidRPr="00C27F1D" w:rsidRDefault="0080531D" w:rsidP="00C27F1D">
      <w:pPr>
        <w:spacing w:after="0"/>
        <w:ind w:firstLine="709"/>
        <w:jc w:val="both"/>
        <w:rPr>
          <w:rFonts w:cs="Times New Roman"/>
          <w:szCs w:val="24"/>
        </w:rPr>
      </w:pPr>
      <w:r w:rsidRPr="00C27F1D">
        <w:rPr>
          <w:rFonts w:cs="Times New Roman"/>
          <w:szCs w:val="24"/>
        </w:rPr>
        <w:t xml:space="preserve">Current registry-based descriptions from Central Asia are limited. Consequently, we </w:t>
      </w:r>
      <w:proofErr w:type="spellStart"/>
      <w:r w:rsidRPr="00C27F1D">
        <w:rPr>
          <w:rFonts w:cs="Times New Roman"/>
          <w:szCs w:val="24"/>
        </w:rPr>
        <w:t>characterised</w:t>
      </w:r>
      <w:proofErr w:type="spellEnd"/>
      <w:r w:rsidRPr="00C27F1D">
        <w:rPr>
          <w:rFonts w:cs="Times New Roman"/>
          <w:szCs w:val="24"/>
        </w:rPr>
        <w:t xml:space="preserve"> national age-specific profiles for ovarian cancer in Uzbekistan from 2016 to 2024, quantified temporal changes, and evaluated regional heterogeneity </w:t>
      </w:r>
      <w:proofErr w:type="spellStart"/>
      <w:r w:rsidRPr="00C27F1D">
        <w:rPr>
          <w:rFonts w:cs="Times New Roman"/>
          <w:szCs w:val="24"/>
        </w:rPr>
        <w:t>utilising</w:t>
      </w:r>
      <w:proofErr w:type="spellEnd"/>
      <w:r w:rsidRPr="00C27F1D">
        <w:rPr>
          <w:rFonts w:cs="Times New Roman"/>
          <w:szCs w:val="24"/>
        </w:rPr>
        <w:t xml:space="preserve"> </w:t>
      </w:r>
      <w:proofErr w:type="spellStart"/>
      <w:r w:rsidRPr="00C27F1D">
        <w:rPr>
          <w:rFonts w:cs="Times New Roman"/>
          <w:szCs w:val="24"/>
        </w:rPr>
        <w:t>harmonised</w:t>
      </w:r>
      <w:proofErr w:type="spellEnd"/>
      <w:r w:rsidRPr="00C27F1D">
        <w:rPr>
          <w:rFonts w:cs="Times New Roman"/>
          <w:szCs w:val="24"/>
        </w:rPr>
        <w:t xml:space="preserve"> indicators appropriate for service planning- including age distribution, case rate (CR), and age-period-cohort (APC) analysis.</w:t>
      </w:r>
    </w:p>
    <w:p w14:paraId="7BC58C9A" w14:textId="77777777" w:rsidR="00AA2721" w:rsidRPr="00C27F1D" w:rsidRDefault="00B743D8" w:rsidP="00C27F1D">
      <w:pPr>
        <w:pStyle w:val="Heading1"/>
        <w:spacing w:before="0"/>
        <w:ind w:firstLine="709"/>
        <w:jc w:val="both"/>
        <w:rPr>
          <w:rFonts w:ascii="Times New Roman" w:hAnsi="Times New Roman" w:cs="Times New Roman"/>
          <w:color w:val="auto"/>
          <w:sz w:val="24"/>
          <w:szCs w:val="24"/>
        </w:rPr>
      </w:pPr>
      <w:r w:rsidRPr="00C27F1D">
        <w:rPr>
          <w:rFonts w:ascii="Times New Roman" w:hAnsi="Times New Roman" w:cs="Times New Roman"/>
          <w:color w:val="auto"/>
          <w:sz w:val="24"/>
          <w:szCs w:val="24"/>
        </w:rPr>
        <w:t>Materials and Methods</w:t>
      </w:r>
    </w:p>
    <w:p w14:paraId="64AFE475" w14:textId="77777777" w:rsidR="00AA2721" w:rsidRPr="00C27F1D" w:rsidRDefault="00B743D8" w:rsidP="00C27F1D">
      <w:pPr>
        <w:pStyle w:val="Heading2"/>
        <w:spacing w:before="0"/>
        <w:ind w:firstLine="709"/>
        <w:jc w:val="both"/>
        <w:rPr>
          <w:rFonts w:ascii="Times New Roman" w:hAnsi="Times New Roman" w:cs="Times New Roman"/>
          <w:color w:val="auto"/>
          <w:sz w:val="24"/>
          <w:szCs w:val="24"/>
        </w:rPr>
      </w:pPr>
      <w:r w:rsidRPr="00C27F1D">
        <w:rPr>
          <w:rFonts w:ascii="Times New Roman" w:hAnsi="Times New Roman" w:cs="Times New Roman"/>
          <w:color w:val="auto"/>
          <w:sz w:val="24"/>
          <w:szCs w:val="24"/>
        </w:rPr>
        <w:t>Study design and data sources</w:t>
      </w:r>
    </w:p>
    <w:p w14:paraId="4ADC47BA" w14:textId="5067B4AB" w:rsidR="00AA2721" w:rsidRPr="00C27F1D" w:rsidRDefault="00F30168" w:rsidP="00C27F1D">
      <w:pPr>
        <w:spacing w:after="0"/>
        <w:ind w:firstLine="709"/>
        <w:jc w:val="both"/>
        <w:rPr>
          <w:rFonts w:cs="Times New Roman"/>
          <w:szCs w:val="24"/>
        </w:rPr>
      </w:pPr>
      <w:r w:rsidRPr="00C27F1D">
        <w:rPr>
          <w:rFonts w:cs="Times New Roman"/>
          <w:szCs w:val="24"/>
        </w:rPr>
        <w:t xml:space="preserve">We conducted a retrospective, population-based descriptive–analytical study using aggregated, de-identified counts of newly diagnosed ovarian cancer in women from 2016 to 2024. Data were </w:t>
      </w:r>
      <w:proofErr w:type="spellStart"/>
      <w:r w:rsidRPr="00C27F1D">
        <w:rPr>
          <w:rFonts w:cs="Times New Roman"/>
          <w:szCs w:val="24"/>
        </w:rPr>
        <w:t>organised</w:t>
      </w:r>
      <w:proofErr w:type="spellEnd"/>
      <w:r w:rsidRPr="00C27F1D">
        <w:rPr>
          <w:rFonts w:cs="Times New Roman"/>
          <w:szCs w:val="24"/>
        </w:rPr>
        <w:t xml:space="preserve"> by calendar year, administrative region (the Republic of </w:t>
      </w:r>
      <w:proofErr w:type="spellStart"/>
      <w:r w:rsidRPr="00C27F1D">
        <w:rPr>
          <w:rFonts w:cs="Times New Roman"/>
          <w:szCs w:val="24"/>
        </w:rPr>
        <w:t>Karakalpakstan</w:t>
      </w:r>
      <w:proofErr w:type="spellEnd"/>
      <w:r w:rsidRPr="00C27F1D">
        <w:rPr>
          <w:rFonts w:cs="Times New Roman"/>
          <w:szCs w:val="24"/>
        </w:rPr>
        <w:t>, Tashkent city, and 12 provinces), and five-year age groups; the case definition adhered to national cancer registry standards (ICD-10 C56).</w:t>
      </w:r>
    </w:p>
    <w:p w14:paraId="7FB881A2" w14:textId="77777777" w:rsidR="00AA2721" w:rsidRPr="00C27F1D" w:rsidRDefault="00B743D8" w:rsidP="00C27F1D">
      <w:pPr>
        <w:pStyle w:val="Heading2"/>
        <w:spacing w:before="0"/>
        <w:ind w:firstLine="709"/>
        <w:jc w:val="both"/>
        <w:rPr>
          <w:rFonts w:ascii="Times New Roman" w:hAnsi="Times New Roman" w:cs="Times New Roman"/>
          <w:color w:val="auto"/>
          <w:sz w:val="24"/>
          <w:szCs w:val="24"/>
        </w:rPr>
      </w:pPr>
      <w:r w:rsidRPr="00C27F1D">
        <w:rPr>
          <w:rFonts w:ascii="Times New Roman" w:hAnsi="Times New Roman" w:cs="Times New Roman"/>
          <w:color w:val="auto"/>
          <w:sz w:val="24"/>
          <w:szCs w:val="24"/>
        </w:rPr>
        <w:t>Population denominators</w:t>
      </w:r>
    </w:p>
    <w:p w14:paraId="64522699" w14:textId="4BE21888" w:rsidR="00AA2721" w:rsidRPr="00C27F1D" w:rsidRDefault="00F30168" w:rsidP="00C27F1D">
      <w:pPr>
        <w:spacing w:after="0"/>
        <w:ind w:firstLine="709"/>
        <w:jc w:val="both"/>
        <w:rPr>
          <w:rFonts w:cs="Times New Roman"/>
          <w:szCs w:val="24"/>
        </w:rPr>
      </w:pPr>
      <w:r w:rsidRPr="00C27F1D">
        <w:rPr>
          <w:rFonts w:cs="Times New Roman"/>
          <w:szCs w:val="24"/>
        </w:rPr>
        <w:t>Female population denominators by region and age group were used to calculate CR (per 100,000). Mid-year estimates were preferred; end-of-year figures were used when mid-year denominators were unavailable. Small gaps in denominators were filled using linear interpolation between adjacent years.</w:t>
      </w:r>
    </w:p>
    <w:p w14:paraId="3E9FBA70" w14:textId="77777777" w:rsidR="00AA2721" w:rsidRPr="00C27F1D" w:rsidRDefault="00B743D8" w:rsidP="00C27F1D">
      <w:pPr>
        <w:pStyle w:val="Heading2"/>
        <w:spacing w:before="0"/>
        <w:ind w:firstLine="709"/>
        <w:jc w:val="both"/>
        <w:rPr>
          <w:rFonts w:ascii="Times New Roman" w:hAnsi="Times New Roman" w:cs="Times New Roman"/>
          <w:color w:val="auto"/>
          <w:sz w:val="24"/>
          <w:szCs w:val="24"/>
        </w:rPr>
      </w:pPr>
      <w:r w:rsidRPr="00C27F1D">
        <w:rPr>
          <w:rFonts w:ascii="Times New Roman" w:hAnsi="Times New Roman" w:cs="Times New Roman"/>
          <w:color w:val="auto"/>
          <w:sz w:val="24"/>
          <w:szCs w:val="24"/>
        </w:rPr>
        <w:t>Measures</w:t>
      </w:r>
    </w:p>
    <w:p w14:paraId="10C02206" w14:textId="4C7DF130" w:rsidR="00AA2721" w:rsidRPr="00C27F1D" w:rsidRDefault="00F30168" w:rsidP="00C27F1D">
      <w:pPr>
        <w:spacing w:after="0"/>
        <w:ind w:firstLine="709"/>
        <w:jc w:val="both"/>
        <w:rPr>
          <w:rFonts w:cs="Times New Roman"/>
          <w:szCs w:val="24"/>
        </w:rPr>
      </w:pPr>
      <w:r w:rsidRPr="00C27F1D">
        <w:rPr>
          <w:rFonts w:cs="Times New Roman"/>
          <w:szCs w:val="24"/>
        </w:rPr>
        <w:t xml:space="preserve">We </w:t>
      </w:r>
      <w:proofErr w:type="spellStart"/>
      <w:r w:rsidRPr="00C27F1D">
        <w:rPr>
          <w:rFonts w:cs="Times New Roman"/>
          <w:szCs w:val="24"/>
        </w:rPr>
        <w:t>summarised</w:t>
      </w:r>
      <w:proofErr w:type="spellEnd"/>
      <w:r w:rsidRPr="00C27F1D">
        <w:rPr>
          <w:rFonts w:cs="Times New Roman"/>
          <w:szCs w:val="24"/>
        </w:rPr>
        <w:t xml:space="preserve"> the age structure using five broad categories (0–19, 20–39, 40–59, 60–79, 80+). Primary endpoints were age-specific CR by five-year bands and changes over time. ASR is referenced for context but not used as the primary outcome for planning.</w:t>
      </w:r>
    </w:p>
    <w:p w14:paraId="35E5F0A9" w14:textId="77777777" w:rsidR="00AA2721" w:rsidRPr="00C27F1D" w:rsidRDefault="00B743D8" w:rsidP="00C27F1D">
      <w:pPr>
        <w:pStyle w:val="Heading2"/>
        <w:spacing w:before="0"/>
        <w:ind w:firstLine="709"/>
        <w:jc w:val="both"/>
        <w:rPr>
          <w:rFonts w:ascii="Times New Roman" w:hAnsi="Times New Roman" w:cs="Times New Roman"/>
          <w:color w:val="auto"/>
          <w:sz w:val="24"/>
          <w:szCs w:val="24"/>
        </w:rPr>
      </w:pPr>
      <w:r w:rsidRPr="00C27F1D">
        <w:rPr>
          <w:rFonts w:ascii="Times New Roman" w:hAnsi="Times New Roman" w:cs="Times New Roman"/>
          <w:color w:val="auto"/>
          <w:sz w:val="24"/>
          <w:szCs w:val="24"/>
        </w:rPr>
        <w:lastRenderedPageBreak/>
        <w:t>Statistical analysis</w:t>
      </w:r>
    </w:p>
    <w:p w14:paraId="514E4AE0" w14:textId="278A9B5D" w:rsidR="00AA2721" w:rsidRPr="00C27F1D" w:rsidRDefault="00F30168" w:rsidP="00C27F1D">
      <w:pPr>
        <w:spacing w:after="0"/>
        <w:ind w:firstLine="709"/>
        <w:jc w:val="both"/>
        <w:rPr>
          <w:rFonts w:cs="Times New Roman"/>
          <w:szCs w:val="24"/>
        </w:rPr>
      </w:pPr>
      <w:r w:rsidRPr="00C27F1D">
        <w:rPr>
          <w:rFonts w:cs="Times New Roman"/>
          <w:szCs w:val="24"/>
        </w:rPr>
        <w:t xml:space="preserve">Differences in broad age-group distributions across years and regions were assessed with Pearson’s χ² tests. Temporal trends in age-specific CR were evaluated using log-linear models, </w:t>
      </w:r>
      <w:proofErr w:type="gramStart"/>
      <w:r w:rsidRPr="00C27F1D">
        <w:rPr>
          <w:rFonts w:cs="Times New Roman"/>
          <w:szCs w:val="24"/>
        </w:rPr>
        <w:t>ln(</w:t>
      </w:r>
      <w:proofErr w:type="gramEnd"/>
      <w:r w:rsidRPr="00C27F1D">
        <w:rPr>
          <w:rFonts w:cs="Times New Roman"/>
          <w:szCs w:val="24"/>
        </w:rPr>
        <w:t xml:space="preserve">CR) ~ year; slopes were </w:t>
      </w:r>
      <w:proofErr w:type="spellStart"/>
      <w:r w:rsidRPr="00C27F1D">
        <w:rPr>
          <w:rFonts w:cs="Times New Roman"/>
          <w:szCs w:val="24"/>
        </w:rPr>
        <w:t>summarised</w:t>
      </w:r>
      <w:proofErr w:type="spellEnd"/>
      <w:r w:rsidRPr="00C27F1D">
        <w:rPr>
          <w:rFonts w:cs="Times New Roman"/>
          <w:szCs w:val="24"/>
        </w:rPr>
        <w:t xml:space="preserve"> as Annual Per cent Change (APC, %/year) with 95% confidence intervals (CI). For sparse strata, estimates were interpreted with caution. Two-sided tests used α=0.05.</w:t>
      </w:r>
    </w:p>
    <w:p w14:paraId="004A4D7A" w14:textId="77777777" w:rsidR="00AA2721" w:rsidRPr="00C27F1D" w:rsidRDefault="00B743D8" w:rsidP="00C27F1D">
      <w:pPr>
        <w:pStyle w:val="Heading1"/>
        <w:spacing w:before="0"/>
        <w:ind w:firstLine="709"/>
        <w:jc w:val="both"/>
        <w:rPr>
          <w:rFonts w:ascii="Times New Roman" w:hAnsi="Times New Roman" w:cs="Times New Roman"/>
          <w:color w:val="auto"/>
          <w:sz w:val="24"/>
          <w:szCs w:val="24"/>
        </w:rPr>
      </w:pPr>
      <w:r w:rsidRPr="00C27F1D">
        <w:rPr>
          <w:rFonts w:ascii="Times New Roman" w:hAnsi="Times New Roman" w:cs="Times New Roman"/>
          <w:color w:val="auto"/>
          <w:sz w:val="24"/>
          <w:szCs w:val="24"/>
        </w:rPr>
        <w:t>Results</w:t>
      </w:r>
    </w:p>
    <w:p w14:paraId="3D8AFD43" w14:textId="1D03C633" w:rsidR="00AA2721" w:rsidRPr="00C27F1D" w:rsidRDefault="00B743D8" w:rsidP="00C27F1D">
      <w:pPr>
        <w:pStyle w:val="Heading2"/>
        <w:spacing w:before="0"/>
        <w:ind w:firstLine="709"/>
        <w:jc w:val="both"/>
        <w:rPr>
          <w:rFonts w:ascii="Times New Roman" w:hAnsi="Times New Roman" w:cs="Times New Roman"/>
          <w:color w:val="auto"/>
          <w:sz w:val="24"/>
          <w:szCs w:val="24"/>
        </w:rPr>
      </w:pPr>
      <w:r w:rsidRPr="00C27F1D">
        <w:rPr>
          <w:rFonts w:ascii="Times New Roman" w:hAnsi="Times New Roman" w:cs="Times New Roman"/>
          <w:color w:val="auto"/>
          <w:sz w:val="24"/>
          <w:szCs w:val="24"/>
        </w:rPr>
        <w:t>National age structure and its evolution</w:t>
      </w:r>
    </w:p>
    <w:p w14:paraId="1822D92C" w14:textId="79008AF0" w:rsidR="00AA2721" w:rsidRPr="00C27F1D" w:rsidRDefault="00F30168" w:rsidP="00C27F1D">
      <w:pPr>
        <w:spacing w:after="0"/>
        <w:ind w:firstLine="709"/>
        <w:jc w:val="both"/>
        <w:rPr>
          <w:rFonts w:cs="Times New Roman"/>
          <w:szCs w:val="24"/>
        </w:rPr>
      </w:pPr>
      <w:r w:rsidRPr="00C27F1D">
        <w:rPr>
          <w:rFonts w:cs="Times New Roman"/>
          <w:szCs w:val="24"/>
        </w:rPr>
        <w:t>Between 2016 and 2024, cases were concentrated among individuals aged 40–59 and 60–79. A clear ageing shift took place: the 60–79 share increased from 24,0% in 2016 to 43,6% in 2024 (+19.6 percentage points), while the 40–59 share decreased from 57,3% to 42,0% (-15.3 points); the 20–39 share fell from 15,0% to 10,6% (-4.4 points). The annual differences in age distribution were statistically significant (χ² test, p &lt; 0.001). The dominance of the 40–59 and 60–79 age groups remained consistent each year, and no year saw younger ages (&lt;40) account for more than a minor fraction of cases. (Table 2; Figure 1.)</w:t>
      </w:r>
    </w:p>
    <w:p w14:paraId="0BF22915" w14:textId="34D7542A" w:rsidR="00AA2721" w:rsidRPr="00C27F1D" w:rsidRDefault="00B743D8" w:rsidP="00C27F1D">
      <w:pPr>
        <w:pStyle w:val="Heading2"/>
        <w:spacing w:before="0"/>
        <w:ind w:firstLine="709"/>
        <w:jc w:val="both"/>
        <w:rPr>
          <w:rFonts w:ascii="Times New Roman" w:hAnsi="Times New Roman" w:cs="Times New Roman"/>
          <w:color w:val="auto"/>
          <w:sz w:val="24"/>
          <w:szCs w:val="24"/>
        </w:rPr>
      </w:pPr>
      <w:r w:rsidRPr="00C27F1D">
        <w:rPr>
          <w:rFonts w:ascii="Times New Roman" w:hAnsi="Times New Roman" w:cs="Times New Roman"/>
          <w:color w:val="auto"/>
          <w:sz w:val="24"/>
          <w:szCs w:val="24"/>
        </w:rPr>
        <w:t>Regional heterogeneity in age structure</w:t>
      </w:r>
    </w:p>
    <w:p w14:paraId="641EB1AA" w14:textId="371D0070" w:rsidR="00AA2721" w:rsidRPr="00C27F1D" w:rsidRDefault="00F30168" w:rsidP="00C27F1D">
      <w:pPr>
        <w:spacing w:after="0"/>
        <w:ind w:firstLine="709"/>
        <w:jc w:val="both"/>
        <w:rPr>
          <w:rFonts w:cs="Times New Roman"/>
          <w:szCs w:val="24"/>
        </w:rPr>
      </w:pPr>
      <w:r w:rsidRPr="00C27F1D">
        <w:rPr>
          <w:rFonts w:cs="Times New Roman"/>
          <w:szCs w:val="24"/>
        </w:rPr>
        <w:t xml:space="preserve">Regions varied markedly in their age composition (p &lt; 0.001). A </w:t>
      </w:r>
      <w:r w:rsidR="00577660" w:rsidRPr="00C27F1D">
        <w:rPr>
          <w:rFonts w:cs="Times New Roman"/>
          <w:szCs w:val="24"/>
        </w:rPr>
        <w:t>typical</w:t>
      </w:r>
      <w:r w:rsidRPr="00C27F1D">
        <w:rPr>
          <w:rFonts w:cs="Times New Roman"/>
          <w:szCs w:val="24"/>
        </w:rPr>
        <w:t xml:space="preserve"> pattern was the dominance of ages 40–59 and 60–79, although the extent </w:t>
      </w:r>
      <w:r w:rsidR="00577660" w:rsidRPr="00C27F1D">
        <w:rPr>
          <w:rFonts w:cs="Times New Roman"/>
          <w:szCs w:val="24"/>
        </w:rPr>
        <w:t>of this dominance varied</w:t>
      </w:r>
      <w:r w:rsidRPr="00C27F1D">
        <w:rPr>
          <w:rFonts w:cs="Times New Roman"/>
          <w:szCs w:val="24"/>
        </w:rPr>
        <w:t>. Tashkent city demonstrated a particularly concentrated profile, with 87.3% of cases in the combined 40–59 and 60–79 age groups. This aligns with an urban case mix skewed towards postmenopausal ages. Most provinces also showed high proportions from these two groups, generally ranging from about three-quarters to nine-tenths of all cases. (Table 1.)</w:t>
      </w:r>
    </w:p>
    <w:p w14:paraId="0892B8F4" w14:textId="43C4AD98" w:rsidR="00AA2721" w:rsidRPr="00C27F1D" w:rsidRDefault="00B743D8" w:rsidP="00C27F1D">
      <w:pPr>
        <w:pStyle w:val="Heading2"/>
        <w:spacing w:before="0"/>
        <w:ind w:firstLine="709"/>
        <w:jc w:val="both"/>
        <w:rPr>
          <w:rFonts w:ascii="Times New Roman" w:hAnsi="Times New Roman" w:cs="Times New Roman"/>
          <w:color w:val="auto"/>
          <w:sz w:val="24"/>
          <w:szCs w:val="24"/>
        </w:rPr>
      </w:pPr>
      <w:r w:rsidRPr="00C27F1D">
        <w:rPr>
          <w:rFonts w:ascii="Times New Roman" w:hAnsi="Times New Roman" w:cs="Times New Roman"/>
          <w:color w:val="auto"/>
          <w:sz w:val="24"/>
          <w:szCs w:val="24"/>
        </w:rPr>
        <w:t>Age-specific crude incidence levels</w:t>
      </w:r>
    </w:p>
    <w:p w14:paraId="7FCE1538" w14:textId="44FF40E5" w:rsidR="00AA2721" w:rsidRPr="00C27F1D" w:rsidRDefault="0080531D" w:rsidP="00C27F1D">
      <w:pPr>
        <w:spacing w:after="0"/>
        <w:ind w:firstLine="709"/>
        <w:jc w:val="both"/>
        <w:rPr>
          <w:rFonts w:cs="Times New Roman"/>
          <w:szCs w:val="24"/>
        </w:rPr>
      </w:pPr>
      <w:r w:rsidRPr="00C27F1D">
        <w:rPr>
          <w:rFonts w:cs="Times New Roman"/>
          <w:szCs w:val="24"/>
        </w:rPr>
        <w:t xml:space="preserve">The age-specific incidence demonstrated a consistent increase with advancing age, </w:t>
      </w:r>
      <w:proofErr w:type="spellStart"/>
      <w:r w:rsidRPr="00C27F1D">
        <w:rPr>
          <w:rFonts w:cs="Times New Roman"/>
          <w:szCs w:val="24"/>
        </w:rPr>
        <w:t>characterised</w:t>
      </w:r>
      <w:proofErr w:type="spellEnd"/>
      <w:r w:rsidRPr="00C27F1D">
        <w:rPr>
          <w:rFonts w:cs="Times New Roman"/>
          <w:szCs w:val="24"/>
        </w:rPr>
        <w:t xml:space="preserve"> by a more pronounced upper tail in the later years. In 2024, the CR values reached 40.76 for the 70–74 age group and 44.71 for the 75–79 age group. Middle-aged cohorts exhibited moderate levels- for example, 17.57 for ages 50–54 and approximately 17.13 for ages 55–59 to 60–64- while younger women consistently displayed low rates (≤ 1.84 in the 30–34 age group). Relative to 2016, the most significant absolute increases were observed in older cohorts: +26.11 in the 70–74 age group and +36.72 in the 75–79 age group. Conversely, the 40–44 age group experienced a decrease of -2.06 during this period. The oldest cohort (80+) also experienced an increase, from 4,49 in 2016 to 15,67 in 2024. (Table 3; Figures 2–3).</w:t>
      </w:r>
    </w:p>
    <w:p w14:paraId="20110878" w14:textId="6B446DFE" w:rsidR="00AA2721" w:rsidRPr="00C27F1D" w:rsidRDefault="00B743D8" w:rsidP="00C27F1D">
      <w:pPr>
        <w:pStyle w:val="Heading2"/>
        <w:spacing w:before="0"/>
        <w:ind w:firstLine="709"/>
        <w:jc w:val="both"/>
        <w:rPr>
          <w:rFonts w:ascii="Times New Roman" w:hAnsi="Times New Roman" w:cs="Times New Roman"/>
          <w:color w:val="auto"/>
          <w:sz w:val="24"/>
          <w:szCs w:val="24"/>
        </w:rPr>
      </w:pPr>
      <w:r w:rsidRPr="00C27F1D">
        <w:rPr>
          <w:rFonts w:ascii="Times New Roman" w:hAnsi="Times New Roman" w:cs="Times New Roman"/>
          <w:color w:val="auto"/>
          <w:sz w:val="24"/>
          <w:szCs w:val="24"/>
        </w:rPr>
        <w:t>Temporal trends (APC) in age-specific incidence</w:t>
      </w:r>
    </w:p>
    <w:p w14:paraId="487EB8A3" w14:textId="5985B836" w:rsidR="00AA2721" w:rsidRPr="00C27F1D" w:rsidRDefault="00577660" w:rsidP="00C27F1D">
      <w:pPr>
        <w:spacing w:after="0"/>
        <w:ind w:firstLine="709"/>
        <w:jc w:val="both"/>
        <w:rPr>
          <w:rFonts w:cs="Times New Roman"/>
          <w:szCs w:val="24"/>
        </w:rPr>
      </w:pPr>
      <w:r w:rsidRPr="00C27F1D">
        <w:rPr>
          <w:rFonts w:cs="Times New Roman"/>
          <w:szCs w:val="24"/>
        </w:rPr>
        <w:t>Log-linear trend models showed the steepest positive APC in the age groups 70–79 and 80+, while changes in the under-40 age group were minimal and often not significant. Within the 40–59 age range, trajectories were flat, mainly slightly negative, aligning with the redistribution of burden from the 40–59 to the 60–79 age group. Visual inspection confirmed that the rank order of age bands by CR remained monotonic every year—older ages had higher CR—without an indication of a secondary peak at younger ages. (Figures 4–5.)</w:t>
      </w:r>
    </w:p>
    <w:p w14:paraId="407E2546" w14:textId="3B3C97F1" w:rsidR="00AA2721" w:rsidRPr="00C27F1D" w:rsidRDefault="00B743D8" w:rsidP="00C27F1D">
      <w:pPr>
        <w:pStyle w:val="Heading2"/>
        <w:spacing w:before="0"/>
        <w:ind w:firstLine="709"/>
        <w:jc w:val="both"/>
        <w:rPr>
          <w:rFonts w:ascii="Times New Roman" w:hAnsi="Times New Roman" w:cs="Times New Roman"/>
          <w:color w:val="auto"/>
          <w:sz w:val="24"/>
          <w:szCs w:val="24"/>
        </w:rPr>
      </w:pPr>
      <w:r w:rsidRPr="00C27F1D">
        <w:rPr>
          <w:rFonts w:ascii="Times New Roman" w:hAnsi="Times New Roman" w:cs="Times New Roman"/>
          <w:color w:val="auto"/>
          <w:sz w:val="24"/>
          <w:szCs w:val="24"/>
        </w:rPr>
        <w:lastRenderedPageBreak/>
        <w:t>Robustness checks</w:t>
      </w:r>
    </w:p>
    <w:p w14:paraId="4268C306" w14:textId="53FE88FC" w:rsidR="00AA2721" w:rsidRPr="00C27F1D" w:rsidRDefault="00F30168" w:rsidP="00C27F1D">
      <w:pPr>
        <w:spacing w:after="0"/>
        <w:ind w:firstLine="709"/>
        <w:jc w:val="both"/>
        <w:rPr>
          <w:rFonts w:cs="Times New Roman"/>
          <w:szCs w:val="24"/>
        </w:rPr>
      </w:pPr>
      <w:r w:rsidRPr="00C27F1D">
        <w:rPr>
          <w:rFonts w:cs="Times New Roman"/>
          <w:szCs w:val="24"/>
        </w:rPr>
        <w:t>Pooling ages 70–74 and 75–79 reduced uncertainty without changing the main pattern of higher incidence among older women. Removing boundary years slightly lowered APC magnitudes but kept the trend the same (older ages increasing, midlife stable, younger ages low and steady). Recomputing without denominator interpolation caused minimal differences in mid-period CR estimates.</w:t>
      </w:r>
    </w:p>
    <w:p w14:paraId="480E99CA" w14:textId="77777777" w:rsidR="00AA2721" w:rsidRPr="00C27F1D" w:rsidRDefault="00B743D8" w:rsidP="00C27F1D">
      <w:pPr>
        <w:pStyle w:val="Heading1"/>
        <w:spacing w:before="0"/>
        <w:ind w:firstLine="709"/>
        <w:jc w:val="both"/>
        <w:rPr>
          <w:rFonts w:ascii="Times New Roman" w:hAnsi="Times New Roman" w:cs="Times New Roman"/>
          <w:color w:val="auto"/>
          <w:sz w:val="24"/>
          <w:szCs w:val="24"/>
        </w:rPr>
      </w:pPr>
      <w:r w:rsidRPr="00C27F1D">
        <w:rPr>
          <w:rFonts w:ascii="Times New Roman" w:hAnsi="Times New Roman" w:cs="Times New Roman"/>
          <w:color w:val="auto"/>
          <w:sz w:val="24"/>
          <w:szCs w:val="24"/>
        </w:rPr>
        <w:t>Discussion</w:t>
      </w:r>
    </w:p>
    <w:p w14:paraId="35942075" w14:textId="1CD53E3F" w:rsidR="00F30168" w:rsidRPr="00C27F1D" w:rsidRDefault="00F30168" w:rsidP="00C27F1D">
      <w:pPr>
        <w:spacing w:after="0"/>
        <w:ind w:firstLine="709"/>
        <w:jc w:val="both"/>
        <w:rPr>
          <w:rFonts w:cs="Times New Roman"/>
          <w:szCs w:val="24"/>
        </w:rPr>
      </w:pPr>
      <w:r w:rsidRPr="00C27F1D">
        <w:rPr>
          <w:rFonts w:cs="Times New Roman"/>
          <w:szCs w:val="24"/>
        </w:rPr>
        <w:t xml:space="preserve">The Uzbek national profile indicates a consistent shift of ovarian cancer burden towards older women, with regionally diverse age structures. This aligns with global patterns where postmenopausal women experience the highest incidence, influenced by reproductive histories, hormonal factors, and the </w:t>
      </w:r>
      <w:proofErr w:type="spellStart"/>
      <w:r w:rsidRPr="00C27F1D">
        <w:rPr>
          <w:rFonts w:cs="Times New Roman"/>
          <w:szCs w:val="24"/>
        </w:rPr>
        <w:t>organisation</w:t>
      </w:r>
      <w:proofErr w:type="spellEnd"/>
      <w:r w:rsidRPr="00C27F1D">
        <w:rPr>
          <w:rFonts w:cs="Times New Roman"/>
          <w:szCs w:val="24"/>
        </w:rPr>
        <w:t xml:space="preserve"> of specialist services [2–6]. Given that large trials have shown no mortality benefit from population screening, focusing on </w:t>
      </w:r>
      <w:proofErr w:type="spellStart"/>
      <w:r w:rsidRPr="00C27F1D">
        <w:rPr>
          <w:rFonts w:cs="Times New Roman"/>
          <w:szCs w:val="24"/>
        </w:rPr>
        <w:t>optimising</w:t>
      </w:r>
      <w:proofErr w:type="spellEnd"/>
      <w:r w:rsidRPr="00C27F1D">
        <w:rPr>
          <w:rFonts w:cs="Times New Roman"/>
          <w:szCs w:val="24"/>
        </w:rPr>
        <w:t xml:space="preserve"> symptom-based pathways and improving access to specialist assessments remains crucial [7–9]. </w:t>
      </w:r>
    </w:p>
    <w:p w14:paraId="64B01EC1" w14:textId="47EBA134" w:rsidR="00AA2721" w:rsidRPr="00C27F1D" w:rsidRDefault="00F30168" w:rsidP="00C27F1D">
      <w:pPr>
        <w:spacing w:after="0"/>
        <w:ind w:firstLine="709"/>
        <w:jc w:val="both"/>
        <w:rPr>
          <w:rFonts w:cs="Times New Roman"/>
          <w:szCs w:val="24"/>
        </w:rPr>
      </w:pPr>
      <w:r w:rsidRPr="00C27F1D">
        <w:rPr>
          <w:rFonts w:cs="Times New Roman"/>
          <w:szCs w:val="24"/>
        </w:rPr>
        <w:t xml:space="preserve">Practically, health systems should implement rapid evaluation for postmenopausal women with persistent abdominal or pelvic symptoms, increase availability of transvaginal ultrasonography and </w:t>
      </w:r>
      <w:proofErr w:type="spellStart"/>
      <w:r w:rsidRPr="00C27F1D">
        <w:rPr>
          <w:rFonts w:cs="Times New Roman"/>
          <w:szCs w:val="24"/>
        </w:rPr>
        <w:t>tumour</w:t>
      </w:r>
      <w:proofErr w:type="spellEnd"/>
      <w:r w:rsidRPr="00C27F1D">
        <w:rPr>
          <w:rFonts w:cs="Times New Roman"/>
          <w:szCs w:val="24"/>
        </w:rPr>
        <w:t xml:space="preserve"> markers at primary and district levels, and ensure prompt referral to higher-volume </w:t>
      </w:r>
      <w:proofErr w:type="spellStart"/>
      <w:r w:rsidRPr="00C27F1D">
        <w:rPr>
          <w:rFonts w:cs="Times New Roman"/>
          <w:szCs w:val="24"/>
        </w:rPr>
        <w:t>oncogynecologic</w:t>
      </w:r>
      <w:proofErr w:type="spellEnd"/>
      <w:r w:rsidRPr="00C27F1D">
        <w:rPr>
          <w:rFonts w:cs="Times New Roman"/>
          <w:szCs w:val="24"/>
        </w:rPr>
        <w:t xml:space="preserve"> </w:t>
      </w:r>
      <w:proofErr w:type="spellStart"/>
      <w:r w:rsidRPr="00C27F1D">
        <w:rPr>
          <w:rFonts w:cs="Times New Roman"/>
          <w:szCs w:val="24"/>
        </w:rPr>
        <w:t>centres</w:t>
      </w:r>
      <w:proofErr w:type="spellEnd"/>
      <w:r w:rsidRPr="00C27F1D">
        <w:rPr>
          <w:rFonts w:cs="Times New Roman"/>
          <w:szCs w:val="24"/>
        </w:rPr>
        <w:t>—where adherence to guidelines and surgical outcomes are better [9–12]. Monitoring a select set of indicators (age-specific CR, broad age-group shares, APC) can offer actionable feedback on pathway efficiency and help reduce regional disparities.</w:t>
      </w:r>
    </w:p>
    <w:p w14:paraId="5398AE59" w14:textId="77777777" w:rsidR="00AA2721" w:rsidRPr="00C27F1D" w:rsidRDefault="00B743D8" w:rsidP="00C27F1D">
      <w:pPr>
        <w:pStyle w:val="Heading2"/>
        <w:spacing w:before="0"/>
        <w:ind w:firstLine="709"/>
        <w:jc w:val="both"/>
        <w:rPr>
          <w:rFonts w:ascii="Times New Roman" w:hAnsi="Times New Roman" w:cs="Times New Roman"/>
          <w:color w:val="auto"/>
          <w:sz w:val="24"/>
          <w:szCs w:val="24"/>
        </w:rPr>
      </w:pPr>
      <w:r w:rsidRPr="00C27F1D">
        <w:rPr>
          <w:rFonts w:ascii="Times New Roman" w:hAnsi="Times New Roman" w:cs="Times New Roman"/>
          <w:color w:val="auto"/>
          <w:sz w:val="24"/>
          <w:szCs w:val="24"/>
        </w:rPr>
        <w:t>Strengths and limitations</w:t>
      </w:r>
    </w:p>
    <w:p w14:paraId="23657D2D" w14:textId="757BA8CD" w:rsidR="00AA2721" w:rsidRPr="00C27F1D" w:rsidRDefault="00F30168" w:rsidP="00C27F1D">
      <w:pPr>
        <w:spacing w:after="0"/>
        <w:ind w:firstLine="709"/>
        <w:jc w:val="both"/>
        <w:rPr>
          <w:rFonts w:cs="Times New Roman"/>
          <w:szCs w:val="24"/>
        </w:rPr>
      </w:pPr>
      <w:r w:rsidRPr="00C27F1D">
        <w:rPr>
          <w:rFonts w:cs="Times New Roman"/>
          <w:szCs w:val="24"/>
        </w:rPr>
        <w:t xml:space="preserve">Strengths include nationwide coverage over nine years and </w:t>
      </w:r>
      <w:proofErr w:type="spellStart"/>
      <w:r w:rsidRPr="00C27F1D">
        <w:rPr>
          <w:rFonts w:cs="Times New Roman"/>
          <w:szCs w:val="24"/>
        </w:rPr>
        <w:t>harmonised</w:t>
      </w:r>
      <w:proofErr w:type="spellEnd"/>
      <w:r w:rsidRPr="00C27F1D">
        <w:rPr>
          <w:rFonts w:cs="Times New Roman"/>
          <w:szCs w:val="24"/>
        </w:rPr>
        <w:t xml:space="preserve"> metrics directly relevant to service planning. Limitations consist of aggregation (lacking stage or </w:t>
      </w:r>
      <w:proofErr w:type="spellStart"/>
      <w:r w:rsidRPr="00C27F1D">
        <w:rPr>
          <w:rFonts w:cs="Times New Roman"/>
          <w:szCs w:val="24"/>
        </w:rPr>
        <w:t>histotype</w:t>
      </w:r>
      <w:proofErr w:type="spellEnd"/>
      <w:r w:rsidRPr="00C27F1D">
        <w:rPr>
          <w:rFonts w:cs="Times New Roman"/>
          <w:szCs w:val="24"/>
        </w:rPr>
        <w:t xml:space="preserve"> detail), instability in small groups at extreme ages, and possible regional variation in registration completeness. These constraints prevent causal inference and highlight the need for individual-level linkage to evaluate trends in stage at diagnosis and histologic subtype</w:t>
      </w:r>
      <w:r w:rsidR="00B743D8" w:rsidRPr="00C27F1D">
        <w:rPr>
          <w:rFonts w:cs="Times New Roman"/>
          <w:szCs w:val="24"/>
        </w:rPr>
        <w:t>.</w:t>
      </w:r>
    </w:p>
    <w:p w14:paraId="077FEFF5" w14:textId="77777777" w:rsidR="00AA2721" w:rsidRPr="00C27F1D" w:rsidRDefault="00B743D8" w:rsidP="00C27F1D">
      <w:pPr>
        <w:pStyle w:val="Heading1"/>
        <w:spacing w:before="0"/>
        <w:ind w:firstLine="709"/>
        <w:jc w:val="both"/>
        <w:rPr>
          <w:rFonts w:ascii="Times New Roman" w:hAnsi="Times New Roman" w:cs="Times New Roman"/>
          <w:color w:val="auto"/>
          <w:sz w:val="24"/>
          <w:szCs w:val="24"/>
        </w:rPr>
      </w:pPr>
      <w:r w:rsidRPr="00C27F1D">
        <w:rPr>
          <w:rFonts w:ascii="Times New Roman" w:hAnsi="Times New Roman" w:cs="Times New Roman"/>
          <w:color w:val="auto"/>
          <w:sz w:val="24"/>
          <w:szCs w:val="24"/>
        </w:rPr>
        <w:t>Conclusion</w:t>
      </w:r>
    </w:p>
    <w:p w14:paraId="52253DDA" w14:textId="5D89262B" w:rsidR="00AA2721" w:rsidRPr="00C27F1D" w:rsidRDefault="00DA0D07" w:rsidP="00C27F1D">
      <w:pPr>
        <w:spacing w:after="0"/>
        <w:ind w:firstLine="709"/>
        <w:jc w:val="both"/>
        <w:rPr>
          <w:rFonts w:cs="Times New Roman"/>
          <w:szCs w:val="24"/>
        </w:rPr>
      </w:pPr>
      <w:r w:rsidRPr="00C27F1D">
        <w:rPr>
          <w:rFonts w:cs="Times New Roman"/>
          <w:szCs w:val="24"/>
        </w:rPr>
        <w:t>Between 2016 and 2024, Uzbekistan observed a discernible rise in ovarian cancer cases among the elderly female population, particularly those aged 70 and above. In contrast, younger women exhibited consistently lower incidence rates, while middle-aged women maintained stable or slightly decreasing patterns. Although regional variations are present, they do not alter the prevailing national trend. These insights are valuable for enhancing diagnostic strategies and resource allocation to more effectively support the needs of older women, taking regional disparities into account.</w:t>
      </w:r>
    </w:p>
    <w:p w14:paraId="79C2C8B5" w14:textId="77777777" w:rsidR="00AA2721" w:rsidRPr="00C27F1D" w:rsidRDefault="00B743D8" w:rsidP="00C27F1D">
      <w:pPr>
        <w:pStyle w:val="Heading1"/>
        <w:spacing w:before="0"/>
        <w:ind w:firstLine="709"/>
        <w:jc w:val="both"/>
        <w:rPr>
          <w:rFonts w:ascii="Times New Roman" w:hAnsi="Times New Roman" w:cs="Times New Roman"/>
          <w:color w:val="auto"/>
          <w:sz w:val="24"/>
          <w:szCs w:val="24"/>
        </w:rPr>
      </w:pPr>
      <w:r w:rsidRPr="00C27F1D">
        <w:rPr>
          <w:rFonts w:ascii="Times New Roman" w:hAnsi="Times New Roman" w:cs="Times New Roman"/>
          <w:color w:val="auto"/>
          <w:sz w:val="24"/>
          <w:szCs w:val="24"/>
        </w:rPr>
        <w:t>Ethics and data availability</w:t>
      </w:r>
    </w:p>
    <w:p w14:paraId="409AB2E7" w14:textId="641A20DF" w:rsidR="00AA2721" w:rsidRPr="00C27F1D" w:rsidRDefault="00F30168" w:rsidP="00C27F1D">
      <w:pPr>
        <w:spacing w:after="0"/>
        <w:ind w:firstLine="709"/>
        <w:jc w:val="both"/>
        <w:rPr>
          <w:rFonts w:cs="Times New Roman"/>
          <w:szCs w:val="24"/>
        </w:rPr>
      </w:pPr>
      <w:r w:rsidRPr="00C27F1D">
        <w:rPr>
          <w:rFonts w:cs="Times New Roman"/>
          <w:szCs w:val="24"/>
        </w:rPr>
        <w:t xml:space="preserve">Aggregated, de-identified registry data were </w:t>
      </w:r>
      <w:proofErr w:type="spellStart"/>
      <w:r w:rsidRPr="00C27F1D">
        <w:rPr>
          <w:rFonts w:cs="Times New Roman"/>
          <w:szCs w:val="24"/>
        </w:rPr>
        <w:t>utilised</w:t>
      </w:r>
      <w:proofErr w:type="spellEnd"/>
      <w:r w:rsidRPr="00C27F1D">
        <w:rPr>
          <w:rFonts w:cs="Times New Roman"/>
          <w:szCs w:val="24"/>
        </w:rPr>
        <w:t>; no individual-level identifiers were involved. Data are available on reasonable request, subject to approvals</w:t>
      </w:r>
      <w:r w:rsidR="00B743D8" w:rsidRPr="00C27F1D">
        <w:rPr>
          <w:rFonts w:cs="Times New Roman"/>
          <w:szCs w:val="24"/>
        </w:rPr>
        <w:t>.</w:t>
      </w:r>
    </w:p>
    <w:p w14:paraId="4996E1BA" w14:textId="77777777" w:rsidR="00C27F1D" w:rsidRDefault="00C27F1D" w:rsidP="00C27F1D">
      <w:pPr>
        <w:pStyle w:val="Heading1"/>
        <w:spacing w:before="0"/>
        <w:ind w:firstLine="709"/>
        <w:jc w:val="both"/>
        <w:rPr>
          <w:rFonts w:ascii="Times New Roman" w:hAnsi="Times New Roman" w:cs="Times New Roman"/>
          <w:color w:val="auto"/>
          <w:sz w:val="24"/>
          <w:szCs w:val="24"/>
        </w:rPr>
      </w:pPr>
      <w:bookmarkStart w:id="0" w:name="_GoBack"/>
      <w:bookmarkEnd w:id="0"/>
    </w:p>
    <w:p w14:paraId="0E6A51E6" w14:textId="77777777" w:rsidR="00C27F1D" w:rsidRDefault="00C27F1D" w:rsidP="00C27F1D">
      <w:pPr>
        <w:pStyle w:val="Heading1"/>
        <w:spacing w:before="0"/>
        <w:ind w:firstLine="709"/>
        <w:jc w:val="both"/>
        <w:rPr>
          <w:rFonts w:ascii="Times New Roman" w:hAnsi="Times New Roman" w:cs="Times New Roman"/>
          <w:color w:val="auto"/>
          <w:sz w:val="24"/>
          <w:szCs w:val="24"/>
        </w:rPr>
      </w:pPr>
    </w:p>
    <w:p w14:paraId="3A0FDA1F" w14:textId="77777777" w:rsidR="00C27F1D" w:rsidRDefault="00C27F1D" w:rsidP="00C27F1D">
      <w:pPr>
        <w:pStyle w:val="Heading1"/>
        <w:spacing w:before="0"/>
        <w:ind w:firstLine="709"/>
        <w:jc w:val="both"/>
        <w:rPr>
          <w:rFonts w:ascii="Times New Roman" w:hAnsi="Times New Roman" w:cs="Times New Roman"/>
          <w:color w:val="auto"/>
          <w:sz w:val="24"/>
          <w:szCs w:val="24"/>
        </w:rPr>
      </w:pPr>
    </w:p>
    <w:p w14:paraId="0A073CDA" w14:textId="1FD49975" w:rsidR="00AA2721" w:rsidRPr="00C27F1D" w:rsidRDefault="00B743D8" w:rsidP="00C27F1D">
      <w:pPr>
        <w:pStyle w:val="Heading1"/>
        <w:spacing w:before="0"/>
        <w:ind w:firstLine="709"/>
        <w:jc w:val="both"/>
        <w:rPr>
          <w:rFonts w:ascii="Times New Roman" w:hAnsi="Times New Roman" w:cs="Times New Roman"/>
          <w:color w:val="auto"/>
          <w:sz w:val="24"/>
          <w:szCs w:val="24"/>
        </w:rPr>
      </w:pPr>
      <w:r w:rsidRPr="00C27F1D">
        <w:rPr>
          <w:rFonts w:ascii="Times New Roman" w:hAnsi="Times New Roman" w:cs="Times New Roman"/>
          <w:color w:val="auto"/>
          <w:sz w:val="24"/>
          <w:szCs w:val="24"/>
        </w:rPr>
        <w:t>References</w:t>
      </w:r>
    </w:p>
    <w:p w14:paraId="52B63995" w14:textId="77777777" w:rsidR="00AA2721" w:rsidRPr="00C27F1D" w:rsidRDefault="00B743D8" w:rsidP="00C27F1D">
      <w:pPr>
        <w:spacing w:after="0"/>
        <w:ind w:firstLine="709"/>
        <w:jc w:val="both"/>
        <w:rPr>
          <w:rFonts w:cs="Times New Roman"/>
          <w:szCs w:val="24"/>
        </w:rPr>
      </w:pPr>
      <w:r w:rsidRPr="00C27F1D">
        <w:rPr>
          <w:rFonts w:cs="Times New Roman"/>
          <w:szCs w:val="24"/>
        </w:rPr>
        <w:t>1. World Cancer Report 2020. Lyon: International Agency for Research on Cancer; 2020.</w:t>
      </w:r>
    </w:p>
    <w:p w14:paraId="33CBE06C" w14:textId="77777777" w:rsidR="00AA2721" w:rsidRPr="00C27F1D" w:rsidRDefault="00B743D8" w:rsidP="00C27F1D">
      <w:pPr>
        <w:spacing w:after="0"/>
        <w:ind w:firstLine="709"/>
        <w:jc w:val="both"/>
        <w:rPr>
          <w:rFonts w:cs="Times New Roman"/>
          <w:szCs w:val="24"/>
        </w:rPr>
      </w:pPr>
      <w:r w:rsidRPr="00C27F1D">
        <w:rPr>
          <w:rFonts w:cs="Times New Roman"/>
          <w:szCs w:val="24"/>
        </w:rPr>
        <w:t xml:space="preserve">2. Bray F., </w:t>
      </w:r>
      <w:proofErr w:type="spellStart"/>
      <w:r w:rsidRPr="00C27F1D">
        <w:rPr>
          <w:rFonts w:cs="Times New Roman"/>
          <w:szCs w:val="24"/>
        </w:rPr>
        <w:t>Colombet</w:t>
      </w:r>
      <w:proofErr w:type="spellEnd"/>
      <w:r w:rsidRPr="00C27F1D">
        <w:rPr>
          <w:rFonts w:cs="Times New Roman"/>
          <w:szCs w:val="24"/>
        </w:rPr>
        <w:t xml:space="preserve"> M., Mery L., et al. Cancer Incidence in Five Continents, Vol. XI (CI5). IARC Scientific Publication No. 166. Lyon: IARC; 2017.</w:t>
      </w:r>
    </w:p>
    <w:p w14:paraId="2F6D5A2A" w14:textId="77777777" w:rsidR="00AA2721" w:rsidRPr="00C27F1D" w:rsidRDefault="00B743D8" w:rsidP="00C27F1D">
      <w:pPr>
        <w:spacing w:after="0"/>
        <w:ind w:firstLine="709"/>
        <w:jc w:val="both"/>
        <w:rPr>
          <w:rFonts w:cs="Times New Roman"/>
          <w:szCs w:val="24"/>
        </w:rPr>
      </w:pPr>
      <w:r w:rsidRPr="00C27F1D">
        <w:rPr>
          <w:rFonts w:cs="Times New Roman"/>
          <w:szCs w:val="24"/>
        </w:rPr>
        <w:t xml:space="preserve">3. Sung H., </w:t>
      </w:r>
      <w:proofErr w:type="spellStart"/>
      <w:r w:rsidRPr="00C27F1D">
        <w:rPr>
          <w:rFonts w:cs="Times New Roman"/>
          <w:szCs w:val="24"/>
        </w:rPr>
        <w:t>Ferlay</w:t>
      </w:r>
      <w:proofErr w:type="spellEnd"/>
      <w:r w:rsidRPr="00C27F1D">
        <w:rPr>
          <w:rFonts w:cs="Times New Roman"/>
          <w:szCs w:val="24"/>
        </w:rPr>
        <w:t xml:space="preserve"> J., Siegel R.L., </w:t>
      </w:r>
      <w:proofErr w:type="spellStart"/>
      <w:r w:rsidRPr="00C27F1D">
        <w:rPr>
          <w:rFonts w:cs="Times New Roman"/>
          <w:szCs w:val="24"/>
        </w:rPr>
        <w:t>Laversanne</w:t>
      </w:r>
      <w:proofErr w:type="spellEnd"/>
      <w:r w:rsidRPr="00C27F1D">
        <w:rPr>
          <w:rFonts w:cs="Times New Roman"/>
          <w:szCs w:val="24"/>
        </w:rPr>
        <w:t xml:space="preserve"> M., </w:t>
      </w:r>
      <w:proofErr w:type="spellStart"/>
      <w:r w:rsidRPr="00C27F1D">
        <w:rPr>
          <w:rFonts w:cs="Times New Roman"/>
          <w:szCs w:val="24"/>
        </w:rPr>
        <w:t>Soerjomataram</w:t>
      </w:r>
      <w:proofErr w:type="spellEnd"/>
      <w:r w:rsidRPr="00C27F1D">
        <w:rPr>
          <w:rFonts w:cs="Times New Roman"/>
          <w:szCs w:val="24"/>
        </w:rPr>
        <w:t xml:space="preserve"> I., Jemal A., Bray F. Global cancer statistics 2020: GLOBOCAN estimates of incidence and mortality worldwide. CA Cancer J Clin. </w:t>
      </w:r>
      <w:proofErr w:type="gramStart"/>
      <w:r w:rsidRPr="00C27F1D">
        <w:rPr>
          <w:rFonts w:cs="Times New Roman"/>
          <w:szCs w:val="24"/>
        </w:rPr>
        <w:t>2021;71:209</w:t>
      </w:r>
      <w:proofErr w:type="gramEnd"/>
      <w:r w:rsidRPr="00C27F1D">
        <w:rPr>
          <w:rFonts w:cs="Times New Roman"/>
          <w:szCs w:val="24"/>
        </w:rPr>
        <w:t>–249.</w:t>
      </w:r>
    </w:p>
    <w:p w14:paraId="1128C950" w14:textId="77777777" w:rsidR="00AA2721" w:rsidRPr="00C27F1D" w:rsidRDefault="00B743D8" w:rsidP="00C27F1D">
      <w:pPr>
        <w:spacing w:after="0"/>
        <w:ind w:firstLine="709"/>
        <w:jc w:val="both"/>
        <w:rPr>
          <w:rFonts w:cs="Times New Roman"/>
          <w:szCs w:val="24"/>
        </w:rPr>
      </w:pPr>
      <w:r w:rsidRPr="00C27F1D">
        <w:rPr>
          <w:rFonts w:cs="Times New Roman"/>
          <w:szCs w:val="24"/>
        </w:rPr>
        <w:t xml:space="preserve">4. Arnold M., Karim-Kos H.E., </w:t>
      </w:r>
      <w:proofErr w:type="spellStart"/>
      <w:r w:rsidRPr="00C27F1D">
        <w:rPr>
          <w:rFonts w:cs="Times New Roman"/>
          <w:szCs w:val="24"/>
        </w:rPr>
        <w:t>Coebergh</w:t>
      </w:r>
      <w:proofErr w:type="spellEnd"/>
      <w:r w:rsidRPr="00C27F1D">
        <w:rPr>
          <w:rFonts w:cs="Times New Roman"/>
          <w:szCs w:val="24"/>
        </w:rPr>
        <w:t xml:space="preserve"> J.W.W., et al. Ovarian cancer incidence and mortality patterns and trends. Int J Cancer. </w:t>
      </w:r>
      <w:proofErr w:type="gramStart"/>
      <w:r w:rsidRPr="00C27F1D">
        <w:rPr>
          <w:rFonts w:cs="Times New Roman"/>
          <w:szCs w:val="24"/>
        </w:rPr>
        <w:t>2014;134:1133</w:t>
      </w:r>
      <w:proofErr w:type="gramEnd"/>
      <w:r w:rsidRPr="00C27F1D">
        <w:rPr>
          <w:rFonts w:cs="Times New Roman"/>
          <w:szCs w:val="24"/>
        </w:rPr>
        <w:t>–1143.</w:t>
      </w:r>
    </w:p>
    <w:p w14:paraId="64BFC38C" w14:textId="77777777" w:rsidR="00AA2721" w:rsidRPr="00C27F1D" w:rsidRDefault="00B743D8" w:rsidP="00C27F1D">
      <w:pPr>
        <w:spacing w:after="0"/>
        <w:ind w:firstLine="709"/>
        <w:jc w:val="both"/>
        <w:rPr>
          <w:rFonts w:cs="Times New Roman"/>
          <w:szCs w:val="24"/>
        </w:rPr>
      </w:pPr>
      <w:r w:rsidRPr="00C27F1D">
        <w:rPr>
          <w:rFonts w:cs="Times New Roman"/>
          <w:szCs w:val="24"/>
        </w:rPr>
        <w:t xml:space="preserve">5. Torre L.A., Trabert B., DeSantis C.E., et al. Ovarian cancer statistics, 2018. CA Cancer J Clin. </w:t>
      </w:r>
      <w:proofErr w:type="gramStart"/>
      <w:r w:rsidRPr="00C27F1D">
        <w:rPr>
          <w:rFonts w:cs="Times New Roman"/>
          <w:szCs w:val="24"/>
        </w:rPr>
        <w:t>2018;68:284</w:t>
      </w:r>
      <w:proofErr w:type="gramEnd"/>
      <w:r w:rsidRPr="00C27F1D">
        <w:rPr>
          <w:rFonts w:cs="Times New Roman"/>
          <w:szCs w:val="24"/>
        </w:rPr>
        <w:t>–296.</w:t>
      </w:r>
    </w:p>
    <w:p w14:paraId="2BBDC89F" w14:textId="77777777" w:rsidR="00AA2721" w:rsidRPr="00C27F1D" w:rsidRDefault="00B743D8" w:rsidP="00C27F1D">
      <w:pPr>
        <w:spacing w:after="0"/>
        <w:ind w:firstLine="709"/>
        <w:jc w:val="both"/>
        <w:rPr>
          <w:rFonts w:cs="Times New Roman"/>
          <w:szCs w:val="24"/>
        </w:rPr>
      </w:pPr>
      <w:r w:rsidRPr="00C27F1D">
        <w:rPr>
          <w:rFonts w:cs="Times New Roman"/>
          <w:szCs w:val="24"/>
        </w:rPr>
        <w:t xml:space="preserve">6. Reid B.M., </w:t>
      </w:r>
      <w:proofErr w:type="spellStart"/>
      <w:r w:rsidRPr="00C27F1D">
        <w:rPr>
          <w:rFonts w:cs="Times New Roman"/>
          <w:szCs w:val="24"/>
        </w:rPr>
        <w:t>Permuth</w:t>
      </w:r>
      <w:proofErr w:type="spellEnd"/>
      <w:r w:rsidRPr="00C27F1D">
        <w:rPr>
          <w:rFonts w:cs="Times New Roman"/>
          <w:szCs w:val="24"/>
        </w:rPr>
        <w:t xml:space="preserve"> J.B., Sellers T.A. Epidemiology of ovarian cancer: a review. Cancer Biol Med. </w:t>
      </w:r>
      <w:proofErr w:type="gramStart"/>
      <w:r w:rsidRPr="00C27F1D">
        <w:rPr>
          <w:rFonts w:cs="Times New Roman"/>
          <w:szCs w:val="24"/>
        </w:rPr>
        <w:t>2017;14:9</w:t>
      </w:r>
      <w:proofErr w:type="gramEnd"/>
      <w:r w:rsidRPr="00C27F1D">
        <w:rPr>
          <w:rFonts w:cs="Times New Roman"/>
          <w:szCs w:val="24"/>
        </w:rPr>
        <w:t>–32.</w:t>
      </w:r>
    </w:p>
    <w:p w14:paraId="2AC651C8" w14:textId="77777777" w:rsidR="00AA2721" w:rsidRPr="00C27F1D" w:rsidRDefault="00B743D8" w:rsidP="00C27F1D">
      <w:pPr>
        <w:spacing w:after="0"/>
        <w:ind w:firstLine="709"/>
        <w:jc w:val="both"/>
        <w:rPr>
          <w:rFonts w:cs="Times New Roman"/>
          <w:szCs w:val="24"/>
        </w:rPr>
      </w:pPr>
      <w:r w:rsidRPr="00C27F1D">
        <w:rPr>
          <w:rFonts w:cs="Times New Roman"/>
          <w:szCs w:val="24"/>
        </w:rPr>
        <w:t xml:space="preserve">7. Menon U., Gentry-Maharaj A., Burnell M., et al. Ovarian cancer screening and mortality in the UKCTOCS trial: long-term follow-up. Lancet. </w:t>
      </w:r>
      <w:proofErr w:type="gramStart"/>
      <w:r w:rsidRPr="00C27F1D">
        <w:rPr>
          <w:rFonts w:cs="Times New Roman"/>
          <w:szCs w:val="24"/>
        </w:rPr>
        <w:t>2021;397:2182</w:t>
      </w:r>
      <w:proofErr w:type="gramEnd"/>
      <w:r w:rsidRPr="00C27F1D">
        <w:rPr>
          <w:rFonts w:cs="Times New Roman"/>
          <w:szCs w:val="24"/>
        </w:rPr>
        <w:t>–2193.</w:t>
      </w:r>
    </w:p>
    <w:p w14:paraId="153C2D37" w14:textId="77777777" w:rsidR="00AA2721" w:rsidRPr="00C27F1D" w:rsidRDefault="00B743D8" w:rsidP="00C27F1D">
      <w:pPr>
        <w:spacing w:after="0"/>
        <w:ind w:firstLine="709"/>
        <w:jc w:val="both"/>
        <w:rPr>
          <w:rFonts w:cs="Times New Roman"/>
          <w:szCs w:val="24"/>
        </w:rPr>
      </w:pPr>
      <w:r w:rsidRPr="00C27F1D">
        <w:rPr>
          <w:rFonts w:cs="Times New Roman"/>
          <w:szCs w:val="24"/>
        </w:rPr>
        <w:t xml:space="preserve">8. Buys S.S., Partridge E., Black A., et al.; PLCO Project Team. Effect of screening on ovarian cancer mortality: the PLCO trial. JAMA. </w:t>
      </w:r>
      <w:proofErr w:type="gramStart"/>
      <w:r w:rsidRPr="00C27F1D">
        <w:rPr>
          <w:rFonts w:cs="Times New Roman"/>
          <w:szCs w:val="24"/>
        </w:rPr>
        <w:t>2011;305:2295</w:t>
      </w:r>
      <w:proofErr w:type="gramEnd"/>
      <w:r w:rsidRPr="00C27F1D">
        <w:rPr>
          <w:rFonts w:cs="Times New Roman"/>
          <w:szCs w:val="24"/>
        </w:rPr>
        <w:t>–2303.</w:t>
      </w:r>
    </w:p>
    <w:p w14:paraId="409F5C5D" w14:textId="77777777" w:rsidR="00AA2721" w:rsidRPr="00C27F1D" w:rsidRDefault="00B743D8" w:rsidP="00C27F1D">
      <w:pPr>
        <w:spacing w:after="0"/>
        <w:ind w:firstLine="709"/>
        <w:jc w:val="both"/>
        <w:rPr>
          <w:rFonts w:cs="Times New Roman"/>
          <w:szCs w:val="24"/>
        </w:rPr>
      </w:pPr>
      <w:r w:rsidRPr="00C27F1D">
        <w:rPr>
          <w:rFonts w:cs="Times New Roman"/>
          <w:szCs w:val="24"/>
        </w:rPr>
        <w:t xml:space="preserve">9. Goff B.A., Mandel L.S., Drescher C.W., et al. Development of an ovarian cancer symptom index. Cancer. </w:t>
      </w:r>
      <w:proofErr w:type="gramStart"/>
      <w:r w:rsidRPr="00C27F1D">
        <w:rPr>
          <w:rFonts w:cs="Times New Roman"/>
          <w:szCs w:val="24"/>
        </w:rPr>
        <w:t>2007;109:221</w:t>
      </w:r>
      <w:proofErr w:type="gramEnd"/>
      <w:r w:rsidRPr="00C27F1D">
        <w:rPr>
          <w:rFonts w:cs="Times New Roman"/>
          <w:szCs w:val="24"/>
        </w:rPr>
        <w:t>–227.</w:t>
      </w:r>
    </w:p>
    <w:p w14:paraId="3CA73D44" w14:textId="173FAAE4" w:rsidR="00AA2721" w:rsidRPr="00C27F1D" w:rsidRDefault="00B743D8" w:rsidP="00C27F1D">
      <w:pPr>
        <w:spacing w:after="0"/>
        <w:ind w:firstLine="709"/>
        <w:jc w:val="both"/>
        <w:rPr>
          <w:rFonts w:cs="Times New Roman"/>
          <w:szCs w:val="24"/>
        </w:rPr>
      </w:pPr>
      <w:r w:rsidRPr="00C27F1D">
        <w:rPr>
          <w:rFonts w:cs="Times New Roman"/>
          <w:szCs w:val="24"/>
        </w:rPr>
        <w:t xml:space="preserve">10. Ahmad O.B., Boschi-Pinto C., Lopez A.D., et al. Age </w:t>
      </w:r>
      <w:proofErr w:type="spellStart"/>
      <w:r w:rsidR="00196E5B" w:rsidRPr="00C27F1D">
        <w:rPr>
          <w:rFonts w:cs="Times New Roman"/>
          <w:szCs w:val="24"/>
        </w:rPr>
        <w:t>Standardisation</w:t>
      </w:r>
      <w:proofErr w:type="spellEnd"/>
      <w:r w:rsidRPr="00C27F1D">
        <w:rPr>
          <w:rFonts w:cs="Times New Roman"/>
          <w:szCs w:val="24"/>
        </w:rPr>
        <w:t xml:space="preserve"> of Rates: A New WHO Standard. GPE Discussion Paper Series No.31. Geneva: WHO; 2001.</w:t>
      </w:r>
    </w:p>
    <w:p w14:paraId="76E63F9A" w14:textId="77777777" w:rsidR="00AA2721" w:rsidRPr="00C27F1D" w:rsidRDefault="00B743D8" w:rsidP="00C27F1D">
      <w:pPr>
        <w:spacing w:after="0"/>
        <w:ind w:firstLine="709"/>
        <w:jc w:val="both"/>
        <w:rPr>
          <w:rFonts w:cs="Times New Roman"/>
          <w:szCs w:val="24"/>
        </w:rPr>
      </w:pPr>
      <w:r w:rsidRPr="00C27F1D">
        <w:rPr>
          <w:rFonts w:cs="Times New Roman"/>
          <w:szCs w:val="24"/>
        </w:rPr>
        <w:t>11. Cress R.D., O’Malley C.D., Leiserowitz G.S., et al. Survival and treatment of ovarian cancer: does rural–urban residence matter? Cancer. 2010;116(14):3737–3745.</w:t>
      </w:r>
    </w:p>
    <w:p w14:paraId="7A22F858" w14:textId="4C000907" w:rsidR="00AA2721" w:rsidRPr="00C27F1D" w:rsidRDefault="00B743D8" w:rsidP="00C27F1D">
      <w:pPr>
        <w:spacing w:after="0"/>
        <w:ind w:firstLine="709"/>
        <w:jc w:val="both"/>
        <w:rPr>
          <w:rFonts w:cs="Times New Roman"/>
          <w:szCs w:val="24"/>
        </w:rPr>
      </w:pPr>
      <w:r w:rsidRPr="00C27F1D">
        <w:rPr>
          <w:rFonts w:cs="Times New Roman"/>
          <w:szCs w:val="24"/>
        </w:rPr>
        <w:t>12. Bristow R.E., Chang J., Ziogas A., Anton-Culver H. Adherence to treatment guidelines and impact of hospital volume in ovarian cancer. J Clin Oncol. 2013;31(28):3562–3569.</w:t>
      </w:r>
    </w:p>
    <w:p w14:paraId="38673BDF" w14:textId="6B709AD3" w:rsidR="000C395B" w:rsidRPr="00C27F1D" w:rsidRDefault="000C395B" w:rsidP="00C27F1D">
      <w:pPr>
        <w:spacing w:after="0"/>
        <w:ind w:firstLine="709"/>
        <w:jc w:val="both"/>
        <w:rPr>
          <w:rFonts w:cs="Times New Roman"/>
          <w:szCs w:val="24"/>
        </w:rPr>
      </w:pPr>
    </w:p>
    <w:p w14:paraId="59F06F10" w14:textId="77E18D8E" w:rsidR="000C395B" w:rsidRPr="00C27F1D" w:rsidRDefault="000C395B" w:rsidP="00C27F1D">
      <w:pPr>
        <w:spacing w:after="0"/>
        <w:ind w:firstLine="709"/>
        <w:jc w:val="both"/>
        <w:rPr>
          <w:rFonts w:cs="Times New Roman"/>
          <w:szCs w:val="24"/>
        </w:rPr>
      </w:pPr>
    </w:p>
    <w:p w14:paraId="23006B23" w14:textId="621ADC94" w:rsidR="000C395B" w:rsidRPr="00C27F1D" w:rsidRDefault="000C395B" w:rsidP="00C27F1D">
      <w:pPr>
        <w:spacing w:after="0"/>
        <w:ind w:firstLine="709"/>
        <w:jc w:val="both"/>
        <w:rPr>
          <w:rFonts w:cs="Times New Roman"/>
          <w:szCs w:val="24"/>
        </w:rPr>
      </w:pPr>
    </w:p>
    <w:p w14:paraId="3B8D02D1" w14:textId="2BB1D8BB" w:rsidR="000C395B" w:rsidRPr="00C27F1D" w:rsidRDefault="000C395B" w:rsidP="00C27F1D">
      <w:pPr>
        <w:spacing w:after="0"/>
        <w:ind w:firstLine="709"/>
        <w:jc w:val="both"/>
        <w:rPr>
          <w:rFonts w:cs="Times New Roman"/>
          <w:szCs w:val="24"/>
        </w:rPr>
      </w:pPr>
    </w:p>
    <w:p w14:paraId="60D43860" w14:textId="4883AECA" w:rsidR="000C395B" w:rsidRPr="00C27F1D" w:rsidRDefault="000C395B" w:rsidP="00C27F1D">
      <w:pPr>
        <w:spacing w:after="0"/>
        <w:ind w:firstLine="709"/>
        <w:jc w:val="both"/>
        <w:rPr>
          <w:rFonts w:cs="Times New Roman"/>
          <w:szCs w:val="24"/>
        </w:rPr>
      </w:pPr>
    </w:p>
    <w:p w14:paraId="7ED55525" w14:textId="59305D82" w:rsidR="000C395B" w:rsidRPr="00C27F1D" w:rsidRDefault="000C395B" w:rsidP="00C27F1D">
      <w:pPr>
        <w:spacing w:after="0"/>
        <w:ind w:firstLine="709"/>
        <w:jc w:val="both"/>
        <w:rPr>
          <w:rFonts w:cs="Times New Roman"/>
          <w:szCs w:val="24"/>
        </w:rPr>
      </w:pPr>
    </w:p>
    <w:p w14:paraId="2F8021D0" w14:textId="619DFD61" w:rsidR="000C395B" w:rsidRPr="00C27F1D" w:rsidRDefault="000C395B" w:rsidP="00C27F1D">
      <w:pPr>
        <w:spacing w:after="0"/>
        <w:ind w:firstLine="709"/>
        <w:jc w:val="both"/>
        <w:rPr>
          <w:rFonts w:cs="Times New Roman"/>
          <w:szCs w:val="24"/>
        </w:rPr>
      </w:pPr>
    </w:p>
    <w:p w14:paraId="2E71C0AC" w14:textId="02640423" w:rsidR="000C395B" w:rsidRPr="00C27F1D" w:rsidRDefault="000C395B" w:rsidP="00C27F1D">
      <w:pPr>
        <w:spacing w:after="0" w:line="240" w:lineRule="auto"/>
        <w:ind w:firstLine="709"/>
        <w:jc w:val="both"/>
        <w:rPr>
          <w:rFonts w:cs="Times New Roman"/>
          <w:b/>
          <w:bCs/>
          <w:szCs w:val="24"/>
        </w:rPr>
      </w:pPr>
      <w:r w:rsidRPr="00C27F1D">
        <w:rPr>
          <w:rFonts w:cs="Times New Roman"/>
          <w:b/>
          <w:bCs/>
          <w:szCs w:val="24"/>
        </w:rPr>
        <w:t xml:space="preserve">Table 1. </w:t>
      </w:r>
      <w:r w:rsidR="000569BC" w:rsidRPr="00C27F1D">
        <w:rPr>
          <w:rFonts w:cs="Times New Roman"/>
          <w:b/>
          <w:bCs/>
          <w:szCs w:val="24"/>
        </w:rPr>
        <w:t>Age structure of cases by region (aggregated age groups), 2016–2024.</w:t>
      </w:r>
    </w:p>
    <w:tbl>
      <w:tblPr>
        <w:tblW w:w="10296" w:type="dxa"/>
        <w:jc w:val="center"/>
        <w:tblLayout w:type="fixed"/>
        <w:tblLook w:val="0420" w:firstRow="1" w:lastRow="0" w:firstColumn="0" w:lastColumn="0" w:noHBand="0" w:noVBand="1"/>
      </w:tblPr>
      <w:tblGrid>
        <w:gridCol w:w="2552"/>
        <w:gridCol w:w="1134"/>
        <w:gridCol w:w="1417"/>
        <w:gridCol w:w="1418"/>
        <w:gridCol w:w="1417"/>
        <w:gridCol w:w="1276"/>
        <w:gridCol w:w="992"/>
        <w:gridCol w:w="90"/>
      </w:tblGrid>
      <w:tr w:rsidR="00C27F1D" w:rsidRPr="00C27F1D" w14:paraId="15E4E8A5" w14:textId="77777777" w:rsidTr="00604D67">
        <w:trPr>
          <w:gridAfter w:val="1"/>
          <w:wAfter w:w="90" w:type="dxa"/>
          <w:tblHeader/>
          <w:jc w:val="center"/>
        </w:trPr>
        <w:tc>
          <w:tcPr>
            <w:tcW w:w="2552"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5CF958FB" w14:textId="3CE72AFF"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lastRenderedPageBreak/>
              <w:t>Regions</w:t>
            </w:r>
          </w:p>
        </w:tc>
        <w:tc>
          <w:tcPr>
            <w:tcW w:w="1134"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64D76E7F"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0–19,</w:t>
            </w:r>
            <w:r w:rsidRPr="00C27F1D">
              <w:rPr>
                <w:rFonts w:eastAsia="Arial" w:cs="Times New Roman"/>
                <w:b/>
                <w:bCs/>
                <w:szCs w:val="24"/>
              </w:rPr>
              <w:br/>
              <w:t>N = 207 ¹</w:t>
            </w:r>
          </w:p>
        </w:tc>
        <w:tc>
          <w:tcPr>
            <w:tcW w:w="1417"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37B6EBC2"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20–39,</w:t>
            </w:r>
            <w:r w:rsidRPr="00C27F1D">
              <w:rPr>
                <w:rFonts w:eastAsia="Arial" w:cs="Times New Roman"/>
                <w:b/>
                <w:bCs/>
                <w:szCs w:val="24"/>
              </w:rPr>
              <w:br/>
              <w:t>N = 1 069 ¹</w:t>
            </w:r>
          </w:p>
        </w:tc>
        <w:tc>
          <w:tcPr>
            <w:tcW w:w="1418"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7F7F4159"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40–59,</w:t>
            </w:r>
            <w:r w:rsidRPr="00C27F1D">
              <w:rPr>
                <w:rFonts w:eastAsia="Arial" w:cs="Times New Roman"/>
                <w:b/>
                <w:bCs/>
                <w:szCs w:val="24"/>
              </w:rPr>
              <w:br/>
              <w:t>N = 4 027 ¹</w:t>
            </w:r>
          </w:p>
        </w:tc>
        <w:tc>
          <w:tcPr>
            <w:tcW w:w="1417"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4FFAE54C"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60–79,</w:t>
            </w:r>
            <w:r w:rsidRPr="00C27F1D">
              <w:rPr>
                <w:rFonts w:eastAsia="Arial" w:cs="Times New Roman"/>
                <w:b/>
                <w:bCs/>
                <w:szCs w:val="24"/>
              </w:rPr>
              <w:br/>
              <w:t>N = 2 716 ¹</w:t>
            </w:r>
          </w:p>
        </w:tc>
        <w:tc>
          <w:tcPr>
            <w:tcW w:w="1276"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673B7916"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80+,</w:t>
            </w:r>
            <w:r w:rsidRPr="00C27F1D">
              <w:rPr>
                <w:rFonts w:eastAsia="Arial" w:cs="Times New Roman"/>
                <w:b/>
                <w:bCs/>
                <w:szCs w:val="24"/>
              </w:rPr>
              <w:br/>
              <w:t>N = 131 ¹</w:t>
            </w:r>
          </w:p>
        </w:tc>
        <w:tc>
          <w:tcPr>
            <w:tcW w:w="992"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6FA13115"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p²</w:t>
            </w:r>
          </w:p>
        </w:tc>
      </w:tr>
      <w:tr w:rsidR="00C27F1D" w:rsidRPr="00C27F1D" w14:paraId="70B38C8A" w14:textId="77777777" w:rsidTr="00664E49">
        <w:trPr>
          <w:gridAfter w:val="1"/>
          <w:wAfter w:w="90" w:type="dxa"/>
          <w:jc w:val="center"/>
        </w:trPr>
        <w:tc>
          <w:tcPr>
            <w:tcW w:w="2552"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9BDB8B8" w14:textId="69D736E3"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cs="Times New Roman"/>
              </w:rPr>
              <w:t>Tashkent City</w:t>
            </w:r>
          </w:p>
        </w:tc>
        <w:tc>
          <w:tcPr>
            <w:tcW w:w="1134"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E6415DA"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22 (1,4%)</w:t>
            </w:r>
          </w:p>
        </w:tc>
        <w:tc>
          <w:tcPr>
            <w:tcW w:w="1417"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A73012"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116 (7,4%)</w:t>
            </w:r>
          </w:p>
        </w:tc>
        <w:tc>
          <w:tcPr>
            <w:tcW w:w="1418"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EC279C"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712 (45,6%)</w:t>
            </w:r>
          </w:p>
        </w:tc>
        <w:tc>
          <w:tcPr>
            <w:tcW w:w="1417"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B87C49"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652 (41,7%)</w:t>
            </w:r>
          </w:p>
        </w:tc>
        <w:tc>
          <w:tcPr>
            <w:tcW w:w="1276"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E84FCF3"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61 (3,9%)</w:t>
            </w:r>
          </w:p>
        </w:tc>
        <w:tc>
          <w:tcPr>
            <w:tcW w:w="992"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EE8B6A3"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45B1FA6C" w14:textId="77777777" w:rsidTr="00664E4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32377C1" w14:textId="37CDA3CB"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cs="Times New Roman"/>
              </w:rPr>
              <w:t>Andijan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B5F70F"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20 (3,2%)</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9D3F362"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77 (12,2%)</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2CD708"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333 (52,8%)</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424557"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198 (31,4%)</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6B08F9"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3 (0,5%)</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4427A8"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0B81173A" w14:textId="77777777" w:rsidTr="00664E4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7E0E962" w14:textId="22086788"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cs="Times New Roman"/>
              </w:rPr>
              <w:t>Bukhara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6640DF"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14 (2,5%)</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D396E8"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50 (8,8%)</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35131B4"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297 (52,1%)</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CEC7DC2"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203 (35,6%)</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7A18499"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6 (1,1%)</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A68A4A5"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282B27E3" w14:textId="77777777" w:rsidTr="00664E4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7264B1E8" w14:textId="264761D5"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proofErr w:type="spellStart"/>
            <w:r w:rsidRPr="00C27F1D">
              <w:rPr>
                <w:rFonts w:cs="Times New Roman"/>
              </w:rPr>
              <w:t>Jizzakh</w:t>
            </w:r>
            <w:proofErr w:type="spellEnd"/>
            <w:r w:rsidRPr="00C27F1D">
              <w:rPr>
                <w:rFonts w:cs="Times New Roman"/>
              </w:rPr>
              <w:t xml:space="preserve">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C0A0712"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17 (6,2%)</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BE05B2"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57 (20,9%)</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FED546E"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119 (43,6%)</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CCE6D7"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79 (28,9%)</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5C088A5"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 (0,4%)</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46E0CE"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6D67518D" w14:textId="77777777" w:rsidTr="00664E4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A5FC45" w14:textId="3EC35594"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proofErr w:type="spellStart"/>
            <w:r w:rsidRPr="00C27F1D">
              <w:rPr>
                <w:rFonts w:cs="Times New Roman"/>
              </w:rPr>
              <w:t>Kashkadarya</w:t>
            </w:r>
            <w:proofErr w:type="spellEnd"/>
            <w:r w:rsidRPr="00C27F1D">
              <w:rPr>
                <w:rFonts w:cs="Times New Roman"/>
              </w:rPr>
              <w:t xml:space="preserve">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CB9D82"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20 (3,4%)</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667824"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83 (14,0%)</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1BD6EB"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291 (49,1%)</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10C70B"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190 (32,0%)</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1B0CA63"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9 (1,5%)</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6510632"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22B508E2" w14:textId="77777777" w:rsidTr="00664E4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2FB08091" w14:textId="0FC48DFA"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cs="Times New Roman"/>
              </w:rPr>
              <w:t>Navoi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40F559"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 (0,5%)</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411136C"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33 (17,6%)</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E230A00"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102 (54,3%)</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436DD5"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52 (27,7%)</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D930F6"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 (0,0%)</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382A21"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3BA0684D" w14:textId="77777777" w:rsidTr="00664E4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622983A" w14:textId="224EE5E0"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cs="Times New Roman"/>
              </w:rPr>
              <w:t>Namangan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8369F8B"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14 (2,8%)</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93735B"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69 (13,7%)</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BD5E6D"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274 (54,4%)</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DC3286"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144 (28,6%)</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E8AF7A1"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3 (0,6%)</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4A90C4"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44E0F6B1" w14:textId="77777777" w:rsidTr="00664E4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3CE1530" w14:textId="6392AF4F"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cs="Times New Roman"/>
              </w:rPr>
              <w:t>Samarkand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0F834A"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25 (3,9%)</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22C9835"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100 (15,5%)</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D7F96D"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292 (45,1%)</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88B213"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222 (34,3%)</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2456D2"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8 (1,2%)</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23A0E9"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48E39F69" w14:textId="77777777" w:rsidTr="00664E4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0564BB72" w14:textId="285B4E03"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proofErr w:type="spellStart"/>
            <w:r w:rsidRPr="00C27F1D">
              <w:rPr>
                <w:rFonts w:cs="Times New Roman"/>
              </w:rPr>
              <w:t>Surkhandarya</w:t>
            </w:r>
            <w:proofErr w:type="spellEnd"/>
            <w:r w:rsidRPr="00C27F1D">
              <w:rPr>
                <w:rFonts w:cs="Times New Roman"/>
              </w:rPr>
              <w:t xml:space="preserve">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477C169"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22 (4,8%)</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1438714"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104 (22,5%)</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6A1CB02"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218 (47,2%)</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7F5BCCE"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110 (23,8%)</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9590F35"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8 (1,7%)</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8A91050"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550EDFEB" w14:textId="77777777" w:rsidTr="00664E4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5F674A85" w14:textId="30C1AB16"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proofErr w:type="spellStart"/>
            <w:r w:rsidRPr="00C27F1D">
              <w:rPr>
                <w:rFonts w:cs="Times New Roman"/>
              </w:rPr>
              <w:t>Syrdarya</w:t>
            </w:r>
            <w:proofErr w:type="spellEnd"/>
            <w:r w:rsidRPr="00C27F1D">
              <w:rPr>
                <w:rFonts w:cs="Times New Roman"/>
              </w:rPr>
              <w:t xml:space="preserve">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8A2C62E"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3 (1,6%)</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799A1D6"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33 (17,9%)</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BE26164"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96 (52,2%)</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6BEFA37"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51 (27,7%)</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791F55B"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 (0,5%)</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57E9B0C"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700212EA" w14:textId="77777777" w:rsidTr="00664E4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36B11BEE" w14:textId="2A55996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cs="Times New Roman"/>
              </w:rPr>
              <w:t>Tashkent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893FF8"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19 (2,0%)</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367E404"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126 (13,3%)</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A3158A"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442 (46,7%)</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27E2FCA"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343 (36,3%)</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FC3E5D"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16 (1,7%)</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0F1316D"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3559A178" w14:textId="77777777" w:rsidTr="00664E49">
        <w:trPr>
          <w:gridAfter w:val="1"/>
          <w:wAfter w:w="90" w:type="dxa"/>
          <w:jc w:val="center"/>
        </w:trPr>
        <w:tc>
          <w:tcPr>
            <w:tcW w:w="255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tcPr>
          <w:p w14:paraId="1A9C7FA4" w14:textId="3A833C7F"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cs="Times New Roman"/>
              </w:rPr>
              <w:t>Fergana Region</w:t>
            </w:r>
          </w:p>
        </w:tc>
        <w:tc>
          <w:tcPr>
            <w:tcW w:w="1134"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0D967F6"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17 (2,1%)</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F75F061"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99 (12,0%)</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9392ED"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430 (52,3%)</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A7883B2"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268 (32,6%)</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C6133E8"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8 (1,0%)</w:t>
            </w:r>
          </w:p>
        </w:tc>
        <w:tc>
          <w:tcPr>
            <w:tcW w:w="992"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81128DE"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440ACC95" w14:textId="77777777" w:rsidTr="00664E49">
        <w:trPr>
          <w:gridAfter w:val="1"/>
          <w:wAfter w:w="90" w:type="dxa"/>
          <w:jc w:val="center"/>
        </w:trPr>
        <w:tc>
          <w:tcPr>
            <w:tcW w:w="2552"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tcPr>
          <w:p w14:paraId="4A9443BF" w14:textId="4B158F63"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proofErr w:type="spellStart"/>
            <w:r w:rsidRPr="00C27F1D">
              <w:rPr>
                <w:rFonts w:cs="Times New Roman"/>
              </w:rPr>
              <w:t>Khorezm</w:t>
            </w:r>
            <w:proofErr w:type="spellEnd"/>
            <w:r w:rsidRPr="00C27F1D">
              <w:rPr>
                <w:rFonts w:cs="Times New Roman"/>
              </w:rPr>
              <w:t xml:space="preserve"> Region</w:t>
            </w:r>
          </w:p>
        </w:tc>
        <w:tc>
          <w:tcPr>
            <w:tcW w:w="1134"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34F7D758"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5 (1,4%)</w:t>
            </w:r>
          </w:p>
        </w:tc>
        <w:tc>
          <w:tcPr>
            <w:tcW w:w="1417"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30D2675"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57 (16,0%)</w:t>
            </w:r>
          </w:p>
        </w:tc>
        <w:tc>
          <w:tcPr>
            <w:tcW w:w="141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A892807"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191 (53,5%)</w:t>
            </w:r>
          </w:p>
        </w:tc>
        <w:tc>
          <w:tcPr>
            <w:tcW w:w="1417"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AD16000"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101 (28,3%)</w:t>
            </w:r>
          </w:p>
        </w:tc>
        <w:tc>
          <w:tcPr>
            <w:tcW w:w="127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D5C901B"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3 (0,8%)</w:t>
            </w:r>
          </w:p>
        </w:tc>
        <w:tc>
          <w:tcPr>
            <w:tcW w:w="992"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31126D1"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0C4AA2ED" w14:textId="77777777" w:rsidTr="00664E49">
        <w:trPr>
          <w:gridAfter w:val="1"/>
          <w:wAfter w:w="90" w:type="dxa"/>
          <w:jc w:val="center"/>
        </w:trPr>
        <w:tc>
          <w:tcPr>
            <w:tcW w:w="2552" w:type="dxa"/>
            <w:tcBorders>
              <w:bottom w:val="single" w:sz="18" w:space="0" w:color="000000" w:themeColor="text1"/>
            </w:tcBorders>
            <w:shd w:val="clear" w:color="auto" w:fill="FFFFFF"/>
            <w:tcMar>
              <w:top w:w="0" w:type="dxa"/>
              <w:left w:w="0" w:type="dxa"/>
              <w:bottom w:w="0" w:type="dxa"/>
              <w:right w:w="0" w:type="dxa"/>
            </w:tcMar>
          </w:tcPr>
          <w:p w14:paraId="6D5753DC" w14:textId="61052A25"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proofErr w:type="spellStart"/>
            <w:r w:rsidRPr="00C27F1D">
              <w:rPr>
                <w:rFonts w:cs="Times New Roman"/>
              </w:rPr>
              <w:t>Karakalpakstan</w:t>
            </w:r>
            <w:proofErr w:type="spellEnd"/>
          </w:p>
        </w:tc>
        <w:tc>
          <w:tcPr>
            <w:tcW w:w="1134" w:type="dxa"/>
            <w:tcBorders>
              <w:bottom w:val="single" w:sz="18" w:space="0" w:color="000000" w:themeColor="text1"/>
            </w:tcBorders>
            <w:shd w:val="clear" w:color="auto" w:fill="FFFFFF"/>
            <w:tcMar>
              <w:top w:w="0" w:type="dxa"/>
              <w:left w:w="0" w:type="dxa"/>
              <w:bottom w:w="0" w:type="dxa"/>
              <w:right w:w="0" w:type="dxa"/>
            </w:tcMar>
            <w:vAlign w:val="center"/>
          </w:tcPr>
          <w:p w14:paraId="4A3906B3"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8 (2,0%)</w:t>
            </w:r>
          </w:p>
        </w:tc>
        <w:tc>
          <w:tcPr>
            <w:tcW w:w="1417" w:type="dxa"/>
            <w:tcBorders>
              <w:bottom w:val="single" w:sz="18" w:space="0" w:color="000000" w:themeColor="text1"/>
            </w:tcBorders>
            <w:shd w:val="clear" w:color="auto" w:fill="FFFFFF"/>
            <w:tcMar>
              <w:top w:w="0" w:type="dxa"/>
              <w:left w:w="0" w:type="dxa"/>
              <w:bottom w:w="0" w:type="dxa"/>
              <w:right w:w="0" w:type="dxa"/>
            </w:tcMar>
            <w:vAlign w:val="center"/>
          </w:tcPr>
          <w:p w14:paraId="08C2CA89"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65 (15,9%)</w:t>
            </w:r>
          </w:p>
        </w:tc>
        <w:tc>
          <w:tcPr>
            <w:tcW w:w="1418" w:type="dxa"/>
            <w:tcBorders>
              <w:bottom w:val="single" w:sz="18" w:space="0" w:color="000000" w:themeColor="text1"/>
            </w:tcBorders>
            <w:shd w:val="clear" w:color="auto" w:fill="FFFFFF"/>
            <w:tcMar>
              <w:top w:w="0" w:type="dxa"/>
              <w:left w:w="0" w:type="dxa"/>
              <w:bottom w:w="0" w:type="dxa"/>
              <w:right w:w="0" w:type="dxa"/>
            </w:tcMar>
            <w:vAlign w:val="center"/>
          </w:tcPr>
          <w:p w14:paraId="33E0A484"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230 (56,1%)</w:t>
            </w:r>
          </w:p>
        </w:tc>
        <w:tc>
          <w:tcPr>
            <w:tcW w:w="1417" w:type="dxa"/>
            <w:tcBorders>
              <w:bottom w:val="single" w:sz="18" w:space="0" w:color="000000" w:themeColor="text1"/>
            </w:tcBorders>
            <w:shd w:val="clear" w:color="auto" w:fill="FFFFFF"/>
            <w:tcMar>
              <w:top w:w="0" w:type="dxa"/>
              <w:left w:w="0" w:type="dxa"/>
              <w:bottom w:w="0" w:type="dxa"/>
              <w:right w:w="0" w:type="dxa"/>
            </w:tcMar>
            <w:vAlign w:val="center"/>
          </w:tcPr>
          <w:p w14:paraId="4C141F03"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103 (25,1%)</w:t>
            </w:r>
          </w:p>
        </w:tc>
        <w:tc>
          <w:tcPr>
            <w:tcW w:w="1276" w:type="dxa"/>
            <w:tcBorders>
              <w:bottom w:val="single" w:sz="18" w:space="0" w:color="000000" w:themeColor="text1"/>
            </w:tcBorders>
            <w:shd w:val="clear" w:color="auto" w:fill="FFFFFF"/>
            <w:tcMar>
              <w:top w:w="0" w:type="dxa"/>
              <w:left w:w="0" w:type="dxa"/>
              <w:bottom w:w="0" w:type="dxa"/>
              <w:right w:w="0" w:type="dxa"/>
            </w:tcMar>
            <w:vAlign w:val="center"/>
          </w:tcPr>
          <w:p w14:paraId="3AF6A5BC"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4 (1,0%)</w:t>
            </w:r>
          </w:p>
        </w:tc>
        <w:tc>
          <w:tcPr>
            <w:tcW w:w="992" w:type="dxa"/>
            <w:tcBorders>
              <w:bottom w:val="single" w:sz="18" w:space="0" w:color="000000" w:themeColor="text1"/>
            </w:tcBorders>
            <w:shd w:val="clear" w:color="auto" w:fill="FFFFFF"/>
            <w:tcMar>
              <w:top w:w="0" w:type="dxa"/>
              <w:left w:w="0" w:type="dxa"/>
              <w:bottom w:w="0" w:type="dxa"/>
              <w:right w:w="0" w:type="dxa"/>
            </w:tcMar>
            <w:vAlign w:val="center"/>
          </w:tcPr>
          <w:p w14:paraId="2340E980" w14:textId="77777777" w:rsidR="000569BC" w:rsidRPr="00C27F1D" w:rsidRDefault="000569BC"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451D6261" w14:textId="77777777" w:rsidTr="00604D67">
        <w:trPr>
          <w:jc w:val="center"/>
        </w:trPr>
        <w:tc>
          <w:tcPr>
            <w:tcW w:w="10296" w:type="dxa"/>
            <w:gridSpan w:val="8"/>
            <w:tcBorders>
              <w:top w:val="single" w:sz="12" w:space="0" w:color="666666"/>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26592641"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¹ (n, %)</w:t>
            </w:r>
          </w:p>
        </w:tc>
      </w:tr>
      <w:tr w:rsidR="00C27F1D" w:rsidRPr="00C27F1D" w14:paraId="1A14E370" w14:textId="77777777" w:rsidTr="00604D67">
        <w:trPr>
          <w:jc w:val="center"/>
        </w:trPr>
        <w:tc>
          <w:tcPr>
            <w:tcW w:w="10296" w:type="dxa"/>
            <w:gridSpan w:val="8"/>
            <w:tcBorders>
              <w:top w:val="none" w:sz="0" w:space="0" w:color="FFFFFF"/>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13540A1E" w14:textId="50A326B6"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 xml:space="preserve">² </w:t>
            </w:r>
            <w:r w:rsidR="000569BC" w:rsidRPr="00C27F1D">
              <w:rPr>
                <w:rFonts w:eastAsia="Arial" w:cs="Times New Roman"/>
                <w:szCs w:val="24"/>
              </w:rPr>
              <w:t>Pearson’s chi-squared test</w:t>
            </w:r>
          </w:p>
        </w:tc>
      </w:tr>
    </w:tbl>
    <w:p w14:paraId="2E65FE8E" w14:textId="77777777" w:rsidR="000C395B" w:rsidRPr="00C27F1D" w:rsidRDefault="000C395B" w:rsidP="00C27F1D">
      <w:pPr>
        <w:spacing w:after="0" w:line="240" w:lineRule="auto"/>
        <w:ind w:firstLine="709"/>
        <w:jc w:val="both"/>
        <w:rPr>
          <w:rFonts w:cs="Times New Roman"/>
          <w:szCs w:val="24"/>
        </w:rPr>
      </w:pPr>
    </w:p>
    <w:p w14:paraId="19E35046" w14:textId="77777777" w:rsidR="000C395B" w:rsidRPr="00C27F1D" w:rsidRDefault="000C395B" w:rsidP="00C27F1D">
      <w:pPr>
        <w:spacing w:after="0" w:line="240" w:lineRule="auto"/>
        <w:ind w:firstLine="709"/>
        <w:jc w:val="both"/>
        <w:rPr>
          <w:rFonts w:cs="Times New Roman"/>
          <w:szCs w:val="24"/>
        </w:rPr>
      </w:pPr>
    </w:p>
    <w:p w14:paraId="408B5A3B" w14:textId="0971419D" w:rsidR="000C395B" w:rsidRPr="00C27F1D" w:rsidRDefault="000C395B" w:rsidP="00C27F1D">
      <w:pPr>
        <w:spacing w:after="0" w:line="240" w:lineRule="auto"/>
        <w:ind w:firstLine="709"/>
        <w:jc w:val="both"/>
        <w:rPr>
          <w:rFonts w:cs="Times New Roman"/>
          <w:b/>
          <w:bCs/>
          <w:szCs w:val="24"/>
        </w:rPr>
      </w:pPr>
      <w:r w:rsidRPr="00C27F1D">
        <w:rPr>
          <w:rFonts w:cs="Times New Roman"/>
          <w:b/>
          <w:bCs/>
          <w:szCs w:val="24"/>
        </w:rPr>
        <w:t xml:space="preserve">Table 2. </w:t>
      </w:r>
      <w:r w:rsidR="000569BC" w:rsidRPr="00C27F1D">
        <w:rPr>
          <w:rFonts w:cs="Times New Roman"/>
          <w:b/>
          <w:bCs/>
          <w:szCs w:val="24"/>
        </w:rPr>
        <w:t>Dynamics of the age structure of cases by year (aggregated age groups), 2016–2024</w:t>
      </w:r>
      <w:r w:rsidRPr="00C27F1D">
        <w:rPr>
          <w:rFonts w:cs="Times New Roman"/>
          <w:b/>
          <w:bCs/>
          <w:szCs w:val="24"/>
        </w:rPr>
        <w:t>.</w:t>
      </w:r>
    </w:p>
    <w:tbl>
      <w:tblPr>
        <w:tblW w:w="9437" w:type="dxa"/>
        <w:tblLayout w:type="fixed"/>
        <w:tblLook w:val="0420" w:firstRow="1" w:lastRow="0" w:firstColumn="0" w:lastColumn="0" w:noHBand="0" w:noVBand="1"/>
      </w:tblPr>
      <w:tblGrid>
        <w:gridCol w:w="1080"/>
        <w:gridCol w:w="1188"/>
        <w:gridCol w:w="1418"/>
        <w:gridCol w:w="1417"/>
        <w:gridCol w:w="1418"/>
        <w:gridCol w:w="1276"/>
        <w:gridCol w:w="1628"/>
        <w:gridCol w:w="12"/>
      </w:tblGrid>
      <w:tr w:rsidR="00C27F1D" w:rsidRPr="00C27F1D" w14:paraId="57B49DDE" w14:textId="77777777" w:rsidTr="00604D67">
        <w:trPr>
          <w:gridAfter w:val="1"/>
          <w:wAfter w:w="12" w:type="dxa"/>
          <w:tblHeader/>
        </w:trPr>
        <w:tc>
          <w:tcPr>
            <w:tcW w:w="1080"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3D116A3E" w14:textId="60B27758"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Years</w:t>
            </w:r>
          </w:p>
        </w:tc>
        <w:tc>
          <w:tcPr>
            <w:tcW w:w="1188"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60259A13"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0–19,</w:t>
            </w:r>
            <w:r w:rsidRPr="00C27F1D">
              <w:rPr>
                <w:rFonts w:eastAsia="Arial" w:cs="Times New Roman"/>
                <w:b/>
                <w:bCs/>
                <w:szCs w:val="24"/>
              </w:rPr>
              <w:br/>
            </w:r>
            <w:r w:rsidRPr="00C27F1D">
              <w:rPr>
                <w:rFonts w:eastAsia="Arial" w:cs="Times New Roman"/>
                <w:szCs w:val="24"/>
              </w:rPr>
              <w:t>N = 207 ¹</w:t>
            </w:r>
          </w:p>
        </w:tc>
        <w:tc>
          <w:tcPr>
            <w:tcW w:w="1418"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1D94A4AB"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20–39,</w:t>
            </w:r>
            <w:r w:rsidRPr="00C27F1D">
              <w:rPr>
                <w:rFonts w:eastAsia="Arial" w:cs="Times New Roman"/>
                <w:b/>
                <w:bCs/>
                <w:szCs w:val="24"/>
              </w:rPr>
              <w:br/>
            </w:r>
            <w:r w:rsidRPr="00C27F1D">
              <w:rPr>
                <w:rFonts w:eastAsia="Arial" w:cs="Times New Roman"/>
                <w:szCs w:val="24"/>
              </w:rPr>
              <w:t>N = 1 069 ¹</w:t>
            </w:r>
          </w:p>
        </w:tc>
        <w:tc>
          <w:tcPr>
            <w:tcW w:w="1417"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6A7DFED3"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40–59,</w:t>
            </w:r>
            <w:r w:rsidRPr="00C27F1D">
              <w:rPr>
                <w:rFonts w:eastAsia="Arial" w:cs="Times New Roman"/>
                <w:b/>
                <w:bCs/>
                <w:szCs w:val="24"/>
              </w:rPr>
              <w:br/>
            </w:r>
            <w:r w:rsidRPr="00C27F1D">
              <w:rPr>
                <w:rFonts w:eastAsia="Arial" w:cs="Times New Roman"/>
                <w:szCs w:val="24"/>
              </w:rPr>
              <w:t>N = 4 027 ¹</w:t>
            </w:r>
          </w:p>
        </w:tc>
        <w:tc>
          <w:tcPr>
            <w:tcW w:w="1418"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7EA5C229"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60–79,</w:t>
            </w:r>
            <w:r w:rsidRPr="00C27F1D">
              <w:rPr>
                <w:rFonts w:eastAsia="Arial" w:cs="Times New Roman"/>
                <w:b/>
                <w:bCs/>
                <w:szCs w:val="24"/>
              </w:rPr>
              <w:br/>
            </w:r>
            <w:r w:rsidRPr="00C27F1D">
              <w:rPr>
                <w:rFonts w:eastAsia="Arial" w:cs="Times New Roman"/>
                <w:szCs w:val="24"/>
              </w:rPr>
              <w:t>N = 2 716 ¹</w:t>
            </w:r>
          </w:p>
        </w:tc>
        <w:tc>
          <w:tcPr>
            <w:tcW w:w="1276"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3816931C"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80+,</w:t>
            </w:r>
            <w:r w:rsidRPr="00C27F1D">
              <w:rPr>
                <w:rFonts w:eastAsia="Arial" w:cs="Times New Roman"/>
                <w:b/>
                <w:bCs/>
                <w:szCs w:val="24"/>
              </w:rPr>
              <w:br/>
            </w:r>
            <w:r w:rsidRPr="00C27F1D">
              <w:rPr>
                <w:rFonts w:eastAsia="Arial" w:cs="Times New Roman"/>
                <w:szCs w:val="24"/>
              </w:rPr>
              <w:t>N = 131 ¹</w:t>
            </w:r>
          </w:p>
        </w:tc>
        <w:tc>
          <w:tcPr>
            <w:tcW w:w="1628"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55166885" w14:textId="64D52698"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p-value²</w:t>
            </w:r>
          </w:p>
        </w:tc>
      </w:tr>
      <w:tr w:rsidR="00C27F1D" w:rsidRPr="00C27F1D" w14:paraId="3ED1DC79" w14:textId="77777777" w:rsidTr="00604D67">
        <w:trPr>
          <w:gridAfter w:val="1"/>
          <w:wAfter w:w="12" w:type="dxa"/>
        </w:trPr>
        <w:tc>
          <w:tcPr>
            <w:tcW w:w="1080"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7192889"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2016</w:t>
            </w:r>
          </w:p>
        </w:tc>
        <w:tc>
          <w:tcPr>
            <w:tcW w:w="1188"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34F646"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20 (2,8%)</w:t>
            </w:r>
          </w:p>
        </w:tc>
        <w:tc>
          <w:tcPr>
            <w:tcW w:w="1418"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9D8A17D"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108 (15,0%)</w:t>
            </w:r>
          </w:p>
        </w:tc>
        <w:tc>
          <w:tcPr>
            <w:tcW w:w="1417"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B80BE1"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413 (57,3%)</w:t>
            </w:r>
          </w:p>
        </w:tc>
        <w:tc>
          <w:tcPr>
            <w:tcW w:w="1418"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DAC9DEB"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173 (24,0%)</w:t>
            </w:r>
          </w:p>
        </w:tc>
        <w:tc>
          <w:tcPr>
            <w:tcW w:w="1276"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232F87E"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7 (1,0%)</w:t>
            </w:r>
          </w:p>
        </w:tc>
        <w:tc>
          <w:tcPr>
            <w:tcW w:w="1628"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73D57C"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3747D839" w14:textId="77777777" w:rsidTr="00604D67">
        <w:trPr>
          <w:gridAfter w:val="1"/>
          <w:wAfter w:w="12" w:type="dxa"/>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403F36A"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lastRenderedPageBreak/>
              <w:t>2017</w:t>
            </w:r>
          </w:p>
        </w:tc>
        <w:tc>
          <w:tcPr>
            <w:tcW w:w="11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69DDABC"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27 (3,5%)</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0DD451A"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125 (16,1%)</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3B0B203"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385 (49,6%)</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CAA0671"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225 (29,0%)</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1C5DF5C"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14 (1,8%)</w:t>
            </w:r>
          </w:p>
        </w:tc>
        <w:tc>
          <w:tcPr>
            <w:tcW w:w="16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F16C31C"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71E11EA0" w14:textId="77777777" w:rsidTr="00604D67">
        <w:trPr>
          <w:gridAfter w:val="1"/>
          <w:wAfter w:w="12" w:type="dxa"/>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A3ECE62"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2018</w:t>
            </w:r>
          </w:p>
        </w:tc>
        <w:tc>
          <w:tcPr>
            <w:tcW w:w="11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68070FA"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23 (2,8%)</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87AE575"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109 (13,1%)</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C1B404"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445 (53,7%)</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B23B055"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241 (29,1%)</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306D2C"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11 (1,3%)</w:t>
            </w:r>
          </w:p>
        </w:tc>
        <w:tc>
          <w:tcPr>
            <w:tcW w:w="16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D8DE9E"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219C141B" w14:textId="77777777" w:rsidTr="00604D67">
        <w:trPr>
          <w:gridAfter w:val="1"/>
          <w:wAfter w:w="12" w:type="dxa"/>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60C80C"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2019</w:t>
            </w:r>
          </w:p>
        </w:tc>
        <w:tc>
          <w:tcPr>
            <w:tcW w:w="11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FE77229"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21 (2,5%)</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D138E20"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98 (11,5%)</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2402597"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449 (52,8%)</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EEBBAA"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267 (31,4%)</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EA2503B"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15 (1,8%)</w:t>
            </w:r>
          </w:p>
        </w:tc>
        <w:tc>
          <w:tcPr>
            <w:tcW w:w="16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3ECE1B8"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69C83822" w14:textId="77777777" w:rsidTr="00604D67">
        <w:trPr>
          <w:gridAfter w:val="1"/>
          <w:wAfter w:w="12" w:type="dxa"/>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BC157D"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2020</w:t>
            </w:r>
          </w:p>
        </w:tc>
        <w:tc>
          <w:tcPr>
            <w:tcW w:w="11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99159C3"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23 (2,8%)</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2D89B2"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124 (14,9%)</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608553E"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430 (51,6%)</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8BB14B8"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243 (29,1%)</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C16D7F1"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14 (1,7%)</w:t>
            </w:r>
          </w:p>
        </w:tc>
        <w:tc>
          <w:tcPr>
            <w:tcW w:w="16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67377B"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2A63DA6E" w14:textId="77777777" w:rsidTr="00604D67">
        <w:trPr>
          <w:gridAfter w:val="1"/>
          <w:wAfter w:w="12" w:type="dxa"/>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11E5102"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2021</w:t>
            </w:r>
          </w:p>
        </w:tc>
        <w:tc>
          <w:tcPr>
            <w:tcW w:w="11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3169FB4"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27 (2,7%)</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5F99E65"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132 (13,4%)</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43E7902"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490 (49,7%)</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BB52648"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324 (32,9%)</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F8A68DA"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12 (1,2%)</w:t>
            </w:r>
          </w:p>
        </w:tc>
        <w:tc>
          <w:tcPr>
            <w:tcW w:w="16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BE56515"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324132F8" w14:textId="77777777" w:rsidTr="00604D67">
        <w:trPr>
          <w:gridAfter w:val="1"/>
          <w:wAfter w:w="12" w:type="dxa"/>
        </w:trPr>
        <w:tc>
          <w:tcPr>
            <w:tcW w:w="1080"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3BF74EB"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2022</w:t>
            </w:r>
          </w:p>
        </w:tc>
        <w:tc>
          <w:tcPr>
            <w:tcW w:w="118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2F535BB"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25 (2,4%)</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41B4962"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139 (13,5%)</w:t>
            </w:r>
          </w:p>
        </w:tc>
        <w:tc>
          <w:tcPr>
            <w:tcW w:w="1417"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5DB1794"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490 (47,4%)</w:t>
            </w:r>
          </w:p>
        </w:tc>
        <w:tc>
          <w:tcPr>
            <w:tcW w:w="141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12486F2"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363 (35,1%)</w:t>
            </w:r>
          </w:p>
        </w:tc>
        <w:tc>
          <w:tcPr>
            <w:tcW w:w="1276"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59C743"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16 (1,5%)</w:t>
            </w:r>
          </w:p>
        </w:tc>
        <w:tc>
          <w:tcPr>
            <w:tcW w:w="1628"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3C3E048C"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786F33A0" w14:textId="77777777" w:rsidTr="00604D67">
        <w:trPr>
          <w:gridAfter w:val="1"/>
          <w:wAfter w:w="12" w:type="dxa"/>
        </w:trPr>
        <w:tc>
          <w:tcPr>
            <w:tcW w:w="1080"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0A4D3235"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2023</w:t>
            </w:r>
          </w:p>
        </w:tc>
        <w:tc>
          <w:tcPr>
            <w:tcW w:w="118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4E8BD420"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21 (2,1%)</w:t>
            </w:r>
          </w:p>
        </w:tc>
        <w:tc>
          <w:tcPr>
            <w:tcW w:w="141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6555A44B"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114 (11,5%)</w:t>
            </w:r>
          </w:p>
        </w:tc>
        <w:tc>
          <w:tcPr>
            <w:tcW w:w="1417"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18CB4D4"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450 (45,4%)</w:t>
            </w:r>
          </w:p>
        </w:tc>
        <w:tc>
          <w:tcPr>
            <w:tcW w:w="141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2E01EBDA"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387 (39,1%)</w:t>
            </w:r>
          </w:p>
        </w:tc>
        <w:tc>
          <w:tcPr>
            <w:tcW w:w="1276"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AC1E4F0"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19 (1,9%)</w:t>
            </w:r>
          </w:p>
        </w:tc>
        <w:tc>
          <w:tcPr>
            <w:tcW w:w="1628"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1B787D64"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0C5E899B" w14:textId="77777777" w:rsidTr="00604D67">
        <w:trPr>
          <w:gridAfter w:val="1"/>
          <w:wAfter w:w="12" w:type="dxa"/>
        </w:trPr>
        <w:tc>
          <w:tcPr>
            <w:tcW w:w="1080" w:type="dxa"/>
            <w:tcBorders>
              <w:bottom w:val="single" w:sz="18" w:space="0" w:color="000000" w:themeColor="text1"/>
            </w:tcBorders>
            <w:shd w:val="clear" w:color="auto" w:fill="FFFFFF"/>
            <w:tcMar>
              <w:top w:w="0" w:type="dxa"/>
              <w:left w:w="0" w:type="dxa"/>
              <w:bottom w:w="0" w:type="dxa"/>
              <w:right w:w="0" w:type="dxa"/>
            </w:tcMar>
            <w:vAlign w:val="center"/>
          </w:tcPr>
          <w:p w14:paraId="5D1C7A35"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2024</w:t>
            </w:r>
          </w:p>
        </w:tc>
        <w:tc>
          <w:tcPr>
            <w:tcW w:w="1188" w:type="dxa"/>
            <w:tcBorders>
              <w:bottom w:val="single" w:sz="18" w:space="0" w:color="000000" w:themeColor="text1"/>
            </w:tcBorders>
            <w:shd w:val="clear" w:color="auto" w:fill="FFFFFF"/>
            <w:tcMar>
              <w:top w:w="0" w:type="dxa"/>
              <w:left w:w="0" w:type="dxa"/>
              <w:bottom w:w="0" w:type="dxa"/>
              <w:right w:w="0" w:type="dxa"/>
            </w:tcMar>
            <w:vAlign w:val="center"/>
          </w:tcPr>
          <w:p w14:paraId="2889317A"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20 (1,8%)</w:t>
            </w:r>
          </w:p>
        </w:tc>
        <w:tc>
          <w:tcPr>
            <w:tcW w:w="1418" w:type="dxa"/>
            <w:tcBorders>
              <w:bottom w:val="single" w:sz="18" w:space="0" w:color="000000" w:themeColor="text1"/>
            </w:tcBorders>
            <w:shd w:val="clear" w:color="auto" w:fill="FFFFFF"/>
            <w:tcMar>
              <w:top w:w="0" w:type="dxa"/>
              <w:left w:w="0" w:type="dxa"/>
              <w:bottom w:w="0" w:type="dxa"/>
              <w:right w:w="0" w:type="dxa"/>
            </w:tcMar>
            <w:vAlign w:val="center"/>
          </w:tcPr>
          <w:p w14:paraId="323BD037"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120 (10,6%)</w:t>
            </w:r>
          </w:p>
        </w:tc>
        <w:tc>
          <w:tcPr>
            <w:tcW w:w="1417" w:type="dxa"/>
            <w:tcBorders>
              <w:bottom w:val="single" w:sz="18" w:space="0" w:color="000000" w:themeColor="text1"/>
            </w:tcBorders>
            <w:shd w:val="clear" w:color="auto" w:fill="FFFFFF"/>
            <w:tcMar>
              <w:top w:w="0" w:type="dxa"/>
              <w:left w:w="0" w:type="dxa"/>
              <w:bottom w:w="0" w:type="dxa"/>
              <w:right w:w="0" w:type="dxa"/>
            </w:tcMar>
            <w:vAlign w:val="center"/>
          </w:tcPr>
          <w:p w14:paraId="3BAF9EFB"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475 (42,0%)</w:t>
            </w:r>
          </w:p>
        </w:tc>
        <w:tc>
          <w:tcPr>
            <w:tcW w:w="1418" w:type="dxa"/>
            <w:tcBorders>
              <w:bottom w:val="single" w:sz="18" w:space="0" w:color="000000" w:themeColor="text1"/>
            </w:tcBorders>
            <w:shd w:val="clear" w:color="auto" w:fill="FFFFFF"/>
            <w:tcMar>
              <w:top w:w="0" w:type="dxa"/>
              <w:left w:w="0" w:type="dxa"/>
              <w:bottom w:w="0" w:type="dxa"/>
              <w:right w:w="0" w:type="dxa"/>
            </w:tcMar>
            <w:vAlign w:val="center"/>
          </w:tcPr>
          <w:p w14:paraId="5B72C438"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493 (43,6%)</w:t>
            </w:r>
          </w:p>
        </w:tc>
        <w:tc>
          <w:tcPr>
            <w:tcW w:w="1276" w:type="dxa"/>
            <w:tcBorders>
              <w:bottom w:val="single" w:sz="18" w:space="0" w:color="000000" w:themeColor="text1"/>
            </w:tcBorders>
            <w:shd w:val="clear" w:color="auto" w:fill="FFFFFF"/>
            <w:tcMar>
              <w:top w:w="0" w:type="dxa"/>
              <w:left w:w="0" w:type="dxa"/>
              <w:bottom w:w="0" w:type="dxa"/>
              <w:right w:w="0" w:type="dxa"/>
            </w:tcMar>
            <w:vAlign w:val="center"/>
          </w:tcPr>
          <w:p w14:paraId="5CDE8BA8"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23 (2,0%)</w:t>
            </w:r>
          </w:p>
        </w:tc>
        <w:tc>
          <w:tcPr>
            <w:tcW w:w="1628" w:type="dxa"/>
            <w:tcBorders>
              <w:bottom w:val="single" w:sz="18" w:space="0" w:color="000000" w:themeColor="text1"/>
            </w:tcBorders>
            <w:shd w:val="clear" w:color="auto" w:fill="FFFFFF"/>
            <w:tcMar>
              <w:top w:w="0" w:type="dxa"/>
              <w:left w:w="0" w:type="dxa"/>
              <w:bottom w:w="0" w:type="dxa"/>
              <w:right w:w="0" w:type="dxa"/>
            </w:tcMar>
            <w:vAlign w:val="center"/>
          </w:tcPr>
          <w:p w14:paraId="60A09AC6"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b/>
                <w:szCs w:val="24"/>
              </w:rPr>
              <w:t>&lt;0,001</w:t>
            </w:r>
          </w:p>
        </w:tc>
      </w:tr>
      <w:tr w:rsidR="00C27F1D" w:rsidRPr="00C27F1D" w14:paraId="04DE7988" w14:textId="77777777" w:rsidTr="00604D67">
        <w:tc>
          <w:tcPr>
            <w:tcW w:w="9437" w:type="dxa"/>
            <w:gridSpan w:val="8"/>
            <w:tcBorders>
              <w:top w:val="single" w:sz="12" w:space="0" w:color="666666"/>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21D1B376"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¹ (n, %)</w:t>
            </w:r>
          </w:p>
        </w:tc>
      </w:tr>
      <w:tr w:rsidR="00C27F1D" w:rsidRPr="00C27F1D" w14:paraId="384C935A" w14:textId="77777777" w:rsidTr="00604D67">
        <w:tc>
          <w:tcPr>
            <w:tcW w:w="9437" w:type="dxa"/>
            <w:gridSpan w:val="8"/>
            <w:tcBorders>
              <w:top w:val="none" w:sz="0" w:space="0" w:color="FFFFFF"/>
              <w:left w:val="none" w:sz="0" w:space="0" w:color="FFFFFF"/>
              <w:bottom w:val="none" w:sz="0" w:space="0" w:color="FFFFFF"/>
              <w:right w:val="none" w:sz="0" w:space="0" w:color="FFFFFF"/>
            </w:tcBorders>
            <w:shd w:val="clear" w:color="auto" w:fill="FFFFFF"/>
            <w:tcMar>
              <w:top w:w="0" w:type="dxa"/>
              <w:left w:w="0" w:type="dxa"/>
              <w:bottom w:w="0" w:type="dxa"/>
              <w:right w:w="0" w:type="dxa"/>
            </w:tcMar>
            <w:vAlign w:val="center"/>
          </w:tcPr>
          <w:p w14:paraId="65E90AB4" w14:textId="0CEFA5E0"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 xml:space="preserve">² </w:t>
            </w:r>
            <w:r w:rsidR="000569BC" w:rsidRPr="00C27F1D">
              <w:rPr>
                <w:rFonts w:eastAsia="Arial" w:cs="Times New Roman"/>
                <w:szCs w:val="24"/>
              </w:rPr>
              <w:t>Pearson’s chi-squared test</w:t>
            </w:r>
          </w:p>
        </w:tc>
      </w:tr>
    </w:tbl>
    <w:p w14:paraId="6CBDB61D" w14:textId="77777777" w:rsidR="000C395B" w:rsidRPr="00C27F1D" w:rsidRDefault="000C395B" w:rsidP="00C27F1D">
      <w:pPr>
        <w:spacing w:after="0" w:line="240" w:lineRule="auto"/>
        <w:ind w:firstLine="709"/>
        <w:jc w:val="both"/>
        <w:rPr>
          <w:rFonts w:cs="Times New Roman"/>
          <w:szCs w:val="24"/>
        </w:rPr>
      </w:pPr>
    </w:p>
    <w:p w14:paraId="45006F3F" w14:textId="77777777" w:rsidR="000C395B" w:rsidRPr="00C27F1D" w:rsidRDefault="000C395B" w:rsidP="00C27F1D">
      <w:pPr>
        <w:spacing w:after="0" w:line="240" w:lineRule="auto"/>
        <w:ind w:firstLine="709"/>
        <w:jc w:val="both"/>
        <w:rPr>
          <w:rFonts w:cs="Times New Roman"/>
          <w:szCs w:val="24"/>
        </w:rPr>
      </w:pPr>
    </w:p>
    <w:p w14:paraId="3CB88F57" w14:textId="2730A998" w:rsidR="000C395B" w:rsidRPr="00C27F1D" w:rsidRDefault="000C395B" w:rsidP="00C27F1D">
      <w:pPr>
        <w:spacing w:after="0" w:line="240" w:lineRule="auto"/>
        <w:ind w:firstLine="709"/>
        <w:jc w:val="both"/>
        <w:rPr>
          <w:rFonts w:cs="Times New Roman"/>
          <w:b/>
          <w:bCs/>
          <w:szCs w:val="24"/>
        </w:rPr>
      </w:pPr>
      <w:r w:rsidRPr="00C27F1D">
        <w:rPr>
          <w:rFonts w:cs="Times New Roman"/>
          <w:b/>
          <w:bCs/>
          <w:szCs w:val="24"/>
        </w:rPr>
        <w:t xml:space="preserve">Table 3. </w:t>
      </w:r>
      <w:r w:rsidR="000569BC" w:rsidRPr="00C27F1D">
        <w:rPr>
          <w:rFonts w:cs="Times New Roman"/>
          <w:b/>
          <w:bCs/>
          <w:szCs w:val="24"/>
        </w:rPr>
        <w:t>Age-specific crude incidence rates (CR, per 100,000) by year, 2016–2024</w:t>
      </w:r>
      <w:r w:rsidRPr="00C27F1D">
        <w:rPr>
          <w:rFonts w:cs="Times New Roman"/>
          <w:b/>
          <w:bCs/>
          <w:szCs w:val="24"/>
        </w:rPr>
        <w:t>.</w:t>
      </w:r>
    </w:p>
    <w:tbl>
      <w:tblPr>
        <w:tblW w:w="9479" w:type="dxa"/>
        <w:jc w:val="center"/>
        <w:tblLayout w:type="fixed"/>
        <w:tblLook w:val="0420" w:firstRow="1" w:lastRow="0" w:firstColumn="0" w:lastColumn="0" w:noHBand="0" w:noVBand="1"/>
      </w:tblPr>
      <w:tblGrid>
        <w:gridCol w:w="2333"/>
        <w:gridCol w:w="794"/>
        <w:gridCol w:w="794"/>
        <w:gridCol w:w="794"/>
        <w:gridCol w:w="794"/>
        <w:gridCol w:w="794"/>
        <w:gridCol w:w="794"/>
        <w:gridCol w:w="794"/>
        <w:gridCol w:w="794"/>
        <w:gridCol w:w="794"/>
      </w:tblGrid>
      <w:tr w:rsidR="00C27F1D" w:rsidRPr="00C27F1D" w14:paraId="1D9B0C61" w14:textId="77777777" w:rsidTr="00604D67">
        <w:trPr>
          <w:tblHeader/>
          <w:jc w:val="center"/>
        </w:trPr>
        <w:tc>
          <w:tcPr>
            <w:tcW w:w="2333"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0F5FD313" w14:textId="6291663C"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Age group</w:t>
            </w:r>
          </w:p>
        </w:tc>
        <w:tc>
          <w:tcPr>
            <w:tcW w:w="794"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6A314AE7"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2016</w:t>
            </w:r>
          </w:p>
        </w:tc>
        <w:tc>
          <w:tcPr>
            <w:tcW w:w="794"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0013794E"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2017</w:t>
            </w:r>
          </w:p>
        </w:tc>
        <w:tc>
          <w:tcPr>
            <w:tcW w:w="794"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062162B5"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2018</w:t>
            </w:r>
          </w:p>
        </w:tc>
        <w:tc>
          <w:tcPr>
            <w:tcW w:w="794"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49D4642A"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2019</w:t>
            </w:r>
          </w:p>
        </w:tc>
        <w:tc>
          <w:tcPr>
            <w:tcW w:w="794"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74137F68"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2020</w:t>
            </w:r>
          </w:p>
        </w:tc>
        <w:tc>
          <w:tcPr>
            <w:tcW w:w="794"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2B0BB2D7"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2021</w:t>
            </w:r>
          </w:p>
        </w:tc>
        <w:tc>
          <w:tcPr>
            <w:tcW w:w="794"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7AD8B7E5"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2022</w:t>
            </w:r>
          </w:p>
        </w:tc>
        <w:tc>
          <w:tcPr>
            <w:tcW w:w="794"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6713CB91"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2023</w:t>
            </w:r>
          </w:p>
        </w:tc>
        <w:tc>
          <w:tcPr>
            <w:tcW w:w="794" w:type="dxa"/>
            <w:tcBorders>
              <w:top w:val="single" w:sz="18" w:space="0" w:color="000000" w:themeColor="text1"/>
              <w:bottom w:val="single" w:sz="18" w:space="0" w:color="000000" w:themeColor="text1"/>
            </w:tcBorders>
            <w:shd w:val="clear" w:color="auto" w:fill="FFFFFF"/>
            <w:tcMar>
              <w:top w:w="0" w:type="dxa"/>
              <w:left w:w="0" w:type="dxa"/>
              <w:bottom w:w="0" w:type="dxa"/>
              <w:right w:w="0" w:type="dxa"/>
            </w:tcMar>
            <w:vAlign w:val="center"/>
          </w:tcPr>
          <w:p w14:paraId="7D7571C8"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b/>
                <w:bCs/>
                <w:szCs w:val="24"/>
              </w:rPr>
            </w:pPr>
            <w:r w:rsidRPr="00C27F1D">
              <w:rPr>
                <w:rFonts w:eastAsia="Arial" w:cs="Times New Roman"/>
                <w:b/>
                <w:bCs/>
                <w:szCs w:val="24"/>
              </w:rPr>
              <w:t>2024</w:t>
            </w:r>
          </w:p>
        </w:tc>
      </w:tr>
      <w:tr w:rsidR="00C27F1D" w:rsidRPr="00C27F1D" w14:paraId="309F54C3" w14:textId="77777777" w:rsidTr="00604D67">
        <w:trPr>
          <w:jc w:val="center"/>
        </w:trPr>
        <w:tc>
          <w:tcPr>
            <w:tcW w:w="2333" w:type="dxa"/>
            <w:tcBorders>
              <w:top w:val="single" w:sz="18" w:space="0" w:color="000000" w:themeColor="text1"/>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036AF7E"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0-4</w:t>
            </w:r>
          </w:p>
        </w:tc>
        <w:tc>
          <w:tcPr>
            <w:tcW w:w="794" w:type="dxa"/>
            <w:tcBorders>
              <w:top w:val="single" w:sz="18" w:space="0" w:color="000000" w:themeColor="text1"/>
              <w:left w:val="none" w:sz="0" w:space="0" w:color="000000"/>
              <w:bottom w:val="none" w:sz="0" w:space="0" w:color="000000"/>
              <w:right w:val="none" w:sz="0" w:space="0" w:color="000000"/>
            </w:tcBorders>
            <w:shd w:val="clear" w:color="auto" w:fill="FDDFDC"/>
            <w:tcMar>
              <w:top w:w="0" w:type="dxa"/>
              <w:left w:w="0" w:type="dxa"/>
              <w:bottom w:w="0" w:type="dxa"/>
              <w:right w:w="0" w:type="dxa"/>
            </w:tcMar>
            <w:vAlign w:val="center"/>
          </w:tcPr>
          <w:p w14:paraId="2CF74ED7"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0,19</w:t>
            </w:r>
          </w:p>
        </w:tc>
        <w:tc>
          <w:tcPr>
            <w:tcW w:w="794" w:type="dxa"/>
            <w:tcBorders>
              <w:top w:val="single" w:sz="18" w:space="0" w:color="000000" w:themeColor="text1"/>
              <w:left w:val="none" w:sz="0" w:space="0" w:color="000000"/>
              <w:bottom w:val="none" w:sz="0" w:space="0" w:color="000000"/>
              <w:right w:val="none" w:sz="0" w:space="0" w:color="000000"/>
            </w:tcBorders>
            <w:shd w:val="clear" w:color="auto" w:fill="FDE0DD"/>
            <w:tcMar>
              <w:top w:w="0" w:type="dxa"/>
              <w:left w:w="0" w:type="dxa"/>
              <w:bottom w:w="0" w:type="dxa"/>
              <w:right w:w="0" w:type="dxa"/>
            </w:tcMar>
            <w:vAlign w:val="center"/>
          </w:tcPr>
          <w:p w14:paraId="26984E52"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0,06</w:t>
            </w:r>
          </w:p>
        </w:tc>
        <w:tc>
          <w:tcPr>
            <w:tcW w:w="794" w:type="dxa"/>
            <w:tcBorders>
              <w:top w:val="single" w:sz="18" w:space="0" w:color="000000" w:themeColor="text1"/>
              <w:left w:val="none" w:sz="0" w:space="0" w:color="000000"/>
              <w:bottom w:val="none" w:sz="0" w:space="0" w:color="000000"/>
              <w:right w:val="none" w:sz="0" w:space="0" w:color="000000"/>
            </w:tcBorders>
            <w:shd w:val="clear" w:color="auto" w:fill="FDE0DD"/>
            <w:tcMar>
              <w:top w:w="0" w:type="dxa"/>
              <w:left w:w="0" w:type="dxa"/>
              <w:bottom w:w="0" w:type="dxa"/>
              <w:right w:w="0" w:type="dxa"/>
            </w:tcMar>
            <w:vAlign w:val="center"/>
          </w:tcPr>
          <w:p w14:paraId="3C016CD1"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0,00</w:t>
            </w:r>
          </w:p>
        </w:tc>
        <w:tc>
          <w:tcPr>
            <w:tcW w:w="794" w:type="dxa"/>
            <w:tcBorders>
              <w:top w:val="single" w:sz="18" w:space="0" w:color="000000" w:themeColor="text1"/>
              <w:left w:val="none" w:sz="0" w:space="0" w:color="000000"/>
              <w:bottom w:val="none" w:sz="0" w:space="0" w:color="000000"/>
              <w:right w:val="none" w:sz="0" w:space="0" w:color="000000"/>
            </w:tcBorders>
            <w:shd w:val="clear" w:color="auto" w:fill="FDE0DD"/>
            <w:tcMar>
              <w:top w:w="0" w:type="dxa"/>
              <w:left w:w="0" w:type="dxa"/>
              <w:bottom w:w="0" w:type="dxa"/>
              <w:right w:w="0" w:type="dxa"/>
            </w:tcMar>
            <w:vAlign w:val="center"/>
          </w:tcPr>
          <w:p w14:paraId="1DB85D47"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0,00</w:t>
            </w:r>
          </w:p>
        </w:tc>
        <w:tc>
          <w:tcPr>
            <w:tcW w:w="794" w:type="dxa"/>
            <w:tcBorders>
              <w:top w:val="single" w:sz="18" w:space="0" w:color="000000" w:themeColor="text1"/>
              <w:left w:val="none" w:sz="0" w:space="0" w:color="000000"/>
              <w:bottom w:val="none" w:sz="0" w:space="0" w:color="000000"/>
              <w:right w:val="none" w:sz="0" w:space="0" w:color="000000"/>
            </w:tcBorders>
            <w:shd w:val="clear" w:color="auto" w:fill="FDDFDC"/>
            <w:tcMar>
              <w:top w:w="0" w:type="dxa"/>
              <w:left w:w="0" w:type="dxa"/>
              <w:bottom w:w="0" w:type="dxa"/>
              <w:right w:w="0" w:type="dxa"/>
            </w:tcMar>
            <w:vAlign w:val="center"/>
          </w:tcPr>
          <w:p w14:paraId="44DF2DFB"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0,23</w:t>
            </w:r>
          </w:p>
        </w:tc>
        <w:tc>
          <w:tcPr>
            <w:tcW w:w="794" w:type="dxa"/>
            <w:tcBorders>
              <w:top w:val="single" w:sz="18" w:space="0" w:color="000000" w:themeColor="text1"/>
              <w:left w:val="none" w:sz="0" w:space="0" w:color="000000"/>
              <w:bottom w:val="none" w:sz="0" w:space="0" w:color="000000"/>
              <w:right w:val="none" w:sz="0" w:space="0" w:color="000000"/>
            </w:tcBorders>
            <w:shd w:val="clear" w:color="auto" w:fill="FDDFDC"/>
            <w:tcMar>
              <w:top w:w="0" w:type="dxa"/>
              <w:left w:w="0" w:type="dxa"/>
              <w:bottom w:w="0" w:type="dxa"/>
              <w:right w:w="0" w:type="dxa"/>
            </w:tcMar>
            <w:vAlign w:val="center"/>
          </w:tcPr>
          <w:p w14:paraId="40F3D112"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0,16</w:t>
            </w:r>
          </w:p>
        </w:tc>
        <w:tc>
          <w:tcPr>
            <w:tcW w:w="794" w:type="dxa"/>
            <w:tcBorders>
              <w:top w:val="single" w:sz="18" w:space="0" w:color="000000" w:themeColor="text1"/>
              <w:left w:val="none" w:sz="0" w:space="0" w:color="000000"/>
              <w:bottom w:val="none" w:sz="0" w:space="0" w:color="000000"/>
              <w:right w:val="none" w:sz="0" w:space="0" w:color="000000"/>
            </w:tcBorders>
            <w:shd w:val="clear" w:color="auto" w:fill="FDDFDD"/>
            <w:tcMar>
              <w:top w:w="0" w:type="dxa"/>
              <w:left w:w="0" w:type="dxa"/>
              <w:bottom w:w="0" w:type="dxa"/>
              <w:right w:w="0" w:type="dxa"/>
            </w:tcMar>
            <w:vAlign w:val="center"/>
          </w:tcPr>
          <w:p w14:paraId="64A8860A"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0,10</w:t>
            </w:r>
          </w:p>
        </w:tc>
        <w:tc>
          <w:tcPr>
            <w:tcW w:w="794" w:type="dxa"/>
            <w:tcBorders>
              <w:top w:val="single" w:sz="18" w:space="0" w:color="000000" w:themeColor="text1"/>
              <w:left w:val="none" w:sz="0" w:space="0" w:color="000000"/>
              <w:bottom w:val="none" w:sz="0" w:space="0" w:color="000000"/>
              <w:right w:val="none" w:sz="0" w:space="0" w:color="000000"/>
            </w:tcBorders>
            <w:shd w:val="clear" w:color="auto" w:fill="FDDFDD"/>
            <w:tcMar>
              <w:top w:w="0" w:type="dxa"/>
              <w:left w:w="0" w:type="dxa"/>
              <w:bottom w:w="0" w:type="dxa"/>
              <w:right w:w="0" w:type="dxa"/>
            </w:tcMar>
            <w:vAlign w:val="center"/>
          </w:tcPr>
          <w:p w14:paraId="302B1A0E"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0,10</w:t>
            </w:r>
          </w:p>
        </w:tc>
        <w:tc>
          <w:tcPr>
            <w:tcW w:w="794" w:type="dxa"/>
            <w:tcBorders>
              <w:top w:val="single" w:sz="18" w:space="0" w:color="000000" w:themeColor="text1"/>
              <w:left w:val="none" w:sz="0" w:space="0" w:color="000000"/>
              <w:bottom w:val="none" w:sz="0" w:space="0" w:color="000000"/>
              <w:right w:val="none" w:sz="0" w:space="0" w:color="000000"/>
            </w:tcBorders>
            <w:shd w:val="clear" w:color="auto" w:fill="FDDFDD"/>
            <w:tcMar>
              <w:top w:w="0" w:type="dxa"/>
              <w:left w:w="0" w:type="dxa"/>
              <w:bottom w:w="0" w:type="dxa"/>
              <w:right w:w="0" w:type="dxa"/>
            </w:tcMar>
            <w:vAlign w:val="center"/>
          </w:tcPr>
          <w:p w14:paraId="00935E8F"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0,10</w:t>
            </w:r>
          </w:p>
        </w:tc>
      </w:tr>
      <w:tr w:rsidR="00C27F1D" w:rsidRPr="00C27F1D" w14:paraId="48F06DC0" w14:textId="77777777" w:rsidTr="00604D67">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6B839B40"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5-9</w:t>
            </w:r>
          </w:p>
        </w:tc>
        <w:tc>
          <w:tcPr>
            <w:tcW w:w="794" w:type="dxa"/>
            <w:tcBorders>
              <w:top w:val="none" w:sz="0" w:space="0" w:color="000000"/>
              <w:left w:val="none" w:sz="0" w:space="0" w:color="000000"/>
              <w:bottom w:val="none" w:sz="0" w:space="0" w:color="000000"/>
              <w:right w:val="none" w:sz="0" w:space="0" w:color="000000"/>
            </w:tcBorders>
            <w:shd w:val="clear" w:color="auto" w:fill="FDDFDC"/>
            <w:tcMar>
              <w:top w:w="0" w:type="dxa"/>
              <w:left w:w="0" w:type="dxa"/>
              <w:bottom w:w="0" w:type="dxa"/>
              <w:right w:w="0" w:type="dxa"/>
            </w:tcMar>
            <w:vAlign w:val="center"/>
          </w:tcPr>
          <w:p w14:paraId="32E7C67F"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0,14</w:t>
            </w:r>
          </w:p>
        </w:tc>
        <w:tc>
          <w:tcPr>
            <w:tcW w:w="794" w:type="dxa"/>
            <w:tcBorders>
              <w:top w:val="none" w:sz="0" w:space="0" w:color="000000"/>
              <w:left w:val="none" w:sz="0" w:space="0" w:color="000000"/>
              <w:bottom w:val="none" w:sz="0" w:space="0" w:color="000000"/>
              <w:right w:val="none" w:sz="0" w:space="0" w:color="000000"/>
            </w:tcBorders>
            <w:shd w:val="clear" w:color="auto" w:fill="FDDFDC"/>
            <w:tcMar>
              <w:top w:w="0" w:type="dxa"/>
              <w:left w:w="0" w:type="dxa"/>
              <w:bottom w:w="0" w:type="dxa"/>
              <w:right w:w="0" w:type="dxa"/>
            </w:tcMar>
            <w:vAlign w:val="center"/>
          </w:tcPr>
          <w:p w14:paraId="00B6C916"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0,20</w:t>
            </w:r>
          </w:p>
        </w:tc>
        <w:tc>
          <w:tcPr>
            <w:tcW w:w="794" w:type="dxa"/>
            <w:tcBorders>
              <w:top w:val="none" w:sz="0" w:space="0" w:color="000000"/>
              <w:left w:val="none" w:sz="0" w:space="0" w:color="000000"/>
              <w:bottom w:val="none" w:sz="0" w:space="0" w:color="000000"/>
              <w:right w:val="none" w:sz="0" w:space="0" w:color="000000"/>
            </w:tcBorders>
            <w:shd w:val="clear" w:color="auto" w:fill="FDDEDC"/>
            <w:tcMar>
              <w:top w:w="0" w:type="dxa"/>
              <w:left w:w="0" w:type="dxa"/>
              <w:bottom w:w="0" w:type="dxa"/>
              <w:right w:w="0" w:type="dxa"/>
            </w:tcMar>
            <w:vAlign w:val="center"/>
          </w:tcPr>
          <w:p w14:paraId="7F4D0763"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0,27</w:t>
            </w:r>
          </w:p>
        </w:tc>
        <w:tc>
          <w:tcPr>
            <w:tcW w:w="794" w:type="dxa"/>
            <w:tcBorders>
              <w:top w:val="none" w:sz="0" w:space="0" w:color="000000"/>
              <w:left w:val="none" w:sz="0" w:space="0" w:color="000000"/>
              <w:bottom w:val="none" w:sz="0" w:space="0" w:color="000000"/>
              <w:right w:val="none" w:sz="0" w:space="0" w:color="000000"/>
            </w:tcBorders>
            <w:shd w:val="clear" w:color="auto" w:fill="FDDEDC"/>
            <w:tcMar>
              <w:top w:w="0" w:type="dxa"/>
              <w:left w:w="0" w:type="dxa"/>
              <w:bottom w:w="0" w:type="dxa"/>
              <w:right w:w="0" w:type="dxa"/>
            </w:tcMar>
            <w:vAlign w:val="center"/>
          </w:tcPr>
          <w:p w14:paraId="49215C39"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0,33</w:t>
            </w:r>
          </w:p>
        </w:tc>
        <w:tc>
          <w:tcPr>
            <w:tcW w:w="794" w:type="dxa"/>
            <w:tcBorders>
              <w:top w:val="none" w:sz="0" w:space="0" w:color="000000"/>
              <w:left w:val="none" w:sz="0" w:space="0" w:color="000000"/>
              <w:bottom w:val="none" w:sz="0" w:space="0" w:color="000000"/>
              <w:right w:val="none" w:sz="0" w:space="0" w:color="000000"/>
            </w:tcBorders>
            <w:shd w:val="clear" w:color="auto" w:fill="FDDFDD"/>
            <w:tcMar>
              <w:top w:w="0" w:type="dxa"/>
              <w:left w:w="0" w:type="dxa"/>
              <w:bottom w:w="0" w:type="dxa"/>
              <w:right w:w="0" w:type="dxa"/>
            </w:tcMar>
            <w:vAlign w:val="center"/>
          </w:tcPr>
          <w:p w14:paraId="1FDBD472"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0,13</w:t>
            </w:r>
          </w:p>
        </w:tc>
        <w:tc>
          <w:tcPr>
            <w:tcW w:w="794" w:type="dxa"/>
            <w:tcBorders>
              <w:top w:val="none" w:sz="0" w:space="0" w:color="000000"/>
              <w:left w:val="none" w:sz="0" w:space="0" w:color="000000"/>
              <w:bottom w:val="none" w:sz="0" w:space="0" w:color="000000"/>
              <w:right w:val="none" w:sz="0" w:space="0" w:color="000000"/>
            </w:tcBorders>
            <w:shd w:val="clear" w:color="auto" w:fill="FDDEDC"/>
            <w:tcMar>
              <w:top w:w="0" w:type="dxa"/>
              <w:left w:w="0" w:type="dxa"/>
              <w:bottom w:w="0" w:type="dxa"/>
              <w:right w:w="0" w:type="dxa"/>
            </w:tcMar>
            <w:vAlign w:val="center"/>
          </w:tcPr>
          <w:p w14:paraId="4F71D5CE"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0,31</w:t>
            </w:r>
          </w:p>
        </w:tc>
        <w:tc>
          <w:tcPr>
            <w:tcW w:w="794" w:type="dxa"/>
            <w:tcBorders>
              <w:top w:val="none" w:sz="0" w:space="0" w:color="000000"/>
              <w:left w:val="none" w:sz="0" w:space="0" w:color="000000"/>
              <w:bottom w:val="none" w:sz="0" w:space="0" w:color="000000"/>
              <w:right w:val="none" w:sz="0" w:space="0" w:color="000000"/>
            </w:tcBorders>
            <w:shd w:val="clear" w:color="auto" w:fill="FDDFDD"/>
            <w:tcMar>
              <w:top w:w="0" w:type="dxa"/>
              <w:left w:w="0" w:type="dxa"/>
              <w:bottom w:w="0" w:type="dxa"/>
              <w:right w:w="0" w:type="dxa"/>
            </w:tcMar>
            <w:vAlign w:val="center"/>
          </w:tcPr>
          <w:p w14:paraId="5D24291C"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0,12</w:t>
            </w:r>
          </w:p>
        </w:tc>
        <w:tc>
          <w:tcPr>
            <w:tcW w:w="794" w:type="dxa"/>
            <w:tcBorders>
              <w:top w:val="none" w:sz="0" w:space="0" w:color="000000"/>
              <w:left w:val="none" w:sz="0" w:space="0" w:color="000000"/>
              <w:bottom w:val="none" w:sz="0" w:space="0" w:color="000000"/>
              <w:right w:val="none" w:sz="0" w:space="0" w:color="000000"/>
            </w:tcBorders>
            <w:shd w:val="clear" w:color="auto" w:fill="FDDFDD"/>
            <w:tcMar>
              <w:top w:w="0" w:type="dxa"/>
              <w:left w:w="0" w:type="dxa"/>
              <w:bottom w:w="0" w:type="dxa"/>
              <w:right w:w="0" w:type="dxa"/>
            </w:tcMar>
            <w:vAlign w:val="center"/>
          </w:tcPr>
          <w:p w14:paraId="4F49F8E1"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0,12</w:t>
            </w:r>
          </w:p>
        </w:tc>
        <w:tc>
          <w:tcPr>
            <w:tcW w:w="794" w:type="dxa"/>
            <w:tcBorders>
              <w:top w:val="none" w:sz="0" w:space="0" w:color="000000"/>
              <w:left w:val="none" w:sz="0" w:space="0" w:color="000000"/>
              <w:bottom w:val="none" w:sz="0" w:space="0" w:color="000000"/>
              <w:right w:val="none" w:sz="0" w:space="0" w:color="000000"/>
            </w:tcBorders>
            <w:shd w:val="clear" w:color="auto" w:fill="FDDFDD"/>
            <w:tcMar>
              <w:top w:w="0" w:type="dxa"/>
              <w:left w:w="0" w:type="dxa"/>
              <w:bottom w:w="0" w:type="dxa"/>
              <w:right w:w="0" w:type="dxa"/>
            </w:tcMar>
            <w:vAlign w:val="center"/>
          </w:tcPr>
          <w:p w14:paraId="63DDA42E"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0,12</w:t>
            </w:r>
          </w:p>
        </w:tc>
      </w:tr>
      <w:tr w:rsidR="00C27F1D" w:rsidRPr="00C27F1D" w14:paraId="1D6576E7" w14:textId="77777777" w:rsidTr="00604D67">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AAF2DF3"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10-14</w:t>
            </w:r>
          </w:p>
        </w:tc>
        <w:tc>
          <w:tcPr>
            <w:tcW w:w="794" w:type="dxa"/>
            <w:tcBorders>
              <w:top w:val="none" w:sz="0" w:space="0" w:color="000000"/>
              <w:left w:val="none" w:sz="0" w:space="0" w:color="000000"/>
              <w:bottom w:val="none" w:sz="0" w:space="0" w:color="000000"/>
              <w:right w:val="none" w:sz="0" w:space="0" w:color="000000"/>
            </w:tcBorders>
            <w:shd w:val="clear" w:color="auto" w:fill="FDDDDB"/>
            <w:tcMar>
              <w:top w:w="0" w:type="dxa"/>
              <w:left w:w="0" w:type="dxa"/>
              <w:bottom w:w="0" w:type="dxa"/>
              <w:right w:w="0" w:type="dxa"/>
            </w:tcMar>
            <w:vAlign w:val="center"/>
          </w:tcPr>
          <w:p w14:paraId="3D829CE4"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0,46</w:t>
            </w:r>
          </w:p>
        </w:tc>
        <w:tc>
          <w:tcPr>
            <w:tcW w:w="794" w:type="dxa"/>
            <w:tcBorders>
              <w:top w:val="none" w:sz="0" w:space="0" w:color="000000"/>
              <w:left w:val="none" w:sz="0" w:space="0" w:color="000000"/>
              <w:bottom w:val="none" w:sz="0" w:space="0" w:color="000000"/>
              <w:right w:val="none" w:sz="0" w:space="0" w:color="000000"/>
            </w:tcBorders>
            <w:shd w:val="clear" w:color="auto" w:fill="FDDEDC"/>
            <w:tcMar>
              <w:top w:w="0" w:type="dxa"/>
              <w:left w:w="0" w:type="dxa"/>
              <w:bottom w:w="0" w:type="dxa"/>
              <w:right w:w="0" w:type="dxa"/>
            </w:tcMar>
            <w:vAlign w:val="center"/>
          </w:tcPr>
          <w:p w14:paraId="56C9B9F5"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0,37</w:t>
            </w:r>
          </w:p>
        </w:tc>
        <w:tc>
          <w:tcPr>
            <w:tcW w:w="794" w:type="dxa"/>
            <w:tcBorders>
              <w:top w:val="none" w:sz="0" w:space="0" w:color="000000"/>
              <w:left w:val="none" w:sz="0" w:space="0" w:color="000000"/>
              <w:bottom w:val="none" w:sz="0" w:space="0" w:color="000000"/>
              <w:right w:val="none" w:sz="0" w:space="0" w:color="000000"/>
            </w:tcBorders>
            <w:shd w:val="clear" w:color="auto" w:fill="FDDEDC"/>
            <w:tcMar>
              <w:top w:w="0" w:type="dxa"/>
              <w:left w:w="0" w:type="dxa"/>
              <w:bottom w:w="0" w:type="dxa"/>
              <w:right w:w="0" w:type="dxa"/>
            </w:tcMar>
            <w:vAlign w:val="center"/>
          </w:tcPr>
          <w:p w14:paraId="13EFD1C2"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0,36</w:t>
            </w:r>
          </w:p>
        </w:tc>
        <w:tc>
          <w:tcPr>
            <w:tcW w:w="794" w:type="dxa"/>
            <w:tcBorders>
              <w:top w:val="none" w:sz="0" w:space="0" w:color="000000"/>
              <w:left w:val="none" w:sz="0" w:space="0" w:color="000000"/>
              <w:bottom w:val="none" w:sz="0" w:space="0" w:color="000000"/>
              <w:right w:val="none" w:sz="0" w:space="0" w:color="000000"/>
            </w:tcBorders>
            <w:shd w:val="clear" w:color="auto" w:fill="FDDDDB"/>
            <w:tcMar>
              <w:top w:w="0" w:type="dxa"/>
              <w:left w:w="0" w:type="dxa"/>
              <w:bottom w:w="0" w:type="dxa"/>
              <w:right w:w="0" w:type="dxa"/>
            </w:tcMar>
            <w:vAlign w:val="center"/>
          </w:tcPr>
          <w:p w14:paraId="724ECC93"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0,57</w:t>
            </w:r>
          </w:p>
        </w:tc>
        <w:tc>
          <w:tcPr>
            <w:tcW w:w="794" w:type="dxa"/>
            <w:tcBorders>
              <w:top w:val="none" w:sz="0" w:space="0" w:color="000000"/>
              <w:left w:val="none" w:sz="0" w:space="0" w:color="000000"/>
              <w:bottom w:val="none" w:sz="0" w:space="0" w:color="000000"/>
              <w:right w:val="none" w:sz="0" w:space="0" w:color="000000"/>
            </w:tcBorders>
            <w:shd w:val="clear" w:color="auto" w:fill="FDDEDC"/>
            <w:tcMar>
              <w:top w:w="0" w:type="dxa"/>
              <w:left w:w="0" w:type="dxa"/>
              <w:bottom w:w="0" w:type="dxa"/>
              <w:right w:w="0" w:type="dxa"/>
            </w:tcMar>
            <w:vAlign w:val="center"/>
          </w:tcPr>
          <w:p w14:paraId="540B2015"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0,34</w:t>
            </w:r>
          </w:p>
        </w:tc>
        <w:tc>
          <w:tcPr>
            <w:tcW w:w="794" w:type="dxa"/>
            <w:tcBorders>
              <w:top w:val="none" w:sz="0" w:space="0" w:color="000000"/>
              <w:left w:val="none" w:sz="0" w:space="0" w:color="000000"/>
              <w:bottom w:val="none" w:sz="0" w:space="0" w:color="000000"/>
              <w:right w:val="none" w:sz="0" w:space="0" w:color="000000"/>
            </w:tcBorders>
            <w:shd w:val="clear" w:color="auto" w:fill="FDDEDC"/>
            <w:tcMar>
              <w:top w:w="0" w:type="dxa"/>
              <w:left w:w="0" w:type="dxa"/>
              <w:bottom w:w="0" w:type="dxa"/>
              <w:right w:w="0" w:type="dxa"/>
            </w:tcMar>
            <w:vAlign w:val="center"/>
          </w:tcPr>
          <w:p w14:paraId="49DAA90F"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0,40</w:t>
            </w:r>
          </w:p>
        </w:tc>
        <w:tc>
          <w:tcPr>
            <w:tcW w:w="794" w:type="dxa"/>
            <w:tcBorders>
              <w:top w:val="none" w:sz="0" w:space="0" w:color="000000"/>
              <w:left w:val="none" w:sz="0" w:space="0" w:color="000000"/>
              <w:bottom w:val="none" w:sz="0" w:space="0" w:color="000000"/>
              <w:right w:val="none" w:sz="0" w:space="0" w:color="000000"/>
            </w:tcBorders>
            <w:shd w:val="clear" w:color="auto" w:fill="FDDDDB"/>
            <w:tcMar>
              <w:top w:w="0" w:type="dxa"/>
              <w:left w:w="0" w:type="dxa"/>
              <w:bottom w:w="0" w:type="dxa"/>
              <w:right w:w="0" w:type="dxa"/>
            </w:tcMar>
            <w:vAlign w:val="center"/>
          </w:tcPr>
          <w:p w14:paraId="64947FB6"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0,52</w:t>
            </w:r>
          </w:p>
        </w:tc>
        <w:tc>
          <w:tcPr>
            <w:tcW w:w="794" w:type="dxa"/>
            <w:tcBorders>
              <w:top w:val="none" w:sz="0" w:space="0" w:color="000000"/>
              <w:left w:val="none" w:sz="0" w:space="0" w:color="000000"/>
              <w:bottom w:val="none" w:sz="0" w:space="0" w:color="000000"/>
              <w:right w:val="none" w:sz="0" w:space="0" w:color="000000"/>
            </w:tcBorders>
            <w:shd w:val="clear" w:color="auto" w:fill="FDDDDB"/>
            <w:tcMar>
              <w:top w:w="0" w:type="dxa"/>
              <w:left w:w="0" w:type="dxa"/>
              <w:bottom w:w="0" w:type="dxa"/>
              <w:right w:w="0" w:type="dxa"/>
            </w:tcMar>
            <w:vAlign w:val="center"/>
          </w:tcPr>
          <w:p w14:paraId="2FF44C19"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0,46</w:t>
            </w:r>
          </w:p>
        </w:tc>
        <w:tc>
          <w:tcPr>
            <w:tcW w:w="794" w:type="dxa"/>
            <w:tcBorders>
              <w:top w:val="none" w:sz="0" w:space="0" w:color="000000"/>
              <w:left w:val="none" w:sz="0" w:space="0" w:color="000000"/>
              <w:bottom w:val="none" w:sz="0" w:space="0" w:color="000000"/>
              <w:right w:val="none" w:sz="0" w:space="0" w:color="000000"/>
            </w:tcBorders>
            <w:shd w:val="clear" w:color="auto" w:fill="FDDEDC"/>
            <w:tcMar>
              <w:top w:w="0" w:type="dxa"/>
              <w:left w:w="0" w:type="dxa"/>
              <w:bottom w:w="0" w:type="dxa"/>
              <w:right w:w="0" w:type="dxa"/>
            </w:tcMar>
            <w:vAlign w:val="center"/>
          </w:tcPr>
          <w:p w14:paraId="4A1832E6"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0,31</w:t>
            </w:r>
          </w:p>
        </w:tc>
      </w:tr>
      <w:tr w:rsidR="00C27F1D" w:rsidRPr="00C27F1D" w14:paraId="46B04EBA" w14:textId="77777777" w:rsidTr="00604D67">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88F2B1F"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15-19</w:t>
            </w:r>
          </w:p>
        </w:tc>
        <w:tc>
          <w:tcPr>
            <w:tcW w:w="794" w:type="dxa"/>
            <w:tcBorders>
              <w:top w:val="none" w:sz="0" w:space="0" w:color="000000"/>
              <w:left w:val="none" w:sz="0" w:space="0" w:color="000000"/>
              <w:bottom w:val="none" w:sz="0" w:space="0" w:color="000000"/>
              <w:right w:val="none" w:sz="0" w:space="0" w:color="000000"/>
            </w:tcBorders>
            <w:shd w:val="clear" w:color="auto" w:fill="FDDCDB"/>
            <w:tcMar>
              <w:top w:w="0" w:type="dxa"/>
              <w:left w:w="0" w:type="dxa"/>
              <w:bottom w:w="0" w:type="dxa"/>
              <w:right w:w="0" w:type="dxa"/>
            </w:tcMar>
            <w:vAlign w:val="center"/>
          </w:tcPr>
          <w:p w14:paraId="07762EBD"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0,66</w:t>
            </w:r>
          </w:p>
        </w:tc>
        <w:tc>
          <w:tcPr>
            <w:tcW w:w="794" w:type="dxa"/>
            <w:tcBorders>
              <w:top w:val="none" w:sz="0" w:space="0" w:color="000000"/>
              <w:left w:val="none" w:sz="0" w:space="0" w:color="000000"/>
              <w:bottom w:val="none" w:sz="0" w:space="0" w:color="000000"/>
              <w:right w:val="none" w:sz="0" w:space="0" w:color="000000"/>
            </w:tcBorders>
            <w:shd w:val="clear" w:color="auto" w:fill="FDD8D8"/>
            <w:tcMar>
              <w:top w:w="0" w:type="dxa"/>
              <w:left w:w="0" w:type="dxa"/>
              <w:bottom w:w="0" w:type="dxa"/>
              <w:right w:w="0" w:type="dxa"/>
            </w:tcMar>
            <w:vAlign w:val="center"/>
          </w:tcPr>
          <w:p w14:paraId="5BEBC068"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1,36</w:t>
            </w:r>
          </w:p>
        </w:tc>
        <w:tc>
          <w:tcPr>
            <w:tcW w:w="794" w:type="dxa"/>
            <w:tcBorders>
              <w:top w:val="none" w:sz="0" w:space="0" w:color="000000"/>
              <w:left w:val="none" w:sz="0" w:space="0" w:color="000000"/>
              <w:bottom w:val="none" w:sz="0" w:space="0" w:color="000000"/>
              <w:right w:val="none" w:sz="0" w:space="0" w:color="000000"/>
            </w:tcBorders>
            <w:shd w:val="clear" w:color="auto" w:fill="FDDAD9"/>
            <w:tcMar>
              <w:top w:w="0" w:type="dxa"/>
              <w:left w:w="0" w:type="dxa"/>
              <w:bottom w:w="0" w:type="dxa"/>
              <w:right w:w="0" w:type="dxa"/>
            </w:tcMar>
            <w:vAlign w:val="center"/>
          </w:tcPr>
          <w:p w14:paraId="7E413503"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1,08</w:t>
            </w:r>
          </w:p>
        </w:tc>
        <w:tc>
          <w:tcPr>
            <w:tcW w:w="794" w:type="dxa"/>
            <w:tcBorders>
              <w:top w:val="none" w:sz="0" w:space="0" w:color="000000"/>
              <w:left w:val="none" w:sz="0" w:space="0" w:color="000000"/>
              <w:bottom w:val="none" w:sz="0" w:space="0" w:color="000000"/>
              <w:right w:val="none" w:sz="0" w:space="0" w:color="000000"/>
            </w:tcBorders>
            <w:shd w:val="clear" w:color="auto" w:fill="FDDCDB"/>
            <w:tcMar>
              <w:top w:w="0" w:type="dxa"/>
              <w:left w:w="0" w:type="dxa"/>
              <w:bottom w:w="0" w:type="dxa"/>
              <w:right w:w="0" w:type="dxa"/>
            </w:tcMar>
            <w:vAlign w:val="center"/>
          </w:tcPr>
          <w:p w14:paraId="269BAF20"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0,62</w:t>
            </w:r>
          </w:p>
        </w:tc>
        <w:tc>
          <w:tcPr>
            <w:tcW w:w="794" w:type="dxa"/>
            <w:tcBorders>
              <w:top w:val="none" w:sz="0" w:space="0" w:color="000000"/>
              <w:left w:val="none" w:sz="0" w:space="0" w:color="000000"/>
              <w:bottom w:val="none" w:sz="0" w:space="0" w:color="000000"/>
              <w:right w:val="none" w:sz="0" w:space="0" w:color="000000"/>
            </w:tcBorders>
            <w:shd w:val="clear" w:color="auto" w:fill="FDDBDA"/>
            <w:tcMar>
              <w:top w:w="0" w:type="dxa"/>
              <w:left w:w="0" w:type="dxa"/>
              <w:bottom w:w="0" w:type="dxa"/>
              <w:right w:w="0" w:type="dxa"/>
            </w:tcMar>
            <w:vAlign w:val="center"/>
          </w:tcPr>
          <w:p w14:paraId="3D9A1BFE"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0,93</w:t>
            </w:r>
          </w:p>
        </w:tc>
        <w:tc>
          <w:tcPr>
            <w:tcW w:w="794" w:type="dxa"/>
            <w:tcBorders>
              <w:top w:val="none" w:sz="0" w:space="0" w:color="000000"/>
              <w:left w:val="none" w:sz="0" w:space="0" w:color="000000"/>
              <w:bottom w:val="none" w:sz="0" w:space="0" w:color="000000"/>
              <w:right w:val="none" w:sz="0" w:space="0" w:color="000000"/>
            </w:tcBorders>
            <w:shd w:val="clear" w:color="auto" w:fill="FDDAD9"/>
            <w:tcMar>
              <w:top w:w="0" w:type="dxa"/>
              <w:left w:w="0" w:type="dxa"/>
              <w:bottom w:w="0" w:type="dxa"/>
              <w:right w:w="0" w:type="dxa"/>
            </w:tcMar>
            <w:vAlign w:val="center"/>
          </w:tcPr>
          <w:p w14:paraId="5C30B00B"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1,00</w:t>
            </w:r>
          </w:p>
        </w:tc>
        <w:tc>
          <w:tcPr>
            <w:tcW w:w="794" w:type="dxa"/>
            <w:tcBorders>
              <w:top w:val="none" w:sz="0" w:space="0" w:color="000000"/>
              <w:left w:val="none" w:sz="0" w:space="0" w:color="000000"/>
              <w:bottom w:val="none" w:sz="0" w:space="0" w:color="000000"/>
              <w:right w:val="none" w:sz="0" w:space="0" w:color="000000"/>
            </w:tcBorders>
            <w:shd w:val="clear" w:color="auto" w:fill="FDDAD9"/>
            <w:tcMar>
              <w:top w:w="0" w:type="dxa"/>
              <w:left w:w="0" w:type="dxa"/>
              <w:bottom w:w="0" w:type="dxa"/>
              <w:right w:w="0" w:type="dxa"/>
            </w:tcMar>
            <w:vAlign w:val="center"/>
          </w:tcPr>
          <w:p w14:paraId="52DE8EDB"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0,98</w:t>
            </w:r>
          </w:p>
        </w:tc>
        <w:tc>
          <w:tcPr>
            <w:tcW w:w="794" w:type="dxa"/>
            <w:tcBorders>
              <w:top w:val="none" w:sz="0" w:space="0" w:color="000000"/>
              <w:left w:val="none" w:sz="0" w:space="0" w:color="000000"/>
              <w:bottom w:val="none" w:sz="0" w:space="0" w:color="000000"/>
              <w:right w:val="none" w:sz="0" w:space="0" w:color="000000"/>
            </w:tcBorders>
            <w:shd w:val="clear" w:color="auto" w:fill="FDDCDA"/>
            <w:tcMar>
              <w:top w:w="0" w:type="dxa"/>
              <w:left w:w="0" w:type="dxa"/>
              <w:bottom w:w="0" w:type="dxa"/>
              <w:right w:w="0" w:type="dxa"/>
            </w:tcMar>
            <w:vAlign w:val="center"/>
          </w:tcPr>
          <w:p w14:paraId="3F1B40E0"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0,76</w:t>
            </w:r>
          </w:p>
        </w:tc>
        <w:tc>
          <w:tcPr>
            <w:tcW w:w="794" w:type="dxa"/>
            <w:tcBorders>
              <w:top w:val="none" w:sz="0" w:space="0" w:color="000000"/>
              <w:left w:val="none" w:sz="0" w:space="0" w:color="000000"/>
              <w:bottom w:val="none" w:sz="0" w:space="0" w:color="000000"/>
              <w:right w:val="none" w:sz="0" w:space="0" w:color="000000"/>
            </w:tcBorders>
            <w:shd w:val="clear" w:color="auto" w:fill="FDDBDA"/>
            <w:tcMar>
              <w:top w:w="0" w:type="dxa"/>
              <w:left w:w="0" w:type="dxa"/>
              <w:bottom w:w="0" w:type="dxa"/>
              <w:right w:w="0" w:type="dxa"/>
            </w:tcMar>
            <w:vAlign w:val="center"/>
          </w:tcPr>
          <w:p w14:paraId="139498A3"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0,80</w:t>
            </w:r>
          </w:p>
        </w:tc>
      </w:tr>
      <w:tr w:rsidR="00C27F1D" w:rsidRPr="00C27F1D" w14:paraId="39F738BD" w14:textId="77777777" w:rsidTr="00604D67">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4C9012C"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20-24</w:t>
            </w:r>
          </w:p>
        </w:tc>
        <w:tc>
          <w:tcPr>
            <w:tcW w:w="794" w:type="dxa"/>
            <w:tcBorders>
              <w:top w:val="none" w:sz="0" w:space="0" w:color="000000"/>
              <w:left w:val="none" w:sz="0" w:space="0" w:color="000000"/>
              <w:bottom w:val="none" w:sz="0" w:space="0" w:color="000000"/>
              <w:right w:val="none" w:sz="0" w:space="0" w:color="000000"/>
            </w:tcBorders>
            <w:shd w:val="clear" w:color="auto" w:fill="FDD9D9"/>
            <w:tcMar>
              <w:top w:w="0" w:type="dxa"/>
              <w:left w:w="0" w:type="dxa"/>
              <w:bottom w:w="0" w:type="dxa"/>
              <w:right w:w="0" w:type="dxa"/>
            </w:tcMar>
            <w:vAlign w:val="center"/>
          </w:tcPr>
          <w:p w14:paraId="5E3ED963"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1,19</w:t>
            </w:r>
          </w:p>
        </w:tc>
        <w:tc>
          <w:tcPr>
            <w:tcW w:w="794" w:type="dxa"/>
            <w:tcBorders>
              <w:top w:val="none" w:sz="0" w:space="0" w:color="000000"/>
              <w:left w:val="none" w:sz="0" w:space="0" w:color="000000"/>
              <w:bottom w:val="none" w:sz="0" w:space="0" w:color="000000"/>
              <w:right w:val="none" w:sz="0" w:space="0" w:color="000000"/>
            </w:tcBorders>
            <w:shd w:val="clear" w:color="auto" w:fill="FDD8D8"/>
            <w:tcMar>
              <w:top w:w="0" w:type="dxa"/>
              <w:left w:w="0" w:type="dxa"/>
              <w:bottom w:w="0" w:type="dxa"/>
              <w:right w:w="0" w:type="dxa"/>
            </w:tcMar>
            <w:vAlign w:val="center"/>
          </w:tcPr>
          <w:p w14:paraId="2C269417"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1,34</w:t>
            </w:r>
          </w:p>
        </w:tc>
        <w:tc>
          <w:tcPr>
            <w:tcW w:w="794" w:type="dxa"/>
            <w:tcBorders>
              <w:top w:val="none" w:sz="0" w:space="0" w:color="000000"/>
              <w:left w:val="none" w:sz="0" w:space="0" w:color="000000"/>
              <w:bottom w:val="none" w:sz="0" w:space="0" w:color="000000"/>
              <w:right w:val="none" w:sz="0" w:space="0" w:color="000000"/>
            </w:tcBorders>
            <w:shd w:val="clear" w:color="auto" w:fill="FDDAD9"/>
            <w:tcMar>
              <w:top w:w="0" w:type="dxa"/>
              <w:left w:w="0" w:type="dxa"/>
              <w:bottom w:w="0" w:type="dxa"/>
              <w:right w:w="0" w:type="dxa"/>
            </w:tcMar>
            <w:vAlign w:val="center"/>
          </w:tcPr>
          <w:p w14:paraId="5F0C0A20"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1,04</w:t>
            </w:r>
          </w:p>
        </w:tc>
        <w:tc>
          <w:tcPr>
            <w:tcW w:w="794" w:type="dxa"/>
            <w:tcBorders>
              <w:top w:val="none" w:sz="0" w:space="0" w:color="000000"/>
              <w:left w:val="none" w:sz="0" w:space="0" w:color="000000"/>
              <w:bottom w:val="none" w:sz="0" w:space="0" w:color="000000"/>
              <w:right w:val="none" w:sz="0" w:space="0" w:color="000000"/>
            </w:tcBorders>
            <w:shd w:val="clear" w:color="auto" w:fill="FDD8D8"/>
            <w:tcMar>
              <w:top w:w="0" w:type="dxa"/>
              <w:left w:w="0" w:type="dxa"/>
              <w:bottom w:w="0" w:type="dxa"/>
              <w:right w:w="0" w:type="dxa"/>
            </w:tcMar>
            <w:vAlign w:val="center"/>
          </w:tcPr>
          <w:p w14:paraId="6BED4A4F"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1,42</w:t>
            </w:r>
          </w:p>
        </w:tc>
        <w:tc>
          <w:tcPr>
            <w:tcW w:w="794" w:type="dxa"/>
            <w:tcBorders>
              <w:top w:val="none" w:sz="0" w:space="0" w:color="000000"/>
              <w:left w:val="none" w:sz="0" w:space="0" w:color="000000"/>
              <w:bottom w:val="none" w:sz="0" w:space="0" w:color="000000"/>
              <w:right w:val="none" w:sz="0" w:space="0" w:color="000000"/>
            </w:tcBorders>
            <w:shd w:val="clear" w:color="auto" w:fill="FDD9D8"/>
            <w:tcMar>
              <w:top w:w="0" w:type="dxa"/>
              <w:left w:w="0" w:type="dxa"/>
              <w:bottom w:w="0" w:type="dxa"/>
              <w:right w:w="0" w:type="dxa"/>
            </w:tcMar>
            <w:vAlign w:val="center"/>
          </w:tcPr>
          <w:p w14:paraId="0948ACFE"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1,26</w:t>
            </w:r>
          </w:p>
        </w:tc>
        <w:tc>
          <w:tcPr>
            <w:tcW w:w="794" w:type="dxa"/>
            <w:tcBorders>
              <w:top w:val="none" w:sz="0" w:space="0" w:color="000000"/>
              <w:left w:val="none" w:sz="0" w:space="0" w:color="000000"/>
              <w:bottom w:val="none" w:sz="0" w:space="0" w:color="000000"/>
              <w:right w:val="none" w:sz="0" w:space="0" w:color="000000"/>
            </w:tcBorders>
            <w:shd w:val="clear" w:color="auto" w:fill="FDD7D7"/>
            <w:tcMar>
              <w:top w:w="0" w:type="dxa"/>
              <w:left w:w="0" w:type="dxa"/>
              <w:bottom w:w="0" w:type="dxa"/>
              <w:right w:w="0" w:type="dxa"/>
            </w:tcMar>
            <w:vAlign w:val="center"/>
          </w:tcPr>
          <w:p w14:paraId="44213C27"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1,61</w:t>
            </w:r>
          </w:p>
        </w:tc>
        <w:tc>
          <w:tcPr>
            <w:tcW w:w="794" w:type="dxa"/>
            <w:tcBorders>
              <w:top w:val="none" w:sz="0" w:space="0" w:color="000000"/>
              <w:left w:val="none" w:sz="0" w:space="0" w:color="000000"/>
              <w:bottom w:val="none" w:sz="0" w:space="0" w:color="000000"/>
              <w:right w:val="none" w:sz="0" w:space="0" w:color="000000"/>
            </w:tcBorders>
            <w:shd w:val="clear" w:color="auto" w:fill="FDD6D6"/>
            <w:tcMar>
              <w:top w:w="0" w:type="dxa"/>
              <w:left w:w="0" w:type="dxa"/>
              <w:bottom w:w="0" w:type="dxa"/>
              <w:right w:w="0" w:type="dxa"/>
            </w:tcMar>
            <w:vAlign w:val="center"/>
          </w:tcPr>
          <w:p w14:paraId="4A0D80A1"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1,83</w:t>
            </w:r>
          </w:p>
        </w:tc>
        <w:tc>
          <w:tcPr>
            <w:tcW w:w="794" w:type="dxa"/>
            <w:tcBorders>
              <w:top w:val="none" w:sz="0" w:space="0" w:color="000000"/>
              <w:left w:val="none" w:sz="0" w:space="0" w:color="000000"/>
              <w:bottom w:val="none" w:sz="0" w:space="0" w:color="000000"/>
              <w:right w:val="none" w:sz="0" w:space="0" w:color="000000"/>
            </w:tcBorders>
            <w:shd w:val="clear" w:color="auto" w:fill="FDD9D8"/>
            <w:tcMar>
              <w:top w:w="0" w:type="dxa"/>
              <w:left w:w="0" w:type="dxa"/>
              <w:bottom w:w="0" w:type="dxa"/>
              <w:right w:w="0" w:type="dxa"/>
            </w:tcMar>
            <w:vAlign w:val="center"/>
          </w:tcPr>
          <w:p w14:paraId="030C7FE0"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1,30</w:t>
            </w:r>
          </w:p>
        </w:tc>
        <w:tc>
          <w:tcPr>
            <w:tcW w:w="794" w:type="dxa"/>
            <w:tcBorders>
              <w:top w:val="none" w:sz="0" w:space="0" w:color="000000"/>
              <w:left w:val="none" w:sz="0" w:space="0" w:color="000000"/>
              <w:bottom w:val="none" w:sz="0" w:space="0" w:color="000000"/>
              <w:right w:val="none" w:sz="0" w:space="0" w:color="000000"/>
            </w:tcBorders>
            <w:shd w:val="clear" w:color="auto" w:fill="FDD8D8"/>
            <w:tcMar>
              <w:top w:w="0" w:type="dxa"/>
              <w:left w:w="0" w:type="dxa"/>
              <w:bottom w:w="0" w:type="dxa"/>
              <w:right w:w="0" w:type="dxa"/>
            </w:tcMar>
            <w:vAlign w:val="center"/>
          </w:tcPr>
          <w:p w14:paraId="1192709F"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1,32</w:t>
            </w:r>
          </w:p>
        </w:tc>
      </w:tr>
      <w:tr w:rsidR="00C27F1D" w:rsidRPr="00C27F1D" w14:paraId="399E84EA" w14:textId="77777777" w:rsidTr="00604D67">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48853F"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25-29</w:t>
            </w:r>
          </w:p>
        </w:tc>
        <w:tc>
          <w:tcPr>
            <w:tcW w:w="794" w:type="dxa"/>
            <w:tcBorders>
              <w:top w:val="none" w:sz="0" w:space="0" w:color="000000"/>
              <w:left w:val="none" w:sz="0" w:space="0" w:color="000000"/>
              <w:bottom w:val="none" w:sz="0" w:space="0" w:color="000000"/>
              <w:right w:val="none" w:sz="0" w:space="0" w:color="000000"/>
            </w:tcBorders>
            <w:shd w:val="clear" w:color="auto" w:fill="FDD7D7"/>
            <w:tcMar>
              <w:top w:w="0" w:type="dxa"/>
              <w:left w:w="0" w:type="dxa"/>
              <w:bottom w:w="0" w:type="dxa"/>
              <w:right w:w="0" w:type="dxa"/>
            </w:tcMar>
            <w:vAlign w:val="center"/>
          </w:tcPr>
          <w:p w14:paraId="652CB2E0"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1,62</w:t>
            </w:r>
          </w:p>
        </w:tc>
        <w:tc>
          <w:tcPr>
            <w:tcW w:w="794" w:type="dxa"/>
            <w:tcBorders>
              <w:top w:val="none" w:sz="0" w:space="0" w:color="000000"/>
              <w:left w:val="none" w:sz="0" w:space="0" w:color="000000"/>
              <w:bottom w:val="none" w:sz="0" w:space="0" w:color="000000"/>
              <w:right w:val="none" w:sz="0" w:space="0" w:color="000000"/>
            </w:tcBorders>
            <w:shd w:val="clear" w:color="auto" w:fill="FDDBDA"/>
            <w:tcMar>
              <w:top w:w="0" w:type="dxa"/>
              <w:left w:w="0" w:type="dxa"/>
              <w:bottom w:w="0" w:type="dxa"/>
              <w:right w:w="0" w:type="dxa"/>
            </w:tcMar>
            <w:vAlign w:val="center"/>
          </w:tcPr>
          <w:p w14:paraId="7ED73847"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0,89</w:t>
            </w:r>
          </w:p>
        </w:tc>
        <w:tc>
          <w:tcPr>
            <w:tcW w:w="794" w:type="dxa"/>
            <w:tcBorders>
              <w:top w:val="none" w:sz="0" w:space="0" w:color="000000"/>
              <w:left w:val="none" w:sz="0" w:space="0" w:color="000000"/>
              <w:bottom w:val="none" w:sz="0" w:space="0" w:color="000000"/>
              <w:right w:val="none" w:sz="0" w:space="0" w:color="000000"/>
            </w:tcBorders>
            <w:shd w:val="clear" w:color="auto" w:fill="FDDAD9"/>
            <w:tcMar>
              <w:top w:w="0" w:type="dxa"/>
              <w:left w:w="0" w:type="dxa"/>
              <w:bottom w:w="0" w:type="dxa"/>
              <w:right w:w="0" w:type="dxa"/>
            </w:tcMar>
            <w:vAlign w:val="center"/>
          </w:tcPr>
          <w:p w14:paraId="2196F421"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1,07</w:t>
            </w:r>
          </w:p>
        </w:tc>
        <w:tc>
          <w:tcPr>
            <w:tcW w:w="794" w:type="dxa"/>
            <w:tcBorders>
              <w:top w:val="none" w:sz="0" w:space="0" w:color="000000"/>
              <w:left w:val="none" w:sz="0" w:space="0" w:color="000000"/>
              <w:bottom w:val="none" w:sz="0" w:space="0" w:color="000000"/>
              <w:right w:val="none" w:sz="0" w:space="0" w:color="000000"/>
            </w:tcBorders>
            <w:shd w:val="clear" w:color="auto" w:fill="FDDCDA"/>
            <w:tcMar>
              <w:top w:w="0" w:type="dxa"/>
              <w:left w:w="0" w:type="dxa"/>
              <w:bottom w:w="0" w:type="dxa"/>
              <w:right w:w="0" w:type="dxa"/>
            </w:tcMar>
            <w:vAlign w:val="center"/>
          </w:tcPr>
          <w:p w14:paraId="3720650A"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0,75</w:t>
            </w:r>
          </w:p>
        </w:tc>
        <w:tc>
          <w:tcPr>
            <w:tcW w:w="794" w:type="dxa"/>
            <w:tcBorders>
              <w:top w:val="none" w:sz="0" w:space="0" w:color="000000"/>
              <w:left w:val="none" w:sz="0" w:space="0" w:color="000000"/>
              <w:bottom w:val="none" w:sz="0" w:space="0" w:color="000000"/>
              <w:right w:val="none" w:sz="0" w:space="0" w:color="000000"/>
            </w:tcBorders>
            <w:shd w:val="clear" w:color="auto" w:fill="FDD8D8"/>
            <w:tcMar>
              <w:top w:w="0" w:type="dxa"/>
              <w:left w:w="0" w:type="dxa"/>
              <w:bottom w:w="0" w:type="dxa"/>
              <w:right w:w="0" w:type="dxa"/>
            </w:tcMar>
            <w:vAlign w:val="center"/>
          </w:tcPr>
          <w:p w14:paraId="70D0FC4F"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1,44</w:t>
            </w:r>
          </w:p>
        </w:tc>
        <w:tc>
          <w:tcPr>
            <w:tcW w:w="794" w:type="dxa"/>
            <w:tcBorders>
              <w:top w:val="none" w:sz="0" w:space="0" w:color="000000"/>
              <w:left w:val="none" w:sz="0" w:space="0" w:color="000000"/>
              <w:bottom w:val="none" w:sz="0" w:space="0" w:color="000000"/>
              <w:right w:val="none" w:sz="0" w:space="0" w:color="000000"/>
            </w:tcBorders>
            <w:shd w:val="clear" w:color="auto" w:fill="FDDAD9"/>
            <w:tcMar>
              <w:top w:w="0" w:type="dxa"/>
              <w:left w:w="0" w:type="dxa"/>
              <w:bottom w:w="0" w:type="dxa"/>
              <w:right w:w="0" w:type="dxa"/>
            </w:tcMar>
            <w:vAlign w:val="center"/>
          </w:tcPr>
          <w:p w14:paraId="1C6C4E13"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1,12</w:t>
            </w:r>
          </w:p>
        </w:tc>
        <w:tc>
          <w:tcPr>
            <w:tcW w:w="794" w:type="dxa"/>
            <w:tcBorders>
              <w:top w:val="none" w:sz="0" w:space="0" w:color="000000"/>
              <w:left w:val="none" w:sz="0" w:space="0" w:color="000000"/>
              <w:bottom w:val="none" w:sz="0" w:space="0" w:color="000000"/>
              <w:right w:val="none" w:sz="0" w:space="0" w:color="000000"/>
            </w:tcBorders>
            <w:shd w:val="clear" w:color="auto" w:fill="FDD7D7"/>
            <w:tcMar>
              <w:top w:w="0" w:type="dxa"/>
              <w:left w:w="0" w:type="dxa"/>
              <w:bottom w:w="0" w:type="dxa"/>
              <w:right w:w="0" w:type="dxa"/>
            </w:tcMar>
            <w:vAlign w:val="center"/>
          </w:tcPr>
          <w:p w14:paraId="01FBED9F"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1,59</w:t>
            </w:r>
          </w:p>
        </w:tc>
        <w:tc>
          <w:tcPr>
            <w:tcW w:w="794" w:type="dxa"/>
            <w:tcBorders>
              <w:top w:val="none" w:sz="0" w:space="0" w:color="000000"/>
              <w:left w:val="none" w:sz="0" w:space="0" w:color="000000"/>
              <w:bottom w:val="none" w:sz="0" w:space="0" w:color="000000"/>
              <w:right w:val="none" w:sz="0" w:space="0" w:color="000000"/>
            </w:tcBorders>
            <w:shd w:val="clear" w:color="auto" w:fill="FDDAD9"/>
            <w:tcMar>
              <w:top w:w="0" w:type="dxa"/>
              <w:left w:w="0" w:type="dxa"/>
              <w:bottom w:w="0" w:type="dxa"/>
              <w:right w:w="0" w:type="dxa"/>
            </w:tcMar>
            <w:vAlign w:val="center"/>
          </w:tcPr>
          <w:p w14:paraId="38D7A183"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1,02</w:t>
            </w:r>
          </w:p>
        </w:tc>
        <w:tc>
          <w:tcPr>
            <w:tcW w:w="794" w:type="dxa"/>
            <w:tcBorders>
              <w:top w:val="none" w:sz="0" w:space="0" w:color="000000"/>
              <w:left w:val="none" w:sz="0" w:space="0" w:color="000000"/>
              <w:bottom w:val="none" w:sz="0" w:space="0" w:color="000000"/>
              <w:right w:val="none" w:sz="0" w:space="0" w:color="000000"/>
            </w:tcBorders>
            <w:shd w:val="clear" w:color="auto" w:fill="FDDBDA"/>
            <w:tcMar>
              <w:top w:w="0" w:type="dxa"/>
              <w:left w:w="0" w:type="dxa"/>
              <w:bottom w:w="0" w:type="dxa"/>
              <w:right w:w="0" w:type="dxa"/>
            </w:tcMar>
            <w:vAlign w:val="center"/>
          </w:tcPr>
          <w:p w14:paraId="435BF3A3"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0,91</w:t>
            </w:r>
          </w:p>
        </w:tc>
      </w:tr>
      <w:tr w:rsidR="00C27F1D" w:rsidRPr="00C27F1D" w14:paraId="131109DB" w14:textId="77777777" w:rsidTr="00604D67">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15DD08A"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30-34</w:t>
            </w:r>
          </w:p>
        </w:tc>
        <w:tc>
          <w:tcPr>
            <w:tcW w:w="794" w:type="dxa"/>
            <w:tcBorders>
              <w:top w:val="none" w:sz="0" w:space="0" w:color="000000"/>
              <w:left w:val="none" w:sz="0" w:space="0" w:color="000000"/>
              <w:bottom w:val="none" w:sz="0" w:space="0" w:color="000000"/>
              <w:right w:val="none" w:sz="0" w:space="0" w:color="000000"/>
            </w:tcBorders>
            <w:shd w:val="clear" w:color="auto" w:fill="FDD2D4"/>
            <w:tcMar>
              <w:top w:w="0" w:type="dxa"/>
              <w:left w:w="0" w:type="dxa"/>
              <w:bottom w:w="0" w:type="dxa"/>
              <w:right w:w="0" w:type="dxa"/>
            </w:tcMar>
            <w:vAlign w:val="center"/>
          </w:tcPr>
          <w:p w14:paraId="5715F534"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2,42</w:t>
            </w:r>
          </w:p>
        </w:tc>
        <w:tc>
          <w:tcPr>
            <w:tcW w:w="794" w:type="dxa"/>
            <w:tcBorders>
              <w:top w:val="none" w:sz="0" w:space="0" w:color="000000"/>
              <w:left w:val="none" w:sz="0" w:space="0" w:color="000000"/>
              <w:bottom w:val="none" w:sz="0" w:space="0" w:color="000000"/>
              <w:right w:val="none" w:sz="0" w:space="0" w:color="000000"/>
            </w:tcBorders>
            <w:shd w:val="clear" w:color="auto" w:fill="FDD0D3"/>
            <w:tcMar>
              <w:top w:w="0" w:type="dxa"/>
              <w:left w:w="0" w:type="dxa"/>
              <w:bottom w:w="0" w:type="dxa"/>
              <w:right w:w="0" w:type="dxa"/>
            </w:tcMar>
            <w:vAlign w:val="center"/>
          </w:tcPr>
          <w:p w14:paraId="006CB924"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2,74</w:t>
            </w:r>
          </w:p>
        </w:tc>
        <w:tc>
          <w:tcPr>
            <w:tcW w:w="794" w:type="dxa"/>
            <w:tcBorders>
              <w:top w:val="none" w:sz="0" w:space="0" w:color="000000"/>
              <w:left w:val="none" w:sz="0" w:space="0" w:color="000000"/>
              <w:bottom w:val="none" w:sz="0" w:space="0" w:color="000000"/>
              <w:right w:val="none" w:sz="0" w:space="0" w:color="000000"/>
            </w:tcBorders>
            <w:shd w:val="clear" w:color="auto" w:fill="FDD5D6"/>
            <w:tcMar>
              <w:top w:w="0" w:type="dxa"/>
              <w:left w:w="0" w:type="dxa"/>
              <w:bottom w:w="0" w:type="dxa"/>
              <w:right w:w="0" w:type="dxa"/>
            </w:tcMar>
            <w:vAlign w:val="center"/>
          </w:tcPr>
          <w:p w14:paraId="6607471C"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2,01</w:t>
            </w:r>
          </w:p>
        </w:tc>
        <w:tc>
          <w:tcPr>
            <w:tcW w:w="794" w:type="dxa"/>
            <w:tcBorders>
              <w:top w:val="none" w:sz="0" w:space="0" w:color="000000"/>
              <w:left w:val="none" w:sz="0" w:space="0" w:color="000000"/>
              <w:bottom w:val="none" w:sz="0" w:space="0" w:color="000000"/>
              <w:right w:val="none" w:sz="0" w:space="0" w:color="000000"/>
            </w:tcBorders>
            <w:shd w:val="clear" w:color="auto" w:fill="FDD4D5"/>
            <w:tcMar>
              <w:top w:w="0" w:type="dxa"/>
              <w:left w:w="0" w:type="dxa"/>
              <w:bottom w:w="0" w:type="dxa"/>
              <w:right w:w="0" w:type="dxa"/>
            </w:tcMar>
            <w:vAlign w:val="center"/>
          </w:tcPr>
          <w:p w14:paraId="403FDD62"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2,14</w:t>
            </w:r>
          </w:p>
        </w:tc>
        <w:tc>
          <w:tcPr>
            <w:tcW w:w="794" w:type="dxa"/>
            <w:tcBorders>
              <w:top w:val="none" w:sz="0" w:space="0" w:color="000000"/>
              <w:left w:val="none" w:sz="0" w:space="0" w:color="000000"/>
              <w:bottom w:val="none" w:sz="0" w:space="0" w:color="000000"/>
              <w:right w:val="none" w:sz="0" w:space="0" w:color="000000"/>
            </w:tcBorders>
            <w:shd w:val="clear" w:color="auto" w:fill="FDD3D5"/>
            <w:tcMar>
              <w:top w:w="0" w:type="dxa"/>
              <w:left w:w="0" w:type="dxa"/>
              <w:bottom w:w="0" w:type="dxa"/>
              <w:right w:w="0" w:type="dxa"/>
            </w:tcMar>
            <w:vAlign w:val="center"/>
          </w:tcPr>
          <w:p w14:paraId="6D1CC03B"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2,24</w:t>
            </w:r>
          </w:p>
        </w:tc>
        <w:tc>
          <w:tcPr>
            <w:tcW w:w="794" w:type="dxa"/>
            <w:tcBorders>
              <w:top w:val="none" w:sz="0" w:space="0" w:color="000000"/>
              <w:left w:val="none" w:sz="0" w:space="0" w:color="000000"/>
              <w:bottom w:val="none" w:sz="0" w:space="0" w:color="000000"/>
              <w:right w:val="none" w:sz="0" w:space="0" w:color="000000"/>
            </w:tcBorders>
            <w:shd w:val="clear" w:color="auto" w:fill="FDD0D3"/>
            <w:tcMar>
              <w:top w:w="0" w:type="dxa"/>
              <w:left w:w="0" w:type="dxa"/>
              <w:bottom w:w="0" w:type="dxa"/>
              <w:right w:w="0" w:type="dxa"/>
            </w:tcMar>
            <w:vAlign w:val="center"/>
          </w:tcPr>
          <w:p w14:paraId="03078A27"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2,79</w:t>
            </w:r>
          </w:p>
        </w:tc>
        <w:tc>
          <w:tcPr>
            <w:tcW w:w="794" w:type="dxa"/>
            <w:tcBorders>
              <w:top w:val="none" w:sz="0" w:space="0" w:color="000000"/>
              <w:left w:val="none" w:sz="0" w:space="0" w:color="000000"/>
              <w:bottom w:val="none" w:sz="0" w:space="0" w:color="000000"/>
              <w:right w:val="none" w:sz="0" w:space="0" w:color="000000"/>
            </w:tcBorders>
            <w:shd w:val="clear" w:color="auto" w:fill="FDD4D5"/>
            <w:tcMar>
              <w:top w:w="0" w:type="dxa"/>
              <w:left w:w="0" w:type="dxa"/>
              <w:bottom w:w="0" w:type="dxa"/>
              <w:right w:w="0" w:type="dxa"/>
            </w:tcMar>
            <w:vAlign w:val="center"/>
          </w:tcPr>
          <w:p w14:paraId="534BB13D"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2,11</w:t>
            </w:r>
          </w:p>
        </w:tc>
        <w:tc>
          <w:tcPr>
            <w:tcW w:w="794" w:type="dxa"/>
            <w:tcBorders>
              <w:top w:val="none" w:sz="0" w:space="0" w:color="000000"/>
              <w:left w:val="none" w:sz="0" w:space="0" w:color="000000"/>
              <w:bottom w:val="none" w:sz="0" w:space="0" w:color="000000"/>
              <w:right w:val="none" w:sz="0" w:space="0" w:color="000000"/>
            </w:tcBorders>
            <w:shd w:val="clear" w:color="auto" w:fill="FDD7D7"/>
            <w:tcMar>
              <w:top w:w="0" w:type="dxa"/>
              <w:left w:w="0" w:type="dxa"/>
              <w:bottom w:w="0" w:type="dxa"/>
              <w:right w:w="0" w:type="dxa"/>
            </w:tcMar>
            <w:vAlign w:val="center"/>
          </w:tcPr>
          <w:p w14:paraId="19DB5E69"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1,60</w:t>
            </w:r>
          </w:p>
        </w:tc>
        <w:tc>
          <w:tcPr>
            <w:tcW w:w="794" w:type="dxa"/>
            <w:tcBorders>
              <w:top w:val="none" w:sz="0" w:space="0" w:color="000000"/>
              <w:left w:val="none" w:sz="0" w:space="0" w:color="000000"/>
              <w:bottom w:val="none" w:sz="0" w:space="0" w:color="000000"/>
              <w:right w:val="none" w:sz="0" w:space="0" w:color="000000"/>
            </w:tcBorders>
            <w:shd w:val="clear" w:color="auto" w:fill="FDD5D6"/>
            <w:tcMar>
              <w:top w:w="0" w:type="dxa"/>
              <w:left w:w="0" w:type="dxa"/>
              <w:bottom w:w="0" w:type="dxa"/>
              <w:right w:w="0" w:type="dxa"/>
            </w:tcMar>
            <w:vAlign w:val="center"/>
          </w:tcPr>
          <w:p w14:paraId="0FC1A62F"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1,84</w:t>
            </w:r>
          </w:p>
        </w:tc>
      </w:tr>
      <w:tr w:rsidR="00C27F1D" w:rsidRPr="00C27F1D" w14:paraId="364BC2A4" w14:textId="77777777" w:rsidTr="00604D67">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0FB3D38E"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lastRenderedPageBreak/>
              <w:t>35-39</w:t>
            </w:r>
          </w:p>
        </w:tc>
        <w:tc>
          <w:tcPr>
            <w:tcW w:w="794" w:type="dxa"/>
            <w:tcBorders>
              <w:top w:val="none" w:sz="0" w:space="0" w:color="000000"/>
              <w:left w:val="none" w:sz="0" w:space="0" w:color="000000"/>
              <w:bottom w:val="none" w:sz="0" w:space="0" w:color="000000"/>
              <w:right w:val="none" w:sz="0" w:space="0" w:color="000000"/>
            </w:tcBorders>
            <w:shd w:val="clear" w:color="auto" w:fill="FDCFD2"/>
            <w:tcMar>
              <w:top w:w="0" w:type="dxa"/>
              <w:left w:w="0" w:type="dxa"/>
              <w:bottom w:w="0" w:type="dxa"/>
              <w:right w:w="0" w:type="dxa"/>
            </w:tcMar>
            <w:vAlign w:val="center"/>
          </w:tcPr>
          <w:p w14:paraId="00C79C85"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2,91</w:t>
            </w:r>
          </w:p>
        </w:tc>
        <w:tc>
          <w:tcPr>
            <w:tcW w:w="794" w:type="dxa"/>
            <w:tcBorders>
              <w:top w:val="none" w:sz="0" w:space="0" w:color="000000"/>
              <w:left w:val="none" w:sz="0" w:space="0" w:color="000000"/>
              <w:bottom w:val="none" w:sz="0" w:space="0" w:color="000000"/>
              <w:right w:val="none" w:sz="0" w:space="0" w:color="000000"/>
            </w:tcBorders>
            <w:shd w:val="clear" w:color="auto" w:fill="FDC6CC"/>
            <w:tcMar>
              <w:top w:w="0" w:type="dxa"/>
              <w:left w:w="0" w:type="dxa"/>
              <w:bottom w:w="0" w:type="dxa"/>
              <w:right w:w="0" w:type="dxa"/>
            </w:tcMar>
            <w:vAlign w:val="center"/>
          </w:tcPr>
          <w:p w14:paraId="04CC5B0F"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4,62</w:t>
            </w:r>
          </w:p>
        </w:tc>
        <w:tc>
          <w:tcPr>
            <w:tcW w:w="794" w:type="dxa"/>
            <w:tcBorders>
              <w:top w:val="none" w:sz="0" w:space="0" w:color="000000"/>
              <w:left w:val="none" w:sz="0" w:space="0" w:color="000000"/>
              <w:bottom w:val="none" w:sz="0" w:space="0" w:color="000000"/>
              <w:right w:val="none" w:sz="0" w:space="0" w:color="000000"/>
            </w:tcBorders>
            <w:shd w:val="clear" w:color="auto" w:fill="FDC9CE"/>
            <w:tcMar>
              <w:top w:w="0" w:type="dxa"/>
              <w:left w:w="0" w:type="dxa"/>
              <w:bottom w:w="0" w:type="dxa"/>
              <w:right w:w="0" w:type="dxa"/>
            </w:tcMar>
            <w:vAlign w:val="center"/>
          </w:tcPr>
          <w:p w14:paraId="2ECDFF88"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4,03</w:t>
            </w:r>
          </w:p>
        </w:tc>
        <w:tc>
          <w:tcPr>
            <w:tcW w:w="794" w:type="dxa"/>
            <w:tcBorders>
              <w:top w:val="none" w:sz="0" w:space="0" w:color="000000"/>
              <w:left w:val="none" w:sz="0" w:space="0" w:color="000000"/>
              <w:bottom w:val="none" w:sz="0" w:space="0" w:color="000000"/>
              <w:right w:val="none" w:sz="0" w:space="0" w:color="000000"/>
            </w:tcBorders>
            <w:shd w:val="clear" w:color="auto" w:fill="FDD0D3"/>
            <w:tcMar>
              <w:top w:w="0" w:type="dxa"/>
              <w:left w:w="0" w:type="dxa"/>
              <w:bottom w:w="0" w:type="dxa"/>
              <w:right w:w="0" w:type="dxa"/>
            </w:tcMar>
            <w:vAlign w:val="center"/>
          </w:tcPr>
          <w:p w14:paraId="2FD0C268"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2,73</w:t>
            </w:r>
          </w:p>
        </w:tc>
        <w:tc>
          <w:tcPr>
            <w:tcW w:w="794" w:type="dxa"/>
            <w:tcBorders>
              <w:top w:val="none" w:sz="0" w:space="0" w:color="000000"/>
              <w:left w:val="none" w:sz="0" w:space="0" w:color="000000"/>
              <w:bottom w:val="none" w:sz="0" w:space="0" w:color="000000"/>
              <w:right w:val="none" w:sz="0" w:space="0" w:color="000000"/>
            </w:tcBorders>
            <w:shd w:val="clear" w:color="auto" w:fill="FDCACF"/>
            <w:tcMar>
              <w:top w:w="0" w:type="dxa"/>
              <w:left w:w="0" w:type="dxa"/>
              <w:bottom w:w="0" w:type="dxa"/>
              <w:right w:w="0" w:type="dxa"/>
            </w:tcMar>
            <w:vAlign w:val="center"/>
          </w:tcPr>
          <w:p w14:paraId="76BEDA98"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3,89</w:t>
            </w:r>
          </w:p>
        </w:tc>
        <w:tc>
          <w:tcPr>
            <w:tcW w:w="794" w:type="dxa"/>
            <w:tcBorders>
              <w:top w:val="none" w:sz="0" w:space="0" w:color="000000"/>
              <w:left w:val="none" w:sz="0" w:space="0" w:color="000000"/>
              <w:bottom w:val="none" w:sz="0" w:space="0" w:color="000000"/>
              <w:right w:val="none" w:sz="0" w:space="0" w:color="000000"/>
            </w:tcBorders>
            <w:shd w:val="clear" w:color="auto" w:fill="FDCBD0"/>
            <w:tcMar>
              <w:top w:w="0" w:type="dxa"/>
              <w:left w:w="0" w:type="dxa"/>
              <w:bottom w:w="0" w:type="dxa"/>
              <w:right w:w="0" w:type="dxa"/>
            </w:tcMar>
            <w:vAlign w:val="center"/>
          </w:tcPr>
          <w:p w14:paraId="12D4F45E"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3,71</w:t>
            </w:r>
          </w:p>
        </w:tc>
        <w:tc>
          <w:tcPr>
            <w:tcW w:w="794" w:type="dxa"/>
            <w:tcBorders>
              <w:top w:val="none" w:sz="0" w:space="0" w:color="000000"/>
              <w:left w:val="none" w:sz="0" w:space="0" w:color="000000"/>
              <w:bottom w:val="none" w:sz="0" w:space="0" w:color="000000"/>
              <w:right w:val="none" w:sz="0" w:space="0" w:color="000000"/>
            </w:tcBorders>
            <w:shd w:val="clear" w:color="auto" w:fill="FDC8CE"/>
            <w:tcMar>
              <w:top w:w="0" w:type="dxa"/>
              <w:left w:w="0" w:type="dxa"/>
              <w:bottom w:w="0" w:type="dxa"/>
              <w:right w:w="0" w:type="dxa"/>
            </w:tcMar>
            <w:vAlign w:val="center"/>
          </w:tcPr>
          <w:p w14:paraId="0EAF6EAD"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4,11</w:t>
            </w:r>
          </w:p>
        </w:tc>
        <w:tc>
          <w:tcPr>
            <w:tcW w:w="794" w:type="dxa"/>
            <w:tcBorders>
              <w:top w:val="none" w:sz="0" w:space="0" w:color="000000"/>
              <w:left w:val="none" w:sz="0" w:space="0" w:color="000000"/>
              <w:bottom w:val="none" w:sz="0" w:space="0" w:color="000000"/>
              <w:right w:val="none" w:sz="0" w:space="0" w:color="000000"/>
            </w:tcBorders>
            <w:shd w:val="clear" w:color="auto" w:fill="FDC9CE"/>
            <w:tcMar>
              <w:top w:w="0" w:type="dxa"/>
              <w:left w:w="0" w:type="dxa"/>
              <w:bottom w:w="0" w:type="dxa"/>
              <w:right w:w="0" w:type="dxa"/>
            </w:tcMar>
            <w:vAlign w:val="center"/>
          </w:tcPr>
          <w:p w14:paraId="7B35A2FC"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4,04</w:t>
            </w:r>
          </w:p>
        </w:tc>
        <w:tc>
          <w:tcPr>
            <w:tcW w:w="794" w:type="dxa"/>
            <w:tcBorders>
              <w:top w:val="none" w:sz="0" w:space="0" w:color="000000"/>
              <w:left w:val="none" w:sz="0" w:space="0" w:color="000000"/>
              <w:bottom w:val="none" w:sz="0" w:space="0" w:color="000000"/>
              <w:right w:val="none" w:sz="0" w:space="0" w:color="000000"/>
            </w:tcBorders>
            <w:shd w:val="clear" w:color="auto" w:fill="FDC9CF"/>
            <w:tcMar>
              <w:top w:w="0" w:type="dxa"/>
              <w:left w:w="0" w:type="dxa"/>
              <w:bottom w:w="0" w:type="dxa"/>
              <w:right w:w="0" w:type="dxa"/>
            </w:tcMar>
            <w:vAlign w:val="center"/>
          </w:tcPr>
          <w:p w14:paraId="53BA89F8"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3,94</w:t>
            </w:r>
          </w:p>
        </w:tc>
      </w:tr>
      <w:tr w:rsidR="00C27F1D" w:rsidRPr="00C27F1D" w14:paraId="71B4F8AD" w14:textId="77777777" w:rsidTr="00604D67">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1376D55D"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40-44</w:t>
            </w:r>
          </w:p>
        </w:tc>
        <w:tc>
          <w:tcPr>
            <w:tcW w:w="794" w:type="dxa"/>
            <w:tcBorders>
              <w:top w:val="none" w:sz="0" w:space="0" w:color="000000"/>
              <w:left w:val="none" w:sz="0" w:space="0" w:color="000000"/>
              <w:bottom w:val="none" w:sz="0" w:space="0" w:color="000000"/>
              <w:right w:val="none" w:sz="0" w:space="0" w:color="000000"/>
            </w:tcBorders>
            <w:shd w:val="clear" w:color="auto" w:fill="FCB2C0"/>
            <w:tcMar>
              <w:top w:w="0" w:type="dxa"/>
              <w:left w:w="0" w:type="dxa"/>
              <w:bottom w:w="0" w:type="dxa"/>
              <w:right w:w="0" w:type="dxa"/>
            </w:tcMar>
            <w:vAlign w:val="center"/>
          </w:tcPr>
          <w:p w14:paraId="50E404B6"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7,94</w:t>
            </w:r>
          </w:p>
        </w:tc>
        <w:tc>
          <w:tcPr>
            <w:tcW w:w="794" w:type="dxa"/>
            <w:tcBorders>
              <w:top w:val="none" w:sz="0" w:space="0" w:color="000000"/>
              <w:left w:val="none" w:sz="0" w:space="0" w:color="000000"/>
              <w:bottom w:val="none" w:sz="0" w:space="0" w:color="000000"/>
              <w:right w:val="none" w:sz="0" w:space="0" w:color="000000"/>
            </w:tcBorders>
            <w:shd w:val="clear" w:color="auto" w:fill="FCB7C3"/>
            <w:tcMar>
              <w:top w:w="0" w:type="dxa"/>
              <w:left w:w="0" w:type="dxa"/>
              <w:bottom w:w="0" w:type="dxa"/>
              <w:right w:w="0" w:type="dxa"/>
            </w:tcMar>
            <w:vAlign w:val="center"/>
          </w:tcPr>
          <w:p w14:paraId="56958F3C"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7,11</w:t>
            </w:r>
          </w:p>
        </w:tc>
        <w:tc>
          <w:tcPr>
            <w:tcW w:w="794" w:type="dxa"/>
            <w:tcBorders>
              <w:top w:val="none" w:sz="0" w:space="0" w:color="000000"/>
              <w:left w:val="none" w:sz="0" w:space="0" w:color="000000"/>
              <w:bottom w:val="none" w:sz="0" w:space="0" w:color="000000"/>
              <w:right w:val="none" w:sz="0" w:space="0" w:color="000000"/>
            </w:tcBorders>
            <w:shd w:val="clear" w:color="auto" w:fill="FCB6C3"/>
            <w:tcMar>
              <w:top w:w="0" w:type="dxa"/>
              <w:left w:w="0" w:type="dxa"/>
              <w:bottom w:w="0" w:type="dxa"/>
              <w:right w:w="0" w:type="dxa"/>
            </w:tcMar>
            <w:vAlign w:val="center"/>
          </w:tcPr>
          <w:p w14:paraId="42A4D7D3"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7,27</w:t>
            </w:r>
          </w:p>
        </w:tc>
        <w:tc>
          <w:tcPr>
            <w:tcW w:w="794" w:type="dxa"/>
            <w:tcBorders>
              <w:top w:val="none" w:sz="0" w:space="0" w:color="000000"/>
              <w:left w:val="none" w:sz="0" w:space="0" w:color="000000"/>
              <w:bottom w:val="none" w:sz="0" w:space="0" w:color="000000"/>
              <w:right w:val="none" w:sz="0" w:space="0" w:color="000000"/>
            </w:tcBorders>
            <w:shd w:val="clear" w:color="auto" w:fill="FCB2C0"/>
            <w:tcMar>
              <w:top w:w="0" w:type="dxa"/>
              <w:left w:w="0" w:type="dxa"/>
              <w:bottom w:w="0" w:type="dxa"/>
              <w:right w:w="0" w:type="dxa"/>
            </w:tcMar>
            <w:vAlign w:val="center"/>
          </w:tcPr>
          <w:p w14:paraId="48F88A20"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8,04</w:t>
            </w:r>
          </w:p>
        </w:tc>
        <w:tc>
          <w:tcPr>
            <w:tcW w:w="794" w:type="dxa"/>
            <w:tcBorders>
              <w:top w:val="none" w:sz="0" w:space="0" w:color="000000"/>
              <w:left w:val="none" w:sz="0" w:space="0" w:color="000000"/>
              <w:bottom w:val="none" w:sz="0" w:space="0" w:color="000000"/>
              <w:right w:val="none" w:sz="0" w:space="0" w:color="000000"/>
            </w:tcBorders>
            <w:shd w:val="clear" w:color="auto" w:fill="FCBAC5"/>
            <w:tcMar>
              <w:top w:w="0" w:type="dxa"/>
              <w:left w:w="0" w:type="dxa"/>
              <w:bottom w:w="0" w:type="dxa"/>
              <w:right w:w="0" w:type="dxa"/>
            </w:tcMar>
            <w:vAlign w:val="center"/>
          </w:tcPr>
          <w:p w14:paraId="01D7CA9D"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6,52</w:t>
            </w:r>
          </w:p>
        </w:tc>
        <w:tc>
          <w:tcPr>
            <w:tcW w:w="794" w:type="dxa"/>
            <w:tcBorders>
              <w:top w:val="none" w:sz="0" w:space="0" w:color="000000"/>
              <w:left w:val="none" w:sz="0" w:space="0" w:color="000000"/>
              <w:bottom w:val="none" w:sz="0" w:space="0" w:color="000000"/>
              <w:right w:val="none" w:sz="0" w:space="0" w:color="000000"/>
            </w:tcBorders>
            <w:shd w:val="clear" w:color="auto" w:fill="FCB6C3"/>
            <w:tcMar>
              <w:top w:w="0" w:type="dxa"/>
              <w:left w:w="0" w:type="dxa"/>
              <w:bottom w:w="0" w:type="dxa"/>
              <w:right w:w="0" w:type="dxa"/>
            </w:tcMar>
            <w:vAlign w:val="center"/>
          </w:tcPr>
          <w:p w14:paraId="4E84AC78"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7,24</w:t>
            </w:r>
          </w:p>
        </w:tc>
        <w:tc>
          <w:tcPr>
            <w:tcW w:w="794" w:type="dxa"/>
            <w:tcBorders>
              <w:top w:val="none" w:sz="0" w:space="0" w:color="000000"/>
              <w:left w:val="none" w:sz="0" w:space="0" w:color="000000"/>
              <w:bottom w:val="none" w:sz="0" w:space="0" w:color="000000"/>
              <w:right w:val="none" w:sz="0" w:space="0" w:color="000000"/>
            </w:tcBorders>
            <w:shd w:val="clear" w:color="auto" w:fill="FCB4C2"/>
            <w:tcMar>
              <w:top w:w="0" w:type="dxa"/>
              <w:left w:w="0" w:type="dxa"/>
              <w:bottom w:w="0" w:type="dxa"/>
              <w:right w:w="0" w:type="dxa"/>
            </w:tcMar>
            <w:vAlign w:val="center"/>
          </w:tcPr>
          <w:p w14:paraId="52D963B7"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7,55</w:t>
            </w:r>
          </w:p>
        </w:tc>
        <w:tc>
          <w:tcPr>
            <w:tcW w:w="794" w:type="dxa"/>
            <w:tcBorders>
              <w:top w:val="none" w:sz="0" w:space="0" w:color="000000"/>
              <w:left w:val="none" w:sz="0" w:space="0" w:color="000000"/>
              <w:bottom w:val="none" w:sz="0" w:space="0" w:color="000000"/>
              <w:right w:val="none" w:sz="0" w:space="0" w:color="000000"/>
            </w:tcBorders>
            <w:shd w:val="clear" w:color="auto" w:fill="FCBDC7"/>
            <w:tcMar>
              <w:top w:w="0" w:type="dxa"/>
              <w:left w:w="0" w:type="dxa"/>
              <w:bottom w:w="0" w:type="dxa"/>
              <w:right w:w="0" w:type="dxa"/>
            </w:tcMar>
            <w:vAlign w:val="center"/>
          </w:tcPr>
          <w:p w14:paraId="78D35871"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6,14</w:t>
            </w:r>
          </w:p>
        </w:tc>
        <w:tc>
          <w:tcPr>
            <w:tcW w:w="794" w:type="dxa"/>
            <w:tcBorders>
              <w:top w:val="none" w:sz="0" w:space="0" w:color="000000"/>
              <w:left w:val="none" w:sz="0" w:space="0" w:color="000000"/>
              <w:bottom w:val="none" w:sz="0" w:space="0" w:color="000000"/>
              <w:right w:val="none" w:sz="0" w:space="0" w:color="000000"/>
            </w:tcBorders>
            <w:shd w:val="clear" w:color="auto" w:fill="FDBEC8"/>
            <w:tcMar>
              <w:top w:w="0" w:type="dxa"/>
              <w:left w:w="0" w:type="dxa"/>
              <w:bottom w:w="0" w:type="dxa"/>
              <w:right w:w="0" w:type="dxa"/>
            </w:tcMar>
            <w:vAlign w:val="center"/>
          </w:tcPr>
          <w:p w14:paraId="5EF4D5A5"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5,88</w:t>
            </w:r>
          </w:p>
        </w:tc>
      </w:tr>
      <w:tr w:rsidR="00C27F1D" w:rsidRPr="00C27F1D" w14:paraId="1549A9B5" w14:textId="77777777" w:rsidTr="00604D67">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B4E79A"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45-49</w:t>
            </w:r>
          </w:p>
        </w:tc>
        <w:tc>
          <w:tcPr>
            <w:tcW w:w="794" w:type="dxa"/>
            <w:tcBorders>
              <w:top w:val="none" w:sz="0" w:space="0" w:color="000000"/>
              <w:left w:val="none" w:sz="0" w:space="0" w:color="000000"/>
              <w:bottom w:val="none" w:sz="0" w:space="0" w:color="000000"/>
              <w:right w:val="none" w:sz="0" w:space="0" w:color="000000"/>
            </w:tcBorders>
            <w:shd w:val="clear" w:color="auto" w:fill="FBA6B9"/>
            <w:tcMar>
              <w:top w:w="0" w:type="dxa"/>
              <w:left w:w="0" w:type="dxa"/>
              <w:bottom w:w="0" w:type="dxa"/>
              <w:right w:w="0" w:type="dxa"/>
            </w:tcMar>
            <w:vAlign w:val="center"/>
          </w:tcPr>
          <w:p w14:paraId="2525E85F"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10,01</w:t>
            </w:r>
          </w:p>
        </w:tc>
        <w:tc>
          <w:tcPr>
            <w:tcW w:w="794" w:type="dxa"/>
            <w:tcBorders>
              <w:top w:val="none" w:sz="0" w:space="0" w:color="000000"/>
              <w:left w:val="none" w:sz="0" w:space="0" w:color="000000"/>
              <w:bottom w:val="none" w:sz="0" w:space="0" w:color="000000"/>
              <w:right w:val="none" w:sz="0" w:space="0" w:color="000000"/>
            </w:tcBorders>
            <w:shd w:val="clear" w:color="auto" w:fill="FBA8BA"/>
            <w:tcMar>
              <w:top w:w="0" w:type="dxa"/>
              <w:left w:w="0" w:type="dxa"/>
              <w:bottom w:w="0" w:type="dxa"/>
              <w:right w:w="0" w:type="dxa"/>
            </w:tcMar>
            <w:vAlign w:val="center"/>
          </w:tcPr>
          <w:p w14:paraId="3A504DCB"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9,67</w:t>
            </w:r>
          </w:p>
        </w:tc>
        <w:tc>
          <w:tcPr>
            <w:tcW w:w="794" w:type="dxa"/>
            <w:tcBorders>
              <w:top w:val="none" w:sz="0" w:space="0" w:color="000000"/>
              <w:left w:val="none" w:sz="0" w:space="0" w:color="000000"/>
              <w:bottom w:val="none" w:sz="0" w:space="0" w:color="000000"/>
              <w:right w:val="none" w:sz="0" w:space="0" w:color="000000"/>
            </w:tcBorders>
            <w:shd w:val="clear" w:color="auto" w:fill="FBA7BA"/>
            <w:tcMar>
              <w:top w:w="0" w:type="dxa"/>
              <w:left w:w="0" w:type="dxa"/>
              <w:bottom w:w="0" w:type="dxa"/>
              <w:right w:w="0" w:type="dxa"/>
            </w:tcMar>
            <w:vAlign w:val="center"/>
          </w:tcPr>
          <w:p w14:paraId="35C530F3"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9,78</w:t>
            </w:r>
          </w:p>
        </w:tc>
        <w:tc>
          <w:tcPr>
            <w:tcW w:w="794" w:type="dxa"/>
            <w:tcBorders>
              <w:top w:val="none" w:sz="0" w:space="0" w:color="000000"/>
              <w:left w:val="none" w:sz="0" w:space="0" w:color="000000"/>
              <w:bottom w:val="none" w:sz="0" w:space="0" w:color="000000"/>
              <w:right w:val="none" w:sz="0" w:space="0" w:color="000000"/>
            </w:tcBorders>
            <w:shd w:val="clear" w:color="auto" w:fill="FAA0B6"/>
            <w:tcMar>
              <w:top w:w="0" w:type="dxa"/>
              <w:left w:w="0" w:type="dxa"/>
              <w:bottom w:w="0" w:type="dxa"/>
              <w:right w:w="0" w:type="dxa"/>
            </w:tcMar>
            <w:vAlign w:val="center"/>
          </w:tcPr>
          <w:p w14:paraId="68F3A9B3"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10,98</w:t>
            </w:r>
          </w:p>
        </w:tc>
        <w:tc>
          <w:tcPr>
            <w:tcW w:w="794" w:type="dxa"/>
            <w:tcBorders>
              <w:top w:val="none" w:sz="0" w:space="0" w:color="000000"/>
              <w:left w:val="none" w:sz="0" w:space="0" w:color="000000"/>
              <w:bottom w:val="none" w:sz="0" w:space="0" w:color="000000"/>
              <w:right w:val="none" w:sz="0" w:space="0" w:color="000000"/>
            </w:tcBorders>
            <w:shd w:val="clear" w:color="auto" w:fill="FBA4B8"/>
            <w:tcMar>
              <w:top w:w="0" w:type="dxa"/>
              <w:left w:w="0" w:type="dxa"/>
              <w:bottom w:w="0" w:type="dxa"/>
              <w:right w:w="0" w:type="dxa"/>
            </w:tcMar>
            <w:vAlign w:val="center"/>
          </w:tcPr>
          <w:p w14:paraId="66C2268B"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10,27</w:t>
            </w:r>
          </w:p>
        </w:tc>
        <w:tc>
          <w:tcPr>
            <w:tcW w:w="794" w:type="dxa"/>
            <w:tcBorders>
              <w:top w:val="none" w:sz="0" w:space="0" w:color="000000"/>
              <w:left w:val="none" w:sz="0" w:space="0" w:color="000000"/>
              <w:bottom w:val="none" w:sz="0" w:space="0" w:color="000000"/>
              <w:right w:val="none" w:sz="0" w:space="0" w:color="000000"/>
            </w:tcBorders>
            <w:shd w:val="clear" w:color="auto" w:fill="FAA2B7"/>
            <w:tcMar>
              <w:top w:w="0" w:type="dxa"/>
              <w:left w:w="0" w:type="dxa"/>
              <w:bottom w:w="0" w:type="dxa"/>
              <w:right w:w="0" w:type="dxa"/>
            </w:tcMar>
            <w:vAlign w:val="center"/>
          </w:tcPr>
          <w:p w14:paraId="414D9FA0"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10,71</w:t>
            </w:r>
          </w:p>
        </w:tc>
        <w:tc>
          <w:tcPr>
            <w:tcW w:w="794" w:type="dxa"/>
            <w:tcBorders>
              <w:top w:val="none" w:sz="0" w:space="0" w:color="000000"/>
              <w:left w:val="none" w:sz="0" w:space="0" w:color="000000"/>
              <w:bottom w:val="none" w:sz="0" w:space="0" w:color="000000"/>
              <w:right w:val="none" w:sz="0" w:space="0" w:color="000000"/>
            </w:tcBorders>
            <w:shd w:val="clear" w:color="auto" w:fill="FA9EB5"/>
            <w:tcMar>
              <w:top w:w="0" w:type="dxa"/>
              <w:left w:w="0" w:type="dxa"/>
              <w:bottom w:w="0" w:type="dxa"/>
              <w:right w:w="0" w:type="dxa"/>
            </w:tcMar>
            <w:vAlign w:val="center"/>
          </w:tcPr>
          <w:p w14:paraId="59F1A400"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11,41</w:t>
            </w:r>
          </w:p>
        </w:tc>
        <w:tc>
          <w:tcPr>
            <w:tcW w:w="794" w:type="dxa"/>
            <w:tcBorders>
              <w:top w:val="none" w:sz="0" w:space="0" w:color="000000"/>
              <w:left w:val="none" w:sz="0" w:space="0" w:color="000000"/>
              <w:bottom w:val="none" w:sz="0" w:space="0" w:color="000000"/>
              <w:right w:val="none" w:sz="0" w:space="0" w:color="000000"/>
            </w:tcBorders>
            <w:shd w:val="clear" w:color="auto" w:fill="FBAABB"/>
            <w:tcMar>
              <w:top w:w="0" w:type="dxa"/>
              <w:left w:w="0" w:type="dxa"/>
              <w:bottom w:w="0" w:type="dxa"/>
              <w:right w:w="0" w:type="dxa"/>
            </w:tcMar>
            <w:vAlign w:val="center"/>
          </w:tcPr>
          <w:p w14:paraId="262D7CE7"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9,35</w:t>
            </w:r>
          </w:p>
        </w:tc>
        <w:tc>
          <w:tcPr>
            <w:tcW w:w="794" w:type="dxa"/>
            <w:tcBorders>
              <w:top w:val="none" w:sz="0" w:space="0" w:color="000000"/>
              <w:left w:val="none" w:sz="0" w:space="0" w:color="000000"/>
              <w:bottom w:val="none" w:sz="0" w:space="0" w:color="000000"/>
              <w:right w:val="none" w:sz="0" w:space="0" w:color="000000"/>
            </w:tcBorders>
            <w:shd w:val="clear" w:color="auto" w:fill="FBABBC"/>
            <w:tcMar>
              <w:top w:w="0" w:type="dxa"/>
              <w:left w:w="0" w:type="dxa"/>
              <w:bottom w:w="0" w:type="dxa"/>
              <w:right w:w="0" w:type="dxa"/>
            </w:tcMar>
            <w:vAlign w:val="center"/>
          </w:tcPr>
          <w:p w14:paraId="3A1D68C9"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9,23</w:t>
            </w:r>
          </w:p>
        </w:tc>
      </w:tr>
      <w:tr w:rsidR="00C27F1D" w:rsidRPr="00C27F1D" w14:paraId="767AB40A" w14:textId="77777777" w:rsidTr="00604D67">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600518E"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50-54</w:t>
            </w:r>
          </w:p>
        </w:tc>
        <w:tc>
          <w:tcPr>
            <w:tcW w:w="794" w:type="dxa"/>
            <w:tcBorders>
              <w:top w:val="none" w:sz="0" w:space="0" w:color="000000"/>
              <w:left w:val="none" w:sz="0" w:space="0" w:color="000000"/>
              <w:bottom w:val="none" w:sz="0" w:space="0" w:color="000000"/>
              <w:right w:val="none" w:sz="0" w:space="0" w:color="000000"/>
            </w:tcBorders>
            <w:shd w:val="clear" w:color="auto" w:fill="F989AD"/>
            <w:tcMar>
              <w:top w:w="0" w:type="dxa"/>
              <w:left w:w="0" w:type="dxa"/>
              <w:bottom w:w="0" w:type="dxa"/>
              <w:right w:w="0" w:type="dxa"/>
            </w:tcMar>
            <w:vAlign w:val="center"/>
          </w:tcPr>
          <w:p w14:paraId="15459565"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15,86</w:t>
            </w:r>
          </w:p>
        </w:tc>
        <w:tc>
          <w:tcPr>
            <w:tcW w:w="794" w:type="dxa"/>
            <w:tcBorders>
              <w:top w:val="none" w:sz="0" w:space="0" w:color="000000"/>
              <w:left w:val="none" w:sz="0" w:space="0" w:color="000000"/>
              <w:bottom w:val="none" w:sz="0" w:space="0" w:color="000000"/>
              <w:right w:val="none" w:sz="0" w:space="0" w:color="000000"/>
            </w:tcBorders>
            <w:shd w:val="clear" w:color="auto" w:fill="F98EAE"/>
            <w:tcMar>
              <w:top w:w="0" w:type="dxa"/>
              <w:left w:w="0" w:type="dxa"/>
              <w:bottom w:w="0" w:type="dxa"/>
              <w:right w:w="0" w:type="dxa"/>
            </w:tcMar>
            <w:vAlign w:val="center"/>
          </w:tcPr>
          <w:p w14:paraId="2981113E"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14,83</w:t>
            </w:r>
          </w:p>
        </w:tc>
        <w:tc>
          <w:tcPr>
            <w:tcW w:w="794" w:type="dxa"/>
            <w:tcBorders>
              <w:top w:val="none" w:sz="0" w:space="0" w:color="000000"/>
              <w:left w:val="none" w:sz="0" w:space="0" w:color="000000"/>
              <w:bottom w:val="none" w:sz="0" w:space="0" w:color="000000"/>
              <w:right w:val="none" w:sz="0" w:space="0" w:color="000000"/>
            </w:tcBorders>
            <w:shd w:val="clear" w:color="auto" w:fill="F879A7"/>
            <w:tcMar>
              <w:top w:w="0" w:type="dxa"/>
              <w:left w:w="0" w:type="dxa"/>
              <w:bottom w:w="0" w:type="dxa"/>
              <w:right w:w="0" w:type="dxa"/>
            </w:tcMar>
            <w:vAlign w:val="center"/>
          </w:tcPr>
          <w:p w14:paraId="577F5149"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19,09</w:t>
            </w:r>
          </w:p>
        </w:tc>
        <w:tc>
          <w:tcPr>
            <w:tcW w:w="794" w:type="dxa"/>
            <w:tcBorders>
              <w:top w:val="none" w:sz="0" w:space="0" w:color="000000"/>
              <w:left w:val="none" w:sz="0" w:space="0" w:color="000000"/>
              <w:bottom w:val="none" w:sz="0" w:space="0" w:color="000000"/>
              <w:right w:val="none" w:sz="0" w:space="0" w:color="000000"/>
            </w:tcBorders>
            <w:shd w:val="clear" w:color="auto" w:fill="FA92B0"/>
            <w:tcMar>
              <w:top w:w="0" w:type="dxa"/>
              <w:left w:w="0" w:type="dxa"/>
              <w:bottom w:w="0" w:type="dxa"/>
              <w:right w:w="0" w:type="dxa"/>
            </w:tcMar>
            <w:vAlign w:val="center"/>
          </w:tcPr>
          <w:p w14:paraId="4A5E4E96"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13,97</w:t>
            </w:r>
          </w:p>
        </w:tc>
        <w:tc>
          <w:tcPr>
            <w:tcW w:w="794" w:type="dxa"/>
            <w:tcBorders>
              <w:top w:val="none" w:sz="0" w:space="0" w:color="000000"/>
              <w:left w:val="none" w:sz="0" w:space="0" w:color="000000"/>
              <w:bottom w:val="none" w:sz="0" w:space="0" w:color="000000"/>
              <w:right w:val="none" w:sz="0" w:space="0" w:color="000000"/>
            </w:tcBorders>
            <w:shd w:val="clear" w:color="auto" w:fill="FA92B0"/>
            <w:tcMar>
              <w:top w:w="0" w:type="dxa"/>
              <w:left w:w="0" w:type="dxa"/>
              <w:bottom w:w="0" w:type="dxa"/>
              <w:right w:w="0" w:type="dxa"/>
            </w:tcMar>
            <w:vAlign w:val="center"/>
          </w:tcPr>
          <w:p w14:paraId="1EF9AE01"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13,96</w:t>
            </w:r>
          </w:p>
        </w:tc>
        <w:tc>
          <w:tcPr>
            <w:tcW w:w="794" w:type="dxa"/>
            <w:tcBorders>
              <w:top w:val="none" w:sz="0" w:space="0" w:color="000000"/>
              <w:left w:val="none" w:sz="0" w:space="0" w:color="000000"/>
              <w:bottom w:val="none" w:sz="0" w:space="0" w:color="000000"/>
              <w:right w:val="none" w:sz="0" w:space="0" w:color="000000"/>
            </w:tcBorders>
            <w:shd w:val="clear" w:color="auto" w:fill="F97FA9"/>
            <w:tcMar>
              <w:top w:w="0" w:type="dxa"/>
              <w:left w:w="0" w:type="dxa"/>
              <w:bottom w:w="0" w:type="dxa"/>
              <w:right w:w="0" w:type="dxa"/>
            </w:tcMar>
            <w:vAlign w:val="center"/>
          </w:tcPr>
          <w:p w14:paraId="6B952A36"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17,90</w:t>
            </w:r>
          </w:p>
        </w:tc>
        <w:tc>
          <w:tcPr>
            <w:tcW w:w="794" w:type="dxa"/>
            <w:tcBorders>
              <w:top w:val="none" w:sz="0" w:space="0" w:color="000000"/>
              <w:left w:val="none" w:sz="0" w:space="0" w:color="000000"/>
              <w:bottom w:val="none" w:sz="0" w:space="0" w:color="000000"/>
              <w:right w:val="none" w:sz="0" w:space="0" w:color="000000"/>
            </w:tcBorders>
            <w:shd w:val="clear" w:color="auto" w:fill="F985AB"/>
            <w:tcMar>
              <w:top w:w="0" w:type="dxa"/>
              <w:left w:w="0" w:type="dxa"/>
              <w:bottom w:w="0" w:type="dxa"/>
              <w:right w:w="0" w:type="dxa"/>
            </w:tcMar>
            <w:vAlign w:val="center"/>
          </w:tcPr>
          <w:p w14:paraId="54814F41"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16,67</w:t>
            </w:r>
          </w:p>
        </w:tc>
        <w:tc>
          <w:tcPr>
            <w:tcW w:w="794" w:type="dxa"/>
            <w:tcBorders>
              <w:top w:val="none" w:sz="0" w:space="0" w:color="000000"/>
              <w:left w:val="none" w:sz="0" w:space="0" w:color="000000"/>
              <w:bottom w:val="none" w:sz="0" w:space="0" w:color="000000"/>
              <w:right w:val="none" w:sz="0" w:space="0" w:color="000000"/>
            </w:tcBorders>
            <w:shd w:val="clear" w:color="auto" w:fill="F984AA"/>
            <w:tcMar>
              <w:top w:w="0" w:type="dxa"/>
              <w:left w:w="0" w:type="dxa"/>
              <w:bottom w:w="0" w:type="dxa"/>
              <w:right w:w="0" w:type="dxa"/>
            </w:tcMar>
            <w:vAlign w:val="center"/>
          </w:tcPr>
          <w:p w14:paraId="7FCA5158"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17,03</w:t>
            </w:r>
          </w:p>
        </w:tc>
        <w:tc>
          <w:tcPr>
            <w:tcW w:w="794" w:type="dxa"/>
            <w:tcBorders>
              <w:top w:val="none" w:sz="0" w:space="0" w:color="000000"/>
              <w:left w:val="none" w:sz="0" w:space="0" w:color="000000"/>
              <w:bottom w:val="none" w:sz="0" w:space="0" w:color="000000"/>
              <w:right w:val="none" w:sz="0" w:space="0" w:color="000000"/>
            </w:tcBorders>
            <w:shd w:val="clear" w:color="auto" w:fill="F981AA"/>
            <w:tcMar>
              <w:top w:w="0" w:type="dxa"/>
              <w:left w:w="0" w:type="dxa"/>
              <w:bottom w:w="0" w:type="dxa"/>
              <w:right w:w="0" w:type="dxa"/>
            </w:tcMar>
            <w:vAlign w:val="center"/>
          </w:tcPr>
          <w:p w14:paraId="0F9F89EB"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17,57</w:t>
            </w:r>
          </w:p>
        </w:tc>
      </w:tr>
      <w:tr w:rsidR="00C27F1D" w:rsidRPr="00C27F1D" w14:paraId="78768546" w14:textId="77777777" w:rsidTr="00604D67">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5C59E243"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55-59</w:t>
            </w:r>
          </w:p>
        </w:tc>
        <w:tc>
          <w:tcPr>
            <w:tcW w:w="794" w:type="dxa"/>
            <w:tcBorders>
              <w:top w:val="none" w:sz="0" w:space="0" w:color="000000"/>
              <w:left w:val="none" w:sz="0" w:space="0" w:color="000000"/>
              <w:bottom w:val="none" w:sz="0" w:space="0" w:color="000000"/>
              <w:right w:val="none" w:sz="0" w:space="0" w:color="000000"/>
            </w:tcBorders>
            <w:shd w:val="clear" w:color="auto" w:fill="F987AC"/>
            <w:tcMar>
              <w:top w:w="0" w:type="dxa"/>
              <w:left w:w="0" w:type="dxa"/>
              <w:bottom w:w="0" w:type="dxa"/>
              <w:right w:w="0" w:type="dxa"/>
            </w:tcMar>
            <w:vAlign w:val="center"/>
          </w:tcPr>
          <w:p w14:paraId="7F49FD47"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16,21</w:t>
            </w:r>
          </w:p>
        </w:tc>
        <w:tc>
          <w:tcPr>
            <w:tcW w:w="794" w:type="dxa"/>
            <w:tcBorders>
              <w:top w:val="none" w:sz="0" w:space="0" w:color="000000"/>
              <w:left w:val="none" w:sz="0" w:space="0" w:color="000000"/>
              <w:bottom w:val="none" w:sz="0" w:space="0" w:color="000000"/>
              <w:right w:val="none" w:sz="0" w:space="0" w:color="000000"/>
            </w:tcBorders>
            <w:shd w:val="clear" w:color="auto" w:fill="FA93B0"/>
            <w:tcMar>
              <w:top w:w="0" w:type="dxa"/>
              <w:left w:w="0" w:type="dxa"/>
              <w:bottom w:w="0" w:type="dxa"/>
              <w:right w:w="0" w:type="dxa"/>
            </w:tcMar>
            <w:vAlign w:val="center"/>
          </w:tcPr>
          <w:p w14:paraId="54867DEF"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13,80</w:t>
            </w:r>
          </w:p>
        </w:tc>
        <w:tc>
          <w:tcPr>
            <w:tcW w:w="794" w:type="dxa"/>
            <w:tcBorders>
              <w:top w:val="none" w:sz="0" w:space="0" w:color="000000"/>
              <w:left w:val="none" w:sz="0" w:space="0" w:color="000000"/>
              <w:bottom w:val="none" w:sz="0" w:space="0" w:color="000000"/>
              <w:right w:val="none" w:sz="0" w:space="0" w:color="000000"/>
            </w:tcBorders>
            <w:shd w:val="clear" w:color="auto" w:fill="F98AAD"/>
            <w:tcMar>
              <w:top w:w="0" w:type="dxa"/>
              <w:left w:w="0" w:type="dxa"/>
              <w:bottom w:w="0" w:type="dxa"/>
              <w:right w:w="0" w:type="dxa"/>
            </w:tcMar>
            <w:vAlign w:val="center"/>
          </w:tcPr>
          <w:p w14:paraId="469A1E74"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15,77</w:t>
            </w:r>
          </w:p>
        </w:tc>
        <w:tc>
          <w:tcPr>
            <w:tcW w:w="794" w:type="dxa"/>
            <w:tcBorders>
              <w:top w:val="none" w:sz="0" w:space="0" w:color="000000"/>
              <w:left w:val="none" w:sz="0" w:space="0" w:color="000000"/>
              <w:bottom w:val="none" w:sz="0" w:space="0" w:color="000000"/>
              <w:right w:val="none" w:sz="0" w:space="0" w:color="000000"/>
            </w:tcBorders>
            <w:shd w:val="clear" w:color="auto" w:fill="F97FA9"/>
            <w:tcMar>
              <w:top w:w="0" w:type="dxa"/>
              <w:left w:w="0" w:type="dxa"/>
              <w:bottom w:w="0" w:type="dxa"/>
              <w:right w:w="0" w:type="dxa"/>
            </w:tcMar>
            <w:vAlign w:val="center"/>
          </w:tcPr>
          <w:p w14:paraId="218F1FCF"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17,96</w:t>
            </w:r>
          </w:p>
        </w:tc>
        <w:tc>
          <w:tcPr>
            <w:tcW w:w="794" w:type="dxa"/>
            <w:tcBorders>
              <w:top w:val="none" w:sz="0" w:space="0" w:color="000000"/>
              <w:left w:val="none" w:sz="0" w:space="0" w:color="000000"/>
              <w:bottom w:val="none" w:sz="0" w:space="0" w:color="000000"/>
              <w:right w:val="none" w:sz="0" w:space="0" w:color="000000"/>
            </w:tcBorders>
            <w:shd w:val="clear" w:color="auto" w:fill="F982AA"/>
            <w:tcMar>
              <w:top w:w="0" w:type="dxa"/>
              <w:left w:w="0" w:type="dxa"/>
              <w:bottom w:w="0" w:type="dxa"/>
              <w:right w:w="0" w:type="dxa"/>
            </w:tcMar>
            <w:vAlign w:val="center"/>
          </w:tcPr>
          <w:p w14:paraId="0AC40F9C"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17,42</w:t>
            </w:r>
          </w:p>
        </w:tc>
        <w:tc>
          <w:tcPr>
            <w:tcW w:w="794" w:type="dxa"/>
            <w:tcBorders>
              <w:top w:val="none" w:sz="0" w:space="0" w:color="000000"/>
              <w:left w:val="none" w:sz="0" w:space="0" w:color="000000"/>
              <w:bottom w:val="none" w:sz="0" w:space="0" w:color="000000"/>
              <w:right w:val="none" w:sz="0" w:space="0" w:color="000000"/>
            </w:tcBorders>
            <w:shd w:val="clear" w:color="auto" w:fill="F97DA8"/>
            <w:tcMar>
              <w:top w:w="0" w:type="dxa"/>
              <w:left w:w="0" w:type="dxa"/>
              <w:bottom w:w="0" w:type="dxa"/>
              <w:right w:w="0" w:type="dxa"/>
            </w:tcMar>
            <w:vAlign w:val="center"/>
          </w:tcPr>
          <w:p w14:paraId="1E978B1F"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18,39</w:t>
            </w:r>
          </w:p>
        </w:tc>
        <w:tc>
          <w:tcPr>
            <w:tcW w:w="794" w:type="dxa"/>
            <w:tcBorders>
              <w:top w:val="none" w:sz="0" w:space="0" w:color="000000"/>
              <w:left w:val="none" w:sz="0" w:space="0" w:color="000000"/>
              <w:bottom w:val="none" w:sz="0" w:space="0" w:color="000000"/>
              <w:right w:val="none" w:sz="0" w:space="0" w:color="000000"/>
            </w:tcBorders>
            <w:shd w:val="clear" w:color="auto" w:fill="F982AA"/>
            <w:tcMar>
              <w:top w:w="0" w:type="dxa"/>
              <w:left w:w="0" w:type="dxa"/>
              <w:bottom w:w="0" w:type="dxa"/>
              <w:right w:w="0" w:type="dxa"/>
            </w:tcMar>
            <w:vAlign w:val="center"/>
          </w:tcPr>
          <w:p w14:paraId="36C0E7A0"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17,30</w:t>
            </w:r>
          </w:p>
        </w:tc>
        <w:tc>
          <w:tcPr>
            <w:tcW w:w="794" w:type="dxa"/>
            <w:tcBorders>
              <w:top w:val="none" w:sz="0" w:space="0" w:color="000000"/>
              <w:left w:val="none" w:sz="0" w:space="0" w:color="000000"/>
              <w:bottom w:val="none" w:sz="0" w:space="0" w:color="000000"/>
              <w:right w:val="none" w:sz="0" w:space="0" w:color="000000"/>
            </w:tcBorders>
            <w:shd w:val="clear" w:color="auto" w:fill="F986AB"/>
            <w:tcMar>
              <w:top w:w="0" w:type="dxa"/>
              <w:left w:w="0" w:type="dxa"/>
              <w:bottom w:w="0" w:type="dxa"/>
              <w:right w:w="0" w:type="dxa"/>
            </w:tcMar>
            <w:vAlign w:val="center"/>
          </w:tcPr>
          <w:p w14:paraId="2182A3EB"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16,59</w:t>
            </w:r>
          </w:p>
        </w:tc>
        <w:tc>
          <w:tcPr>
            <w:tcW w:w="794" w:type="dxa"/>
            <w:tcBorders>
              <w:top w:val="none" w:sz="0" w:space="0" w:color="000000"/>
              <w:left w:val="none" w:sz="0" w:space="0" w:color="000000"/>
              <w:bottom w:val="none" w:sz="0" w:space="0" w:color="000000"/>
              <w:right w:val="none" w:sz="0" w:space="0" w:color="000000"/>
            </w:tcBorders>
            <w:shd w:val="clear" w:color="auto" w:fill="F983AA"/>
            <w:tcMar>
              <w:top w:w="0" w:type="dxa"/>
              <w:left w:w="0" w:type="dxa"/>
              <w:bottom w:w="0" w:type="dxa"/>
              <w:right w:w="0" w:type="dxa"/>
            </w:tcMar>
            <w:vAlign w:val="center"/>
          </w:tcPr>
          <w:p w14:paraId="2BD72A17"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17,13</w:t>
            </w:r>
          </w:p>
        </w:tc>
      </w:tr>
      <w:tr w:rsidR="00C27F1D" w:rsidRPr="00C27F1D" w14:paraId="28461C19" w14:textId="77777777" w:rsidTr="00604D67">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75E3D539"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60-64</w:t>
            </w:r>
          </w:p>
        </w:tc>
        <w:tc>
          <w:tcPr>
            <w:tcW w:w="794" w:type="dxa"/>
            <w:tcBorders>
              <w:top w:val="none" w:sz="0" w:space="0" w:color="000000"/>
              <w:left w:val="none" w:sz="0" w:space="0" w:color="000000"/>
              <w:bottom w:val="none" w:sz="0" w:space="0" w:color="000000"/>
              <w:right w:val="none" w:sz="0" w:space="0" w:color="000000"/>
            </w:tcBorders>
            <w:shd w:val="clear" w:color="auto" w:fill="F76CA2"/>
            <w:tcMar>
              <w:top w:w="0" w:type="dxa"/>
              <w:left w:w="0" w:type="dxa"/>
              <w:bottom w:w="0" w:type="dxa"/>
              <w:right w:w="0" w:type="dxa"/>
            </w:tcMar>
            <w:vAlign w:val="center"/>
          </w:tcPr>
          <w:p w14:paraId="4077E338"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21,56</w:t>
            </w:r>
          </w:p>
        </w:tc>
        <w:tc>
          <w:tcPr>
            <w:tcW w:w="794" w:type="dxa"/>
            <w:tcBorders>
              <w:top w:val="none" w:sz="0" w:space="0" w:color="000000"/>
              <w:left w:val="none" w:sz="0" w:space="0" w:color="000000"/>
              <w:bottom w:val="none" w:sz="0" w:space="0" w:color="000000"/>
              <w:right w:val="none" w:sz="0" w:space="0" w:color="000000"/>
            </w:tcBorders>
            <w:shd w:val="clear" w:color="auto" w:fill="ED5B9D"/>
            <w:tcMar>
              <w:top w:w="0" w:type="dxa"/>
              <w:left w:w="0" w:type="dxa"/>
              <w:bottom w:w="0" w:type="dxa"/>
              <w:right w:w="0" w:type="dxa"/>
            </w:tcMar>
            <w:vAlign w:val="center"/>
          </w:tcPr>
          <w:p w14:paraId="5254AA64"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24,55</w:t>
            </w:r>
          </w:p>
        </w:tc>
        <w:tc>
          <w:tcPr>
            <w:tcW w:w="794" w:type="dxa"/>
            <w:tcBorders>
              <w:top w:val="none" w:sz="0" w:space="0" w:color="000000"/>
              <w:left w:val="none" w:sz="0" w:space="0" w:color="000000"/>
              <w:bottom w:val="none" w:sz="0" w:space="0" w:color="000000"/>
              <w:right w:val="none" w:sz="0" w:space="0" w:color="000000"/>
            </w:tcBorders>
            <w:shd w:val="clear" w:color="auto" w:fill="E44F98"/>
            <w:tcMar>
              <w:top w:w="0" w:type="dxa"/>
              <w:left w:w="0" w:type="dxa"/>
              <w:bottom w:w="0" w:type="dxa"/>
              <w:right w:w="0" w:type="dxa"/>
            </w:tcMar>
            <w:vAlign w:val="center"/>
          </w:tcPr>
          <w:p w14:paraId="1519B05F"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26,67</w:t>
            </w:r>
          </w:p>
        </w:tc>
        <w:tc>
          <w:tcPr>
            <w:tcW w:w="794" w:type="dxa"/>
            <w:tcBorders>
              <w:top w:val="none" w:sz="0" w:space="0" w:color="000000"/>
              <w:left w:val="none" w:sz="0" w:space="0" w:color="000000"/>
              <w:bottom w:val="none" w:sz="0" w:space="0" w:color="000000"/>
              <w:right w:val="none" w:sz="0" w:space="0" w:color="000000"/>
            </w:tcBorders>
            <w:shd w:val="clear" w:color="auto" w:fill="EA579B"/>
            <w:tcMar>
              <w:top w:w="0" w:type="dxa"/>
              <w:left w:w="0" w:type="dxa"/>
              <w:bottom w:w="0" w:type="dxa"/>
              <w:right w:w="0" w:type="dxa"/>
            </w:tcMar>
            <w:vAlign w:val="center"/>
          </w:tcPr>
          <w:p w14:paraId="158FF186"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25,34</w:t>
            </w:r>
          </w:p>
        </w:tc>
        <w:tc>
          <w:tcPr>
            <w:tcW w:w="794" w:type="dxa"/>
            <w:tcBorders>
              <w:top w:val="none" w:sz="0" w:space="0" w:color="000000"/>
              <w:left w:val="none" w:sz="0" w:space="0" w:color="000000"/>
              <w:bottom w:val="none" w:sz="0" w:space="0" w:color="000000"/>
              <w:right w:val="none" w:sz="0" w:space="0" w:color="000000"/>
            </w:tcBorders>
            <w:shd w:val="clear" w:color="auto" w:fill="F76DA2"/>
            <w:tcMar>
              <w:top w:w="0" w:type="dxa"/>
              <w:left w:w="0" w:type="dxa"/>
              <w:bottom w:w="0" w:type="dxa"/>
              <w:right w:w="0" w:type="dxa"/>
            </w:tcMar>
            <w:vAlign w:val="center"/>
          </w:tcPr>
          <w:p w14:paraId="4E316052"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21,53</w:t>
            </w:r>
          </w:p>
        </w:tc>
        <w:tc>
          <w:tcPr>
            <w:tcW w:w="794" w:type="dxa"/>
            <w:tcBorders>
              <w:top w:val="none" w:sz="0" w:space="0" w:color="000000"/>
              <w:left w:val="none" w:sz="0" w:space="0" w:color="000000"/>
              <w:bottom w:val="none" w:sz="0" w:space="0" w:color="000000"/>
              <w:right w:val="none" w:sz="0" w:space="0" w:color="000000"/>
            </w:tcBorders>
            <w:shd w:val="clear" w:color="auto" w:fill="D13390"/>
            <w:tcMar>
              <w:top w:w="0" w:type="dxa"/>
              <w:left w:w="0" w:type="dxa"/>
              <w:bottom w:w="0" w:type="dxa"/>
              <w:right w:w="0" w:type="dxa"/>
            </w:tcMar>
            <w:vAlign w:val="center"/>
          </w:tcPr>
          <w:p w14:paraId="5748FDEF"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30,82</w:t>
            </w:r>
          </w:p>
        </w:tc>
        <w:tc>
          <w:tcPr>
            <w:tcW w:w="794" w:type="dxa"/>
            <w:tcBorders>
              <w:top w:val="none" w:sz="0" w:space="0" w:color="000000"/>
              <w:left w:val="none" w:sz="0" w:space="0" w:color="000000"/>
              <w:bottom w:val="none" w:sz="0" w:space="0" w:color="000000"/>
              <w:right w:val="none" w:sz="0" w:space="0" w:color="000000"/>
            </w:tcBorders>
            <w:shd w:val="clear" w:color="auto" w:fill="E04996"/>
            <w:tcMar>
              <w:top w:w="0" w:type="dxa"/>
              <w:left w:w="0" w:type="dxa"/>
              <w:bottom w:w="0" w:type="dxa"/>
              <w:right w:w="0" w:type="dxa"/>
            </w:tcMar>
            <w:vAlign w:val="center"/>
          </w:tcPr>
          <w:p w14:paraId="264292FE"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27,54</w:t>
            </w:r>
          </w:p>
        </w:tc>
        <w:tc>
          <w:tcPr>
            <w:tcW w:w="794" w:type="dxa"/>
            <w:tcBorders>
              <w:top w:val="none" w:sz="0" w:space="0" w:color="000000"/>
              <w:left w:val="none" w:sz="0" w:space="0" w:color="000000"/>
              <w:bottom w:val="none" w:sz="0" w:space="0" w:color="000000"/>
              <w:right w:val="none" w:sz="0" w:space="0" w:color="000000"/>
            </w:tcBorders>
            <w:shd w:val="clear" w:color="auto" w:fill="E24D97"/>
            <w:tcMar>
              <w:top w:w="0" w:type="dxa"/>
              <w:left w:w="0" w:type="dxa"/>
              <w:bottom w:w="0" w:type="dxa"/>
              <w:right w:w="0" w:type="dxa"/>
            </w:tcMar>
            <w:vAlign w:val="center"/>
          </w:tcPr>
          <w:p w14:paraId="630DD397"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27,02</w:t>
            </w:r>
          </w:p>
        </w:tc>
        <w:tc>
          <w:tcPr>
            <w:tcW w:w="794" w:type="dxa"/>
            <w:tcBorders>
              <w:top w:val="none" w:sz="0" w:space="0" w:color="000000"/>
              <w:left w:val="none" w:sz="0" w:space="0" w:color="000000"/>
              <w:bottom w:val="none" w:sz="0" w:space="0" w:color="000000"/>
              <w:right w:val="none" w:sz="0" w:space="0" w:color="000000"/>
            </w:tcBorders>
            <w:shd w:val="clear" w:color="auto" w:fill="EA579B"/>
            <w:tcMar>
              <w:top w:w="0" w:type="dxa"/>
              <w:left w:w="0" w:type="dxa"/>
              <w:bottom w:w="0" w:type="dxa"/>
              <w:right w:w="0" w:type="dxa"/>
            </w:tcMar>
            <w:vAlign w:val="center"/>
          </w:tcPr>
          <w:p w14:paraId="247B4656"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25,22</w:t>
            </w:r>
          </w:p>
        </w:tc>
      </w:tr>
      <w:tr w:rsidR="00C27F1D" w:rsidRPr="00C27F1D" w14:paraId="7A6D4ABE" w14:textId="77777777" w:rsidTr="00604D67">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24B0B02B"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65-69</w:t>
            </w:r>
          </w:p>
        </w:tc>
        <w:tc>
          <w:tcPr>
            <w:tcW w:w="794" w:type="dxa"/>
            <w:tcBorders>
              <w:top w:val="none" w:sz="0" w:space="0" w:color="000000"/>
              <w:left w:val="none" w:sz="0" w:space="0" w:color="000000"/>
              <w:bottom w:val="none" w:sz="0" w:space="0" w:color="000000"/>
              <w:right w:val="none" w:sz="0" w:space="0" w:color="000000"/>
            </w:tcBorders>
            <w:shd w:val="clear" w:color="auto" w:fill="F98CAE"/>
            <w:tcMar>
              <w:top w:w="0" w:type="dxa"/>
              <w:left w:w="0" w:type="dxa"/>
              <w:bottom w:w="0" w:type="dxa"/>
              <w:right w:w="0" w:type="dxa"/>
            </w:tcMar>
            <w:vAlign w:val="center"/>
          </w:tcPr>
          <w:p w14:paraId="2963273B"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15,35</w:t>
            </w:r>
          </w:p>
        </w:tc>
        <w:tc>
          <w:tcPr>
            <w:tcW w:w="794" w:type="dxa"/>
            <w:tcBorders>
              <w:top w:val="none" w:sz="0" w:space="0" w:color="000000"/>
              <w:left w:val="none" w:sz="0" w:space="0" w:color="000000"/>
              <w:bottom w:val="none" w:sz="0" w:space="0" w:color="000000"/>
              <w:right w:val="none" w:sz="0" w:space="0" w:color="000000"/>
            </w:tcBorders>
            <w:shd w:val="clear" w:color="auto" w:fill="F980A9"/>
            <w:tcMar>
              <w:top w:w="0" w:type="dxa"/>
              <w:left w:w="0" w:type="dxa"/>
              <w:bottom w:w="0" w:type="dxa"/>
              <w:right w:w="0" w:type="dxa"/>
            </w:tcMar>
            <w:vAlign w:val="center"/>
          </w:tcPr>
          <w:p w14:paraId="5BE4D275"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17,78</w:t>
            </w:r>
          </w:p>
        </w:tc>
        <w:tc>
          <w:tcPr>
            <w:tcW w:w="794" w:type="dxa"/>
            <w:tcBorders>
              <w:top w:val="none" w:sz="0" w:space="0" w:color="000000"/>
              <w:left w:val="none" w:sz="0" w:space="0" w:color="000000"/>
              <w:bottom w:val="none" w:sz="0" w:space="0" w:color="000000"/>
              <w:right w:val="none" w:sz="0" w:space="0" w:color="000000"/>
            </w:tcBorders>
            <w:shd w:val="clear" w:color="auto" w:fill="F989AD"/>
            <w:tcMar>
              <w:top w:w="0" w:type="dxa"/>
              <w:left w:w="0" w:type="dxa"/>
              <w:bottom w:w="0" w:type="dxa"/>
              <w:right w:w="0" w:type="dxa"/>
            </w:tcMar>
            <w:vAlign w:val="center"/>
          </w:tcPr>
          <w:p w14:paraId="746AAC0A"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15,80</w:t>
            </w:r>
          </w:p>
        </w:tc>
        <w:tc>
          <w:tcPr>
            <w:tcW w:w="794" w:type="dxa"/>
            <w:tcBorders>
              <w:top w:val="none" w:sz="0" w:space="0" w:color="000000"/>
              <w:left w:val="none" w:sz="0" w:space="0" w:color="000000"/>
              <w:bottom w:val="none" w:sz="0" w:space="0" w:color="000000"/>
              <w:right w:val="none" w:sz="0" w:space="0" w:color="000000"/>
            </w:tcBorders>
            <w:shd w:val="clear" w:color="auto" w:fill="F985AB"/>
            <w:tcMar>
              <w:top w:w="0" w:type="dxa"/>
              <w:left w:w="0" w:type="dxa"/>
              <w:bottom w:w="0" w:type="dxa"/>
              <w:right w:w="0" w:type="dxa"/>
            </w:tcMar>
            <w:vAlign w:val="center"/>
          </w:tcPr>
          <w:p w14:paraId="3B56FE29"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16,79</w:t>
            </w:r>
          </w:p>
        </w:tc>
        <w:tc>
          <w:tcPr>
            <w:tcW w:w="794" w:type="dxa"/>
            <w:tcBorders>
              <w:top w:val="none" w:sz="0" w:space="0" w:color="000000"/>
              <w:left w:val="none" w:sz="0" w:space="0" w:color="000000"/>
              <w:bottom w:val="none" w:sz="0" w:space="0" w:color="000000"/>
              <w:right w:val="none" w:sz="0" w:space="0" w:color="000000"/>
            </w:tcBorders>
            <w:shd w:val="clear" w:color="auto" w:fill="F98BAD"/>
            <w:tcMar>
              <w:top w:w="0" w:type="dxa"/>
              <w:left w:w="0" w:type="dxa"/>
              <w:bottom w:w="0" w:type="dxa"/>
              <w:right w:w="0" w:type="dxa"/>
            </w:tcMar>
            <w:vAlign w:val="center"/>
          </w:tcPr>
          <w:p w14:paraId="13612E8F"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15,38</w:t>
            </w:r>
          </w:p>
        </w:tc>
        <w:tc>
          <w:tcPr>
            <w:tcW w:w="794" w:type="dxa"/>
            <w:tcBorders>
              <w:top w:val="none" w:sz="0" w:space="0" w:color="000000"/>
              <w:left w:val="none" w:sz="0" w:space="0" w:color="000000"/>
              <w:bottom w:val="none" w:sz="0" w:space="0" w:color="000000"/>
              <w:right w:val="none" w:sz="0" w:space="0" w:color="000000"/>
            </w:tcBorders>
            <w:shd w:val="clear" w:color="auto" w:fill="F878A6"/>
            <w:tcMar>
              <w:top w:w="0" w:type="dxa"/>
              <w:left w:w="0" w:type="dxa"/>
              <w:bottom w:w="0" w:type="dxa"/>
              <w:right w:w="0" w:type="dxa"/>
            </w:tcMar>
            <w:vAlign w:val="center"/>
          </w:tcPr>
          <w:p w14:paraId="1243D841"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19,39</w:t>
            </w:r>
          </w:p>
        </w:tc>
        <w:tc>
          <w:tcPr>
            <w:tcW w:w="794" w:type="dxa"/>
            <w:tcBorders>
              <w:top w:val="none" w:sz="0" w:space="0" w:color="000000"/>
              <w:left w:val="none" w:sz="0" w:space="0" w:color="000000"/>
              <w:bottom w:val="none" w:sz="0" w:space="0" w:color="000000"/>
              <w:right w:val="none" w:sz="0" w:space="0" w:color="000000"/>
            </w:tcBorders>
            <w:shd w:val="clear" w:color="auto" w:fill="F986AB"/>
            <w:tcMar>
              <w:top w:w="0" w:type="dxa"/>
              <w:left w:w="0" w:type="dxa"/>
              <w:bottom w:w="0" w:type="dxa"/>
              <w:right w:w="0" w:type="dxa"/>
            </w:tcMar>
            <w:vAlign w:val="center"/>
          </w:tcPr>
          <w:p w14:paraId="4FCBE0D9"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16,50</w:t>
            </w:r>
          </w:p>
        </w:tc>
        <w:tc>
          <w:tcPr>
            <w:tcW w:w="794" w:type="dxa"/>
            <w:tcBorders>
              <w:top w:val="none" w:sz="0" w:space="0" w:color="000000"/>
              <w:left w:val="none" w:sz="0" w:space="0" w:color="000000"/>
              <w:bottom w:val="none" w:sz="0" w:space="0" w:color="000000"/>
              <w:right w:val="none" w:sz="0" w:space="0" w:color="000000"/>
            </w:tcBorders>
            <w:shd w:val="clear" w:color="auto" w:fill="F76DA3"/>
            <w:tcMar>
              <w:top w:w="0" w:type="dxa"/>
              <w:left w:w="0" w:type="dxa"/>
              <w:bottom w:w="0" w:type="dxa"/>
              <w:right w:w="0" w:type="dxa"/>
            </w:tcMar>
            <w:vAlign w:val="center"/>
          </w:tcPr>
          <w:p w14:paraId="5B7DB740"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21,43</w:t>
            </w:r>
          </w:p>
        </w:tc>
        <w:tc>
          <w:tcPr>
            <w:tcW w:w="794" w:type="dxa"/>
            <w:tcBorders>
              <w:top w:val="none" w:sz="0" w:space="0" w:color="000000"/>
              <w:left w:val="none" w:sz="0" w:space="0" w:color="000000"/>
              <w:bottom w:val="none" w:sz="0" w:space="0" w:color="000000"/>
              <w:right w:val="none" w:sz="0" w:space="0" w:color="000000"/>
            </w:tcBorders>
            <w:shd w:val="clear" w:color="auto" w:fill="EB599C"/>
            <w:tcMar>
              <w:top w:w="0" w:type="dxa"/>
              <w:left w:w="0" w:type="dxa"/>
              <w:bottom w:w="0" w:type="dxa"/>
              <w:right w:w="0" w:type="dxa"/>
            </w:tcMar>
            <w:vAlign w:val="center"/>
          </w:tcPr>
          <w:p w14:paraId="00EC0AF7"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24,93</w:t>
            </w:r>
          </w:p>
        </w:tc>
      </w:tr>
      <w:tr w:rsidR="00C27F1D" w:rsidRPr="00C27F1D" w14:paraId="45BCC4B7" w14:textId="77777777" w:rsidTr="00604D67">
        <w:trPr>
          <w:jc w:val="center"/>
        </w:trPr>
        <w:tc>
          <w:tcPr>
            <w:tcW w:w="2333" w:type="dxa"/>
            <w:tcBorders>
              <w:top w:val="none" w:sz="0" w:space="0" w:color="000000"/>
              <w:left w:val="none" w:sz="0" w:space="0" w:color="000000"/>
              <w:bottom w:val="none" w:sz="0" w:space="0" w:color="000000"/>
              <w:right w:val="none" w:sz="0" w:space="0" w:color="000000"/>
            </w:tcBorders>
            <w:shd w:val="clear" w:color="auto" w:fill="FFFFFF"/>
            <w:tcMar>
              <w:top w:w="0" w:type="dxa"/>
              <w:left w:w="0" w:type="dxa"/>
              <w:bottom w:w="0" w:type="dxa"/>
              <w:right w:w="0" w:type="dxa"/>
            </w:tcMar>
            <w:vAlign w:val="center"/>
          </w:tcPr>
          <w:p w14:paraId="4DD950E3"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70-74</w:t>
            </w:r>
          </w:p>
        </w:tc>
        <w:tc>
          <w:tcPr>
            <w:tcW w:w="794" w:type="dxa"/>
            <w:tcBorders>
              <w:top w:val="none" w:sz="0" w:space="0" w:color="000000"/>
              <w:left w:val="none" w:sz="0" w:space="0" w:color="000000"/>
              <w:bottom w:val="none" w:sz="0" w:space="0" w:color="000000"/>
              <w:right w:val="none" w:sz="0" w:space="0" w:color="000000"/>
            </w:tcBorders>
            <w:shd w:val="clear" w:color="auto" w:fill="FA8FAF"/>
            <w:tcMar>
              <w:top w:w="0" w:type="dxa"/>
              <w:left w:w="0" w:type="dxa"/>
              <w:bottom w:w="0" w:type="dxa"/>
              <w:right w:w="0" w:type="dxa"/>
            </w:tcMar>
            <w:vAlign w:val="center"/>
          </w:tcPr>
          <w:p w14:paraId="2500EF34"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14,65</w:t>
            </w:r>
          </w:p>
        </w:tc>
        <w:tc>
          <w:tcPr>
            <w:tcW w:w="794" w:type="dxa"/>
            <w:tcBorders>
              <w:top w:val="none" w:sz="0" w:space="0" w:color="000000"/>
              <w:left w:val="none" w:sz="0" w:space="0" w:color="000000"/>
              <w:bottom w:val="none" w:sz="0" w:space="0" w:color="000000"/>
              <w:right w:val="none" w:sz="0" w:space="0" w:color="000000"/>
            </w:tcBorders>
            <w:shd w:val="clear" w:color="auto" w:fill="F87AA7"/>
            <w:tcMar>
              <w:top w:w="0" w:type="dxa"/>
              <w:left w:w="0" w:type="dxa"/>
              <w:bottom w:w="0" w:type="dxa"/>
              <w:right w:w="0" w:type="dxa"/>
            </w:tcMar>
            <w:vAlign w:val="center"/>
          </w:tcPr>
          <w:p w14:paraId="2FE57675"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19,04</w:t>
            </w:r>
          </w:p>
        </w:tc>
        <w:tc>
          <w:tcPr>
            <w:tcW w:w="794" w:type="dxa"/>
            <w:tcBorders>
              <w:top w:val="none" w:sz="0" w:space="0" w:color="000000"/>
              <w:left w:val="none" w:sz="0" w:space="0" w:color="000000"/>
              <w:bottom w:val="none" w:sz="0" w:space="0" w:color="000000"/>
              <w:right w:val="none" w:sz="0" w:space="0" w:color="000000"/>
            </w:tcBorders>
            <w:shd w:val="clear" w:color="auto" w:fill="F985AB"/>
            <w:tcMar>
              <w:top w:w="0" w:type="dxa"/>
              <w:left w:w="0" w:type="dxa"/>
              <w:bottom w:w="0" w:type="dxa"/>
              <w:right w:w="0" w:type="dxa"/>
            </w:tcMar>
            <w:vAlign w:val="center"/>
          </w:tcPr>
          <w:p w14:paraId="10FE34CF"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16,75</w:t>
            </w:r>
          </w:p>
        </w:tc>
        <w:tc>
          <w:tcPr>
            <w:tcW w:w="794" w:type="dxa"/>
            <w:tcBorders>
              <w:top w:val="none" w:sz="0" w:space="0" w:color="000000"/>
              <w:left w:val="none" w:sz="0" w:space="0" w:color="000000"/>
              <w:bottom w:val="none" w:sz="0" w:space="0" w:color="000000"/>
              <w:right w:val="none" w:sz="0" w:space="0" w:color="000000"/>
            </w:tcBorders>
            <w:shd w:val="clear" w:color="auto" w:fill="E14B97"/>
            <w:tcMar>
              <w:top w:w="0" w:type="dxa"/>
              <w:left w:w="0" w:type="dxa"/>
              <w:bottom w:w="0" w:type="dxa"/>
              <w:right w:w="0" w:type="dxa"/>
            </w:tcMar>
            <w:vAlign w:val="center"/>
          </w:tcPr>
          <w:p w14:paraId="033C9590"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27,35</w:t>
            </w:r>
          </w:p>
        </w:tc>
        <w:tc>
          <w:tcPr>
            <w:tcW w:w="794" w:type="dxa"/>
            <w:tcBorders>
              <w:top w:val="none" w:sz="0" w:space="0" w:color="000000"/>
              <w:left w:val="none" w:sz="0" w:space="0" w:color="000000"/>
              <w:bottom w:val="none" w:sz="0" w:space="0" w:color="000000"/>
              <w:right w:val="none" w:sz="0" w:space="0" w:color="000000"/>
            </w:tcBorders>
            <w:shd w:val="clear" w:color="auto" w:fill="F97EA8"/>
            <w:tcMar>
              <w:top w:w="0" w:type="dxa"/>
              <w:left w:w="0" w:type="dxa"/>
              <w:bottom w:w="0" w:type="dxa"/>
              <w:right w:w="0" w:type="dxa"/>
            </w:tcMar>
            <w:vAlign w:val="center"/>
          </w:tcPr>
          <w:p w14:paraId="464256CE"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18,22</w:t>
            </w:r>
          </w:p>
        </w:tc>
        <w:tc>
          <w:tcPr>
            <w:tcW w:w="794" w:type="dxa"/>
            <w:tcBorders>
              <w:top w:val="none" w:sz="0" w:space="0" w:color="000000"/>
              <w:left w:val="none" w:sz="0" w:space="0" w:color="000000"/>
              <w:bottom w:val="none" w:sz="0" w:space="0" w:color="000000"/>
              <w:right w:val="none" w:sz="0" w:space="0" w:color="000000"/>
            </w:tcBorders>
            <w:shd w:val="clear" w:color="auto" w:fill="FA8FAF"/>
            <w:tcMar>
              <w:top w:w="0" w:type="dxa"/>
              <w:left w:w="0" w:type="dxa"/>
              <w:bottom w:w="0" w:type="dxa"/>
              <w:right w:w="0" w:type="dxa"/>
            </w:tcMar>
            <w:vAlign w:val="center"/>
          </w:tcPr>
          <w:p w14:paraId="7A08FE18"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14,73</w:t>
            </w:r>
          </w:p>
        </w:tc>
        <w:tc>
          <w:tcPr>
            <w:tcW w:w="794" w:type="dxa"/>
            <w:tcBorders>
              <w:top w:val="none" w:sz="0" w:space="0" w:color="000000"/>
              <w:left w:val="none" w:sz="0" w:space="0" w:color="000000"/>
              <w:bottom w:val="none" w:sz="0" w:space="0" w:color="000000"/>
              <w:right w:val="none" w:sz="0" w:space="0" w:color="000000"/>
            </w:tcBorders>
            <w:shd w:val="clear" w:color="auto" w:fill="E8559A"/>
            <w:tcMar>
              <w:top w:w="0" w:type="dxa"/>
              <w:left w:w="0" w:type="dxa"/>
              <w:bottom w:w="0" w:type="dxa"/>
              <w:right w:w="0" w:type="dxa"/>
            </w:tcMar>
            <w:vAlign w:val="center"/>
          </w:tcPr>
          <w:p w14:paraId="4608C6B8"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25,68</w:t>
            </w:r>
          </w:p>
        </w:tc>
        <w:tc>
          <w:tcPr>
            <w:tcW w:w="794" w:type="dxa"/>
            <w:tcBorders>
              <w:top w:val="none" w:sz="0" w:space="0" w:color="000000"/>
              <w:left w:val="none" w:sz="0" w:space="0" w:color="000000"/>
              <w:bottom w:val="none" w:sz="0" w:space="0" w:color="000000"/>
              <w:right w:val="none" w:sz="0" w:space="0" w:color="000000"/>
            </w:tcBorders>
            <w:shd w:val="clear" w:color="auto" w:fill="DD4695"/>
            <w:tcMar>
              <w:top w:w="0" w:type="dxa"/>
              <w:left w:w="0" w:type="dxa"/>
              <w:bottom w:w="0" w:type="dxa"/>
              <w:right w:w="0" w:type="dxa"/>
            </w:tcMar>
            <w:vAlign w:val="center"/>
          </w:tcPr>
          <w:p w14:paraId="59BC5F2D"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28,14</w:t>
            </w:r>
          </w:p>
        </w:tc>
        <w:tc>
          <w:tcPr>
            <w:tcW w:w="794" w:type="dxa"/>
            <w:tcBorders>
              <w:top w:val="none" w:sz="0" w:space="0" w:color="000000"/>
              <w:left w:val="none" w:sz="0" w:space="0" w:color="000000"/>
              <w:bottom w:val="none" w:sz="0" w:space="0" w:color="000000"/>
              <w:right w:val="none" w:sz="0" w:space="0" w:color="000000"/>
            </w:tcBorders>
            <w:shd w:val="clear" w:color="auto" w:fill="94097E"/>
            <w:tcMar>
              <w:top w:w="0" w:type="dxa"/>
              <w:left w:w="0" w:type="dxa"/>
              <w:bottom w:w="0" w:type="dxa"/>
              <w:right w:w="0" w:type="dxa"/>
            </w:tcMar>
            <w:vAlign w:val="center"/>
          </w:tcPr>
          <w:p w14:paraId="2A9C357D"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40,76</w:t>
            </w:r>
          </w:p>
        </w:tc>
      </w:tr>
      <w:tr w:rsidR="00C27F1D" w:rsidRPr="00C27F1D" w14:paraId="789E9C28" w14:textId="77777777" w:rsidTr="00604D67">
        <w:trPr>
          <w:jc w:val="center"/>
        </w:trPr>
        <w:tc>
          <w:tcPr>
            <w:tcW w:w="2333" w:type="dxa"/>
            <w:tcBorders>
              <w:top w:val="none" w:sz="0" w:space="0" w:color="000000"/>
              <w:left w:val="none" w:sz="0" w:space="0" w:color="000000"/>
              <w:right w:val="none" w:sz="0" w:space="0" w:color="000000"/>
            </w:tcBorders>
            <w:shd w:val="clear" w:color="auto" w:fill="FFFFFF"/>
            <w:tcMar>
              <w:top w:w="0" w:type="dxa"/>
              <w:left w:w="0" w:type="dxa"/>
              <w:bottom w:w="0" w:type="dxa"/>
              <w:right w:w="0" w:type="dxa"/>
            </w:tcMar>
            <w:vAlign w:val="center"/>
          </w:tcPr>
          <w:p w14:paraId="75D3852E"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75-79</w:t>
            </w:r>
          </w:p>
        </w:tc>
        <w:tc>
          <w:tcPr>
            <w:tcW w:w="794" w:type="dxa"/>
            <w:tcBorders>
              <w:top w:val="none" w:sz="0" w:space="0" w:color="000000"/>
              <w:left w:val="none" w:sz="0" w:space="0" w:color="000000"/>
              <w:right w:val="none" w:sz="0" w:space="0" w:color="000000"/>
            </w:tcBorders>
            <w:shd w:val="clear" w:color="auto" w:fill="FCB2C0"/>
            <w:tcMar>
              <w:top w:w="0" w:type="dxa"/>
              <w:left w:w="0" w:type="dxa"/>
              <w:bottom w:w="0" w:type="dxa"/>
              <w:right w:w="0" w:type="dxa"/>
            </w:tcMar>
            <w:vAlign w:val="center"/>
          </w:tcPr>
          <w:p w14:paraId="4EA93AB5"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7,99</w:t>
            </w:r>
          </w:p>
        </w:tc>
        <w:tc>
          <w:tcPr>
            <w:tcW w:w="794" w:type="dxa"/>
            <w:tcBorders>
              <w:top w:val="none" w:sz="0" w:space="0" w:color="000000"/>
              <w:left w:val="none" w:sz="0" w:space="0" w:color="000000"/>
              <w:right w:val="none" w:sz="0" w:space="0" w:color="000000"/>
            </w:tcBorders>
            <w:shd w:val="clear" w:color="auto" w:fill="F98BAD"/>
            <w:tcMar>
              <w:top w:w="0" w:type="dxa"/>
              <w:left w:w="0" w:type="dxa"/>
              <w:bottom w:w="0" w:type="dxa"/>
              <w:right w:w="0" w:type="dxa"/>
            </w:tcMar>
            <w:vAlign w:val="center"/>
          </w:tcPr>
          <w:p w14:paraId="4D3E1B7A"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15,44</w:t>
            </w:r>
          </w:p>
        </w:tc>
        <w:tc>
          <w:tcPr>
            <w:tcW w:w="794" w:type="dxa"/>
            <w:tcBorders>
              <w:top w:val="none" w:sz="0" w:space="0" w:color="000000"/>
              <w:left w:val="none" w:sz="0" w:space="0" w:color="000000"/>
              <w:right w:val="none" w:sz="0" w:space="0" w:color="000000"/>
            </w:tcBorders>
            <w:shd w:val="clear" w:color="auto" w:fill="F97DA8"/>
            <w:tcMar>
              <w:top w:w="0" w:type="dxa"/>
              <w:left w:w="0" w:type="dxa"/>
              <w:bottom w:w="0" w:type="dxa"/>
              <w:right w:w="0" w:type="dxa"/>
            </w:tcMar>
            <w:vAlign w:val="center"/>
          </w:tcPr>
          <w:p w14:paraId="62B0FC79"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18,25</w:t>
            </w:r>
          </w:p>
        </w:tc>
        <w:tc>
          <w:tcPr>
            <w:tcW w:w="794" w:type="dxa"/>
            <w:tcBorders>
              <w:top w:val="none" w:sz="0" w:space="0" w:color="000000"/>
              <w:left w:val="none" w:sz="0" w:space="0" w:color="000000"/>
              <w:right w:val="none" w:sz="0" w:space="0" w:color="000000"/>
            </w:tcBorders>
            <w:shd w:val="clear" w:color="auto" w:fill="FA99B3"/>
            <w:tcMar>
              <w:top w:w="0" w:type="dxa"/>
              <w:left w:w="0" w:type="dxa"/>
              <w:bottom w:w="0" w:type="dxa"/>
              <w:right w:w="0" w:type="dxa"/>
            </w:tcMar>
            <w:vAlign w:val="center"/>
          </w:tcPr>
          <w:p w14:paraId="3AD2900A"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12,45</w:t>
            </w:r>
          </w:p>
        </w:tc>
        <w:tc>
          <w:tcPr>
            <w:tcW w:w="794" w:type="dxa"/>
            <w:tcBorders>
              <w:top w:val="none" w:sz="0" w:space="0" w:color="000000"/>
              <w:left w:val="none" w:sz="0" w:space="0" w:color="000000"/>
              <w:right w:val="none" w:sz="0" w:space="0" w:color="000000"/>
            </w:tcBorders>
            <w:shd w:val="clear" w:color="auto" w:fill="FA98B2"/>
            <w:tcMar>
              <w:top w:w="0" w:type="dxa"/>
              <w:left w:w="0" w:type="dxa"/>
              <w:bottom w:w="0" w:type="dxa"/>
              <w:right w:w="0" w:type="dxa"/>
            </w:tcMar>
            <w:vAlign w:val="center"/>
          </w:tcPr>
          <w:p w14:paraId="3AECA08E"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12,76</w:t>
            </w:r>
          </w:p>
        </w:tc>
        <w:tc>
          <w:tcPr>
            <w:tcW w:w="794" w:type="dxa"/>
            <w:tcBorders>
              <w:top w:val="none" w:sz="0" w:space="0" w:color="000000"/>
              <w:left w:val="none" w:sz="0" w:space="0" w:color="000000"/>
              <w:right w:val="none" w:sz="0" w:space="0" w:color="000000"/>
            </w:tcBorders>
            <w:shd w:val="clear" w:color="auto" w:fill="FCB4C1"/>
            <w:tcMar>
              <w:top w:w="0" w:type="dxa"/>
              <w:left w:w="0" w:type="dxa"/>
              <w:bottom w:w="0" w:type="dxa"/>
              <w:right w:w="0" w:type="dxa"/>
            </w:tcMar>
            <w:vAlign w:val="center"/>
          </w:tcPr>
          <w:p w14:paraId="22D84805"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7,71</w:t>
            </w:r>
          </w:p>
        </w:tc>
        <w:tc>
          <w:tcPr>
            <w:tcW w:w="794" w:type="dxa"/>
            <w:tcBorders>
              <w:top w:val="none" w:sz="0" w:space="0" w:color="000000"/>
              <w:left w:val="none" w:sz="0" w:space="0" w:color="000000"/>
              <w:right w:val="none" w:sz="0" w:space="0" w:color="000000"/>
            </w:tcBorders>
            <w:shd w:val="clear" w:color="auto" w:fill="F1609E"/>
            <w:tcMar>
              <w:top w:w="0" w:type="dxa"/>
              <w:left w:w="0" w:type="dxa"/>
              <w:bottom w:w="0" w:type="dxa"/>
              <w:right w:w="0" w:type="dxa"/>
            </w:tcMar>
            <w:vAlign w:val="center"/>
          </w:tcPr>
          <w:p w14:paraId="5E4FB8E3"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23,70</w:t>
            </w:r>
          </w:p>
        </w:tc>
        <w:tc>
          <w:tcPr>
            <w:tcW w:w="794" w:type="dxa"/>
            <w:tcBorders>
              <w:top w:val="none" w:sz="0" w:space="0" w:color="000000"/>
              <w:left w:val="none" w:sz="0" w:space="0" w:color="000000"/>
              <w:right w:val="none" w:sz="0" w:space="0" w:color="000000"/>
            </w:tcBorders>
            <w:shd w:val="clear" w:color="auto" w:fill="F982AA"/>
            <w:tcMar>
              <w:top w:w="0" w:type="dxa"/>
              <w:left w:w="0" w:type="dxa"/>
              <w:bottom w:w="0" w:type="dxa"/>
              <w:right w:w="0" w:type="dxa"/>
            </w:tcMar>
            <w:vAlign w:val="center"/>
          </w:tcPr>
          <w:p w14:paraId="3374CAD6"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17,42</w:t>
            </w:r>
          </w:p>
        </w:tc>
        <w:tc>
          <w:tcPr>
            <w:tcW w:w="794" w:type="dxa"/>
            <w:tcBorders>
              <w:top w:val="none" w:sz="0" w:space="0" w:color="000000"/>
              <w:left w:val="none" w:sz="0" w:space="0" w:color="000000"/>
              <w:right w:val="none" w:sz="0" w:space="0" w:color="000000"/>
            </w:tcBorders>
            <w:shd w:val="clear" w:color="auto" w:fill="7A0177"/>
            <w:tcMar>
              <w:top w:w="0" w:type="dxa"/>
              <w:left w:w="0" w:type="dxa"/>
              <w:bottom w:w="0" w:type="dxa"/>
              <w:right w:w="0" w:type="dxa"/>
            </w:tcMar>
            <w:vAlign w:val="center"/>
          </w:tcPr>
          <w:p w14:paraId="22963C93"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44,71</w:t>
            </w:r>
          </w:p>
        </w:tc>
      </w:tr>
      <w:tr w:rsidR="00C27F1D" w:rsidRPr="00C27F1D" w14:paraId="1B20A38C" w14:textId="77777777" w:rsidTr="00604D67">
        <w:trPr>
          <w:jc w:val="center"/>
        </w:trPr>
        <w:tc>
          <w:tcPr>
            <w:tcW w:w="2333" w:type="dxa"/>
            <w:tcBorders>
              <w:bottom w:val="single" w:sz="18" w:space="0" w:color="000000" w:themeColor="text1"/>
            </w:tcBorders>
            <w:shd w:val="clear" w:color="auto" w:fill="FFFFFF"/>
            <w:tcMar>
              <w:top w:w="0" w:type="dxa"/>
              <w:left w:w="0" w:type="dxa"/>
              <w:bottom w:w="0" w:type="dxa"/>
              <w:right w:w="0" w:type="dxa"/>
            </w:tcMar>
            <w:vAlign w:val="center"/>
          </w:tcPr>
          <w:p w14:paraId="77D992AE"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80+</w:t>
            </w:r>
          </w:p>
        </w:tc>
        <w:tc>
          <w:tcPr>
            <w:tcW w:w="794" w:type="dxa"/>
            <w:tcBorders>
              <w:bottom w:val="single" w:sz="18" w:space="0" w:color="000000" w:themeColor="text1"/>
            </w:tcBorders>
            <w:shd w:val="clear" w:color="auto" w:fill="FDC6CD"/>
            <w:tcMar>
              <w:top w:w="0" w:type="dxa"/>
              <w:left w:w="0" w:type="dxa"/>
              <w:bottom w:w="0" w:type="dxa"/>
              <w:right w:w="0" w:type="dxa"/>
            </w:tcMar>
            <w:vAlign w:val="center"/>
          </w:tcPr>
          <w:p w14:paraId="70DD09A1"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4,49</w:t>
            </w:r>
          </w:p>
        </w:tc>
        <w:tc>
          <w:tcPr>
            <w:tcW w:w="794" w:type="dxa"/>
            <w:tcBorders>
              <w:bottom w:val="single" w:sz="18" w:space="0" w:color="000000" w:themeColor="text1"/>
            </w:tcBorders>
            <w:shd w:val="clear" w:color="auto" w:fill="FBAFBE"/>
            <w:tcMar>
              <w:top w:w="0" w:type="dxa"/>
              <w:left w:w="0" w:type="dxa"/>
              <w:bottom w:w="0" w:type="dxa"/>
              <w:right w:w="0" w:type="dxa"/>
            </w:tcMar>
            <w:vAlign w:val="center"/>
          </w:tcPr>
          <w:p w14:paraId="6AC75F65"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8,53</w:t>
            </w:r>
          </w:p>
        </w:tc>
        <w:tc>
          <w:tcPr>
            <w:tcW w:w="794" w:type="dxa"/>
            <w:tcBorders>
              <w:bottom w:val="single" w:sz="18" w:space="0" w:color="000000" w:themeColor="text1"/>
            </w:tcBorders>
            <w:shd w:val="clear" w:color="auto" w:fill="FCBBC6"/>
            <w:tcMar>
              <w:top w:w="0" w:type="dxa"/>
              <w:left w:w="0" w:type="dxa"/>
              <w:bottom w:w="0" w:type="dxa"/>
              <w:right w:w="0" w:type="dxa"/>
            </w:tcMar>
            <w:vAlign w:val="center"/>
          </w:tcPr>
          <w:p w14:paraId="7DA393E8"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6,48</w:t>
            </w:r>
          </w:p>
        </w:tc>
        <w:tc>
          <w:tcPr>
            <w:tcW w:w="794" w:type="dxa"/>
            <w:tcBorders>
              <w:bottom w:val="single" w:sz="18" w:space="0" w:color="000000" w:themeColor="text1"/>
            </w:tcBorders>
            <w:shd w:val="clear" w:color="auto" w:fill="FCAFBE"/>
            <w:tcMar>
              <w:top w:w="0" w:type="dxa"/>
              <w:left w:w="0" w:type="dxa"/>
              <w:bottom w:w="0" w:type="dxa"/>
              <w:right w:w="0" w:type="dxa"/>
            </w:tcMar>
            <w:vAlign w:val="center"/>
          </w:tcPr>
          <w:p w14:paraId="076E32FB"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8,51</w:t>
            </w:r>
          </w:p>
        </w:tc>
        <w:tc>
          <w:tcPr>
            <w:tcW w:w="794" w:type="dxa"/>
            <w:tcBorders>
              <w:bottom w:val="single" w:sz="18" w:space="0" w:color="000000" w:themeColor="text1"/>
            </w:tcBorders>
            <w:shd w:val="clear" w:color="auto" w:fill="FCB5C2"/>
            <w:tcMar>
              <w:top w:w="0" w:type="dxa"/>
              <w:left w:w="0" w:type="dxa"/>
              <w:bottom w:w="0" w:type="dxa"/>
              <w:right w:w="0" w:type="dxa"/>
            </w:tcMar>
            <w:vAlign w:val="center"/>
          </w:tcPr>
          <w:p w14:paraId="29A678DD"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7,48</w:t>
            </w:r>
          </w:p>
        </w:tc>
        <w:tc>
          <w:tcPr>
            <w:tcW w:w="794" w:type="dxa"/>
            <w:tcBorders>
              <w:bottom w:val="single" w:sz="18" w:space="0" w:color="000000" w:themeColor="text1"/>
            </w:tcBorders>
            <w:shd w:val="clear" w:color="auto" w:fill="FBACBD"/>
            <w:tcMar>
              <w:top w:w="0" w:type="dxa"/>
              <w:left w:w="0" w:type="dxa"/>
              <w:bottom w:w="0" w:type="dxa"/>
              <w:right w:w="0" w:type="dxa"/>
            </w:tcMar>
            <w:vAlign w:val="center"/>
          </w:tcPr>
          <w:p w14:paraId="72777A2B"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9,04</w:t>
            </w:r>
          </w:p>
        </w:tc>
        <w:tc>
          <w:tcPr>
            <w:tcW w:w="794" w:type="dxa"/>
            <w:tcBorders>
              <w:bottom w:val="single" w:sz="18" w:space="0" w:color="000000" w:themeColor="text1"/>
            </w:tcBorders>
            <w:shd w:val="clear" w:color="auto" w:fill="FA9EB5"/>
            <w:tcMar>
              <w:top w:w="0" w:type="dxa"/>
              <w:left w:w="0" w:type="dxa"/>
              <w:bottom w:w="0" w:type="dxa"/>
              <w:right w:w="0" w:type="dxa"/>
            </w:tcMar>
            <w:vAlign w:val="center"/>
          </w:tcPr>
          <w:p w14:paraId="6C96B330"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11,39</w:t>
            </w:r>
          </w:p>
        </w:tc>
        <w:tc>
          <w:tcPr>
            <w:tcW w:w="794" w:type="dxa"/>
            <w:tcBorders>
              <w:bottom w:val="single" w:sz="18" w:space="0" w:color="000000" w:themeColor="text1"/>
            </w:tcBorders>
            <w:shd w:val="clear" w:color="auto" w:fill="FA94B1"/>
            <w:tcMar>
              <w:top w:w="0" w:type="dxa"/>
              <w:left w:w="0" w:type="dxa"/>
              <w:bottom w:w="0" w:type="dxa"/>
              <w:right w:w="0" w:type="dxa"/>
            </w:tcMar>
            <w:vAlign w:val="center"/>
          </w:tcPr>
          <w:p w14:paraId="6C65241B"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13,52</w:t>
            </w:r>
          </w:p>
        </w:tc>
        <w:tc>
          <w:tcPr>
            <w:tcW w:w="794" w:type="dxa"/>
            <w:tcBorders>
              <w:bottom w:val="single" w:sz="18" w:space="0" w:color="000000" w:themeColor="text1"/>
            </w:tcBorders>
            <w:shd w:val="clear" w:color="auto" w:fill="F98AAD"/>
            <w:tcMar>
              <w:top w:w="0" w:type="dxa"/>
              <w:left w:w="0" w:type="dxa"/>
              <w:bottom w:w="0" w:type="dxa"/>
              <w:right w:w="0" w:type="dxa"/>
            </w:tcMar>
            <w:vAlign w:val="center"/>
          </w:tcPr>
          <w:p w14:paraId="7F2720C2" w14:textId="77777777" w:rsidR="000C395B" w:rsidRPr="00C27F1D" w:rsidRDefault="000C395B" w:rsidP="00C27F1D">
            <w:pPr>
              <w:pBdr>
                <w:top w:val="none" w:sz="0" w:space="0" w:color="000000"/>
                <w:left w:val="none" w:sz="0" w:space="0" w:color="000000"/>
                <w:bottom w:val="none" w:sz="0" w:space="0" w:color="000000"/>
                <w:right w:val="none" w:sz="0" w:space="0" w:color="000000"/>
              </w:pBdr>
              <w:spacing w:after="0"/>
              <w:ind w:left="100" w:right="100" w:firstLine="709"/>
              <w:jc w:val="both"/>
              <w:rPr>
                <w:rFonts w:cs="Times New Roman"/>
                <w:szCs w:val="24"/>
              </w:rPr>
            </w:pPr>
            <w:r w:rsidRPr="00C27F1D">
              <w:rPr>
                <w:rFonts w:eastAsia="Arial" w:cs="Times New Roman"/>
                <w:szCs w:val="24"/>
              </w:rPr>
              <w:t>15,67</w:t>
            </w:r>
          </w:p>
        </w:tc>
      </w:tr>
    </w:tbl>
    <w:p w14:paraId="4E2EE915" w14:textId="77777777" w:rsidR="000C395B" w:rsidRPr="00C27F1D" w:rsidRDefault="000C395B" w:rsidP="00C27F1D">
      <w:pPr>
        <w:spacing w:after="0"/>
        <w:ind w:firstLine="709"/>
        <w:jc w:val="both"/>
        <w:rPr>
          <w:rFonts w:cs="Times New Roman"/>
          <w:szCs w:val="24"/>
        </w:rPr>
      </w:pPr>
    </w:p>
    <w:p w14:paraId="2AE1C9EF" w14:textId="572089D6" w:rsidR="000C395B" w:rsidRPr="00C27F1D" w:rsidRDefault="000569BC" w:rsidP="00C27F1D">
      <w:pPr>
        <w:spacing w:after="0" w:line="240" w:lineRule="auto"/>
        <w:ind w:firstLine="709"/>
        <w:jc w:val="both"/>
        <w:rPr>
          <w:rFonts w:cs="Times New Roman"/>
          <w:b/>
          <w:bCs/>
          <w:szCs w:val="24"/>
        </w:rPr>
      </w:pPr>
      <w:r w:rsidRPr="00C27F1D">
        <w:rPr>
          <w:rFonts w:cs="Times New Roman"/>
          <w:b/>
          <w:bCs/>
          <w:szCs w:val="24"/>
        </w:rPr>
        <w:t>Figure 1. Age structure of cases by year (aggregated age groups, proportions, %).</w:t>
      </w:r>
    </w:p>
    <w:p w14:paraId="330C907F" w14:textId="3A938349" w:rsidR="000C395B" w:rsidRPr="00C27F1D" w:rsidRDefault="00FE46A9" w:rsidP="00C27F1D">
      <w:pPr>
        <w:spacing w:after="0" w:line="240" w:lineRule="auto"/>
        <w:ind w:firstLine="709"/>
        <w:jc w:val="both"/>
        <w:rPr>
          <w:rFonts w:cs="Times New Roman"/>
          <w:b/>
          <w:bCs/>
          <w:szCs w:val="24"/>
        </w:rPr>
      </w:pPr>
      <w:r w:rsidRPr="00C27F1D">
        <w:rPr>
          <w:rFonts w:cs="Times New Roman"/>
          <w:noProof/>
        </w:rPr>
        <w:drawing>
          <wp:inline distT="0" distB="0" distL="0" distR="0" wp14:anchorId="6A43CA2E" wp14:editId="56BF6289">
            <wp:extent cx="5917474" cy="3451860"/>
            <wp:effectExtent l="0" t="0" r="0" b="0"/>
            <wp:docPr id="267829467" name="Рисунок 1" descr="Изображение выглядит как текст, снимок экрана, графический дизайн,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829467" name="Рисунок 1" descr="Изображение выглядит как текст, снимок экрана, графический дизайн, дизайн&#10;&#10;Содержимое, созданное искусственным интеллектом, может быть неверным."/>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9962" cy="3453311"/>
                    </a:xfrm>
                    <a:prstGeom prst="rect">
                      <a:avLst/>
                    </a:prstGeom>
                    <a:noFill/>
                    <a:ln>
                      <a:noFill/>
                    </a:ln>
                  </pic:spPr>
                </pic:pic>
              </a:graphicData>
            </a:graphic>
          </wp:inline>
        </w:drawing>
      </w:r>
    </w:p>
    <w:p w14:paraId="77E4E8D5" w14:textId="2C734DE2" w:rsidR="000C395B" w:rsidRPr="00C27F1D" w:rsidRDefault="005968FB" w:rsidP="00C27F1D">
      <w:pPr>
        <w:spacing w:after="0" w:line="240" w:lineRule="auto"/>
        <w:ind w:firstLine="709"/>
        <w:jc w:val="both"/>
        <w:rPr>
          <w:rFonts w:cs="Times New Roman"/>
          <w:b/>
          <w:bCs/>
          <w:szCs w:val="24"/>
        </w:rPr>
      </w:pPr>
      <w:r w:rsidRPr="00C27F1D">
        <w:rPr>
          <w:rFonts w:cs="Times New Roman"/>
          <w:b/>
          <w:bCs/>
          <w:szCs w:val="24"/>
        </w:rPr>
        <w:lastRenderedPageBreak/>
        <w:t>Figure 2. Crude incidence rates by age group, cumulative for 2016–2024.</w:t>
      </w:r>
    </w:p>
    <w:p w14:paraId="23C52592" w14:textId="5C818556" w:rsidR="000C395B" w:rsidRPr="00C27F1D" w:rsidRDefault="00FE46A9" w:rsidP="00C27F1D">
      <w:pPr>
        <w:spacing w:after="0" w:line="240" w:lineRule="auto"/>
        <w:ind w:firstLine="709"/>
        <w:jc w:val="both"/>
        <w:rPr>
          <w:rFonts w:cs="Times New Roman"/>
          <w:b/>
          <w:bCs/>
          <w:szCs w:val="24"/>
        </w:rPr>
      </w:pPr>
      <w:r w:rsidRPr="00C27F1D">
        <w:rPr>
          <w:rFonts w:cs="Times New Roman"/>
          <w:noProof/>
        </w:rPr>
        <w:drawing>
          <wp:inline distT="0" distB="0" distL="0" distR="0" wp14:anchorId="052EDC5F" wp14:editId="7392971F">
            <wp:extent cx="5747657" cy="3352800"/>
            <wp:effectExtent l="0" t="0" r="0" b="0"/>
            <wp:docPr id="1831850590" name="Рисунок 2" descr="Изображение выглядит как снимок экрана,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50590" name="Рисунок 2" descr="Изображение выглядит как снимок экрана, текст&#10;&#10;Содержимое, созданное искусственным интеллектом, может быть неверны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73" cy="3353859"/>
                    </a:xfrm>
                    <a:prstGeom prst="rect">
                      <a:avLst/>
                    </a:prstGeom>
                    <a:noFill/>
                    <a:ln>
                      <a:noFill/>
                    </a:ln>
                  </pic:spPr>
                </pic:pic>
              </a:graphicData>
            </a:graphic>
          </wp:inline>
        </w:drawing>
      </w:r>
    </w:p>
    <w:p w14:paraId="30640F98" w14:textId="59A75286" w:rsidR="000C395B" w:rsidRPr="00C27F1D" w:rsidRDefault="005968FB" w:rsidP="00C27F1D">
      <w:pPr>
        <w:spacing w:after="0" w:line="240" w:lineRule="auto"/>
        <w:ind w:firstLine="709"/>
        <w:jc w:val="both"/>
        <w:rPr>
          <w:rFonts w:cs="Times New Roman"/>
          <w:b/>
          <w:bCs/>
          <w:szCs w:val="24"/>
        </w:rPr>
      </w:pPr>
      <w:r w:rsidRPr="00C27F1D">
        <w:rPr>
          <w:rFonts w:cs="Times New Roman"/>
          <w:b/>
          <w:bCs/>
          <w:szCs w:val="24"/>
        </w:rPr>
        <w:t>Figure 3. Crude incidence rates by age group, 2016–2024.</w:t>
      </w:r>
    </w:p>
    <w:p w14:paraId="28423A84" w14:textId="77777777" w:rsidR="006A749F" w:rsidRPr="00C27F1D" w:rsidRDefault="006A749F" w:rsidP="00C27F1D">
      <w:pPr>
        <w:spacing w:after="0" w:line="240" w:lineRule="auto"/>
        <w:ind w:firstLine="709"/>
        <w:jc w:val="both"/>
        <w:rPr>
          <w:rFonts w:cs="Times New Roman"/>
          <w:b/>
          <w:bCs/>
          <w:szCs w:val="24"/>
        </w:rPr>
      </w:pPr>
    </w:p>
    <w:p w14:paraId="19BFF7D1" w14:textId="5E53649A" w:rsidR="006A749F" w:rsidRPr="00C27F1D" w:rsidRDefault="006A749F" w:rsidP="00C27F1D">
      <w:pPr>
        <w:spacing w:after="0" w:line="240" w:lineRule="auto"/>
        <w:ind w:firstLine="709"/>
        <w:jc w:val="both"/>
        <w:rPr>
          <w:rFonts w:cs="Times New Roman"/>
          <w:b/>
          <w:bCs/>
          <w:szCs w:val="24"/>
        </w:rPr>
      </w:pPr>
      <w:r w:rsidRPr="00C27F1D">
        <w:rPr>
          <w:rFonts w:cs="Times New Roman"/>
          <w:noProof/>
        </w:rPr>
        <w:drawing>
          <wp:inline distT="0" distB="0" distL="0" distR="0" wp14:anchorId="0C9A5896" wp14:editId="0E149605">
            <wp:extent cx="5486400" cy="3657600"/>
            <wp:effectExtent l="0" t="0" r="0" b="0"/>
            <wp:docPr id="1220458645" name="Рисунок 5" descr="Изображение выглядит как снимок экрана, Графика,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58645" name="Рисунок 5" descr="Изображение выглядит как снимок экрана, Графика, дизайн&#10;&#10;Содержимое, созданное искусственным интеллектом, может быть неверны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9B70C58" w14:textId="77777777" w:rsidR="000C395B" w:rsidRPr="00C27F1D" w:rsidRDefault="000C395B" w:rsidP="00C27F1D">
      <w:pPr>
        <w:spacing w:after="0" w:line="240" w:lineRule="auto"/>
        <w:ind w:firstLine="709"/>
        <w:jc w:val="both"/>
        <w:rPr>
          <w:rFonts w:cs="Times New Roman"/>
          <w:b/>
          <w:bCs/>
          <w:szCs w:val="24"/>
        </w:rPr>
      </w:pPr>
    </w:p>
    <w:p w14:paraId="4E614271" w14:textId="46CBF4E3" w:rsidR="000C395B" w:rsidRPr="00C27F1D" w:rsidRDefault="000C395B" w:rsidP="00C27F1D">
      <w:pPr>
        <w:spacing w:after="0" w:line="240" w:lineRule="auto"/>
        <w:ind w:firstLine="709"/>
        <w:jc w:val="both"/>
        <w:rPr>
          <w:rFonts w:cs="Times New Roman"/>
          <w:b/>
          <w:bCs/>
          <w:szCs w:val="24"/>
        </w:rPr>
      </w:pPr>
    </w:p>
    <w:p w14:paraId="043EC4EB" w14:textId="77777777" w:rsidR="000C395B" w:rsidRPr="00C27F1D" w:rsidRDefault="000C395B" w:rsidP="00C27F1D">
      <w:pPr>
        <w:spacing w:after="0" w:line="240" w:lineRule="auto"/>
        <w:ind w:firstLine="709"/>
        <w:jc w:val="both"/>
        <w:rPr>
          <w:rFonts w:cs="Times New Roman"/>
          <w:b/>
          <w:bCs/>
          <w:szCs w:val="24"/>
        </w:rPr>
      </w:pPr>
    </w:p>
    <w:p w14:paraId="1EA19F88" w14:textId="19EADB4D" w:rsidR="000C395B" w:rsidRPr="00C27F1D" w:rsidRDefault="005968FB" w:rsidP="00C27F1D">
      <w:pPr>
        <w:spacing w:after="0" w:line="240" w:lineRule="auto"/>
        <w:ind w:firstLine="709"/>
        <w:jc w:val="both"/>
        <w:rPr>
          <w:rFonts w:cs="Times New Roman"/>
          <w:b/>
          <w:bCs/>
          <w:szCs w:val="24"/>
        </w:rPr>
      </w:pPr>
      <w:r w:rsidRPr="00C27F1D">
        <w:rPr>
          <w:rFonts w:cs="Times New Roman"/>
          <w:b/>
          <w:bCs/>
          <w:szCs w:val="24"/>
        </w:rPr>
        <w:t>Figure 4. Average annual change in incidence rates by age group, 2016–2024.</w:t>
      </w:r>
    </w:p>
    <w:p w14:paraId="4CB097CC" w14:textId="5B04BEED" w:rsidR="006A749F" w:rsidRPr="00C27F1D" w:rsidRDefault="006A749F" w:rsidP="00C27F1D">
      <w:pPr>
        <w:spacing w:after="0" w:line="240" w:lineRule="auto"/>
        <w:ind w:firstLine="709"/>
        <w:jc w:val="both"/>
        <w:rPr>
          <w:rFonts w:cs="Times New Roman"/>
          <w:b/>
          <w:bCs/>
          <w:szCs w:val="24"/>
        </w:rPr>
      </w:pPr>
      <w:r w:rsidRPr="00C27F1D">
        <w:rPr>
          <w:rFonts w:cs="Times New Roman"/>
          <w:noProof/>
        </w:rPr>
        <w:lastRenderedPageBreak/>
        <w:drawing>
          <wp:inline distT="0" distB="0" distL="0" distR="0" wp14:anchorId="43BB1FA8" wp14:editId="600D3211">
            <wp:extent cx="5486400" cy="3657600"/>
            <wp:effectExtent l="0" t="0" r="0" b="0"/>
            <wp:docPr id="1872383984" name="Рисунок 6" descr="Изображение выглядит как снимок экрана, Графика, графический дизайн,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83984" name="Рисунок 6" descr="Изображение выглядит как снимок экрана, Графика, графический дизайн, искусство&#10;&#10;Содержимое, созданное искусственным интеллектом, может быть неверны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3971DDE1" w14:textId="77777777" w:rsidR="000C395B" w:rsidRPr="00C27F1D" w:rsidRDefault="000C395B" w:rsidP="00C27F1D">
      <w:pPr>
        <w:spacing w:after="0" w:line="240" w:lineRule="auto"/>
        <w:ind w:firstLine="709"/>
        <w:jc w:val="both"/>
        <w:rPr>
          <w:rFonts w:cs="Times New Roman"/>
          <w:b/>
          <w:bCs/>
          <w:szCs w:val="24"/>
        </w:rPr>
      </w:pPr>
    </w:p>
    <w:p w14:paraId="03A4C9BB" w14:textId="396974D1" w:rsidR="000C395B" w:rsidRPr="00C27F1D" w:rsidRDefault="005968FB" w:rsidP="00C27F1D">
      <w:pPr>
        <w:spacing w:after="0" w:line="240" w:lineRule="auto"/>
        <w:ind w:firstLine="709"/>
        <w:jc w:val="both"/>
        <w:rPr>
          <w:rFonts w:cs="Times New Roman"/>
          <w:b/>
          <w:bCs/>
          <w:szCs w:val="24"/>
          <w:lang w:val="uz-Cyrl-UZ"/>
        </w:rPr>
      </w:pPr>
      <w:r w:rsidRPr="00C27F1D">
        <w:rPr>
          <w:rFonts w:cs="Times New Roman"/>
          <w:b/>
          <w:bCs/>
          <w:szCs w:val="24"/>
        </w:rPr>
        <w:t>Figure 5. Average annual change in incidence rates by age group, cumulative for 2016–2024</w:t>
      </w:r>
      <w:r w:rsidRPr="00C27F1D">
        <w:rPr>
          <w:rFonts w:cs="Times New Roman"/>
          <w:b/>
          <w:bCs/>
          <w:szCs w:val="24"/>
          <w:lang w:val="uz-Cyrl-UZ"/>
        </w:rPr>
        <w:t>.</w:t>
      </w:r>
    </w:p>
    <w:p w14:paraId="1DD9251E" w14:textId="680FE610" w:rsidR="000C395B" w:rsidRPr="00C27F1D" w:rsidRDefault="006A749F" w:rsidP="00C27F1D">
      <w:pPr>
        <w:spacing w:after="0" w:line="240" w:lineRule="auto"/>
        <w:ind w:firstLine="709"/>
        <w:jc w:val="both"/>
        <w:rPr>
          <w:rFonts w:cs="Times New Roman"/>
          <w:szCs w:val="24"/>
        </w:rPr>
      </w:pPr>
      <w:r w:rsidRPr="00C27F1D">
        <w:rPr>
          <w:rFonts w:cs="Times New Roman"/>
          <w:noProof/>
        </w:rPr>
        <w:drawing>
          <wp:inline distT="0" distB="0" distL="0" distR="0" wp14:anchorId="2A63DFDE" wp14:editId="1101AE53">
            <wp:extent cx="5486400" cy="3657600"/>
            <wp:effectExtent l="0" t="0" r="0" b="0"/>
            <wp:docPr id="454469631" name="Рисунок 8" descr="Изображение выглядит как Красочность, снимок экрана, прямоугольный,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69631" name="Рисунок 8" descr="Изображение выглядит как Красочность, снимок экрана, прямоугольный, дизайн&#10;&#10;Содержимое, созданное искусственным интеллектом, может быть неверным."/>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sectPr w:rsidR="000C395B" w:rsidRPr="00C27F1D" w:rsidSect="00C27F1D">
      <w:headerReference w:type="even" r:id="rId13"/>
      <w:headerReference w:type="default" r:id="rId14"/>
      <w:footerReference w:type="even" r:id="rId15"/>
      <w:footerReference w:type="default" r:id="rId16"/>
      <w:headerReference w:type="first" r:id="rId17"/>
      <w:footerReference w:type="first" r:id="rId18"/>
      <w:pgSz w:w="12240" w:h="15840"/>
      <w:pgMar w:top="993"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CD1371" w14:textId="77777777" w:rsidR="0074280D" w:rsidRDefault="0074280D" w:rsidP="00B13A4C">
      <w:pPr>
        <w:spacing w:after="0" w:line="240" w:lineRule="auto"/>
      </w:pPr>
      <w:r>
        <w:separator/>
      </w:r>
    </w:p>
  </w:endnote>
  <w:endnote w:type="continuationSeparator" w:id="0">
    <w:p w14:paraId="7ACBF52C" w14:textId="77777777" w:rsidR="0074280D" w:rsidRDefault="0074280D" w:rsidP="00B13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C111B" w14:textId="77777777" w:rsidR="00B13A4C" w:rsidRDefault="00B13A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2C5CF" w14:textId="77777777" w:rsidR="00B13A4C" w:rsidRDefault="00B13A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4E447" w14:textId="77777777" w:rsidR="00B13A4C" w:rsidRDefault="00B13A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9E539" w14:textId="77777777" w:rsidR="0074280D" w:rsidRDefault="0074280D" w:rsidP="00B13A4C">
      <w:pPr>
        <w:spacing w:after="0" w:line="240" w:lineRule="auto"/>
      </w:pPr>
      <w:r>
        <w:separator/>
      </w:r>
    </w:p>
  </w:footnote>
  <w:footnote w:type="continuationSeparator" w:id="0">
    <w:p w14:paraId="68E8246B" w14:textId="77777777" w:rsidR="0074280D" w:rsidRDefault="0074280D" w:rsidP="00B13A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D4F5F" w14:textId="635CCB30" w:rsidR="00B13A4C" w:rsidRDefault="00B13A4C">
    <w:pPr>
      <w:pStyle w:val="Header"/>
    </w:pPr>
    <w:r>
      <w:rPr>
        <w:noProof/>
      </w:rPr>
      <w:pict w14:anchorId="20E745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0079" o:spid="_x0000_s2050" type="#_x0000_t136" style="position:absolute;margin-left:0;margin-top:0;width:547.25pt;height:61.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37073" w14:textId="532C9B9A" w:rsidR="00B13A4C" w:rsidRDefault="00B13A4C">
    <w:pPr>
      <w:pStyle w:val="Header"/>
    </w:pPr>
    <w:r>
      <w:rPr>
        <w:noProof/>
      </w:rPr>
      <w:pict w14:anchorId="38092D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0080" o:spid="_x0000_s2051" type="#_x0000_t136" style="position:absolute;margin-left:0;margin-top:0;width:547.25pt;height:61.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C392C" w14:textId="197A1FBD" w:rsidR="00B13A4C" w:rsidRDefault="00B13A4C">
    <w:pPr>
      <w:pStyle w:val="Header"/>
    </w:pPr>
    <w:r>
      <w:rPr>
        <w:noProof/>
      </w:rPr>
      <w:pict w14:anchorId="68DDA1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60720078" o:spid="_x0000_s2049" type="#_x0000_t136" style="position:absolute;margin-left:0;margin-top:0;width:547.25pt;height:61.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34616"/>
    <w:rsid w:val="000569BC"/>
    <w:rsid w:val="0006063C"/>
    <w:rsid w:val="00081F24"/>
    <w:rsid w:val="000C395B"/>
    <w:rsid w:val="000E6557"/>
    <w:rsid w:val="0015074B"/>
    <w:rsid w:val="00196E5B"/>
    <w:rsid w:val="00212A1B"/>
    <w:rsid w:val="0029639D"/>
    <w:rsid w:val="002F0B2D"/>
    <w:rsid w:val="00326F90"/>
    <w:rsid w:val="003443BF"/>
    <w:rsid w:val="00425995"/>
    <w:rsid w:val="00577660"/>
    <w:rsid w:val="005968FB"/>
    <w:rsid w:val="006A749F"/>
    <w:rsid w:val="0074280D"/>
    <w:rsid w:val="0080531D"/>
    <w:rsid w:val="009423F4"/>
    <w:rsid w:val="009A22DE"/>
    <w:rsid w:val="00A24E11"/>
    <w:rsid w:val="00A32ACF"/>
    <w:rsid w:val="00AA1D8D"/>
    <w:rsid w:val="00AA2721"/>
    <w:rsid w:val="00AF36C9"/>
    <w:rsid w:val="00B13A4C"/>
    <w:rsid w:val="00B47730"/>
    <w:rsid w:val="00B743D8"/>
    <w:rsid w:val="00C27F1D"/>
    <w:rsid w:val="00CB0664"/>
    <w:rsid w:val="00D228C4"/>
    <w:rsid w:val="00D47BC0"/>
    <w:rsid w:val="00DA0D07"/>
    <w:rsid w:val="00DF06DB"/>
    <w:rsid w:val="00F30168"/>
    <w:rsid w:val="00FC693F"/>
    <w:rsid w:val="00FE46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24C23867"/>
  <w14:defaultImageDpi w14:val="300"/>
  <w15:docId w15:val="{553D215F-1B06-4BBA-9AE2-271BE15ED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93F"/>
    <w:rPr>
      <w:rFonts w:ascii="Times New Roman" w:hAnsi="Times New Roman"/>
      <w:sz w:val="24"/>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081F24"/>
    <w:rPr>
      <w:color w:val="0000FF" w:themeColor="hyperlink"/>
      <w:u w:val="single"/>
    </w:rPr>
  </w:style>
  <w:style w:type="character" w:styleId="UnresolvedMention">
    <w:name w:val="Unresolved Mention"/>
    <w:basedOn w:val="DefaultParagraphFont"/>
    <w:uiPriority w:val="99"/>
    <w:semiHidden/>
    <w:unhideWhenUsed/>
    <w:rsid w:val="00081F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F58FC1-9CBE-4534-AE48-7E7300B00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2530</Words>
  <Characters>14423</Characters>
  <Application>Microsoft Office Word</Application>
  <DocSecurity>0</DocSecurity>
  <Lines>120</Lines>
  <Paragraphs>33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16920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SDI 1084</cp:lastModifiedBy>
  <cp:revision>6</cp:revision>
  <dcterms:created xsi:type="dcterms:W3CDTF">2026-01-25T17:36:00Z</dcterms:created>
  <dcterms:modified xsi:type="dcterms:W3CDTF">2026-01-27T13:57:00Z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ff8bbd91-4b1d-4172-be07-e905386b1fb0</vt:lpwstr>
  </property>
</Properties>
</file>