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BCBE" w14:textId="77777777" w:rsidR="00674764" w:rsidRPr="00674764" w:rsidRDefault="00674764" w:rsidP="00674764">
      <w:pPr>
        <w:spacing w:line="360" w:lineRule="auto"/>
        <w:jc w:val="both"/>
        <w:rPr>
          <w:rFonts w:ascii="Times New Roman" w:hAnsi="Times New Roman" w:cs="Times New Roman"/>
          <w:sz w:val="24"/>
          <w:szCs w:val="24"/>
        </w:rPr>
      </w:pPr>
      <w:r w:rsidRPr="00674764">
        <w:rPr>
          <w:rFonts w:ascii="Times New Roman" w:hAnsi="Times New Roman" w:cs="Times New Roman"/>
          <w:b/>
          <w:sz w:val="24"/>
          <w:szCs w:val="24"/>
        </w:rPr>
        <w:t>Study of the microbiological quality of artisanal soft drinks (Bissap, Gnamankoudji) produced in the Haut Sassandra region (Daloa department)</w:t>
      </w:r>
    </w:p>
    <w:p w14:paraId="3B30A290" w14:textId="77777777" w:rsidR="004C502D" w:rsidRDefault="004C502D" w:rsidP="00674764">
      <w:pPr>
        <w:spacing w:line="360" w:lineRule="auto"/>
        <w:jc w:val="both"/>
        <w:rPr>
          <w:rFonts w:ascii="Times New Roman" w:hAnsi="Times New Roman" w:cs="Times New Roman"/>
          <w:sz w:val="24"/>
          <w:szCs w:val="24"/>
        </w:rPr>
      </w:pPr>
    </w:p>
    <w:p w14:paraId="064D139C" w14:textId="241455E9" w:rsidR="00674764" w:rsidRPr="00674764" w:rsidRDefault="00674764" w:rsidP="00674764">
      <w:pPr>
        <w:spacing w:line="360" w:lineRule="auto"/>
        <w:jc w:val="both"/>
        <w:rPr>
          <w:rFonts w:ascii="Times New Roman" w:hAnsi="Times New Roman" w:cs="Times New Roman"/>
          <w:b/>
          <w:sz w:val="24"/>
        </w:rPr>
      </w:pPr>
      <w:bookmarkStart w:id="0" w:name="_GoBack"/>
      <w:bookmarkEnd w:id="0"/>
      <w:r w:rsidRPr="00674764">
        <w:rPr>
          <w:rFonts w:ascii="Times New Roman" w:hAnsi="Times New Roman" w:cs="Times New Roman"/>
          <w:b/>
          <w:sz w:val="24"/>
        </w:rPr>
        <w:t>SUMMARY</w:t>
      </w:r>
    </w:p>
    <w:p w14:paraId="55F5F407"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Street food consumption has become increasingly prevalent in urban Africa. This study aimed to investigate the microbiological quality of the artisanal beverages Bissap and Gnamankoudji, produced and sold in the Daloa health district. The results revealed that the pH of Gnamankoudji varies, reaching a value of 10.6. The pH of Bissap, on the other hand, reaches a value of 9.1. The loss of acidity, combined with high sugar content (17.35° Brix), creates an environment conducive to microbial growth. Microbiological analyses revealed a high level of contamination. The bissap from Zaibo showed the highest concentration of mesophilic aerobic bacteria (12,570 CFU/mL), while the Gnamankoudji from Bediala exhibited the highest concentrations of psychrophilic bacteria (8,478 CFU/mL) and yeasts/molds in Gboguhe (1,150 CFU/mL). Thermotolerant coliform and enterobacteria counts reached 539 CFU/mL and 4,278 CFU/mL, respectively, in the Gnamankoudji from Gadouan. The analysis also revealed a scattered presence of Bacillus cereus at some study sites. In contrast, Listeria monocytogenes was detected at the majority of study sites. These results confirm the urgent need for corrective measures, including training producers in good hygiene practices and strengthening quality controls to ensure consumer safety.</w:t>
      </w:r>
    </w:p>
    <w:p w14:paraId="579F9EC3"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br w:type="page"/>
      </w:r>
    </w:p>
    <w:p w14:paraId="219A8019" w14:textId="77777777" w:rsidR="00674764" w:rsidRPr="00674764" w:rsidRDefault="00674764" w:rsidP="00674764">
      <w:pPr>
        <w:numPr>
          <w:ilvl w:val="0"/>
          <w:numId w:val="4"/>
        </w:numPr>
        <w:spacing w:line="360" w:lineRule="auto"/>
        <w:contextualSpacing/>
        <w:jc w:val="both"/>
        <w:rPr>
          <w:rFonts w:ascii="Times New Roman" w:hAnsi="Times New Roman" w:cs="Times New Roman"/>
          <w:b/>
          <w:sz w:val="24"/>
        </w:rPr>
      </w:pPr>
      <w:r w:rsidRPr="00674764">
        <w:rPr>
          <w:rFonts w:ascii="Times New Roman" w:hAnsi="Times New Roman" w:cs="Times New Roman"/>
          <w:b/>
          <w:sz w:val="24"/>
        </w:rPr>
        <w:lastRenderedPageBreak/>
        <w:t>INTRODUCTION</w:t>
      </w:r>
    </w:p>
    <w:p w14:paraId="3F311014"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The consumption of refreshing artisanal drinks such as Bissap (Hibiscus sabdariffa) and Gnamankoudji (Zingiber officinale) is experiencing considerable growth in the Haut Sassandra region of Ivory Coast.</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{"citationID":"PNZhSjld","properties":{"formattedCitation":"({\\i0{}Kouame {\\i{}et al.}}, 2024)","plainCitation":"(Kouame et al., 2024)","noteIndex":0},"citationItems":[{"id":1039,"uris":["http://zotero.org/users/17472374/items/M8G3JQS3"],"itemData":{"id":1039,"type":"article-journal","abstract":"Introduction: The production and consumption of artisanal refreshing drinks (Bissap, Gnamankoudji) in the Haut Sassandra region are anchored in local culture. These artisanal drinks are experiencing considerable growth despite their artisanal and unstable production.\nObjective: The objective of this study is to diagnose the production of these artisanal drinks and to assess the potential risks associated with their consumption in the Haut Sassandra region.\nMethodology: A cross-sectional and retrospective survey was carried out with producers to make the diagnosis and with consumers to identify some main conditions linked to the consumption of these drinks. 52 producers were investigated, and 780 consumers were submitted to a questionnaire, for a total of 832 people audited.\nResults: Bissap and Gnamankoudji have many similar unit operations. In addition, Bissap undergoes heat treatment. The drinks are mostly packaged in used pots. The main conditions encountered were diarrhea (8.3% and 8.7%), belly bloating (2.4% and 2.8%), fever (1.80% and 2.30%), nausea (1.80% and 1.90%), vomiting (0.90% and 1%) respectively after consumption of Gnamankoudji and Bissap.\nConclusion: The study collected data on the production of artisanal drinks and the risks incurred by consumers. The consumption of these drinks represents a major risk for public health.","container-title":"International Journal of TROPICAL DISEASE &amp; Health","DOI":"10.9734/ijtdh/2024/v45i61547","ISSN":"2278-1005","issue":"6","journalAbbreviation":"IJTDH","page":"139-153","source":"DOI.org (Crossref)","title":"Assessment of Production and Risks of Consumption of Artisanal Refreshing Drinks (Bissap, Gnamankoudji) in Haut Sassandra (Daloa-Côte d'Ivoire)","volume":"45","author":[{"family":"Kouame","given":"Christelle Aya Bah Marie-Ange"},{"family":"Clement","given":"Kouassi Kouassi"},{"family":"Athanase","given":"Kouassi Kra"},{"family":"Ibrahim","given":"Konate"}],"issued":{"date-parts":[["2024",5,8]]}}}],"schema":"https://github.com/citation-style-language/schema/raw/master/csl-citation.json"}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(Kouame et al., 2024)</w:t>
      </w:r>
      <w:r w:rsidRPr="00674764">
        <w:rPr>
          <w:rFonts w:ascii="Times New Roman" w:hAnsi="Times New Roman" w:cs="Times New Roman"/>
          <w:sz w:val="24"/>
        </w:rPr>
        <w:fldChar w:fldCharType="end"/>
      </w:r>
      <w:r w:rsidRPr="00674764">
        <w:rPr>
          <w:rFonts w:ascii="Times New Roman" w:hAnsi="Times New Roman" w:cs="Times New Roman"/>
          <w:sz w:val="24"/>
        </w:rPr>
        <w:t>This enthusiasm stems from consumers' perception of these products as nutritious, healthy, and socially appealing beverages.</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{"citationID":"gkbdAr69","properties":{"formattedCitation":"({\\i0{}Aka {\\i{}et al.}}, 2020)","plainCitation":"(Aka et al., 2020)","noteIndex":0},"citationItems":[{"id":1035,"uris":["http://zotero.org/users/17472374/items/AA22EWC6"],"itemData":{"id":1035,"type":"article-journal","container-title":"International Journal of Food Microbiology","DOI":"10.1016/j.ijfoodmicro.2020.108547","ISSN":"01681605","journalAbbreviation":"International Journal of Food Microbiology","language":"en","page":"108547","source":"DOI.org (Crossref)","title":"Characterization of lactic acid bacteria isolated from a traditional Ivoirian beer process to develop starter cultures for safe sorghum-based beverages","volume":"322","author":[{"family":"Aka","given":"Solange"},{"family":"Dridi","given":"Bedis"},{"family":"Bolotin","given":"Alexandre"},{"family":"Yapo","given":"Elysée Armel"},{"family":"Koussemon-Camara","given":"Marina"},{"family":"Bonfoh","given":"Bassirou"},{"family":"Renault","given":"Pierre"}],"issued":{"date-parts":[["2020",6]]}}}],"schema":"https://github.com/citation-style-language/schema/raw/master/csl-citation.json"}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(Aka et al., 2020)</w:t>
      </w:r>
      <w:r w:rsidRPr="00674764">
        <w:rPr>
          <w:rFonts w:ascii="Times New Roman" w:hAnsi="Times New Roman" w:cs="Times New Roman"/>
          <w:sz w:val="24"/>
        </w:rPr>
        <w:fldChar w:fldCharType="end"/>
      </w:r>
      <w:r w:rsidRPr="00674764">
        <w:rPr>
          <w:rFonts w:ascii="Times New Roman" w:hAnsi="Times New Roman" w:cs="Times New Roman"/>
          <w:sz w:val="24"/>
        </w:rPr>
        <w:t>Furthermore, the accessibility and low cost of these drinks allow a large majority of the population of the Daloa district (students, civil servants, employees, the unemployed, and shopkeepers) to easily refresh themselves.</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{"citationID":"qcxOcIgj","properties":{"formattedCitation":"({\\i0{}Kouassi {\\i{}et al.}}, 2018a)","plainCitation":"(Kouassi et al., 2018a)","noteIndex":0},"citationItems":[{"id":68,"uris":["http://zotero.org/users/17472374/items/IVL9LJHY"],"itemData":{"id":68,"type":"article-journal","abstract":"PDF | On Sep 21, 2018, Kouassi Clément KOUASSI and others published Microbial contamination of the non-alcoholic beverage Gnamakoudji made from Zingiber officinale in Daloa, Cte dIvoire | Find, read and cite all the research you need on ResearchGate","container-title":"ResearchGate","DOI":"10.5897/AJMR2018.8951","language":"fr","source":"www.researchgate.net","title":"(PDF) Microbial contamination of the non-alcoholic beverage Gnamakoudji made from Zingiber officinale in Daloa, Cte dIvoire","URL":"https://www.researchgate.net/publication/328533443_Microbial_contamination_of_the_non-alcoholic_beverage_Gnamakoudji_made_from_Zingiber_officinale_in_Daloa_Cte_dIvoire","author":[{"family":"Kouassi","given":"Kouassi Clément"},{"family":"Voko Bi","given":"Don-Rodrigue Rosin"},{"family":"Koffi","given":"Affoué Carole"},{"family":"KOUAME","given":"Konan Bekanti Eric-Bienvenue"}],"accessed":{"date-parts":[["2025",6,29]]},"issued":{"date-parts":[["2018"]]}}}],"schema":"https://github.com/citation-style-language/schema/raw/master/csl-citation.json"}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(Kouassi et al., 2018)</w:t>
      </w:r>
      <w:r w:rsidRPr="00674764">
        <w:rPr>
          <w:rFonts w:ascii="Times New Roman" w:hAnsi="Times New Roman" w:cs="Times New Roman"/>
          <w:sz w:val="24"/>
        </w:rPr>
        <w:fldChar w:fldCharType="end"/>
      </w:r>
      <w:r w:rsidRPr="00674764">
        <w:rPr>
          <w:rFonts w:ascii="Times New Roman" w:hAnsi="Times New Roman" w:cs="Times New Roman"/>
          <w:sz w:val="24"/>
        </w:rPr>
        <w:t>However, the safety of these drinks, sold along roadsides, in markets and densely populated areas, is not always guaranteed.</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{"citationID":"cGYqV7aG","properties":{"formattedCitation":"({\\i0{}Attchelouwa {\\i{}et al.}}, 2017)","plainCitation":"(Attchelouwa et al., 2017)","noteIndex":0},"citationItems":[{"id":1043,"uris":["http://zotero.org/users/17472374/items/2BZRJ8Z2"],"itemData":{"id":1043,"type":"article-journal","abstract":"In order to extend shelf life of traditional sorghum beers, it is of importance to evaluate their spoilage characteristics. Therefore, the microbiological, biochemical, and sensory changes of the Ivorian sorghum beer tchapalo during storage at ambient temperature (28 to 30 °C) for four days and at 4 °C for six days were assessed. The aerobic mesophilic bacteria and the yeast counts remained stable during the storage time. However, variations were observed in the lactic acid bacteria and acetic acid bacteria counts. The deteriorating tchapalo acidity did not show significant variations. In contrast, the total soluble solids decreased at ambient temperature and remained stable at 4 °C. Lactic acid was a major compound during storage, and acetic acid was found at a detectable level of 1.26 mg/mL after the third day at ambient temperature. The ethanol contents increased significantly at ambient temperature after two days and then decreased but showed a fair decrease at 4 °C. Evaluating the beer’s appearance, odor, and taste, a panel considered the beers to be spoiled after two days when stored at 28 to 30 °C and after three days when stored at 4 °C.","container-title":"Beverages","DOI":"10.3390/beverages3030043","ISSN":"2306-5710","issue":"3","journalAbbreviation":"Beverages","language":"en","page":"43","source":"DOI.org (Crossref)","title":"Biochemical and Microbiological Changes during the Ivorian Sorghum Beer Deterioration at Different Storage Temperatures","volume":"3","author":[{"family":"Attchelouwa","given":"Constant"},{"family":"Aka-Gbézo","given":"Solange"},{"family":"N’guessan","given":"Florent"},{"family":"Kouakou","given":"Clémentine"},{"family":"Djè","given":"Marcellin"}],"issued":{"date-parts":[["2017",8,28]]}}}],"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(Attchelouwa et al., 2017)</w:t>
      </w:r>
      <w:r w:rsidRPr="00674764">
        <w:rPr>
          <w:rFonts w:ascii="Times New Roman" w:hAnsi="Times New Roman" w:cs="Times New Roman"/>
          <w:sz w:val="24"/>
        </w:rPr>
        <w:fldChar w:fldCharType="end"/>
      </w:r>
      <w:r w:rsidRPr="00674764">
        <w:rPr>
          <w:rFonts w:ascii="Times New Roman" w:hAnsi="Times New Roman" w:cs="Times New Roman"/>
          <w:sz w:val="24"/>
        </w:rPr>
        <w:t>Indeed, their production method is based on artisanal processes that require little technical expertise and equipment.</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{"citationID":"j4KO5Cte","properties":{"formattedCitation":"({\\i0{}Attchelouwa {\\i{}et al.}}, 2017)","plainCitation":"(Attchelouwa et al., 2017)","noteIndex":0},"citationItems":[{"id":1043,"uris":["http://zotero.org/users/17472374/items/2BZRJ8Z2"],"itemData":{"id":1043,"type":"article-journal","abstract":"In order to extend shelf life of traditional sorghum beers, it is of importance to evaluate their spoilage characteristics. Therefore, the microbiological, biochemical, and sensory changes of the Ivorian sorghum beer tchapalo during storage at ambient temperature (28 to 30 °C) for four days and at 4 °C for six days were assessed. The aerobic mesophilic bacteria and the yeast counts remained stable during the storage time. However, variations were observed in the lactic acid bacteria and acetic acid bacteria counts. The deteriorating tchapalo acidity did not show significant variations. In contrast, the total soluble solids decreased at ambient temperature and remained stable at 4 °C. Lactic acid was a major compound during storage, and acetic acid was found at a detectable level of 1.26 mg/mL after the third day at ambient temperature. The ethanol contents increased significantly at ambient temperature after two days and then decreased but showed a fair decrease at 4 °C. Evaluating the beer’s appearance, odor, and taste, a panel considered the beers to be spoiled after two days when stored at 28 to 30 °C and after three days when stored at 4 °C.","container-title":"Beverages","DOI":"10.3390/beverages3030043","ISSN":"2306-5710","issue":"3","journalAbbreviation":"Beverages","language":"en","page":"43","source":"DOI.org (Crossref)","title":"Biochemical and Microbiological Changes during the Ivorian Sorghum Beer Deterioration at Different Storage Temperatures","volume":"3","author":[{"family":"Attchelouwa","given":"Constant"},{"family":"Aka-Gbézo","given":"Solange"},{"family":"N’guessan","given":"Florent"},{"family":"Kouakou","given":"Clémentine"},{"family":"Djè","given":"Marcellin"}],"issued":{"date-parts":[["2017",8,28]]}}}],"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(Attchelouwa et al., 2017)</w:t>
      </w:r>
      <w:r w:rsidRPr="00674764">
        <w:rPr>
          <w:rFonts w:ascii="Times New Roman" w:hAnsi="Times New Roman" w:cs="Times New Roman"/>
          <w:sz w:val="24"/>
        </w:rPr>
        <w:fldChar w:fldCharType="end"/>
      </w:r>
      <w:r w:rsidRPr="00674764">
        <w:rPr>
          <w:rFonts w:ascii="Times New Roman" w:hAnsi="Times New Roman" w:cs="Times New Roman"/>
          <w:sz w:val="24"/>
        </w:rPr>
        <w:t>The preparation kit, staff hygiene, and the condition of the production site are major causes of contamination of these beverages, negatively influencing their microbiological quality.</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{"citationID":"k7SO58yH","properties":{"formattedCitation":"({\\i0{}Ahon {\\i{}et al.}}, 2022)","plainCitation":"(Ahon et al., 2022)","noteIndex":0},"citationItems":[{"id":1032,"uris":["http://zotero.org/users/17472374/items/3ED6AWSH"],"itemData":{"id":1032,"type":"article-journal","container-title":"Open Journal of Applied Sciences","DOI":"10.4236/ojapps.2022.126066","ISSN":"2165-3917, 2165-3925","issue":"06","journalAbbreviation":"OJAppS","page":"964-976","source":"DOI.org (Crossref)","title":"Physicochemical and Microbiological Properties of Bissap (&amp;lt;i&amp;gt;Hibiscus sabdariffa&amp;lt;/i&amp;gt;) and Ginger (&amp;lt;i&amp;gt;Zingiber officinale&amp;lt;/i&amp;gt; (L) Rose) Juices Sold in the Western Part of Abidjan (C&amp;#244;te d’Ivoire)","volume":"12","author":[{"family":"Ahon","given":"Gnamien Marcel"},{"family":"Bolou","given":"Gbouhoury Eric-Kévin"},{"family":"Fofana","given":"Mamadou"},{"family":"Amoikon","given":"Kouakou Ernest"}],"issued":{"date-parts":[["2022"]]}}}],"schema":"https://github.com/citation-style-language/schema/raw/master/csl-citation.json"}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(Ahon et al., 2022)</w:t>
      </w:r>
      <w:r w:rsidRPr="00674764">
        <w:rPr>
          <w:rFonts w:ascii="Times New Roman" w:hAnsi="Times New Roman" w:cs="Times New Roman"/>
          <w:sz w:val="24"/>
        </w:rPr>
        <w:fldChar w:fldCharType="end"/>
      </w:r>
      <w:r w:rsidRPr="00674764">
        <w:rPr>
          <w:rFonts w:ascii="Times New Roman" w:hAnsi="Times New Roman" w:cs="Times New Roman"/>
          <w:sz w:val="24"/>
        </w:rPr>
        <w:t>Studies conducted in Daloa revealed the presence of spoilage and contamination microbial flora, including thermotolerant coliforms, in samples of Bissap juice.</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{"citationID":"GGmXnJqP","properties":{"formattedCitation":"({\\i0{}Sangare-Tigori {\\i{}et al.}}, 2006)","plainCitation":"(Sangare-Tigori et al., 2006)","noteIndex":0},"citationItems":[{"id":1048,"uris":["http://zotero.org/users/17472374/items/RDXI6E2N"],"itemData":{"id":1048,"type":"article-journal","abstract":"In a preliminary study, samples of millet (n=33) maize (n=41), rice (n=10) and peanuts (n=10) from Côte d'Ivoire were analysed for ochratoxin A (OTA) by HPLC with fluorimetric detection, followed by confirmation by cleavage of the OTA molecule using carboxypeptidase with HPLC separation and fluorimetric quantification of the released ochratoxin alpha (OTα). With the exception of four samples of peanuts, all samples showed OTA contamination, ranging from 3 to 1738 μg/kg. All cereals were contaminated and the OTA concentrations were in the range of 17-204 μg/kg for millet, 3-1738 μg/kg for maize, 9-92 μg/kg for rice and 0.6-64 μg/kg for peanuts, depending on the year of harvest.\n            Most of the samples would not be accepted according to the EU regulatory limits for this mycotoxin. Following this survey, research for other mycotoxins and the evaluation of the exposure of the population is under-way.","container-title":"Human &amp; Experimental Toxicology","DOI":"10.1191/0960327106ht605oa","ISSN":"0960-3271, 1477-0903","issue":"4","journalAbbreviation":"Hum Exp Toxicol","language":"en","license":"https://journals.sagepub.com/page/policies/text-and-data-mining-license","page":"211-216","source":"DOI.org (Crossref)","title":"Preliminary survey of ochratoxin A in millet, maize, rice and peanuts in Côte d'Ivoire from 1998 to 2002","volume":"25","author":[{"family":"Sangare-Tigori","given":"B"},{"family":"Dem","given":"A A"},{"family":"Kouadio","given":"H J"},{"family":"Betbeder","given":"A-M"},{"family":"Dano","given":"D S"},{"family":"Moukha","given":"S"},{"family":"Creppy","given":"E E"}],"issued":{"date-parts":[["2006",4]]}}}],"schema":"https://github.com/citation-style-language/schema/raw/master/csl-citation.json"}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(Sangare-Tigori et al., 2006)</w:t>
      </w:r>
      <w:r w:rsidRPr="00674764">
        <w:rPr>
          <w:rFonts w:ascii="Times New Roman" w:hAnsi="Times New Roman" w:cs="Times New Roman"/>
          <w:sz w:val="24"/>
        </w:rPr>
        <w:fldChar w:fldCharType="end"/>
      </w:r>
      <w:r w:rsidRPr="00674764">
        <w:rPr>
          <w:rFonts w:ascii="Times New Roman" w:hAnsi="Times New Roman" w:cs="Times New Roman"/>
          <w:sz w:val="24"/>
        </w:rPr>
        <w:t>Similarly, studies on Gnamankoudji and Bissap have revealed mycotoxin contamination.</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{"citationID":"iSOR9Mzg","properties":{"formattedCitation":"({\\i0{}Sangare-Tigori {\\i{}et al.}}, 2006)","plainCitation":"(Sangare-Tigori et al., 2006)","noteIndex":0},"citationItems":[{"id":1048,"uris":["http://zotero.org/users/17472374/items/RDXI6E2N"],"itemData":{"id":1048,"type":"article-journal","abstract":"In a preliminary study, samples of millet (n=33) maize (n=41), rice (n=10) and peanuts (n=10) from Côte d'Ivoire were analysed for ochratoxin A (OTA) by HPLC with fluorimetric detection, followed by confirmation by cleavage of the OTA molecule using carboxypeptidase with HPLC separation and fluorimetric quantification of the released ochratoxin alpha (OTα). With the exception of four samples of peanuts, all samples showed OTA contamination, ranging from 3 to 1738 μg/kg. All cereals were contaminated and the OTA concentrations were in the range of 17-204 μg/kg for millet, 3-1738 μg/kg for maize, 9-92 μg/kg for rice and 0.6-64 μg/kg for peanuts, depending on the year of harvest.\n            Most of the samples would not be accepted according to the EU regulatory limits for this mycotoxin. Following this survey, research for other mycotoxins and the evaluation of the exposure of the population is under-way.","container-title":"Human &amp; Experimental Toxicology","DOI":"10.1191/0960327106ht605oa","ISSN":"0960-3271, 1477-0903","issue":"4","journalAbbreviation":"Hum Exp Toxicol","language":"en","license":"https://journals.sagepub.com/page/policies/text-and-data-mining-license","page":"211-216","source":"DOI.org (Crossref)","title":"Preliminary survey of ochratoxin A in millet, maize, rice and peanuts in Côte d'Ivoire from 1998 to 2002","volume":"25","author":[{"family":"Sangare-Tigori","given":"B"},{"family":"Dem","given":"A A"},{"family":"Kouadio","given":"H J"},{"family":"Betbeder","given":"A-M"},{"family":"Dano","given":"D S"},{"family":"Moukha","given":"S"},{"family":"Creppy","given":"E E"}],"issued":{"date-parts":[["2006",4]]}}}],"schema":"https://github.com/citation-style-language/schema/raw/master/csl-citation.json"}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(Sangare-Tigori et al., 2006)</w:t>
      </w:r>
      <w:r w:rsidRPr="00674764">
        <w:rPr>
          <w:rFonts w:ascii="Times New Roman" w:hAnsi="Times New Roman" w:cs="Times New Roman"/>
          <w:sz w:val="24"/>
        </w:rPr>
        <w:fldChar w:fldCharType="end"/>
      </w:r>
      <w:r w:rsidRPr="00674764">
        <w:rPr>
          <w:rFonts w:ascii="Times New Roman" w:hAnsi="Times New Roman" w:cs="Times New Roman"/>
          <w:sz w:val="24"/>
        </w:rPr>
        <w:t>The levels of these beverages, which sometimes exceed European recommendations, pose a risk to consumer health. They constitute a veritable reservoir of pathogenic microorganisms, causing various illnesses in consumers.</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{"citationID":"YWY57B0B","properties":{"formattedCitation":"({\\i0{}Ahon {\\i{}et al.}}, 2022)","plainCitation":"(Ahon et al., 2022)","noteIndex":0},"citationItems":[{"id":1032,"uris":["http://zotero.org/users/17472374/items/3ED6AWSH"],"itemData":{"id":1032,"type":"article-journal","container-title":"Open Journal of Applied Sciences","DOI":"10.4236/ojapps.2022.126066","ISSN":"2165-3917, 2165-3925","issue":"06","journalAbbreviation":"OJAppS","page":"964-976","source":"DOI.org (Crossref)","title":"Physicochemical and Microbiological Properties of Bissap (&amp;lt;i&amp;gt;Hibiscus sabdariffa&amp;lt;/i&amp;gt;) and Ginger (&amp;lt;i&amp;gt;Zingiber officinale&amp;lt;/i&amp;gt; (L) Rose) Juices Sold in the Western Part of Abidjan (C&amp;#244;te d’Ivoire)","volume":"12","author":[{"family":"Ahon","given":"Gnamien Marcel"},{"family":"Bolou","given":"Gbouhoury Eric-Kévin"},{"family":"Fofana","given":"Mamadou"},{"family":"Amoikon","given":"Kouakou Ernest"}],"issued":{"date-parts":[["2022"]]}}}],"schema":"https://github.com/citation-style-language/schema/raw/master/csl-citation.json"}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(Ahon et al., 2022)</w:t>
      </w:r>
      <w:r w:rsidRPr="00674764">
        <w:rPr>
          <w:rFonts w:ascii="Times New Roman" w:hAnsi="Times New Roman" w:cs="Times New Roman"/>
          <w:sz w:val="24"/>
        </w:rPr>
        <w:fldChar w:fldCharType="end"/>
      </w:r>
      <w:r w:rsidRPr="00674764">
        <w:rPr>
          <w:rFonts w:ascii="Times New Roman" w:hAnsi="Times New Roman" w:cs="Times New Roman"/>
          <w:sz w:val="24"/>
        </w:rPr>
        <w:t>Foodborne illnesses (FBIs) are a major cause of morbidity and mortality worldwide, and particularly in sub-Saharan Africa.</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{"citationID":"I3U2hZ7y","properties":{"formattedCitation":"(OMS, 2015)","plainCitation":"(OMS, 2015)","noteIndex":0},"citationItems":[{"id":1052,"uris":["http://zotero.org/users/17472374/items/68APUJ2R"],"itemData":{"id":1052,"type":"webpage","abstract":"The report presents the first global and regional estimates of the burden of foodborne diseases. The large disease burden from food highlights the importance of food safety, particularly in Africa, South-East Asia and other regions.","language":"fr","title":"WHO estimates of the global burden of foodborne diseases: foodborne diseases burden epidemiology reference group 2007-2015","title-short":"WHO estimates of the global burden of foodborne diseases","URL":"https://www.who.int/publications/i/item/9789241565165","author":[{"family":"OMS","given":""}],"accessed":{"date-parts":[["2025",11,30]]},"issued":{"date-parts":[["2015"]]}}}],"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rPr>
        <w:t>(WHO, 2015)</w:t>
      </w:r>
      <w:r w:rsidRPr="00674764">
        <w:rPr>
          <w:rFonts w:ascii="Times New Roman" w:hAnsi="Times New Roman" w:cs="Times New Roman"/>
          <w:sz w:val="24"/>
        </w:rPr>
        <w:fldChar w:fldCharType="end"/>
      </w:r>
      <w:r w:rsidRPr="00674764">
        <w:rPr>
          <w:rFonts w:ascii="Times New Roman" w:hAnsi="Times New Roman" w:cs="Times New Roman"/>
          <w:sz w:val="24"/>
        </w:rPr>
        <w:t>The World Health Organization (WHO) estimates that nearly a third of deaths from OAD occur in Africa, particularly affecting children under five.</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{"citationID":"06YtfaXc","properties":{"formattedCitation":"(OMS, 2024)","plainCitation":"(OMS, 2024)","noteIndex":0},"citationItems":[{"id":777,"uris":["http://zotero.org/users/17472374/items/QXFK4HZP"],"itemData":{"id":777,"type":"webpage","abstract":"Food safety fact sheet provides key facts and information on major foodborne illnesses, causes, evolving world and food safety and WHO response.","language":"fr","title":"Food safety","URL":"https://www.who.int/news-room/fact-sheets/detail/food-safety","author":[{"family":"OMS","given":""}],"accessed":{"date-parts":[["2025",10,9]]},"issued":{"date-parts":[["2024"]]}}}],"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rPr>
        <w:t>(WHO, 2024)</w:t>
      </w:r>
      <w:r w:rsidRPr="00674764">
        <w:rPr>
          <w:rFonts w:ascii="Times New Roman" w:hAnsi="Times New Roman" w:cs="Times New Roman"/>
          <w:sz w:val="24"/>
        </w:rPr>
        <w:fldChar w:fldCharType="end"/>
      </w:r>
      <w:r w:rsidRPr="00674764">
        <w:rPr>
          <w:rFonts w:ascii="Times New Roman" w:hAnsi="Times New Roman" w:cs="Times New Roman"/>
          <w:sz w:val="24"/>
        </w:rPr>
        <w:t>In the specific context of the Daloa district, surveys reported that consumers of artisanal beverages experienced illnesses characterized by diarrhea, vomiting, fever, and stomach bloating.</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{"citationID":"WgOMLuGL","properties":{"formattedCitation":"({\\i0{}Kouame {\\i{}et al.}}, 2024)","plainCitation":"(Kouame et al., 2024)","noteIndex":0},"citationItems":[{"id":1039,"uris":["http://zotero.org/users/17472374/items/M8G3JQS3"],"itemData":{"id":1039,"type":"article-journal","abstract":"Introduction: The production and consumption of artisanal refreshing drinks (Bissap, Gnamankoudji) in the Haut Sassandra region are anchored in local culture. These artisanal drinks are experiencing considerable growth despite their artisanal and unstable production.\nObjective: The objective of this study is to diagnose the production of these artisanal drinks and to assess the potential risks associated with their consumption in the Haut Sassandra region.\nMethodology: A cross-sectional and retrospective survey was carried out with producers to make the diagnosis and with consumers to identify some main conditions linked to the consumption of these drinks. 52 producers were investigated, and 780 consumers were submitted to a questionnaire, for a total of 832 people audited.\nResults: Bissap and Gnamankoudji have many similar unit operations. In addition, Bissap undergoes heat treatment. The drinks are mostly packaged in used pots. The main conditions encountered were diarrhea (8.3% and 8.7%), belly bloating (2.4% and 2.8%), fever (1.80% and 2.30%), nausea (1.80% and 1.90%), vomiting (0.90% and 1%) respectively after consumption of Gnamankoudji and Bissap.\nConclusion: The study collected data on the production of artisanal drinks and the risks incurred by consumers. The consumption of these drinks represents a major risk for public health.","container-title":"International Journal of TROPICAL DISEASE &amp; Health","DOI":"10.9734/ijtdh/2024/v45i61547","ISSN":"2278-1005","issue":"6","journalAbbreviation":"IJTDH","page":"139-153","source":"DOI.org (Crossref)","title":"Assessment of Production and Risks of Consumption of Artisanal Refreshing Drinks (Bissap, Gnamankoudji) in Haut Sassandra (Daloa-Côte d'Ivoire)","volume":"45","author":[{"family":"Kouame","given":"Christelle Aya Bah Marie-Ange"},{"family":"Clement","given":"Kouassi Kouassi"},{"family":"Athanase","given":"Kouassi Kra"},{"family":"Ibrahim","given":"Konate"}],"issued":{"date-parts":[["2024",5,8]]}}}],"schema":"https://github.com/citation-style-language/schema/raw/master/csl-citation.json"}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(Kouame et al., 2024)</w:t>
      </w:r>
      <w:r w:rsidRPr="00674764">
        <w:rPr>
          <w:rFonts w:ascii="Times New Roman" w:hAnsi="Times New Roman" w:cs="Times New Roman"/>
          <w:sz w:val="24"/>
        </w:rPr>
        <w:fldChar w:fldCharType="end"/>
      </w:r>
      <w:r w:rsidRPr="00674764">
        <w:rPr>
          <w:rFonts w:ascii="Times New Roman" w:hAnsi="Times New Roman" w:cs="Times New Roman"/>
          <w:sz w:val="24"/>
        </w:rPr>
        <w:t>The situation in the Daloa health district illustrates the broader challenges related to the food safety of artisanal beverages in sub-Saharan Africa, particularly in the context of street food. This study therefore aims to identify the microbial flora in Bissap and Gnamankoudji sold in the Daloa health district (Haut Sassandra region).</w:t>
      </w:r>
    </w:p>
    <w:p w14:paraId="5842B6AA" w14:textId="77777777" w:rsidR="00674764" w:rsidRPr="00674764" w:rsidRDefault="00674764" w:rsidP="00674764">
      <w:pPr>
        <w:spacing w:line="360" w:lineRule="auto"/>
        <w:jc w:val="both"/>
        <w:rPr>
          <w:rFonts w:ascii="Times New Roman" w:hAnsi="Times New Roman" w:cs="Times New Roman"/>
          <w:sz w:val="24"/>
        </w:rPr>
      </w:pPr>
    </w:p>
    <w:p w14:paraId="12668B13" w14:textId="77777777" w:rsidR="00674764" w:rsidRPr="00674764" w:rsidRDefault="00674764" w:rsidP="00674764">
      <w:pPr>
        <w:spacing w:line="360" w:lineRule="auto"/>
        <w:jc w:val="both"/>
        <w:rPr>
          <w:rFonts w:ascii="Times New Roman" w:hAnsi="Times New Roman" w:cs="Times New Roman"/>
          <w:sz w:val="24"/>
        </w:rPr>
      </w:pPr>
    </w:p>
    <w:p w14:paraId="02F2204A" w14:textId="77777777" w:rsidR="00674764" w:rsidRPr="00674764" w:rsidRDefault="00674764" w:rsidP="00674764">
      <w:pPr>
        <w:spacing w:line="360" w:lineRule="auto"/>
        <w:jc w:val="both"/>
        <w:rPr>
          <w:rFonts w:ascii="Times New Roman" w:hAnsi="Times New Roman" w:cs="Times New Roman"/>
          <w:sz w:val="24"/>
        </w:rPr>
      </w:pPr>
    </w:p>
    <w:p w14:paraId="1DCD55D5" w14:textId="77777777" w:rsidR="00674764" w:rsidRPr="00674764" w:rsidRDefault="00674764" w:rsidP="00674764">
      <w:pPr>
        <w:numPr>
          <w:ilvl w:val="0"/>
          <w:numId w:val="4"/>
        </w:numPr>
        <w:spacing w:line="360" w:lineRule="auto"/>
        <w:contextualSpacing/>
        <w:jc w:val="both"/>
        <w:rPr>
          <w:rFonts w:ascii="Times New Roman" w:hAnsi="Times New Roman" w:cs="Times New Roman"/>
          <w:sz w:val="24"/>
        </w:rPr>
      </w:pPr>
      <w:r w:rsidRPr="00674764">
        <w:rPr>
          <w:rFonts w:ascii="Times New Roman" w:hAnsi="Times New Roman" w:cs="Times New Roman"/>
          <w:b/>
          <w:sz w:val="24"/>
        </w:rPr>
        <w:lastRenderedPageBreak/>
        <w:t>MATERIALS AND METHODS</w:t>
      </w:r>
    </w:p>
    <w:p w14:paraId="69628087" w14:textId="77777777" w:rsidR="00674764" w:rsidRPr="00674764" w:rsidRDefault="00674764" w:rsidP="00674764">
      <w:pPr>
        <w:keepNext/>
        <w:numPr>
          <w:ilvl w:val="1"/>
          <w:numId w:val="4"/>
        </w:numPr>
        <w:tabs>
          <w:tab w:val="left" w:pos="600"/>
        </w:tabs>
        <w:spacing w:after="60" w:line="360" w:lineRule="auto"/>
        <w:jc w:val="both"/>
        <w:outlineLvl w:val="1"/>
        <w:rPr>
          <w:rFonts w:ascii="Times New Roman" w:hAnsi="Times New Roman" w:cs="Times New Roman"/>
          <w:b/>
          <w:sz w:val="24"/>
          <w:szCs w:val="20"/>
          <w:lang w:val="en-US"/>
        </w:rPr>
      </w:pPr>
      <w:bookmarkStart w:id="1" w:name="_Toc128740971"/>
      <w:r w:rsidRPr="00674764">
        <w:rPr>
          <w:rFonts w:ascii="Times New Roman" w:hAnsi="Times New Roman" w:cs="Times New Roman"/>
          <w:b/>
          <w:sz w:val="24"/>
          <w:szCs w:val="20"/>
          <w:lang w:val="en-US"/>
        </w:rPr>
        <w:t>Raw material</w:t>
      </w:r>
    </w:p>
    <w:p w14:paraId="02E9BC13" w14:textId="77777777" w:rsidR="00674764" w:rsidRPr="00674764" w:rsidRDefault="00674764" w:rsidP="00674764">
      <w:pPr>
        <w:spacing w:line="360" w:lineRule="auto"/>
        <w:jc w:val="both"/>
        <w:rPr>
          <w:rFonts w:ascii="Times New Roman" w:hAnsi="Times New Roman" w:cs="Times New Roman"/>
          <w:i/>
          <w:sz w:val="24"/>
          <w:szCs w:val="20"/>
          <w:lang w:val="en-US"/>
        </w:rPr>
      </w:pPr>
      <w:r w:rsidRPr="00674764">
        <w:rPr>
          <w:rFonts w:ascii="Times New Roman" w:hAnsi="Times New Roman" w:cs="Times New Roman"/>
          <w:sz w:val="24"/>
          <w:lang w:val="en-US"/>
        </w:rPr>
        <w:t>This experimental study focused on artisanal non-alcoholic beverages sold in the Daloa health district (Ivory Coast), namely Bissap and Gnamankoudji.</w:t>
      </w:r>
      <w:r w:rsidRPr="00674764">
        <w:rPr>
          <w:rFonts w:ascii="Times New Roman" w:hAnsi="Times New Roman" w:cs="Times New Roman"/>
          <w:b/>
          <w:sz w:val="24"/>
          <w:szCs w:val="20"/>
          <w:lang w:val="en-US"/>
        </w:rPr>
        <w:t xml:space="preserve">                                   </w:t>
      </w:r>
    </w:p>
    <w:p w14:paraId="5BE0D022" w14:textId="77777777" w:rsidR="00674764" w:rsidRPr="00674764" w:rsidRDefault="00674764" w:rsidP="00674764">
      <w:pPr>
        <w:keepNext/>
        <w:spacing w:after="0" w:line="360" w:lineRule="auto"/>
        <w:ind w:left="10" w:right="-15"/>
        <w:jc w:val="both"/>
      </w:pPr>
      <w:r w:rsidRPr="00674764">
        <w:rPr>
          <w:noProof/>
          <w:lang w:eastAsia="fr-FR"/>
        </w:rPr>
        <w:drawing>
          <wp:inline distT="0" distB="0" distL="0" distR="0" wp14:anchorId="3CE11055" wp14:editId="213C5496">
            <wp:extent cx="4865915" cy="2543449"/>
            <wp:effectExtent l="0" t="0" r="0" b="0"/>
            <wp:docPr id="1" name="Image 1" descr="Boissons Bissap et Gnamankoudji avec couleur de Gnamankoudji harmoni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Boissons Bissap et Gnamankoudji avec couleur de Gnamankoudji harmonisé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77425" cy="2549466"/>
                    </a:xfrm>
                    <a:prstGeom prst="rect">
                      <a:avLst/>
                    </a:prstGeom>
                    <a:noFill/>
                    <a:ln>
                      <a:noFill/>
                    </a:ln>
                  </pic:spPr>
                </pic:pic>
              </a:graphicData>
            </a:graphic>
          </wp:inline>
        </w:drawing>
      </w:r>
    </w:p>
    <w:p w14:paraId="5A9DA123" w14:textId="77777777" w:rsidR="00674764" w:rsidRPr="00674764" w:rsidRDefault="00674764" w:rsidP="00674764">
      <w:pPr>
        <w:spacing w:after="200" w:line="360" w:lineRule="auto"/>
        <w:jc w:val="both"/>
        <w:rPr>
          <w:rFonts w:ascii="Times New Roman" w:eastAsia="Times New Roman" w:hAnsi="Times New Roman" w:cs="Times New Roman"/>
          <w:iCs/>
          <w:sz w:val="36"/>
          <w:szCs w:val="18"/>
          <w:lang w:eastAsia="fr-FR"/>
        </w:rPr>
      </w:pPr>
      <w:r w:rsidRPr="00674764">
        <w:rPr>
          <w:rFonts w:ascii="Times New Roman" w:eastAsia="Times New Roman" w:hAnsi="Times New Roman" w:cs="Times New Roman"/>
          <w:iCs/>
          <w:sz w:val="24"/>
          <w:szCs w:val="18"/>
          <w:lang w:eastAsia="fr-FR"/>
        </w:rPr>
        <w:t xml:space="preserve">Figure </w:t>
      </w:r>
      <w:r w:rsidRPr="00674764">
        <w:rPr>
          <w:rFonts w:ascii="Times New Roman" w:eastAsia="Times New Roman" w:hAnsi="Times New Roman" w:cs="Times New Roman"/>
          <w:iCs/>
          <w:sz w:val="24"/>
          <w:szCs w:val="18"/>
          <w:lang w:eastAsia="fr-FR"/>
        </w:rPr>
        <w:fldChar w:fldCharType="begin"/>
      </w:r>
      <w:r w:rsidRPr="00674764">
        <w:rPr>
          <w:rFonts w:ascii="Times New Roman" w:eastAsia="Times New Roman" w:hAnsi="Times New Roman" w:cs="Times New Roman"/>
          <w:iCs/>
          <w:sz w:val="24"/>
          <w:szCs w:val="18"/>
          <w:lang w:eastAsia="fr-FR"/>
        </w:rPr>
        <w:instrText xml:space="preserve"> SEQ Figure \* ARABIC </w:instrText>
      </w:r>
      <w:r w:rsidRPr="00674764">
        <w:rPr>
          <w:rFonts w:ascii="Times New Roman" w:eastAsia="Times New Roman" w:hAnsi="Times New Roman" w:cs="Times New Roman"/>
          <w:iCs/>
          <w:sz w:val="24"/>
          <w:szCs w:val="18"/>
          <w:lang w:eastAsia="fr-FR"/>
        </w:rPr>
        <w:fldChar w:fldCharType="separate"/>
      </w:r>
      <w:r w:rsidRPr="00674764">
        <w:rPr>
          <w:rFonts w:ascii="Times New Roman" w:eastAsia="Times New Roman" w:hAnsi="Times New Roman" w:cs="Times New Roman"/>
          <w:iCs/>
          <w:noProof/>
          <w:sz w:val="24"/>
          <w:szCs w:val="18"/>
          <w:lang w:eastAsia="fr-FR"/>
        </w:rPr>
        <w:t>1</w:t>
      </w:r>
      <w:r w:rsidRPr="00674764">
        <w:rPr>
          <w:rFonts w:ascii="Times New Roman" w:eastAsia="Times New Roman" w:hAnsi="Times New Roman" w:cs="Times New Roman"/>
          <w:iCs/>
          <w:sz w:val="24"/>
          <w:szCs w:val="18"/>
          <w:lang w:eastAsia="fr-FR"/>
        </w:rPr>
        <w:fldChar w:fldCharType="end"/>
      </w:r>
      <w:r w:rsidRPr="00674764">
        <w:rPr>
          <w:rFonts w:ascii="Times New Roman" w:eastAsia="Times New Roman" w:hAnsi="Times New Roman" w:cs="Times New Roman"/>
          <w:iCs/>
          <w:sz w:val="24"/>
          <w:szCs w:val="18"/>
          <w:lang w:eastAsia="fr-FR"/>
        </w:rPr>
        <w:t>: Samples of artisanal beverages (A:</w:t>
      </w:r>
      <w:r w:rsidRPr="00674764">
        <w:rPr>
          <w:rFonts w:ascii="Times New Roman" w:eastAsia="Times New Roman" w:hAnsi="Times New Roman" w:cs="Times New Roman"/>
          <w:i/>
          <w:iCs/>
          <w:sz w:val="24"/>
          <w:szCs w:val="18"/>
          <w:lang w:eastAsia="fr-FR"/>
        </w:rPr>
        <w:t>Gnamankoudji; B: Bissap)</w:t>
      </w:r>
    </w:p>
    <w:p w14:paraId="6C3BA510" w14:textId="77777777" w:rsidR="00674764" w:rsidRPr="00674764" w:rsidRDefault="00674764" w:rsidP="00674764">
      <w:pPr>
        <w:numPr>
          <w:ilvl w:val="1"/>
          <w:numId w:val="4"/>
        </w:numPr>
        <w:spacing w:after="0" w:line="360" w:lineRule="auto"/>
        <w:ind w:right="901"/>
        <w:contextualSpacing/>
        <w:jc w:val="both"/>
        <w:rPr>
          <w:rFonts w:ascii="Times New Roman" w:hAnsi="Times New Roman" w:cs="Times New Roman"/>
          <w:b/>
          <w:sz w:val="24"/>
        </w:rPr>
      </w:pPr>
      <w:r w:rsidRPr="00674764">
        <w:rPr>
          <w:rFonts w:ascii="Times New Roman" w:hAnsi="Times New Roman" w:cs="Times New Roman"/>
          <w:sz w:val="24"/>
        </w:rPr>
        <w:t xml:space="preserve"> </w:t>
      </w:r>
      <w:r w:rsidRPr="00674764">
        <w:rPr>
          <w:rFonts w:ascii="Times New Roman" w:hAnsi="Times New Roman" w:cs="Times New Roman"/>
          <w:b/>
          <w:sz w:val="24"/>
        </w:rPr>
        <w:t>Study area</w:t>
      </w:r>
    </w:p>
    <w:p w14:paraId="47383F7D" w14:textId="77777777" w:rsidR="00674764" w:rsidRPr="00674764" w:rsidRDefault="00674764" w:rsidP="00674764">
      <w:pPr>
        <w:spacing w:before="240" w:after="0" w:line="360" w:lineRule="auto"/>
        <w:ind w:right="901"/>
        <w:jc w:val="both"/>
        <w:rPr>
          <w:rFonts w:ascii="Times New Roman" w:hAnsi="Times New Roman" w:cs="Times New Roman"/>
          <w:sz w:val="24"/>
        </w:rPr>
      </w:pPr>
      <w:r w:rsidRPr="00674764">
        <w:rPr>
          <w:rFonts w:ascii="Segoe UI" w:hAnsi="Segoe UI" w:cs="Segoe UI"/>
          <w:color w:val="0F1115"/>
          <w:shd w:val="clear" w:color="auto" w:fill="FFFFFF"/>
        </w:rPr>
        <w:t xml:space="preserve"> </w:t>
      </w:r>
      <w:r w:rsidRPr="00674764">
        <w:rPr>
          <w:rFonts w:ascii="Times New Roman" w:hAnsi="Times New Roman" w:cs="Times New Roman"/>
          <w:sz w:val="24"/>
        </w:rPr>
        <w:t>The Daloa health district, in west-central Côte d'Ivoire, was selected as the study area (Fig. 2) due to reports of foodborne illnesses potentially linked to the consumption of artisanal beverages. This densely populated region has a population of 1,430,960.</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{"citationID":"fVtDUVJT","properties":{"formattedCitation":"(RGPH, 2015)","plainCitation":"(RGPH, 2015)","noteIndex":0},"citationItems":[{"id":448,"uris":["http://zotero.org/users/17472374/items/WFIZGASB"],"itemData":{"id":448,"type":"report","event-place":"COTE d'Ivoire","genre":"RAPPORT","page":"47","publisher":"INSTITUT NATIONAL DE LA STATISTIQUE (INS-SODE)","publisher-place":"COTE d'Ivoire","title":"Répertoire des localités  RÉGION DU HAUTSASSANDRA","author":[{"family":"RGPH","given":""}],"issued":{"date-parts":[["2015"]]}}}],"schema":"https://github.com/citation-style-language/schema/raw/master/csl-citation.json"}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rPr>
        <w:t>(RGPH, 2015)</w:t>
      </w:r>
      <w:r w:rsidRPr="00674764">
        <w:rPr>
          <w:rFonts w:ascii="Times New Roman" w:hAnsi="Times New Roman" w:cs="Times New Roman"/>
          <w:sz w:val="24"/>
        </w:rPr>
        <w:fldChar w:fldCharType="end"/>
      </w:r>
      <w:r w:rsidRPr="00674764">
        <w:rPr>
          <w:rFonts w:ascii="Times New Roman" w:hAnsi="Times New Roman" w:cs="Times New Roman"/>
          <w:sz w:val="24"/>
        </w:rPr>
        <w:t>The region's capital is the city of Daloa, the third largest urban area in the country in terms of population, area, and density. These characteristics make it a relevant area of ​​investigation for studying the food safety of traditional beverages.</w:t>
      </w:r>
    </w:p>
    <w:p w14:paraId="53E86ECF" w14:textId="77777777" w:rsidR="00674764" w:rsidRPr="00674764" w:rsidRDefault="00674764" w:rsidP="00674764">
      <w:pPr>
        <w:keepNext/>
        <w:numPr>
          <w:ilvl w:val="1"/>
          <w:numId w:val="4"/>
        </w:numPr>
        <w:tabs>
          <w:tab w:val="left" w:pos="600"/>
        </w:tabs>
        <w:spacing w:after="60" w:line="360" w:lineRule="auto"/>
        <w:jc w:val="both"/>
        <w:outlineLvl w:val="1"/>
        <w:rPr>
          <w:rFonts w:ascii="Times New Roman" w:hAnsi="Times New Roman" w:cs="Times New Roman"/>
          <w:b/>
          <w:sz w:val="24"/>
          <w:szCs w:val="20"/>
          <w:lang w:val="en-US"/>
        </w:rPr>
      </w:pPr>
      <w:r w:rsidRPr="00674764">
        <w:rPr>
          <w:rFonts w:ascii="Times New Roman" w:hAnsi="Times New Roman" w:cs="Times New Roman"/>
          <w:b/>
          <w:sz w:val="24"/>
          <w:szCs w:val="20"/>
          <w:lang w:val="en-US"/>
        </w:rPr>
        <w:t xml:space="preserve">  Sampling</w:t>
      </w:r>
      <w:bookmarkEnd w:id="1"/>
    </w:p>
    <w:p w14:paraId="16EFD138" w14:textId="77777777" w:rsidR="00674764" w:rsidRPr="00674764" w:rsidRDefault="00674764" w:rsidP="00674764">
      <w:pPr>
        <w:tabs>
          <w:tab w:val="left" w:pos="360"/>
        </w:tabs>
        <w:spacing w:before="40" w:line="360" w:lineRule="auto"/>
        <w:jc w:val="both"/>
        <w:rPr>
          <w:rFonts w:ascii="Times New Roman" w:hAnsi="Times New Roman" w:cs="Times New Roman"/>
          <w:sz w:val="24"/>
          <w:szCs w:val="24"/>
        </w:rPr>
      </w:pPr>
      <w:r w:rsidRPr="00674764">
        <w:rPr>
          <w:rFonts w:ascii="Times New Roman" w:hAnsi="Times New Roman" w:cs="Times New Roman"/>
          <w:sz w:val="24"/>
          <w:szCs w:val="24"/>
        </w:rPr>
        <w:t>The study focused on the non-alcoholic artisanal beverages Bissap and Gnamankoudji, with systematic sampling covering 26 sites across the six sub-prefectures of the Daloa department: Daloa, Zaibo, Gonaté, Bédiala, Gboguhé, and Gadouan. The sampling strategy consisted of collecting three samples of each beverage type at each site, for a total of 156 samples. Each sample was uniquely identified before being placed in coolers with ice packs, thus maintaining the cold chain during transport to the laboratory and ensuring analytical reliability.</w:t>
      </w:r>
    </w:p>
    <w:p w14:paraId="093A18E7" w14:textId="77777777" w:rsidR="00674764" w:rsidRPr="00674764" w:rsidRDefault="00674764" w:rsidP="00674764">
      <w:pPr>
        <w:keepNext/>
        <w:tabs>
          <w:tab w:val="left" w:pos="360"/>
        </w:tabs>
        <w:spacing w:before="40" w:line="360" w:lineRule="auto"/>
        <w:jc w:val="both"/>
      </w:pPr>
      <w:r w:rsidRPr="00674764">
        <w:rPr>
          <w:noProof/>
          <w:lang w:eastAsia="fr-FR"/>
        </w:rPr>
        <w:lastRenderedPageBreak/>
        <w:drawing>
          <wp:inline distT="0" distB="0" distL="0" distR="0" wp14:anchorId="2285D1D1" wp14:editId="02CEF1CE">
            <wp:extent cx="5761355" cy="370431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4758"/>
                    <a:stretch/>
                  </pic:blipFill>
                  <pic:spPr bwMode="auto">
                    <a:xfrm>
                      <a:off x="0" y="0"/>
                      <a:ext cx="5761355" cy="3704318"/>
                    </a:xfrm>
                    <a:prstGeom prst="rect">
                      <a:avLst/>
                    </a:prstGeom>
                    <a:noFill/>
                    <a:ln>
                      <a:noFill/>
                    </a:ln>
                    <a:extLst>
                      <a:ext uri="{53640926-AAD7-44D8-BBD7-CCE9431645EC}">
                        <a14:shadowObscured xmlns:a14="http://schemas.microsoft.com/office/drawing/2010/main"/>
                      </a:ext>
                    </a:extLst>
                  </pic:spPr>
                </pic:pic>
              </a:graphicData>
            </a:graphic>
          </wp:inline>
        </w:drawing>
      </w:r>
    </w:p>
    <w:p w14:paraId="14DA1B4E" w14:textId="77777777" w:rsidR="00674764" w:rsidRPr="00674764" w:rsidRDefault="00674764" w:rsidP="00674764">
      <w:pPr>
        <w:spacing w:after="200" w:line="360" w:lineRule="auto"/>
        <w:jc w:val="both"/>
        <w:rPr>
          <w:rFonts w:ascii="Times New Roman" w:eastAsia="Times New Roman" w:hAnsi="Times New Roman" w:cs="Times New Roman"/>
          <w:iCs/>
          <w:sz w:val="36"/>
          <w:szCs w:val="24"/>
          <w:lang w:eastAsia="fr-FR"/>
        </w:rPr>
      </w:pPr>
      <w:r w:rsidRPr="00674764">
        <w:rPr>
          <w:rFonts w:ascii="Times New Roman" w:eastAsia="Times New Roman" w:hAnsi="Times New Roman" w:cs="Times New Roman"/>
          <w:iCs/>
          <w:sz w:val="24"/>
          <w:szCs w:val="18"/>
          <w:lang w:eastAsia="fr-FR"/>
        </w:rPr>
        <w:t xml:space="preserve">         Figure </w:t>
      </w:r>
      <w:r w:rsidRPr="00674764">
        <w:rPr>
          <w:rFonts w:ascii="Times New Roman" w:eastAsia="Times New Roman" w:hAnsi="Times New Roman" w:cs="Times New Roman"/>
          <w:iCs/>
          <w:sz w:val="24"/>
          <w:szCs w:val="18"/>
          <w:lang w:eastAsia="fr-FR"/>
        </w:rPr>
        <w:fldChar w:fldCharType="begin"/>
      </w:r>
      <w:r w:rsidRPr="00674764">
        <w:rPr>
          <w:rFonts w:ascii="Times New Roman" w:eastAsia="Times New Roman" w:hAnsi="Times New Roman" w:cs="Times New Roman"/>
          <w:iCs/>
          <w:sz w:val="24"/>
          <w:szCs w:val="18"/>
          <w:lang w:eastAsia="fr-FR"/>
        </w:rPr>
        <w:instrText xml:space="preserve"> SEQ Figure \* ARABIC </w:instrText>
      </w:r>
      <w:r w:rsidRPr="00674764">
        <w:rPr>
          <w:rFonts w:ascii="Times New Roman" w:eastAsia="Times New Roman" w:hAnsi="Times New Roman" w:cs="Times New Roman"/>
          <w:iCs/>
          <w:sz w:val="24"/>
          <w:szCs w:val="18"/>
          <w:lang w:eastAsia="fr-FR"/>
        </w:rPr>
        <w:fldChar w:fldCharType="separate"/>
      </w:r>
      <w:r w:rsidRPr="00674764">
        <w:rPr>
          <w:rFonts w:ascii="Times New Roman" w:eastAsia="Times New Roman" w:hAnsi="Times New Roman" w:cs="Times New Roman"/>
          <w:iCs/>
          <w:noProof/>
          <w:sz w:val="24"/>
          <w:szCs w:val="18"/>
          <w:lang w:eastAsia="fr-FR"/>
        </w:rPr>
        <w:t>2</w:t>
      </w:r>
      <w:r w:rsidRPr="00674764">
        <w:rPr>
          <w:rFonts w:ascii="Times New Roman" w:eastAsia="Times New Roman" w:hAnsi="Times New Roman" w:cs="Times New Roman"/>
          <w:iCs/>
          <w:sz w:val="24"/>
          <w:szCs w:val="18"/>
          <w:lang w:eastAsia="fr-FR"/>
        </w:rPr>
        <w:fldChar w:fldCharType="end"/>
      </w:r>
      <w:r w:rsidRPr="00674764">
        <w:rPr>
          <w:rFonts w:ascii="Times New Roman" w:eastAsia="Times New Roman" w:hAnsi="Times New Roman" w:cs="Times New Roman"/>
          <w:iCs/>
          <w:sz w:val="24"/>
          <w:szCs w:val="18"/>
          <w:lang w:eastAsia="fr-FR"/>
        </w:rPr>
        <w:t> : Map of the study area</w:t>
      </w:r>
    </w:p>
    <w:p w14:paraId="0E563A75" w14:textId="77777777" w:rsidR="00674764" w:rsidRPr="00674764" w:rsidRDefault="00674764" w:rsidP="00674764">
      <w:pPr>
        <w:numPr>
          <w:ilvl w:val="1"/>
          <w:numId w:val="4"/>
        </w:numPr>
        <w:tabs>
          <w:tab w:val="left" w:pos="360"/>
        </w:tabs>
        <w:spacing w:before="40" w:line="360" w:lineRule="auto"/>
        <w:contextualSpacing/>
        <w:jc w:val="both"/>
        <w:rPr>
          <w:rFonts w:ascii="Times New Roman" w:hAnsi="Times New Roman" w:cs="Times New Roman"/>
          <w:b/>
          <w:noProof/>
          <w:sz w:val="24"/>
          <w:szCs w:val="24"/>
        </w:rPr>
      </w:pPr>
      <w:bookmarkStart w:id="2" w:name="_Toc128740972"/>
      <w:r w:rsidRPr="00674764">
        <w:rPr>
          <w:rFonts w:ascii="Times New Roman" w:hAnsi="Times New Roman" w:cs="Times New Roman"/>
          <w:b/>
          <w:sz w:val="24"/>
          <w:szCs w:val="20"/>
          <w:lang w:val="en-US"/>
        </w:rPr>
        <w:t>Physicochemical analyses</w:t>
      </w:r>
      <w:bookmarkEnd w:id="2"/>
    </w:p>
    <w:p w14:paraId="1D0D5A0C" w14:textId="77777777" w:rsidR="00674764" w:rsidRPr="00674764" w:rsidRDefault="00674764" w:rsidP="00674764">
      <w:pPr>
        <w:spacing w:after="0" w:line="360" w:lineRule="auto"/>
        <w:jc w:val="both"/>
        <w:rPr>
          <w:rFonts w:ascii="Times New Roman" w:hAnsi="Times New Roman" w:cs="Times New Roman"/>
          <w:color w:val="000000"/>
          <w:sz w:val="24"/>
          <w:szCs w:val="24"/>
          <w:lang w:val="fr-CI"/>
        </w:rPr>
      </w:pPr>
      <w:r w:rsidRPr="00674764">
        <w:rPr>
          <w:rFonts w:ascii="Times New Roman" w:hAnsi="Times New Roman" w:cs="Times New Roman"/>
          <w:color w:val="000000"/>
          <w:sz w:val="24"/>
          <w:szCs w:val="24"/>
          <w:lang w:val="fr-CI"/>
        </w:rPr>
        <w:t>The physicochemical analyses concerned two parameters, namely pH and sugar content, according to standard methods.</w:t>
      </w:r>
      <w:r w:rsidRPr="00674764">
        <w:rPr>
          <w:rFonts w:ascii="Times New Roman" w:hAnsi="Times New Roman" w:cs="Times New Roman"/>
          <w:sz w:val="24"/>
          <w:shd w:val="clear" w:color="auto" w:fill="FFFFFF"/>
        </w:rPr>
        <w:t>The sugar content was calculated using the following formula:</w:t>
      </w:r>
    </w:p>
    <w:p w14:paraId="24443309" w14:textId="77777777" w:rsidR="00674764" w:rsidRPr="00674764" w:rsidRDefault="00674764" w:rsidP="00674764">
      <w:pPr>
        <w:spacing w:after="0" w:line="360" w:lineRule="auto"/>
        <w:jc w:val="both"/>
        <w:rPr>
          <w:rFonts w:ascii="Times New Roman" w:eastAsiaTheme="minorEastAsia" w:hAnsi="Times New Roman" w:cs="Times New Roman"/>
          <w:b/>
          <w:sz w:val="24"/>
          <w:shd w:val="clear" w:color="auto" w:fill="FFFFFF"/>
        </w:rPr>
      </w:pPr>
      <m:oMathPara>
        <m:oMath>
          <m:r>
            <m:rPr>
              <m:sty m:val="b"/>
            </m:rPr>
            <w:rPr>
              <w:rFonts w:ascii="Cambria Math" w:hAnsi="Cambria Math" w:cs="Times New Roman"/>
              <w:sz w:val="24"/>
              <w:shd w:val="clear" w:color="auto" w:fill="FFFFFF"/>
            </w:rPr>
            <m:t xml:space="preserve"> sugar content= M x f</m:t>
          </m:r>
          <m:r>
            <m:rPr>
              <m:sty m:val="bi"/>
            </m:rPr>
            <w:rPr>
              <w:rFonts w:ascii="Cambria Math" w:hAnsi="Cambria Math" w:cs="Times New Roman"/>
              <w:sz w:val="24"/>
              <w:shd w:val="clear" w:color="auto" w:fill="FFFFFF"/>
            </w:rPr>
            <m:t xml:space="preserve">  </m:t>
          </m:r>
        </m:oMath>
      </m:oMathPara>
    </w:p>
    <w:p w14:paraId="6766AE58" w14:textId="77777777" w:rsidR="00674764" w:rsidRPr="00674764" w:rsidRDefault="00674764" w:rsidP="00674764">
      <w:pPr>
        <w:spacing w:after="0" w:line="360" w:lineRule="auto"/>
        <w:jc w:val="both"/>
        <w:rPr>
          <w:rFonts w:ascii="Times New Roman" w:eastAsiaTheme="minorEastAsia" w:hAnsi="Times New Roman" w:cs="Times New Roman"/>
          <w:b/>
          <w:sz w:val="24"/>
          <w:shd w:val="clear" w:color="auto" w:fill="FFFFFF"/>
        </w:rPr>
      </w:pPr>
      <w:r w:rsidRPr="00674764">
        <w:rPr>
          <w:rFonts w:ascii="Times New Roman" w:eastAsiaTheme="minorEastAsia" w:hAnsi="Times New Roman" w:cs="Times New Roman"/>
          <w:b/>
          <w:sz w:val="24"/>
          <w:shd w:val="clear" w:color="auto" w:fill="FFFFFF"/>
        </w:rPr>
        <w:t>M:</w:t>
      </w:r>
      <w:r w:rsidRPr="00674764">
        <w:rPr>
          <w:rFonts w:ascii="Times New Roman" w:eastAsiaTheme="minorEastAsia" w:hAnsi="Times New Roman" w:cs="Times New Roman"/>
          <w:sz w:val="24"/>
          <w:shd w:val="clear" w:color="auto" w:fill="FFFFFF"/>
        </w:rPr>
        <w:t>value read on the refractometer</w:t>
      </w:r>
    </w:p>
    <w:p w14:paraId="693B4A25" w14:textId="77777777" w:rsidR="00674764" w:rsidRPr="00674764" w:rsidRDefault="00674764" w:rsidP="00674764">
      <w:pPr>
        <w:spacing w:after="0" w:line="360" w:lineRule="auto"/>
        <w:jc w:val="both"/>
        <w:rPr>
          <w:rFonts w:ascii="Times New Roman" w:hAnsi="Times New Roman" w:cs="Times New Roman"/>
          <w:b/>
          <w:sz w:val="24"/>
          <w:shd w:val="clear" w:color="auto" w:fill="FFFFFF"/>
        </w:rPr>
      </w:pPr>
      <w:proofErr w:type="gramStart"/>
      <w:r w:rsidRPr="00674764">
        <w:rPr>
          <w:rFonts w:ascii="Times New Roman" w:eastAsiaTheme="minorEastAsia" w:hAnsi="Times New Roman" w:cs="Times New Roman"/>
          <w:b/>
          <w:sz w:val="24"/>
          <w:shd w:val="clear" w:color="auto" w:fill="FFFFFF"/>
        </w:rPr>
        <w:t>f:</w:t>
      </w:r>
      <w:r w:rsidRPr="00674764">
        <w:rPr>
          <w:rFonts w:ascii="Times New Roman" w:eastAsiaTheme="minorEastAsia" w:hAnsi="Times New Roman" w:cs="Times New Roman"/>
          <w:sz w:val="24"/>
          <w:shd w:val="clear" w:color="auto" w:fill="FFFFFF"/>
        </w:rPr>
        <w:t>dilution</w:t>
      </w:r>
      <w:proofErr w:type="gramEnd"/>
      <w:r w:rsidRPr="00674764">
        <w:rPr>
          <w:rFonts w:ascii="Times New Roman" w:eastAsiaTheme="minorEastAsia" w:hAnsi="Times New Roman" w:cs="Times New Roman"/>
          <w:sz w:val="24"/>
          <w:shd w:val="clear" w:color="auto" w:fill="FFFFFF"/>
        </w:rPr>
        <w:t xml:space="preserve"> factor</w:t>
      </w:r>
    </w:p>
    <w:p w14:paraId="22986807" w14:textId="77777777" w:rsidR="00674764" w:rsidRPr="00674764" w:rsidRDefault="00674764" w:rsidP="00674764">
      <w:pPr>
        <w:numPr>
          <w:ilvl w:val="1"/>
          <w:numId w:val="4"/>
        </w:numPr>
        <w:spacing w:line="360" w:lineRule="auto"/>
        <w:contextualSpacing/>
        <w:jc w:val="both"/>
        <w:rPr>
          <w:rFonts w:ascii="Times New Roman" w:hAnsi="Times New Roman" w:cs="Times New Roman"/>
          <w:b/>
          <w:sz w:val="24"/>
          <w:szCs w:val="24"/>
          <w:lang w:val="en-US"/>
        </w:rPr>
      </w:pPr>
      <w:bookmarkStart w:id="3" w:name="_Toc128740974"/>
      <w:r w:rsidRPr="00674764">
        <w:rPr>
          <w:rFonts w:ascii="Times New Roman" w:hAnsi="Times New Roman" w:cs="Times New Roman"/>
          <w:b/>
          <w:sz w:val="24"/>
          <w:szCs w:val="20"/>
          <w:lang w:val="en-US"/>
        </w:rPr>
        <w:t>Microbiological analyses</w:t>
      </w:r>
      <w:bookmarkEnd w:id="3"/>
    </w:p>
    <w:p w14:paraId="4BDB8E50" w14:textId="77777777" w:rsidR="00674764" w:rsidRPr="00674764" w:rsidRDefault="00674764" w:rsidP="00674764">
      <w:pPr>
        <w:numPr>
          <w:ilvl w:val="2"/>
          <w:numId w:val="4"/>
        </w:numPr>
        <w:spacing w:line="360" w:lineRule="auto"/>
        <w:contextualSpacing/>
        <w:jc w:val="both"/>
        <w:rPr>
          <w:rFonts w:ascii="Times New Roman" w:hAnsi="Times New Roman" w:cs="Times New Roman"/>
          <w:b/>
          <w:sz w:val="24"/>
          <w:szCs w:val="24"/>
        </w:rPr>
      </w:pPr>
      <w:r w:rsidRPr="00674764">
        <w:rPr>
          <w:rFonts w:ascii="Times New Roman" w:hAnsi="Times New Roman" w:cs="Times New Roman"/>
          <w:b/>
          <w:sz w:val="24"/>
          <w:szCs w:val="24"/>
        </w:rPr>
        <w:t>Preparation of the stock solution and decimal dilutions</w:t>
      </w:r>
    </w:p>
    <w:p w14:paraId="40EF6EA0" w14:textId="77777777" w:rsidR="00674764" w:rsidRPr="00674764" w:rsidRDefault="00674764" w:rsidP="00674764">
      <w:pPr>
        <w:autoSpaceDE w:val="0"/>
        <w:autoSpaceDN w:val="0"/>
        <w:adjustRightInd w:val="0"/>
        <w:spacing w:after="0" w:line="360" w:lineRule="auto"/>
        <w:jc w:val="both"/>
        <w:rPr>
          <w:rFonts w:ascii="Times New Roman" w:hAnsi="Times New Roman" w:cs="Times New Roman"/>
          <w:sz w:val="24"/>
          <w:szCs w:val="24"/>
        </w:rPr>
      </w:pPr>
      <w:r w:rsidRPr="00674764">
        <w:rPr>
          <w:rFonts w:ascii="Times New Roman" w:hAnsi="Times New Roman" w:cs="Times New Roman"/>
          <w:sz w:val="24"/>
          <w:szCs w:val="24"/>
        </w:rPr>
        <w:t>Microbiological analyses followed a standardized protocol to quantify and identify microorganisms. A stock suspension was prepared by mixing 25 mL of each sample with 225 mL of buffered peptone water. Successive decimal dilutions were then performed on this suspension.</w:t>
      </w:r>
    </w:p>
    <w:p w14:paraId="3C73C89E" w14:textId="77777777" w:rsidR="00674764" w:rsidRPr="00674764" w:rsidRDefault="00674764" w:rsidP="00674764">
      <w:pPr>
        <w:numPr>
          <w:ilvl w:val="2"/>
          <w:numId w:val="4"/>
        </w:numPr>
        <w:tabs>
          <w:tab w:val="left" w:pos="360"/>
        </w:tabs>
        <w:spacing w:before="40" w:line="360" w:lineRule="auto"/>
        <w:contextualSpacing/>
        <w:jc w:val="both"/>
        <w:rPr>
          <w:rFonts w:ascii="Times New Roman" w:hAnsi="Times New Roman" w:cs="Times New Roman"/>
          <w:b/>
          <w:i/>
          <w:sz w:val="24"/>
        </w:rPr>
      </w:pPr>
      <w:r w:rsidRPr="00674764">
        <w:rPr>
          <w:rFonts w:ascii="Times New Roman" w:hAnsi="Times New Roman" w:cs="Times New Roman"/>
          <w:b/>
          <w:sz w:val="24"/>
        </w:rPr>
        <w:t xml:space="preserve">Listeria monocytogenes testing  </w:t>
      </w:r>
    </w:p>
    <w:p w14:paraId="40E41CBB" w14:textId="77777777" w:rsidR="00674764" w:rsidRPr="00674764" w:rsidRDefault="00674764" w:rsidP="00674764">
      <w:pPr>
        <w:tabs>
          <w:tab w:val="left" w:pos="360"/>
          <w:tab w:val="left" w:pos="4902"/>
        </w:tabs>
        <w:spacing w:before="40" w:line="360" w:lineRule="auto"/>
        <w:jc w:val="both"/>
        <w:rPr>
          <w:rFonts w:ascii="Times New Roman" w:hAnsi="Times New Roman" w:cs="Times New Roman"/>
          <w:sz w:val="24"/>
        </w:rPr>
      </w:pPr>
      <w:r w:rsidRPr="00674764">
        <w:rPr>
          <w:rFonts w:ascii="Times New Roman" w:hAnsi="Times New Roman" w:cs="Times New Roman"/>
          <w:sz w:val="24"/>
        </w:rPr>
        <w:t xml:space="preserve">The isolation of Listeria monocytogenes followed a three-step protocol, in accordance with current standards. An initial 24-hour pre-enrichment at 30°C in 1/2 Fraser broth was performed. This was followed by a 48-hour secondary enrichment at 37°C in Fraser broth. The final isolation on Palcam agar, after 24 hours of incubation at 37°C, revealed characteristic Listeria </w:t>
      </w:r>
      <w:r w:rsidRPr="00674764">
        <w:rPr>
          <w:rFonts w:ascii="Times New Roman" w:hAnsi="Times New Roman" w:cs="Times New Roman"/>
          <w:sz w:val="24"/>
        </w:rPr>
        <w:lastRenderedPageBreak/>
        <w:t>monocytogenes colonies. These colonies exhibited a typical olive-green coloration with a distinctive black halo, facilitating their identification.</w:t>
      </w:r>
      <w:r w:rsidRPr="00674764">
        <w:rPr>
          <w:rFonts w:ascii="Times New Roman" w:hAnsi="Times New Roman" w:cs="Times New Roman"/>
          <w:i/>
          <w:sz w:val="24"/>
        </w:rPr>
        <w:tab/>
        <w:t xml:space="preserve"> </w:t>
      </w:r>
    </w:p>
    <w:p w14:paraId="0A2F08C7" w14:textId="77777777" w:rsidR="00674764" w:rsidRPr="00674764" w:rsidRDefault="00674764" w:rsidP="00674764">
      <w:pPr>
        <w:numPr>
          <w:ilvl w:val="2"/>
          <w:numId w:val="4"/>
        </w:numPr>
        <w:tabs>
          <w:tab w:val="left" w:pos="360"/>
        </w:tabs>
        <w:spacing w:before="40" w:line="360" w:lineRule="auto"/>
        <w:contextualSpacing/>
        <w:jc w:val="both"/>
        <w:rPr>
          <w:rFonts w:ascii="Times New Roman" w:hAnsi="Times New Roman" w:cs="Times New Roman"/>
          <w:b/>
          <w:sz w:val="24"/>
          <w:szCs w:val="20"/>
          <w:lang w:val="en-US"/>
        </w:rPr>
      </w:pPr>
      <w:r w:rsidRPr="00674764">
        <w:rPr>
          <w:rFonts w:ascii="Times New Roman" w:hAnsi="Times New Roman" w:cs="Times New Roman"/>
          <w:b/>
          <w:i/>
          <w:sz w:val="24"/>
          <w:szCs w:val="20"/>
          <w:lang w:val="en-US"/>
        </w:rPr>
        <w:t>Bacillus cereus</w:t>
      </w:r>
      <w:r w:rsidRPr="00674764">
        <w:rPr>
          <w:rFonts w:ascii="Times New Roman" w:hAnsi="Times New Roman" w:cs="Times New Roman"/>
          <w:b/>
          <w:sz w:val="24"/>
          <w:szCs w:val="20"/>
          <w:lang w:val="en-US"/>
        </w:rPr>
        <w:t xml:space="preserve"> testing</w:t>
      </w:r>
    </w:p>
    <w:p w14:paraId="497081C6" w14:textId="77777777" w:rsidR="00674764" w:rsidRPr="00674764" w:rsidRDefault="00674764" w:rsidP="00674764">
      <w:pPr>
        <w:tabs>
          <w:tab w:val="left" w:pos="360"/>
        </w:tabs>
        <w:spacing w:before="40" w:line="360" w:lineRule="auto"/>
        <w:jc w:val="both"/>
        <w:rPr>
          <w:rFonts w:ascii="Times New Roman" w:hAnsi="Times New Roman" w:cs="Times New Roman"/>
          <w:sz w:val="24"/>
          <w:szCs w:val="20"/>
          <w:lang w:val="en-US"/>
        </w:rPr>
      </w:pPr>
      <w:r w:rsidRPr="00674764">
        <w:rPr>
          <w:rFonts w:ascii="Times New Roman" w:hAnsi="Times New Roman" w:cs="Times New Roman"/>
          <w:sz w:val="24"/>
          <w:szCs w:val="20"/>
          <w:lang w:val="en-US"/>
        </w:rPr>
        <w:t>A 0.1 mL aliquot, taken from the stock suspension and each decimal dilution, was surface-plated onto solid culture media. These Petri dishes contained 15 mL of pre-prepared, poured, and dried Mossel agar (according to ISO 7932 protocol). After inoculation, the dishes were incubated at 30°C for 24 to 48 hours.</w:t>
      </w:r>
    </w:p>
    <w:p w14:paraId="7C2F6DB4" w14:textId="77777777" w:rsidR="00674764" w:rsidRPr="00674764" w:rsidRDefault="00674764" w:rsidP="00674764">
      <w:pPr>
        <w:numPr>
          <w:ilvl w:val="2"/>
          <w:numId w:val="4"/>
        </w:numPr>
        <w:tabs>
          <w:tab w:val="left" w:pos="360"/>
        </w:tabs>
        <w:spacing w:before="40" w:line="360" w:lineRule="auto"/>
        <w:contextualSpacing/>
        <w:jc w:val="both"/>
        <w:rPr>
          <w:rFonts w:ascii="Times New Roman" w:hAnsi="Times New Roman" w:cs="Times New Roman"/>
          <w:b/>
          <w:sz w:val="24"/>
          <w:szCs w:val="20"/>
          <w:lang w:val="en-US"/>
        </w:rPr>
      </w:pPr>
      <w:bookmarkStart w:id="4" w:name="_Toc87881308"/>
      <w:bookmarkStart w:id="5" w:name="_Toc128740976"/>
      <w:r w:rsidRPr="00674764">
        <w:rPr>
          <w:rFonts w:ascii="Times New Roman" w:hAnsi="Times New Roman" w:cs="Times New Roman"/>
          <w:b/>
          <w:sz w:val="24"/>
          <w:szCs w:val="20"/>
          <w:lang w:val="en-US"/>
        </w:rPr>
        <w:t>Expression of the results of the count</w:t>
      </w:r>
    </w:p>
    <w:p w14:paraId="42909E5B" w14:textId="77777777" w:rsidR="00674764" w:rsidRPr="00674764" w:rsidRDefault="00674764" w:rsidP="00674764">
      <w:pPr>
        <w:tabs>
          <w:tab w:val="left" w:pos="360"/>
        </w:tabs>
        <w:spacing w:before="40" w:line="360" w:lineRule="auto"/>
        <w:jc w:val="both"/>
        <w:rPr>
          <w:rFonts w:ascii="Times New Roman" w:hAnsi="Times New Roman" w:cs="Times New Roman"/>
          <w:sz w:val="24"/>
          <w:szCs w:val="20"/>
          <w:lang w:val="en-US"/>
        </w:rPr>
      </w:pPr>
      <w:r w:rsidRPr="00674764">
        <w:rPr>
          <w:rFonts w:ascii="Times New Roman" w:hAnsi="Times New Roman" w:cs="Times New Roman"/>
          <w:sz w:val="24"/>
          <w:szCs w:val="20"/>
          <w:lang w:val="en-US"/>
        </w:rPr>
        <w:t>The number N, which represents the estimated microbial population, was calculated using the following equation:</w:t>
      </w:r>
    </w:p>
    <w:p w14:paraId="4117EE96" w14:textId="77777777" w:rsidR="00674764" w:rsidRPr="00674764" w:rsidRDefault="00674764" w:rsidP="00674764">
      <w:pPr>
        <w:tabs>
          <w:tab w:val="left" w:pos="360"/>
        </w:tabs>
        <w:spacing w:before="40" w:line="360" w:lineRule="auto"/>
        <w:jc w:val="both"/>
        <w:rPr>
          <w:rFonts w:ascii="Times New Roman" w:hAnsi="Times New Roman" w:cs="Times New Roman"/>
          <w:sz w:val="24"/>
          <w:szCs w:val="20"/>
          <w:lang w:val="en-US"/>
        </w:rPr>
      </w:pPr>
      <m:oMathPara>
        <m:oMath>
          <m:r>
            <m:rPr>
              <m:sty m:val="bi"/>
            </m:rPr>
            <w:rPr>
              <w:rFonts w:ascii="Cambria Math" w:hAnsi="Cambria Math"/>
            </w:rPr>
            <m:t>N=</m:t>
          </m:r>
          <m:f>
            <m:fPr>
              <m:ctrlPr>
                <w:rPr>
                  <w:rFonts w:ascii="Cambria Math" w:hAnsi="Cambria Math"/>
                  <w:b/>
                  <w:i/>
                </w:rPr>
              </m:ctrlPr>
            </m:fPr>
            <m:num>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i</m:t>
                      </m:r>
                    </m:sub>
                  </m:sSub>
                </m:e>
              </m:nary>
            </m:num>
            <m:den>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 xml:space="preserve">1 </m:t>
                      </m:r>
                    </m:sub>
                  </m:sSub>
                  <m:r>
                    <m:rPr>
                      <m:sty m:val="bi"/>
                    </m:rPr>
                    <w:rPr>
                      <w:rFonts w:ascii="Cambria Math" w:hAnsi="Cambria Math"/>
                    </w:rPr>
                    <m:t>+0,1</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e>
              </m:d>
              <m:r>
                <m:rPr>
                  <m:sty m:val="bi"/>
                </m:rPr>
                <w:rPr>
                  <w:rFonts w:ascii="Cambria Math" w:hAnsi="Cambria Math"/>
                </w:rPr>
                <m:t>d.V)</m:t>
              </m:r>
            </m:den>
          </m:f>
        </m:oMath>
      </m:oMathPara>
    </w:p>
    <w:p w14:paraId="4E28CF0D" w14:textId="77777777" w:rsidR="00674764" w:rsidRPr="00674764" w:rsidRDefault="00674764" w:rsidP="00674764">
      <w:pPr>
        <w:tabs>
          <w:tab w:val="left" w:pos="360"/>
        </w:tabs>
        <w:spacing w:before="40" w:after="0" w:line="360" w:lineRule="auto"/>
        <w:jc w:val="both"/>
        <w:rPr>
          <w:rFonts w:ascii="Times New Roman" w:hAnsi="Times New Roman" w:cs="Times New Roman"/>
          <w:sz w:val="24"/>
          <w:szCs w:val="20"/>
        </w:rPr>
      </w:pPr>
      <w:r w:rsidRPr="00674764">
        <w:rPr>
          <w:rFonts w:ascii="Times New Roman" w:hAnsi="Times New Roman" w:cs="Times New Roman"/>
          <w:b/>
          <w:sz w:val="24"/>
          <w:szCs w:val="20"/>
        </w:rPr>
        <w:t>N (CFU/mL):</w:t>
      </w:r>
      <w:r w:rsidRPr="00674764">
        <w:rPr>
          <w:rFonts w:ascii="Times New Roman" w:hAnsi="Times New Roman" w:cs="Times New Roman"/>
          <w:sz w:val="24"/>
          <w:szCs w:val="20"/>
        </w:rPr>
        <w:t>Number of germs per millilitre of non-alcoholic artisanal beverages;</w:t>
      </w:r>
    </w:p>
    <w:p w14:paraId="0E9C0868" w14:textId="77777777" w:rsidR="00674764" w:rsidRPr="00674764" w:rsidRDefault="00674764" w:rsidP="00674764">
      <w:pPr>
        <w:tabs>
          <w:tab w:val="left" w:pos="360"/>
        </w:tabs>
        <w:spacing w:before="40" w:after="0" w:line="360" w:lineRule="auto"/>
        <w:jc w:val="both"/>
        <w:rPr>
          <w:rFonts w:ascii="Times New Roman" w:hAnsi="Times New Roman" w:cs="Times New Roman"/>
          <w:sz w:val="24"/>
          <w:szCs w:val="20"/>
        </w:rPr>
      </w:pPr>
      <w:r w:rsidRPr="00674764">
        <w:rPr>
          <w:rFonts w:ascii="Times New Roman" w:hAnsi="Times New Roman" w:cs="Times New Roman"/>
          <w:b/>
          <w:sz w:val="24"/>
          <w:szCs w:val="20"/>
        </w:rPr>
        <w:t>∑Ci</w:t>
      </w:r>
      <w:r w:rsidRPr="00674764">
        <w:rPr>
          <w:rFonts w:ascii="Times New Roman" w:hAnsi="Times New Roman" w:cs="Times New Roman"/>
          <w:sz w:val="24"/>
          <w:szCs w:val="20"/>
        </w:rPr>
        <w:t>: Sum of colonies counted on all the retained boxes of successive dilutions;</w:t>
      </w:r>
    </w:p>
    <w:p w14:paraId="12FB39BA" w14:textId="77777777" w:rsidR="00674764" w:rsidRPr="00674764" w:rsidRDefault="00674764" w:rsidP="00674764">
      <w:pPr>
        <w:tabs>
          <w:tab w:val="left" w:pos="360"/>
        </w:tabs>
        <w:spacing w:before="40" w:after="0" w:line="360" w:lineRule="auto"/>
        <w:jc w:val="both"/>
        <w:rPr>
          <w:rFonts w:ascii="Times New Roman" w:hAnsi="Times New Roman" w:cs="Times New Roman"/>
          <w:sz w:val="24"/>
          <w:szCs w:val="20"/>
        </w:rPr>
      </w:pPr>
      <w:r w:rsidRPr="00674764">
        <w:rPr>
          <w:rFonts w:ascii="Times New Roman" w:hAnsi="Times New Roman" w:cs="Times New Roman"/>
          <w:b/>
          <w:sz w:val="24"/>
          <w:szCs w:val="20"/>
        </w:rPr>
        <w:t>V</w:t>
      </w:r>
      <w:r w:rsidRPr="00674764">
        <w:rPr>
          <w:rFonts w:ascii="Times New Roman" w:hAnsi="Times New Roman" w:cs="Times New Roman"/>
          <w:sz w:val="24"/>
          <w:szCs w:val="20"/>
        </w:rPr>
        <w:t>: Volume of inoculum applied to each box (in mL);</w:t>
      </w:r>
    </w:p>
    <w:p w14:paraId="4AE25409" w14:textId="77777777" w:rsidR="00674764" w:rsidRPr="00674764" w:rsidRDefault="00674764" w:rsidP="00674764">
      <w:pPr>
        <w:tabs>
          <w:tab w:val="left" w:pos="360"/>
        </w:tabs>
        <w:spacing w:before="40" w:after="0" w:line="360" w:lineRule="auto"/>
        <w:jc w:val="both"/>
        <w:rPr>
          <w:rFonts w:ascii="Times New Roman" w:hAnsi="Times New Roman" w:cs="Times New Roman"/>
          <w:sz w:val="24"/>
          <w:szCs w:val="20"/>
        </w:rPr>
      </w:pPr>
      <w:r w:rsidRPr="00674764">
        <w:rPr>
          <w:rFonts w:ascii="Times New Roman" w:hAnsi="Times New Roman" w:cs="Times New Roman"/>
          <w:b/>
          <w:sz w:val="24"/>
          <w:szCs w:val="20"/>
        </w:rPr>
        <w:t>N1</w:t>
      </w:r>
      <w:r w:rsidRPr="00674764">
        <w:rPr>
          <w:rFonts w:ascii="Times New Roman" w:hAnsi="Times New Roman" w:cs="Times New Roman"/>
          <w:sz w:val="24"/>
          <w:szCs w:val="20"/>
        </w:rPr>
        <w:t>: Number of boxes retained at the first dilution considered;</w:t>
      </w:r>
    </w:p>
    <w:p w14:paraId="67BEB156" w14:textId="77777777" w:rsidR="00674764" w:rsidRPr="00674764" w:rsidRDefault="00674764" w:rsidP="00674764">
      <w:pPr>
        <w:tabs>
          <w:tab w:val="left" w:pos="360"/>
        </w:tabs>
        <w:spacing w:before="40" w:after="0" w:line="360" w:lineRule="auto"/>
        <w:jc w:val="both"/>
        <w:rPr>
          <w:rFonts w:ascii="Times New Roman" w:hAnsi="Times New Roman" w:cs="Times New Roman"/>
          <w:sz w:val="24"/>
          <w:szCs w:val="20"/>
        </w:rPr>
      </w:pPr>
      <w:r w:rsidRPr="00674764">
        <w:rPr>
          <w:rFonts w:ascii="Times New Roman" w:hAnsi="Times New Roman" w:cs="Times New Roman"/>
          <w:b/>
          <w:sz w:val="24"/>
          <w:szCs w:val="20"/>
        </w:rPr>
        <w:t>N2</w:t>
      </w:r>
      <w:r w:rsidRPr="00674764">
        <w:rPr>
          <w:rFonts w:ascii="Times New Roman" w:hAnsi="Times New Roman" w:cs="Times New Roman"/>
          <w:sz w:val="24"/>
          <w:szCs w:val="20"/>
        </w:rPr>
        <w:t>Number of boxes retained at the second dilution considered;</w:t>
      </w:r>
    </w:p>
    <w:p w14:paraId="19A628CE" w14:textId="77777777" w:rsidR="00674764" w:rsidRPr="00674764" w:rsidRDefault="00674764" w:rsidP="00674764">
      <w:pPr>
        <w:tabs>
          <w:tab w:val="left" w:pos="360"/>
        </w:tabs>
        <w:spacing w:before="40" w:after="0" w:line="360" w:lineRule="auto"/>
        <w:jc w:val="both"/>
        <w:rPr>
          <w:rFonts w:ascii="Times New Roman" w:hAnsi="Times New Roman" w:cs="Times New Roman"/>
          <w:sz w:val="24"/>
          <w:szCs w:val="20"/>
          <w:lang w:val="en-US"/>
        </w:rPr>
      </w:pPr>
      <w:proofErr w:type="gramStart"/>
      <w:r w:rsidRPr="00674764">
        <w:rPr>
          <w:rFonts w:ascii="Times New Roman" w:hAnsi="Times New Roman" w:cs="Times New Roman"/>
          <w:b/>
          <w:sz w:val="24"/>
          <w:szCs w:val="20"/>
        </w:rPr>
        <w:t>d</w:t>
      </w:r>
      <w:r w:rsidRPr="00674764">
        <w:rPr>
          <w:rFonts w:ascii="Times New Roman" w:hAnsi="Times New Roman" w:cs="Times New Roman"/>
          <w:sz w:val="24"/>
          <w:szCs w:val="20"/>
        </w:rPr>
        <w:t>:</w:t>
      </w:r>
      <w:proofErr w:type="gramEnd"/>
      <w:r w:rsidRPr="00674764">
        <w:rPr>
          <w:rFonts w:ascii="Times New Roman" w:hAnsi="Times New Roman" w:cs="Times New Roman"/>
          <w:sz w:val="24"/>
          <w:szCs w:val="20"/>
        </w:rPr>
        <w:t xml:space="preserve"> Dilution factor corresponding to the first dilution retained.</w:t>
      </w:r>
    </w:p>
    <w:bookmarkEnd w:id="4"/>
    <w:bookmarkEnd w:id="5"/>
    <w:p w14:paraId="16782448" w14:textId="77777777" w:rsidR="00674764" w:rsidRPr="00674764" w:rsidRDefault="00674764" w:rsidP="00674764">
      <w:pPr>
        <w:numPr>
          <w:ilvl w:val="2"/>
          <w:numId w:val="4"/>
        </w:numPr>
        <w:tabs>
          <w:tab w:val="left" w:pos="360"/>
        </w:tabs>
        <w:spacing w:before="40" w:line="360" w:lineRule="auto"/>
        <w:contextualSpacing/>
        <w:jc w:val="both"/>
        <w:rPr>
          <w:rFonts w:ascii="Times New Roman" w:hAnsi="Times New Roman" w:cs="Times New Roman"/>
          <w:b/>
          <w:sz w:val="24"/>
          <w:szCs w:val="20"/>
          <w:lang w:val="en-US"/>
        </w:rPr>
      </w:pPr>
      <w:r w:rsidRPr="00674764">
        <w:rPr>
          <w:rFonts w:ascii="Times New Roman" w:hAnsi="Times New Roman" w:cs="Times New Roman"/>
          <w:b/>
          <w:sz w:val="24"/>
          <w:szCs w:val="20"/>
          <w:lang w:val="en-US"/>
        </w:rPr>
        <w:t>Statistical analyses</w:t>
      </w:r>
    </w:p>
    <w:p w14:paraId="1A148F89" w14:textId="77777777" w:rsidR="00674764" w:rsidRPr="00674764" w:rsidRDefault="00674764" w:rsidP="00674764">
      <w:pPr>
        <w:tabs>
          <w:tab w:val="left" w:pos="360"/>
        </w:tabs>
        <w:spacing w:before="40" w:line="360" w:lineRule="auto"/>
        <w:jc w:val="both"/>
        <w:rPr>
          <w:rFonts w:ascii="Times New Roman" w:hAnsi="Times New Roman" w:cs="Times New Roman"/>
          <w:sz w:val="24"/>
          <w:szCs w:val="20"/>
        </w:rPr>
      </w:pPr>
      <w:r w:rsidRPr="00674764">
        <w:rPr>
          <w:rFonts w:ascii="Times New Roman" w:hAnsi="Times New Roman" w:cs="Times New Roman"/>
          <w:sz w:val="24"/>
          <w:szCs w:val="20"/>
        </w:rPr>
        <w:t>The data were analyzed using one-way analysis of variance (ANOVA) to assess variability between samples. Duncan's test was then used to identify significant differences between groups. The threshold for statistical significance was set at p &lt; 0.05 for all analyses.</w:t>
      </w:r>
      <w:r w:rsidRPr="00674764">
        <w:rPr>
          <w:rFonts w:ascii="Times New Roman" w:hAnsi="Times New Roman" w:cs="Times New Roman"/>
          <w:sz w:val="24"/>
          <w:szCs w:val="20"/>
        </w:rPr>
        <w:tab/>
      </w:r>
    </w:p>
    <w:p w14:paraId="21D34926" w14:textId="77777777" w:rsidR="00674764" w:rsidRPr="00674764" w:rsidRDefault="00674764" w:rsidP="00674764">
      <w:pPr>
        <w:numPr>
          <w:ilvl w:val="0"/>
          <w:numId w:val="4"/>
        </w:numPr>
        <w:spacing w:line="360" w:lineRule="auto"/>
        <w:contextualSpacing/>
        <w:jc w:val="both"/>
        <w:rPr>
          <w:rFonts w:ascii="Times New Roman" w:hAnsi="Times New Roman" w:cs="Times New Roman"/>
          <w:b/>
          <w:sz w:val="24"/>
        </w:rPr>
      </w:pPr>
      <w:r w:rsidRPr="00674764">
        <w:rPr>
          <w:rFonts w:ascii="Times New Roman" w:hAnsi="Times New Roman" w:cs="Times New Roman"/>
          <w:b/>
          <w:sz w:val="24"/>
        </w:rPr>
        <w:t>RESULTS</w:t>
      </w:r>
    </w:p>
    <w:p w14:paraId="41A9EA21" w14:textId="77777777" w:rsidR="00674764" w:rsidRPr="00674764" w:rsidRDefault="00674764" w:rsidP="00674764">
      <w:pPr>
        <w:numPr>
          <w:ilvl w:val="1"/>
          <w:numId w:val="4"/>
        </w:numPr>
        <w:spacing w:line="360" w:lineRule="auto"/>
        <w:contextualSpacing/>
        <w:jc w:val="both"/>
        <w:rPr>
          <w:rFonts w:ascii="Times New Roman" w:hAnsi="Times New Roman" w:cs="Times New Roman"/>
          <w:b/>
          <w:sz w:val="24"/>
        </w:rPr>
      </w:pPr>
      <w:r w:rsidRPr="00674764">
        <w:rPr>
          <w:rFonts w:ascii="Times New Roman" w:hAnsi="Times New Roman" w:cs="Times New Roman"/>
          <w:b/>
          <w:sz w:val="24"/>
        </w:rPr>
        <w:t>Physicochemical analyses</w:t>
      </w:r>
    </w:p>
    <w:p w14:paraId="2E87DE17"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 xml:space="preserve">Physicochemical analyses revealed significant variations in pH and sugar content depending on the beverage and location. </w:t>
      </w:r>
      <w:proofErr w:type="gramStart"/>
      <w:r w:rsidRPr="00674764">
        <w:rPr>
          <w:rFonts w:ascii="Times New Roman" w:hAnsi="Times New Roman" w:cs="Times New Roman"/>
          <w:sz w:val="24"/>
        </w:rPr>
        <w:t>pH</w:t>
      </w:r>
      <w:proofErr w:type="gramEnd"/>
      <w:r w:rsidRPr="00674764">
        <w:rPr>
          <w:rFonts w:ascii="Times New Roman" w:hAnsi="Times New Roman" w:cs="Times New Roman"/>
          <w:sz w:val="24"/>
        </w:rPr>
        <w:t xml:space="preserve"> ranged from 5.18 (Bissap, Daloa School Health Service) to 10.6 (Gnamankoudji, Daloa Antilope Clinic). Gnamankoudji exhibited the highest pH levels, with values ​​such as 10.6 at the Antilope Clinic and 9.25 at the Daloa Regional Hospital. Bissap showed the highest sugar content, notably 17.35 at Zepreguhe (Daloa) and 16.37 at Zaibo, for Gnamankoudji. These significant variations reflect considerable heterogeneity in the beverages' composition depending on their production site.</w:t>
      </w:r>
    </w:p>
    <w:p w14:paraId="2D5FD3A0" w14:textId="6BC3E634"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b/>
          <w:sz w:val="24"/>
        </w:rPr>
        <w:lastRenderedPageBreak/>
        <w:t xml:space="preserve">Table </w:t>
      </w:r>
      <w:proofErr w:type="gramStart"/>
      <w:r w:rsidR="00D01468">
        <w:rPr>
          <w:rFonts w:ascii="Times New Roman" w:hAnsi="Times New Roman" w:cs="Times New Roman"/>
          <w:b/>
          <w:sz w:val="24"/>
        </w:rPr>
        <w:t>I</w:t>
      </w:r>
      <w:r w:rsidRPr="00674764">
        <w:rPr>
          <w:rFonts w:ascii="Times New Roman" w:hAnsi="Times New Roman" w:cs="Times New Roman"/>
          <w:b/>
          <w:sz w:val="24"/>
        </w:rPr>
        <w:t>:</w:t>
      </w:r>
      <w:r w:rsidRPr="00674764">
        <w:rPr>
          <w:rFonts w:ascii="Times New Roman" w:hAnsi="Times New Roman" w:cs="Times New Roman"/>
          <w:sz w:val="24"/>
        </w:rPr>
        <w:t>Physico</w:t>
      </w:r>
      <w:proofErr w:type="gramEnd"/>
      <w:r w:rsidRPr="00674764">
        <w:rPr>
          <w:rFonts w:ascii="Times New Roman" w:hAnsi="Times New Roman" w:cs="Times New Roman"/>
          <w:sz w:val="24"/>
        </w:rPr>
        <w:t>-chemical characteristics of Bissap and Gnamankoudji drinks sold in the Daloa health district.</w:t>
      </w:r>
    </w:p>
    <w:p w14:paraId="50466E9A" w14:textId="77777777" w:rsidR="00674764" w:rsidRPr="00674764" w:rsidRDefault="00674764" w:rsidP="00674764">
      <w:pPr>
        <w:numPr>
          <w:ilvl w:val="0"/>
          <w:numId w:val="7"/>
        </w:numPr>
        <w:spacing w:line="360" w:lineRule="auto"/>
        <w:contextualSpacing/>
        <w:jc w:val="both"/>
        <w:rPr>
          <w:rFonts w:ascii="Times New Roman" w:hAnsi="Times New Roman" w:cs="Times New Roman"/>
          <w:b/>
          <w:i/>
          <w:sz w:val="24"/>
        </w:rPr>
      </w:pPr>
      <w:r w:rsidRPr="00674764">
        <w:rPr>
          <w:rFonts w:ascii="Times New Roman" w:hAnsi="Times New Roman" w:cs="Times New Roman"/>
          <w:b/>
          <w:i/>
          <w:sz w:val="24"/>
        </w:rPr>
        <w:t>Bissap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871"/>
        <w:gridCol w:w="90"/>
        <w:gridCol w:w="2244"/>
        <w:gridCol w:w="615"/>
        <w:gridCol w:w="1716"/>
        <w:gridCol w:w="158"/>
        <w:gridCol w:w="2358"/>
        <w:gridCol w:w="10"/>
      </w:tblGrid>
      <w:tr w:rsidR="00674764" w:rsidRPr="00674764" w14:paraId="11E2101D" w14:textId="77777777" w:rsidTr="00F24187">
        <w:trPr>
          <w:gridAfter w:val="1"/>
          <w:wAfter w:w="10" w:type="dxa"/>
        </w:trPr>
        <w:tc>
          <w:tcPr>
            <w:tcW w:w="1971" w:type="dxa"/>
            <w:gridSpan w:val="3"/>
            <w:tcBorders>
              <w:top w:val="single" w:sz="18" w:space="0" w:color="auto"/>
              <w:bottom w:val="single" w:sz="18" w:space="0" w:color="auto"/>
            </w:tcBorders>
          </w:tcPr>
          <w:p w14:paraId="390DDCBE"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Study areas</w:t>
            </w:r>
          </w:p>
        </w:tc>
        <w:tc>
          <w:tcPr>
            <w:tcW w:w="2859" w:type="dxa"/>
            <w:gridSpan w:val="2"/>
            <w:tcBorders>
              <w:top w:val="single" w:sz="18" w:space="0" w:color="auto"/>
              <w:bottom w:val="single" w:sz="18" w:space="0" w:color="auto"/>
            </w:tcBorders>
          </w:tcPr>
          <w:p w14:paraId="63DA33D9"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Sites</w:t>
            </w:r>
          </w:p>
        </w:tc>
        <w:tc>
          <w:tcPr>
            <w:tcW w:w="1874" w:type="dxa"/>
            <w:gridSpan w:val="2"/>
            <w:tcBorders>
              <w:top w:val="single" w:sz="18" w:space="0" w:color="auto"/>
              <w:bottom w:val="single" w:sz="18" w:space="0" w:color="auto"/>
            </w:tcBorders>
          </w:tcPr>
          <w:p w14:paraId="4503E8F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pH</w:t>
            </w:r>
          </w:p>
        </w:tc>
        <w:tc>
          <w:tcPr>
            <w:tcW w:w="2358" w:type="dxa"/>
            <w:tcBorders>
              <w:top w:val="single" w:sz="18" w:space="0" w:color="auto"/>
              <w:bottom w:val="single" w:sz="18" w:space="0" w:color="auto"/>
            </w:tcBorders>
          </w:tcPr>
          <w:p w14:paraId="420D437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Brix degree</w:t>
            </w:r>
          </w:p>
        </w:tc>
      </w:tr>
      <w:tr w:rsidR="00674764" w:rsidRPr="00674764" w14:paraId="7FD3D121" w14:textId="77777777" w:rsidTr="00F24187">
        <w:trPr>
          <w:gridAfter w:val="1"/>
          <w:wAfter w:w="10" w:type="dxa"/>
        </w:trPr>
        <w:tc>
          <w:tcPr>
            <w:tcW w:w="1971" w:type="dxa"/>
            <w:gridSpan w:val="3"/>
            <w:tcBorders>
              <w:top w:val="single" w:sz="18" w:space="0" w:color="auto"/>
            </w:tcBorders>
          </w:tcPr>
          <w:p w14:paraId="2890E0E2"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Borders>
              <w:top w:val="single" w:sz="18" w:space="0" w:color="auto"/>
            </w:tcBorders>
          </w:tcPr>
          <w:p w14:paraId="5910085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Sanitary district</w:t>
            </w:r>
          </w:p>
        </w:tc>
        <w:tc>
          <w:tcPr>
            <w:tcW w:w="1874" w:type="dxa"/>
            <w:gridSpan w:val="2"/>
            <w:tcBorders>
              <w:top w:val="single" w:sz="18" w:space="0" w:color="auto"/>
            </w:tcBorders>
          </w:tcPr>
          <w:p w14:paraId="571D651F"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8.61 ± 0.22ab</w:t>
            </w:r>
          </w:p>
        </w:tc>
        <w:tc>
          <w:tcPr>
            <w:tcW w:w="2358" w:type="dxa"/>
            <w:tcBorders>
              <w:top w:val="single" w:sz="18" w:space="0" w:color="auto"/>
            </w:tcBorders>
          </w:tcPr>
          <w:p w14:paraId="1DBD3CD7"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12.15±0.05bcdefg</w:t>
            </w:r>
          </w:p>
        </w:tc>
      </w:tr>
      <w:tr w:rsidR="00674764" w:rsidRPr="00674764" w14:paraId="2D3E2F49" w14:textId="77777777" w:rsidTr="00F24187">
        <w:trPr>
          <w:gridAfter w:val="1"/>
          <w:wAfter w:w="10" w:type="dxa"/>
        </w:trPr>
        <w:tc>
          <w:tcPr>
            <w:tcW w:w="1971" w:type="dxa"/>
            <w:gridSpan w:val="3"/>
          </w:tcPr>
          <w:p w14:paraId="7C0AD4B3"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468EBEA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dispensary</w:t>
            </w:r>
          </w:p>
        </w:tc>
        <w:tc>
          <w:tcPr>
            <w:tcW w:w="1874" w:type="dxa"/>
            <w:gridSpan w:val="2"/>
          </w:tcPr>
          <w:p w14:paraId="6D34EE99"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8.77 ± 0.04ab</w:t>
            </w:r>
          </w:p>
        </w:tc>
        <w:tc>
          <w:tcPr>
            <w:tcW w:w="2358" w:type="dxa"/>
          </w:tcPr>
          <w:p w14:paraId="22B24CEF"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10.9±0.1abcdefg</w:t>
            </w:r>
          </w:p>
        </w:tc>
      </w:tr>
      <w:tr w:rsidR="00674764" w:rsidRPr="00674764" w14:paraId="70D2AD93" w14:textId="77777777" w:rsidTr="00F24187">
        <w:trPr>
          <w:gridAfter w:val="1"/>
          <w:wAfter w:w="10" w:type="dxa"/>
        </w:trPr>
        <w:tc>
          <w:tcPr>
            <w:tcW w:w="1971" w:type="dxa"/>
            <w:gridSpan w:val="3"/>
          </w:tcPr>
          <w:p w14:paraId="45A8E1C8"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7AEA7C76"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Maternal and Child Protection</w:t>
            </w:r>
          </w:p>
        </w:tc>
        <w:tc>
          <w:tcPr>
            <w:tcW w:w="1874" w:type="dxa"/>
            <w:gridSpan w:val="2"/>
          </w:tcPr>
          <w:p w14:paraId="10B5ADA9"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9.1±1.89ab</w:t>
            </w:r>
          </w:p>
        </w:tc>
        <w:tc>
          <w:tcPr>
            <w:tcW w:w="2358" w:type="dxa"/>
          </w:tcPr>
          <w:p w14:paraId="24D3EA5D"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9.61 ± 0.46 abcdef</w:t>
            </w:r>
          </w:p>
        </w:tc>
      </w:tr>
      <w:tr w:rsidR="00674764" w:rsidRPr="00674764" w14:paraId="3FE97ADA" w14:textId="77777777" w:rsidTr="00F24187">
        <w:trPr>
          <w:gridAfter w:val="1"/>
          <w:wAfter w:w="10" w:type="dxa"/>
        </w:trPr>
        <w:tc>
          <w:tcPr>
            <w:tcW w:w="1971" w:type="dxa"/>
            <w:gridSpan w:val="3"/>
          </w:tcPr>
          <w:p w14:paraId="5D59DEA8"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5BBFAF6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Civil Prison Infirmary</w:t>
            </w:r>
          </w:p>
        </w:tc>
        <w:tc>
          <w:tcPr>
            <w:tcW w:w="1874" w:type="dxa"/>
            <w:gridSpan w:val="2"/>
          </w:tcPr>
          <w:p w14:paraId="63B97449"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8.08 ± 0.08ab</w:t>
            </w:r>
          </w:p>
        </w:tc>
        <w:tc>
          <w:tcPr>
            <w:tcW w:w="2358" w:type="dxa"/>
          </w:tcPr>
          <w:p w14:paraId="5CAEFB3F"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5.88 ± 3.21ab</w:t>
            </w:r>
          </w:p>
        </w:tc>
      </w:tr>
      <w:tr w:rsidR="00674764" w:rsidRPr="00674764" w14:paraId="325029CC" w14:textId="77777777" w:rsidTr="00F24187">
        <w:trPr>
          <w:gridAfter w:val="1"/>
          <w:wAfter w:w="10" w:type="dxa"/>
        </w:trPr>
        <w:tc>
          <w:tcPr>
            <w:tcW w:w="1971" w:type="dxa"/>
            <w:gridSpan w:val="3"/>
          </w:tcPr>
          <w:p w14:paraId="7B1AC44D"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4CE9A646"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INHP Antenna</w:t>
            </w:r>
          </w:p>
        </w:tc>
        <w:tc>
          <w:tcPr>
            <w:tcW w:w="1874" w:type="dxa"/>
            <w:gridSpan w:val="2"/>
          </w:tcPr>
          <w:p w14:paraId="3A9C9F46"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5.83 ± 3.17a</w:t>
            </w:r>
          </w:p>
        </w:tc>
        <w:tc>
          <w:tcPr>
            <w:tcW w:w="2358" w:type="dxa"/>
          </w:tcPr>
          <w:p w14:paraId="25972416"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9.91 ± 0.08 abcdef</w:t>
            </w:r>
          </w:p>
        </w:tc>
      </w:tr>
      <w:tr w:rsidR="00674764" w:rsidRPr="00674764" w14:paraId="3A63FD38" w14:textId="77777777" w:rsidTr="00F24187">
        <w:trPr>
          <w:gridAfter w:val="1"/>
          <w:wAfter w:w="10" w:type="dxa"/>
        </w:trPr>
        <w:tc>
          <w:tcPr>
            <w:tcW w:w="1971" w:type="dxa"/>
            <w:gridSpan w:val="3"/>
          </w:tcPr>
          <w:p w14:paraId="48604DBA"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3192B183"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School and University Health Service</w:t>
            </w:r>
          </w:p>
        </w:tc>
        <w:tc>
          <w:tcPr>
            <w:tcW w:w="1874" w:type="dxa"/>
            <w:gridSpan w:val="2"/>
          </w:tcPr>
          <w:p w14:paraId="63B0B95E"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5.18±2.67a</w:t>
            </w:r>
          </w:p>
        </w:tc>
        <w:tc>
          <w:tcPr>
            <w:tcW w:w="2358" w:type="dxa"/>
          </w:tcPr>
          <w:p w14:paraId="0DC42FA1"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8.33 ± 1.67abcde</w:t>
            </w:r>
          </w:p>
        </w:tc>
      </w:tr>
      <w:tr w:rsidR="00674764" w:rsidRPr="00674764" w14:paraId="7AFBCAE2" w14:textId="77777777" w:rsidTr="00F24187">
        <w:trPr>
          <w:gridAfter w:val="1"/>
          <w:wAfter w:w="10" w:type="dxa"/>
        </w:trPr>
        <w:tc>
          <w:tcPr>
            <w:tcW w:w="1971" w:type="dxa"/>
            <w:gridSpan w:val="3"/>
          </w:tcPr>
          <w:p w14:paraId="28F61CFF"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04C3195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Leprosarium</w:t>
            </w:r>
          </w:p>
        </w:tc>
        <w:tc>
          <w:tcPr>
            <w:tcW w:w="1874" w:type="dxa"/>
            <w:gridSpan w:val="2"/>
          </w:tcPr>
          <w:p w14:paraId="4BAFC2A5"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5.22 ± 2.65a</w:t>
            </w:r>
          </w:p>
        </w:tc>
        <w:tc>
          <w:tcPr>
            <w:tcW w:w="2358" w:type="dxa"/>
          </w:tcPr>
          <w:p w14:paraId="30CB1BF1"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7.73 ± 2.27abcde</w:t>
            </w:r>
          </w:p>
        </w:tc>
      </w:tr>
      <w:tr w:rsidR="00674764" w:rsidRPr="00674764" w14:paraId="58AC5E60" w14:textId="77777777" w:rsidTr="00F24187">
        <w:trPr>
          <w:gridAfter w:val="1"/>
          <w:wAfter w:w="10" w:type="dxa"/>
        </w:trPr>
        <w:tc>
          <w:tcPr>
            <w:tcW w:w="1971" w:type="dxa"/>
            <w:gridSpan w:val="3"/>
          </w:tcPr>
          <w:p w14:paraId="28A3343E"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1817F6F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Regional Hospital Center</w:t>
            </w:r>
          </w:p>
        </w:tc>
        <w:tc>
          <w:tcPr>
            <w:tcW w:w="1874" w:type="dxa"/>
            <w:gridSpan w:val="2"/>
          </w:tcPr>
          <w:p w14:paraId="6A6AC775"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6.63 ± 1.63ab</w:t>
            </w:r>
          </w:p>
        </w:tc>
        <w:tc>
          <w:tcPr>
            <w:tcW w:w="2358" w:type="dxa"/>
          </w:tcPr>
          <w:p w14:paraId="1D72D04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13±2cdefg</w:t>
            </w:r>
          </w:p>
        </w:tc>
      </w:tr>
      <w:tr w:rsidR="00674764" w:rsidRPr="00674764" w14:paraId="735B495A" w14:textId="77777777" w:rsidTr="00F24187">
        <w:trPr>
          <w:gridAfter w:val="1"/>
          <w:wAfter w:w="10" w:type="dxa"/>
        </w:trPr>
        <w:tc>
          <w:tcPr>
            <w:tcW w:w="1971" w:type="dxa"/>
            <w:gridSpan w:val="3"/>
          </w:tcPr>
          <w:p w14:paraId="67AD6004"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01495CD0"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Antilope Clinic</w:t>
            </w:r>
          </w:p>
        </w:tc>
        <w:tc>
          <w:tcPr>
            <w:tcW w:w="1874" w:type="dxa"/>
            <w:gridSpan w:val="2"/>
          </w:tcPr>
          <w:p w14:paraId="767A457E"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7.82 ± 0.53ab</w:t>
            </w:r>
          </w:p>
        </w:tc>
        <w:tc>
          <w:tcPr>
            <w:tcW w:w="2358" w:type="dxa"/>
          </w:tcPr>
          <w:p w14:paraId="4BC8D9E0"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9.33±1.23abcde</w:t>
            </w:r>
          </w:p>
        </w:tc>
      </w:tr>
      <w:tr w:rsidR="00674764" w:rsidRPr="00674764" w14:paraId="491CAE95" w14:textId="77777777" w:rsidTr="00F24187">
        <w:trPr>
          <w:gridAfter w:val="1"/>
          <w:wAfter w:w="10" w:type="dxa"/>
        </w:trPr>
        <w:tc>
          <w:tcPr>
            <w:tcW w:w="1971" w:type="dxa"/>
            <w:gridSpan w:val="3"/>
          </w:tcPr>
          <w:p w14:paraId="1019FFE1"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Daloa</w:t>
            </w:r>
          </w:p>
        </w:tc>
        <w:tc>
          <w:tcPr>
            <w:tcW w:w="2859" w:type="dxa"/>
            <w:gridSpan w:val="2"/>
          </w:tcPr>
          <w:p w14:paraId="507A09B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Maternity Ward - Groguhe</w:t>
            </w:r>
          </w:p>
        </w:tc>
        <w:tc>
          <w:tcPr>
            <w:tcW w:w="1874" w:type="dxa"/>
            <w:gridSpan w:val="2"/>
          </w:tcPr>
          <w:p w14:paraId="74D3AD69"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6.73 ± 0.03ab</w:t>
            </w:r>
          </w:p>
        </w:tc>
        <w:tc>
          <w:tcPr>
            <w:tcW w:w="2358" w:type="dxa"/>
          </w:tcPr>
          <w:p w14:paraId="77B07F9D"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10.07±0.95abcdef</w:t>
            </w:r>
          </w:p>
        </w:tc>
      </w:tr>
      <w:tr w:rsidR="00674764" w:rsidRPr="00674764" w14:paraId="3A2C5B6C" w14:textId="77777777" w:rsidTr="00F24187">
        <w:trPr>
          <w:gridAfter w:val="1"/>
          <w:wAfter w:w="10" w:type="dxa"/>
        </w:trPr>
        <w:tc>
          <w:tcPr>
            <w:tcW w:w="1971" w:type="dxa"/>
            <w:gridSpan w:val="3"/>
          </w:tcPr>
          <w:p w14:paraId="6C627067"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177F1D4D"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 - Zepreguhe</w:t>
            </w:r>
          </w:p>
        </w:tc>
        <w:tc>
          <w:tcPr>
            <w:tcW w:w="1874" w:type="dxa"/>
            <w:gridSpan w:val="2"/>
          </w:tcPr>
          <w:p w14:paraId="0293CC7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7.2 ± 0.7ab</w:t>
            </w:r>
          </w:p>
        </w:tc>
        <w:tc>
          <w:tcPr>
            <w:tcW w:w="2358" w:type="dxa"/>
          </w:tcPr>
          <w:p w14:paraId="7B16F11A"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17.35±0.35g</w:t>
            </w:r>
          </w:p>
        </w:tc>
      </w:tr>
      <w:tr w:rsidR="00674764" w:rsidRPr="00674764" w14:paraId="369541F8" w14:textId="77777777" w:rsidTr="00F24187">
        <w:trPr>
          <w:gridAfter w:val="1"/>
          <w:wAfter w:w="10" w:type="dxa"/>
        </w:trPr>
        <w:tc>
          <w:tcPr>
            <w:tcW w:w="1971" w:type="dxa"/>
            <w:gridSpan w:val="3"/>
          </w:tcPr>
          <w:p w14:paraId="52BC1B12"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15675D6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Zokoguhe Rural Health Center</w:t>
            </w:r>
          </w:p>
        </w:tc>
        <w:tc>
          <w:tcPr>
            <w:tcW w:w="1874" w:type="dxa"/>
            <w:gridSpan w:val="2"/>
          </w:tcPr>
          <w:p w14:paraId="3977066B"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8.55 ± 0.95ab</w:t>
            </w:r>
          </w:p>
        </w:tc>
        <w:tc>
          <w:tcPr>
            <w:tcW w:w="2358" w:type="dxa"/>
          </w:tcPr>
          <w:p w14:paraId="263E1415"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6.59 ± 0.20 abc</w:t>
            </w:r>
          </w:p>
        </w:tc>
      </w:tr>
      <w:tr w:rsidR="00674764" w:rsidRPr="00674764" w14:paraId="2EAA510C" w14:textId="77777777" w:rsidTr="00F24187">
        <w:trPr>
          <w:gridAfter w:val="1"/>
          <w:wAfter w:w="10" w:type="dxa"/>
        </w:trPr>
        <w:tc>
          <w:tcPr>
            <w:tcW w:w="1971" w:type="dxa"/>
            <w:gridSpan w:val="3"/>
          </w:tcPr>
          <w:p w14:paraId="1710A6DB"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74DDD84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dispensary-Tagoura</w:t>
            </w:r>
          </w:p>
        </w:tc>
        <w:tc>
          <w:tcPr>
            <w:tcW w:w="1874" w:type="dxa"/>
            <w:gridSpan w:val="2"/>
          </w:tcPr>
          <w:p w14:paraId="7DBF08E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6.4±00ab</w:t>
            </w:r>
          </w:p>
        </w:tc>
        <w:tc>
          <w:tcPr>
            <w:tcW w:w="2358" w:type="dxa"/>
          </w:tcPr>
          <w:p w14:paraId="24C4D84A"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7.75±2.75abcde</w:t>
            </w:r>
          </w:p>
        </w:tc>
      </w:tr>
      <w:tr w:rsidR="00674764" w:rsidRPr="00674764" w14:paraId="7E8A2DD6" w14:textId="77777777" w:rsidTr="00F24187">
        <w:trPr>
          <w:gridAfter w:val="1"/>
          <w:wAfter w:w="10" w:type="dxa"/>
        </w:trPr>
        <w:tc>
          <w:tcPr>
            <w:tcW w:w="1971" w:type="dxa"/>
            <w:gridSpan w:val="3"/>
          </w:tcPr>
          <w:p w14:paraId="56F3FBBF"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690DA5AD"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dispensary-Tahiraguhe</w:t>
            </w:r>
          </w:p>
        </w:tc>
        <w:tc>
          <w:tcPr>
            <w:tcW w:w="1874" w:type="dxa"/>
            <w:gridSpan w:val="2"/>
          </w:tcPr>
          <w:p w14:paraId="4B99CF24"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8.03 ± 1.26ab</w:t>
            </w:r>
          </w:p>
        </w:tc>
        <w:tc>
          <w:tcPr>
            <w:tcW w:w="2358" w:type="dxa"/>
          </w:tcPr>
          <w:p w14:paraId="66AC6421"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9.04 ± 1.055abcde</w:t>
            </w:r>
          </w:p>
        </w:tc>
      </w:tr>
      <w:tr w:rsidR="00674764" w:rsidRPr="00674764" w14:paraId="4EB24BFA" w14:textId="77777777" w:rsidTr="00F24187">
        <w:trPr>
          <w:gridAfter w:val="1"/>
          <w:wAfter w:w="10" w:type="dxa"/>
        </w:trPr>
        <w:tc>
          <w:tcPr>
            <w:tcW w:w="1971" w:type="dxa"/>
            <w:gridSpan w:val="3"/>
          </w:tcPr>
          <w:p w14:paraId="160D6182"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1A6267F5"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 - Niouboua</w:t>
            </w:r>
          </w:p>
        </w:tc>
        <w:tc>
          <w:tcPr>
            <w:tcW w:w="1874" w:type="dxa"/>
            <w:gridSpan w:val="2"/>
          </w:tcPr>
          <w:p w14:paraId="4C3AF087"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6.44 ± 0.02ab</w:t>
            </w:r>
          </w:p>
        </w:tc>
        <w:tc>
          <w:tcPr>
            <w:tcW w:w="2358" w:type="dxa"/>
          </w:tcPr>
          <w:p w14:paraId="0C2A52AC"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4.57±1.92a</w:t>
            </w:r>
          </w:p>
        </w:tc>
      </w:tr>
      <w:tr w:rsidR="00674764" w:rsidRPr="00674764" w14:paraId="0C3F7EBD" w14:textId="77777777" w:rsidTr="00F24187">
        <w:trPr>
          <w:gridAfter w:val="1"/>
          <w:wAfter w:w="10" w:type="dxa"/>
        </w:trPr>
        <w:tc>
          <w:tcPr>
            <w:tcW w:w="1971" w:type="dxa"/>
            <w:gridSpan w:val="3"/>
          </w:tcPr>
          <w:p w14:paraId="29199834"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55F0C95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Dispensary-Seria</w:t>
            </w:r>
          </w:p>
        </w:tc>
        <w:tc>
          <w:tcPr>
            <w:tcW w:w="1874" w:type="dxa"/>
            <w:gridSpan w:val="2"/>
          </w:tcPr>
          <w:p w14:paraId="1168451B"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7.6±0.5ab</w:t>
            </w:r>
          </w:p>
        </w:tc>
        <w:tc>
          <w:tcPr>
            <w:tcW w:w="2358" w:type="dxa"/>
          </w:tcPr>
          <w:p w14:paraId="682FC904"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10.22 ± 1.77 abcdef</w:t>
            </w:r>
          </w:p>
        </w:tc>
      </w:tr>
      <w:tr w:rsidR="00674764" w:rsidRPr="00674764" w14:paraId="5F104A6E" w14:textId="77777777" w:rsidTr="00F24187">
        <w:trPr>
          <w:gridAfter w:val="1"/>
          <w:wAfter w:w="10" w:type="dxa"/>
        </w:trPr>
        <w:tc>
          <w:tcPr>
            <w:tcW w:w="1971" w:type="dxa"/>
            <w:gridSpan w:val="3"/>
          </w:tcPr>
          <w:p w14:paraId="7AEDDBCB"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1215F15C"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Medical and Social Center</w:t>
            </w:r>
          </w:p>
        </w:tc>
        <w:tc>
          <w:tcPr>
            <w:tcW w:w="1874" w:type="dxa"/>
            <w:gridSpan w:val="2"/>
          </w:tcPr>
          <w:p w14:paraId="6ED91E9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5.49 ± 2.96a</w:t>
            </w:r>
          </w:p>
        </w:tc>
        <w:tc>
          <w:tcPr>
            <w:tcW w:w="2358" w:type="dxa"/>
          </w:tcPr>
          <w:p w14:paraId="1A76EA89"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5.94±2.61ab</w:t>
            </w:r>
          </w:p>
        </w:tc>
      </w:tr>
      <w:tr w:rsidR="00674764" w:rsidRPr="00674764" w14:paraId="327EEBDD" w14:textId="77777777" w:rsidTr="00F24187">
        <w:trPr>
          <w:gridAfter w:val="1"/>
          <w:wAfter w:w="10" w:type="dxa"/>
        </w:trPr>
        <w:tc>
          <w:tcPr>
            <w:tcW w:w="1971" w:type="dxa"/>
            <w:gridSpan w:val="3"/>
            <w:tcBorders>
              <w:top w:val="single" w:sz="18" w:space="0" w:color="auto"/>
            </w:tcBorders>
          </w:tcPr>
          <w:p w14:paraId="0F0454CD"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Gboguhe</w:t>
            </w:r>
          </w:p>
        </w:tc>
        <w:tc>
          <w:tcPr>
            <w:tcW w:w="2859" w:type="dxa"/>
            <w:gridSpan w:val="2"/>
            <w:tcBorders>
              <w:top w:val="single" w:sz="18" w:space="0" w:color="auto"/>
            </w:tcBorders>
          </w:tcPr>
          <w:p w14:paraId="3435F319"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 - Bribouo</w:t>
            </w:r>
          </w:p>
        </w:tc>
        <w:tc>
          <w:tcPr>
            <w:tcW w:w="1874" w:type="dxa"/>
            <w:gridSpan w:val="2"/>
            <w:tcBorders>
              <w:top w:val="single" w:sz="18" w:space="0" w:color="auto"/>
            </w:tcBorders>
          </w:tcPr>
          <w:p w14:paraId="14BBC985"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8.65 ± 0.65ab</w:t>
            </w:r>
          </w:p>
        </w:tc>
        <w:tc>
          <w:tcPr>
            <w:tcW w:w="2358" w:type="dxa"/>
            <w:tcBorders>
              <w:top w:val="single" w:sz="18" w:space="0" w:color="auto"/>
            </w:tcBorders>
          </w:tcPr>
          <w:p w14:paraId="032EB914"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10.17±0.82abcdef</w:t>
            </w:r>
          </w:p>
        </w:tc>
      </w:tr>
      <w:tr w:rsidR="00674764" w:rsidRPr="00674764" w14:paraId="0D15C538" w14:textId="77777777" w:rsidTr="00F24187">
        <w:trPr>
          <w:gridAfter w:val="1"/>
          <w:wAfter w:w="10" w:type="dxa"/>
          <w:trHeight w:val="1197"/>
        </w:trPr>
        <w:tc>
          <w:tcPr>
            <w:tcW w:w="1971" w:type="dxa"/>
            <w:gridSpan w:val="3"/>
          </w:tcPr>
          <w:p w14:paraId="4A2B4E96"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Pr>
          <w:p w14:paraId="7A729E0A"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Digbapia Integrated Health Center Type 2</w:t>
            </w:r>
          </w:p>
          <w:p w14:paraId="1A25E5C3"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1874" w:type="dxa"/>
            <w:gridSpan w:val="2"/>
          </w:tcPr>
          <w:p w14:paraId="3AEC34B2"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8.03 ± 0.23ab</w:t>
            </w:r>
          </w:p>
          <w:p w14:paraId="12AE55C0" w14:textId="77777777" w:rsidR="00674764" w:rsidRPr="00674764" w:rsidRDefault="00674764" w:rsidP="00674764">
            <w:pPr>
              <w:spacing w:line="360" w:lineRule="auto"/>
              <w:jc w:val="both"/>
              <w:rPr>
                <w:rFonts w:ascii="Times New Roman" w:hAnsi="Times New Roman" w:cs="Times New Roman"/>
                <w:iCs/>
                <w:sz w:val="20"/>
                <w:szCs w:val="20"/>
              </w:rPr>
            </w:pPr>
          </w:p>
          <w:p w14:paraId="451C6C5C"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7.21 ± 0.66ab</w:t>
            </w:r>
          </w:p>
        </w:tc>
        <w:tc>
          <w:tcPr>
            <w:tcW w:w="2358" w:type="dxa"/>
          </w:tcPr>
          <w:p w14:paraId="6E75D571"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10.82 ± 0.97 abcdefg</w:t>
            </w:r>
          </w:p>
          <w:p w14:paraId="398A4FF4"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 xml:space="preserve">    </w:t>
            </w:r>
          </w:p>
          <w:p w14:paraId="0A2A1FE2"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11.5±2.5abcdefg</w:t>
            </w:r>
          </w:p>
        </w:tc>
      </w:tr>
      <w:tr w:rsidR="00674764" w:rsidRPr="00674764" w14:paraId="1962DE34" w14:textId="77777777" w:rsidTr="00F24187">
        <w:trPr>
          <w:gridAfter w:val="1"/>
          <w:wAfter w:w="10" w:type="dxa"/>
        </w:trPr>
        <w:tc>
          <w:tcPr>
            <w:tcW w:w="1971" w:type="dxa"/>
            <w:gridSpan w:val="3"/>
            <w:tcBorders>
              <w:top w:val="single" w:sz="18" w:space="0" w:color="auto"/>
            </w:tcBorders>
          </w:tcPr>
          <w:p w14:paraId="173BBDF4"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9" w:type="dxa"/>
            <w:gridSpan w:val="2"/>
            <w:tcBorders>
              <w:top w:val="single" w:sz="18" w:space="0" w:color="auto"/>
            </w:tcBorders>
          </w:tcPr>
          <w:p w14:paraId="69F2ED7D"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1874" w:type="dxa"/>
            <w:gridSpan w:val="2"/>
            <w:tcBorders>
              <w:top w:val="single" w:sz="18" w:space="0" w:color="auto"/>
            </w:tcBorders>
          </w:tcPr>
          <w:p w14:paraId="278DC8ED"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7.69 ± 1.16ab</w:t>
            </w:r>
          </w:p>
        </w:tc>
        <w:tc>
          <w:tcPr>
            <w:tcW w:w="2358" w:type="dxa"/>
            <w:tcBorders>
              <w:top w:val="single" w:sz="18" w:space="0" w:color="auto"/>
            </w:tcBorders>
          </w:tcPr>
          <w:p w14:paraId="0561F0E3"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7±0.29abc</w:t>
            </w:r>
          </w:p>
        </w:tc>
      </w:tr>
      <w:tr w:rsidR="00674764" w:rsidRPr="00674764" w14:paraId="14DAED78" w14:textId="77777777" w:rsidTr="00F24187">
        <w:trPr>
          <w:gridAfter w:val="1"/>
          <w:wAfter w:w="10" w:type="dxa"/>
        </w:trPr>
        <w:tc>
          <w:tcPr>
            <w:tcW w:w="1971" w:type="dxa"/>
            <w:gridSpan w:val="3"/>
          </w:tcPr>
          <w:p w14:paraId="00F32B0A"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Bediala</w:t>
            </w:r>
          </w:p>
        </w:tc>
        <w:tc>
          <w:tcPr>
            <w:tcW w:w="2859" w:type="dxa"/>
            <w:gridSpan w:val="2"/>
          </w:tcPr>
          <w:p w14:paraId="0BC6D050"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w:t>
            </w:r>
          </w:p>
        </w:tc>
        <w:tc>
          <w:tcPr>
            <w:tcW w:w="1874" w:type="dxa"/>
            <w:gridSpan w:val="2"/>
          </w:tcPr>
          <w:p w14:paraId="653250F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7.46 ± 0.98ab</w:t>
            </w:r>
          </w:p>
        </w:tc>
        <w:tc>
          <w:tcPr>
            <w:tcW w:w="2358" w:type="dxa"/>
          </w:tcPr>
          <w:p w14:paraId="56584EFC"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10.81 ± 4.43 abcdefg</w:t>
            </w:r>
          </w:p>
        </w:tc>
      </w:tr>
      <w:tr w:rsidR="00674764" w:rsidRPr="00674764" w14:paraId="2F87560D" w14:textId="77777777" w:rsidTr="00F24187">
        <w:trPr>
          <w:gridBefore w:val="1"/>
          <w:wBefore w:w="10" w:type="dxa"/>
        </w:trPr>
        <w:tc>
          <w:tcPr>
            <w:tcW w:w="1871" w:type="dxa"/>
            <w:tcBorders>
              <w:top w:val="single" w:sz="18" w:space="0" w:color="auto"/>
              <w:bottom w:val="single" w:sz="18" w:space="0" w:color="auto"/>
            </w:tcBorders>
          </w:tcPr>
          <w:p w14:paraId="2DD4D8D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Zaibo</w:t>
            </w:r>
          </w:p>
        </w:tc>
        <w:tc>
          <w:tcPr>
            <w:tcW w:w="2334" w:type="dxa"/>
            <w:gridSpan w:val="2"/>
            <w:tcBorders>
              <w:top w:val="single" w:sz="18" w:space="0" w:color="auto"/>
              <w:bottom w:val="single" w:sz="18" w:space="0" w:color="auto"/>
            </w:tcBorders>
          </w:tcPr>
          <w:p w14:paraId="59900F3E"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2331" w:type="dxa"/>
            <w:gridSpan w:val="2"/>
            <w:tcBorders>
              <w:top w:val="single" w:sz="18" w:space="0" w:color="auto"/>
              <w:bottom w:val="single" w:sz="18" w:space="0" w:color="auto"/>
            </w:tcBorders>
          </w:tcPr>
          <w:p w14:paraId="06A59485"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6.20 ± 0.4ab</w:t>
            </w:r>
          </w:p>
        </w:tc>
        <w:tc>
          <w:tcPr>
            <w:tcW w:w="2526" w:type="dxa"/>
            <w:gridSpan w:val="3"/>
            <w:tcBorders>
              <w:top w:val="single" w:sz="18" w:space="0" w:color="auto"/>
              <w:bottom w:val="single" w:sz="18" w:space="0" w:color="auto"/>
            </w:tcBorders>
          </w:tcPr>
          <w:p w14:paraId="193F6160"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11.22 ± 2.57 abcdefg</w:t>
            </w:r>
          </w:p>
        </w:tc>
      </w:tr>
      <w:tr w:rsidR="00674764" w:rsidRPr="00674764" w14:paraId="5CAE09D9" w14:textId="77777777" w:rsidTr="00F24187">
        <w:trPr>
          <w:gridBefore w:val="1"/>
          <w:wBefore w:w="10" w:type="dxa"/>
        </w:trPr>
        <w:tc>
          <w:tcPr>
            <w:tcW w:w="1871" w:type="dxa"/>
            <w:tcBorders>
              <w:top w:val="single" w:sz="18" w:space="0" w:color="auto"/>
              <w:bottom w:val="single" w:sz="18" w:space="0" w:color="auto"/>
            </w:tcBorders>
          </w:tcPr>
          <w:p w14:paraId="75FCF0B5"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Gadouan</w:t>
            </w:r>
          </w:p>
        </w:tc>
        <w:tc>
          <w:tcPr>
            <w:tcW w:w="2334" w:type="dxa"/>
            <w:gridSpan w:val="2"/>
            <w:tcBorders>
              <w:top w:val="single" w:sz="18" w:space="0" w:color="auto"/>
              <w:bottom w:val="single" w:sz="18" w:space="0" w:color="auto"/>
            </w:tcBorders>
          </w:tcPr>
          <w:p w14:paraId="03AB549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2331" w:type="dxa"/>
            <w:gridSpan w:val="2"/>
            <w:tcBorders>
              <w:top w:val="single" w:sz="18" w:space="0" w:color="auto"/>
              <w:bottom w:val="single" w:sz="18" w:space="0" w:color="auto"/>
            </w:tcBorders>
          </w:tcPr>
          <w:p w14:paraId="5ED973B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8.3±0.2ab</w:t>
            </w:r>
          </w:p>
        </w:tc>
        <w:tc>
          <w:tcPr>
            <w:tcW w:w="2526" w:type="dxa"/>
            <w:gridSpan w:val="3"/>
            <w:tcBorders>
              <w:top w:val="single" w:sz="18" w:space="0" w:color="auto"/>
              <w:bottom w:val="single" w:sz="18" w:space="0" w:color="auto"/>
            </w:tcBorders>
          </w:tcPr>
          <w:p w14:paraId="5739BA54"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11.85±0.95bcdef</w:t>
            </w:r>
          </w:p>
        </w:tc>
      </w:tr>
      <w:tr w:rsidR="00674764" w:rsidRPr="00674764" w14:paraId="70FB19E4" w14:textId="77777777" w:rsidTr="00F24187">
        <w:trPr>
          <w:gridBefore w:val="1"/>
          <w:wBefore w:w="10" w:type="dxa"/>
        </w:trPr>
        <w:tc>
          <w:tcPr>
            <w:tcW w:w="1871" w:type="dxa"/>
            <w:tcBorders>
              <w:top w:val="single" w:sz="18" w:space="0" w:color="auto"/>
            </w:tcBorders>
          </w:tcPr>
          <w:p w14:paraId="1BBCA1CD"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Gonate</w:t>
            </w:r>
          </w:p>
        </w:tc>
        <w:tc>
          <w:tcPr>
            <w:tcW w:w="2334" w:type="dxa"/>
            <w:gridSpan w:val="2"/>
            <w:tcBorders>
              <w:top w:val="single" w:sz="18" w:space="0" w:color="auto"/>
            </w:tcBorders>
          </w:tcPr>
          <w:p w14:paraId="2E97F264"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w:t>
            </w:r>
          </w:p>
        </w:tc>
        <w:tc>
          <w:tcPr>
            <w:tcW w:w="2331" w:type="dxa"/>
            <w:gridSpan w:val="2"/>
            <w:tcBorders>
              <w:top w:val="single" w:sz="18" w:space="0" w:color="auto"/>
            </w:tcBorders>
          </w:tcPr>
          <w:p w14:paraId="163AB3A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7.14±0.52ab</w:t>
            </w:r>
          </w:p>
        </w:tc>
        <w:tc>
          <w:tcPr>
            <w:tcW w:w="2526" w:type="dxa"/>
            <w:gridSpan w:val="3"/>
            <w:tcBorders>
              <w:top w:val="single" w:sz="18" w:space="0" w:color="auto"/>
            </w:tcBorders>
          </w:tcPr>
          <w:p w14:paraId="650AF8E3"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10.97±5.02abcdefg</w:t>
            </w:r>
          </w:p>
        </w:tc>
      </w:tr>
      <w:tr w:rsidR="00674764" w:rsidRPr="00674764" w14:paraId="40E821DE" w14:textId="77777777" w:rsidTr="00F24187">
        <w:trPr>
          <w:gridBefore w:val="1"/>
          <w:wBefore w:w="10" w:type="dxa"/>
        </w:trPr>
        <w:tc>
          <w:tcPr>
            <w:tcW w:w="1871" w:type="dxa"/>
            <w:tcBorders>
              <w:bottom w:val="single" w:sz="18" w:space="0" w:color="auto"/>
            </w:tcBorders>
          </w:tcPr>
          <w:p w14:paraId="6C1D4293" w14:textId="77777777" w:rsidR="00674764" w:rsidRPr="00674764" w:rsidRDefault="00674764" w:rsidP="00674764">
            <w:pPr>
              <w:spacing w:line="360" w:lineRule="auto"/>
              <w:jc w:val="both"/>
              <w:rPr>
                <w:rFonts w:ascii="Times New Roman" w:hAnsi="Times New Roman" w:cs="Times New Roman"/>
                <w:iCs/>
                <w:sz w:val="20"/>
                <w:szCs w:val="20"/>
              </w:rPr>
            </w:pPr>
          </w:p>
        </w:tc>
        <w:tc>
          <w:tcPr>
            <w:tcW w:w="2334" w:type="dxa"/>
            <w:gridSpan w:val="2"/>
            <w:tcBorders>
              <w:bottom w:val="single" w:sz="18" w:space="0" w:color="auto"/>
            </w:tcBorders>
          </w:tcPr>
          <w:p w14:paraId="3990004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Health Center</w:t>
            </w:r>
          </w:p>
        </w:tc>
        <w:tc>
          <w:tcPr>
            <w:tcW w:w="2331" w:type="dxa"/>
            <w:gridSpan w:val="2"/>
            <w:tcBorders>
              <w:bottom w:val="single" w:sz="18" w:space="0" w:color="auto"/>
            </w:tcBorders>
          </w:tcPr>
          <w:p w14:paraId="6466AB6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6.51 ± 1.48ab</w:t>
            </w:r>
          </w:p>
        </w:tc>
        <w:tc>
          <w:tcPr>
            <w:tcW w:w="2526" w:type="dxa"/>
            <w:gridSpan w:val="3"/>
            <w:tcBorders>
              <w:bottom w:val="single" w:sz="18" w:space="0" w:color="auto"/>
            </w:tcBorders>
          </w:tcPr>
          <w:p w14:paraId="51C9AC69"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11±1abcdefg</w:t>
            </w:r>
          </w:p>
        </w:tc>
      </w:tr>
    </w:tbl>
    <w:p w14:paraId="246826CE" w14:textId="77777777" w:rsidR="00674764" w:rsidRPr="00674764" w:rsidRDefault="00674764" w:rsidP="00674764">
      <w:pPr>
        <w:spacing w:after="0" w:line="360" w:lineRule="auto"/>
        <w:jc w:val="both"/>
        <w:rPr>
          <w:rFonts w:ascii="Times New Roman" w:hAnsi="Times New Roman" w:cs="Times New Roman"/>
          <w:sz w:val="24"/>
        </w:rPr>
      </w:pPr>
    </w:p>
    <w:p w14:paraId="4AA5688E" w14:textId="77777777" w:rsidR="00674764" w:rsidRPr="00674764" w:rsidRDefault="00674764" w:rsidP="00674764">
      <w:pPr>
        <w:numPr>
          <w:ilvl w:val="0"/>
          <w:numId w:val="7"/>
        </w:numPr>
        <w:spacing w:after="0" w:line="360" w:lineRule="auto"/>
        <w:contextualSpacing/>
        <w:jc w:val="both"/>
        <w:rPr>
          <w:rFonts w:ascii="Times New Roman" w:hAnsi="Times New Roman" w:cs="Times New Roman"/>
          <w:i/>
          <w:sz w:val="24"/>
        </w:rPr>
      </w:pPr>
      <w:r w:rsidRPr="00674764">
        <w:rPr>
          <w:rFonts w:ascii="Times New Roman" w:hAnsi="Times New Roman" w:cs="Times New Roman"/>
          <w:i/>
          <w:sz w:val="24"/>
        </w:rPr>
        <w:t>Gnamankoudji</w:t>
      </w:r>
    </w:p>
    <w:tbl>
      <w:tblPr>
        <w:tblStyle w:val="TableGrid"/>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857"/>
        <w:gridCol w:w="1873"/>
        <w:gridCol w:w="2358"/>
      </w:tblGrid>
      <w:tr w:rsidR="00674764" w:rsidRPr="00674764" w14:paraId="4D819EC6" w14:textId="77777777" w:rsidTr="00F24187">
        <w:tc>
          <w:tcPr>
            <w:tcW w:w="1975" w:type="dxa"/>
            <w:tcBorders>
              <w:top w:val="single" w:sz="18" w:space="0" w:color="auto"/>
              <w:bottom w:val="single" w:sz="18" w:space="0" w:color="auto"/>
            </w:tcBorders>
          </w:tcPr>
          <w:p w14:paraId="46A8E08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Study areas</w:t>
            </w:r>
          </w:p>
        </w:tc>
        <w:tc>
          <w:tcPr>
            <w:tcW w:w="2857" w:type="dxa"/>
            <w:tcBorders>
              <w:top w:val="single" w:sz="18" w:space="0" w:color="auto"/>
              <w:bottom w:val="single" w:sz="18" w:space="0" w:color="auto"/>
            </w:tcBorders>
          </w:tcPr>
          <w:p w14:paraId="57B9BBA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Sites</w:t>
            </w:r>
          </w:p>
        </w:tc>
        <w:tc>
          <w:tcPr>
            <w:tcW w:w="1873" w:type="dxa"/>
            <w:tcBorders>
              <w:top w:val="single" w:sz="18" w:space="0" w:color="auto"/>
              <w:bottom w:val="single" w:sz="18" w:space="0" w:color="auto"/>
            </w:tcBorders>
          </w:tcPr>
          <w:p w14:paraId="0B61137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pH</w:t>
            </w:r>
          </w:p>
        </w:tc>
        <w:tc>
          <w:tcPr>
            <w:tcW w:w="2358" w:type="dxa"/>
            <w:tcBorders>
              <w:top w:val="single" w:sz="18" w:space="0" w:color="auto"/>
              <w:bottom w:val="single" w:sz="18" w:space="0" w:color="auto"/>
            </w:tcBorders>
          </w:tcPr>
          <w:p w14:paraId="2634AA9A"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Brix degree</w:t>
            </w:r>
          </w:p>
        </w:tc>
      </w:tr>
      <w:tr w:rsidR="00674764" w:rsidRPr="00674764" w14:paraId="2E2BC68A" w14:textId="77777777" w:rsidTr="00F24187">
        <w:tc>
          <w:tcPr>
            <w:tcW w:w="1975" w:type="dxa"/>
            <w:tcBorders>
              <w:top w:val="single" w:sz="18" w:space="0" w:color="auto"/>
            </w:tcBorders>
          </w:tcPr>
          <w:p w14:paraId="00B5010D"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Borders>
              <w:top w:val="single" w:sz="18" w:space="0" w:color="auto"/>
            </w:tcBorders>
          </w:tcPr>
          <w:p w14:paraId="3AF61183"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Sanitary district</w:t>
            </w:r>
          </w:p>
        </w:tc>
        <w:tc>
          <w:tcPr>
            <w:tcW w:w="1873" w:type="dxa"/>
            <w:tcBorders>
              <w:top w:val="single" w:sz="18" w:space="0" w:color="auto"/>
            </w:tcBorders>
          </w:tcPr>
          <w:p w14:paraId="0D0A9481"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7.92 ± 0.07ab</w:t>
            </w:r>
          </w:p>
        </w:tc>
        <w:tc>
          <w:tcPr>
            <w:tcW w:w="2358" w:type="dxa"/>
            <w:tcBorders>
              <w:top w:val="single" w:sz="18" w:space="0" w:color="auto"/>
            </w:tcBorders>
          </w:tcPr>
          <w:p w14:paraId="69EFC37F"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7.42 ± 0.12 abcd</w:t>
            </w:r>
          </w:p>
        </w:tc>
      </w:tr>
      <w:tr w:rsidR="00674764" w:rsidRPr="00674764" w14:paraId="1BE71A85" w14:textId="77777777" w:rsidTr="00F24187">
        <w:tc>
          <w:tcPr>
            <w:tcW w:w="1975" w:type="dxa"/>
          </w:tcPr>
          <w:p w14:paraId="606C6915"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3A083960"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dispensary</w:t>
            </w:r>
          </w:p>
        </w:tc>
        <w:tc>
          <w:tcPr>
            <w:tcW w:w="1873" w:type="dxa"/>
          </w:tcPr>
          <w:p w14:paraId="688DDD2E"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8.54 ± 0.01ab</w:t>
            </w:r>
          </w:p>
        </w:tc>
        <w:tc>
          <w:tcPr>
            <w:tcW w:w="2358" w:type="dxa"/>
          </w:tcPr>
          <w:p w14:paraId="256B2E97"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10.25±0.25abcdef</w:t>
            </w:r>
          </w:p>
        </w:tc>
      </w:tr>
      <w:tr w:rsidR="00674764" w:rsidRPr="00674764" w14:paraId="0EE5657E" w14:textId="77777777" w:rsidTr="00F24187">
        <w:tc>
          <w:tcPr>
            <w:tcW w:w="1975" w:type="dxa"/>
          </w:tcPr>
          <w:p w14:paraId="0BF1149F"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3AB0C2FF"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Maternal and Child Protection</w:t>
            </w:r>
          </w:p>
        </w:tc>
        <w:tc>
          <w:tcPr>
            <w:tcW w:w="1873" w:type="dxa"/>
          </w:tcPr>
          <w:p w14:paraId="2A35830F"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7.99±0.01ab</w:t>
            </w:r>
          </w:p>
        </w:tc>
        <w:tc>
          <w:tcPr>
            <w:tcW w:w="2358" w:type="dxa"/>
          </w:tcPr>
          <w:p w14:paraId="61F1A8CB"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10.8±0.59abcdefg</w:t>
            </w:r>
          </w:p>
        </w:tc>
      </w:tr>
      <w:tr w:rsidR="00674764" w:rsidRPr="00674764" w14:paraId="16005008" w14:textId="77777777" w:rsidTr="00F24187">
        <w:tc>
          <w:tcPr>
            <w:tcW w:w="1975" w:type="dxa"/>
          </w:tcPr>
          <w:p w14:paraId="11733BEA"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0CCE28C6"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Civil Prison Infirmary</w:t>
            </w:r>
          </w:p>
        </w:tc>
        <w:tc>
          <w:tcPr>
            <w:tcW w:w="1873" w:type="dxa"/>
          </w:tcPr>
          <w:p w14:paraId="5BFEE036"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5.97±1.62a</w:t>
            </w:r>
          </w:p>
        </w:tc>
        <w:tc>
          <w:tcPr>
            <w:tcW w:w="2358" w:type="dxa"/>
          </w:tcPr>
          <w:p w14:paraId="5BEC5EDE"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8.87 ± 0.12 abcde</w:t>
            </w:r>
          </w:p>
        </w:tc>
      </w:tr>
      <w:tr w:rsidR="00674764" w:rsidRPr="00674764" w14:paraId="45616852" w14:textId="77777777" w:rsidTr="00F24187">
        <w:tc>
          <w:tcPr>
            <w:tcW w:w="1975" w:type="dxa"/>
          </w:tcPr>
          <w:p w14:paraId="250AED2B"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2F394F2F"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INHP Antenna</w:t>
            </w:r>
          </w:p>
        </w:tc>
        <w:tc>
          <w:tcPr>
            <w:tcW w:w="1873" w:type="dxa"/>
          </w:tcPr>
          <w:p w14:paraId="449F7945"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6.26 ± 2.4ab</w:t>
            </w:r>
          </w:p>
        </w:tc>
        <w:tc>
          <w:tcPr>
            <w:tcW w:w="2358" w:type="dxa"/>
          </w:tcPr>
          <w:p w14:paraId="34FC129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11±00abcdefg</w:t>
            </w:r>
          </w:p>
        </w:tc>
      </w:tr>
      <w:tr w:rsidR="00674764" w:rsidRPr="00674764" w14:paraId="3DDD940D" w14:textId="77777777" w:rsidTr="00F24187">
        <w:tc>
          <w:tcPr>
            <w:tcW w:w="1975" w:type="dxa"/>
          </w:tcPr>
          <w:p w14:paraId="44EBE03D"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280664D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School and University Health Service</w:t>
            </w:r>
          </w:p>
        </w:tc>
        <w:tc>
          <w:tcPr>
            <w:tcW w:w="1873" w:type="dxa"/>
          </w:tcPr>
          <w:p w14:paraId="18568BE8"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5.58±2.26a</w:t>
            </w:r>
          </w:p>
        </w:tc>
        <w:tc>
          <w:tcPr>
            <w:tcW w:w="2358" w:type="dxa"/>
          </w:tcPr>
          <w:p w14:paraId="4B41FEEC"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7.96±5.03abcde</w:t>
            </w:r>
          </w:p>
        </w:tc>
      </w:tr>
      <w:tr w:rsidR="00674764" w:rsidRPr="00674764" w14:paraId="3EA7FBEB" w14:textId="77777777" w:rsidTr="00F24187">
        <w:tc>
          <w:tcPr>
            <w:tcW w:w="1975" w:type="dxa"/>
          </w:tcPr>
          <w:p w14:paraId="78859B46"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38A2C37E"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Leprosarium</w:t>
            </w:r>
          </w:p>
        </w:tc>
        <w:tc>
          <w:tcPr>
            <w:tcW w:w="1873" w:type="dxa"/>
          </w:tcPr>
          <w:p w14:paraId="57328460"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5.84±2.43a</w:t>
            </w:r>
          </w:p>
        </w:tc>
        <w:tc>
          <w:tcPr>
            <w:tcW w:w="2358" w:type="dxa"/>
          </w:tcPr>
          <w:p w14:paraId="480D3B4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6.26 ± 0.73 abc</w:t>
            </w:r>
          </w:p>
        </w:tc>
      </w:tr>
      <w:tr w:rsidR="00674764" w:rsidRPr="00674764" w14:paraId="5A324FE5" w14:textId="77777777" w:rsidTr="00F24187">
        <w:tc>
          <w:tcPr>
            <w:tcW w:w="1975" w:type="dxa"/>
          </w:tcPr>
          <w:p w14:paraId="4D783A24"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185B53C4"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Regional Hospital Center</w:t>
            </w:r>
          </w:p>
        </w:tc>
        <w:tc>
          <w:tcPr>
            <w:tcW w:w="1873" w:type="dxa"/>
          </w:tcPr>
          <w:p w14:paraId="02A95422"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9.25 ± 0.75ab</w:t>
            </w:r>
          </w:p>
        </w:tc>
        <w:tc>
          <w:tcPr>
            <w:tcW w:w="2358" w:type="dxa"/>
          </w:tcPr>
          <w:p w14:paraId="350D4C3B"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12.05±0.05bcdefg</w:t>
            </w:r>
          </w:p>
        </w:tc>
      </w:tr>
      <w:tr w:rsidR="00674764" w:rsidRPr="00674764" w14:paraId="731E52D0" w14:textId="77777777" w:rsidTr="00F24187">
        <w:tc>
          <w:tcPr>
            <w:tcW w:w="1975" w:type="dxa"/>
          </w:tcPr>
          <w:p w14:paraId="572FFA94"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66ACD94E"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Antilope Clinic</w:t>
            </w:r>
          </w:p>
        </w:tc>
        <w:tc>
          <w:tcPr>
            <w:tcW w:w="1873" w:type="dxa"/>
          </w:tcPr>
          <w:p w14:paraId="10196180"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10.6±2.4b</w:t>
            </w:r>
          </w:p>
        </w:tc>
        <w:tc>
          <w:tcPr>
            <w:tcW w:w="2358" w:type="dxa"/>
          </w:tcPr>
          <w:p w14:paraId="38BE2F0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10.68±0.32abcdefg</w:t>
            </w:r>
          </w:p>
        </w:tc>
      </w:tr>
      <w:tr w:rsidR="00674764" w:rsidRPr="00674764" w14:paraId="545F69AD" w14:textId="77777777" w:rsidTr="00F24187">
        <w:tc>
          <w:tcPr>
            <w:tcW w:w="1975" w:type="dxa"/>
          </w:tcPr>
          <w:p w14:paraId="6D5BF5C3"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Daloa</w:t>
            </w:r>
          </w:p>
        </w:tc>
        <w:tc>
          <w:tcPr>
            <w:tcW w:w="2857" w:type="dxa"/>
          </w:tcPr>
          <w:p w14:paraId="7BF031F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Maternity Ward - Groguhe</w:t>
            </w:r>
          </w:p>
        </w:tc>
        <w:tc>
          <w:tcPr>
            <w:tcW w:w="1873" w:type="dxa"/>
          </w:tcPr>
          <w:p w14:paraId="48B917B6"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7.68 ± 1.32ab</w:t>
            </w:r>
          </w:p>
        </w:tc>
        <w:tc>
          <w:tcPr>
            <w:tcW w:w="2358" w:type="dxa"/>
          </w:tcPr>
          <w:p w14:paraId="7FCF724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9.92 ± 2.07 abcdef</w:t>
            </w:r>
          </w:p>
        </w:tc>
      </w:tr>
      <w:tr w:rsidR="00674764" w:rsidRPr="00674764" w14:paraId="7CAD8AC5" w14:textId="77777777" w:rsidTr="00F24187">
        <w:tc>
          <w:tcPr>
            <w:tcW w:w="1975" w:type="dxa"/>
          </w:tcPr>
          <w:p w14:paraId="6B65FD11"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42AA729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 - Zepreguhe</w:t>
            </w:r>
          </w:p>
        </w:tc>
        <w:tc>
          <w:tcPr>
            <w:tcW w:w="1873" w:type="dxa"/>
          </w:tcPr>
          <w:p w14:paraId="1FFB80D9"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7.39 ± 0.95ab</w:t>
            </w:r>
          </w:p>
        </w:tc>
        <w:tc>
          <w:tcPr>
            <w:tcW w:w="2358" w:type="dxa"/>
          </w:tcPr>
          <w:p w14:paraId="0E8AC4D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8.72 ± 5.47 abcdefg</w:t>
            </w:r>
          </w:p>
        </w:tc>
      </w:tr>
      <w:tr w:rsidR="00674764" w:rsidRPr="00674764" w14:paraId="4CB391C1" w14:textId="77777777" w:rsidTr="00F24187">
        <w:tc>
          <w:tcPr>
            <w:tcW w:w="1975" w:type="dxa"/>
          </w:tcPr>
          <w:p w14:paraId="28B1A9A5"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42C5DF01"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Zokoguhe Rural Health Center</w:t>
            </w:r>
          </w:p>
        </w:tc>
        <w:tc>
          <w:tcPr>
            <w:tcW w:w="1873" w:type="dxa"/>
          </w:tcPr>
          <w:p w14:paraId="3C090ED1"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6.85 ± 0.39ab</w:t>
            </w:r>
          </w:p>
        </w:tc>
        <w:tc>
          <w:tcPr>
            <w:tcW w:w="2358" w:type="dxa"/>
          </w:tcPr>
          <w:p w14:paraId="428A3F84"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10.9±2.35abcdefg</w:t>
            </w:r>
          </w:p>
        </w:tc>
      </w:tr>
      <w:tr w:rsidR="00674764" w:rsidRPr="00674764" w14:paraId="6F282FC0" w14:textId="77777777" w:rsidTr="00F24187">
        <w:tc>
          <w:tcPr>
            <w:tcW w:w="1975" w:type="dxa"/>
          </w:tcPr>
          <w:p w14:paraId="1FEB7B0C"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27DC3E59"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dispensary-Tagoura</w:t>
            </w:r>
          </w:p>
        </w:tc>
        <w:tc>
          <w:tcPr>
            <w:tcW w:w="1873" w:type="dxa"/>
          </w:tcPr>
          <w:p w14:paraId="47509EA5"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6.71 ± 0.21ab</w:t>
            </w:r>
          </w:p>
        </w:tc>
        <w:tc>
          <w:tcPr>
            <w:tcW w:w="2358" w:type="dxa"/>
          </w:tcPr>
          <w:p w14:paraId="7AE2F04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11±4abcdefg</w:t>
            </w:r>
          </w:p>
        </w:tc>
      </w:tr>
      <w:tr w:rsidR="00674764" w:rsidRPr="00674764" w14:paraId="24C02AA0" w14:textId="77777777" w:rsidTr="00F24187">
        <w:tc>
          <w:tcPr>
            <w:tcW w:w="1975" w:type="dxa"/>
          </w:tcPr>
          <w:p w14:paraId="73BCCADD"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2CBF72B4"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dispensary-Tahiraguhe</w:t>
            </w:r>
          </w:p>
        </w:tc>
        <w:tc>
          <w:tcPr>
            <w:tcW w:w="1873" w:type="dxa"/>
          </w:tcPr>
          <w:p w14:paraId="47A024F4"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6.91 ± 0.43ab</w:t>
            </w:r>
          </w:p>
        </w:tc>
        <w:tc>
          <w:tcPr>
            <w:tcW w:w="2358" w:type="dxa"/>
          </w:tcPr>
          <w:p w14:paraId="65B67C01"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14.02±1.47defg</w:t>
            </w:r>
          </w:p>
        </w:tc>
      </w:tr>
      <w:tr w:rsidR="00674764" w:rsidRPr="00674764" w14:paraId="2BECD6EC" w14:textId="77777777" w:rsidTr="00F24187">
        <w:tc>
          <w:tcPr>
            <w:tcW w:w="1975" w:type="dxa"/>
          </w:tcPr>
          <w:p w14:paraId="7B30040E"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7C18754F"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 - Niouboua</w:t>
            </w:r>
          </w:p>
        </w:tc>
        <w:tc>
          <w:tcPr>
            <w:tcW w:w="1873" w:type="dxa"/>
          </w:tcPr>
          <w:p w14:paraId="51594B0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6.57 ± 0.03ab</w:t>
            </w:r>
          </w:p>
        </w:tc>
        <w:tc>
          <w:tcPr>
            <w:tcW w:w="2358" w:type="dxa"/>
          </w:tcPr>
          <w:p w14:paraId="699FA0E8"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6.7 ± 0.6 abc</w:t>
            </w:r>
          </w:p>
        </w:tc>
      </w:tr>
      <w:tr w:rsidR="00674764" w:rsidRPr="00674764" w14:paraId="17713DBD" w14:textId="77777777" w:rsidTr="00F24187">
        <w:tc>
          <w:tcPr>
            <w:tcW w:w="1975" w:type="dxa"/>
          </w:tcPr>
          <w:p w14:paraId="37FDF221"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243EA006"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Dispensary-Seria</w:t>
            </w:r>
          </w:p>
        </w:tc>
        <w:tc>
          <w:tcPr>
            <w:tcW w:w="1873" w:type="dxa"/>
          </w:tcPr>
          <w:p w14:paraId="118DDD5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7.25 ± 0.05ab</w:t>
            </w:r>
          </w:p>
        </w:tc>
        <w:tc>
          <w:tcPr>
            <w:tcW w:w="2358" w:type="dxa"/>
          </w:tcPr>
          <w:p w14:paraId="0A707626"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14.5±0.5efg</w:t>
            </w:r>
          </w:p>
        </w:tc>
      </w:tr>
      <w:tr w:rsidR="00674764" w:rsidRPr="00674764" w14:paraId="3A16C55F" w14:textId="77777777" w:rsidTr="00F24187">
        <w:tc>
          <w:tcPr>
            <w:tcW w:w="1975" w:type="dxa"/>
          </w:tcPr>
          <w:p w14:paraId="6E5A3C65"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16CBEC80"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Medical and Social Center</w:t>
            </w:r>
          </w:p>
        </w:tc>
        <w:tc>
          <w:tcPr>
            <w:tcW w:w="1873" w:type="dxa"/>
            <w:vMerge w:val="restart"/>
          </w:tcPr>
          <w:p w14:paraId="283C9D14"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6.18±2.52a</w:t>
            </w:r>
          </w:p>
          <w:p w14:paraId="3862D30B"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7.92 ± 0.07ab</w:t>
            </w:r>
          </w:p>
        </w:tc>
        <w:tc>
          <w:tcPr>
            <w:tcW w:w="2358" w:type="dxa"/>
            <w:vMerge w:val="restart"/>
          </w:tcPr>
          <w:p w14:paraId="4247317A"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5.55 ± 3.15ab</w:t>
            </w:r>
          </w:p>
          <w:p w14:paraId="4041DF0D"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7.42 ± 0.12 abcd</w:t>
            </w:r>
          </w:p>
        </w:tc>
      </w:tr>
      <w:tr w:rsidR="00674764" w:rsidRPr="00674764" w14:paraId="1274520B" w14:textId="77777777" w:rsidTr="00F24187">
        <w:tc>
          <w:tcPr>
            <w:tcW w:w="1975" w:type="dxa"/>
          </w:tcPr>
          <w:p w14:paraId="169EAA93"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Pr>
          <w:p w14:paraId="600293CE"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1873" w:type="dxa"/>
            <w:vMerge/>
          </w:tcPr>
          <w:p w14:paraId="5DED2DD6"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p>
        </w:tc>
        <w:tc>
          <w:tcPr>
            <w:tcW w:w="2358" w:type="dxa"/>
            <w:vMerge/>
          </w:tcPr>
          <w:p w14:paraId="6F044913"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p>
        </w:tc>
      </w:tr>
      <w:tr w:rsidR="00674764" w:rsidRPr="00674764" w14:paraId="3E7E82CD" w14:textId="77777777" w:rsidTr="00F24187">
        <w:trPr>
          <w:trHeight w:val="597"/>
        </w:trPr>
        <w:tc>
          <w:tcPr>
            <w:tcW w:w="1975" w:type="dxa"/>
            <w:tcBorders>
              <w:bottom w:val="single" w:sz="18" w:space="0" w:color="auto"/>
            </w:tcBorders>
          </w:tcPr>
          <w:p w14:paraId="137C3874"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Borders>
              <w:bottom w:val="single" w:sz="18" w:space="0" w:color="auto"/>
            </w:tcBorders>
          </w:tcPr>
          <w:p w14:paraId="1F8E866C"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1873" w:type="dxa"/>
            <w:tcBorders>
              <w:bottom w:val="single" w:sz="18" w:space="0" w:color="auto"/>
            </w:tcBorders>
          </w:tcPr>
          <w:p w14:paraId="39C78D44"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6.94 ± 0.24ab</w:t>
            </w:r>
          </w:p>
        </w:tc>
        <w:tc>
          <w:tcPr>
            <w:tcW w:w="2358" w:type="dxa"/>
            <w:tcBorders>
              <w:bottom w:val="single" w:sz="18" w:space="0" w:color="auto"/>
            </w:tcBorders>
          </w:tcPr>
          <w:p w14:paraId="37832DBD" w14:textId="77777777" w:rsidR="00674764" w:rsidRPr="00674764" w:rsidRDefault="00674764" w:rsidP="00674764">
            <w:pPr>
              <w:spacing w:line="360" w:lineRule="auto"/>
              <w:jc w:val="both"/>
              <w:rPr>
                <w:rFonts w:ascii="Times New Roman" w:hAnsi="Times New Roman" w:cs="Times New Roman"/>
                <w:iCs/>
                <w:sz w:val="20"/>
                <w:szCs w:val="20"/>
                <w:vertAlign w:val="superscript"/>
              </w:rPr>
            </w:pPr>
            <w:r w:rsidRPr="00674764">
              <w:rPr>
                <w:rFonts w:ascii="Times New Roman" w:hAnsi="Times New Roman" w:cs="Times New Roman"/>
                <w:iCs/>
                <w:sz w:val="20"/>
                <w:szCs w:val="20"/>
              </w:rPr>
              <w:t>10.5±0.5abcdefg</w:t>
            </w:r>
          </w:p>
        </w:tc>
      </w:tr>
      <w:tr w:rsidR="00674764" w:rsidRPr="00674764" w14:paraId="312623F3" w14:textId="77777777" w:rsidTr="00F24187">
        <w:trPr>
          <w:trHeight w:val="597"/>
        </w:trPr>
        <w:tc>
          <w:tcPr>
            <w:tcW w:w="1975" w:type="dxa"/>
            <w:tcBorders>
              <w:top w:val="single" w:sz="18" w:space="0" w:color="auto"/>
            </w:tcBorders>
          </w:tcPr>
          <w:p w14:paraId="166CD5D5"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Gboguhe</w:t>
            </w:r>
          </w:p>
        </w:tc>
        <w:tc>
          <w:tcPr>
            <w:tcW w:w="2857" w:type="dxa"/>
            <w:tcBorders>
              <w:top w:val="single" w:sz="18" w:space="0" w:color="auto"/>
            </w:tcBorders>
          </w:tcPr>
          <w:p w14:paraId="6853FA4F"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 - Bribouo</w:t>
            </w:r>
          </w:p>
        </w:tc>
        <w:tc>
          <w:tcPr>
            <w:tcW w:w="1873" w:type="dxa"/>
            <w:tcBorders>
              <w:top w:val="single" w:sz="18" w:space="0" w:color="auto"/>
            </w:tcBorders>
          </w:tcPr>
          <w:p w14:paraId="78B68FCC"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6.3±0.4ab</w:t>
            </w:r>
          </w:p>
        </w:tc>
        <w:tc>
          <w:tcPr>
            <w:tcW w:w="2358" w:type="dxa"/>
            <w:tcBorders>
              <w:top w:val="single" w:sz="18" w:space="0" w:color="auto"/>
            </w:tcBorders>
          </w:tcPr>
          <w:p w14:paraId="0EB782E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10±2abcdef</w:t>
            </w:r>
          </w:p>
        </w:tc>
      </w:tr>
      <w:tr w:rsidR="00674764" w:rsidRPr="00674764" w14:paraId="206E4B19" w14:textId="77777777" w:rsidTr="00F24187">
        <w:trPr>
          <w:trHeight w:val="597"/>
        </w:trPr>
        <w:tc>
          <w:tcPr>
            <w:tcW w:w="1975" w:type="dxa"/>
            <w:tcBorders>
              <w:bottom w:val="single" w:sz="18" w:space="0" w:color="auto"/>
            </w:tcBorders>
          </w:tcPr>
          <w:p w14:paraId="1F3DEC0F"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Borders>
              <w:bottom w:val="single" w:sz="18" w:space="0" w:color="auto"/>
            </w:tcBorders>
          </w:tcPr>
          <w:p w14:paraId="2595B991"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Digbapia Integrated Health Center Type 2</w:t>
            </w:r>
          </w:p>
        </w:tc>
        <w:tc>
          <w:tcPr>
            <w:tcW w:w="1873" w:type="dxa"/>
            <w:tcBorders>
              <w:bottom w:val="single" w:sz="18" w:space="0" w:color="auto"/>
            </w:tcBorders>
          </w:tcPr>
          <w:p w14:paraId="7BFCB96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8.35 ± 0.65ab</w:t>
            </w:r>
          </w:p>
        </w:tc>
        <w:tc>
          <w:tcPr>
            <w:tcW w:w="2358" w:type="dxa"/>
            <w:tcBorders>
              <w:bottom w:val="single" w:sz="18" w:space="0" w:color="auto"/>
            </w:tcBorders>
          </w:tcPr>
          <w:p w14:paraId="29619A6F"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11.4±1.4abcdefg</w:t>
            </w:r>
          </w:p>
        </w:tc>
      </w:tr>
      <w:tr w:rsidR="00674764" w:rsidRPr="00674764" w14:paraId="420381EF" w14:textId="77777777" w:rsidTr="00F24187">
        <w:trPr>
          <w:trHeight w:val="597"/>
        </w:trPr>
        <w:tc>
          <w:tcPr>
            <w:tcW w:w="1975" w:type="dxa"/>
            <w:tcBorders>
              <w:top w:val="single" w:sz="18" w:space="0" w:color="auto"/>
            </w:tcBorders>
          </w:tcPr>
          <w:p w14:paraId="4243CF74"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Bediala</w:t>
            </w:r>
          </w:p>
        </w:tc>
        <w:tc>
          <w:tcPr>
            <w:tcW w:w="2857" w:type="dxa"/>
            <w:tcBorders>
              <w:top w:val="single" w:sz="18" w:space="0" w:color="auto"/>
            </w:tcBorders>
          </w:tcPr>
          <w:p w14:paraId="3E7A7905"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1873" w:type="dxa"/>
            <w:tcBorders>
              <w:top w:val="single" w:sz="18" w:space="0" w:color="auto"/>
            </w:tcBorders>
          </w:tcPr>
          <w:p w14:paraId="7B819386"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6.62 ± 0.28ab</w:t>
            </w:r>
          </w:p>
        </w:tc>
        <w:tc>
          <w:tcPr>
            <w:tcW w:w="2358" w:type="dxa"/>
            <w:tcBorders>
              <w:top w:val="single" w:sz="18" w:space="0" w:color="auto"/>
            </w:tcBorders>
          </w:tcPr>
          <w:p w14:paraId="35056C4C"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8.26±1.73abcde</w:t>
            </w:r>
          </w:p>
          <w:p w14:paraId="2C1879C0" w14:textId="77777777" w:rsidR="00674764" w:rsidRPr="00674764" w:rsidRDefault="00674764" w:rsidP="00674764">
            <w:pPr>
              <w:spacing w:line="360" w:lineRule="auto"/>
              <w:jc w:val="both"/>
              <w:rPr>
                <w:rFonts w:ascii="Times New Roman" w:hAnsi="Times New Roman" w:cs="Times New Roman"/>
                <w:iCs/>
                <w:sz w:val="20"/>
                <w:szCs w:val="20"/>
              </w:rPr>
            </w:pPr>
          </w:p>
        </w:tc>
      </w:tr>
      <w:tr w:rsidR="00674764" w:rsidRPr="00674764" w14:paraId="05F65519" w14:textId="77777777" w:rsidTr="00F24187">
        <w:trPr>
          <w:trHeight w:val="597"/>
        </w:trPr>
        <w:tc>
          <w:tcPr>
            <w:tcW w:w="1975" w:type="dxa"/>
            <w:tcBorders>
              <w:bottom w:val="single" w:sz="18" w:space="0" w:color="auto"/>
            </w:tcBorders>
          </w:tcPr>
          <w:p w14:paraId="1B9C76BB"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Borders>
              <w:bottom w:val="single" w:sz="18" w:space="0" w:color="auto"/>
            </w:tcBorders>
          </w:tcPr>
          <w:p w14:paraId="5C83B3A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w:t>
            </w:r>
          </w:p>
        </w:tc>
        <w:tc>
          <w:tcPr>
            <w:tcW w:w="1873" w:type="dxa"/>
            <w:tcBorders>
              <w:bottom w:val="single" w:sz="18" w:space="0" w:color="auto"/>
            </w:tcBorders>
          </w:tcPr>
          <w:p w14:paraId="43901810"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6.43 ± 0.11ab</w:t>
            </w:r>
          </w:p>
        </w:tc>
        <w:tc>
          <w:tcPr>
            <w:tcW w:w="2358" w:type="dxa"/>
            <w:tcBorders>
              <w:bottom w:val="single" w:sz="18" w:space="0" w:color="auto"/>
            </w:tcBorders>
          </w:tcPr>
          <w:p w14:paraId="09F7E419"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8.1±1.3abcde</w:t>
            </w:r>
          </w:p>
        </w:tc>
      </w:tr>
      <w:tr w:rsidR="00674764" w:rsidRPr="00674764" w14:paraId="5FDCFF3D" w14:textId="77777777" w:rsidTr="00F24187">
        <w:trPr>
          <w:trHeight w:val="597"/>
        </w:trPr>
        <w:tc>
          <w:tcPr>
            <w:tcW w:w="1975" w:type="dxa"/>
            <w:tcBorders>
              <w:top w:val="single" w:sz="18" w:space="0" w:color="auto"/>
              <w:bottom w:val="single" w:sz="18" w:space="0" w:color="auto"/>
            </w:tcBorders>
          </w:tcPr>
          <w:p w14:paraId="562B548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Zaibo</w:t>
            </w:r>
          </w:p>
        </w:tc>
        <w:tc>
          <w:tcPr>
            <w:tcW w:w="2857" w:type="dxa"/>
            <w:tcBorders>
              <w:top w:val="single" w:sz="18" w:space="0" w:color="auto"/>
              <w:bottom w:val="single" w:sz="18" w:space="0" w:color="auto"/>
            </w:tcBorders>
          </w:tcPr>
          <w:p w14:paraId="5756C4F0"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1873" w:type="dxa"/>
            <w:tcBorders>
              <w:top w:val="single" w:sz="18" w:space="0" w:color="auto"/>
              <w:bottom w:val="single" w:sz="18" w:space="0" w:color="auto"/>
            </w:tcBorders>
          </w:tcPr>
          <w:p w14:paraId="36CE1BB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7.87 ± 0.83ab</w:t>
            </w:r>
          </w:p>
        </w:tc>
        <w:tc>
          <w:tcPr>
            <w:tcW w:w="2358" w:type="dxa"/>
            <w:tcBorders>
              <w:top w:val="single" w:sz="18" w:space="0" w:color="auto"/>
              <w:bottom w:val="single" w:sz="18" w:space="0" w:color="auto"/>
            </w:tcBorders>
          </w:tcPr>
          <w:p w14:paraId="1C0AA80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16.37±1.52fg</w:t>
            </w:r>
          </w:p>
        </w:tc>
      </w:tr>
      <w:tr w:rsidR="00674764" w:rsidRPr="00674764" w14:paraId="66716BAE" w14:textId="77777777" w:rsidTr="00F24187">
        <w:trPr>
          <w:trHeight w:val="597"/>
        </w:trPr>
        <w:tc>
          <w:tcPr>
            <w:tcW w:w="1975" w:type="dxa"/>
            <w:tcBorders>
              <w:top w:val="single" w:sz="18" w:space="0" w:color="auto"/>
              <w:bottom w:val="single" w:sz="18" w:space="0" w:color="auto"/>
            </w:tcBorders>
          </w:tcPr>
          <w:p w14:paraId="3C38BA2D"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Gadouan</w:t>
            </w:r>
          </w:p>
        </w:tc>
        <w:tc>
          <w:tcPr>
            <w:tcW w:w="2857" w:type="dxa"/>
            <w:tcBorders>
              <w:top w:val="single" w:sz="18" w:space="0" w:color="auto"/>
              <w:bottom w:val="single" w:sz="18" w:space="0" w:color="auto"/>
            </w:tcBorders>
          </w:tcPr>
          <w:p w14:paraId="674B233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Urban health center</w:t>
            </w:r>
          </w:p>
        </w:tc>
        <w:tc>
          <w:tcPr>
            <w:tcW w:w="1873" w:type="dxa"/>
            <w:tcBorders>
              <w:top w:val="single" w:sz="18" w:space="0" w:color="auto"/>
              <w:bottom w:val="single" w:sz="18" w:space="0" w:color="auto"/>
            </w:tcBorders>
          </w:tcPr>
          <w:p w14:paraId="4892F123"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5.9 ± 0.9a</w:t>
            </w:r>
          </w:p>
        </w:tc>
        <w:tc>
          <w:tcPr>
            <w:tcW w:w="2358" w:type="dxa"/>
            <w:tcBorders>
              <w:top w:val="single" w:sz="18" w:space="0" w:color="auto"/>
              <w:bottom w:val="single" w:sz="18" w:space="0" w:color="auto"/>
            </w:tcBorders>
          </w:tcPr>
          <w:p w14:paraId="4839A4BB"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11.45 ± 0.45 abcdefg</w:t>
            </w:r>
          </w:p>
        </w:tc>
      </w:tr>
      <w:tr w:rsidR="00674764" w:rsidRPr="00674764" w14:paraId="70D95169" w14:textId="77777777" w:rsidTr="00F24187">
        <w:trPr>
          <w:trHeight w:val="597"/>
        </w:trPr>
        <w:tc>
          <w:tcPr>
            <w:tcW w:w="1975" w:type="dxa"/>
            <w:tcBorders>
              <w:top w:val="single" w:sz="18" w:space="0" w:color="auto"/>
            </w:tcBorders>
          </w:tcPr>
          <w:p w14:paraId="283CD292"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Gonate</w:t>
            </w:r>
          </w:p>
        </w:tc>
        <w:tc>
          <w:tcPr>
            <w:tcW w:w="2857" w:type="dxa"/>
            <w:tcBorders>
              <w:top w:val="single" w:sz="18" w:space="0" w:color="auto"/>
            </w:tcBorders>
          </w:tcPr>
          <w:p w14:paraId="4066F525"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dispensary</w:t>
            </w:r>
          </w:p>
        </w:tc>
        <w:tc>
          <w:tcPr>
            <w:tcW w:w="1873" w:type="dxa"/>
            <w:tcBorders>
              <w:top w:val="single" w:sz="18" w:space="0" w:color="auto"/>
            </w:tcBorders>
          </w:tcPr>
          <w:p w14:paraId="48D75891"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6.97±0.5ab</w:t>
            </w:r>
          </w:p>
        </w:tc>
        <w:tc>
          <w:tcPr>
            <w:tcW w:w="2358" w:type="dxa"/>
            <w:tcBorders>
              <w:top w:val="single" w:sz="18" w:space="0" w:color="auto"/>
            </w:tcBorders>
          </w:tcPr>
          <w:p w14:paraId="086DA180"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12.12 ± 0.12 bcdefg</w:t>
            </w:r>
          </w:p>
        </w:tc>
      </w:tr>
      <w:tr w:rsidR="00674764" w:rsidRPr="00674764" w14:paraId="53437C96" w14:textId="77777777" w:rsidTr="00F24187">
        <w:trPr>
          <w:trHeight w:val="597"/>
        </w:trPr>
        <w:tc>
          <w:tcPr>
            <w:tcW w:w="1975" w:type="dxa"/>
            <w:tcBorders>
              <w:bottom w:val="single" w:sz="18" w:space="0" w:color="auto"/>
            </w:tcBorders>
          </w:tcPr>
          <w:p w14:paraId="5C1525E6" w14:textId="77777777" w:rsidR="00674764" w:rsidRPr="00674764" w:rsidRDefault="00674764" w:rsidP="00674764">
            <w:pPr>
              <w:spacing w:line="360" w:lineRule="auto"/>
              <w:jc w:val="both"/>
              <w:rPr>
                <w:rFonts w:ascii="Times New Roman" w:hAnsi="Times New Roman" w:cs="Times New Roman"/>
                <w:iCs/>
                <w:sz w:val="20"/>
                <w:szCs w:val="20"/>
              </w:rPr>
            </w:pPr>
          </w:p>
        </w:tc>
        <w:tc>
          <w:tcPr>
            <w:tcW w:w="2857" w:type="dxa"/>
            <w:tcBorders>
              <w:bottom w:val="single" w:sz="18" w:space="0" w:color="auto"/>
            </w:tcBorders>
          </w:tcPr>
          <w:p w14:paraId="325BD30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Rural Health Center</w:t>
            </w:r>
          </w:p>
        </w:tc>
        <w:tc>
          <w:tcPr>
            <w:tcW w:w="1873" w:type="dxa"/>
            <w:tcBorders>
              <w:bottom w:val="single" w:sz="18" w:space="0" w:color="auto"/>
            </w:tcBorders>
          </w:tcPr>
          <w:p w14:paraId="07BB91A8"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7.31 ± 1.31ab</w:t>
            </w:r>
          </w:p>
        </w:tc>
        <w:tc>
          <w:tcPr>
            <w:tcW w:w="2358" w:type="dxa"/>
            <w:tcBorders>
              <w:bottom w:val="single" w:sz="18" w:space="0" w:color="auto"/>
            </w:tcBorders>
          </w:tcPr>
          <w:p w14:paraId="41CF92E7" w14:textId="77777777" w:rsidR="00674764" w:rsidRPr="00674764" w:rsidRDefault="00674764" w:rsidP="00674764">
            <w:pPr>
              <w:spacing w:line="360" w:lineRule="auto"/>
              <w:jc w:val="both"/>
              <w:rPr>
                <w:rFonts w:ascii="Times New Roman" w:hAnsi="Times New Roman" w:cs="Times New Roman"/>
                <w:iCs/>
                <w:sz w:val="20"/>
                <w:szCs w:val="20"/>
              </w:rPr>
            </w:pPr>
            <w:r w:rsidRPr="00674764">
              <w:rPr>
                <w:rFonts w:ascii="Times New Roman" w:hAnsi="Times New Roman" w:cs="Times New Roman"/>
                <w:iCs/>
                <w:sz w:val="20"/>
                <w:szCs w:val="20"/>
              </w:rPr>
              <w:t>13±2cdefg</w:t>
            </w:r>
          </w:p>
        </w:tc>
      </w:tr>
    </w:tbl>
    <w:p w14:paraId="5F0F6A12" w14:textId="77777777" w:rsidR="00674764" w:rsidRPr="00674764" w:rsidRDefault="00674764" w:rsidP="00674764">
      <w:pPr>
        <w:spacing w:line="240" w:lineRule="auto"/>
        <w:jc w:val="both"/>
        <w:rPr>
          <w:rFonts w:ascii="Times New Roman" w:hAnsi="Times New Roman" w:cs="Times New Roman"/>
          <w:sz w:val="20"/>
        </w:rPr>
      </w:pPr>
      <w:proofErr w:type="gramStart"/>
      <w:r w:rsidRPr="00674764">
        <w:rPr>
          <w:rFonts w:ascii="Times New Roman" w:hAnsi="Times New Roman" w:cs="Times New Roman"/>
          <w:sz w:val="20"/>
        </w:rPr>
        <w:t>pH:</w:t>
      </w:r>
      <w:proofErr w:type="gramEnd"/>
      <w:r w:rsidRPr="00674764">
        <w:rPr>
          <w:rFonts w:ascii="Times New Roman" w:hAnsi="Times New Roman" w:cs="Times New Roman"/>
          <w:sz w:val="20"/>
        </w:rPr>
        <w:t xml:space="preserve"> potential of hydrogen</w:t>
      </w:r>
    </w:p>
    <w:p w14:paraId="6D651DBC" w14:textId="77777777" w:rsidR="00674764" w:rsidRPr="00674764" w:rsidRDefault="00674764" w:rsidP="00674764">
      <w:pPr>
        <w:spacing w:line="240" w:lineRule="auto"/>
        <w:jc w:val="both"/>
        <w:rPr>
          <w:rFonts w:ascii="Times New Roman" w:hAnsi="Times New Roman" w:cs="Times New Roman"/>
          <w:sz w:val="20"/>
        </w:rPr>
      </w:pPr>
      <w:r w:rsidRPr="00674764">
        <w:rPr>
          <w:rFonts w:ascii="Times New Roman" w:hAnsi="Times New Roman" w:cs="Times New Roman"/>
          <w:sz w:val="20"/>
        </w:rPr>
        <w:t>In the columns, the values ​​assigned to the same letter are not significantly different from (P&gt;0.05).</w:t>
      </w:r>
    </w:p>
    <w:p w14:paraId="5B32B666" w14:textId="77777777" w:rsidR="00674764" w:rsidRDefault="00674764" w:rsidP="00674764">
      <w:pPr>
        <w:spacing w:line="360" w:lineRule="auto"/>
        <w:jc w:val="both"/>
        <w:rPr>
          <w:rFonts w:ascii="Times New Roman" w:hAnsi="Times New Roman" w:cs="Times New Roman"/>
          <w:sz w:val="24"/>
        </w:rPr>
      </w:pPr>
    </w:p>
    <w:p w14:paraId="438C3FB2" w14:textId="77777777" w:rsidR="00674764" w:rsidRDefault="00674764" w:rsidP="00674764">
      <w:pPr>
        <w:spacing w:line="360" w:lineRule="auto"/>
        <w:jc w:val="both"/>
        <w:rPr>
          <w:rFonts w:ascii="Times New Roman" w:hAnsi="Times New Roman" w:cs="Times New Roman"/>
          <w:sz w:val="24"/>
        </w:rPr>
      </w:pPr>
    </w:p>
    <w:p w14:paraId="767464EE" w14:textId="77777777" w:rsidR="00674764" w:rsidRPr="00674764" w:rsidRDefault="00674764" w:rsidP="00674764">
      <w:pPr>
        <w:spacing w:line="360" w:lineRule="auto"/>
        <w:jc w:val="both"/>
        <w:rPr>
          <w:rFonts w:ascii="Times New Roman" w:hAnsi="Times New Roman" w:cs="Times New Roman"/>
          <w:sz w:val="24"/>
        </w:rPr>
      </w:pPr>
    </w:p>
    <w:p w14:paraId="6A50F36C" w14:textId="77777777" w:rsidR="00674764" w:rsidRPr="00674764" w:rsidRDefault="00674764" w:rsidP="00674764">
      <w:pPr>
        <w:numPr>
          <w:ilvl w:val="1"/>
          <w:numId w:val="4"/>
        </w:numPr>
        <w:spacing w:line="360" w:lineRule="auto"/>
        <w:contextualSpacing/>
        <w:jc w:val="both"/>
        <w:rPr>
          <w:rFonts w:ascii="Times New Roman" w:hAnsi="Times New Roman" w:cs="Times New Roman"/>
          <w:b/>
          <w:sz w:val="24"/>
        </w:rPr>
      </w:pPr>
      <w:r w:rsidRPr="00674764">
        <w:rPr>
          <w:rFonts w:ascii="Times New Roman" w:hAnsi="Times New Roman" w:cs="Times New Roman"/>
          <w:b/>
          <w:sz w:val="24"/>
        </w:rPr>
        <w:lastRenderedPageBreak/>
        <w:t>Microbiological analyses</w:t>
      </w:r>
    </w:p>
    <w:p w14:paraId="3E9764E7"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Microbiological analysis revealed distinct contamination profiles between the two beverages and the six zones. Bissap showed its highest microbial load of mesophilic aerobic bacteria in Zaibo (12,570 CFU/mL), while Gnamankoudji showed its highest concentrations of psychrophilic aerobic bacteria in Bediala (8,478 CFU/mL) and yeasts/molds in Gboguhe (1,150 CFU/mL). Fecal contamination was generally more pronounced in Gnamankoudji, with significantly higher values ​​of thermotolerant coliforms (539 CFU/mL in Gadouan) and enterobacteria (4,278 CFU/mL in Gadouan). In contrast, Bissap showed more limited fecal contamination, mainly localized in Daloa. Analysis revealed a scattered presence of Bacillus cereus at some study sites, with a distinct distribution in Bissap and Gnamankoudji. In contrast, Listeria monocytogenes showed much more widespread contamination, being detected in the majority of study sites. Its presence was frequently observed in both types of beverages, although some sites showed contamination specific to Bissap or Gnamankoudji. Only a few isolated sites, notably the INHP ​​branch and the Daloa Regional Hospital Center, as well as the Seria Rural Dispensary, showed a complete absence of Listeria monocytogenes.</w:t>
      </w:r>
    </w:p>
    <w:p w14:paraId="5106D69F"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A Principal Component Analysis (PCA) was performed on the sample and microorganism data. Figure 3 shows the first axis, explaining 37.69% of the variation; this axis is related to enterobacteria and coliforms. The second axis, which explains 18.62%, is associated with aerobic bacteria, fecal streptococci, and yeasts. The Gnamankoudji from Daloa (677G) presents a unique profile. The classification of the samples formed two main groups: one group with high contamination by enterobacteria and coliforms, and another with low levels of these bacteria as well as streptococci (Figure 4). Some beverages have similar microbiological profiles, while others show atypical contamination; several samples played a decisive role in structuring the results (Figure 5).</w:t>
      </w:r>
    </w:p>
    <w:p w14:paraId="0E647066" w14:textId="6DFA2058" w:rsidR="00674764" w:rsidRPr="00674764" w:rsidRDefault="00674764" w:rsidP="00674764">
      <w:pPr>
        <w:spacing w:line="360" w:lineRule="auto"/>
        <w:jc w:val="both"/>
        <w:rPr>
          <w:rFonts w:ascii="Times New Roman" w:hAnsi="Times New Roman" w:cs="Times New Roman"/>
          <w:iCs/>
          <w:sz w:val="24"/>
        </w:rPr>
      </w:pPr>
      <w:bookmarkStart w:id="6" w:name="_Toc209197275"/>
      <w:bookmarkStart w:id="7" w:name="_Toc218542008"/>
      <w:r>
        <w:rPr>
          <w:rFonts w:ascii="Times New Roman" w:hAnsi="Times New Roman" w:cs="Times New Roman"/>
          <w:iCs/>
          <w:sz w:val="24"/>
        </w:rPr>
        <w:t xml:space="preserve">Table </w:t>
      </w:r>
      <w:r w:rsidRPr="00674764">
        <w:rPr>
          <w:rFonts w:ascii="Times New Roman" w:hAnsi="Times New Roman" w:cs="Times New Roman"/>
          <w:iCs/>
          <w:sz w:val="24"/>
        </w:rPr>
        <w:fldChar w:fldCharType="begin"/>
      </w:r>
      <w:r w:rsidRPr="00674764">
        <w:rPr>
          <w:rFonts w:ascii="Times New Roman" w:hAnsi="Times New Roman" w:cs="Times New Roman"/>
          <w:iCs/>
          <w:sz w:val="24"/>
        </w:rPr>
        <w:instrText xml:space="preserve"> SEQ Tableau \* ROMAN </w:instrText>
      </w:r>
      <w:r w:rsidRPr="00674764">
        <w:rPr>
          <w:rFonts w:ascii="Times New Roman" w:hAnsi="Times New Roman" w:cs="Times New Roman"/>
          <w:iCs/>
          <w:sz w:val="24"/>
        </w:rPr>
        <w:fldChar w:fldCharType="separate"/>
      </w:r>
      <w:r w:rsidRPr="00674764">
        <w:rPr>
          <w:rFonts w:ascii="Times New Roman" w:hAnsi="Times New Roman" w:cs="Times New Roman"/>
          <w:iCs/>
          <w:noProof/>
          <w:sz w:val="24"/>
        </w:rPr>
        <w:t>I</w:t>
      </w:r>
      <w:r w:rsidRPr="00674764">
        <w:rPr>
          <w:rFonts w:ascii="Times New Roman" w:hAnsi="Times New Roman" w:cs="Times New Roman"/>
          <w:sz w:val="24"/>
        </w:rPr>
        <w:fldChar w:fldCharType="end"/>
      </w:r>
      <w:r w:rsidR="00D01468">
        <w:rPr>
          <w:rFonts w:ascii="Times New Roman" w:hAnsi="Times New Roman" w:cs="Times New Roman"/>
          <w:sz w:val="24"/>
        </w:rPr>
        <w:t>I</w:t>
      </w:r>
      <w:r>
        <w:rPr>
          <w:rFonts w:ascii="Times New Roman" w:hAnsi="Times New Roman" w:cs="Times New Roman"/>
          <w:sz w:val="24"/>
        </w:rPr>
        <w:t xml:space="preserve"> : </w:t>
      </w:r>
      <w:r w:rsidRPr="00674764">
        <w:rPr>
          <w:rFonts w:ascii="Times New Roman" w:hAnsi="Times New Roman" w:cs="Times New Roman"/>
          <w:iCs/>
          <w:sz w:val="24"/>
        </w:rPr>
        <w:t>Average loads of germs counted in non-alcoholic artisanal beverages</w:t>
      </w:r>
      <w:bookmarkEnd w:id="6"/>
      <w:bookmarkEnd w:id="7"/>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000"/>
        <w:gridCol w:w="1031"/>
        <w:gridCol w:w="1088"/>
        <w:gridCol w:w="992"/>
        <w:gridCol w:w="992"/>
        <w:gridCol w:w="977"/>
        <w:gridCol w:w="1008"/>
        <w:gridCol w:w="992"/>
      </w:tblGrid>
      <w:tr w:rsidR="00674764" w:rsidRPr="00674764" w14:paraId="5C3CDB64" w14:textId="77777777" w:rsidTr="00F24187">
        <w:trPr>
          <w:trHeight w:val="480"/>
        </w:trPr>
        <w:tc>
          <w:tcPr>
            <w:tcW w:w="1134" w:type="dxa"/>
            <w:tcBorders>
              <w:top w:val="single" w:sz="4" w:space="0" w:color="auto"/>
              <w:bottom w:val="single" w:sz="4" w:space="0" w:color="auto"/>
            </w:tcBorders>
            <w:hideMark/>
          </w:tcPr>
          <w:p w14:paraId="3E38BC57"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Study area</w:t>
            </w:r>
          </w:p>
        </w:tc>
        <w:tc>
          <w:tcPr>
            <w:tcW w:w="1000" w:type="dxa"/>
            <w:tcBorders>
              <w:top w:val="single" w:sz="4" w:space="0" w:color="auto"/>
              <w:bottom w:val="single" w:sz="4" w:space="0" w:color="auto"/>
            </w:tcBorders>
            <w:hideMark/>
          </w:tcPr>
          <w:p w14:paraId="219E33CB"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GAM (UFC/mL)</w:t>
            </w:r>
          </w:p>
        </w:tc>
        <w:tc>
          <w:tcPr>
            <w:tcW w:w="1031" w:type="dxa"/>
            <w:tcBorders>
              <w:top w:val="single" w:sz="4" w:space="0" w:color="auto"/>
              <w:bottom w:val="single" w:sz="4" w:space="0" w:color="auto"/>
            </w:tcBorders>
            <w:hideMark/>
          </w:tcPr>
          <w:p w14:paraId="4D35B296"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GAP (UFC/mL)</w:t>
            </w:r>
          </w:p>
        </w:tc>
        <w:tc>
          <w:tcPr>
            <w:tcW w:w="1088" w:type="dxa"/>
            <w:tcBorders>
              <w:top w:val="single" w:sz="4" w:space="0" w:color="auto"/>
              <w:bottom w:val="single" w:sz="4" w:space="0" w:color="auto"/>
            </w:tcBorders>
            <w:hideMark/>
          </w:tcPr>
          <w:p w14:paraId="2010F50B"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L/M (CFU/mL)</w:t>
            </w:r>
          </w:p>
        </w:tc>
        <w:tc>
          <w:tcPr>
            <w:tcW w:w="992" w:type="dxa"/>
            <w:tcBorders>
              <w:top w:val="single" w:sz="4" w:space="0" w:color="auto"/>
              <w:bottom w:val="single" w:sz="4" w:space="0" w:color="auto"/>
            </w:tcBorders>
            <w:hideMark/>
          </w:tcPr>
          <w:p w14:paraId="45956496"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Cthe (UFC/mL)</w:t>
            </w:r>
          </w:p>
        </w:tc>
        <w:tc>
          <w:tcPr>
            <w:tcW w:w="992" w:type="dxa"/>
            <w:tcBorders>
              <w:top w:val="single" w:sz="4" w:space="0" w:color="auto"/>
              <w:bottom w:val="single" w:sz="4" w:space="0" w:color="auto"/>
            </w:tcBorders>
            <w:hideMark/>
          </w:tcPr>
          <w:p w14:paraId="0F40B42C"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CT (CFU/mL)</w:t>
            </w:r>
          </w:p>
        </w:tc>
        <w:tc>
          <w:tcPr>
            <w:tcW w:w="977" w:type="dxa"/>
            <w:tcBorders>
              <w:top w:val="single" w:sz="4" w:space="0" w:color="auto"/>
              <w:bottom w:val="single" w:sz="4" w:space="0" w:color="auto"/>
            </w:tcBorders>
            <w:hideMark/>
          </w:tcPr>
          <w:p w14:paraId="404CC21E"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Entero (UFC/mL)</w:t>
            </w:r>
          </w:p>
        </w:tc>
        <w:tc>
          <w:tcPr>
            <w:tcW w:w="1008" w:type="dxa"/>
            <w:tcBorders>
              <w:top w:val="single" w:sz="4" w:space="0" w:color="auto"/>
              <w:bottom w:val="single" w:sz="4" w:space="0" w:color="auto"/>
            </w:tcBorders>
            <w:hideMark/>
          </w:tcPr>
          <w:p w14:paraId="5BBFD356" w14:textId="77777777" w:rsidR="00674764" w:rsidRPr="00674764" w:rsidRDefault="00674764" w:rsidP="00674764">
            <w:pPr>
              <w:spacing w:line="360" w:lineRule="auto"/>
              <w:jc w:val="both"/>
              <w:rPr>
                <w:rFonts w:ascii="Times New Roman" w:hAnsi="Times New Roman" w:cs="Times New Roman"/>
                <w:b/>
                <w:bCs/>
                <w:sz w:val="16"/>
                <w:szCs w:val="16"/>
              </w:rPr>
            </w:pPr>
            <w:r w:rsidRPr="00674764">
              <w:rPr>
                <w:rFonts w:ascii="Times New Roman" w:hAnsi="Times New Roman" w:cs="Times New Roman"/>
                <w:b/>
                <w:bCs/>
                <w:sz w:val="16"/>
                <w:szCs w:val="16"/>
              </w:rPr>
              <w:t>SF (CFU/mL)</w:t>
            </w:r>
          </w:p>
        </w:tc>
        <w:tc>
          <w:tcPr>
            <w:tcW w:w="992" w:type="dxa"/>
            <w:tcBorders>
              <w:top w:val="single" w:sz="4" w:space="0" w:color="auto"/>
              <w:bottom w:val="single" w:sz="4" w:space="0" w:color="auto"/>
            </w:tcBorders>
            <w:hideMark/>
          </w:tcPr>
          <w:p w14:paraId="691B6D4C" w14:textId="77777777" w:rsidR="00674764" w:rsidRPr="00674764" w:rsidRDefault="00674764" w:rsidP="00674764">
            <w:pPr>
              <w:spacing w:line="360" w:lineRule="auto"/>
              <w:jc w:val="both"/>
              <w:rPr>
                <w:rFonts w:ascii="Times New Roman" w:hAnsi="Times New Roman" w:cs="Times New Roman"/>
                <w:b/>
                <w:bCs/>
                <w:i/>
                <w:iCs/>
                <w:sz w:val="16"/>
                <w:szCs w:val="16"/>
              </w:rPr>
            </w:pPr>
            <w:r w:rsidRPr="00674764">
              <w:rPr>
                <w:rFonts w:ascii="Times New Roman" w:hAnsi="Times New Roman" w:cs="Times New Roman"/>
                <w:b/>
                <w:bCs/>
                <w:i/>
                <w:iCs/>
                <w:sz w:val="16"/>
                <w:szCs w:val="16"/>
              </w:rPr>
              <w:t xml:space="preserve">E. </w:t>
            </w:r>
            <w:proofErr w:type="gramStart"/>
            <w:r w:rsidRPr="00674764">
              <w:rPr>
                <w:rFonts w:ascii="Times New Roman" w:hAnsi="Times New Roman" w:cs="Times New Roman"/>
                <w:b/>
                <w:bCs/>
                <w:i/>
                <w:iCs/>
                <w:sz w:val="16"/>
                <w:szCs w:val="16"/>
              </w:rPr>
              <w:t>coli</w:t>
            </w:r>
            <w:r w:rsidRPr="00674764">
              <w:rPr>
                <w:rFonts w:ascii="Times New Roman" w:hAnsi="Times New Roman" w:cs="Times New Roman"/>
                <w:b/>
                <w:bCs/>
                <w:sz w:val="16"/>
                <w:szCs w:val="16"/>
              </w:rPr>
              <w:t>(</w:t>
            </w:r>
            <w:proofErr w:type="gramEnd"/>
            <w:r w:rsidRPr="00674764">
              <w:rPr>
                <w:rFonts w:ascii="Times New Roman" w:hAnsi="Times New Roman" w:cs="Times New Roman"/>
                <w:b/>
                <w:bCs/>
                <w:sz w:val="16"/>
                <w:szCs w:val="16"/>
              </w:rPr>
              <w:t>CFU/mL)</w:t>
            </w:r>
          </w:p>
        </w:tc>
      </w:tr>
      <w:tr w:rsidR="00674764" w:rsidRPr="00674764" w14:paraId="15AB5B6A" w14:textId="77777777" w:rsidTr="00F24187">
        <w:tblPrEx>
          <w:jc w:val="center"/>
        </w:tblPrEx>
        <w:trPr>
          <w:trHeight w:val="540"/>
          <w:jc w:val="center"/>
        </w:trPr>
        <w:tc>
          <w:tcPr>
            <w:tcW w:w="1134" w:type="dxa"/>
            <w:tcBorders>
              <w:top w:val="single" w:sz="4" w:space="0" w:color="auto"/>
            </w:tcBorders>
            <w:noWrap/>
          </w:tcPr>
          <w:p w14:paraId="25B982EA"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Bediala B</w:t>
            </w:r>
          </w:p>
        </w:tc>
        <w:tc>
          <w:tcPr>
            <w:tcW w:w="1000" w:type="dxa"/>
            <w:tcBorders>
              <w:top w:val="single" w:sz="4" w:space="0" w:color="auto"/>
            </w:tcBorders>
            <w:noWrap/>
          </w:tcPr>
          <w:p w14:paraId="58E020F3"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1587±392ab</w:t>
            </w:r>
          </w:p>
        </w:tc>
        <w:tc>
          <w:tcPr>
            <w:tcW w:w="1031" w:type="dxa"/>
            <w:tcBorders>
              <w:top w:val="single" w:sz="4" w:space="0" w:color="auto"/>
            </w:tcBorders>
            <w:noWrap/>
          </w:tcPr>
          <w:p w14:paraId="295CF13B"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778±426a</w:t>
            </w:r>
          </w:p>
        </w:tc>
        <w:tc>
          <w:tcPr>
            <w:tcW w:w="1088" w:type="dxa"/>
            <w:tcBorders>
              <w:top w:val="single" w:sz="4" w:space="0" w:color="auto"/>
            </w:tcBorders>
            <w:noWrap/>
          </w:tcPr>
          <w:p w14:paraId="6D9F2DF0"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282±146 ab</w:t>
            </w:r>
          </w:p>
        </w:tc>
        <w:tc>
          <w:tcPr>
            <w:tcW w:w="992" w:type="dxa"/>
            <w:tcBorders>
              <w:top w:val="single" w:sz="4" w:space="0" w:color="auto"/>
            </w:tcBorders>
            <w:noWrap/>
          </w:tcPr>
          <w:p w14:paraId="0EB2314C"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0a</w:t>
            </w:r>
          </w:p>
        </w:tc>
        <w:tc>
          <w:tcPr>
            <w:tcW w:w="992" w:type="dxa"/>
            <w:tcBorders>
              <w:top w:val="single" w:sz="4" w:space="0" w:color="auto"/>
            </w:tcBorders>
            <w:noWrap/>
          </w:tcPr>
          <w:p w14:paraId="6519F3AB"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0a</w:t>
            </w:r>
          </w:p>
        </w:tc>
        <w:tc>
          <w:tcPr>
            <w:tcW w:w="977" w:type="dxa"/>
            <w:tcBorders>
              <w:top w:val="single" w:sz="4" w:space="0" w:color="auto"/>
            </w:tcBorders>
            <w:noWrap/>
          </w:tcPr>
          <w:p w14:paraId="2FA5D6C4"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416±289</w:t>
            </w:r>
          </w:p>
        </w:tc>
        <w:tc>
          <w:tcPr>
            <w:tcW w:w="1008" w:type="dxa"/>
            <w:tcBorders>
              <w:top w:val="single" w:sz="4" w:space="0" w:color="auto"/>
            </w:tcBorders>
            <w:noWrap/>
          </w:tcPr>
          <w:p w14:paraId="082CE969"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0a</w:t>
            </w:r>
          </w:p>
        </w:tc>
        <w:tc>
          <w:tcPr>
            <w:tcW w:w="992" w:type="dxa"/>
            <w:tcBorders>
              <w:top w:val="single" w:sz="4" w:space="0" w:color="auto"/>
            </w:tcBorders>
            <w:noWrap/>
          </w:tcPr>
          <w:p w14:paraId="3E030A35"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0a</w:t>
            </w:r>
          </w:p>
        </w:tc>
      </w:tr>
      <w:tr w:rsidR="00674764" w:rsidRPr="00674764" w14:paraId="436AC43B" w14:textId="77777777" w:rsidTr="00F24187">
        <w:tblPrEx>
          <w:jc w:val="center"/>
        </w:tblPrEx>
        <w:trPr>
          <w:trHeight w:val="540"/>
          <w:jc w:val="center"/>
        </w:trPr>
        <w:tc>
          <w:tcPr>
            <w:tcW w:w="1134" w:type="dxa"/>
            <w:hideMark/>
          </w:tcPr>
          <w:p w14:paraId="69DEA1E9"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Gonate B</w:t>
            </w:r>
          </w:p>
        </w:tc>
        <w:tc>
          <w:tcPr>
            <w:tcW w:w="1000" w:type="dxa"/>
            <w:noWrap/>
            <w:hideMark/>
          </w:tcPr>
          <w:p w14:paraId="1CF64E86"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807±545a</w:t>
            </w:r>
          </w:p>
        </w:tc>
        <w:tc>
          <w:tcPr>
            <w:tcW w:w="1031" w:type="dxa"/>
            <w:noWrap/>
            <w:hideMark/>
          </w:tcPr>
          <w:p w14:paraId="302F2D38"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1046±701a</w:t>
            </w:r>
          </w:p>
        </w:tc>
        <w:tc>
          <w:tcPr>
            <w:tcW w:w="1088" w:type="dxa"/>
            <w:noWrap/>
            <w:hideMark/>
          </w:tcPr>
          <w:p w14:paraId="1CE67C36"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196±97ab</w:t>
            </w:r>
          </w:p>
        </w:tc>
        <w:tc>
          <w:tcPr>
            <w:tcW w:w="992" w:type="dxa"/>
            <w:noWrap/>
            <w:hideMark/>
          </w:tcPr>
          <w:p w14:paraId="5137E64D"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0±0a</w:t>
            </w:r>
          </w:p>
        </w:tc>
        <w:tc>
          <w:tcPr>
            <w:tcW w:w="992" w:type="dxa"/>
            <w:noWrap/>
            <w:hideMark/>
          </w:tcPr>
          <w:p w14:paraId="688B0B23"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0±0a</w:t>
            </w:r>
          </w:p>
        </w:tc>
        <w:tc>
          <w:tcPr>
            <w:tcW w:w="977" w:type="dxa"/>
            <w:noWrap/>
            <w:hideMark/>
          </w:tcPr>
          <w:p w14:paraId="39371E86"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443±240ab</w:t>
            </w:r>
          </w:p>
        </w:tc>
        <w:tc>
          <w:tcPr>
            <w:tcW w:w="1008" w:type="dxa"/>
            <w:noWrap/>
            <w:hideMark/>
          </w:tcPr>
          <w:p w14:paraId="129AC83C"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0±0a</w:t>
            </w:r>
          </w:p>
        </w:tc>
        <w:tc>
          <w:tcPr>
            <w:tcW w:w="992" w:type="dxa"/>
            <w:noWrap/>
            <w:hideMark/>
          </w:tcPr>
          <w:p w14:paraId="57005932"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0±0a</w:t>
            </w:r>
          </w:p>
        </w:tc>
      </w:tr>
      <w:tr w:rsidR="00674764" w:rsidRPr="00674764" w14:paraId="7871A812" w14:textId="77777777" w:rsidTr="00F24187">
        <w:tblPrEx>
          <w:jc w:val="center"/>
        </w:tblPrEx>
        <w:trPr>
          <w:trHeight w:val="300"/>
          <w:jc w:val="center"/>
        </w:trPr>
        <w:tc>
          <w:tcPr>
            <w:tcW w:w="1134" w:type="dxa"/>
            <w:hideMark/>
          </w:tcPr>
          <w:p w14:paraId="71F6E8F1"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Daloa B</w:t>
            </w:r>
          </w:p>
        </w:tc>
        <w:tc>
          <w:tcPr>
            <w:tcW w:w="1000" w:type="dxa"/>
            <w:noWrap/>
            <w:hideMark/>
          </w:tcPr>
          <w:p w14:paraId="285359C4"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4006±2827abc</w:t>
            </w:r>
          </w:p>
        </w:tc>
        <w:tc>
          <w:tcPr>
            <w:tcW w:w="1031" w:type="dxa"/>
            <w:noWrap/>
            <w:hideMark/>
          </w:tcPr>
          <w:p w14:paraId="20A7838E"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3480±1642a</w:t>
            </w:r>
          </w:p>
        </w:tc>
        <w:tc>
          <w:tcPr>
            <w:tcW w:w="1088" w:type="dxa"/>
            <w:noWrap/>
            <w:hideMark/>
          </w:tcPr>
          <w:p w14:paraId="556E9FC6"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306±98ab</w:t>
            </w:r>
          </w:p>
        </w:tc>
        <w:tc>
          <w:tcPr>
            <w:tcW w:w="992" w:type="dxa"/>
            <w:noWrap/>
            <w:hideMark/>
          </w:tcPr>
          <w:p w14:paraId="0FF449D2"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43±5ab</w:t>
            </w:r>
          </w:p>
        </w:tc>
        <w:tc>
          <w:tcPr>
            <w:tcW w:w="992" w:type="dxa"/>
            <w:noWrap/>
            <w:hideMark/>
          </w:tcPr>
          <w:p w14:paraId="29C0BD6E"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7±2a</w:t>
            </w:r>
          </w:p>
        </w:tc>
        <w:tc>
          <w:tcPr>
            <w:tcW w:w="977" w:type="dxa"/>
            <w:noWrap/>
            <w:hideMark/>
          </w:tcPr>
          <w:p w14:paraId="622FEB04"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141±100abc</w:t>
            </w:r>
          </w:p>
        </w:tc>
        <w:tc>
          <w:tcPr>
            <w:tcW w:w="1008" w:type="dxa"/>
            <w:noWrap/>
            <w:hideMark/>
          </w:tcPr>
          <w:p w14:paraId="6357F249"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218±55abd</w:t>
            </w:r>
          </w:p>
        </w:tc>
        <w:tc>
          <w:tcPr>
            <w:tcW w:w="992" w:type="dxa"/>
            <w:noWrap/>
            <w:hideMark/>
          </w:tcPr>
          <w:p w14:paraId="3FF6C1B2"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0±0a</w:t>
            </w:r>
          </w:p>
        </w:tc>
      </w:tr>
      <w:tr w:rsidR="00674764" w:rsidRPr="00674764" w14:paraId="5FF0391F" w14:textId="77777777" w:rsidTr="00F24187">
        <w:tblPrEx>
          <w:jc w:val="center"/>
        </w:tblPrEx>
        <w:trPr>
          <w:jc w:val="center"/>
        </w:trPr>
        <w:tc>
          <w:tcPr>
            <w:tcW w:w="1134" w:type="dxa"/>
          </w:tcPr>
          <w:p w14:paraId="3B49B5A6"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Zaibo B</w:t>
            </w:r>
          </w:p>
        </w:tc>
        <w:tc>
          <w:tcPr>
            <w:tcW w:w="1000" w:type="dxa"/>
          </w:tcPr>
          <w:p w14:paraId="15CA6591" w14:textId="77777777" w:rsidR="00674764" w:rsidRPr="00674764" w:rsidRDefault="00674764" w:rsidP="00674764">
            <w:pPr>
              <w:spacing w:line="360" w:lineRule="auto"/>
              <w:jc w:val="both"/>
              <w:rPr>
                <w:rFonts w:ascii="Times New Roman" w:hAnsi="Times New Roman" w:cs="Times New Roman"/>
                <w:bCs/>
                <w:sz w:val="16"/>
                <w:szCs w:val="16"/>
                <w:vertAlign w:val="superscript"/>
              </w:rPr>
            </w:pPr>
            <w:r w:rsidRPr="00674764">
              <w:rPr>
                <w:rFonts w:ascii="Times New Roman" w:hAnsi="Times New Roman" w:cs="Times New Roman"/>
                <w:bCs/>
                <w:sz w:val="16"/>
                <w:szCs w:val="16"/>
              </w:rPr>
              <w:t>12570±43903bc</w:t>
            </w:r>
          </w:p>
        </w:tc>
        <w:tc>
          <w:tcPr>
            <w:tcW w:w="1031" w:type="dxa"/>
          </w:tcPr>
          <w:p w14:paraId="10A7315D" w14:textId="77777777" w:rsidR="00674764" w:rsidRPr="00674764" w:rsidRDefault="00674764" w:rsidP="00674764">
            <w:pPr>
              <w:spacing w:line="360" w:lineRule="auto"/>
              <w:jc w:val="both"/>
              <w:rPr>
                <w:rFonts w:ascii="Times New Roman" w:hAnsi="Times New Roman" w:cs="Times New Roman"/>
                <w:bCs/>
                <w:sz w:val="16"/>
                <w:szCs w:val="16"/>
                <w:vertAlign w:val="superscript"/>
              </w:rPr>
            </w:pPr>
            <w:r w:rsidRPr="00674764">
              <w:rPr>
                <w:rFonts w:ascii="Times New Roman" w:hAnsi="Times New Roman" w:cs="Times New Roman"/>
                <w:bCs/>
                <w:sz w:val="16"/>
                <w:szCs w:val="16"/>
              </w:rPr>
              <w:t>6818±6000a</w:t>
            </w:r>
          </w:p>
        </w:tc>
        <w:tc>
          <w:tcPr>
            <w:tcW w:w="1088" w:type="dxa"/>
          </w:tcPr>
          <w:p w14:paraId="791D6D69"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248±112ab</w:t>
            </w:r>
          </w:p>
        </w:tc>
        <w:tc>
          <w:tcPr>
            <w:tcW w:w="992" w:type="dxa"/>
          </w:tcPr>
          <w:p w14:paraId="78FB50EC"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tcPr>
          <w:p w14:paraId="5C5C70A2"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77" w:type="dxa"/>
          </w:tcPr>
          <w:p w14:paraId="6159DD47"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1008" w:type="dxa"/>
          </w:tcPr>
          <w:p w14:paraId="4F8AD23F"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tcPr>
          <w:p w14:paraId="1BB0927B"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r>
      <w:tr w:rsidR="00674764" w:rsidRPr="00674764" w14:paraId="0A443B86" w14:textId="77777777" w:rsidTr="00F24187">
        <w:tblPrEx>
          <w:jc w:val="center"/>
        </w:tblPrEx>
        <w:trPr>
          <w:trHeight w:val="540"/>
          <w:jc w:val="center"/>
        </w:trPr>
        <w:tc>
          <w:tcPr>
            <w:tcW w:w="1134" w:type="dxa"/>
            <w:hideMark/>
          </w:tcPr>
          <w:p w14:paraId="1DCC3C32"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lastRenderedPageBreak/>
              <w:t>Gadouan B</w:t>
            </w:r>
          </w:p>
        </w:tc>
        <w:tc>
          <w:tcPr>
            <w:tcW w:w="1000" w:type="dxa"/>
            <w:hideMark/>
          </w:tcPr>
          <w:p w14:paraId="3F2E0D26" w14:textId="77777777" w:rsidR="00674764" w:rsidRPr="00674764" w:rsidRDefault="00674764" w:rsidP="00674764">
            <w:pPr>
              <w:spacing w:line="360" w:lineRule="auto"/>
              <w:jc w:val="both"/>
              <w:rPr>
                <w:rFonts w:ascii="Times New Roman" w:hAnsi="Times New Roman" w:cs="Times New Roman"/>
                <w:bCs/>
                <w:sz w:val="16"/>
                <w:szCs w:val="16"/>
                <w:vertAlign w:val="superscript"/>
              </w:rPr>
            </w:pPr>
            <w:r w:rsidRPr="00674764">
              <w:rPr>
                <w:rFonts w:ascii="Times New Roman" w:hAnsi="Times New Roman" w:cs="Times New Roman"/>
                <w:bCs/>
                <w:sz w:val="16"/>
                <w:szCs w:val="16"/>
              </w:rPr>
              <w:t>2800±2390ab</w:t>
            </w:r>
          </w:p>
        </w:tc>
        <w:tc>
          <w:tcPr>
            <w:tcW w:w="1031" w:type="dxa"/>
            <w:hideMark/>
          </w:tcPr>
          <w:p w14:paraId="64BB537A" w14:textId="77777777" w:rsidR="00674764" w:rsidRPr="00674764" w:rsidRDefault="00674764" w:rsidP="00674764">
            <w:pPr>
              <w:spacing w:line="360" w:lineRule="auto"/>
              <w:jc w:val="both"/>
              <w:rPr>
                <w:rFonts w:ascii="Times New Roman" w:hAnsi="Times New Roman" w:cs="Times New Roman"/>
                <w:bCs/>
                <w:sz w:val="16"/>
                <w:szCs w:val="16"/>
                <w:vertAlign w:val="superscript"/>
              </w:rPr>
            </w:pPr>
            <w:r w:rsidRPr="00674764">
              <w:rPr>
                <w:rFonts w:ascii="Times New Roman" w:hAnsi="Times New Roman" w:cs="Times New Roman"/>
                <w:bCs/>
                <w:sz w:val="16"/>
                <w:szCs w:val="16"/>
              </w:rPr>
              <w:t>1091±182a</w:t>
            </w:r>
          </w:p>
        </w:tc>
        <w:tc>
          <w:tcPr>
            <w:tcW w:w="1088" w:type="dxa"/>
            <w:hideMark/>
          </w:tcPr>
          <w:p w14:paraId="017E6603"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114±22</w:t>
            </w:r>
          </w:p>
        </w:tc>
        <w:tc>
          <w:tcPr>
            <w:tcW w:w="992" w:type="dxa"/>
            <w:hideMark/>
          </w:tcPr>
          <w:p w14:paraId="691C29C6"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hideMark/>
          </w:tcPr>
          <w:p w14:paraId="787B82F8"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77" w:type="dxa"/>
            <w:hideMark/>
          </w:tcPr>
          <w:p w14:paraId="355C5AEE"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1008" w:type="dxa"/>
            <w:hideMark/>
          </w:tcPr>
          <w:p w14:paraId="33193999"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hideMark/>
          </w:tcPr>
          <w:p w14:paraId="69C373F4"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r>
      <w:tr w:rsidR="00674764" w:rsidRPr="00674764" w14:paraId="6B915AC5" w14:textId="77777777" w:rsidTr="00F24187">
        <w:tblPrEx>
          <w:jc w:val="center"/>
        </w:tblPrEx>
        <w:trPr>
          <w:trHeight w:val="540"/>
          <w:jc w:val="center"/>
        </w:trPr>
        <w:tc>
          <w:tcPr>
            <w:tcW w:w="1134" w:type="dxa"/>
            <w:hideMark/>
          </w:tcPr>
          <w:p w14:paraId="76AC3C06"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Gboguhe B</w:t>
            </w:r>
          </w:p>
        </w:tc>
        <w:tc>
          <w:tcPr>
            <w:tcW w:w="1000" w:type="dxa"/>
            <w:noWrap/>
            <w:hideMark/>
          </w:tcPr>
          <w:p w14:paraId="4887A2CC"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2429±2208abc</w:t>
            </w:r>
          </w:p>
        </w:tc>
        <w:tc>
          <w:tcPr>
            <w:tcW w:w="1031" w:type="dxa"/>
            <w:noWrap/>
            <w:hideMark/>
          </w:tcPr>
          <w:p w14:paraId="167D4640"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699±241a</w:t>
            </w:r>
          </w:p>
        </w:tc>
        <w:tc>
          <w:tcPr>
            <w:tcW w:w="1088" w:type="dxa"/>
            <w:noWrap/>
            <w:hideMark/>
          </w:tcPr>
          <w:p w14:paraId="5EFCCC6E" w14:textId="77777777" w:rsidR="00674764" w:rsidRPr="00674764" w:rsidRDefault="00674764" w:rsidP="00674764">
            <w:pPr>
              <w:spacing w:line="360" w:lineRule="auto"/>
              <w:jc w:val="both"/>
              <w:rPr>
                <w:rFonts w:ascii="Times New Roman" w:hAnsi="Times New Roman" w:cs="Times New Roman"/>
                <w:sz w:val="16"/>
                <w:szCs w:val="16"/>
                <w:vertAlign w:val="superscript"/>
              </w:rPr>
            </w:pPr>
            <w:r w:rsidRPr="00674764">
              <w:rPr>
                <w:rFonts w:ascii="Times New Roman" w:hAnsi="Times New Roman" w:cs="Times New Roman"/>
                <w:sz w:val="16"/>
                <w:szCs w:val="16"/>
              </w:rPr>
              <w:t>282±162ab</w:t>
            </w:r>
          </w:p>
        </w:tc>
        <w:tc>
          <w:tcPr>
            <w:tcW w:w="992" w:type="dxa"/>
            <w:noWrap/>
            <w:hideMark/>
          </w:tcPr>
          <w:p w14:paraId="233B873B"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noWrap/>
            <w:hideMark/>
          </w:tcPr>
          <w:p w14:paraId="3DBFB228"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77" w:type="dxa"/>
            <w:noWrap/>
            <w:hideMark/>
          </w:tcPr>
          <w:p w14:paraId="7E228C8F"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1008" w:type="dxa"/>
            <w:noWrap/>
            <w:hideMark/>
          </w:tcPr>
          <w:p w14:paraId="0E773699"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noWrap/>
            <w:hideMark/>
          </w:tcPr>
          <w:p w14:paraId="0E764DBF"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r>
      <w:tr w:rsidR="00674764" w:rsidRPr="00674764" w14:paraId="7DC0255E" w14:textId="77777777" w:rsidTr="00F24187">
        <w:tblPrEx>
          <w:jc w:val="center"/>
        </w:tblPrEx>
        <w:trPr>
          <w:trHeight w:val="540"/>
          <w:jc w:val="center"/>
        </w:trPr>
        <w:tc>
          <w:tcPr>
            <w:tcW w:w="1134" w:type="dxa"/>
          </w:tcPr>
          <w:p w14:paraId="42543539"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Bediala G</w:t>
            </w:r>
          </w:p>
        </w:tc>
        <w:tc>
          <w:tcPr>
            <w:tcW w:w="1000" w:type="dxa"/>
            <w:noWrap/>
          </w:tcPr>
          <w:p w14:paraId="338A96B6"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8329±4101abc</w:t>
            </w:r>
          </w:p>
        </w:tc>
        <w:tc>
          <w:tcPr>
            <w:tcW w:w="1031" w:type="dxa"/>
            <w:noWrap/>
          </w:tcPr>
          <w:p w14:paraId="66C49723"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8478±3205a</w:t>
            </w:r>
          </w:p>
        </w:tc>
        <w:tc>
          <w:tcPr>
            <w:tcW w:w="1088" w:type="dxa"/>
            <w:noWrap/>
          </w:tcPr>
          <w:p w14:paraId="1EE6FD72"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482±188ab</w:t>
            </w:r>
          </w:p>
        </w:tc>
        <w:tc>
          <w:tcPr>
            <w:tcW w:w="992" w:type="dxa"/>
            <w:noWrap/>
          </w:tcPr>
          <w:p w14:paraId="1E95CF30"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0±0a</w:t>
            </w:r>
          </w:p>
        </w:tc>
        <w:tc>
          <w:tcPr>
            <w:tcW w:w="992" w:type="dxa"/>
            <w:noWrap/>
          </w:tcPr>
          <w:p w14:paraId="743A36EE"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100±57a</w:t>
            </w:r>
          </w:p>
        </w:tc>
        <w:tc>
          <w:tcPr>
            <w:tcW w:w="977" w:type="dxa"/>
            <w:noWrap/>
          </w:tcPr>
          <w:p w14:paraId="785A4823"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494±347ab</w:t>
            </w:r>
          </w:p>
        </w:tc>
        <w:tc>
          <w:tcPr>
            <w:tcW w:w="1008" w:type="dxa"/>
            <w:noWrap/>
          </w:tcPr>
          <w:p w14:paraId="3A8E5456"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0±0a</w:t>
            </w:r>
          </w:p>
        </w:tc>
        <w:tc>
          <w:tcPr>
            <w:tcW w:w="992" w:type="dxa"/>
            <w:noWrap/>
          </w:tcPr>
          <w:p w14:paraId="01463732"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0±0a</w:t>
            </w:r>
          </w:p>
        </w:tc>
      </w:tr>
      <w:tr w:rsidR="00674764" w:rsidRPr="00674764" w14:paraId="0151BF1E" w14:textId="77777777" w:rsidTr="00F24187">
        <w:tblPrEx>
          <w:jc w:val="center"/>
        </w:tblPrEx>
        <w:trPr>
          <w:trHeight w:val="540"/>
          <w:jc w:val="center"/>
        </w:trPr>
        <w:tc>
          <w:tcPr>
            <w:tcW w:w="1134" w:type="dxa"/>
          </w:tcPr>
          <w:p w14:paraId="4F668DCC"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Gonate G</w:t>
            </w:r>
          </w:p>
        </w:tc>
        <w:tc>
          <w:tcPr>
            <w:tcW w:w="1000" w:type="dxa"/>
            <w:noWrap/>
          </w:tcPr>
          <w:p w14:paraId="2C5A99DC"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3148±603ab</w:t>
            </w:r>
          </w:p>
        </w:tc>
        <w:tc>
          <w:tcPr>
            <w:tcW w:w="1031" w:type="dxa"/>
            <w:noWrap/>
          </w:tcPr>
          <w:p w14:paraId="2ACD6317"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3148±57a</w:t>
            </w:r>
          </w:p>
        </w:tc>
        <w:tc>
          <w:tcPr>
            <w:tcW w:w="1088" w:type="dxa"/>
            <w:noWrap/>
          </w:tcPr>
          <w:p w14:paraId="245F3EDA"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386± 195ab</w:t>
            </w:r>
          </w:p>
        </w:tc>
        <w:tc>
          <w:tcPr>
            <w:tcW w:w="992" w:type="dxa"/>
            <w:noWrap/>
          </w:tcPr>
          <w:p w14:paraId="74FAEE55"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noWrap/>
          </w:tcPr>
          <w:p w14:paraId="59963B79"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77" w:type="dxa"/>
            <w:noWrap/>
          </w:tcPr>
          <w:p w14:paraId="73746FE3"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1008" w:type="dxa"/>
            <w:noWrap/>
          </w:tcPr>
          <w:p w14:paraId="54F55CFC"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noWrap/>
          </w:tcPr>
          <w:p w14:paraId="63FD23C2"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r>
      <w:tr w:rsidR="00674764" w:rsidRPr="00674764" w14:paraId="7351D0C6" w14:textId="77777777" w:rsidTr="00F24187">
        <w:tblPrEx>
          <w:jc w:val="center"/>
        </w:tblPrEx>
        <w:trPr>
          <w:trHeight w:val="540"/>
          <w:jc w:val="center"/>
        </w:trPr>
        <w:tc>
          <w:tcPr>
            <w:tcW w:w="1134" w:type="dxa"/>
          </w:tcPr>
          <w:p w14:paraId="381D9C1E"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Daloa G</w:t>
            </w:r>
          </w:p>
        </w:tc>
        <w:tc>
          <w:tcPr>
            <w:tcW w:w="1000" w:type="dxa"/>
            <w:noWrap/>
          </w:tcPr>
          <w:p w14:paraId="62FB09E8"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5774±2528abc</w:t>
            </w:r>
          </w:p>
        </w:tc>
        <w:tc>
          <w:tcPr>
            <w:tcW w:w="1031" w:type="dxa"/>
            <w:noWrap/>
          </w:tcPr>
          <w:p w14:paraId="53B7FADF"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7430±4981ab</w:t>
            </w:r>
          </w:p>
        </w:tc>
        <w:tc>
          <w:tcPr>
            <w:tcW w:w="1088" w:type="dxa"/>
            <w:noWrap/>
          </w:tcPr>
          <w:p w14:paraId="542024F0"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430±207ab</w:t>
            </w:r>
          </w:p>
        </w:tc>
        <w:tc>
          <w:tcPr>
            <w:tcW w:w="992" w:type="dxa"/>
            <w:noWrap/>
          </w:tcPr>
          <w:p w14:paraId="7035E28D"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277±270a</w:t>
            </w:r>
          </w:p>
        </w:tc>
        <w:tc>
          <w:tcPr>
            <w:tcW w:w="992" w:type="dxa"/>
            <w:noWrap/>
          </w:tcPr>
          <w:p w14:paraId="5E41337B"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260±31a</w:t>
            </w:r>
          </w:p>
        </w:tc>
        <w:tc>
          <w:tcPr>
            <w:tcW w:w="977" w:type="dxa"/>
            <w:noWrap/>
          </w:tcPr>
          <w:p w14:paraId="0660E40F"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934±270a</w:t>
            </w:r>
          </w:p>
        </w:tc>
        <w:tc>
          <w:tcPr>
            <w:tcW w:w="1008" w:type="dxa"/>
            <w:noWrap/>
          </w:tcPr>
          <w:p w14:paraId="4E19B5EA"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152±61ab</w:t>
            </w:r>
          </w:p>
        </w:tc>
        <w:tc>
          <w:tcPr>
            <w:tcW w:w="992" w:type="dxa"/>
            <w:noWrap/>
          </w:tcPr>
          <w:p w14:paraId="4B64C120"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556±83a</w:t>
            </w:r>
          </w:p>
        </w:tc>
      </w:tr>
      <w:tr w:rsidR="00674764" w:rsidRPr="00674764" w14:paraId="2417509E" w14:textId="77777777" w:rsidTr="00F24187">
        <w:tblPrEx>
          <w:jc w:val="center"/>
        </w:tblPrEx>
        <w:trPr>
          <w:trHeight w:val="540"/>
          <w:jc w:val="center"/>
        </w:trPr>
        <w:tc>
          <w:tcPr>
            <w:tcW w:w="1134" w:type="dxa"/>
          </w:tcPr>
          <w:p w14:paraId="24C32834"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Zaibo G</w:t>
            </w:r>
          </w:p>
        </w:tc>
        <w:tc>
          <w:tcPr>
            <w:tcW w:w="1000" w:type="dxa"/>
            <w:noWrap/>
          </w:tcPr>
          <w:p w14:paraId="6DEA187F"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Cs/>
                <w:sz w:val="16"/>
                <w:szCs w:val="16"/>
              </w:rPr>
              <w:t>3050±545ab</w:t>
            </w:r>
          </w:p>
        </w:tc>
        <w:tc>
          <w:tcPr>
            <w:tcW w:w="1031" w:type="dxa"/>
            <w:noWrap/>
          </w:tcPr>
          <w:p w14:paraId="48BAB686"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Cs/>
                <w:sz w:val="16"/>
                <w:szCs w:val="16"/>
              </w:rPr>
              <w:t>2228±637a</w:t>
            </w:r>
          </w:p>
        </w:tc>
        <w:tc>
          <w:tcPr>
            <w:tcW w:w="1088" w:type="dxa"/>
            <w:noWrap/>
          </w:tcPr>
          <w:p w14:paraId="3DF90C38"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Cs/>
                <w:sz w:val="16"/>
                <w:szCs w:val="16"/>
              </w:rPr>
              <w:t>221±15 a</w:t>
            </w:r>
          </w:p>
        </w:tc>
        <w:tc>
          <w:tcPr>
            <w:tcW w:w="992" w:type="dxa"/>
            <w:noWrap/>
          </w:tcPr>
          <w:p w14:paraId="16569C82"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noWrap/>
          </w:tcPr>
          <w:p w14:paraId="13BEEABD"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77" w:type="dxa"/>
            <w:noWrap/>
          </w:tcPr>
          <w:p w14:paraId="1E402164"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1863±1772 abc</w:t>
            </w:r>
          </w:p>
        </w:tc>
        <w:tc>
          <w:tcPr>
            <w:tcW w:w="1008" w:type="dxa"/>
            <w:noWrap/>
          </w:tcPr>
          <w:p w14:paraId="1D4DACCE"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noWrap/>
          </w:tcPr>
          <w:p w14:paraId="47EB2C82"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r>
      <w:tr w:rsidR="00674764" w:rsidRPr="00674764" w14:paraId="06977719" w14:textId="77777777" w:rsidTr="00F24187">
        <w:tblPrEx>
          <w:jc w:val="center"/>
        </w:tblPrEx>
        <w:trPr>
          <w:trHeight w:val="540"/>
          <w:jc w:val="center"/>
        </w:trPr>
        <w:tc>
          <w:tcPr>
            <w:tcW w:w="1134" w:type="dxa"/>
          </w:tcPr>
          <w:p w14:paraId="2D7C8BA0"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Gadouan G</w:t>
            </w:r>
          </w:p>
        </w:tc>
        <w:tc>
          <w:tcPr>
            <w:tcW w:w="1000" w:type="dxa"/>
            <w:noWrap/>
          </w:tcPr>
          <w:p w14:paraId="1E0544E1"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Cs/>
                <w:sz w:val="16"/>
                <w:szCs w:val="16"/>
              </w:rPr>
              <w:t>7386±4341 abc</w:t>
            </w:r>
          </w:p>
        </w:tc>
        <w:tc>
          <w:tcPr>
            <w:tcW w:w="1031" w:type="dxa"/>
            <w:noWrap/>
          </w:tcPr>
          <w:p w14:paraId="4B3037B7"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Cs/>
                <w:sz w:val="16"/>
                <w:szCs w:val="16"/>
              </w:rPr>
              <w:t>7591±4091a</w:t>
            </w:r>
          </w:p>
        </w:tc>
        <w:tc>
          <w:tcPr>
            <w:tcW w:w="1088" w:type="dxa"/>
            <w:noWrap/>
          </w:tcPr>
          <w:p w14:paraId="13D6485E"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Cs/>
                <w:sz w:val="16"/>
                <w:szCs w:val="16"/>
              </w:rPr>
              <w:t>164±50a</w:t>
            </w:r>
          </w:p>
        </w:tc>
        <w:tc>
          <w:tcPr>
            <w:tcW w:w="992" w:type="dxa"/>
            <w:noWrap/>
          </w:tcPr>
          <w:p w14:paraId="1EA2EC4E"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539±179ab</w:t>
            </w:r>
          </w:p>
        </w:tc>
        <w:tc>
          <w:tcPr>
            <w:tcW w:w="992" w:type="dxa"/>
            <w:noWrap/>
          </w:tcPr>
          <w:p w14:paraId="6B5041FA"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77" w:type="dxa"/>
            <w:noWrap/>
          </w:tcPr>
          <w:p w14:paraId="01000544"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4278±3813cd</w:t>
            </w:r>
          </w:p>
        </w:tc>
        <w:tc>
          <w:tcPr>
            <w:tcW w:w="1008" w:type="dxa"/>
            <w:noWrap/>
          </w:tcPr>
          <w:p w14:paraId="78D6B57A"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c>
          <w:tcPr>
            <w:tcW w:w="992" w:type="dxa"/>
            <w:noWrap/>
          </w:tcPr>
          <w:p w14:paraId="5FFCF6DD"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bCs/>
                <w:sz w:val="16"/>
                <w:szCs w:val="16"/>
              </w:rPr>
              <w:t>00±00 a</w:t>
            </w:r>
          </w:p>
        </w:tc>
      </w:tr>
      <w:tr w:rsidR="00674764" w:rsidRPr="00674764" w14:paraId="65C6A596" w14:textId="77777777" w:rsidTr="00F24187">
        <w:tblPrEx>
          <w:jc w:val="center"/>
        </w:tblPrEx>
        <w:trPr>
          <w:trHeight w:val="540"/>
          <w:jc w:val="center"/>
        </w:trPr>
        <w:tc>
          <w:tcPr>
            <w:tcW w:w="1134" w:type="dxa"/>
          </w:tcPr>
          <w:p w14:paraId="7BC0A264"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sz w:val="16"/>
                <w:szCs w:val="16"/>
              </w:rPr>
              <w:t>Gboguhe G</w:t>
            </w:r>
          </w:p>
        </w:tc>
        <w:tc>
          <w:tcPr>
            <w:tcW w:w="1000" w:type="dxa"/>
            <w:noWrap/>
          </w:tcPr>
          <w:p w14:paraId="2822CBE4"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2762±2224abc</w:t>
            </w:r>
          </w:p>
        </w:tc>
        <w:tc>
          <w:tcPr>
            <w:tcW w:w="1031" w:type="dxa"/>
            <w:noWrap/>
          </w:tcPr>
          <w:p w14:paraId="59F4C384"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2685±2043a</w:t>
            </w:r>
          </w:p>
        </w:tc>
        <w:tc>
          <w:tcPr>
            <w:tcW w:w="1088" w:type="dxa"/>
            <w:noWrap/>
          </w:tcPr>
          <w:p w14:paraId="1DFD890E"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sz w:val="16"/>
                <w:szCs w:val="16"/>
              </w:rPr>
              <w:t>1150±220abc</w:t>
            </w:r>
          </w:p>
        </w:tc>
        <w:tc>
          <w:tcPr>
            <w:tcW w:w="992" w:type="dxa"/>
            <w:noWrap/>
          </w:tcPr>
          <w:p w14:paraId="227F995B"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93±55ab</w:t>
            </w:r>
          </w:p>
        </w:tc>
        <w:tc>
          <w:tcPr>
            <w:tcW w:w="992" w:type="dxa"/>
            <w:noWrap/>
          </w:tcPr>
          <w:p w14:paraId="142B058A"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0±0a</w:t>
            </w:r>
          </w:p>
        </w:tc>
        <w:tc>
          <w:tcPr>
            <w:tcW w:w="977" w:type="dxa"/>
            <w:noWrap/>
          </w:tcPr>
          <w:p w14:paraId="51802B91"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92±2a</w:t>
            </w:r>
          </w:p>
        </w:tc>
        <w:tc>
          <w:tcPr>
            <w:tcW w:w="1008" w:type="dxa"/>
            <w:noWrap/>
          </w:tcPr>
          <w:p w14:paraId="3D142880"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0±0a</w:t>
            </w:r>
          </w:p>
        </w:tc>
        <w:tc>
          <w:tcPr>
            <w:tcW w:w="992" w:type="dxa"/>
            <w:noWrap/>
          </w:tcPr>
          <w:p w14:paraId="496293A3" w14:textId="77777777" w:rsidR="00674764" w:rsidRPr="00674764" w:rsidRDefault="00674764" w:rsidP="00674764">
            <w:pPr>
              <w:spacing w:line="360" w:lineRule="auto"/>
              <w:jc w:val="both"/>
              <w:rPr>
                <w:rFonts w:ascii="Times New Roman" w:hAnsi="Times New Roman" w:cs="Times New Roman"/>
                <w:bCs/>
                <w:sz w:val="16"/>
                <w:szCs w:val="16"/>
              </w:rPr>
            </w:pPr>
            <w:r w:rsidRPr="00674764">
              <w:rPr>
                <w:rFonts w:ascii="Times New Roman" w:hAnsi="Times New Roman" w:cs="Times New Roman"/>
                <w:sz w:val="16"/>
                <w:szCs w:val="16"/>
              </w:rPr>
              <w:t>0±0a</w:t>
            </w:r>
          </w:p>
        </w:tc>
      </w:tr>
      <w:tr w:rsidR="00674764" w:rsidRPr="00674764" w14:paraId="3EFDAEE3" w14:textId="77777777" w:rsidTr="00F24187">
        <w:tblPrEx>
          <w:jc w:val="center"/>
        </w:tblPrEx>
        <w:trPr>
          <w:trHeight w:val="540"/>
          <w:jc w:val="center"/>
        </w:trPr>
        <w:tc>
          <w:tcPr>
            <w:tcW w:w="1134" w:type="dxa"/>
            <w:tcBorders>
              <w:bottom w:val="single" w:sz="18" w:space="0" w:color="auto"/>
            </w:tcBorders>
          </w:tcPr>
          <w:p w14:paraId="10CB4F60" w14:textId="77777777" w:rsidR="00674764" w:rsidRPr="00674764" w:rsidRDefault="00674764" w:rsidP="00674764">
            <w:pPr>
              <w:spacing w:line="360" w:lineRule="auto"/>
              <w:jc w:val="both"/>
              <w:rPr>
                <w:rFonts w:ascii="Times New Roman" w:hAnsi="Times New Roman" w:cs="Times New Roman"/>
                <w:b/>
                <w:sz w:val="16"/>
                <w:szCs w:val="16"/>
              </w:rPr>
            </w:pPr>
            <w:r w:rsidRPr="00674764">
              <w:rPr>
                <w:rFonts w:ascii="Times New Roman" w:hAnsi="Times New Roman" w:cs="Times New Roman"/>
                <w:b/>
                <w:bCs/>
                <w:sz w:val="18"/>
                <w:szCs w:val="18"/>
              </w:rPr>
              <w:t>Criteria</w:t>
            </w:r>
          </w:p>
        </w:tc>
        <w:tc>
          <w:tcPr>
            <w:tcW w:w="1000" w:type="dxa"/>
            <w:tcBorders>
              <w:bottom w:val="single" w:sz="18" w:space="0" w:color="auto"/>
            </w:tcBorders>
            <w:noWrap/>
          </w:tcPr>
          <w:p w14:paraId="62B0CE38"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m = 103 M = 105</w:t>
            </w:r>
          </w:p>
        </w:tc>
        <w:tc>
          <w:tcPr>
            <w:tcW w:w="1031" w:type="dxa"/>
            <w:tcBorders>
              <w:bottom w:val="single" w:sz="18" w:space="0" w:color="auto"/>
            </w:tcBorders>
            <w:noWrap/>
          </w:tcPr>
          <w:p w14:paraId="33E42AF6"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m = 103 M = 105</w:t>
            </w:r>
          </w:p>
        </w:tc>
        <w:tc>
          <w:tcPr>
            <w:tcW w:w="1088" w:type="dxa"/>
            <w:tcBorders>
              <w:bottom w:val="single" w:sz="18" w:space="0" w:color="auto"/>
            </w:tcBorders>
            <w:noWrap/>
          </w:tcPr>
          <w:p w14:paraId="5350F96E"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m = 103 M = 104</w:t>
            </w:r>
          </w:p>
        </w:tc>
        <w:tc>
          <w:tcPr>
            <w:tcW w:w="992" w:type="dxa"/>
            <w:tcBorders>
              <w:bottom w:val="single" w:sz="18" w:space="0" w:color="auto"/>
            </w:tcBorders>
            <w:noWrap/>
          </w:tcPr>
          <w:p w14:paraId="647DD789"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m = 10 M = 102</w:t>
            </w:r>
          </w:p>
        </w:tc>
        <w:tc>
          <w:tcPr>
            <w:tcW w:w="992" w:type="dxa"/>
            <w:tcBorders>
              <w:bottom w:val="single" w:sz="18" w:space="0" w:color="auto"/>
            </w:tcBorders>
            <w:noWrap/>
          </w:tcPr>
          <w:p w14:paraId="4AC29629"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m = 10 M = 102</w:t>
            </w:r>
          </w:p>
        </w:tc>
        <w:tc>
          <w:tcPr>
            <w:tcW w:w="977" w:type="dxa"/>
            <w:tcBorders>
              <w:bottom w:val="single" w:sz="18" w:space="0" w:color="auto"/>
            </w:tcBorders>
            <w:noWrap/>
          </w:tcPr>
          <w:p w14:paraId="2607723F"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m = 102 M = 103</w:t>
            </w:r>
          </w:p>
        </w:tc>
        <w:tc>
          <w:tcPr>
            <w:tcW w:w="1008" w:type="dxa"/>
            <w:tcBorders>
              <w:bottom w:val="single" w:sz="18" w:space="0" w:color="auto"/>
            </w:tcBorders>
            <w:noWrap/>
          </w:tcPr>
          <w:p w14:paraId="06B69C14"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Absence</w:t>
            </w:r>
          </w:p>
        </w:tc>
        <w:tc>
          <w:tcPr>
            <w:tcW w:w="992" w:type="dxa"/>
            <w:tcBorders>
              <w:bottom w:val="single" w:sz="18" w:space="0" w:color="auto"/>
            </w:tcBorders>
            <w:noWrap/>
          </w:tcPr>
          <w:p w14:paraId="268E5FCB" w14:textId="77777777" w:rsidR="00674764" w:rsidRPr="00674764" w:rsidRDefault="00674764" w:rsidP="00674764">
            <w:pPr>
              <w:spacing w:line="360" w:lineRule="auto"/>
              <w:jc w:val="both"/>
              <w:rPr>
                <w:rFonts w:ascii="Times New Roman" w:hAnsi="Times New Roman" w:cs="Times New Roman"/>
                <w:sz w:val="16"/>
                <w:szCs w:val="16"/>
              </w:rPr>
            </w:pPr>
            <w:r w:rsidRPr="00674764">
              <w:rPr>
                <w:rFonts w:ascii="Times New Roman" w:hAnsi="Times New Roman" w:cs="Times New Roman"/>
                <w:b/>
                <w:bCs/>
                <w:sz w:val="18"/>
                <w:szCs w:val="18"/>
              </w:rPr>
              <w:t>m = 1 M = 10</w:t>
            </w:r>
          </w:p>
        </w:tc>
      </w:tr>
    </w:tbl>
    <w:p w14:paraId="252B0086" w14:textId="77777777" w:rsidR="00674764" w:rsidRPr="00674764" w:rsidRDefault="00674764" w:rsidP="00674764">
      <w:pPr>
        <w:spacing w:after="0" w:line="240" w:lineRule="auto"/>
        <w:jc w:val="both"/>
        <w:rPr>
          <w:rFonts w:ascii="Times New Roman" w:hAnsi="Times New Roman" w:cs="Times New Roman"/>
          <w:sz w:val="18"/>
        </w:rPr>
      </w:pPr>
      <w:r w:rsidRPr="00674764">
        <w:rPr>
          <w:rFonts w:ascii="Times New Roman" w:hAnsi="Times New Roman" w:cs="Times New Roman"/>
          <w:sz w:val="18"/>
        </w:rPr>
        <w:t>G: Gnamankoudji</w:t>
      </w:r>
    </w:p>
    <w:p w14:paraId="7DBFE825" w14:textId="77777777" w:rsidR="00674764" w:rsidRPr="00674764" w:rsidRDefault="00674764" w:rsidP="00674764">
      <w:pPr>
        <w:spacing w:after="0" w:line="240" w:lineRule="auto"/>
        <w:jc w:val="both"/>
        <w:rPr>
          <w:rFonts w:ascii="Times New Roman" w:hAnsi="Times New Roman" w:cs="Times New Roman"/>
        </w:rPr>
      </w:pPr>
      <w:r w:rsidRPr="00674764">
        <w:rPr>
          <w:rFonts w:ascii="Times New Roman" w:hAnsi="Times New Roman" w:cs="Times New Roman"/>
          <w:sz w:val="18"/>
        </w:rPr>
        <w:t>B: Bissap</w:t>
      </w:r>
    </w:p>
    <w:p w14:paraId="4639E0FB" w14:textId="77777777" w:rsidR="00674764" w:rsidRPr="00674764" w:rsidRDefault="00674764" w:rsidP="00674764">
      <w:pPr>
        <w:spacing w:line="240" w:lineRule="auto"/>
        <w:jc w:val="both"/>
        <w:rPr>
          <w:rFonts w:ascii="Times New Roman" w:hAnsi="Times New Roman" w:cs="Times New Roman"/>
          <w:sz w:val="24"/>
        </w:rPr>
      </w:pPr>
      <w:r w:rsidRPr="00674764">
        <w:rPr>
          <w:rFonts w:ascii="Times New Roman" w:hAnsi="Times New Roman" w:cs="Times New Roman"/>
        </w:rPr>
        <w:t>Values ​​with the same letters are not significantly different (p&gt;0.05</w:t>
      </w:r>
      <w:r w:rsidRPr="00674764">
        <w:rPr>
          <w:rFonts w:ascii="Times New Roman" w:hAnsi="Times New Roman" w:cs="Times New Roman"/>
          <w:sz w:val="24"/>
        </w:rPr>
        <w:t>).</w:t>
      </w:r>
      <w:bookmarkStart w:id="8" w:name="_Toc218542009"/>
    </w:p>
    <w:p w14:paraId="3578DBAB" w14:textId="2FB7D21F" w:rsidR="00674764" w:rsidRPr="00674764" w:rsidRDefault="00674764" w:rsidP="00674764">
      <w:pPr>
        <w:spacing w:line="360" w:lineRule="auto"/>
        <w:jc w:val="both"/>
        <w:rPr>
          <w:rFonts w:ascii="Times New Roman" w:hAnsi="Times New Roman" w:cs="Times New Roman"/>
          <w:iCs/>
          <w:sz w:val="24"/>
        </w:rPr>
      </w:pPr>
      <w:r>
        <w:rPr>
          <w:rFonts w:ascii="Times New Roman" w:hAnsi="Times New Roman" w:cs="Times New Roman"/>
          <w:iCs/>
          <w:sz w:val="24"/>
        </w:rPr>
        <w:t xml:space="preserve">Table </w:t>
      </w:r>
      <w:r w:rsidRPr="00674764">
        <w:rPr>
          <w:rFonts w:ascii="Times New Roman" w:hAnsi="Times New Roman" w:cs="Times New Roman"/>
          <w:iCs/>
          <w:sz w:val="24"/>
        </w:rPr>
        <w:fldChar w:fldCharType="begin"/>
      </w:r>
      <w:r w:rsidRPr="00674764">
        <w:rPr>
          <w:rFonts w:ascii="Times New Roman" w:hAnsi="Times New Roman" w:cs="Times New Roman"/>
          <w:iCs/>
          <w:sz w:val="24"/>
        </w:rPr>
        <w:instrText xml:space="preserve"> SEQ Tableau \* ROMAN </w:instrText>
      </w:r>
      <w:r w:rsidRPr="00674764">
        <w:rPr>
          <w:rFonts w:ascii="Times New Roman" w:hAnsi="Times New Roman" w:cs="Times New Roman"/>
          <w:iCs/>
          <w:sz w:val="24"/>
        </w:rPr>
        <w:fldChar w:fldCharType="separate"/>
      </w:r>
      <w:r w:rsidRPr="00674764">
        <w:rPr>
          <w:rFonts w:ascii="Times New Roman" w:hAnsi="Times New Roman" w:cs="Times New Roman"/>
          <w:iCs/>
          <w:noProof/>
          <w:sz w:val="24"/>
        </w:rPr>
        <w:t>II</w:t>
      </w:r>
      <w:r w:rsidRPr="00674764">
        <w:rPr>
          <w:rFonts w:ascii="Times New Roman" w:hAnsi="Times New Roman" w:cs="Times New Roman"/>
          <w:sz w:val="24"/>
        </w:rPr>
        <w:fldChar w:fldCharType="end"/>
      </w:r>
      <w:r w:rsidR="00D01468">
        <w:rPr>
          <w:rFonts w:ascii="Times New Roman" w:hAnsi="Times New Roman" w:cs="Times New Roman"/>
          <w:sz w:val="24"/>
        </w:rPr>
        <w:t>I</w:t>
      </w:r>
      <w:r>
        <w:rPr>
          <w:rFonts w:ascii="Times New Roman" w:hAnsi="Times New Roman" w:cs="Times New Roman"/>
          <w:sz w:val="24"/>
        </w:rPr>
        <w:t xml:space="preserve"> : </w:t>
      </w:r>
      <w:r w:rsidRPr="00674764">
        <w:rPr>
          <w:rFonts w:ascii="Times New Roman" w:hAnsi="Times New Roman" w:cs="Times New Roman"/>
          <w:iCs/>
          <w:sz w:val="24"/>
        </w:rPr>
        <w:t xml:space="preserve">Presence of suspected strains of </w:t>
      </w:r>
      <w:r w:rsidRPr="00674764">
        <w:rPr>
          <w:rFonts w:ascii="Times New Roman" w:hAnsi="Times New Roman" w:cs="Times New Roman"/>
          <w:i/>
          <w:iCs/>
          <w:sz w:val="24"/>
        </w:rPr>
        <w:t>Listeria monocytogenes</w:t>
      </w:r>
      <w:r w:rsidRPr="00674764">
        <w:rPr>
          <w:rFonts w:ascii="Times New Roman" w:hAnsi="Times New Roman" w:cs="Times New Roman"/>
          <w:iCs/>
          <w:sz w:val="24"/>
        </w:rPr>
        <w:t xml:space="preserve"> and </w:t>
      </w:r>
      <w:r w:rsidRPr="00674764">
        <w:rPr>
          <w:rFonts w:ascii="Times New Roman" w:hAnsi="Times New Roman" w:cs="Times New Roman"/>
          <w:i/>
          <w:iCs/>
          <w:sz w:val="24"/>
        </w:rPr>
        <w:t xml:space="preserve">Bacillus cereus </w:t>
      </w:r>
      <w:r w:rsidRPr="00674764">
        <w:rPr>
          <w:rFonts w:ascii="Times New Roman" w:hAnsi="Times New Roman" w:cs="Times New Roman"/>
          <w:iCs/>
          <w:sz w:val="24"/>
        </w:rPr>
        <w:t>in Gnamankoudji and Bissap</w:t>
      </w:r>
      <w:bookmarkEnd w:id="8"/>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871"/>
        <w:gridCol w:w="90"/>
        <w:gridCol w:w="2859"/>
        <w:gridCol w:w="273"/>
        <w:gridCol w:w="1443"/>
        <w:gridCol w:w="158"/>
        <w:gridCol w:w="2358"/>
        <w:gridCol w:w="10"/>
      </w:tblGrid>
      <w:tr w:rsidR="00674764" w:rsidRPr="00674764" w14:paraId="63C5C1AF" w14:textId="77777777" w:rsidTr="00F24187">
        <w:trPr>
          <w:gridAfter w:val="1"/>
          <w:wAfter w:w="10" w:type="dxa"/>
        </w:trPr>
        <w:tc>
          <w:tcPr>
            <w:tcW w:w="1971" w:type="dxa"/>
            <w:gridSpan w:val="3"/>
            <w:tcBorders>
              <w:top w:val="single" w:sz="18" w:space="0" w:color="auto"/>
              <w:bottom w:val="single" w:sz="18" w:space="0" w:color="auto"/>
            </w:tcBorders>
          </w:tcPr>
          <w:p w14:paraId="78900AD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Study areas</w:t>
            </w:r>
          </w:p>
        </w:tc>
        <w:tc>
          <w:tcPr>
            <w:tcW w:w="2859" w:type="dxa"/>
            <w:tcBorders>
              <w:top w:val="single" w:sz="18" w:space="0" w:color="auto"/>
              <w:bottom w:val="single" w:sz="18" w:space="0" w:color="auto"/>
            </w:tcBorders>
          </w:tcPr>
          <w:p w14:paraId="48FC73CE"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Samples</w:t>
            </w:r>
          </w:p>
        </w:tc>
        <w:tc>
          <w:tcPr>
            <w:tcW w:w="1874" w:type="dxa"/>
            <w:gridSpan w:val="3"/>
            <w:tcBorders>
              <w:top w:val="single" w:sz="18" w:space="0" w:color="auto"/>
              <w:bottom w:val="single" w:sz="18" w:space="0" w:color="auto"/>
            </w:tcBorders>
          </w:tcPr>
          <w:p w14:paraId="17F38B5E"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
                <w:iCs/>
                <w:sz w:val="18"/>
              </w:rPr>
              <w:t>Bacillus cereus</w:t>
            </w:r>
          </w:p>
        </w:tc>
        <w:tc>
          <w:tcPr>
            <w:tcW w:w="2358" w:type="dxa"/>
            <w:tcBorders>
              <w:top w:val="single" w:sz="18" w:space="0" w:color="auto"/>
              <w:bottom w:val="single" w:sz="18" w:space="0" w:color="auto"/>
            </w:tcBorders>
          </w:tcPr>
          <w:p w14:paraId="75364D5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
                <w:iCs/>
                <w:sz w:val="18"/>
              </w:rPr>
              <w:t>Listeria monocytogenes</w:t>
            </w:r>
          </w:p>
          <w:p w14:paraId="3F420BA6" w14:textId="77777777" w:rsidR="00674764" w:rsidRPr="00674764" w:rsidRDefault="00674764" w:rsidP="00674764">
            <w:pPr>
              <w:tabs>
                <w:tab w:val="left" w:pos="7991"/>
              </w:tabs>
              <w:spacing w:line="360" w:lineRule="auto"/>
              <w:jc w:val="both"/>
              <w:rPr>
                <w:rFonts w:ascii="Times New Roman" w:hAnsi="Times New Roman" w:cs="Times New Roman"/>
                <w:i/>
                <w:iCs/>
                <w:sz w:val="18"/>
              </w:rPr>
            </w:pPr>
          </w:p>
        </w:tc>
      </w:tr>
      <w:tr w:rsidR="00674764" w:rsidRPr="00674764" w14:paraId="33D6C1A6" w14:textId="77777777" w:rsidTr="00F24187">
        <w:trPr>
          <w:gridAfter w:val="1"/>
          <w:wAfter w:w="10" w:type="dxa"/>
        </w:trPr>
        <w:tc>
          <w:tcPr>
            <w:tcW w:w="1971" w:type="dxa"/>
            <w:gridSpan w:val="3"/>
            <w:tcBorders>
              <w:top w:val="single" w:sz="18" w:space="0" w:color="auto"/>
            </w:tcBorders>
          </w:tcPr>
          <w:p w14:paraId="34A4435F"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Borders>
              <w:top w:val="single" w:sz="18" w:space="0" w:color="auto"/>
            </w:tcBorders>
          </w:tcPr>
          <w:p w14:paraId="1CB9637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677 B</w:t>
            </w:r>
          </w:p>
          <w:p w14:paraId="0F29787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677 G</w:t>
            </w:r>
          </w:p>
        </w:tc>
        <w:tc>
          <w:tcPr>
            <w:tcW w:w="1874" w:type="dxa"/>
            <w:gridSpan w:val="3"/>
            <w:tcBorders>
              <w:top w:val="single" w:sz="18" w:space="0" w:color="auto"/>
            </w:tcBorders>
          </w:tcPr>
          <w:p w14:paraId="44FE40F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90F539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Borders>
              <w:top w:val="single" w:sz="18" w:space="0" w:color="auto"/>
            </w:tcBorders>
          </w:tcPr>
          <w:p w14:paraId="0C06BE7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9C5C9AC"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vertAlign w:val="superscript"/>
              </w:rPr>
              <w:t>+</w:t>
            </w:r>
          </w:p>
        </w:tc>
      </w:tr>
      <w:tr w:rsidR="00674764" w:rsidRPr="00674764" w14:paraId="75356287" w14:textId="77777777" w:rsidTr="00F24187">
        <w:trPr>
          <w:gridAfter w:val="1"/>
          <w:wAfter w:w="10" w:type="dxa"/>
        </w:trPr>
        <w:tc>
          <w:tcPr>
            <w:tcW w:w="1971" w:type="dxa"/>
            <w:gridSpan w:val="3"/>
          </w:tcPr>
          <w:p w14:paraId="50CFC203"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4D52DC9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672 B</w:t>
            </w:r>
          </w:p>
          <w:p w14:paraId="7EE524C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672 G</w:t>
            </w:r>
          </w:p>
        </w:tc>
        <w:tc>
          <w:tcPr>
            <w:tcW w:w="1874" w:type="dxa"/>
            <w:gridSpan w:val="3"/>
          </w:tcPr>
          <w:p w14:paraId="37BFFE2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B8598F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2F4B5A63"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8D7431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r w:rsidR="00674764" w:rsidRPr="00674764" w14:paraId="18065A3D" w14:textId="77777777" w:rsidTr="00F24187">
        <w:trPr>
          <w:gridAfter w:val="1"/>
          <w:wAfter w:w="10" w:type="dxa"/>
        </w:trPr>
        <w:tc>
          <w:tcPr>
            <w:tcW w:w="1971" w:type="dxa"/>
            <w:gridSpan w:val="3"/>
          </w:tcPr>
          <w:p w14:paraId="1C11D672"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735CA19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674 B</w:t>
            </w:r>
          </w:p>
          <w:p w14:paraId="43AEFC7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674 G</w:t>
            </w:r>
          </w:p>
        </w:tc>
        <w:tc>
          <w:tcPr>
            <w:tcW w:w="1874" w:type="dxa"/>
            <w:gridSpan w:val="3"/>
          </w:tcPr>
          <w:p w14:paraId="2B180B1E"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46F45F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4BDC7DF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4D9F12E"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57E43079" w14:textId="77777777" w:rsidTr="00F24187">
        <w:trPr>
          <w:gridAfter w:val="1"/>
          <w:wAfter w:w="10" w:type="dxa"/>
        </w:trPr>
        <w:tc>
          <w:tcPr>
            <w:tcW w:w="1971" w:type="dxa"/>
            <w:gridSpan w:val="3"/>
          </w:tcPr>
          <w:p w14:paraId="46C0988C"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65A90A2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920 G</w:t>
            </w:r>
          </w:p>
          <w:p w14:paraId="20F74519"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920 B</w:t>
            </w:r>
          </w:p>
        </w:tc>
        <w:tc>
          <w:tcPr>
            <w:tcW w:w="1874" w:type="dxa"/>
            <w:gridSpan w:val="3"/>
          </w:tcPr>
          <w:p w14:paraId="49229C22"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4FCCAC3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79F71749"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174547E7"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47D649A2" w14:textId="77777777" w:rsidTr="00F24187">
        <w:trPr>
          <w:gridAfter w:val="1"/>
          <w:wAfter w:w="10" w:type="dxa"/>
        </w:trPr>
        <w:tc>
          <w:tcPr>
            <w:tcW w:w="1971" w:type="dxa"/>
            <w:gridSpan w:val="3"/>
          </w:tcPr>
          <w:p w14:paraId="68247DB4"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5AF743D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1575 B</w:t>
            </w:r>
          </w:p>
          <w:p w14:paraId="5AF3A7E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1575 G</w:t>
            </w:r>
          </w:p>
        </w:tc>
        <w:tc>
          <w:tcPr>
            <w:tcW w:w="1874" w:type="dxa"/>
            <w:gridSpan w:val="3"/>
          </w:tcPr>
          <w:p w14:paraId="507D970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D18756E"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2E5E078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852B42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r w:rsidR="00674764" w:rsidRPr="00674764" w14:paraId="1771EBB6" w14:textId="77777777" w:rsidTr="00F24187">
        <w:trPr>
          <w:gridAfter w:val="1"/>
          <w:wAfter w:w="10" w:type="dxa"/>
        </w:trPr>
        <w:tc>
          <w:tcPr>
            <w:tcW w:w="1971" w:type="dxa"/>
            <w:gridSpan w:val="3"/>
          </w:tcPr>
          <w:p w14:paraId="02D3A34C"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0C2C4D1D"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675 G</w:t>
            </w:r>
          </w:p>
          <w:p w14:paraId="1A97155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675 B</w:t>
            </w:r>
          </w:p>
        </w:tc>
        <w:tc>
          <w:tcPr>
            <w:tcW w:w="1874" w:type="dxa"/>
            <w:gridSpan w:val="3"/>
          </w:tcPr>
          <w:p w14:paraId="311AD09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CBFFBB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1C28840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95E7316"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001FF76B" w14:textId="77777777" w:rsidTr="00F24187">
        <w:trPr>
          <w:gridAfter w:val="1"/>
          <w:wAfter w:w="10" w:type="dxa"/>
        </w:trPr>
        <w:tc>
          <w:tcPr>
            <w:tcW w:w="1971" w:type="dxa"/>
            <w:gridSpan w:val="3"/>
          </w:tcPr>
          <w:p w14:paraId="086C5AFF"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3FEB8CC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2532 G</w:t>
            </w:r>
          </w:p>
          <w:p w14:paraId="4A8390B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2532 B</w:t>
            </w:r>
          </w:p>
        </w:tc>
        <w:tc>
          <w:tcPr>
            <w:tcW w:w="1874" w:type="dxa"/>
            <w:gridSpan w:val="3"/>
          </w:tcPr>
          <w:p w14:paraId="3453BD0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0B88B69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16D1F6B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0FF33409"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r w:rsidR="00674764" w:rsidRPr="00674764" w14:paraId="46A451B0" w14:textId="77777777" w:rsidTr="00F24187">
        <w:trPr>
          <w:gridAfter w:val="1"/>
          <w:wAfter w:w="10" w:type="dxa"/>
        </w:trPr>
        <w:tc>
          <w:tcPr>
            <w:tcW w:w="1971" w:type="dxa"/>
            <w:gridSpan w:val="3"/>
          </w:tcPr>
          <w:p w14:paraId="6563758C"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33A1661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294 G</w:t>
            </w:r>
          </w:p>
          <w:p w14:paraId="51D717C3"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294 B</w:t>
            </w:r>
          </w:p>
        </w:tc>
        <w:tc>
          <w:tcPr>
            <w:tcW w:w="1874" w:type="dxa"/>
            <w:gridSpan w:val="3"/>
          </w:tcPr>
          <w:p w14:paraId="43B77AA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0E8C782"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2D3AAF9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F6E833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0DAD2655"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p>
        </w:tc>
      </w:tr>
      <w:tr w:rsidR="00674764" w:rsidRPr="00674764" w14:paraId="1AD06795" w14:textId="77777777" w:rsidTr="00F24187">
        <w:trPr>
          <w:gridAfter w:val="1"/>
          <w:wAfter w:w="10" w:type="dxa"/>
        </w:trPr>
        <w:tc>
          <w:tcPr>
            <w:tcW w:w="1971" w:type="dxa"/>
            <w:gridSpan w:val="3"/>
          </w:tcPr>
          <w:p w14:paraId="28DE995E"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7EAE691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2790 B</w:t>
            </w:r>
          </w:p>
          <w:p w14:paraId="04035FB2"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2790 G</w:t>
            </w:r>
          </w:p>
        </w:tc>
        <w:tc>
          <w:tcPr>
            <w:tcW w:w="1874" w:type="dxa"/>
            <w:gridSpan w:val="3"/>
          </w:tcPr>
          <w:p w14:paraId="107AE15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523B0DA"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55448AC3"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418C467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D770A3C"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p>
        </w:tc>
      </w:tr>
      <w:tr w:rsidR="00674764" w:rsidRPr="00674764" w14:paraId="2C2D21D0" w14:textId="77777777" w:rsidTr="00F24187">
        <w:trPr>
          <w:gridAfter w:val="1"/>
          <w:wAfter w:w="10" w:type="dxa"/>
        </w:trPr>
        <w:tc>
          <w:tcPr>
            <w:tcW w:w="1971" w:type="dxa"/>
            <w:gridSpan w:val="3"/>
          </w:tcPr>
          <w:p w14:paraId="4822730E"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lastRenderedPageBreak/>
              <w:t>Daloa</w:t>
            </w:r>
          </w:p>
        </w:tc>
        <w:tc>
          <w:tcPr>
            <w:tcW w:w="2859" w:type="dxa"/>
          </w:tcPr>
          <w:p w14:paraId="6CA4B53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667 B</w:t>
            </w:r>
          </w:p>
          <w:p w14:paraId="05C872E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667 G</w:t>
            </w:r>
          </w:p>
        </w:tc>
        <w:tc>
          <w:tcPr>
            <w:tcW w:w="1874" w:type="dxa"/>
            <w:gridSpan w:val="3"/>
          </w:tcPr>
          <w:p w14:paraId="75ED71E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1382854"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526FDDF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28A3BA41"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1373F337" w14:textId="77777777" w:rsidTr="00F24187">
        <w:trPr>
          <w:gridAfter w:val="1"/>
          <w:wAfter w:w="10" w:type="dxa"/>
        </w:trPr>
        <w:tc>
          <w:tcPr>
            <w:tcW w:w="1971" w:type="dxa"/>
            <w:gridSpan w:val="3"/>
          </w:tcPr>
          <w:p w14:paraId="5A76E601"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1E628C1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2679 B</w:t>
            </w:r>
          </w:p>
          <w:p w14:paraId="45A5B62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2679 G</w:t>
            </w:r>
          </w:p>
        </w:tc>
        <w:tc>
          <w:tcPr>
            <w:tcW w:w="1874" w:type="dxa"/>
            <w:gridSpan w:val="3"/>
          </w:tcPr>
          <w:p w14:paraId="014B02C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5B5DCF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1CE9C4D3"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4F30853A"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1D973EFA" w14:textId="77777777" w:rsidTr="00F24187">
        <w:trPr>
          <w:gridAfter w:val="1"/>
          <w:wAfter w:w="10" w:type="dxa"/>
        </w:trPr>
        <w:tc>
          <w:tcPr>
            <w:tcW w:w="1971" w:type="dxa"/>
            <w:gridSpan w:val="3"/>
          </w:tcPr>
          <w:p w14:paraId="62464318"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3C88DFD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2680 B</w:t>
            </w:r>
          </w:p>
          <w:p w14:paraId="69FEFE3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2680 G</w:t>
            </w:r>
          </w:p>
        </w:tc>
        <w:tc>
          <w:tcPr>
            <w:tcW w:w="1874" w:type="dxa"/>
            <w:gridSpan w:val="3"/>
          </w:tcPr>
          <w:p w14:paraId="766B3AAD"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0AB6EF9E"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2713421D"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28DC117A"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614E48ED" w14:textId="77777777" w:rsidTr="00F24187">
        <w:trPr>
          <w:gridAfter w:val="1"/>
          <w:wAfter w:w="10" w:type="dxa"/>
        </w:trPr>
        <w:tc>
          <w:tcPr>
            <w:tcW w:w="1971" w:type="dxa"/>
            <w:gridSpan w:val="3"/>
          </w:tcPr>
          <w:p w14:paraId="4E57C580"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1840A0A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684 B</w:t>
            </w:r>
          </w:p>
          <w:p w14:paraId="0261239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684 G</w:t>
            </w:r>
          </w:p>
        </w:tc>
        <w:tc>
          <w:tcPr>
            <w:tcW w:w="1874" w:type="dxa"/>
            <w:gridSpan w:val="3"/>
          </w:tcPr>
          <w:p w14:paraId="639FB67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0127E62D"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72B608E3"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4C7FE3AD"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2CED95A9" w14:textId="77777777" w:rsidTr="00F24187">
        <w:trPr>
          <w:gridAfter w:val="1"/>
          <w:wAfter w:w="10" w:type="dxa"/>
        </w:trPr>
        <w:tc>
          <w:tcPr>
            <w:tcW w:w="1971" w:type="dxa"/>
            <w:gridSpan w:val="3"/>
          </w:tcPr>
          <w:p w14:paraId="13508737"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135FF7A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214 B</w:t>
            </w:r>
          </w:p>
          <w:p w14:paraId="63ACEE73"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214 G</w:t>
            </w:r>
          </w:p>
        </w:tc>
        <w:tc>
          <w:tcPr>
            <w:tcW w:w="1874" w:type="dxa"/>
            <w:gridSpan w:val="3"/>
          </w:tcPr>
          <w:p w14:paraId="7C44ACB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1A384E8"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292EA59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D93DF61"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719B09D6" w14:textId="77777777" w:rsidTr="00F24187">
        <w:trPr>
          <w:gridAfter w:val="1"/>
          <w:wAfter w:w="10" w:type="dxa"/>
        </w:trPr>
        <w:tc>
          <w:tcPr>
            <w:tcW w:w="1971" w:type="dxa"/>
            <w:gridSpan w:val="3"/>
          </w:tcPr>
          <w:p w14:paraId="31932CF7"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7630DEE3"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290 B</w:t>
            </w:r>
          </w:p>
          <w:p w14:paraId="4BE39E8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290 G</w:t>
            </w:r>
          </w:p>
        </w:tc>
        <w:tc>
          <w:tcPr>
            <w:tcW w:w="1874" w:type="dxa"/>
            <w:gridSpan w:val="3"/>
          </w:tcPr>
          <w:p w14:paraId="764588D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49EA9B8"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35E1D1F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34177BB"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0603AC83" w14:textId="77777777" w:rsidTr="00F24187">
        <w:trPr>
          <w:gridAfter w:val="1"/>
          <w:wAfter w:w="10" w:type="dxa"/>
        </w:trPr>
        <w:tc>
          <w:tcPr>
            <w:tcW w:w="1971" w:type="dxa"/>
            <w:gridSpan w:val="3"/>
          </w:tcPr>
          <w:p w14:paraId="63D54CD4"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08F1450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2483 B</w:t>
            </w:r>
          </w:p>
          <w:p w14:paraId="2AF2A3A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2483 G</w:t>
            </w:r>
          </w:p>
        </w:tc>
        <w:tc>
          <w:tcPr>
            <w:tcW w:w="1874" w:type="dxa"/>
            <w:gridSpan w:val="3"/>
          </w:tcPr>
          <w:p w14:paraId="397CB2F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FEA1573"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5245E2A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E15D11A"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552F67BA" w14:textId="77777777" w:rsidTr="00F24187">
        <w:trPr>
          <w:gridAfter w:val="1"/>
          <w:wAfter w:w="10" w:type="dxa"/>
        </w:trPr>
        <w:tc>
          <w:tcPr>
            <w:tcW w:w="1971" w:type="dxa"/>
            <w:gridSpan w:val="3"/>
          </w:tcPr>
          <w:p w14:paraId="55FDDDCD"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0732F4DE"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680 B</w:t>
            </w:r>
          </w:p>
          <w:p w14:paraId="48E891A2"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680 G</w:t>
            </w:r>
          </w:p>
        </w:tc>
        <w:tc>
          <w:tcPr>
            <w:tcW w:w="1874" w:type="dxa"/>
            <w:gridSpan w:val="3"/>
          </w:tcPr>
          <w:p w14:paraId="1D27DB6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1D18D94F"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c>
          <w:tcPr>
            <w:tcW w:w="2358" w:type="dxa"/>
          </w:tcPr>
          <w:p w14:paraId="5D556BD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116DD2A"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3DD391DE" w14:textId="77777777" w:rsidTr="00F24187">
        <w:trPr>
          <w:gridAfter w:val="1"/>
          <w:wAfter w:w="10" w:type="dxa"/>
        </w:trPr>
        <w:tc>
          <w:tcPr>
            <w:tcW w:w="1971" w:type="dxa"/>
            <w:gridSpan w:val="3"/>
            <w:tcBorders>
              <w:top w:val="single" w:sz="18" w:space="0" w:color="auto"/>
            </w:tcBorders>
          </w:tcPr>
          <w:p w14:paraId="16AB31C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Gboguhe</w:t>
            </w:r>
          </w:p>
        </w:tc>
        <w:tc>
          <w:tcPr>
            <w:tcW w:w="2859" w:type="dxa"/>
            <w:tcBorders>
              <w:top w:val="single" w:sz="18" w:space="0" w:color="auto"/>
            </w:tcBorders>
          </w:tcPr>
          <w:p w14:paraId="40A04AC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1663 G</w:t>
            </w:r>
          </w:p>
          <w:p w14:paraId="606248D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1663 B</w:t>
            </w:r>
          </w:p>
          <w:p w14:paraId="3591BDB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300g</w:t>
            </w:r>
          </w:p>
          <w:p w14:paraId="3329071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300 B</w:t>
            </w:r>
          </w:p>
        </w:tc>
        <w:tc>
          <w:tcPr>
            <w:tcW w:w="1874" w:type="dxa"/>
            <w:gridSpan w:val="3"/>
            <w:tcBorders>
              <w:top w:val="single" w:sz="18" w:space="0" w:color="auto"/>
            </w:tcBorders>
          </w:tcPr>
          <w:p w14:paraId="48024B8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1B1981F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C9CCD5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67E0A79"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0C64A092"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358" w:type="dxa"/>
            <w:tcBorders>
              <w:top w:val="single" w:sz="18" w:space="0" w:color="auto"/>
            </w:tcBorders>
          </w:tcPr>
          <w:p w14:paraId="0B70C80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00B55C0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4897481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EB556E5"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43280CDC" w14:textId="77777777" w:rsidTr="00F24187">
        <w:trPr>
          <w:gridAfter w:val="1"/>
          <w:wAfter w:w="10" w:type="dxa"/>
          <w:trHeight w:val="559"/>
        </w:trPr>
        <w:tc>
          <w:tcPr>
            <w:tcW w:w="1971" w:type="dxa"/>
            <w:gridSpan w:val="3"/>
          </w:tcPr>
          <w:p w14:paraId="788FC318"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Pr>
          <w:p w14:paraId="3E3C5A9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38 G</w:t>
            </w:r>
          </w:p>
          <w:p w14:paraId="2C6B476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38 B</w:t>
            </w:r>
          </w:p>
        </w:tc>
        <w:tc>
          <w:tcPr>
            <w:tcW w:w="1874" w:type="dxa"/>
            <w:gridSpan w:val="3"/>
          </w:tcPr>
          <w:p w14:paraId="2A9F8613" w14:textId="77777777" w:rsidR="00674764" w:rsidRPr="00674764" w:rsidRDefault="00674764" w:rsidP="00674764">
            <w:pPr>
              <w:tabs>
                <w:tab w:val="left" w:pos="795"/>
                <w:tab w:val="center" w:pos="829"/>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vertAlign w:val="superscript"/>
              </w:rPr>
              <w:tab/>
            </w:r>
            <w:r w:rsidRPr="00674764">
              <w:rPr>
                <w:rFonts w:ascii="Times New Roman" w:hAnsi="Times New Roman" w:cs="Times New Roman"/>
                <w:iCs/>
                <w:sz w:val="18"/>
                <w:vertAlign w:val="superscript"/>
              </w:rPr>
              <w:tab/>
            </w:r>
            <w:r w:rsidRPr="00674764">
              <w:rPr>
                <w:rFonts w:ascii="Times New Roman" w:hAnsi="Times New Roman" w:cs="Times New Roman"/>
                <w:iCs/>
                <w:sz w:val="18"/>
              </w:rPr>
              <w:t>-</w:t>
            </w:r>
          </w:p>
          <w:p w14:paraId="44E7553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9BC7E9C"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p>
        </w:tc>
        <w:tc>
          <w:tcPr>
            <w:tcW w:w="2358" w:type="dxa"/>
          </w:tcPr>
          <w:p w14:paraId="4F5214E4"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1AF8502A"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vertAlign w:val="superscript"/>
              </w:rPr>
              <w:t>-</w:t>
            </w:r>
          </w:p>
        </w:tc>
      </w:tr>
      <w:tr w:rsidR="00674764" w:rsidRPr="00674764" w14:paraId="78F437B6" w14:textId="77777777" w:rsidTr="00F24187">
        <w:trPr>
          <w:gridAfter w:val="1"/>
          <w:wAfter w:w="10" w:type="dxa"/>
        </w:trPr>
        <w:tc>
          <w:tcPr>
            <w:tcW w:w="1971" w:type="dxa"/>
            <w:gridSpan w:val="3"/>
            <w:tcBorders>
              <w:top w:val="single" w:sz="18" w:space="0" w:color="auto"/>
            </w:tcBorders>
          </w:tcPr>
          <w:p w14:paraId="72823733"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859" w:type="dxa"/>
            <w:tcBorders>
              <w:top w:val="single" w:sz="18" w:space="0" w:color="auto"/>
            </w:tcBorders>
          </w:tcPr>
          <w:p w14:paraId="088C933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666 G</w:t>
            </w:r>
          </w:p>
          <w:p w14:paraId="13F8903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666 B</w:t>
            </w:r>
          </w:p>
        </w:tc>
        <w:tc>
          <w:tcPr>
            <w:tcW w:w="1874" w:type="dxa"/>
            <w:gridSpan w:val="3"/>
            <w:tcBorders>
              <w:top w:val="single" w:sz="18" w:space="0" w:color="auto"/>
            </w:tcBorders>
          </w:tcPr>
          <w:p w14:paraId="41C0F1F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220F206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Borders>
              <w:top w:val="single" w:sz="18" w:space="0" w:color="auto"/>
            </w:tcBorders>
          </w:tcPr>
          <w:p w14:paraId="395A74B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E3D83C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r w:rsidR="00674764" w:rsidRPr="00674764" w14:paraId="39B5B883" w14:textId="77777777" w:rsidTr="00F24187">
        <w:trPr>
          <w:gridAfter w:val="1"/>
          <w:wAfter w:w="10" w:type="dxa"/>
        </w:trPr>
        <w:tc>
          <w:tcPr>
            <w:tcW w:w="1971" w:type="dxa"/>
            <w:gridSpan w:val="3"/>
          </w:tcPr>
          <w:p w14:paraId="4C0A2E9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Bediala</w:t>
            </w:r>
          </w:p>
        </w:tc>
        <w:tc>
          <w:tcPr>
            <w:tcW w:w="2859" w:type="dxa"/>
          </w:tcPr>
          <w:p w14:paraId="3DAA18DE"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205 G</w:t>
            </w:r>
          </w:p>
          <w:p w14:paraId="4188D77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205 B</w:t>
            </w:r>
          </w:p>
        </w:tc>
        <w:tc>
          <w:tcPr>
            <w:tcW w:w="1874" w:type="dxa"/>
            <w:gridSpan w:val="3"/>
          </w:tcPr>
          <w:p w14:paraId="39BEA96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2759E9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358" w:type="dxa"/>
          </w:tcPr>
          <w:p w14:paraId="555226AD"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4BA2A58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r w:rsidR="00674764" w:rsidRPr="00674764" w14:paraId="42169168" w14:textId="77777777" w:rsidTr="00F24187">
        <w:trPr>
          <w:gridBefore w:val="1"/>
          <w:wBefore w:w="10" w:type="dxa"/>
          <w:trHeight w:val="646"/>
        </w:trPr>
        <w:tc>
          <w:tcPr>
            <w:tcW w:w="1871" w:type="dxa"/>
            <w:tcBorders>
              <w:top w:val="single" w:sz="18" w:space="0" w:color="auto"/>
              <w:bottom w:val="single" w:sz="18" w:space="0" w:color="auto"/>
            </w:tcBorders>
          </w:tcPr>
          <w:p w14:paraId="0B744C7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Zaibo</w:t>
            </w:r>
          </w:p>
        </w:tc>
        <w:tc>
          <w:tcPr>
            <w:tcW w:w="3222" w:type="dxa"/>
            <w:gridSpan w:val="3"/>
            <w:tcBorders>
              <w:top w:val="single" w:sz="18" w:space="0" w:color="auto"/>
              <w:bottom w:val="single" w:sz="18" w:space="0" w:color="auto"/>
            </w:tcBorders>
          </w:tcPr>
          <w:p w14:paraId="07A620A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1171 B</w:t>
            </w:r>
          </w:p>
          <w:p w14:paraId="0B3FCC6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1171 G</w:t>
            </w:r>
          </w:p>
        </w:tc>
        <w:tc>
          <w:tcPr>
            <w:tcW w:w="1443" w:type="dxa"/>
            <w:tcBorders>
              <w:top w:val="single" w:sz="18" w:space="0" w:color="auto"/>
              <w:bottom w:val="single" w:sz="18" w:space="0" w:color="auto"/>
            </w:tcBorders>
          </w:tcPr>
          <w:p w14:paraId="2991A9E5"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42F702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3AEFAB8B"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526" w:type="dxa"/>
            <w:gridSpan w:val="3"/>
            <w:tcBorders>
              <w:top w:val="single" w:sz="18" w:space="0" w:color="auto"/>
              <w:bottom w:val="single" w:sz="18" w:space="0" w:color="auto"/>
            </w:tcBorders>
          </w:tcPr>
          <w:p w14:paraId="1794BFA0"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40882595" w14:textId="77777777" w:rsidR="00674764" w:rsidRPr="00674764" w:rsidRDefault="00674764" w:rsidP="00674764">
            <w:pPr>
              <w:tabs>
                <w:tab w:val="left" w:pos="7991"/>
              </w:tabs>
              <w:spacing w:line="360" w:lineRule="auto"/>
              <w:jc w:val="both"/>
              <w:rPr>
                <w:rFonts w:ascii="Times New Roman" w:hAnsi="Times New Roman" w:cs="Times New Roman"/>
                <w:iCs/>
                <w:sz w:val="18"/>
                <w:vertAlign w:val="superscript"/>
              </w:rPr>
            </w:pPr>
            <w:r w:rsidRPr="00674764">
              <w:rPr>
                <w:rFonts w:ascii="Times New Roman" w:hAnsi="Times New Roman" w:cs="Times New Roman"/>
                <w:iCs/>
                <w:sz w:val="18"/>
              </w:rPr>
              <w:t>+</w:t>
            </w:r>
          </w:p>
        </w:tc>
      </w:tr>
      <w:tr w:rsidR="00674764" w:rsidRPr="00674764" w14:paraId="26EF84FD" w14:textId="77777777" w:rsidTr="00F24187">
        <w:trPr>
          <w:gridBefore w:val="1"/>
          <w:wBefore w:w="10" w:type="dxa"/>
        </w:trPr>
        <w:tc>
          <w:tcPr>
            <w:tcW w:w="1871" w:type="dxa"/>
            <w:tcBorders>
              <w:top w:val="single" w:sz="18" w:space="0" w:color="auto"/>
              <w:bottom w:val="single" w:sz="18" w:space="0" w:color="auto"/>
            </w:tcBorders>
          </w:tcPr>
          <w:p w14:paraId="76D5192C"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Gadouan</w:t>
            </w:r>
          </w:p>
        </w:tc>
        <w:tc>
          <w:tcPr>
            <w:tcW w:w="3222" w:type="dxa"/>
            <w:gridSpan w:val="3"/>
            <w:tcBorders>
              <w:top w:val="single" w:sz="18" w:space="0" w:color="auto"/>
              <w:bottom w:val="single" w:sz="18" w:space="0" w:color="auto"/>
            </w:tcBorders>
          </w:tcPr>
          <w:p w14:paraId="6833976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1663 G</w:t>
            </w:r>
          </w:p>
          <w:p w14:paraId="1E4361BF"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1663 B</w:t>
            </w:r>
          </w:p>
        </w:tc>
        <w:tc>
          <w:tcPr>
            <w:tcW w:w="1443" w:type="dxa"/>
            <w:tcBorders>
              <w:top w:val="single" w:sz="18" w:space="0" w:color="auto"/>
              <w:bottom w:val="single" w:sz="18" w:space="0" w:color="auto"/>
            </w:tcBorders>
          </w:tcPr>
          <w:p w14:paraId="1A099962"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D4DF28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526" w:type="dxa"/>
            <w:gridSpan w:val="3"/>
            <w:tcBorders>
              <w:top w:val="single" w:sz="18" w:space="0" w:color="auto"/>
              <w:bottom w:val="single" w:sz="18" w:space="0" w:color="auto"/>
            </w:tcBorders>
          </w:tcPr>
          <w:p w14:paraId="325E3282"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62C47CAB"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r w:rsidR="00674764" w:rsidRPr="00674764" w14:paraId="0FC4726B" w14:textId="77777777" w:rsidTr="00F24187">
        <w:trPr>
          <w:gridBefore w:val="1"/>
          <w:wBefore w:w="10" w:type="dxa"/>
        </w:trPr>
        <w:tc>
          <w:tcPr>
            <w:tcW w:w="1871" w:type="dxa"/>
            <w:tcBorders>
              <w:top w:val="single" w:sz="18" w:space="0" w:color="auto"/>
            </w:tcBorders>
          </w:tcPr>
          <w:p w14:paraId="4DCDA1B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Gonate</w:t>
            </w:r>
          </w:p>
        </w:tc>
        <w:tc>
          <w:tcPr>
            <w:tcW w:w="3222" w:type="dxa"/>
            <w:gridSpan w:val="3"/>
            <w:tcBorders>
              <w:top w:val="single" w:sz="18" w:space="0" w:color="auto"/>
            </w:tcBorders>
          </w:tcPr>
          <w:p w14:paraId="64C1F871"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668 G</w:t>
            </w:r>
          </w:p>
          <w:p w14:paraId="0064F6C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668 B</w:t>
            </w:r>
          </w:p>
        </w:tc>
        <w:tc>
          <w:tcPr>
            <w:tcW w:w="1443" w:type="dxa"/>
            <w:tcBorders>
              <w:top w:val="single" w:sz="18" w:space="0" w:color="auto"/>
            </w:tcBorders>
          </w:tcPr>
          <w:p w14:paraId="3C5BB6BD"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257E3BF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76CF49A5"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2526" w:type="dxa"/>
            <w:gridSpan w:val="3"/>
            <w:tcBorders>
              <w:top w:val="single" w:sz="18" w:space="0" w:color="auto"/>
            </w:tcBorders>
          </w:tcPr>
          <w:p w14:paraId="094933C2"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85353D8"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r w:rsidR="00674764" w:rsidRPr="00674764" w14:paraId="00F5438F" w14:textId="77777777" w:rsidTr="00F24187">
        <w:trPr>
          <w:gridBefore w:val="1"/>
          <w:wBefore w:w="10" w:type="dxa"/>
        </w:trPr>
        <w:tc>
          <w:tcPr>
            <w:tcW w:w="1871" w:type="dxa"/>
            <w:tcBorders>
              <w:bottom w:val="single" w:sz="18" w:space="0" w:color="auto"/>
            </w:tcBorders>
          </w:tcPr>
          <w:p w14:paraId="7E662A64" w14:textId="77777777" w:rsidR="00674764" w:rsidRPr="00674764" w:rsidRDefault="00674764" w:rsidP="00674764">
            <w:pPr>
              <w:tabs>
                <w:tab w:val="left" w:pos="7991"/>
              </w:tabs>
              <w:spacing w:line="360" w:lineRule="auto"/>
              <w:jc w:val="both"/>
              <w:rPr>
                <w:rFonts w:ascii="Times New Roman" w:hAnsi="Times New Roman" w:cs="Times New Roman"/>
                <w:iCs/>
                <w:sz w:val="18"/>
              </w:rPr>
            </w:pPr>
          </w:p>
        </w:tc>
        <w:tc>
          <w:tcPr>
            <w:tcW w:w="3222" w:type="dxa"/>
            <w:gridSpan w:val="3"/>
            <w:tcBorders>
              <w:bottom w:val="single" w:sz="18" w:space="0" w:color="auto"/>
            </w:tcBorders>
          </w:tcPr>
          <w:p w14:paraId="30752F06"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542 G</w:t>
            </w:r>
          </w:p>
          <w:p w14:paraId="1A99B3D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542 B</w:t>
            </w:r>
          </w:p>
        </w:tc>
        <w:tc>
          <w:tcPr>
            <w:tcW w:w="1443" w:type="dxa"/>
            <w:tcBorders>
              <w:bottom w:val="single" w:sz="18" w:space="0" w:color="auto"/>
            </w:tcBorders>
          </w:tcPr>
          <w:p w14:paraId="15956E4A"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20B4DA49"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c>
          <w:tcPr>
            <w:tcW w:w="2526" w:type="dxa"/>
            <w:gridSpan w:val="3"/>
            <w:tcBorders>
              <w:bottom w:val="single" w:sz="18" w:space="0" w:color="auto"/>
            </w:tcBorders>
          </w:tcPr>
          <w:p w14:paraId="5526EE59"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p w14:paraId="51929F47" w14:textId="77777777" w:rsidR="00674764" w:rsidRPr="00674764" w:rsidRDefault="00674764" w:rsidP="00674764">
            <w:pPr>
              <w:tabs>
                <w:tab w:val="left" w:pos="7991"/>
              </w:tabs>
              <w:spacing w:line="360" w:lineRule="auto"/>
              <w:jc w:val="both"/>
              <w:rPr>
                <w:rFonts w:ascii="Times New Roman" w:hAnsi="Times New Roman" w:cs="Times New Roman"/>
                <w:iCs/>
                <w:sz w:val="18"/>
              </w:rPr>
            </w:pPr>
            <w:r w:rsidRPr="00674764">
              <w:rPr>
                <w:rFonts w:ascii="Times New Roman" w:hAnsi="Times New Roman" w:cs="Times New Roman"/>
                <w:iCs/>
                <w:sz w:val="18"/>
              </w:rPr>
              <w:t>-</w:t>
            </w:r>
          </w:p>
        </w:tc>
      </w:tr>
    </w:tbl>
    <w:p w14:paraId="5C2D737A" w14:textId="77777777" w:rsidR="00674764" w:rsidRPr="00674764" w:rsidRDefault="00674764" w:rsidP="00674764">
      <w:pPr>
        <w:spacing w:after="0" w:line="240" w:lineRule="auto"/>
        <w:jc w:val="both"/>
        <w:rPr>
          <w:rFonts w:ascii="Times New Roman" w:hAnsi="Times New Roman" w:cs="Times New Roman"/>
          <w:sz w:val="16"/>
        </w:rPr>
      </w:pPr>
      <w:r w:rsidRPr="00674764">
        <w:rPr>
          <w:rFonts w:ascii="Times New Roman" w:hAnsi="Times New Roman" w:cs="Times New Roman"/>
          <w:sz w:val="16"/>
        </w:rPr>
        <w:t>G: Gnamankoudji; B: Bissap; Presence: +; Absence: -</w:t>
      </w:r>
    </w:p>
    <w:p w14:paraId="56B407CE" w14:textId="77777777" w:rsidR="00674764" w:rsidRPr="00674764" w:rsidRDefault="00674764" w:rsidP="00674764">
      <w:pPr>
        <w:tabs>
          <w:tab w:val="left" w:pos="7991"/>
        </w:tabs>
        <w:spacing w:after="0" w:line="240" w:lineRule="auto"/>
        <w:jc w:val="both"/>
        <w:rPr>
          <w:rFonts w:ascii="Times New Roman" w:hAnsi="Times New Roman" w:cs="Times New Roman"/>
          <w:sz w:val="16"/>
        </w:rPr>
      </w:pPr>
      <w:r w:rsidRPr="00674764">
        <w:rPr>
          <w:rFonts w:ascii="Times New Roman" w:hAnsi="Times New Roman" w:cs="Times New Roman"/>
          <w:sz w:val="16"/>
        </w:rPr>
        <w:t>666 (urban health center) -205 (rural dispensary): Bediala; 542 (rural dispensary) -668 (rural health center): Gonate; 677 (Health District) - 672 (Urban Dispensary) - 674 (Maternal and Child Protection) - 920 (Civil Prison Infirmary) - 1575 (INHP Branch) - 675 (School and University Health Service) - 2532 (Leprosarium) - 294 (Regional Hospital Center) - 2790 (Antilope Clinic) - 667 (Rural Maternity Hospital - Groguhe) - 2679 (Rural Dispensary - Zepreguhe) - 2680 (Rural Health Center - Zokoguhe) - 684 (Rural Dispensary - Tagoura) - 214 (Rural Dispensary - Tahiraguhe) - 290 (Rural Dispensary - Niouboua) - 2483 (Rural Dispensary - Seria) - 680 (Medical and Social Center): Daloa; 1171 (Urban Health Center): Zaibo; 682 (Urban Health Center): Gadouan; 1663 (urban health center-Gboguhe) -38 (rural dispensary-Bribouo) -300 (integrated health center type 2 Digbapia): Gboguhe</w:t>
      </w:r>
    </w:p>
    <w:p w14:paraId="539C5223" w14:textId="77777777" w:rsidR="00674764" w:rsidRPr="00674764" w:rsidRDefault="00674764" w:rsidP="00674764">
      <w:pPr>
        <w:tabs>
          <w:tab w:val="left" w:pos="1440"/>
        </w:tabs>
        <w:spacing w:line="240" w:lineRule="auto"/>
        <w:jc w:val="both"/>
        <w:rPr>
          <w:rFonts w:ascii="Times New Roman" w:hAnsi="Times New Roman" w:cs="Times New Roman"/>
          <w:sz w:val="16"/>
        </w:rPr>
      </w:pPr>
      <w:r w:rsidRPr="00674764">
        <w:rPr>
          <w:rFonts w:ascii="Times New Roman" w:hAnsi="Times New Roman" w:cs="Times New Roman"/>
          <w:sz w:val="16"/>
        </w:rPr>
        <w:t>The same letters in the same column show that there is no significant difference between the means. However, there is a significant difference when the letters are different.</w:t>
      </w:r>
    </w:p>
    <w:p w14:paraId="2F07DC90" w14:textId="77777777" w:rsidR="00674764" w:rsidRPr="00674764" w:rsidRDefault="00674764" w:rsidP="00674764">
      <w:pPr>
        <w:spacing w:after="0" w:line="360" w:lineRule="auto"/>
        <w:jc w:val="both"/>
        <w:rPr>
          <w:rFonts w:ascii="Times New Roman" w:hAnsi="Times New Roman" w:cs="Times New Roman"/>
          <w:sz w:val="18"/>
        </w:rPr>
      </w:pPr>
    </w:p>
    <w:p w14:paraId="5BA53D9A"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b/>
          <w:noProof/>
          <w:sz w:val="24"/>
          <w:lang w:eastAsia="fr-FR"/>
        </w:rPr>
        <w:drawing>
          <wp:inline distT="0" distB="0" distL="0" distR="0" wp14:anchorId="581F2C20" wp14:editId="3EEC9B9F">
            <wp:extent cx="2732315" cy="2866988"/>
            <wp:effectExtent l="0" t="0" r="0" b="0"/>
            <wp:docPr id="7" name="Image 3">
              <a:extLst xmlns:a="http://schemas.openxmlformats.org/drawingml/2006/main">
                <a:ext uri="{FF2B5EF4-FFF2-40B4-BE49-F238E27FC236}">
                  <a16:creationId xmlns:a16="http://schemas.microsoft.com/office/drawing/2014/main" id="{17890083-8E79-CAD5-314A-8E12A2A0EF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17890083-8E79-CAD5-314A-8E12A2A0EF7E}"/>
                        </a:ext>
                      </a:extLst>
                    </pic:cNvPr>
                    <pic:cNvPicPr>
                      <a:picLocks noChangeAspect="1"/>
                    </pic:cNvPicPr>
                  </pic:nvPicPr>
                  <pic:blipFill>
                    <a:blip r:embed="rId9"/>
                    <a:srcRect l="-1" t="4792" r="1064"/>
                    <a:stretch/>
                  </pic:blipFill>
                  <pic:spPr>
                    <a:xfrm>
                      <a:off x="0" y="0"/>
                      <a:ext cx="2768555" cy="2905014"/>
                    </a:xfrm>
                    <a:prstGeom prst="rect">
                      <a:avLst/>
                    </a:prstGeom>
                  </pic:spPr>
                </pic:pic>
              </a:graphicData>
            </a:graphic>
          </wp:inline>
        </w:drawing>
      </w:r>
      <w:r w:rsidRPr="00674764">
        <w:rPr>
          <w:rFonts w:ascii="Times New Roman" w:hAnsi="Times New Roman" w:cs="Times New Roman"/>
          <w:b/>
          <w:noProof/>
          <w:sz w:val="24"/>
          <w:lang w:eastAsia="fr-FR"/>
        </w:rPr>
        <w:drawing>
          <wp:inline distT="0" distB="0" distL="0" distR="0" wp14:anchorId="161B04FF" wp14:editId="259B6322">
            <wp:extent cx="2791838" cy="2998907"/>
            <wp:effectExtent l="0" t="0" r="8890" b="0"/>
            <wp:docPr id="8" name="Image 8">
              <a:extLst xmlns:a="http://schemas.openxmlformats.org/drawingml/2006/main">
                <a:ext uri="{FF2B5EF4-FFF2-40B4-BE49-F238E27FC236}">
                  <a16:creationId xmlns:a16="http://schemas.microsoft.com/office/drawing/2014/main" id="{F376B162-BCC5-9A20-083A-54014FF842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F376B162-BCC5-9A20-083A-54014FF8420E}"/>
                        </a:ext>
                      </a:extLst>
                    </pic:cNvPr>
                    <pic:cNvPicPr>
                      <a:picLocks noChangeAspect="1"/>
                    </pic:cNvPicPr>
                  </pic:nvPicPr>
                  <pic:blipFill>
                    <a:blip r:embed="rId10"/>
                    <a:srcRect b="1809"/>
                    <a:stretch/>
                  </pic:blipFill>
                  <pic:spPr>
                    <a:xfrm>
                      <a:off x="0" y="0"/>
                      <a:ext cx="2824862" cy="3034380"/>
                    </a:xfrm>
                    <a:prstGeom prst="rect">
                      <a:avLst/>
                    </a:prstGeom>
                  </pic:spPr>
                </pic:pic>
              </a:graphicData>
            </a:graphic>
          </wp:inline>
        </w:drawing>
      </w:r>
    </w:p>
    <w:p w14:paraId="6D392D1C" w14:textId="77777777" w:rsidR="00674764" w:rsidRPr="00674764" w:rsidRDefault="00674764" w:rsidP="00674764">
      <w:pPr>
        <w:spacing w:line="360" w:lineRule="auto"/>
        <w:jc w:val="both"/>
        <w:rPr>
          <w:rFonts w:ascii="Times New Roman" w:hAnsi="Times New Roman" w:cs="Times New Roman"/>
          <w:iCs/>
          <w:sz w:val="24"/>
        </w:rPr>
      </w:pPr>
      <w:bookmarkStart w:id="9" w:name="_Toc201431282"/>
      <w:bookmarkStart w:id="10" w:name="_Toc218542193"/>
      <w:r w:rsidRPr="00674764">
        <w:rPr>
          <w:rFonts w:ascii="Times New Roman" w:hAnsi="Times New Roman" w:cs="Times New Roman"/>
          <w:iCs/>
          <w:sz w:val="24"/>
        </w:rPr>
        <w:t xml:space="preserve">Figure </w:t>
      </w:r>
      <w:r w:rsidRPr="00674764">
        <w:rPr>
          <w:rFonts w:ascii="Times New Roman" w:hAnsi="Times New Roman" w:cs="Times New Roman"/>
          <w:iCs/>
          <w:sz w:val="24"/>
        </w:rPr>
        <w:fldChar w:fldCharType="begin"/>
      </w:r>
      <w:r w:rsidRPr="00674764">
        <w:rPr>
          <w:rFonts w:ascii="Times New Roman" w:hAnsi="Times New Roman" w:cs="Times New Roman"/>
          <w:iCs/>
          <w:sz w:val="24"/>
        </w:rPr>
        <w:instrText xml:space="preserve"> SEQ Figure \* ARABIC </w:instrText>
      </w:r>
      <w:r w:rsidRPr="00674764">
        <w:rPr>
          <w:rFonts w:ascii="Times New Roman" w:hAnsi="Times New Roman" w:cs="Times New Roman"/>
          <w:iCs/>
          <w:sz w:val="24"/>
        </w:rPr>
        <w:fldChar w:fldCharType="separate"/>
      </w:r>
      <w:r w:rsidRPr="00674764">
        <w:rPr>
          <w:rFonts w:ascii="Times New Roman" w:hAnsi="Times New Roman" w:cs="Times New Roman"/>
          <w:iCs/>
          <w:noProof/>
          <w:sz w:val="24"/>
        </w:rPr>
        <w:t>3</w:t>
      </w:r>
      <w:r w:rsidRPr="00674764">
        <w:rPr>
          <w:rFonts w:ascii="Times New Roman" w:hAnsi="Times New Roman" w:cs="Times New Roman"/>
          <w:sz w:val="24"/>
        </w:rPr>
        <w:fldChar w:fldCharType="end"/>
      </w:r>
      <w:r w:rsidRPr="00674764">
        <w:rPr>
          <w:rFonts w:ascii="Times New Roman" w:hAnsi="Times New Roman" w:cs="Times New Roman"/>
          <w:sz w:val="24"/>
        </w:rPr>
        <w:t xml:space="preserve"> : </w:t>
      </w:r>
      <w:r w:rsidRPr="00674764">
        <w:rPr>
          <w:rFonts w:ascii="Times New Roman" w:hAnsi="Times New Roman" w:cs="Times New Roman"/>
          <w:iCs/>
          <w:sz w:val="24"/>
        </w:rPr>
        <w:t>PCA of the different beverages studied and the microorganisms sought</w:t>
      </w:r>
      <w:bookmarkEnd w:id="9"/>
      <w:bookmarkEnd w:id="10"/>
    </w:p>
    <w:p w14:paraId="45848827" w14:textId="77777777" w:rsidR="00674764" w:rsidRPr="00674764" w:rsidRDefault="00674764" w:rsidP="00674764">
      <w:pPr>
        <w:spacing w:line="360" w:lineRule="auto"/>
        <w:jc w:val="both"/>
        <w:rPr>
          <w:rFonts w:ascii="Times New Roman" w:hAnsi="Times New Roman" w:cs="Times New Roman"/>
          <w:sz w:val="24"/>
        </w:rPr>
      </w:pPr>
    </w:p>
    <w:tbl>
      <w:tblPr>
        <w:tblStyle w:val="TableGrid0"/>
        <w:tblW w:w="9360" w:type="dxa"/>
        <w:tblInd w:w="5" w:type="dxa"/>
        <w:tblLook w:val="04A0" w:firstRow="1" w:lastRow="0" w:firstColumn="1" w:lastColumn="0" w:noHBand="0" w:noVBand="1"/>
      </w:tblPr>
      <w:tblGrid>
        <w:gridCol w:w="9360"/>
      </w:tblGrid>
      <w:tr w:rsidR="00674764" w:rsidRPr="00674764" w14:paraId="10F57BC2" w14:textId="77777777" w:rsidTr="00F24187">
        <w:trPr>
          <w:trHeight w:val="4674"/>
        </w:trPr>
        <w:tc>
          <w:tcPr>
            <w:tcW w:w="9360" w:type="dxa"/>
          </w:tcPr>
          <w:p w14:paraId="0868191D" w14:textId="77777777" w:rsidR="00674764" w:rsidRPr="00674764" w:rsidRDefault="00674764" w:rsidP="00674764">
            <w:pPr>
              <w:spacing w:line="360" w:lineRule="auto"/>
              <w:jc w:val="both"/>
              <w:rPr>
                <w:rFonts w:ascii="Times New Roman" w:hAnsi="Times New Roman" w:cs="Times New Roman"/>
                <w:b/>
                <w:sz w:val="24"/>
              </w:rPr>
            </w:pPr>
            <w:r w:rsidRPr="00674764">
              <w:rPr>
                <w:noProof/>
              </w:rPr>
              <w:drawing>
                <wp:inline distT="0" distB="0" distL="0" distR="0" wp14:anchorId="5536E78B" wp14:editId="365D9152">
                  <wp:extent cx="2499360" cy="2279904"/>
                  <wp:effectExtent l="0" t="0" r="0" b="6350"/>
                  <wp:docPr id="9" name="Picture"/>
                  <wp:cNvGraphicFramePr/>
                  <a:graphic xmlns:a="http://schemas.openxmlformats.org/drawingml/2006/main">
                    <a:graphicData uri="http://schemas.openxmlformats.org/drawingml/2006/picture">
                      <pic:pic xmlns:pic="http://schemas.openxmlformats.org/drawingml/2006/picture">
                        <pic:nvPicPr>
                          <pic:cNvPr id="27" name="Picture" descr="Rapport_AFC_2025-04-14_files/figure-docx/unnamed-chunk-3-1.png"/>
                          <pic:cNvPicPr>
                            <a:picLocks noChangeAspect="1" noChangeArrowheads="1"/>
                          </pic:cNvPicPr>
                        </pic:nvPicPr>
                        <pic:blipFill rotWithShape="1">
                          <a:blip r:embed="rId11"/>
                          <a:srcRect l="16411" t="4775" r="13622"/>
                          <a:stretch/>
                        </pic:blipFill>
                        <pic:spPr bwMode="auto">
                          <a:xfrm>
                            <a:off x="0" y="0"/>
                            <a:ext cx="2510761" cy="2290304"/>
                          </a:xfrm>
                          <a:prstGeom prst="rect">
                            <a:avLst/>
                          </a:prstGeom>
                          <a:noFill/>
                          <a:ln>
                            <a:noFill/>
                          </a:ln>
                          <a:extLst>
                            <a:ext uri="{53640926-AAD7-44D8-BBD7-CCE9431645EC}">
                              <a14:shadowObscured xmlns:a14="http://schemas.microsoft.com/office/drawing/2010/main"/>
                            </a:ext>
                          </a:extLst>
                        </pic:spPr>
                      </pic:pic>
                    </a:graphicData>
                  </a:graphic>
                </wp:inline>
              </w:drawing>
            </w:r>
            <w:r w:rsidRPr="00674764">
              <w:rPr>
                <w:noProof/>
              </w:rPr>
              <w:drawing>
                <wp:inline distT="0" distB="0" distL="0" distR="0" wp14:anchorId="3E9CB7C1" wp14:editId="1D422D19">
                  <wp:extent cx="3108960" cy="2342007"/>
                  <wp:effectExtent l="0" t="0" r="0" b="1270"/>
                  <wp:docPr id="10" name="Picture"/>
                  <wp:cNvGraphicFramePr/>
                  <a:graphic xmlns:a="http://schemas.openxmlformats.org/drawingml/2006/main">
                    <a:graphicData uri="http://schemas.openxmlformats.org/drawingml/2006/picture">
                      <pic:pic xmlns:pic="http://schemas.openxmlformats.org/drawingml/2006/picture">
                        <pic:nvPicPr>
                          <pic:cNvPr id="30" name="Picture" descr="Rapport_AFC_2025-04-14_files/figure-docx/unnamed-chunk-5-1.png"/>
                          <pic:cNvPicPr>
                            <a:picLocks noChangeAspect="1" noChangeArrowheads="1"/>
                          </pic:cNvPicPr>
                        </pic:nvPicPr>
                        <pic:blipFill>
                          <a:blip r:embed="rId12"/>
                          <a:stretch>
                            <a:fillRect/>
                          </a:stretch>
                        </pic:blipFill>
                        <pic:spPr bwMode="auto">
                          <a:xfrm>
                            <a:off x="0" y="0"/>
                            <a:ext cx="3116247" cy="2347496"/>
                          </a:xfrm>
                          <a:prstGeom prst="rect">
                            <a:avLst/>
                          </a:prstGeom>
                          <a:noFill/>
                          <a:ln w="9525">
                            <a:noFill/>
                            <a:headEnd/>
                            <a:tailEnd/>
                          </a:ln>
                        </pic:spPr>
                      </pic:pic>
                    </a:graphicData>
                  </a:graphic>
                </wp:inline>
              </w:drawing>
            </w:r>
          </w:p>
          <w:p w14:paraId="1C9811F4" w14:textId="77777777" w:rsidR="00674764" w:rsidRPr="00674764" w:rsidRDefault="00674764" w:rsidP="00674764">
            <w:pPr>
              <w:spacing w:line="360" w:lineRule="auto"/>
              <w:jc w:val="both"/>
              <w:rPr>
                <w:rFonts w:ascii="Times New Roman" w:hAnsi="Times New Roman" w:cs="Times New Roman"/>
                <w:iCs/>
                <w:sz w:val="24"/>
              </w:rPr>
            </w:pPr>
            <w:bookmarkStart w:id="11" w:name="_Toc201431283"/>
            <w:bookmarkStart w:id="12" w:name="_Toc218542194"/>
            <w:r w:rsidRPr="00674764">
              <w:rPr>
                <w:rFonts w:ascii="Times New Roman" w:hAnsi="Times New Roman" w:cs="Times New Roman"/>
                <w:iCs/>
                <w:sz w:val="24"/>
              </w:rPr>
              <w:t xml:space="preserve">Figure </w:t>
            </w:r>
            <w:r w:rsidRPr="00674764">
              <w:rPr>
                <w:rFonts w:ascii="Times New Roman" w:hAnsi="Times New Roman" w:cs="Times New Roman"/>
                <w:iCs/>
                <w:sz w:val="24"/>
              </w:rPr>
              <w:fldChar w:fldCharType="begin"/>
            </w:r>
            <w:r w:rsidRPr="00674764">
              <w:rPr>
                <w:rFonts w:ascii="Times New Roman" w:hAnsi="Times New Roman" w:cs="Times New Roman"/>
                <w:iCs/>
                <w:sz w:val="24"/>
              </w:rPr>
              <w:instrText xml:space="preserve"> SEQ Figure \* ARABIC </w:instrText>
            </w:r>
            <w:r w:rsidRPr="00674764">
              <w:rPr>
                <w:rFonts w:ascii="Times New Roman" w:hAnsi="Times New Roman" w:cs="Times New Roman"/>
                <w:iCs/>
                <w:sz w:val="24"/>
              </w:rPr>
              <w:fldChar w:fldCharType="separate"/>
            </w:r>
            <w:r w:rsidRPr="00674764">
              <w:rPr>
                <w:rFonts w:ascii="Times New Roman" w:hAnsi="Times New Roman" w:cs="Times New Roman"/>
                <w:iCs/>
                <w:noProof/>
                <w:sz w:val="24"/>
              </w:rPr>
              <w:t>4</w:t>
            </w:r>
            <w:r w:rsidRPr="00674764">
              <w:rPr>
                <w:rFonts w:ascii="Times New Roman" w:hAnsi="Times New Roman" w:cs="Times New Roman"/>
                <w:sz w:val="24"/>
              </w:rPr>
              <w:fldChar w:fldCharType="end"/>
            </w:r>
            <w:r w:rsidRPr="00674764">
              <w:rPr>
                <w:rFonts w:ascii="Times New Roman" w:hAnsi="Times New Roman" w:cs="Times New Roman"/>
                <w:sz w:val="24"/>
              </w:rPr>
              <w:t xml:space="preserve"> : </w:t>
            </w:r>
            <w:r w:rsidRPr="00674764">
              <w:rPr>
                <w:rFonts w:ascii="Times New Roman" w:hAnsi="Times New Roman" w:cs="Times New Roman"/>
                <w:iCs/>
                <w:sz w:val="24"/>
              </w:rPr>
              <w:t>Grouping of non-alcoholic artisanal beverages by hierarchical classification and correspondence factor analysis based on microbiological quality</w:t>
            </w:r>
            <w:bookmarkEnd w:id="11"/>
            <w:bookmarkEnd w:id="12"/>
          </w:p>
        </w:tc>
      </w:tr>
    </w:tbl>
    <w:p w14:paraId="34998B35" w14:textId="77777777" w:rsidR="00674764" w:rsidRPr="00674764" w:rsidRDefault="00674764" w:rsidP="00674764">
      <w:pPr>
        <w:spacing w:line="360" w:lineRule="auto"/>
        <w:jc w:val="both"/>
      </w:pPr>
      <w:r w:rsidRPr="00674764">
        <w:rPr>
          <w:noProof/>
        </w:rPr>
        <w:drawing>
          <wp:inline distT="0" distB="0" distL="0" distR="0" wp14:anchorId="0EC8E496" wp14:editId="4BF6136D">
            <wp:extent cx="5268595" cy="1360714"/>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34" name="Picture" descr="Rapport_AFC_2025-04-14_files/figure-docx/unnamed-chunk-6-1.png"/>
                    <pic:cNvPicPr>
                      <a:picLocks noChangeAspect="1" noChangeArrowheads="1"/>
                    </pic:cNvPicPr>
                  </pic:nvPicPr>
                  <pic:blipFill rotWithShape="1">
                    <a:blip r:embed="rId13"/>
                    <a:srcRect t="20868" b="15504"/>
                    <a:stretch/>
                  </pic:blipFill>
                  <pic:spPr bwMode="auto">
                    <a:xfrm>
                      <a:off x="0" y="0"/>
                      <a:ext cx="5416459" cy="1398903"/>
                    </a:xfrm>
                    <a:prstGeom prst="rect">
                      <a:avLst/>
                    </a:prstGeom>
                    <a:noFill/>
                    <a:ln>
                      <a:noFill/>
                    </a:ln>
                    <a:extLst>
                      <a:ext uri="{53640926-AAD7-44D8-BBD7-CCE9431645EC}">
                        <a14:shadowObscured xmlns:a14="http://schemas.microsoft.com/office/drawing/2010/main"/>
                      </a:ext>
                    </a:extLst>
                  </pic:spPr>
                </pic:pic>
              </a:graphicData>
            </a:graphic>
          </wp:inline>
        </w:drawing>
      </w:r>
    </w:p>
    <w:p w14:paraId="017E3FE8" w14:textId="77777777" w:rsidR="00674764" w:rsidRPr="00674764" w:rsidRDefault="00674764" w:rsidP="00674764">
      <w:pPr>
        <w:spacing w:line="360" w:lineRule="auto"/>
        <w:jc w:val="both"/>
        <w:rPr>
          <w:i/>
          <w:iCs/>
          <w:sz w:val="24"/>
        </w:rPr>
      </w:pPr>
      <w:bookmarkStart w:id="13" w:name="_Toc201431284"/>
      <w:bookmarkStart w:id="14" w:name="_Toc218542195"/>
      <w:r w:rsidRPr="00674764">
        <w:rPr>
          <w:sz w:val="24"/>
        </w:rPr>
        <w:lastRenderedPageBreak/>
        <w:t xml:space="preserve">Figure </w:t>
      </w:r>
      <w:r w:rsidRPr="00674764">
        <w:rPr>
          <w:i/>
          <w:sz w:val="24"/>
        </w:rPr>
        <w:fldChar w:fldCharType="begin"/>
      </w:r>
      <w:r w:rsidRPr="00674764">
        <w:rPr>
          <w:sz w:val="24"/>
        </w:rPr>
        <w:instrText xml:space="preserve"> SEQ Figure \* ARABIC </w:instrText>
      </w:r>
      <w:r w:rsidRPr="00674764">
        <w:rPr>
          <w:i/>
          <w:sz w:val="24"/>
        </w:rPr>
        <w:fldChar w:fldCharType="separate"/>
      </w:r>
      <w:r w:rsidRPr="00674764">
        <w:rPr>
          <w:noProof/>
          <w:sz w:val="24"/>
        </w:rPr>
        <w:t>5</w:t>
      </w:r>
      <w:r w:rsidRPr="00674764">
        <w:rPr>
          <w:i/>
          <w:sz w:val="24"/>
        </w:rPr>
        <w:fldChar w:fldCharType="end"/>
      </w:r>
      <w:r w:rsidRPr="00674764">
        <w:rPr>
          <w:sz w:val="24"/>
        </w:rPr>
        <w:t> : Correspondence factor analysis (CFA) applied to microbiological data of artisanal non-alcoholic beverages</w:t>
      </w:r>
      <w:bookmarkEnd w:id="13"/>
      <w:bookmarkEnd w:id="14"/>
    </w:p>
    <w:p w14:paraId="63665DFA" w14:textId="77777777" w:rsidR="00674764" w:rsidRPr="00674764" w:rsidRDefault="00674764" w:rsidP="00674764">
      <w:pPr>
        <w:spacing w:line="360" w:lineRule="auto"/>
        <w:jc w:val="both"/>
        <w:rPr>
          <w:rFonts w:ascii="Times New Roman" w:hAnsi="Times New Roman" w:cs="Times New Roman"/>
          <w:sz w:val="24"/>
        </w:rPr>
        <w:sectPr w:rsidR="00674764" w:rsidRPr="00674764" w:rsidSect="00727D5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pPr>
    </w:p>
    <w:p w14:paraId="69303096" w14:textId="77777777" w:rsidR="00674764" w:rsidRPr="00674764" w:rsidRDefault="00674764" w:rsidP="00674764">
      <w:pPr>
        <w:spacing w:line="360" w:lineRule="auto"/>
        <w:jc w:val="both"/>
        <w:rPr>
          <w:rFonts w:ascii="Times New Roman" w:hAnsi="Times New Roman" w:cs="Times New Roman"/>
          <w:b/>
          <w:sz w:val="24"/>
        </w:rPr>
      </w:pPr>
      <w:r w:rsidRPr="00674764">
        <w:rPr>
          <w:rFonts w:ascii="Times New Roman" w:hAnsi="Times New Roman" w:cs="Times New Roman"/>
          <w:b/>
          <w:sz w:val="24"/>
        </w:rPr>
        <w:lastRenderedPageBreak/>
        <w:t>4. Discussion</w:t>
      </w:r>
    </w:p>
    <w:p w14:paraId="78C4DDF4"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This study, conducted in the Daloa health district, aimed to investigate the microbiological quality of the non-alcoholic artisanal beverages Bissap and Gnamankoudji. Although their increasing consumption in the Haut Sassandra region reflects deeply rooted socio-cultural habits, the results confirmed significant health concerns. The physicochemical results revealed high variability between sites, with pH levels ranging from acidic (5.18 for a Bissap sample in Daloa) to pronounced alkalinity (10.6 for a Gnamankoudji sample at the Antilope Clinic in Daloa), accompanied by high levels of soluble sugars (up to 17.35° Brix). These extreme variations can be explained by non-standardized manufacturing processes. Advanced fermentation or the use of untreated well water, rich in mineral salts, can lead to alkalization, neutralizing the initially acidic pH of some beverages. This magnitude, highlighting a failing quality control, was also identified as a major concern by</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{"citationID":"N1ouFES7","properties":{"formattedCitation":"({\\i0{}Ehouman {\\i{}et al.}}, 2020)","plainCitation":"(Ehouman et al., 2020)","noteIndex":0},"citationItems":[{"id":1098,"uris":["http://zotero.org/users/17472374/items/WG2NJ9Z6"],"itemData":{"id":1098,"type":"article-journal","abstract":"This study was conducted to ascertain the Sanitary state of beverages (Gnamankoudji, Bissap and Tomi) sold in the streets of Daloa (Côte d'Ivoire). To conduct the study, a survey was carried out to diagnose the different non-alcoholic artisanal drinks sold in the town of Daloa. The diagnosis revealed that 87.5% of consumers buy the drinks from the vendors while 12.5% produce them themselves. These drinks are consumed mainly by 77% of young people (˂ 30 years old), mostly pupils and students. Furthermore, 83.5% of the respondents have no knowledge of chemical contamination of the beverages they consume and various ailments have been reported by consumers. Toxicological analyses carried out on these three (3) beverages revealed that they present a risk to the health of the consumer. This is because the level of contamination of these beverages is three (3) to five (5) times higher than the European recommendations on the maximum tolerable level of PAT (50 µg.L-1) in fruit juices and derived beverages.","container-title":"European Journal of Agriculture and Food Sciences","DOI":"10.24018/ejfood.2020.2.4.55","ISSN":"2684-1827","issue":"4","language":"en","license":"Copyright (c) 2020 Ehouman Ano Guy Serge, Yao N’zué Benjamin, Kpata-Konan Nazo Edith, Traore Karim Sory, Tano Kablan","source":"mail.ejfood.org","title":"Evaluation of The Patulin Content of Certain Non-Alcoholic Beverages (Gnamankoudji, Bissap And Tomi) Sold on The Streets of Daloa (Côte d’Ivoire)","URL":"https://mail.ejfood.org/index.php/ejfood/article/view/55","volume":"2","author":[{"family":"Ehouman","given":"Serge Ano Guy"},{"family":"Benjamin","given":"Yao N’zué"},{"family":"Edith","given":"Kpata-Konan Nazo"},{"family":"Sory","given":"Traore Karim"},{"family":"Kablan","given":"Tano"}],"accessed":{"date-parts":[["2025",12,13]]},"issued":{"date-parts":[["2020",7,22]]}}}],"schema":"https://github.com/citation-style-language/schema/raw/master/csl-citation.json"}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(Ehouman et al., 2020)</w:t>
      </w:r>
      <w:r w:rsidRPr="00674764">
        <w:rPr>
          <w:rFonts w:ascii="Times New Roman" w:hAnsi="Times New Roman" w:cs="Times New Roman"/>
          <w:sz w:val="24"/>
        </w:rPr>
        <w:fldChar w:fldCharType="end"/>
      </w:r>
      <w:r w:rsidRPr="00674764">
        <w:rPr>
          <w:rFonts w:ascii="Times New Roman" w:hAnsi="Times New Roman" w:cs="Times New Roman"/>
          <w:sz w:val="24"/>
        </w:rPr>
        <w:t>in their study in Daloa. This alkalinity, characteristic of many samples from Gnamankoudji, neutralizes the protective effect of acids and promotes the survival and growth of pathogens. It is identified as a major risk factor, in accordance with the observations of</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{"citationID":"eE3WaaFq","properties":{"formattedCitation":"({\\i0{}Humblot {\\i{}et al.}}, 2012)","plainCitation":"(Humblot et al., 2012)","noteIndex":0},"citationItems":[{"id":1175,"uris":["http://zotero.org/users/17472374/items/FEN5E8MC"],"itemData":{"id":1175,"type":"article-journal","container-title":"Journal of Food Protection","DOI":"10.4315/0362-028x.JFP-11-450","ISSN":"0362028X","issue":"9","journalAbbreviation":"Journal of Food Protection","language":"en","page":"1642-1645","source":"DOI.org (Crossref)","title":"Prevalence and Fate of Bacillus cereus in African Traditional Cereal-Based Foods Used as Infant Foods","volume":"75","author":[{"family":"Humblot","given":"Christèle"},{"family":"Perez-Pulido","given":"Ruben"},{"family":"Akaki","given":"David"},{"family":"Loiseau","given":"Gerard"},{"family":"Guyot","given":"Jean-Pierre"}],"issued":{"date-parts":[["2012",9]]}}}],"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(Humblot et al., 2012)</w:t>
      </w:r>
      <w:r w:rsidRPr="00674764">
        <w:rPr>
          <w:rFonts w:ascii="Times New Roman" w:hAnsi="Times New Roman" w:cs="Times New Roman"/>
          <w:sz w:val="24"/>
        </w:rPr>
        <w:fldChar w:fldCharType="end"/>
      </w:r>
      <w:r w:rsidRPr="00674764">
        <w:rPr>
          <w:rFonts w:ascii="Times New Roman" w:hAnsi="Times New Roman" w:cs="Times New Roman"/>
          <w:sz w:val="24"/>
        </w:rPr>
        <w:t>on African cereals and</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{"citationID":"jSiqwIHx","properties":{"formattedCitation":"({\\i0{}Nandkangre {\\i{}et al.}}, 2015)","plainCitation":"(Nandkangre et al., 2015)","noteIndex":0},"citationItems":[{"id":1179,"uris":["http://zotero.org/users/17472374/items/EP3WK4U4"],"itemData":{"id":1179,"type":"article-journal","container-title":"International Journal of Biological and Chemical Sciences","DOI":"10.4314/ijbcs.v9i2.25","ISSN":"1997-342X, 1991-8631","issue":"2","journalAbbreviation":"Int. J. Bio. Chem. Sci","page":"861","source":"DOI.org (Crossref)","title":"Caractérisation du système de production du gingembre (&lt;i&gt;Zingiber officinale&lt;/i&gt; Rosc.) au Burkina Faso : Potentialités, contraintes et perspectives","title-short":"Caractérisation du système de production du gingembre (&lt;i&gt;Zingiber officinale&lt;/i&gt; Rosc.) au Burkina Faso","volume":"9","author":[{"family":"Nandkangre","given":"H"},{"family":"Ouedraogo","given":"M"},{"family":"Sawadogo","given":"M"}],"issued":{"date-parts":[["2015",7,23]]}}}],"schema":"https://github.com/citation-style-language/schema/raw/master/csl-citation.json"}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(Nandkangre et al., 2015)</w:t>
      </w:r>
      <w:r w:rsidRPr="00674764">
        <w:rPr>
          <w:rFonts w:ascii="Times New Roman" w:hAnsi="Times New Roman" w:cs="Times New Roman"/>
          <w:sz w:val="24"/>
        </w:rPr>
        <w:fldChar w:fldCharType="end"/>
      </w:r>
      <w:r w:rsidRPr="00674764">
        <w:rPr>
          <w:rFonts w:ascii="Times New Roman" w:hAnsi="Times New Roman" w:cs="Times New Roman"/>
          <w:sz w:val="24"/>
        </w:rPr>
        <w:t>on ginger, where a neutral or alkaline pH favors the presence of Bacillus cereus. Conversely, an acidic pH (3.5-4.5) proves protective, as reported by</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{"citationID":"dSsVjhAI","properties":{"formattedCitation":"({\\i0{}Ciss\\uc0\\u233{} {\\i{}et al.}}, 2009)","plainCitation":"(Cissé et al., 2009)","noteIndex":0},"citationItems":[{"id":125,"uris":["http://zotero.org/users/17472374/items/9GRLBAFZ"],"itemData":{"id":125,"type":"article-journal","abstract":"PDF | Introduction. Hibiscus sabdariffa L. is a herbaceous plant, cultivated largely in tropical and subtropical areas of both hemispheres. This plant... | Find, read and cite all the research you need on ResearchGate","container-title":"ResearchGate","DOI":"10.1051/fruits/2009013","language":"fr","page":"179-193","source":"www.researchgate.net","title":"(PDF) Le bissap (Hibiscus sabdariffa L.) : composition et principales utilisations","title-short":"(PDF) Le bissap (Hibiscus sabdariffa L.)","volume":"64","author":[{"family":"Cissé","given":"Mady"},{"family":"Dornier","given":"Manuel"},{"family":"Sakho","given":"Maman"},{"family":"Augustin","given":"N'diaye"},{"family":"Reynes","given":"Max Reynes"},{"family":"Oumar","given":"Chaussette"}],"issued":{"date-parts":[["2009"]]}}}],"schema":"https://github.com/citation-style-language/schema/raw/master/csl-citation.json"}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(Cissé et al., 2009)</w:t>
      </w:r>
      <w:r w:rsidRPr="00674764">
        <w:rPr>
          <w:rFonts w:ascii="Times New Roman" w:hAnsi="Times New Roman" w:cs="Times New Roman"/>
          <w:sz w:val="24"/>
        </w:rPr>
        <w:fldChar w:fldCharType="end"/>
      </w:r>
      <w:r w:rsidRPr="00674764">
        <w:rPr>
          <w:rFonts w:ascii="Times New Roman" w:hAnsi="Times New Roman" w:cs="Times New Roman"/>
          <w:sz w:val="24"/>
        </w:rPr>
        <w:t>for Ivorian Bissap. Microbiological analysis clearly distinguishes the two beverages. Bissap shows its maximum aerobic load at Zaibo (12,570 CFU/mL), while Gnamankoudji shows specific contamination peaks: psychrophiles at Bediala (8,478 CFU/mL) and yeasts at Gboguhe (1,150 CFU/mL). Fecal contamination, marked by the presence of enterobacteria (4,278 CFU/mL at Gadouan), is largely dominant in Gnamankoudji. These microbial loads are consistent with regional data, aligning with the work of</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{"citationID":"gnxvukYU","properties":{"formattedCitation":"({\\i0{}Anin {\\i{}et al.}}, 2016)","plainCitation":"(Anin et al., 2016)","noteIndex":0},"citationItems":[{"id":1183,"uris":["http://zotero.org/users/17472374/items/4MZZ2WZW"],"itemData":{"id":1183,"type":"article-journal","abstract":"The sources and degree of microbial contamination of 4 th range products or ready-to-eat products made from traditional processes were evaluated in three markets in the city of Abidjan. This study initially consisted of searching for microorganisms such as Staphylococcus aureus, faecal coliforms, E. coli and Salmonella spp. Then, Ishikawa's method or diagram was used to determine potential sources of food contamination consisting of three (3) fruit and two (2) fruit vegetables and one (1) leafy vegetable, respectively, pineapple (Ananas comosus) papaya (Carica papaya), watermelon (Citrulus lanatus), onion (Allium cepa), tomato (Lycopersicum esculentum Mill.) and amaranthus (Amaranthus hybridus). Fecal coliform loads were very high at the fruit level (1.8 × 103 - 9.1 × 102 CFU / g), onion (1.3 × 104 CFU / g), tomato puree (1, 82 × 103 CFU / g) and an E. coli load at the tomato puree which is 9.1 × 102 CFU / g. The analysis using the Ishikawa diagram shows that contamination sources were the poor quality of water, raw material, lack of sanitation, illiteracy, unsafe traditional practices and sellers hygiene.","container-title":"European Scientific Journal, ESJ","DOI":"10.19044/esj.2016.v12n36p273","ISSN":"18577431, 18577881","issue":"36","journalAbbreviation":"ESJ","page":"273","source":"DOI.org (Crossref)","title":"Evaluation Microbiologique Et Origines De La Contamination Des Produits De 4ème Gamme Vendus Sur Les Marchés D’abidjan, Cote D'ivoire","volume":"12","author":[{"family":"Anin","given":"Louise Atchibri"},{"family":"Assoi Yapi","given":"Patrice Désiré Yapi"},{"family":"Monnet","given":"Yapo Thierry"},{"family":"Yiwo Yapi","given":"Marie-Ange"},{"family":"Soro","given":"Chantal Lêniféré"},{"family":"Kouadio","given":"K.A Kouakou"}],"issued":{"date-parts":[["2016",12,31]]}}}],"schema":"https://github.com/citation-style-language/schema/raw/master/csl-citation.json"}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(Anin et al., 2016)</w:t>
      </w:r>
      <w:r w:rsidRPr="00674764">
        <w:rPr>
          <w:rFonts w:ascii="Times New Roman" w:hAnsi="Times New Roman" w:cs="Times New Roman"/>
          <w:sz w:val="24"/>
        </w:rPr>
        <w:fldChar w:fldCharType="end"/>
      </w:r>
      <w:r w:rsidRPr="00674764">
        <w:rPr>
          <w:rFonts w:ascii="Times New Roman" w:hAnsi="Times New Roman" w:cs="Times New Roman"/>
          <w:sz w:val="24"/>
        </w:rPr>
        <w:t>in Abidjan,</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{"citationID":"0Cmy1SnT","properties":{"formattedCitation":"(Yobouet, 2016)","plainCitation":"(Yobouet, 2016)","noteIndex":0},"citationItems":[{"id":1186,"uris":["http://zotero.org/users/17472374/items/HVZJE7NT"],"itemData":{"id":1186,"type":"thesis","abstract":"ABSTRACT IN ENGLISH In Côte d’Ivoire, although milk and attiéké play an important role in human nutrition, they could represent a poisoning risk to the consumer, due to poor hygiene throughout the production chain. This study aimed to contribute to the poisoning risk reduction linked to the consumption of local raw milk and attiéké contaminated with B. cereus group. For this, milk and attiéké production systems from farm to retail in Abidjan were studied. The risk of foodborne illness associated with the consumption of milk and attiéké was assessed using a questionnaire with 188 consumers of milk and 360 consumers of attiéké, respectively. On the one hand, 320 samples from the farms including 150 milk samples and on the other hand 16 samples of freshly prepared attiéké and 306 samples attiéké sold on the informal markets were collected and analyzed according to EN ISO 7932: 2004. The isolates were identified by polymerase chain reaction (PCR) and characterized by toxigenic and antibiotypic. In addition, the resistance of B. cereus group spores to hydrothermal warm up of attiéké was evaluated. The results showed that B. cereus group was found in 41.2% of milk of the samples taken from seller’s pooled milk with a mean load of 2.9 ± 1.0 log (CFU/mL). The prevalence of B. cereus group in attiéké samples taken from the informal markets was 25.2% and an average load of vegetative cells and spores were 2.4 ± 1.1 log (CFU/g) and 2.3 ± 1.1 log (CFU/g) respectively. B. thuringiensis (41.9%) and B. cereus sensu stricto (36.0%) were the isolated species. The majority virulence genes found were cytK-2 (80.8%), hblD (72.1%) and nheC (70.9%). The isolates were highly resistant to tetracycline (94.8%), ciprofloxacin (94.8%) and chloramphenicol (94.2%). The probability of consuming milk and attiéké contaminated with B. cereus group is 21.6% and 16.0% respectively. In total 12.6% and 18.9% of consumers reported that they contracted a foodborne illness after unheated milk and attiéké consumption respectively and the most symptoms were diarrhea and abdominal pain. The hydrothermal warm up of attiéké with a temperature greater than or equal to 90°C for at least 15 minutes reduced the concentration of B. cereus spores from 4.2 in attiéké into 1.8 ± 1.0 log (CFU/g) and D90°C was 8.5 ± 1.9 min for the quantities of attiéké varying from 150 to 450 g. The maximum duration of the milk sale at ambient temperature is 40 min while, the consumption deadline of attiéké warmed up at 90°C was 18 hours. In conclusion, milk and attiéké produced and sold in informal markets in Abidjan represents a risk for consumers’ health and B. cereus group species are one possible cause. It is recommended to heat the milk to boiling temperature and to warm up attiéké for at least 15 min at 90°C before consumption if clean milk and attiéké production cannot be assured. ABSTRACT IN FRENCH En Côte d’Ivoire, le lait et l’attiéké jouent un rôle important dans la nutrition humaine, mais peuvent représenter un risque de toxi-infection pour le consommateur. L’objectif de cette étude était de contribuer à la réduction du risque de toxi-infection suite à la consommation de lait cru local et d’attiéké contaminés par le groupe B. cereus. A cet effet, les systèmes de production à la commercialisation du lait et de l’attiéké à Abidjan ont été étudiés. Le risque de toxi-infections lié à la consommation du lait et de l’attiéké a été évalué à l’aide d’un questionnaire avec respectivement 188 consommateurs de lait et 360 consommateurs d’attiéké. D’une part, 320 échantillons issus des fermes dont 150 échantillons de lait et d’autre part, 16 échantillons d’attiéké fraîchement préparé et 306 échantillons d’attiéké en vente sur le marché, ont été collectés et analysés selon la norme EN ISO 7932 : 2004. Les isolats présomptifs du groupe B. cereus ont fait l’objet d’une identification par réaction de polymérisation en chaîne (PCR) et d’une caractérisation toxigénique et antibiotypique. Enfin, la résistance des spores du groupe B. cereus au réchauffage hydrothermique de l’attiéké a été évaluée. Les résultats ont montré que le groupe B. cereus a été isolé dans 41,2 % de lait de vente avec une charge moyenne de 2,9 ± 1,0 log (UFC/mL) et dans 25,2 % d’attiéké en vente avec une charge moyenne en cellules végétatives et en spores respectivement de 2,4 ± 1,1 log (UFC/g) et 2,3 ± 1,1 log (UFC/g). B. thuringiensis (41,9 %) et B. cereus sensu stricto (36,0 %) ont été les espèces identifiées. Les gènes de virulence majoritaires ont été cytK-2 (80,8 %), hblD (72,1 %) et nheC (70,9 %). Les isolats ont été très résistants à la tétracycline (94,8 %), à la ciprofloxacine (94,8 %) et au chloramphénicol (94,2 %). La probabilité de consommer du lait et de l’attiéké contaminé par le groupe B. cereus a été respectivement de 21,6 % et 16,0 %. Au total, 12,6 % et 18,9 % des consommateurs ont rapporté une toxi-infection suite à la consommation respectivement de lait cru et d’attiéké non réchauffé et les symptômes les plus évoqués ont été la diarrhée et les douleurs abdominales. Le réchauffage hydrothermique de l’attiéké à une température supérieure ou égale à 90 °C pendant au minimum 15 min a réduit la concentration en spores de B. cereus dans l’attiéké, de 4,2 à 1,8 ± 1,0 log (UFC/g) d’attiéké et le D90 °C a été de 8,5 ± 1,9 min pour des quantités d’attiéké variant de 150 à 450 g. La durée maximale de vente du lait à la température ambiante a été de 40 min alors que le délai limite maximal de consommation de l’attiéké réchauffé à 90 °C a été de 18 h. En conclusion, le lait et l’attiéké vendus sur les marchés informels à Abidjan représentent un risque de toxi-infection pour le consommateur et les bactéries du groupe B. cereus sont l’une des causes possibles. Il est recommandé de chauffer le lait jusqu’à ébullition et de réchauffer l’attiéké à la vapeur d’eau pendant au moins 15 min à 90 °C avant toute consommation, si les bonnes pratiques d’hygiène ne peuvent pas garantir la sécurité de ces aliments.","language":"fr","publisher":"Université Nangui Abrogoua","source":"cgspace.cgiar.org","title":"Contamination du lait cru et de l’attiéké vendus sur les marchés informels à Abidjan (Côte d’Ivoire) par le groupe Bacillus cereus et analyse des risques","URL":"https://hdl.handle.net/10568/75995","author":[{"family":"Yobouet","given":"B. A."}],"accessed":{"date-parts":[["2026",1,7]]},"issued":{"date-parts":[["2016",6,30]]}}}],"schema":"https://github.com/citation-style-language/schema/raw/master/csl-citation.json"}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rPr>
        <w:t>(Yobouet, 2016)</w:t>
      </w:r>
      <w:r w:rsidRPr="00674764">
        <w:rPr>
          <w:rFonts w:ascii="Times New Roman" w:hAnsi="Times New Roman" w:cs="Times New Roman"/>
          <w:sz w:val="24"/>
        </w:rPr>
        <w:fldChar w:fldCharType="end"/>
      </w:r>
      <w:r w:rsidRPr="00674764">
        <w:rPr>
          <w:rFonts w:ascii="Times New Roman" w:hAnsi="Times New Roman" w:cs="Times New Roman"/>
          <w:sz w:val="24"/>
        </w:rPr>
        <w:t>on attiéké, and</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{"citationID":"DyyoAxbg","properties":{"formattedCitation":"({\\i0{}Millogo {\\i{}et al.}}, 2018)","plainCitation":"(Millogo et al., 2018)","noteIndex":0},"citationItems":[{"id":1191,"uris":["http://zotero.org/users/17472374/items/NH4VHXMT"],"itemData":{"id":1191,"type":"article-journal","container-title":"International Journal of Biological and Chemical Sciences","DOI":"10.4314/ijbcs.v12i1.19","ISSN":"1997-342X, 1991-8631","issue":"1","journalAbbreviation":"Int. J. Bio. Chem. Sci","page":"244","source":"DOI.org (Crossref)","title":"Qualité nutritionnelle et bactériologique des échantillons de quelques produits laitiers locaux de la chaîne de production au Burkina Faso","volume":"12","author":[{"family":"Millogo","given":"Vinsoun"},{"family":"Sissao","given":"Mariétou"},{"family":"Ouedraogo","given":"Georges Anicet"}],"issued":{"date-parts":[["2018",6,1]]}}}],"schema":"https://github.com/citation-style-language/schema/raw/master/csl-citation.json"}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(Millogo et al., 2018)</w:t>
      </w:r>
      <w:r w:rsidRPr="00674764">
        <w:rPr>
          <w:rFonts w:ascii="Times New Roman" w:hAnsi="Times New Roman" w:cs="Times New Roman"/>
          <w:sz w:val="24"/>
        </w:rPr>
        <w:fldChar w:fldCharType="end"/>
      </w:r>
      <w:r w:rsidRPr="00674764">
        <w:rPr>
          <w:rFonts w:ascii="Times New Roman" w:hAnsi="Times New Roman" w:cs="Times New Roman"/>
          <w:sz w:val="24"/>
        </w:rPr>
        <w:t>on Burkinabe yogurts. The potential presence of Listeria monocytogenes at the majority of study sites significantly exceeds the prevalences usually reported in West Africa, as well as those of the analysis of</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{"citationID":"f3tdFMOx","properties":{"formattedCitation":"({\\i0{}Oluwafemi {\\i{}et al.}}, 2023)","plainCitation":"(Oluwafemi et al., 2023)","noteIndex":0},"citationItems":[{"id":1193,"uris":["http://zotero.org/users/17472374/items/XIWC4AT4"],"itemData":{"id":1193,"type":"article-journal","abstract":"Listeria outbreaks and food recalls is on the raise globally. Milk particularly is highly susceptible to Listeria as its production and storage adequately support Listeria growth. The extent of milk contamination with Listeria monocytogenes (Lm) and preventative actions to halt milk associated outbreaks in Africa are unknown. Hence, this study aimed at assessing the national and subregional prevalence of Lm in milk in Africa and identify impacting factors via generalized logistic mixed-effects (GLMEs) and meta-regression modelling. Lm-milk-specific data acquired from primary studies according to standard protocol were fitted using a GLMEs. The GLMEs was subjected to leave-one-study-out-cross-validation (LOSOCV). Factors impacting Lm prevalence in milk were assayed via a 1000-permutation-assisted meta-regression-modelling. The pooled prevalence of Lm in milk in Africa was 4.35% [2.73–6.86] with a prediction interval (PI) of 0.14–59.86% and LOSOCV value of 2.43% [1.62–3.62; PI: 0.32–16.11%]. Western Africa had the highest prevalence [20.13%, 4.13–59.59], then Southern Africa [5.85%, 0.12–75.72], Northern Africa [4.67%, 2.82–7.64], Eastern Africa [1.91%, 0.64–5.55], and there was no record from Central Africa. In term of country, Lm prevalence in milk significantly (p &lt; 0.01) varied from 0.00 to 90.00%. Whereas the Lm prevalence was negligibly different (p = 0.77) by milk type, raw-milk had the highest prevalence [5.26%], followed by fermented-milk [4.76%], boiled-milk [2.90%], pasteurized-milk [1.64%], and powdered-milk [1.58%]. DNA extraction approach did not significantly (p = 0.07) affect Lm prevalence (Boiling [7.82%] versus Kit [7.24%]) as well as Lm detection method (p = 0.10; (ACP [3.64%] vs. CP [8.92%] vs. CS [2.27%] vs. CSP [6.82%]). Though a bivariate/multivariate combination of all tested variables in meta-regression explained 19.68–68.75% (R2) variance in Lm prevalence in milk, N, nation, and subregion singly/robustly accounted for 17.61% (F1;65 = 7.5994; p = 0.005), 63.89% (F14;52 = 4.2028; p = 0.001), and 16.54% (F3;63 = 3.4743; p = 0.026), respectively. In conclusion, it is recommended that adequate sample size should be prioritized in monitoring Lm in milk to prevent spuriously high or low prevalence to ensure robust, plausible, and credible estimate. Also, national efforts/interests and commitments to Lm monitoring should be awaken.","container-title":"Scientific Reports","DOI":"10.1038/s41598-023-39955-0","ISSN":"2045-2322","journalAbbreviation":"Sci Rep","note":"PMID: 37542148\nPMCID: PMC10403535","page":"12646","source":"PubMed Central","title":"Prevalence of Listeria monocytogenes in milk in Africa: a generalized logistic mixed-effects and meta-regression modelling","title-short":"Prevalence of Listeria monocytogenes in milk in Africa","volume":"13","author":[{"family":"Oluwafemi","given":"Yinka D."},{"family":"Igere","given":"Bright E."},{"family":"Ekundayo","given":"Temitope C."},{"family":"Ijabadeniyi","given":"Oluwatosin A."}],"issued":{"date-parts":[["2023",8,4]]}}}],"schema":"https://github.com/citation-style-language/schema/raw/master/csl-citation.json"}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(Oluwafemi et al., 2023)</w:t>
      </w:r>
      <w:r w:rsidRPr="00674764">
        <w:rPr>
          <w:rFonts w:ascii="Times New Roman" w:hAnsi="Times New Roman" w:cs="Times New Roman"/>
          <w:sz w:val="24"/>
        </w:rPr>
        <w:fldChar w:fldCharType="end"/>
      </w:r>
      <w:r w:rsidRPr="00674764">
        <w:rPr>
          <w:rFonts w:ascii="Times New Roman" w:hAnsi="Times New Roman" w:cs="Times New Roman"/>
          <w:sz w:val="24"/>
        </w:rPr>
        <w:t>on milk (20.13%) or studies of</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{"citationID":"TJzBExa0","properties":{"formattedCitation":"(Yobouet, 2016)","plainCitation":"(Yobouet, 2016)","noteIndex":0},"citationItems":[{"id":1186,"uris":["http://zotero.org/users/17472374/items/HVZJE7NT"],"itemData":{"id":1186,"type":"thesis","abstract":"ABSTRACT IN ENGLISH In Côte d’Ivoire, although milk and attiéké play an important role in human nutrition, they could represent a poisoning risk to the consumer, due to poor hygiene throughout the production chain. This study aimed to contribute to the poisoning risk reduction linked to the consumption of local raw milk and attiéké contaminated with B. cereus group. For this, milk and attiéké production systems from farm to retail in Abidjan were studied. The risk of foodborne illness associated with the consumption of milk and attiéké was assessed using a questionnaire with 188 consumers of milk and 360 consumers of attiéké, respectively. On the one hand, 320 samples from the farms including 150 milk samples and on the other hand 16 samples of freshly prepared attiéké and 306 samples attiéké sold on the informal markets were collected and analyzed according to EN ISO 7932: 2004. The isolates were identified by polymerase chain reaction (PCR) and characterized by toxigenic and antibiotypic. In addition, the resistance of B. cereus group spores to hydrothermal warm up of attiéké was evaluated. The results showed that B. cereus group was found in 41.2% of milk of the samples taken from seller’s pooled milk with a mean load of 2.9 ± 1.0 log (CFU/mL). The prevalence of B. cereus group in attiéké samples taken from the informal markets was 25.2% and an average load of vegetative cells and spores were 2.4 ± 1.1 log (CFU/g) and 2.3 ± 1.1 log (CFU/g) respectively. B. thuringiensis (41.9%) and B. cereus sensu stricto (36.0%) were the isolated species. The majority virulence genes found were cytK-2 (80.8%), hblD (72.1%) and nheC (70.9%). The isolates were highly resistant to tetracycline (94.8%), ciprofloxacin (94.8%) and chloramphenicol (94.2%). The probability of consuming milk and attiéké contaminated with B. cereus group is 21.6% and 16.0% respectively. In total 12.6% and 18.9% of consumers reported that they contracted a foodborne illness after unheated milk and attiéké consumption respectively and the most symptoms were diarrhea and abdominal pain. The hydrothermal warm up of attiéké with a temperature greater than or equal to 90°C for at least 15 minutes reduced the concentration of B. cereus spores from 4.2 in attiéké into 1.8 ± 1.0 log (CFU/g) and D90°C was 8.5 ± 1.9 min for the quantities of attiéké varying from 150 to 450 g. The maximum duration of the milk sale at ambient temperature is 40 min while, the consumption deadline of attiéké warmed up at 90°C was 18 hours. In conclusion, milk and attiéké produced and sold in informal markets in Abidjan represents a risk for consumers’ health and B. cereus group species are one possible cause. It is recommended to heat the milk to boiling temperature and to warm up attiéké for at least 15 min at 90°C before consumption if clean milk and attiéké production cannot be assured. ABSTRACT IN FRENCH En Côte d’Ivoire, le lait et l’attiéké jouent un rôle important dans la nutrition humaine, mais peuvent représenter un risque de toxi-infection pour le consommateur. L’objectif de cette étude était de contribuer à la réduction du risque de toxi-infection suite à la consommation de lait cru local et d’attiéké contaminés par le groupe B. cereus. A cet effet, les systèmes de production à la commercialisation du lait et de l’attiéké à Abidjan ont été étudiés. Le risque de toxi-infections lié à la consommation du lait et de l’attiéké a été évalué à l’aide d’un questionnaire avec respectivement 188 consommateurs de lait et 360 consommateurs d’attiéké. D’une part, 320 échantillons issus des fermes dont 150 échantillons de lait et d’autre part, 16 échantillons d’attiéké fraîchement préparé et 306 échantillons d’attiéké en vente sur le marché, ont été collectés et analysés selon la norme EN ISO 7932 : 2004. Les isolats présomptifs du groupe B. cereus ont fait l’objet d’une identification par réaction de polymérisation en chaîne (PCR) et d’une caractérisation toxigénique et antibiotypique. Enfin, la résistance des spores du groupe B. cereus au réchauffage hydrothermique de l’attiéké a été évaluée. Les résultats ont montré que le groupe B. cereus a été isolé dans 41,2 % de lait de vente avec une charge moyenne de 2,9 ± 1,0 log (UFC/mL) et dans 25,2 % d’attiéké en vente avec une charge moyenne en cellules végétatives et en spores respectivement de 2,4 ± 1,1 log (UFC/g) et 2,3 ± 1,1 log (UFC/g). B. thuringiensis (41,9 %) et B. cereus sensu stricto (36,0 %) ont été les espèces identifiées. Les gènes de virulence majoritaires ont été cytK-2 (80,8 %), hblD (72,1 %) et nheC (70,9 %). Les isolats ont été très résistants à la tétracycline (94,8 %), à la ciprofloxacine (94,8 %) et au chloramphénicol (94,2 %). La probabilité de consommer du lait et de l’attiéké contaminé par le groupe B. cereus a été respectivement de 21,6 % et 16,0 %. Au total, 12,6 % et 18,9 % des consommateurs ont rapporté une toxi-infection suite à la consommation respectivement de lait cru et d’attiéké non réchauffé et les symptômes les plus évoqués ont été la diarrhée et les douleurs abdominales. Le réchauffage hydrothermique de l’attiéké à une température supérieure ou égale à 90 °C pendant au minimum 15 min a réduit la concentration en spores de B. cereus dans l’attiéké, de 4,2 à 1,8 ± 1,0 log (UFC/g) d’attiéké et le D90 °C a été de 8,5 ± 1,9 min pour des quantités d’attiéké variant de 150 à 450 g. La durée maximale de vente du lait à la température ambiante a été de 40 min alors que le délai limite maximal de consommation de l’attiéké réchauffé à 90 °C a été de 18 h. En conclusion, le lait et l’attiéké vendus sur les marchés informels à Abidjan représentent un risque de toxi-infection pour le consommateur et les bactéries du groupe B. cereus sont l’une des causes possibles. Il est recommandé de chauffer le lait jusqu’à ébullition et de réchauffer l’attiéké à la vapeur d’eau pendant au moins 15 min à 90 °C avant toute consommation, si les bonnes pratiques d’hygiène ne peuvent pas garantir la sécurité de ces aliments.","language":"fr","publisher":"Université Nangui Abrogoua","source":"cgspace.cgiar.org","title":"Contamination du lait cru et de l’attiéké vendus sur les marchés informels à Abidjan (Côte d’Ivoire) par le groupe Bacillus cereus et analyse des risques","URL":"https://hdl.handle.net/10568/75995","author":[{"family":"Yobouet","given":"B. A."}],"accessed":{"date-parts":[["2026",1,7]]},"issued":{"date-parts":[["2016",6,30]]}}}],"schema":"https://github.com/citation-style-language/schema/raw/master/csl-citation.json"}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rPr>
        <w:t>(Yobouet, 2016)</w:t>
      </w:r>
      <w:r w:rsidRPr="00674764">
        <w:rPr>
          <w:rFonts w:ascii="Times New Roman" w:hAnsi="Times New Roman" w:cs="Times New Roman"/>
          <w:sz w:val="24"/>
        </w:rPr>
        <w:fldChar w:fldCharType="end"/>
      </w:r>
      <w:r w:rsidRPr="00674764">
        <w:rPr>
          <w:rFonts w:ascii="Times New Roman" w:hAnsi="Times New Roman" w:cs="Times New Roman"/>
          <w:sz w:val="24"/>
        </w:rPr>
        <w:t>on dairy products (8%). This widespread presence suggests chronic environmental contamination, linked to biofilms on reused containers. Principal Component Analysis (PCA), explaining 56.31% of the variance, confirms this pattern. The axis (37.69%), dominated by enterobacteria and coliforms, is a marker of hygiene, reproducing the patterns described by</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{"citationID":"g0xdN1fI","properties":{"formattedCitation":"({\\i0{}Kouassi {\\i{}et al.}}, 2018b)","plainCitation":"(Kouassi et al., 2018b)","noteIndex":0},"citationItems":[{"id":935,"uris":["http://zotero.org/users/17472374/items/SQZ47BQ9"],"itemData":{"id":935,"type":"article-journal","container-title":"African Journal of Microbiology Research","DOI":"10.5897/AJMR2018.8951","ISSN":"1996-0808","issue":"35","journalAbbreviation":"Afr. J. Microbiol. Res.","page":"857-865","source":"DOI.org (Crossref)","title":"Microbial contamination of the non-alcoholic beverage Gnamakoudji made from Zingiber officinale in Daloa, Cte dIvoire","volume":"12","author":[{"family":"Kouassi","given":"Kouassi Clément"},{"family":"Voko","given":"Don-Rodrigue Rosin Bi"},{"family":"Koffi","given":"Affoué Carole"},{"family":"Kouame","given":"Konan Bekanti Eric-Bienvenue"},{"family":"Koffi-Nevry","given":"Rose"}],"issued":{"date-parts":[["2018",9,21]]}}}],"schema":"https://github.com/citation-style-language/schema/raw/master/csl-citation.json"}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(Kouassi et al., 2018)</w:t>
      </w:r>
      <w:r w:rsidRPr="00674764">
        <w:rPr>
          <w:rFonts w:ascii="Times New Roman" w:hAnsi="Times New Roman" w:cs="Times New Roman"/>
          <w:sz w:val="24"/>
        </w:rPr>
        <w:fldChar w:fldCharType="end"/>
      </w:r>
      <w:r w:rsidRPr="00674764">
        <w:rPr>
          <w:rFonts w:ascii="Times New Roman" w:hAnsi="Times New Roman" w:cs="Times New Roman"/>
          <w:sz w:val="24"/>
        </w:rPr>
        <w:t>And</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{"citationID":"QcgObfdp","properties":{"formattedCitation":"({\\i0{}Ciss\\uc0\\u233{} {\\i{}et al.}}, 2009)","plainCitation":"(Cissé et al., 2009)","noteIndex":0},"citationItems":[{"id":125,"uris":["http://zotero.org/users/17472374/items/9GRLBAFZ"],"itemData":{"id":125,"type":"article-journal","abstract":"PDF | Introduction. Hibiscus sabdariffa L. is a herbaceous plant, cultivated largely in tropical and subtropical areas of both hemispheres. This plant... | Find, read and cite all the research you need on ResearchGate","container-title":"ResearchGate","DOI":"10.1051/fruits/2009013","language":"fr","page":"179-193","source":"www.researchgate.net","title":"(PDF) Le bissap (Hibiscus sabdariffa L.) : composition et principales utilisations","title-short":"(PDF) Le bissap (Hibiscus sabdariffa L.)","volume":"64","author":[{"family":"Cissé","given":"Mady"},{"family":"Dornier","given":"Manuel"},{"family":"Sakho","given":"Maman"},{"family":"Augustin","given":"N'diaye"},{"family":"Reynes","given":"Max Reynes"},{"family":"Oumar","given":"Chaussette"}],"issued":{"date-parts":[["2009"]]}}}],"schema":"https://github.com/citation-style-language/schema/raw/master/csl-citation.json"}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(Cissé et al., 2009)</w:t>
      </w:r>
      <w:r w:rsidRPr="00674764">
        <w:rPr>
          <w:rFonts w:ascii="Times New Roman" w:hAnsi="Times New Roman" w:cs="Times New Roman"/>
          <w:sz w:val="24"/>
        </w:rPr>
        <w:fldChar w:fldCharType="end"/>
      </w:r>
      <w:r w:rsidRPr="00674764">
        <w:rPr>
          <w:rFonts w:ascii="Times New Roman" w:hAnsi="Times New Roman" w:cs="Times New Roman"/>
          <w:sz w:val="24"/>
        </w:rPr>
        <w:t>The axis (18.62%) is associated with fermentation and storage flora, a data organization also found in the work of</w:t>
      </w:r>
      <w:r w:rsidRPr="00674764">
        <w:rPr>
          <w:rFonts w:ascii="Times New Roman" w:hAnsi="Times New Roman" w:cs="Times New Roman"/>
          <w:sz w:val="24"/>
        </w:rPr>
        <w:fldChar w:fldCharType="begin"/>
      </w:r>
      <w:r w:rsidRPr="00674764">
        <w:rPr>
          <w:rFonts w:ascii="Times New Roman" w:hAnsi="Times New Roman" w:cs="Times New Roman"/>
          <w:sz w:val="24"/>
        </w:rPr>
        <w:instrText xml:space="preserve"> ADDIN ZOTERO_ITEM CSL_CITATION {"citationID":"PtVrEm1q","properties":{"formattedCitation":"({\\i0{}Humblot {\\i{}et al.}}, 2012)","plainCitation":"(Humblot et al., 2012)","noteIndex":0},"citationItems":[{"id":1175,"uris":["http://zotero.org/users/17472374/items/FEN5E8MC"],"itemData":{"id":1175,"type":"article-journal","container-title":"Journal of Food Protection","DOI":"10.4315/0362-028x.JFP-11-450","ISSN":"0362028X","issue":"9","journalAbbreviation":"Journal of Food Protection","language":"en","page":"1642-1645","source":"DOI.org (Crossref)","title":"Prevalence and Fate of Bacillus cereus in African Traditional Cereal-Based Foods Used as Infant Foods","volume":"75","author":[{"family":"Humblot","given":"Christèle"},{"family":"Perez-Pulido","given":"Ruben"},{"family":"Akaki","given":"David"},{"family":"Loiseau","given":"Gerard"},{"family":"Guyot","given":"Jean-Pierre"}],"issued":{"date-parts":[["2012",9]]}}}],"schema":"https://github.com/citation-style-language/schema/raw/master/csl-citation.json"} </w:instrText>
      </w:r>
      <w:r w:rsidRPr="00674764">
        <w:rPr>
          <w:rFonts w:ascii="Times New Roman" w:hAnsi="Times New Roman" w:cs="Times New Roman"/>
          <w:sz w:val="24"/>
        </w:rPr>
        <w:fldChar w:fldCharType="separate"/>
      </w:r>
      <w:r w:rsidRPr="00674764">
        <w:rPr>
          <w:rFonts w:ascii="Times New Roman" w:hAnsi="Times New Roman" w:cs="Times New Roman"/>
          <w:sz w:val="24"/>
          <w:szCs w:val="24"/>
        </w:rPr>
        <w:t>(Humblot et al., 2012)</w:t>
      </w:r>
      <w:r w:rsidRPr="00674764">
        <w:rPr>
          <w:rFonts w:ascii="Times New Roman" w:hAnsi="Times New Roman" w:cs="Times New Roman"/>
          <w:sz w:val="24"/>
        </w:rPr>
        <w:fldChar w:fldCharType="end"/>
      </w:r>
      <w:r w:rsidRPr="00674764">
        <w:rPr>
          <w:rFonts w:ascii="Times New Roman" w:hAnsi="Times New Roman" w:cs="Times New Roman"/>
          <w:sz w:val="24"/>
        </w:rPr>
        <w:t xml:space="preserve">Faced with this proven risk, identifying Daloa </w:t>
      </w:r>
      <w:r w:rsidRPr="00674764">
        <w:rPr>
          <w:rFonts w:ascii="Times New Roman" w:hAnsi="Times New Roman" w:cs="Times New Roman"/>
          <w:sz w:val="24"/>
        </w:rPr>
        <w:lastRenderedPageBreak/>
        <w:t>and Gadouan as critical hotspots, the urgency requires targeted interventions: systematic acidification to reach a pH &lt; 4.5, replacement of plastic containers and implementation of a localized HACCP plan, prioritizing the most contaminated sites revealed by the ACP.</w:t>
      </w:r>
    </w:p>
    <w:p w14:paraId="3383D653" w14:textId="77777777" w:rsidR="00674764" w:rsidRPr="00674764" w:rsidRDefault="00674764" w:rsidP="00674764">
      <w:pPr>
        <w:spacing w:line="360" w:lineRule="auto"/>
        <w:jc w:val="both"/>
        <w:rPr>
          <w:rFonts w:ascii="Times New Roman" w:hAnsi="Times New Roman" w:cs="Times New Roman"/>
          <w:b/>
          <w:sz w:val="24"/>
        </w:rPr>
      </w:pPr>
      <w:r w:rsidRPr="00674764">
        <w:rPr>
          <w:rFonts w:ascii="Times New Roman" w:hAnsi="Times New Roman" w:cs="Times New Roman"/>
          <w:b/>
          <w:sz w:val="24"/>
        </w:rPr>
        <w:t>5. Conclusion</w:t>
      </w:r>
    </w:p>
    <w:p w14:paraId="63C1EB38"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In many developing countries, artisanal beverages such as Bissap and Gnamankoudji play a vital role, both nutritionally and economically. However, their widespread consumption raises significant concerns regarding their safety. This study aimed to investigate the microbiological quality of non-alcoholic artisanal beverages, Bissap and Gnamankoudji, in the Daloa health district. The results revealed that Bissap and, especially, Gnamankoudji sold in the Daloa health district pose high health risks to consumers. The quality is highly heterogeneous, with high pH and sugar levels, creating an ideal environment for microbial growth. Analyses revealed widespread and concerning contamination; high loads of Enterobacteriaceae, mesophilic aerobic bacteria, and psychrophilic bacteria frequently exceeded standards. Major pathogens, including Listeria monocytogenes and Bacillus cereus, were detected in the beverages. The risk is not uniform, however; certain highly contaminated points of sale have been identified, particularly in Daloa, allowing for targeted interventions. It is therefore urgent to implement strict corrective measures and radically improve the hygiene of water and containers. With appropriate technical guidance based on this evidence, it is possible to drastically reduce these risks and preserve the socio-economic value of these artisanal beverages.</w:t>
      </w:r>
    </w:p>
    <w:p w14:paraId="21699E9C"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 xml:space="preserve"> </w:t>
      </w:r>
    </w:p>
    <w:p w14:paraId="6BF68349" w14:textId="77777777" w:rsidR="00674764" w:rsidRPr="00674764" w:rsidRDefault="00674764" w:rsidP="00674764">
      <w:pPr>
        <w:spacing w:line="360" w:lineRule="auto"/>
        <w:jc w:val="both"/>
        <w:rPr>
          <w:rFonts w:ascii="Times New Roman" w:hAnsi="Times New Roman" w:cs="Times New Roman"/>
          <w:b/>
          <w:sz w:val="24"/>
        </w:rPr>
        <w:sectPr w:rsidR="00674764" w:rsidRPr="00674764" w:rsidSect="00212E89">
          <w:pgSz w:w="11906" w:h="16838"/>
          <w:pgMar w:top="1417" w:right="1417" w:bottom="1417" w:left="1417" w:header="708" w:footer="708" w:gutter="0"/>
          <w:cols w:space="708"/>
          <w:docGrid w:linePitch="360"/>
        </w:sectPr>
      </w:pPr>
      <w:r w:rsidRPr="00674764">
        <w:rPr>
          <w:rFonts w:ascii="Times New Roman" w:hAnsi="Times New Roman" w:cs="Times New Roman"/>
          <w:b/>
          <w:sz w:val="24"/>
        </w:rPr>
        <w:t xml:space="preserve"> </w:t>
      </w:r>
    </w:p>
    <w:p w14:paraId="6B1785B2" w14:textId="77777777" w:rsidR="00674764" w:rsidRPr="00674764" w:rsidRDefault="00674764" w:rsidP="00674764">
      <w:pPr>
        <w:spacing w:line="360" w:lineRule="auto"/>
        <w:jc w:val="both"/>
        <w:rPr>
          <w:rFonts w:ascii="Times New Roman" w:hAnsi="Times New Roman" w:cs="Times New Roman"/>
          <w:b/>
          <w:sz w:val="24"/>
        </w:rPr>
      </w:pPr>
      <w:r w:rsidRPr="00674764">
        <w:rPr>
          <w:rFonts w:ascii="Times New Roman" w:hAnsi="Times New Roman" w:cs="Times New Roman"/>
          <w:b/>
          <w:sz w:val="24"/>
        </w:rPr>
        <w:lastRenderedPageBreak/>
        <w:t>REFERENCES</w:t>
      </w:r>
    </w:p>
    <w:p w14:paraId="0070F960" w14:textId="77777777" w:rsidR="00674764" w:rsidRPr="00674764" w:rsidRDefault="00674764" w:rsidP="00674764">
      <w:pPr>
        <w:spacing w:line="360" w:lineRule="auto"/>
        <w:jc w:val="both"/>
        <w:rPr>
          <w:rFonts w:ascii="Times New Roman" w:hAnsi="Times New Roman" w:cs="Times New Roman"/>
          <w:sz w:val="24"/>
        </w:rPr>
      </w:pPr>
      <w:r w:rsidRPr="00674764">
        <w:fldChar w:fldCharType="begin"/>
      </w:r>
      <w:r w:rsidRPr="00674764">
        <w:instrText xml:space="preserve"> ADDIN ZOTERO_BIBL {"uncited":[],"omitted":[],"custom":[]} CSL_BIBLIOGRAPHY </w:instrText>
      </w:r>
      <w:r w:rsidRPr="00674764">
        <w:fldChar w:fldCharType="separate"/>
      </w:r>
      <w:r w:rsidRPr="00674764">
        <w:rPr>
          <w:rFonts w:ascii="Times New Roman" w:hAnsi="Times New Roman" w:cs="Times New Roman"/>
          <w:sz w:val="24"/>
        </w:rPr>
        <w:t>Ahon GM, Bolou GE-K., Fofana M. &amp; Amoikon KE (2022). Physicochemical and Microbiological Properties of Bissap (&lt;i&gt;Hibiscus sabdariffa&lt;/i&gt;) and Ginger (&lt;i&gt;Zingiber officinale&lt;/i&gt; (L) Rose) Juices Sold in the Western Part of Abidjan (Côte d'Ivoire). Open Journal of Applied Sciences, 12(06): 964–976.</w:t>
      </w:r>
    </w:p>
    <w:p w14:paraId="091B8729"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Aka S., Dridi B., Bolotin A., Yapo EA, Koussemon-Camara M., Bonfoh B. &amp; Renault P. (2020). Characterization of lactic acid bacteria isolated from a traditional Ivorian beer process to develop starter cultures for safe sorghum-based beverages. International Journal of Food Microbiology, 322: 108547.</w:t>
      </w:r>
    </w:p>
    <w:p w14:paraId="001CD49D"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Anin LA, Assoi Yapi PDY, Monnet YT, Yiwo Yapi M.-A., Soro CL &amp; Kouadio KAK (2016). Microbiological Evaluation and Origins of Contamination of 4th Range Products Sold in the Markets of Abidjan, Ivory Coast. European Scientific Journal, ESJ, 12(36): 273.</w:t>
      </w:r>
    </w:p>
    <w:p w14:paraId="6D154A29"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Attchelouwa C., Aka-Gbézo S., N’guessan F., Kouakou C. &amp; Djè M. (2017). Biochemical and Microbiological Changes during the Ivorian Sorghum Beer Deterioration at Different Storage Temperatures. Beverages, 3(3): 43.</w:t>
      </w:r>
    </w:p>
    <w:p w14:paraId="64CAF527"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Cissé M., Dornier M., Sakho M., Augustin N., Reynes MR &amp; Oumar C. (2009). (PDF) Bissap (Hibiscus sabdariffa L.): composition and main uses. ResearchGate, 64: 179–193.</w:t>
      </w:r>
    </w:p>
    <w:p w14:paraId="592BB926"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Ehouman SAG, Benjamin YN, Edith K.-KN, Sory TK &amp; Kablan T. (2020). Evaluation of The Patulin Content of Certain Non-Alcoholic Beverages (Gnamankoudji, Bissap And Tomi) Sold on The Streets of Daloa (Ivory Coast). European Journal of Agriculture and Food Sciences, 2(4):</w:t>
      </w:r>
    </w:p>
    <w:p w14:paraId="7D6ADACA"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Humblot C., Perez-Pulido R., Akaki D., Loiseau G. &amp; Guyot J.-P. (2012). Prevalence and Fate of Bacillus cereus in African Traditional Cereal-Based Foods Used as Infant Foods. Journal of Food Protection, 75(9): 1642–1645.</w:t>
      </w:r>
    </w:p>
    <w:p w14:paraId="07587E7B"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Kouame CABM-A., Clement KK, Athanase KK &amp; Ibrahim K. (2024). Assessment of Production and Risks of Consumption of Artisanal Refreshing Drinks (Bissap, Gnamankoudji) in Haut Sassandra (Daloa-Côte d'Ivoire). International Journal of TROPICAL DISEASE &amp; Health, 45(6): 139–153.</w:t>
      </w:r>
    </w:p>
    <w:p w14:paraId="68F8FB57"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lastRenderedPageBreak/>
        <w:t>Kouassi KC, Voko D.-RRB, Koffi AC, Kouame KBE-B. &amp; Koffi-Nevry R. (2018). Microbial contamination of the non-alcoholic beverage Gnamakoudji made from Zingiber officinale in Daloa, Cte dIvoire. African Journal of Microbiology Research, 12(35): 857–865.</w:t>
      </w:r>
    </w:p>
    <w:p w14:paraId="32CF1D76"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Mensah P., Yeboah-Manu D., Owusu-Darko K. &amp; Ablordey A. (2002). Street foods in Accra, Ghana: how safe are they? Bulletin of the World Health Organization, 80(7): 546–554.</w:t>
      </w:r>
    </w:p>
    <w:p w14:paraId="4EA9FE13"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Millogo V., Sissao M. &amp; Ouedraogo GA (2018). Nutritional and bacteriological quality of samples of some local dairy products from the production chain in Burkina Faso. International Journal of Biological and Chemical Sciences, 12(1): 244.</w:t>
      </w:r>
    </w:p>
    <w:p w14:paraId="6A85004F"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Nandkangre H., Ouedraogo M. &amp; Sawadogo M. (2015). Characterization of the ginger (Zingiber officinale Rosc.) production system in Burkina Faso: Potential, constraints and perspectives. International Journal of Biological and Chemical Sciences, 9(2): 861.</w:t>
      </w:r>
    </w:p>
    <w:p w14:paraId="0B69B5A3"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Oluwafemi YD, Igere BE, Ekundayo TC &amp; Ijabadeniyi OA (2023). Prevalence of Listeria monocytogenes in milk in Africa: a generalized logistic mixed-effects and meta-regression modeling. Scientific Reports, 13:12646.</w:t>
      </w:r>
    </w:p>
    <w:p w14:paraId="7169E702"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WHO (2015). WHO estimates of the global burden of foodborne diseases: foodborne diseases burden epidemiology reference group 2007-2015.</w:t>
      </w:r>
    </w:p>
    <w:p w14:paraId="06D02BCB"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WHO (2024). Food safety.</w:t>
      </w:r>
    </w:p>
    <w:p w14:paraId="7B2CCC28"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RGPH (2015). Directory of localities HAUTSASSANDRA REGION.</w:t>
      </w:r>
    </w:p>
    <w:p w14:paraId="00A10A54"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Sangare-Tigori B., Dem AA, Kouadio HJ, Betbeder A.-M., Dano DS, Moukha S. &amp; Creppy EE (2006). Preliminary survey of ochratoxin A in millet, maize, rice and peanuts in Côte d'Ivoire from 1998 to 2002. Human &amp; Experimental Toxicology, 25(4): 211–216.</w:t>
      </w:r>
    </w:p>
    <w:p w14:paraId="3D15EC4B" w14:textId="77777777" w:rsidR="00674764" w:rsidRPr="00674764" w:rsidRDefault="00674764" w:rsidP="00674764">
      <w:pPr>
        <w:spacing w:line="360" w:lineRule="auto"/>
        <w:jc w:val="both"/>
        <w:rPr>
          <w:rFonts w:ascii="Times New Roman" w:hAnsi="Times New Roman" w:cs="Times New Roman"/>
          <w:sz w:val="24"/>
        </w:rPr>
      </w:pPr>
      <w:r w:rsidRPr="00674764">
        <w:rPr>
          <w:rFonts w:ascii="Times New Roman" w:hAnsi="Times New Roman" w:cs="Times New Roman"/>
          <w:sz w:val="24"/>
        </w:rPr>
        <w:t>Yobouet BA (2016). Contamination of raw milk and attiéké sold in informal markets in Abidjan (Côte d'Ivoire) by the Bacillus cereus group and risk analysis. Nangui Abrogoua University</w:t>
      </w:r>
    </w:p>
    <w:p w14:paraId="0D16C06F" w14:textId="77777777" w:rsidR="00B466D0" w:rsidRDefault="00674764" w:rsidP="00674764">
      <w:pPr>
        <w:spacing w:line="360" w:lineRule="auto"/>
        <w:jc w:val="both"/>
      </w:pPr>
      <w:r w:rsidRPr="00674764">
        <w:rPr>
          <w:rFonts w:ascii="Times New Roman" w:hAnsi="Times New Roman" w:cs="Times New Roman"/>
          <w:sz w:val="24"/>
        </w:rPr>
        <w:fldChar w:fldCharType="end"/>
      </w:r>
    </w:p>
    <w:sectPr w:rsidR="00B466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B0B55" w14:textId="77777777" w:rsidR="009F034A" w:rsidRDefault="009F034A">
      <w:pPr>
        <w:spacing w:after="0" w:line="240" w:lineRule="auto"/>
      </w:pPr>
      <w:r>
        <w:separator/>
      </w:r>
    </w:p>
  </w:endnote>
  <w:endnote w:type="continuationSeparator" w:id="0">
    <w:p w14:paraId="2443FAA7" w14:textId="77777777" w:rsidR="009F034A" w:rsidRDefault="009F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49D3" w14:textId="77777777" w:rsidR="00F5582B" w:rsidRDefault="00F55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51543"/>
      <w:docPartObj>
        <w:docPartGallery w:val="Page Numbers (Bottom of Page)"/>
        <w:docPartUnique/>
      </w:docPartObj>
    </w:sdtPr>
    <w:sdtEndPr/>
    <w:sdtContent>
      <w:p w14:paraId="296483FD" w14:textId="77777777" w:rsidR="00674764" w:rsidRDefault="00674764">
        <w:pPr>
          <w:pStyle w:val="Footer"/>
          <w:jc w:val="right"/>
        </w:pPr>
        <w:r>
          <w:fldChar w:fldCharType="begin"/>
        </w:r>
        <w:r>
          <w:instrText>PAGE   \* MERGEFORMAT</w:instrText>
        </w:r>
        <w:r>
          <w:fldChar w:fldCharType="separate"/>
        </w:r>
        <w:r>
          <w:rPr>
            <w:noProof/>
          </w:rPr>
          <w:t>16</w:t>
        </w:r>
        <w:r>
          <w:fldChar w:fldCharType="end"/>
        </w:r>
      </w:p>
    </w:sdtContent>
  </w:sdt>
  <w:p w14:paraId="1028471F" w14:textId="77777777" w:rsidR="00674764" w:rsidRDefault="00674764" w:rsidP="007143F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8768" w14:textId="77777777" w:rsidR="00F5582B" w:rsidRDefault="00F5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BAC93" w14:textId="77777777" w:rsidR="009F034A" w:rsidRDefault="009F034A">
      <w:pPr>
        <w:spacing w:after="0" w:line="240" w:lineRule="auto"/>
      </w:pPr>
      <w:r>
        <w:separator/>
      </w:r>
    </w:p>
  </w:footnote>
  <w:footnote w:type="continuationSeparator" w:id="0">
    <w:p w14:paraId="55F8B2AF" w14:textId="77777777" w:rsidR="009F034A" w:rsidRDefault="009F0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E2CE" w14:textId="33283562" w:rsidR="00F5582B" w:rsidRDefault="00F5582B">
    <w:pPr>
      <w:pStyle w:val="Header"/>
    </w:pPr>
    <w:r>
      <w:rPr>
        <w:noProof/>
      </w:rPr>
      <w:pict w14:anchorId="13656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8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BB3" w14:textId="114E3DEF" w:rsidR="00F5582B" w:rsidRDefault="00F5582B">
    <w:pPr>
      <w:pStyle w:val="Header"/>
    </w:pPr>
    <w:r>
      <w:rPr>
        <w:noProof/>
      </w:rPr>
      <w:pict w14:anchorId="629F3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83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F4B0" w14:textId="5E45A167" w:rsidR="00F5582B" w:rsidRDefault="00F5582B">
    <w:pPr>
      <w:pStyle w:val="Header"/>
    </w:pPr>
    <w:r>
      <w:rPr>
        <w:noProof/>
      </w:rPr>
      <w:pict w14:anchorId="463AF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8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08A"/>
    <w:multiLevelType w:val="multilevel"/>
    <w:tmpl w:val="B2421B3A"/>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D129E"/>
    <w:multiLevelType w:val="hybridMultilevel"/>
    <w:tmpl w:val="C69494A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F49200E"/>
    <w:multiLevelType w:val="hybridMultilevel"/>
    <w:tmpl w:val="5F42E7CC"/>
    <w:lvl w:ilvl="0" w:tplc="D3BA44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705ED3"/>
    <w:multiLevelType w:val="hybridMultilevel"/>
    <w:tmpl w:val="009820B2"/>
    <w:lvl w:ilvl="0" w:tplc="040C0001">
      <w:start w:val="1"/>
      <w:numFmt w:val="bullet"/>
      <w:lvlText w:val=""/>
      <w:lvlJc w:val="left"/>
      <w:pPr>
        <w:ind w:left="1505" w:hanging="360"/>
      </w:pPr>
      <w:rPr>
        <w:rFonts w:ascii="Symbol" w:hAnsi="Symbo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4" w15:restartNumberingAfterBreak="0">
    <w:nsid w:val="12270311"/>
    <w:multiLevelType w:val="hybridMultilevel"/>
    <w:tmpl w:val="9FECC9E6"/>
    <w:lvl w:ilvl="0" w:tplc="040C0001">
      <w:start w:val="1"/>
      <w:numFmt w:val="bullet"/>
      <w:lvlText w:val=""/>
      <w:lvlJc w:val="left"/>
      <w:pPr>
        <w:ind w:left="1505" w:hanging="360"/>
      </w:pPr>
      <w:rPr>
        <w:rFonts w:ascii="Symbol" w:hAnsi="Symbo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5" w15:restartNumberingAfterBreak="0">
    <w:nsid w:val="13A41F2E"/>
    <w:multiLevelType w:val="hybridMultilevel"/>
    <w:tmpl w:val="9FCE482C"/>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 w15:restartNumberingAfterBreak="0">
    <w:nsid w:val="14192458"/>
    <w:multiLevelType w:val="hybridMultilevel"/>
    <w:tmpl w:val="7C206D94"/>
    <w:lvl w:ilvl="0" w:tplc="D4880228">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3A79FC"/>
    <w:multiLevelType w:val="hybridMultilevel"/>
    <w:tmpl w:val="D1B48160"/>
    <w:lvl w:ilvl="0" w:tplc="D4880228">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BF7129"/>
    <w:multiLevelType w:val="hybridMultilevel"/>
    <w:tmpl w:val="79F676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50435D"/>
    <w:multiLevelType w:val="hybridMultilevel"/>
    <w:tmpl w:val="0074CF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094AB3"/>
    <w:multiLevelType w:val="multilevel"/>
    <w:tmpl w:val="06B0CB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9006D9"/>
    <w:multiLevelType w:val="hybridMultilevel"/>
    <w:tmpl w:val="A19C87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12928B6"/>
    <w:multiLevelType w:val="hybridMultilevel"/>
    <w:tmpl w:val="A4805C22"/>
    <w:lvl w:ilvl="0" w:tplc="EA569A0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A06AE9"/>
    <w:multiLevelType w:val="multilevel"/>
    <w:tmpl w:val="5C22176C"/>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ascii="Times New Roman" w:hAnsi="Times New Roman" w:cs="Times New Roman" w:hint="default"/>
        <w:b/>
        <w:sz w:val="24"/>
      </w:rPr>
    </w:lvl>
    <w:lvl w:ilvl="2">
      <w:start w:val="1"/>
      <w:numFmt w:val="decimal"/>
      <w:lvlText w:val="%1.%2.%3."/>
      <w:lvlJc w:val="left"/>
      <w:pPr>
        <w:ind w:left="862" w:hanging="720"/>
      </w:pPr>
      <w:rPr>
        <w:rFonts w:hint="default"/>
        <w:b/>
        <w:color w:val="auto"/>
      </w:rPr>
    </w:lvl>
    <w:lvl w:ilvl="3">
      <w:start w:val="1"/>
      <w:numFmt w:val="decimal"/>
      <w:lvlText w:val="%1.%2.%3.%4."/>
      <w:lvlJc w:val="left"/>
      <w:pPr>
        <w:ind w:left="1800" w:hanging="720"/>
      </w:pPr>
      <w:rPr>
        <w:rFonts w:hint="default"/>
        <w:i w:val="0"/>
        <w:color w:val="auto"/>
        <w:sz w:val="24"/>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F019DB"/>
    <w:multiLevelType w:val="multilevel"/>
    <w:tmpl w:val="56600822"/>
    <w:lvl w:ilvl="0">
      <w:start w:val="1"/>
      <w:numFmt w:val="decimal"/>
      <w:lvlText w:val="%1."/>
      <w:lvlJc w:val="left"/>
      <w:pPr>
        <w:ind w:left="2160" w:hanging="360"/>
      </w:pPr>
      <w:rPr>
        <w:rFonts w:ascii="Times New Roman" w:hAnsi="Times New Roman" w:cs="Times New Roman" w:hint="default"/>
        <w:sz w:val="24"/>
      </w:rPr>
    </w:lvl>
    <w:lvl w:ilvl="1">
      <w:start w:val="1"/>
      <w:numFmt w:val="decimal"/>
      <w:isLgl/>
      <w:lvlText w:val="%1.%2."/>
      <w:lvlJc w:val="left"/>
      <w:pPr>
        <w:ind w:left="2204" w:hanging="360"/>
      </w:pPr>
      <w:rPr>
        <w:rFonts w:hint="default"/>
        <w:color w:val="auto"/>
      </w:rPr>
    </w:lvl>
    <w:lvl w:ilvl="2">
      <w:start w:val="1"/>
      <w:numFmt w:val="decimal"/>
      <w:isLgl/>
      <w:lvlText w:val="%1.%2.%3."/>
      <w:lvlJc w:val="left"/>
      <w:pPr>
        <w:ind w:left="2520" w:hanging="720"/>
      </w:pPr>
      <w:rPr>
        <w:rFonts w:hint="default"/>
        <w:b/>
        <w:i w:val="0"/>
        <w:color w:val="auto"/>
        <w:sz w:val="24"/>
      </w:rPr>
    </w:lvl>
    <w:lvl w:ilvl="3">
      <w:start w:val="1"/>
      <w:numFmt w:val="decimal"/>
      <w:isLgl/>
      <w:lvlText w:val="%1.%2.%3.%4."/>
      <w:lvlJc w:val="left"/>
      <w:pPr>
        <w:ind w:left="2520" w:hanging="720"/>
      </w:pPr>
      <w:rPr>
        <w:rFonts w:hint="default"/>
        <w:b/>
        <w:i w:val="0"/>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2880" w:hanging="1080"/>
      </w:pPr>
      <w:rPr>
        <w:rFonts w:hint="default"/>
        <w:color w:val="auto"/>
        <w:sz w:val="24"/>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38D346DE"/>
    <w:multiLevelType w:val="hybridMultilevel"/>
    <w:tmpl w:val="ED16F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777C45"/>
    <w:multiLevelType w:val="multilevel"/>
    <w:tmpl w:val="2A9621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265427"/>
    <w:multiLevelType w:val="multilevel"/>
    <w:tmpl w:val="9580F8C4"/>
    <w:lvl w:ilvl="0">
      <w:start w:val="3"/>
      <w:numFmt w:val="decimal"/>
      <w:lvlText w:val="%1."/>
      <w:lvlJc w:val="left"/>
      <w:pPr>
        <w:ind w:left="720" w:hanging="720"/>
      </w:pPr>
      <w:rPr>
        <w:rFonts w:hint="default"/>
      </w:rPr>
    </w:lvl>
    <w:lvl w:ilvl="1">
      <w:start w:val="5"/>
      <w:numFmt w:val="decimal"/>
      <w:lvlText w:val="%1.%2."/>
      <w:lvlJc w:val="left"/>
      <w:pPr>
        <w:ind w:left="1320" w:hanging="720"/>
      </w:pPr>
      <w:rPr>
        <w:rFonts w:hint="default"/>
        <w:color w:val="auto"/>
      </w:rPr>
    </w:lvl>
    <w:lvl w:ilvl="2">
      <w:start w:val="2"/>
      <w:numFmt w:val="decimal"/>
      <w:lvlText w:val="%1.%2.%3."/>
      <w:lvlJc w:val="left"/>
      <w:pPr>
        <w:ind w:left="2989" w:hanging="720"/>
      </w:pPr>
      <w:rPr>
        <w:rFonts w:hint="default"/>
        <w:i w:val="0"/>
      </w:rPr>
    </w:lvl>
    <w:lvl w:ilvl="3">
      <w:start w:val="1"/>
      <w:numFmt w:val="decimal"/>
      <w:lvlText w:val="%1.%2.%3.%4."/>
      <w:lvlJc w:val="left"/>
      <w:pPr>
        <w:ind w:left="2520" w:hanging="720"/>
      </w:pPr>
      <w:rPr>
        <w:rFonts w:hint="default"/>
        <w:i w:val="0"/>
        <w:color w:val="auto"/>
        <w:sz w:val="24"/>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418E1F66"/>
    <w:multiLevelType w:val="hybridMultilevel"/>
    <w:tmpl w:val="5DD8BDEC"/>
    <w:lvl w:ilvl="0" w:tplc="D4880228">
      <w:start w:val="1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57564A4"/>
    <w:multiLevelType w:val="multilevel"/>
    <w:tmpl w:val="5EC0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058A3"/>
    <w:multiLevelType w:val="hybridMultilevel"/>
    <w:tmpl w:val="6F1AA994"/>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15:restartNumberingAfterBreak="0">
    <w:nsid w:val="463C1D70"/>
    <w:multiLevelType w:val="hybridMultilevel"/>
    <w:tmpl w:val="03D2C6F8"/>
    <w:lvl w:ilvl="0" w:tplc="D4880228">
      <w:start w:val="12"/>
      <w:numFmt w:val="bullet"/>
      <w:lvlText w:val="-"/>
      <w:lvlJc w:val="left"/>
      <w:pPr>
        <w:ind w:left="1648" w:hanging="360"/>
      </w:pPr>
      <w:rPr>
        <w:rFonts w:ascii="Times New Roman" w:eastAsiaTheme="minorHAnsi" w:hAnsi="Times New Roman" w:cs="Times New Roman" w:hint="default"/>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22" w15:restartNumberingAfterBreak="0">
    <w:nsid w:val="4D9355E8"/>
    <w:multiLevelType w:val="multilevel"/>
    <w:tmpl w:val="A4A023FE"/>
    <w:lvl w:ilvl="0">
      <w:start w:val="3"/>
      <w:numFmt w:val="decimal"/>
      <w:lvlText w:val="%1."/>
      <w:lvlJc w:val="left"/>
      <w:pPr>
        <w:ind w:left="720" w:hanging="720"/>
      </w:pPr>
      <w:rPr>
        <w:rFonts w:hint="default"/>
        <w:sz w:val="24"/>
      </w:rPr>
    </w:lvl>
    <w:lvl w:ilvl="1">
      <w:start w:val="6"/>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D112B"/>
    <w:multiLevelType w:val="multilevel"/>
    <w:tmpl w:val="1E24AE9A"/>
    <w:lvl w:ilvl="0">
      <w:start w:val="1"/>
      <w:numFmt w:val="decimal"/>
      <w:lvlText w:val="%1."/>
      <w:lvlJc w:val="left"/>
      <w:pPr>
        <w:ind w:left="390" w:hanging="390"/>
      </w:pPr>
      <w:rPr>
        <w:rFonts w:hint="default"/>
        <w:sz w:val="24"/>
      </w:rPr>
    </w:lvl>
    <w:lvl w:ilvl="1">
      <w:start w:val="1"/>
      <w:numFmt w:val="decimal"/>
      <w:lvlText w:val="%1.%2."/>
      <w:lvlJc w:val="left"/>
      <w:pPr>
        <w:ind w:left="780" w:hanging="720"/>
      </w:pPr>
      <w:rPr>
        <w:rFonts w:ascii="Times New Roman" w:hAnsi="Times New Roman" w:cs="Times New Roman" w:hint="default"/>
        <w:color w:val="auto"/>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4" w15:restartNumberingAfterBreak="0">
    <w:nsid w:val="567F7DB5"/>
    <w:multiLevelType w:val="hybridMultilevel"/>
    <w:tmpl w:val="6DD8918E"/>
    <w:lvl w:ilvl="0" w:tplc="A8C417CC">
      <w:start w:val="4"/>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8D0161"/>
    <w:multiLevelType w:val="multilevel"/>
    <w:tmpl w:val="F93E818E"/>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1080" w:hanging="360"/>
      </w:pPr>
      <w:rPr>
        <w:rFonts w:hint="default"/>
        <w:color w:val="auto"/>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C2656F3"/>
    <w:multiLevelType w:val="hybridMultilevel"/>
    <w:tmpl w:val="D24C2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CB6C02"/>
    <w:multiLevelType w:val="multilevel"/>
    <w:tmpl w:val="C05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CC2E72"/>
    <w:multiLevelType w:val="hybridMultilevel"/>
    <w:tmpl w:val="A8BE09D4"/>
    <w:lvl w:ilvl="0" w:tplc="D4880228">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FD7480"/>
    <w:multiLevelType w:val="hybridMultilevel"/>
    <w:tmpl w:val="F2D0CB7E"/>
    <w:lvl w:ilvl="0" w:tplc="D4880228">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870B59"/>
    <w:multiLevelType w:val="hybridMultilevel"/>
    <w:tmpl w:val="2372420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6A9D5748"/>
    <w:multiLevelType w:val="hybridMultilevel"/>
    <w:tmpl w:val="859895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237923"/>
    <w:multiLevelType w:val="hybridMultilevel"/>
    <w:tmpl w:val="8F44CEAE"/>
    <w:lvl w:ilvl="0" w:tplc="D4880228">
      <w:start w:val="1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C762D42"/>
    <w:multiLevelType w:val="multilevel"/>
    <w:tmpl w:val="1250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9F5C24"/>
    <w:multiLevelType w:val="multilevel"/>
    <w:tmpl w:val="82AA4CE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E0B51"/>
    <w:multiLevelType w:val="multilevel"/>
    <w:tmpl w:val="3D1CD11C"/>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C0A65"/>
    <w:multiLevelType w:val="hybridMultilevel"/>
    <w:tmpl w:val="2DEC0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C741B2"/>
    <w:multiLevelType w:val="hybridMultilevel"/>
    <w:tmpl w:val="3850B250"/>
    <w:lvl w:ilvl="0" w:tplc="54709D0A">
      <w:start w:val="1"/>
      <w:numFmt w:val="decimal"/>
      <w:lvlText w:val="%1."/>
      <w:lvlJc w:val="left"/>
      <w:pPr>
        <w:ind w:left="720" w:hanging="360"/>
      </w:pPr>
      <w:rPr>
        <w:rFonts w:hint="default"/>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7D7FD5"/>
    <w:multiLevelType w:val="hybridMultilevel"/>
    <w:tmpl w:val="B4327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531B2E"/>
    <w:multiLevelType w:val="hybridMultilevel"/>
    <w:tmpl w:val="175213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92D77B4"/>
    <w:multiLevelType w:val="multilevel"/>
    <w:tmpl w:val="06EA8FD6"/>
    <w:lvl w:ilvl="0">
      <w:start w:val="3"/>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E596D"/>
    <w:multiLevelType w:val="multilevel"/>
    <w:tmpl w:val="37D2F9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9613C5"/>
    <w:multiLevelType w:val="multilevel"/>
    <w:tmpl w:val="1BECA58C"/>
    <w:lvl w:ilvl="0">
      <w:start w:val="3"/>
      <w:numFmt w:val="decimal"/>
      <w:lvlText w:val="%1."/>
      <w:lvlJc w:val="left"/>
      <w:pPr>
        <w:ind w:left="720" w:hanging="72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i w:val="0"/>
        <w:color w:val="auto"/>
      </w:rPr>
    </w:lvl>
    <w:lvl w:ilvl="3">
      <w:start w:val="7"/>
      <w:numFmt w:val="decimal"/>
      <w:lvlText w:val="%1.%2.%3.%4."/>
      <w:lvlJc w:val="left"/>
      <w:pPr>
        <w:ind w:left="2520" w:hanging="720"/>
      </w:pPr>
      <w:rPr>
        <w:rFonts w:hint="default"/>
        <w:sz w:val="24"/>
      </w:rPr>
    </w:lvl>
    <w:lvl w:ilvl="4">
      <w:start w:val="1"/>
      <w:numFmt w:val="decimal"/>
      <w:lvlText w:val="%1.%2.%3.%4.%5."/>
      <w:lvlJc w:val="left"/>
      <w:pPr>
        <w:ind w:left="2499" w:hanging="1080"/>
      </w:pPr>
      <w:rPr>
        <w:rFonts w:hint="default"/>
        <w:color w:val="auto"/>
        <w:sz w:val="24"/>
      </w:rPr>
    </w:lvl>
    <w:lvl w:ilvl="5">
      <w:start w:val="1"/>
      <w:numFmt w:val="decimal"/>
      <w:lvlText w:val="%1.%2.%3.%4.%5.%6."/>
      <w:lvlJc w:val="left"/>
      <w:pPr>
        <w:ind w:left="4080" w:hanging="1080"/>
      </w:pPr>
      <w:rPr>
        <w:rFonts w:hint="default"/>
        <w:b/>
        <w:color w:val="auto"/>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24"/>
  </w:num>
  <w:num w:numId="2">
    <w:abstractNumId w:val="37"/>
  </w:num>
  <w:num w:numId="3">
    <w:abstractNumId w:val="41"/>
  </w:num>
  <w:num w:numId="4">
    <w:abstractNumId w:val="16"/>
  </w:num>
  <w:num w:numId="5">
    <w:abstractNumId w:val="9"/>
  </w:num>
  <w:num w:numId="6">
    <w:abstractNumId w:val="30"/>
  </w:num>
  <w:num w:numId="7">
    <w:abstractNumId w:val="31"/>
  </w:num>
  <w:num w:numId="8">
    <w:abstractNumId w:val="26"/>
  </w:num>
  <w:num w:numId="9">
    <w:abstractNumId w:val="14"/>
  </w:num>
  <w:num w:numId="10">
    <w:abstractNumId w:val="36"/>
  </w:num>
  <w:num w:numId="11">
    <w:abstractNumId w:val="34"/>
  </w:num>
  <w:num w:numId="12">
    <w:abstractNumId w:val="29"/>
  </w:num>
  <w:num w:numId="13">
    <w:abstractNumId w:val="12"/>
  </w:num>
  <w:num w:numId="14">
    <w:abstractNumId w:val="25"/>
  </w:num>
  <w:num w:numId="15">
    <w:abstractNumId w:val="13"/>
  </w:num>
  <w:num w:numId="16">
    <w:abstractNumId w:val="11"/>
  </w:num>
  <w:num w:numId="17">
    <w:abstractNumId w:val="15"/>
  </w:num>
  <w:num w:numId="18">
    <w:abstractNumId w:val="1"/>
  </w:num>
  <w:num w:numId="19">
    <w:abstractNumId w:val="38"/>
  </w:num>
  <w:num w:numId="20">
    <w:abstractNumId w:val="39"/>
  </w:num>
  <w:num w:numId="21">
    <w:abstractNumId w:val="2"/>
  </w:num>
  <w:num w:numId="22">
    <w:abstractNumId w:val="42"/>
  </w:num>
  <w:num w:numId="23">
    <w:abstractNumId w:val="23"/>
  </w:num>
  <w:num w:numId="24">
    <w:abstractNumId w:val="8"/>
  </w:num>
  <w:num w:numId="25">
    <w:abstractNumId w:val="17"/>
  </w:num>
  <w:num w:numId="26">
    <w:abstractNumId w:val="19"/>
  </w:num>
  <w:num w:numId="27">
    <w:abstractNumId w:val="27"/>
  </w:num>
  <w:num w:numId="28">
    <w:abstractNumId w:val="33"/>
  </w:num>
  <w:num w:numId="29">
    <w:abstractNumId w:val="21"/>
  </w:num>
  <w:num w:numId="30">
    <w:abstractNumId w:val="6"/>
  </w:num>
  <w:num w:numId="31">
    <w:abstractNumId w:val="32"/>
  </w:num>
  <w:num w:numId="32">
    <w:abstractNumId w:val="18"/>
  </w:num>
  <w:num w:numId="33">
    <w:abstractNumId w:val="40"/>
  </w:num>
  <w:num w:numId="34">
    <w:abstractNumId w:val="0"/>
  </w:num>
  <w:num w:numId="35">
    <w:abstractNumId w:val="35"/>
  </w:num>
  <w:num w:numId="36">
    <w:abstractNumId w:val="22"/>
  </w:num>
  <w:num w:numId="37">
    <w:abstractNumId w:val="10"/>
  </w:num>
  <w:num w:numId="38">
    <w:abstractNumId w:val="7"/>
  </w:num>
  <w:num w:numId="39">
    <w:abstractNumId w:val="28"/>
  </w:num>
  <w:num w:numId="40">
    <w:abstractNumId w:val="3"/>
  </w:num>
  <w:num w:numId="41">
    <w:abstractNumId w:val="4"/>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64"/>
    <w:rsid w:val="00027370"/>
    <w:rsid w:val="001013D0"/>
    <w:rsid w:val="004C502D"/>
    <w:rsid w:val="0054436E"/>
    <w:rsid w:val="00674764"/>
    <w:rsid w:val="0081303A"/>
    <w:rsid w:val="009F034A"/>
    <w:rsid w:val="00B466D0"/>
    <w:rsid w:val="00D01468"/>
    <w:rsid w:val="00DE7206"/>
    <w:rsid w:val="00F55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01AA3"/>
  <w15:chartTrackingRefBased/>
  <w15:docId w15:val="{874870FF-6B97-406A-BCCE-DCDB5B63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74764"/>
    <w:pPr>
      <w:keepNext/>
      <w:tabs>
        <w:tab w:val="left" w:pos="360"/>
      </w:tabs>
      <w:spacing w:after="0" w:line="240" w:lineRule="auto"/>
      <w:ind w:left="360"/>
      <w:outlineLvl w:val="0"/>
    </w:pPr>
    <w:rPr>
      <w:rFonts w:ascii="Arial" w:eastAsia="Times New Roman" w:hAnsi="Arial" w:cs="Times New Roman"/>
      <w:b/>
      <w:sz w:val="20"/>
      <w:szCs w:val="20"/>
      <w:lang w:val="en-US"/>
    </w:rPr>
  </w:style>
  <w:style w:type="paragraph" w:styleId="Heading2">
    <w:name w:val="heading 2"/>
    <w:basedOn w:val="Normal"/>
    <w:next w:val="Normal"/>
    <w:link w:val="Heading2Char"/>
    <w:uiPriority w:val="99"/>
    <w:unhideWhenUsed/>
    <w:qFormat/>
    <w:rsid w:val="00674764"/>
    <w:pPr>
      <w:keepNext/>
      <w:tabs>
        <w:tab w:val="left" w:pos="600"/>
      </w:tabs>
      <w:spacing w:after="60" w:line="240" w:lineRule="auto"/>
      <w:ind w:left="11" w:hanging="11"/>
      <w:outlineLvl w:val="1"/>
    </w:pPr>
    <w:rPr>
      <w:rFonts w:ascii="Arial Black" w:eastAsia="Times New Roman" w:hAnsi="Arial Black" w:cs="Times New Roman"/>
      <w:sz w:val="20"/>
      <w:szCs w:val="20"/>
      <w:lang w:val="en-US"/>
    </w:rPr>
  </w:style>
  <w:style w:type="paragraph" w:styleId="Heading3">
    <w:name w:val="heading 3"/>
    <w:basedOn w:val="Normal"/>
    <w:next w:val="Normal"/>
    <w:link w:val="Heading3Char"/>
    <w:uiPriority w:val="99"/>
    <w:unhideWhenUsed/>
    <w:qFormat/>
    <w:rsid w:val="006747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unhideWhenUsed/>
    <w:qFormat/>
    <w:rsid w:val="006747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unhideWhenUsed/>
    <w:qFormat/>
    <w:rsid w:val="0067476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76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74764"/>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74764"/>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476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764"/>
    <w:rPr>
      <w:rFonts w:ascii="Arial" w:eastAsia="Times New Roman" w:hAnsi="Arial" w:cs="Times New Roman"/>
      <w:b/>
      <w:sz w:val="20"/>
      <w:szCs w:val="20"/>
      <w:lang w:val="en-US"/>
    </w:rPr>
  </w:style>
  <w:style w:type="character" w:customStyle="1" w:styleId="Heading2Char">
    <w:name w:val="Heading 2 Char"/>
    <w:basedOn w:val="DefaultParagraphFont"/>
    <w:link w:val="Heading2"/>
    <w:uiPriority w:val="99"/>
    <w:rsid w:val="00674764"/>
    <w:rPr>
      <w:rFonts w:ascii="Arial Black" w:eastAsia="Times New Roman" w:hAnsi="Arial Black" w:cs="Times New Roman"/>
      <w:sz w:val="20"/>
      <w:szCs w:val="20"/>
      <w:lang w:val="en-US"/>
    </w:rPr>
  </w:style>
  <w:style w:type="character" w:customStyle="1" w:styleId="Heading3Char">
    <w:name w:val="Heading 3 Char"/>
    <w:basedOn w:val="DefaultParagraphFont"/>
    <w:link w:val="Heading3"/>
    <w:uiPriority w:val="99"/>
    <w:rsid w:val="0067476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67476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9"/>
    <w:rsid w:val="0067476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67476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7476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747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4764"/>
    <w:rPr>
      <w:rFonts w:asciiTheme="majorHAnsi" w:eastAsiaTheme="majorEastAsia" w:hAnsiTheme="majorHAnsi" w:cstheme="majorBidi"/>
      <w:i/>
      <w:iCs/>
      <w:color w:val="272727" w:themeColor="text1" w:themeTint="D8"/>
      <w:sz w:val="21"/>
      <w:szCs w:val="21"/>
    </w:rPr>
  </w:style>
  <w:style w:type="numbering" w:customStyle="1" w:styleId="Aucuneliste1">
    <w:name w:val="Aucune liste1"/>
    <w:next w:val="NoList"/>
    <w:uiPriority w:val="99"/>
    <w:semiHidden/>
    <w:unhideWhenUsed/>
    <w:rsid w:val="00674764"/>
  </w:style>
  <w:style w:type="paragraph" w:styleId="Header">
    <w:name w:val="header"/>
    <w:basedOn w:val="Normal"/>
    <w:link w:val="HeaderChar"/>
    <w:uiPriority w:val="99"/>
    <w:unhideWhenUsed/>
    <w:rsid w:val="006747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4764"/>
  </w:style>
  <w:style w:type="paragraph" w:styleId="Footer">
    <w:name w:val="footer"/>
    <w:basedOn w:val="Normal"/>
    <w:link w:val="FooterChar"/>
    <w:uiPriority w:val="99"/>
    <w:unhideWhenUsed/>
    <w:rsid w:val="006747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4764"/>
  </w:style>
  <w:style w:type="paragraph" w:styleId="ListParagraph">
    <w:name w:val="List Paragraph"/>
    <w:basedOn w:val="Normal"/>
    <w:uiPriority w:val="34"/>
    <w:qFormat/>
    <w:rsid w:val="00674764"/>
    <w:pPr>
      <w:ind w:left="720"/>
      <w:contextualSpacing/>
    </w:pPr>
  </w:style>
  <w:style w:type="table" w:styleId="TableGrid">
    <w:name w:val="Table Grid"/>
    <w:basedOn w:val="TableNormal"/>
    <w:uiPriority w:val="39"/>
    <w:rsid w:val="0067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747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747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747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74764"/>
    <w:rPr>
      <w:sz w:val="16"/>
      <w:szCs w:val="16"/>
    </w:rPr>
  </w:style>
  <w:style w:type="paragraph" w:styleId="CommentText">
    <w:name w:val="annotation text"/>
    <w:basedOn w:val="Normal"/>
    <w:link w:val="CommentTextChar"/>
    <w:uiPriority w:val="99"/>
    <w:unhideWhenUsed/>
    <w:rsid w:val="00674764"/>
    <w:pPr>
      <w:spacing w:line="240" w:lineRule="auto"/>
    </w:pPr>
    <w:rPr>
      <w:sz w:val="20"/>
      <w:szCs w:val="20"/>
    </w:rPr>
  </w:style>
  <w:style w:type="character" w:customStyle="1" w:styleId="CommentTextChar">
    <w:name w:val="Comment Text Char"/>
    <w:basedOn w:val="DefaultParagraphFont"/>
    <w:link w:val="CommentText"/>
    <w:uiPriority w:val="99"/>
    <w:rsid w:val="00674764"/>
    <w:rPr>
      <w:sz w:val="20"/>
      <w:szCs w:val="20"/>
    </w:rPr>
  </w:style>
  <w:style w:type="paragraph" w:styleId="CommentSubject">
    <w:name w:val="annotation subject"/>
    <w:basedOn w:val="CommentText"/>
    <w:next w:val="CommentText"/>
    <w:link w:val="CommentSubjectChar"/>
    <w:uiPriority w:val="99"/>
    <w:semiHidden/>
    <w:unhideWhenUsed/>
    <w:rsid w:val="00674764"/>
    <w:rPr>
      <w:b/>
      <w:bCs/>
    </w:rPr>
  </w:style>
  <w:style w:type="character" w:customStyle="1" w:styleId="CommentSubjectChar">
    <w:name w:val="Comment Subject Char"/>
    <w:basedOn w:val="CommentTextChar"/>
    <w:link w:val="CommentSubject"/>
    <w:uiPriority w:val="99"/>
    <w:semiHidden/>
    <w:rsid w:val="00674764"/>
    <w:rPr>
      <w:b/>
      <w:bCs/>
      <w:sz w:val="20"/>
      <w:szCs w:val="20"/>
    </w:rPr>
  </w:style>
  <w:style w:type="paragraph" w:styleId="BalloonText">
    <w:name w:val="Balloon Text"/>
    <w:basedOn w:val="Normal"/>
    <w:link w:val="BalloonTextChar"/>
    <w:uiPriority w:val="99"/>
    <w:semiHidden/>
    <w:unhideWhenUsed/>
    <w:rsid w:val="00674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64"/>
    <w:rPr>
      <w:rFonts w:ascii="Segoe UI" w:hAnsi="Segoe UI" w:cs="Segoe UI"/>
      <w:sz w:val="18"/>
      <w:szCs w:val="18"/>
    </w:rPr>
  </w:style>
  <w:style w:type="character" w:styleId="PlaceholderText">
    <w:name w:val="Placeholder Text"/>
    <w:basedOn w:val="DefaultParagraphFont"/>
    <w:uiPriority w:val="99"/>
    <w:semiHidden/>
    <w:rsid w:val="00674764"/>
    <w:rPr>
      <w:color w:val="808080"/>
    </w:rPr>
  </w:style>
  <w:style w:type="numbering" w:customStyle="1" w:styleId="Aucuneliste11">
    <w:name w:val="Aucune liste11"/>
    <w:next w:val="NoList"/>
    <w:uiPriority w:val="99"/>
    <w:semiHidden/>
    <w:unhideWhenUsed/>
    <w:rsid w:val="00674764"/>
  </w:style>
  <w:style w:type="character" w:styleId="Hyperlink">
    <w:name w:val="Hyperlink"/>
    <w:basedOn w:val="DefaultParagraphFont"/>
    <w:uiPriority w:val="99"/>
    <w:unhideWhenUsed/>
    <w:rsid w:val="00674764"/>
    <w:rPr>
      <w:color w:val="0000FF"/>
      <w:u w:val="single"/>
    </w:rPr>
  </w:style>
  <w:style w:type="character" w:customStyle="1" w:styleId="y2iqfc">
    <w:name w:val="y2iqfc"/>
    <w:basedOn w:val="DefaultParagraphFont"/>
    <w:rsid w:val="00674764"/>
  </w:style>
  <w:style w:type="paragraph" w:styleId="Caption">
    <w:name w:val="caption"/>
    <w:basedOn w:val="Normal"/>
    <w:next w:val="Normal"/>
    <w:uiPriority w:val="99"/>
    <w:unhideWhenUsed/>
    <w:qFormat/>
    <w:rsid w:val="00674764"/>
    <w:pPr>
      <w:spacing w:after="200" w:line="240" w:lineRule="auto"/>
    </w:pPr>
    <w:rPr>
      <w:rFonts w:ascii="Times New Roman" w:eastAsia="Times New Roman" w:hAnsi="Times New Roman" w:cs="Times New Roman"/>
      <w:i/>
      <w:iCs/>
      <w:color w:val="44546A" w:themeColor="text2"/>
      <w:sz w:val="18"/>
      <w:szCs w:val="18"/>
      <w:lang w:eastAsia="fr-FR"/>
    </w:rPr>
  </w:style>
  <w:style w:type="table" w:customStyle="1" w:styleId="Grilledutableau1">
    <w:name w:val="Grille du tableau1"/>
    <w:basedOn w:val="TableNormal"/>
    <w:next w:val="TableGrid"/>
    <w:uiPriority w:val="39"/>
    <w:rsid w:val="0067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Normal"/>
    <w:next w:val="PlainTable2"/>
    <w:uiPriority w:val="42"/>
    <w:rsid w:val="006747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41">
    <w:name w:val="Tableau simple 41"/>
    <w:basedOn w:val="TableNormal"/>
    <w:next w:val="PlainTable4"/>
    <w:uiPriority w:val="44"/>
    <w:rsid w:val="006747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47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747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unhideWhenUsed/>
    <w:rsid w:val="00674764"/>
    <w:pPr>
      <w:spacing w:after="0"/>
    </w:pPr>
  </w:style>
  <w:style w:type="paragraph" w:styleId="TOC1">
    <w:name w:val="toc 1"/>
    <w:basedOn w:val="Normal"/>
    <w:next w:val="Normal"/>
    <w:autoRedefine/>
    <w:uiPriority w:val="39"/>
    <w:unhideWhenUsed/>
    <w:rsid w:val="00674764"/>
    <w:pPr>
      <w:tabs>
        <w:tab w:val="right" w:leader="dot" w:pos="9062"/>
      </w:tabs>
      <w:spacing w:after="100"/>
    </w:pPr>
    <w:rPr>
      <w:rFonts w:ascii="Times New Roman" w:hAnsi="Times New Roman"/>
    </w:rPr>
  </w:style>
  <w:style w:type="paragraph" w:styleId="TOC2">
    <w:name w:val="toc 2"/>
    <w:basedOn w:val="Normal"/>
    <w:next w:val="Normal"/>
    <w:autoRedefine/>
    <w:uiPriority w:val="39"/>
    <w:unhideWhenUsed/>
    <w:rsid w:val="00674764"/>
    <w:pPr>
      <w:spacing w:after="100"/>
      <w:ind w:left="220"/>
    </w:pPr>
  </w:style>
  <w:style w:type="paragraph" w:styleId="TOC3">
    <w:name w:val="toc 3"/>
    <w:basedOn w:val="Normal"/>
    <w:next w:val="Normal"/>
    <w:autoRedefine/>
    <w:uiPriority w:val="39"/>
    <w:unhideWhenUsed/>
    <w:rsid w:val="00674764"/>
    <w:pPr>
      <w:tabs>
        <w:tab w:val="right" w:leader="dot" w:pos="9062"/>
      </w:tabs>
      <w:spacing w:after="100" w:line="360" w:lineRule="auto"/>
      <w:ind w:left="440"/>
    </w:pPr>
  </w:style>
  <w:style w:type="paragraph" w:styleId="NoSpacing">
    <w:name w:val="No Spacing"/>
    <w:link w:val="NoSpacingChar"/>
    <w:uiPriority w:val="1"/>
    <w:qFormat/>
    <w:rsid w:val="006747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4764"/>
    <w:rPr>
      <w:rFonts w:eastAsiaTheme="minorEastAsia"/>
      <w:lang w:val="en-US"/>
    </w:rPr>
  </w:style>
  <w:style w:type="table" w:customStyle="1" w:styleId="TableGrid0">
    <w:name w:val="TableGrid"/>
    <w:rsid w:val="00674764"/>
    <w:pPr>
      <w:spacing w:after="0" w:line="240" w:lineRule="auto"/>
    </w:pPr>
    <w:rPr>
      <w:rFonts w:eastAsiaTheme="minorEastAsia"/>
      <w:lang w:eastAsia="fr-FR"/>
    </w:rPr>
    <w:tblPr>
      <w:tblCellMar>
        <w:top w:w="0" w:type="dxa"/>
        <w:left w:w="0" w:type="dxa"/>
        <w:bottom w:w="0" w:type="dxa"/>
        <w:right w:w="0" w:type="dxa"/>
      </w:tblCellMar>
    </w:tblPr>
  </w:style>
  <w:style w:type="paragraph" w:styleId="NormalWeb">
    <w:name w:val="Normal (Web)"/>
    <w:basedOn w:val="Normal"/>
    <w:uiPriority w:val="99"/>
    <w:unhideWhenUsed/>
    <w:rsid w:val="00674764"/>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markedcontent">
    <w:name w:val="markedcontent"/>
    <w:rsid w:val="00674764"/>
  </w:style>
  <w:style w:type="character" w:styleId="Strong">
    <w:name w:val="Strong"/>
    <w:basedOn w:val="DefaultParagraphFont"/>
    <w:uiPriority w:val="22"/>
    <w:qFormat/>
    <w:rsid w:val="00674764"/>
    <w:rPr>
      <w:b/>
      <w:bCs/>
    </w:rPr>
  </w:style>
  <w:style w:type="character" w:styleId="Emphasis">
    <w:name w:val="Emphasis"/>
    <w:basedOn w:val="DefaultParagraphFont"/>
    <w:uiPriority w:val="20"/>
    <w:qFormat/>
    <w:rsid w:val="00674764"/>
    <w:rPr>
      <w:i/>
      <w:iCs/>
    </w:rPr>
  </w:style>
  <w:style w:type="paragraph" w:customStyle="1" w:styleId="ds-markdown-paragraph">
    <w:name w:val="ds-markdown-paragraph"/>
    <w:basedOn w:val="Normal"/>
    <w:rsid w:val="0067476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odyText">
    <w:name w:val="Body Text"/>
    <w:basedOn w:val="Normal"/>
    <w:link w:val="BodyTextChar"/>
    <w:uiPriority w:val="99"/>
    <w:qFormat/>
    <w:rsid w:val="00674764"/>
    <w:pPr>
      <w:spacing w:before="180" w:after="180" w:line="240" w:lineRule="auto"/>
    </w:pPr>
    <w:rPr>
      <w:sz w:val="24"/>
      <w:szCs w:val="24"/>
      <w:lang w:val="en-US"/>
    </w:rPr>
  </w:style>
  <w:style w:type="character" w:customStyle="1" w:styleId="BodyTextChar">
    <w:name w:val="Body Text Char"/>
    <w:basedOn w:val="DefaultParagraphFont"/>
    <w:link w:val="BodyText"/>
    <w:uiPriority w:val="99"/>
    <w:rsid w:val="00674764"/>
    <w:rPr>
      <w:sz w:val="24"/>
      <w:szCs w:val="24"/>
      <w:lang w:val="en-US"/>
    </w:rPr>
  </w:style>
  <w:style w:type="paragraph" w:customStyle="1" w:styleId="ng-tns-c1-0">
    <w:name w:val="ng-tns-c1-0"/>
    <w:basedOn w:val="Normal"/>
    <w:rsid w:val="006747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g-tns-c1-01">
    <w:name w:val="ng-tns-c1-01"/>
    <w:basedOn w:val="DefaultParagraphFont"/>
    <w:rsid w:val="00674764"/>
  </w:style>
  <w:style w:type="paragraph" w:customStyle="1" w:styleId="blurb-text">
    <w:name w:val="blurb-text"/>
    <w:basedOn w:val="Normal"/>
    <w:rsid w:val="0067476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OC4">
    <w:name w:val="toc 4"/>
    <w:basedOn w:val="Normal"/>
    <w:next w:val="Normal"/>
    <w:autoRedefine/>
    <w:uiPriority w:val="39"/>
    <w:unhideWhenUsed/>
    <w:rsid w:val="00674764"/>
    <w:pPr>
      <w:spacing w:after="100"/>
      <w:ind w:left="660"/>
    </w:pPr>
  </w:style>
  <w:style w:type="paragraph" w:styleId="TOC5">
    <w:name w:val="toc 5"/>
    <w:basedOn w:val="Normal"/>
    <w:next w:val="Normal"/>
    <w:autoRedefine/>
    <w:uiPriority w:val="39"/>
    <w:unhideWhenUsed/>
    <w:rsid w:val="00674764"/>
    <w:pPr>
      <w:spacing w:after="100"/>
      <w:ind w:left="880"/>
    </w:pPr>
  </w:style>
  <w:style w:type="paragraph" w:styleId="TOC6">
    <w:name w:val="toc 6"/>
    <w:basedOn w:val="Normal"/>
    <w:next w:val="Normal"/>
    <w:autoRedefine/>
    <w:uiPriority w:val="39"/>
    <w:unhideWhenUsed/>
    <w:rsid w:val="00674764"/>
    <w:pPr>
      <w:spacing w:after="100"/>
      <w:ind w:left="1100"/>
    </w:pPr>
  </w:style>
  <w:style w:type="paragraph" w:styleId="Bibliography">
    <w:name w:val="Bibliography"/>
    <w:basedOn w:val="Normal"/>
    <w:next w:val="Normal"/>
    <w:uiPriority w:val="37"/>
    <w:unhideWhenUsed/>
    <w:rsid w:val="00674764"/>
    <w:pPr>
      <w:spacing w:after="240" w:line="240" w:lineRule="auto"/>
      <w:ind w:left="720" w:hanging="720"/>
    </w:pPr>
  </w:style>
  <w:style w:type="paragraph" w:styleId="TOC7">
    <w:name w:val="toc 7"/>
    <w:basedOn w:val="Normal"/>
    <w:next w:val="Normal"/>
    <w:autoRedefine/>
    <w:uiPriority w:val="39"/>
    <w:unhideWhenUsed/>
    <w:rsid w:val="00674764"/>
    <w:pPr>
      <w:spacing w:after="100"/>
      <w:ind w:left="1320"/>
    </w:pPr>
    <w:rPr>
      <w:rFonts w:eastAsiaTheme="minorEastAsia"/>
      <w:lang w:eastAsia="fr-FR"/>
    </w:rPr>
  </w:style>
  <w:style w:type="paragraph" w:styleId="TOC8">
    <w:name w:val="toc 8"/>
    <w:basedOn w:val="Normal"/>
    <w:next w:val="Normal"/>
    <w:autoRedefine/>
    <w:uiPriority w:val="39"/>
    <w:unhideWhenUsed/>
    <w:rsid w:val="00674764"/>
    <w:pPr>
      <w:spacing w:after="100"/>
      <w:ind w:left="1540"/>
    </w:pPr>
    <w:rPr>
      <w:rFonts w:eastAsiaTheme="minorEastAsia"/>
      <w:lang w:eastAsia="fr-FR"/>
    </w:rPr>
  </w:style>
  <w:style w:type="paragraph" w:styleId="TOC9">
    <w:name w:val="toc 9"/>
    <w:basedOn w:val="Normal"/>
    <w:next w:val="Normal"/>
    <w:autoRedefine/>
    <w:uiPriority w:val="39"/>
    <w:unhideWhenUsed/>
    <w:rsid w:val="00674764"/>
    <w:pPr>
      <w:spacing w:after="100"/>
      <w:ind w:left="1760"/>
    </w:pPr>
    <w:rPr>
      <w:rFonts w:eastAsiaTheme="minorEastAsia"/>
      <w:lang w:eastAsia="fr-FR"/>
    </w:rPr>
  </w:style>
  <w:style w:type="paragraph" w:customStyle="1" w:styleId="Paragraphedeliste1">
    <w:name w:val="Paragraphe de liste1"/>
    <w:basedOn w:val="Normal"/>
    <w:rsid w:val="00674764"/>
    <w:pPr>
      <w:spacing w:before="100" w:beforeAutospacing="1" w:after="100" w:afterAutospacing="1" w:line="256" w:lineRule="auto"/>
      <w:contextualSpacing/>
    </w:pPr>
    <w:rPr>
      <w:rFonts w:ascii="Calibri" w:eastAsia="Times New Roman" w:hAnsi="Calibri" w:cs="Times New Roman"/>
      <w:sz w:val="24"/>
      <w:szCs w:val="24"/>
      <w:lang w:eastAsia="fr-FR"/>
    </w:rPr>
  </w:style>
  <w:style w:type="character" w:customStyle="1" w:styleId="10">
    <w:name w:val="10"/>
    <w:basedOn w:val="DefaultParagraphFont"/>
    <w:rsid w:val="00674764"/>
    <w:rPr>
      <w:rFonts w:ascii="Calibri" w:hAnsi="Calibri" w:cs="Calibri" w:hint="default"/>
    </w:rPr>
  </w:style>
  <w:style w:type="character" w:customStyle="1" w:styleId="15">
    <w:name w:val="15"/>
    <w:basedOn w:val="DefaultParagraphFont"/>
    <w:rsid w:val="00674764"/>
    <w:rPr>
      <w:rFonts w:ascii="Arial" w:eastAsia="Times New Roman" w:hAnsi="Arial" w:cs="Times New Roman" w:hint="default"/>
      <w:b/>
    </w:rPr>
  </w:style>
  <w:style w:type="character" w:customStyle="1" w:styleId="16">
    <w:name w:val="16"/>
    <w:basedOn w:val="DefaultParagraphFont"/>
    <w:rsid w:val="00674764"/>
    <w:rPr>
      <w:rFonts w:ascii="Calibri Light" w:eastAsia="SimSun" w:hAnsi="Calibri Light" w:cs="Times New Roman" w:hint="default"/>
      <w:color w:val="2E75B5"/>
    </w:rPr>
  </w:style>
  <w:style w:type="character" w:customStyle="1" w:styleId="17">
    <w:name w:val="17"/>
    <w:basedOn w:val="DefaultParagraphFont"/>
    <w:rsid w:val="00674764"/>
    <w:rPr>
      <w:rFonts w:ascii="Calibri" w:hAnsi="Calibri" w:cs="Calibri" w:hint="default"/>
      <w:b/>
      <w:bCs/>
    </w:rPr>
  </w:style>
  <w:style w:type="character" w:customStyle="1" w:styleId="18">
    <w:name w:val="18"/>
    <w:basedOn w:val="DefaultParagraphFont"/>
    <w:rsid w:val="00674764"/>
    <w:rPr>
      <w:rFonts w:ascii="Calibri" w:hAnsi="Calibri" w:cs="Calibri" w:hint="default"/>
      <w:i/>
      <w:iCs/>
    </w:rPr>
  </w:style>
  <w:style w:type="character" w:customStyle="1" w:styleId="19">
    <w:name w:val="19"/>
    <w:basedOn w:val="DefaultParagraphFont"/>
    <w:rsid w:val="00674764"/>
    <w:rPr>
      <w:rFonts w:ascii="Calibri" w:hAnsi="Calibri" w:cs="Calibri" w:hint="default"/>
    </w:rPr>
  </w:style>
  <w:style w:type="character" w:customStyle="1" w:styleId="20">
    <w:name w:val="20"/>
    <w:basedOn w:val="DefaultParagraphFont"/>
    <w:rsid w:val="00674764"/>
    <w:rPr>
      <w:rFonts w:ascii="Calibri" w:hAnsi="Calibri" w:cs="Calibri" w:hint="default"/>
      <w:color w:val="0000FF"/>
      <w:u w:val="single"/>
    </w:rPr>
  </w:style>
  <w:style w:type="table" w:customStyle="1" w:styleId="TableauNormal1">
    <w:name w:val="Tableau Normal1"/>
    <w:semiHidden/>
    <w:rsid w:val="00674764"/>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table" w:customStyle="1" w:styleId="Tableausimple211">
    <w:name w:val="Tableau simple 211"/>
    <w:basedOn w:val="TableNormal"/>
    <w:rsid w:val="00674764"/>
    <w:pPr>
      <w:spacing w:after="0" w:line="240" w:lineRule="auto"/>
    </w:pPr>
    <w:rPr>
      <w:rFonts w:ascii="Times New Roman" w:eastAsia="Times New Roman" w:hAnsi="Times New Roman" w:cs="Times New Roman"/>
      <w:sz w:val="20"/>
      <w:szCs w:val="20"/>
      <w:lang w:eastAsia="fr-FR"/>
    </w:rPr>
    <w:tblPr>
      <w:tblCellMar>
        <w:left w:w="0" w:type="dxa"/>
        <w:right w:w="0" w:type="dxa"/>
      </w:tblCellMa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 w:type="character" w:styleId="FollowedHyperlink">
    <w:name w:val="FollowedHyperlink"/>
    <w:basedOn w:val="DefaultParagraphFont"/>
    <w:uiPriority w:val="99"/>
    <w:unhideWhenUsed/>
    <w:rsid w:val="00674764"/>
    <w:rPr>
      <w:color w:val="800080"/>
      <w:u w:val="single"/>
    </w:rPr>
  </w:style>
  <w:style w:type="table" w:customStyle="1" w:styleId="Grilledutableau2">
    <w:name w:val="Grille du tableau2"/>
    <w:basedOn w:val="TableNormal"/>
    <w:next w:val="TableGrid"/>
    <w:uiPriority w:val="39"/>
    <w:rsid w:val="0067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7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11340</Words>
  <Characters>64638</Characters>
  <Application>Microsoft Office Word</Application>
  <DocSecurity>0</DocSecurity>
  <Lines>538</Lines>
  <Paragraphs>151</Paragraphs>
  <ScaleCrop>false</ScaleCrop>
  <Company/>
  <LinksUpToDate>false</LinksUpToDate>
  <CharactersWithSpaces>75827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PC 1170</cp:lastModifiedBy>
  <cp:revision>15</cp:revision>
  <dcterms:created xsi:type="dcterms:W3CDTF">2026-01-28T21:57:00Z</dcterms:created>
  <dcterms:modified xsi:type="dcterms:W3CDTF">2026-01-29T10:59:00Z</dcterms:modified>
</cp:coreProperties>
</file>