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7B35A" w14:textId="77777777" w:rsidR="00754C9A" w:rsidRDefault="00754C9A" w:rsidP="00441B6F">
      <w:pPr>
        <w:pStyle w:val="Title"/>
        <w:spacing w:after="0"/>
        <w:jc w:val="both"/>
        <w:rPr>
          <w:rFonts w:ascii="Arial" w:hAnsi="Arial" w:cs="Arial"/>
        </w:rPr>
      </w:pPr>
    </w:p>
    <w:p w14:paraId="407A2B67" w14:textId="77777777" w:rsidR="0047304E" w:rsidRPr="0047304E" w:rsidRDefault="0047304E" w:rsidP="0047304E">
      <w:pPr>
        <w:jc w:val="right"/>
        <w:rPr>
          <w:rFonts w:ascii="Arial" w:hAnsi="Arial" w:cs="Arial"/>
          <w:b/>
          <w:bCs/>
          <w:i/>
          <w:iCs/>
          <w:sz w:val="36"/>
          <w:szCs w:val="36"/>
          <w:u w:val="single"/>
        </w:rPr>
      </w:pPr>
      <w:r w:rsidRPr="0047304E">
        <w:rPr>
          <w:rFonts w:ascii="Arial" w:hAnsi="Arial" w:cs="Arial"/>
          <w:b/>
          <w:bCs/>
          <w:i/>
          <w:iCs/>
          <w:sz w:val="36"/>
          <w:szCs w:val="36"/>
          <w:u w:val="single"/>
        </w:rPr>
        <w:t>Original Research Article</w:t>
      </w:r>
    </w:p>
    <w:p w14:paraId="4A484C3A" w14:textId="13525C67" w:rsidR="00267CA4" w:rsidRPr="00267CA4" w:rsidRDefault="00267CA4" w:rsidP="00267CA4">
      <w:pPr>
        <w:jc w:val="right"/>
        <w:rPr>
          <w:rFonts w:ascii="Arial" w:hAnsi="Arial" w:cs="Arial"/>
          <w:b/>
          <w:sz w:val="36"/>
          <w:szCs w:val="36"/>
        </w:rPr>
      </w:pPr>
      <w:r w:rsidRPr="00267CA4">
        <w:rPr>
          <w:rFonts w:ascii="Arial" w:hAnsi="Arial" w:cs="Arial"/>
          <w:b/>
          <w:sz w:val="36"/>
          <w:szCs w:val="36"/>
        </w:rPr>
        <w:t>Land use</w:t>
      </w:r>
      <w:r w:rsidR="00D178A6">
        <w:rPr>
          <w:rFonts w:ascii="Arial" w:hAnsi="Arial" w:cs="Arial"/>
          <w:b/>
          <w:sz w:val="36"/>
          <w:szCs w:val="36"/>
        </w:rPr>
        <w:t>-</w:t>
      </w:r>
      <w:r w:rsidRPr="00267CA4">
        <w:rPr>
          <w:rFonts w:ascii="Arial" w:hAnsi="Arial" w:cs="Arial"/>
          <w:b/>
          <w:sz w:val="36"/>
          <w:szCs w:val="36"/>
        </w:rPr>
        <w:t>cover dynamic of mangrove ecosystems in the Saloum Delta: case of Gandoule and Sangomar Marine Protected Areas</w:t>
      </w:r>
    </w:p>
    <w:p w14:paraId="52A12051" w14:textId="77777777" w:rsidR="00A258C3" w:rsidRPr="00267CA4" w:rsidRDefault="00A258C3" w:rsidP="00267CA4">
      <w:pPr>
        <w:pStyle w:val="Author"/>
        <w:spacing w:line="240" w:lineRule="auto"/>
        <w:rPr>
          <w:rFonts w:ascii="Arial" w:hAnsi="Arial" w:cs="Arial"/>
          <w:sz w:val="36"/>
          <w:szCs w:val="36"/>
        </w:rPr>
      </w:pPr>
    </w:p>
    <w:p w14:paraId="6BA92310" w14:textId="3729706F" w:rsidR="00B01FCD" w:rsidRPr="00FB3A86" w:rsidRDefault="00B01FCD" w:rsidP="00441B6F">
      <w:pPr>
        <w:pStyle w:val="Copyright"/>
        <w:spacing w:after="0" w:line="240" w:lineRule="auto"/>
        <w:jc w:val="both"/>
        <w:rPr>
          <w:rFonts w:ascii="Arial" w:hAnsi="Arial" w:cs="Arial"/>
        </w:rPr>
        <w:sectPr w:rsidR="00B01FCD" w:rsidRPr="00FB3A86" w:rsidSect="00642168">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016" w:right="1440" w:bottom="2016" w:left="2016" w:header="720" w:footer="1296" w:gutter="0"/>
          <w:cols w:space="720"/>
          <w:docGrid w:linePitch="272"/>
        </w:sectPr>
      </w:pPr>
    </w:p>
    <w:p w14:paraId="52B3117A"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3AB248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F021757" w14:textId="77777777" w:rsidTr="00BF6E00">
        <w:tc>
          <w:tcPr>
            <w:tcW w:w="8424" w:type="dxa"/>
            <w:shd w:val="clear" w:color="auto" w:fill="F2F2F2"/>
          </w:tcPr>
          <w:p w14:paraId="648575B9" w14:textId="77777777" w:rsidR="00505F06" w:rsidRPr="00BF6E00" w:rsidRDefault="00BF6E00" w:rsidP="00BF6E00">
            <w:pPr>
              <w:spacing w:after="120"/>
              <w:jc w:val="both"/>
              <w:rPr>
                <w:rFonts w:ascii="Arial" w:hAnsi="Arial" w:cs="Arial"/>
                <w:lang w:eastAsia="fr-FR"/>
              </w:rPr>
            </w:pPr>
            <w:r w:rsidRPr="00BF6E00">
              <w:rPr>
                <w:rFonts w:ascii="Arial" w:hAnsi="Arial" w:cs="Arial"/>
                <w:lang w:eastAsia="fr-FR"/>
              </w:rPr>
              <w:t xml:space="preserve">Mangrove ecosystems provide a significant number of ecosystem services to communities and are also considered strategic areas for socioeconomic development. However, these ecosystems are becoming increasingly fragile due to the overexploitation of resources and natural phenomena. To improve its functioning and productivity, it is therefore essential to characterize mangrove ecosystems to implement effective strategies for the protection and conservation of biodiversity. The objective of this study was to contribute to a better understanding of the land use/cover dynamic and factors of change in the mangrove ecosystem of the Saloum Delta. To do this, a methodological approach combining remote sensing and surveys was used. Survey, processing and analysis of Landsat 7 and Landsat 8 satellite images were used to document the state, dynamics, and factors of change in the mangrove. The results showed a different pattern of land use/cover change between 2002 and 2024. Mangrove and urban area increased while other vegetation, tan and mudflat area decreased. Mangrove area increased by 8.81% in </w:t>
            </w:r>
            <w:r w:rsidR="00CF3F17">
              <w:rPr>
                <w:rFonts w:ascii="Arial" w:hAnsi="Arial" w:cs="Arial"/>
                <w:lang w:eastAsia="fr-FR"/>
              </w:rPr>
              <w:t>G</w:t>
            </w:r>
            <w:r w:rsidRPr="00BF6E00">
              <w:rPr>
                <w:rFonts w:ascii="Arial" w:hAnsi="Arial" w:cs="Arial"/>
                <w:lang w:eastAsia="fr-FR"/>
              </w:rPr>
              <w:t>MP</w:t>
            </w:r>
            <w:r w:rsidR="00981319">
              <w:rPr>
                <w:rFonts w:ascii="Arial" w:hAnsi="Arial" w:cs="Arial"/>
                <w:lang w:eastAsia="fr-FR"/>
              </w:rPr>
              <w:t>A</w:t>
            </w:r>
            <w:r w:rsidRPr="00BF6E00">
              <w:rPr>
                <w:rFonts w:ascii="Arial" w:hAnsi="Arial" w:cs="Arial"/>
                <w:lang w:eastAsia="fr-FR"/>
              </w:rPr>
              <w:t xml:space="preserve"> and 1.5% in </w:t>
            </w:r>
            <w:r w:rsidR="00CF3F17">
              <w:rPr>
                <w:rFonts w:ascii="Arial" w:hAnsi="Arial" w:cs="Arial"/>
                <w:lang w:eastAsia="fr-FR"/>
              </w:rPr>
              <w:t>S</w:t>
            </w:r>
            <w:r w:rsidRPr="00BF6E00">
              <w:rPr>
                <w:rFonts w:ascii="Arial" w:hAnsi="Arial" w:cs="Arial"/>
                <w:lang w:eastAsia="fr-FR"/>
              </w:rPr>
              <w:t>MP</w:t>
            </w:r>
            <w:r w:rsidR="00981319">
              <w:rPr>
                <w:rFonts w:ascii="Arial" w:hAnsi="Arial" w:cs="Arial"/>
                <w:lang w:eastAsia="fr-FR"/>
              </w:rPr>
              <w:t>A</w:t>
            </w:r>
            <w:r w:rsidRPr="00BF6E00">
              <w:rPr>
                <w:rFonts w:ascii="Arial" w:hAnsi="Arial" w:cs="Arial"/>
                <w:lang w:eastAsia="fr-FR"/>
              </w:rPr>
              <w:t xml:space="preserve"> between 2002 and 2024. The higher increase of urban area was recorded in Gandoule (23.58%) compared to Sangomar (2.07%). Other vegetation declined by 11.87% in Gandoule and 5.38% in Sangomar. Tan (-2.68%) and mudflat (-19.86%) in Gandoule lost surface area. Surveys revealed that the factors contributing to mangrove degradation were anthropogenic or natural. The primary cause of mangrove degradation is the exploitation of mangrove resources (90.1%), followed by coastal erosion (38.9%), decreased rainfall (3.8%), and salinization (3.8%). Despite these threats, mangrove ecosystems have been able to maintain an increase of mangrove.   </w:t>
            </w:r>
          </w:p>
        </w:tc>
      </w:tr>
    </w:tbl>
    <w:p w14:paraId="3E465C57" w14:textId="77777777" w:rsidR="00636EB2" w:rsidRDefault="00636EB2" w:rsidP="00441B6F">
      <w:pPr>
        <w:pStyle w:val="Body"/>
        <w:spacing w:after="0"/>
        <w:rPr>
          <w:rFonts w:ascii="Arial" w:hAnsi="Arial" w:cs="Arial"/>
          <w:i/>
        </w:rPr>
      </w:pPr>
    </w:p>
    <w:p w14:paraId="2C5159A3" w14:textId="77777777" w:rsidR="0024282C" w:rsidRPr="00BF6E00" w:rsidRDefault="00A24E7E" w:rsidP="00441B6F">
      <w:pPr>
        <w:pStyle w:val="Body"/>
        <w:spacing w:after="0"/>
        <w:rPr>
          <w:rFonts w:ascii="Arial" w:hAnsi="Arial" w:cs="Arial"/>
          <w:i/>
        </w:rPr>
      </w:pPr>
      <w:r>
        <w:rPr>
          <w:rFonts w:ascii="Arial" w:hAnsi="Arial" w:cs="Arial"/>
          <w:i/>
        </w:rPr>
        <w:t xml:space="preserve">Keywords: </w:t>
      </w:r>
      <w:r w:rsidR="00BF6E00" w:rsidRPr="00BF6E00">
        <w:rPr>
          <w:rFonts w:ascii="Arial" w:hAnsi="Arial" w:cs="Arial"/>
          <w:i/>
        </w:rPr>
        <w:t>Ecosystems, mangrove, land use/cover, dynamic, change, factors, degradation</w:t>
      </w:r>
    </w:p>
    <w:p w14:paraId="47E8887F" w14:textId="77777777" w:rsidR="00505F06" w:rsidRPr="00A24E7E" w:rsidRDefault="00505F06" w:rsidP="00441B6F">
      <w:pPr>
        <w:pStyle w:val="Body"/>
        <w:spacing w:after="0"/>
        <w:rPr>
          <w:rFonts w:ascii="Arial" w:hAnsi="Arial" w:cs="Arial"/>
          <w:i/>
        </w:rPr>
      </w:pPr>
    </w:p>
    <w:p w14:paraId="3EC9588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D557467" w14:textId="77777777" w:rsidR="00790ADA" w:rsidRPr="00FB3A86" w:rsidRDefault="00790ADA" w:rsidP="00441B6F">
      <w:pPr>
        <w:pStyle w:val="AbstHead"/>
        <w:spacing w:after="0"/>
        <w:jc w:val="both"/>
        <w:rPr>
          <w:rFonts w:ascii="Arial" w:hAnsi="Arial" w:cs="Arial"/>
        </w:rPr>
      </w:pPr>
    </w:p>
    <w:p w14:paraId="625F72F3" w14:textId="77777777" w:rsidR="004C0A3D" w:rsidRPr="004C0A3D" w:rsidRDefault="004C0A3D" w:rsidP="004C0A3D">
      <w:pPr>
        <w:pStyle w:val="Body"/>
        <w:rPr>
          <w:rFonts w:ascii="Arial" w:hAnsi="Arial" w:cs="Arial"/>
        </w:rPr>
      </w:pPr>
      <w:r w:rsidRPr="004C0A3D">
        <w:rPr>
          <w:rFonts w:ascii="Arial" w:hAnsi="Arial" w:cs="Arial"/>
        </w:rPr>
        <w:t xml:space="preserve">Mangrove ecosystems provide numerous ecosystem services that are essential to the livelihoods of millions of people, made possible by their high-quality diversity (Aubry, 2021). Mangrove is vital both for wildlife and local communities that depend directly on its natural goods and services (Francoeur, 2009). For local communities, mangrove ecosystems are a source of livelihood, particularly for small-scale fishing and aquaculture (Jelibseda </w:t>
      </w:r>
      <w:r w:rsidRPr="004C0A3D">
        <w:rPr>
          <w:rFonts w:ascii="Arial" w:hAnsi="Arial" w:cs="Arial"/>
          <w:i/>
        </w:rPr>
        <w:t>et al.,</w:t>
      </w:r>
      <w:r w:rsidRPr="004C0A3D">
        <w:rPr>
          <w:rFonts w:ascii="Arial" w:hAnsi="Arial" w:cs="Arial"/>
        </w:rPr>
        <w:t xml:space="preserve"> 2025). </w:t>
      </w:r>
    </w:p>
    <w:p w14:paraId="02C9C4D3" w14:textId="77777777" w:rsidR="004C0A3D" w:rsidRPr="004C0A3D" w:rsidRDefault="004C0A3D" w:rsidP="004C0A3D">
      <w:pPr>
        <w:pStyle w:val="Body"/>
        <w:rPr>
          <w:rFonts w:ascii="Arial" w:hAnsi="Arial" w:cs="Arial"/>
        </w:rPr>
      </w:pPr>
      <w:r w:rsidRPr="004C0A3D">
        <w:rPr>
          <w:rFonts w:ascii="Arial" w:hAnsi="Arial" w:cs="Arial"/>
        </w:rPr>
        <w:t xml:space="preserve">Unfortunately, mangrove ecosystems are undergoing continuous degradation from various anthropogenic and natural sources (Francoeur, 2009). These include deforestation, land use change, direct exploitation of resources (particularly fish), pollution, and population growth (Matoko </w:t>
      </w:r>
      <w:r w:rsidRPr="004C0A3D">
        <w:rPr>
          <w:rFonts w:ascii="Arial" w:hAnsi="Arial" w:cs="Arial"/>
          <w:i/>
        </w:rPr>
        <w:t>et al.,</w:t>
      </w:r>
      <w:r w:rsidRPr="004C0A3D">
        <w:rPr>
          <w:rFonts w:ascii="Arial" w:hAnsi="Arial" w:cs="Arial"/>
        </w:rPr>
        <w:t xml:space="preserve"> 2025). Land conversion for aquaculture and agriculture, industrial pollution, timber extraction, climate change, and sea level rise are also factors contributing to the degradation of mangrove ecosystems (Jelibseda </w:t>
      </w:r>
      <w:r w:rsidRPr="004C0A3D">
        <w:rPr>
          <w:rFonts w:ascii="Arial" w:hAnsi="Arial" w:cs="Arial"/>
          <w:i/>
        </w:rPr>
        <w:t>et al.,</w:t>
      </w:r>
      <w:r w:rsidRPr="004C0A3D">
        <w:rPr>
          <w:rFonts w:ascii="Arial" w:hAnsi="Arial" w:cs="Arial"/>
        </w:rPr>
        <w:t xml:space="preserve"> 2025). Anthropogenic pressures are the main cause of these changes, which lead to degradation and consequently hurt the ecosystem services provided by mangrove and its productivity (Ranaivojaona &amp; Ranarijaona, 2021).   The exploitation and development of the coastal fringe by a multitude of ethnic groups has reached a level of perfection that demonstrates remarkable mastery of a difficult environment </w:t>
      </w:r>
      <w:r w:rsidRPr="004C0A3D">
        <w:rPr>
          <w:rFonts w:ascii="Arial" w:hAnsi="Arial" w:cs="Arial"/>
        </w:rPr>
        <w:lastRenderedPageBreak/>
        <w:t xml:space="preserve">(Salomon, 1987). Declining health indicators reflect the state or dynamics of mangrove ecosystems and can serve as a proxy for their degradation (Wei </w:t>
      </w:r>
      <w:r w:rsidRPr="004C0A3D">
        <w:rPr>
          <w:rFonts w:ascii="Arial" w:hAnsi="Arial" w:cs="Arial"/>
          <w:i/>
        </w:rPr>
        <w:t>et al.,</w:t>
      </w:r>
      <w:r w:rsidRPr="004C0A3D">
        <w:rPr>
          <w:rFonts w:ascii="Arial" w:hAnsi="Arial" w:cs="Arial"/>
        </w:rPr>
        <w:t xml:space="preserve"> 2025). These various factors constantly lead to changes in the structure of mangrove ecosystems, sometimes leaving marks that make the restoration of these ecosystems particularly problematic (Proisy and Mougin, 1998; Fousseni </w:t>
      </w:r>
      <w:r w:rsidRPr="004C0A3D">
        <w:rPr>
          <w:rFonts w:ascii="Arial" w:hAnsi="Arial" w:cs="Arial"/>
          <w:i/>
        </w:rPr>
        <w:t>et al.,</w:t>
      </w:r>
      <w:r w:rsidRPr="004C0A3D">
        <w:rPr>
          <w:rFonts w:ascii="Arial" w:hAnsi="Arial" w:cs="Arial"/>
        </w:rPr>
        <w:t xml:space="preserve"> 2017). In Senegal, beyond the constraints linked to human presence and activity, coastal area is also subject to natural phenomena (Dièye </w:t>
      </w:r>
      <w:r w:rsidRPr="004C0A3D">
        <w:rPr>
          <w:rFonts w:ascii="Arial" w:hAnsi="Arial" w:cs="Arial"/>
          <w:i/>
        </w:rPr>
        <w:t>et al.,</w:t>
      </w:r>
      <w:r w:rsidRPr="004C0A3D">
        <w:rPr>
          <w:rFonts w:ascii="Arial" w:hAnsi="Arial" w:cs="Arial"/>
        </w:rPr>
        <w:t xml:space="preserve"> 2013). In Saloum Delta, declining rainfall and fishing and harvesting activities are suffering the consequences of the scarcity of resources (Fall, 2009).</w:t>
      </w:r>
    </w:p>
    <w:p w14:paraId="11907F63" w14:textId="77777777" w:rsidR="004C0A3D" w:rsidRPr="004C0A3D" w:rsidRDefault="004C0A3D" w:rsidP="004C0A3D">
      <w:pPr>
        <w:pStyle w:val="Body"/>
        <w:rPr>
          <w:rFonts w:ascii="Arial" w:hAnsi="Arial" w:cs="Arial"/>
        </w:rPr>
      </w:pPr>
      <w:r w:rsidRPr="004C0A3D">
        <w:rPr>
          <w:rFonts w:ascii="Arial" w:hAnsi="Arial" w:cs="Arial"/>
        </w:rPr>
        <w:t>In response to these threats to mangrove ecosystems, a multitude of mangrove reforestation projects are being carried out around the world, mainly by civil society organizations working with local communities (Bocquet, 2018). Environmental protection solutions have been implemented with the support of biodiversity protection and conservation projects in Saloum Delta Biosphere Reserve, “mangrove reforestation, tree planting, restoration of devastated natural habitats, adoption of less predatory production techniques, and environmental education in villages bordering Saloum Delta National Park (PNDS) and villages on the outskirts of the reserve”. Training has also been provided on the need to avoid cutting the roots of mangrove trees when harvesting and, above all, on the reforestation or cultivation of degraded areas (Fall, 2009).</w:t>
      </w:r>
    </w:p>
    <w:p w14:paraId="6F73BD4D" w14:textId="77777777" w:rsidR="004C0A3D" w:rsidRPr="004C0A3D" w:rsidRDefault="004C0A3D" w:rsidP="004C0A3D">
      <w:pPr>
        <w:pStyle w:val="Body"/>
        <w:rPr>
          <w:rFonts w:ascii="Arial" w:hAnsi="Arial" w:cs="Arial"/>
        </w:rPr>
      </w:pPr>
      <w:r w:rsidRPr="004C0A3D">
        <w:rPr>
          <w:rFonts w:ascii="Arial" w:hAnsi="Arial" w:cs="Arial"/>
        </w:rPr>
        <w:t>Weighing the importance of factors influencing the spatial dynamics of mangroves has been a scientific challenge (Lombard, 2023). However, these changes have a significant impact on the sustainability of mangrove resource exploitation. The objective of this study was to analyze the spatio-temporal changes in mangrove ecosystems of the Saloum Delta. Specifically, it aimed to characterize land use/cover and document dynamic factors contributing to mangrove ecosystems degradation.</w:t>
      </w:r>
    </w:p>
    <w:p w14:paraId="463216A1"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A9AE872" w14:textId="77777777" w:rsidR="00790ADA" w:rsidRPr="00FB3A86" w:rsidRDefault="00790ADA" w:rsidP="00441B6F">
      <w:pPr>
        <w:pStyle w:val="AbstHead"/>
        <w:spacing w:after="0"/>
        <w:jc w:val="both"/>
        <w:rPr>
          <w:rFonts w:ascii="Arial" w:hAnsi="Arial" w:cs="Arial"/>
        </w:rPr>
      </w:pPr>
    </w:p>
    <w:p w14:paraId="73D41B9A" w14:textId="77777777" w:rsidR="00981319" w:rsidRPr="004C0A3D" w:rsidRDefault="00981319" w:rsidP="004C0A3D">
      <w:pPr>
        <w:pStyle w:val="Body"/>
        <w:numPr>
          <w:ilvl w:val="1"/>
          <w:numId w:val="33"/>
        </w:numPr>
        <w:spacing w:after="0"/>
        <w:rPr>
          <w:rFonts w:ascii="Arial" w:hAnsi="Arial" w:cs="Arial"/>
          <w:b/>
        </w:rPr>
      </w:pPr>
      <w:r w:rsidRPr="004C0A3D">
        <w:rPr>
          <w:rFonts w:ascii="Arial" w:hAnsi="Arial" w:cs="Arial"/>
          <w:b/>
        </w:rPr>
        <w:t>Presentation of the study area</w:t>
      </w:r>
    </w:p>
    <w:p w14:paraId="2B33DA02" w14:textId="77777777" w:rsidR="004C0A3D" w:rsidRPr="004C0A3D" w:rsidRDefault="004C0A3D" w:rsidP="004C0A3D">
      <w:pPr>
        <w:pStyle w:val="Body"/>
        <w:rPr>
          <w:rFonts w:ascii="Arial" w:hAnsi="Arial" w:cs="Arial"/>
        </w:rPr>
      </w:pPr>
      <w:r w:rsidRPr="004C0A3D">
        <w:rPr>
          <w:rFonts w:ascii="Arial" w:hAnsi="Arial" w:cs="Arial"/>
        </w:rPr>
        <w:t xml:space="preserve">Located in central-western Senegal in the natural region of Sine Saloum, Saloum Delta covers approximately 500,000 ha (Dia, 2003). The study area is bounded to the north by the Saloum River and to the south by the Gambian border (Figure 1). Saloum Delta is a reverse estuary now classified as a wetland of international importance (Guissé </w:t>
      </w:r>
      <w:r w:rsidRPr="004C0A3D">
        <w:rPr>
          <w:rFonts w:ascii="Arial" w:hAnsi="Arial" w:cs="Arial"/>
          <w:i/>
        </w:rPr>
        <w:t>et al.,</w:t>
      </w:r>
      <w:r w:rsidRPr="004C0A3D">
        <w:rPr>
          <w:rFonts w:ascii="Arial" w:hAnsi="Arial" w:cs="Arial"/>
        </w:rPr>
        <w:t xml:space="preserve"> 2007). The soils of the Saloum Estuary, known as tans, cover a relatively large area (Marius, 1973). The vegetation covers an area of approximately 80,000 ha (Guissé </w:t>
      </w:r>
      <w:r w:rsidRPr="004C0A3D">
        <w:rPr>
          <w:rFonts w:ascii="Arial" w:hAnsi="Arial" w:cs="Arial"/>
          <w:i/>
        </w:rPr>
        <w:t xml:space="preserve">et al., </w:t>
      </w:r>
      <w:r w:rsidRPr="004C0A3D">
        <w:rPr>
          <w:rFonts w:ascii="Arial" w:hAnsi="Arial" w:cs="Arial"/>
        </w:rPr>
        <w:t xml:space="preserve">2007). The Saloum Delta Biosphere Reserve (SDBR) has at least 188 species, representing 9% of Senegal's woody and herbaceous plant species, grouped into 50 families, including 30% of Senegal's higher plant families (DIA, 2005). Six woody mangrove species, which are </w:t>
      </w:r>
      <w:r w:rsidRPr="004C0A3D">
        <w:rPr>
          <w:rFonts w:ascii="Arial" w:hAnsi="Arial" w:cs="Arial"/>
          <w:i/>
        </w:rPr>
        <w:t>Rhizophora mangle</w:t>
      </w:r>
      <w:r w:rsidRPr="004C0A3D">
        <w:rPr>
          <w:rFonts w:ascii="Arial" w:hAnsi="Arial" w:cs="Arial"/>
        </w:rPr>
        <w:t xml:space="preserve">, </w:t>
      </w:r>
      <w:r w:rsidRPr="004C0A3D">
        <w:rPr>
          <w:rFonts w:ascii="Arial" w:hAnsi="Arial" w:cs="Arial"/>
          <w:i/>
        </w:rPr>
        <w:t>Rhizophora racemosa</w:t>
      </w:r>
      <w:r w:rsidRPr="004C0A3D">
        <w:rPr>
          <w:rFonts w:ascii="Arial" w:hAnsi="Arial" w:cs="Arial"/>
        </w:rPr>
        <w:t xml:space="preserve">, </w:t>
      </w:r>
      <w:r w:rsidRPr="004C0A3D">
        <w:rPr>
          <w:rFonts w:ascii="Arial" w:hAnsi="Arial" w:cs="Arial"/>
          <w:i/>
        </w:rPr>
        <w:t>Rhizophora harrisonii</w:t>
      </w:r>
      <w:r w:rsidRPr="004C0A3D">
        <w:rPr>
          <w:rFonts w:ascii="Arial" w:hAnsi="Arial" w:cs="Arial"/>
        </w:rPr>
        <w:t xml:space="preserve">, </w:t>
      </w:r>
      <w:r w:rsidRPr="004C0A3D">
        <w:rPr>
          <w:rFonts w:ascii="Arial" w:hAnsi="Arial" w:cs="Arial"/>
          <w:i/>
        </w:rPr>
        <w:t>Laguncularia racemosa</w:t>
      </w:r>
      <w:r w:rsidRPr="004C0A3D">
        <w:rPr>
          <w:rFonts w:ascii="Arial" w:hAnsi="Arial" w:cs="Arial"/>
        </w:rPr>
        <w:t xml:space="preserve">, </w:t>
      </w:r>
      <w:r w:rsidRPr="004C0A3D">
        <w:rPr>
          <w:rFonts w:ascii="Arial" w:hAnsi="Arial" w:cs="Arial"/>
          <w:i/>
        </w:rPr>
        <w:t>Avicennia germinans</w:t>
      </w:r>
      <w:r w:rsidRPr="004C0A3D">
        <w:rPr>
          <w:rFonts w:ascii="Arial" w:hAnsi="Arial" w:cs="Arial"/>
        </w:rPr>
        <w:t xml:space="preserve">, and </w:t>
      </w:r>
      <w:r w:rsidRPr="004C0A3D">
        <w:rPr>
          <w:rFonts w:ascii="Arial" w:hAnsi="Arial" w:cs="Arial"/>
          <w:i/>
        </w:rPr>
        <w:t>Conocarpus erectus</w:t>
      </w:r>
      <w:r w:rsidRPr="004C0A3D">
        <w:rPr>
          <w:rFonts w:ascii="Arial" w:hAnsi="Arial" w:cs="Arial"/>
        </w:rPr>
        <w:t xml:space="preserve"> were recorded (Ndour et al., 2012).</w:t>
      </w:r>
    </w:p>
    <w:p w14:paraId="7F3F4A53" w14:textId="77777777" w:rsidR="00A03B96" w:rsidRDefault="006D7538" w:rsidP="00191B84">
      <w:pPr>
        <w:pStyle w:val="Body"/>
        <w:spacing w:after="0"/>
        <w:jc w:val="center"/>
        <w:rPr>
          <w:rFonts w:ascii="Arial" w:hAnsi="Arial" w:cs="Arial"/>
        </w:rPr>
      </w:pPr>
      <w:r w:rsidRPr="006D7538">
        <w:rPr>
          <w:rFonts w:ascii="Times New Roman" w:eastAsia="Calibri" w:hAnsi="Times New Roman"/>
          <w:noProof/>
          <w:sz w:val="24"/>
          <w:szCs w:val="24"/>
          <w:lang w:val="fr-FR" w:eastAsia="fr-FR"/>
        </w:rPr>
        <w:lastRenderedPageBreak/>
        <w:drawing>
          <wp:inline distT="0" distB="0" distL="0" distR="0" wp14:anchorId="73C15C5B" wp14:editId="5C01146E">
            <wp:extent cx="4765964" cy="337229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OccDeltaAng.png"/>
                    <pic:cNvPicPr/>
                  </pic:nvPicPr>
                  <pic:blipFill>
                    <a:blip r:embed="rId14">
                      <a:extLst>
                        <a:ext uri="{28A0092B-C50C-407E-A947-70E740481C1C}">
                          <a14:useLocalDpi xmlns:a14="http://schemas.microsoft.com/office/drawing/2010/main" val="0"/>
                        </a:ext>
                      </a:extLst>
                    </a:blip>
                    <a:stretch>
                      <a:fillRect/>
                    </a:stretch>
                  </pic:blipFill>
                  <pic:spPr>
                    <a:xfrm>
                      <a:off x="0" y="0"/>
                      <a:ext cx="4777229" cy="3380262"/>
                    </a:xfrm>
                    <a:prstGeom prst="rect">
                      <a:avLst/>
                    </a:prstGeom>
                  </pic:spPr>
                </pic:pic>
              </a:graphicData>
            </a:graphic>
          </wp:inline>
        </w:drawing>
      </w:r>
    </w:p>
    <w:p w14:paraId="3A135CEC" w14:textId="77777777" w:rsidR="006D7538" w:rsidRPr="006D7538" w:rsidRDefault="006D7538" w:rsidP="00441B6F">
      <w:pPr>
        <w:pStyle w:val="Body"/>
        <w:spacing w:after="0"/>
        <w:rPr>
          <w:rFonts w:ascii="Arial" w:hAnsi="Arial" w:cs="Arial"/>
          <w:b/>
        </w:rPr>
      </w:pPr>
      <w:r>
        <w:rPr>
          <w:rFonts w:ascii="Arial" w:hAnsi="Arial" w:cs="Arial"/>
          <w:b/>
        </w:rPr>
        <w:t xml:space="preserve">Fig. 1. </w:t>
      </w:r>
      <w:r w:rsidRPr="006D7538">
        <w:rPr>
          <w:rFonts w:ascii="Arial" w:hAnsi="Arial" w:cs="Arial"/>
          <w:b/>
        </w:rPr>
        <w:t xml:space="preserve"> Location of the study area</w:t>
      </w:r>
    </w:p>
    <w:p w14:paraId="13E08C80" w14:textId="77777777" w:rsidR="00A03B96" w:rsidRDefault="00A03B96" w:rsidP="00441B6F">
      <w:pPr>
        <w:pStyle w:val="Body"/>
        <w:spacing w:after="0"/>
        <w:rPr>
          <w:rFonts w:ascii="Arial" w:hAnsi="Arial" w:cs="Arial"/>
        </w:rPr>
      </w:pPr>
    </w:p>
    <w:p w14:paraId="287AB7E9" w14:textId="77777777" w:rsidR="00E42084" w:rsidRPr="00E42084" w:rsidRDefault="00981319" w:rsidP="00E42084">
      <w:pPr>
        <w:pStyle w:val="Body"/>
        <w:numPr>
          <w:ilvl w:val="1"/>
          <w:numId w:val="33"/>
        </w:numPr>
        <w:spacing w:after="0"/>
        <w:rPr>
          <w:rFonts w:ascii="Arial" w:hAnsi="Arial" w:cs="Arial"/>
          <w:b/>
        </w:rPr>
      </w:pPr>
      <w:r w:rsidRPr="006D7538">
        <w:rPr>
          <w:rFonts w:ascii="Arial" w:hAnsi="Arial" w:cs="Arial"/>
          <w:b/>
        </w:rPr>
        <w:t>Data collection</w:t>
      </w:r>
    </w:p>
    <w:p w14:paraId="06EE1BF9" w14:textId="77777777" w:rsidR="006D7538" w:rsidRPr="006D7538" w:rsidRDefault="006D7538" w:rsidP="006D7538">
      <w:pPr>
        <w:pStyle w:val="Body"/>
        <w:spacing w:after="0"/>
        <w:rPr>
          <w:rFonts w:ascii="Arial" w:hAnsi="Arial" w:cs="Arial"/>
          <w:b/>
        </w:rPr>
      </w:pPr>
      <w:r w:rsidRPr="006D7538">
        <w:rPr>
          <w:rFonts w:ascii="Arial" w:hAnsi="Arial" w:cs="Arial"/>
        </w:rPr>
        <w:t xml:space="preserve">              </w:t>
      </w:r>
      <w:r w:rsidRPr="006D7538">
        <w:rPr>
          <w:rFonts w:ascii="Arial" w:hAnsi="Arial" w:cs="Arial"/>
          <w:b/>
        </w:rPr>
        <w:t>2.2.1 Acquisition and processing of satellite images</w:t>
      </w:r>
    </w:p>
    <w:p w14:paraId="77B3C704" w14:textId="77777777" w:rsidR="00191B84" w:rsidRPr="006D7538" w:rsidRDefault="006D7538" w:rsidP="00191B84">
      <w:pPr>
        <w:pStyle w:val="Body"/>
        <w:spacing w:before="240" w:after="0"/>
        <w:rPr>
          <w:rFonts w:ascii="Arial" w:hAnsi="Arial" w:cs="Arial"/>
        </w:rPr>
      </w:pPr>
      <w:r w:rsidRPr="006D7538">
        <w:rPr>
          <w:rFonts w:ascii="Arial" w:hAnsi="Arial" w:cs="Arial"/>
        </w:rPr>
        <w:t xml:space="preserve">Landsat7 and Landsat8 satellite images were used for this study (Table 1). These data were acquired during the dry season when cloud cover is reduced to a minimum due to variations in the phenological phase of vegetation (Clerici </w:t>
      </w:r>
      <w:r w:rsidRPr="006D7538">
        <w:rPr>
          <w:rFonts w:ascii="Arial" w:hAnsi="Arial" w:cs="Arial"/>
          <w:i/>
        </w:rPr>
        <w:t>et al.,</w:t>
      </w:r>
      <w:r w:rsidRPr="006D7538">
        <w:rPr>
          <w:rFonts w:ascii="Arial" w:hAnsi="Arial" w:cs="Arial"/>
        </w:rPr>
        <w:t xml:space="preserve"> 2007; Sambou </w:t>
      </w:r>
      <w:r w:rsidRPr="006D7538">
        <w:rPr>
          <w:rFonts w:ascii="Arial" w:hAnsi="Arial" w:cs="Arial"/>
          <w:i/>
        </w:rPr>
        <w:t>et al.,</w:t>
      </w:r>
      <w:r w:rsidRPr="006D7538">
        <w:rPr>
          <w:rFonts w:ascii="Arial" w:hAnsi="Arial" w:cs="Arial"/>
        </w:rPr>
        <w:t xml:space="preserve"> 2016).</w:t>
      </w:r>
    </w:p>
    <w:p w14:paraId="46E6E10F" w14:textId="7E142D0A" w:rsidR="00191B84" w:rsidRPr="00E42084" w:rsidRDefault="006D7538" w:rsidP="00191B84">
      <w:pPr>
        <w:pStyle w:val="Body"/>
        <w:spacing w:before="240" w:after="0"/>
        <w:rPr>
          <w:rFonts w:ascii="Arial" w:hAnsi="Arial" w:cs="Arial"/>
          <w:b/>
          <w:iCs/>
          <w:lang w:val="fr-FR"/>
        </w:rPr>
      </w:pPr>
      <w:r w:rsidRPr="006D7538">
        <w:rPr>
          <w:rFonts w:ascii="Arial" w:hAnsi="Arial" w:cs="Arial"/>
          <w:b/>
          <w:iCs/>
          <w:lang w:val="fr-FR"/>
        </w:rPr>
        <w:t xml:space="preserve">Table </w:t>
      </w:r>
      <w:r w:rsidRPr="006D7538">
        <w:rPr>
          <w:rFonts w:ascii="Arial" w:hAnsi="Arial" w:cs="Arial"/>
          <w:b/>
          <w:iCs/>
          <w:lang w:val="fr-FR"/>
        </w:rPr>
        <w:fldChar w:fldCharType="begin"/>
      </w:r>
      <w:r w:rsidRPr="006D7538">
        <w:rPr>
          <w:rFonts w:ascii="Arial" w:hAnsi="Arial" w:cs="Arial"/>
          <w:b/>
          <w:iCs/>
          <w:lang w:val="fr-FR"/>
        </w:rPr>
        <w:instrText xml:space="preserve"> SEQ Tableau \* ARABIC </w:instrText>
      </w:r>
      <w:r w:rsidRPr="006D7538">
        <w:rPr>
          <w:rFonts w:ascii="Arial" w:hAnsi="Arial" w:cs="Arial"/>
          <w:b/>
          <w:iCs/>
          <w:lang w:val="fr-FR"/>
        </w:rPr>
        <w:fldChar w:fldCharType="separate"/>
      </w:r>
      <w:r w:rsidRPr="006D7538">
        <w:rPr>
          <w:rFonts w:ascii="Arial" w:hAnsi="Arial" w:cs="Arial"/>
          <w:b/>
          <w:iCs/>
          <w:lang w:val="fr-FR"/>
        </w:rPr>
        <w:t>1</w:t>
      </w:r>
      <w:r w:rsidRPr="006D7538">
        <w:rPr>
          <w:rFonts w:ascii="Arial" w:hAnsi="Arial" w:cs="Arial"/>
          <w:b/>
        </w:rPr>
        <w:fldChar w:fldCharType="end"/>
      </w:r>
      <w:r w:rsidRPr="006D7538">
        <w:rPr>
          <w:rFonts w:ascii="Arial" w:hAnsi="Arial" w:cs="Arial"/>
          <w:b/>
          <w:iCs/>
          <w:lang w:val="fr-FR"/>
        </w:rPr>
        <w:t xml:space="preserve">. </w:t>
      </w:r>
      <w:r w:rsidR="006C0F2C" w:rsidRPr="006C0F2C">
        <w:rPr>
          <w:rFonts w:ascii="Arial" w:hAnsi="Arial" w:cs="Arial"/>
          <w:b/>
          <w:iCs/>
          <w:lang w:val="fr-FR"/>
        </w:rPr>
        <w:t>Acquisition of Landsat satellite images</w:t>
      </w:r>
    </w:p>
    <w:tbl>
      <w:tblPr>
        <w:tblStyle w:val="GridTable1Light"/>
        <w:tblW w:w="9268" w:type="dxa"/>
        <w:tblLook w:val="04A0" w:firstRow="1" w:lastRow="0" w:firstColumn="1" w:lastColumn="0" w:noHBand="0" w:noVBand="1"/>
      </w:tblPr>
      <w:tblGrid>
        <w:gridCol w:w="2376"/>
        <w:gridCol w:w="2385"/>
        <w:gridCol w:w="2433"/>
        <w:gridCol w:w="2074"/>
      </w:tblGrid>
      <w:tr w:rsidR="006D7538" w:rsidRPr="006D7538" w14:paraId="16AD5066" w14:textId="77777777" w:rsidTr="006D753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376" w:type="dxa"/>
          </w:tcPr>
          <w:p w14:paraId="2254D8FD" w14:textId="77777777" w:rsidR="006D7538" w:rsidRPr="006D7538" w:rsidRDefault="006D7538" w:rsidP="006D7538">
            <w:pPr>
              <w:pStyle w:val="Body"/>
              <w:spacing w:after="0"/>
              <w:rPr>
                <w:rFonts w:ascii="Arial" w:hAnsi="Arial" w:cs="Arial"/>
                <w:lang w:val="fr-FR"/>
              </w:rPr>
            </w:pPr>
            <w:r w:rsidRPr="006D7538">
              <w:rPr>
                <w:rFonts w:ascii="Arial" w:hAnsi="Arial" w:cs="Arial"/>
                <w:lang w:val="fr-FR"/>
              </w:rPr>
              <w:t>Satellites</w:t>
            </w:r>
          </w:p>
        </w:tc>
        <w:tc>
          <w:tcPr>
            <w:tcW w:w="2385" w:type="dxa"/>
          </w:tcPr>
          <w:p w14:paraId="2C1521E7" w14:textId="77777777" w:rsidR="006D7538" w:rsidRPr="006D7538" w:rsidRDefault="006D7538" w:rsidP="006D753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Sensors</w:t>
            </w:r>
          </w:p>
        </w:tc>
        <w:tc>
          <w:tcPr>
            <w:tcW w:w="2433" w:type="dxa"/>
          </w:tcPr>
          <w:p w14:paraId="41C2530A" w14:textId="77777777" w:rsidR="006D7538" w:rsidRPr="006D7538" w:rsidRDefault="006D7538" w:rsidP="006D753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Dates</w:t>
            </w:r>
          </w:p>
        </w:tc>
        <w:tc>
          <w:tcPr>
            <w:tcW w:w="2074" w:type="dxa"/>
          </w:tcPr>
          <w:p w14:paraId="56F88258" w14:textId="77777777" w:rsidR="006D7538" w:rsidRPr="006D7538" w:rsidRDefault="006D7538" w:rsidP="006D753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R</w:t>
            </w:r>
            <w:r w:rsidRPr="006D7538">
              <w:rPr>
                <w:rFonts w:ascii="Arial" w:hAnsi="Arial" w:cs="Arial"/>
                <w:b w:val="0"/>
                <w:lang w:val="fr-FR"/>
              </w:rPr>
              <w:t>e</w:t>
            </w:r>
            <w:r w:rsidRPr="006D7538">
              <w:rPr>
                <w:rFonts w:ascii="Arial" w:hAnsi="Arial" w:cs="Arial"/>
                <w:lang w:val="fr-FR"/>
              </w:rPr>
              <w:t>solution</w:t>
            </w:r>
          </w:p>
        </w:tc>
      </w:tr>
      <w:tr w:rsidR="006D7538" w:rsidRPr="006D7538" w14:paraId="425DA7EC" w14:textId="77777777" w:rsidTr="006D7538">
        <w:trPr>
          <w:trHeight w:val="503"/>
        </w:trPr>
        <w:tc>
          <w:tcPr>
            <w:cnfStyle w:val="001000000000" w:firstRow="0" w:lastRow="0" w:firstColumn="1" w:lastColumn="0" w:oddVBand="0" w:evenVBand="0" w:oddHBand="0" w:evenHBand="0" w:firstRowFirstColumn="0" w:firstRowLastColumn="0" w:lastRowFirstColumn="0" w:lastRowLastColumn="0"/>
            <w:tcW w:w="2376" w:type="dxa"/>
          </w:tcPr>
          <w:p w14:paraId="11F21826" w14:textId="77777777" w:rsidR="006D7538" w:rsidRPr="006D7538" w:rsidRDefault="006D7538" w:rsidP="006D7538">
            <w:pPr>
              <w:pStyle w:val="Body"/>
              <w:spacing w:after="0"/>
              <w:rPr>
                <w:rFonts w:ascii="Arial" w:hAnsi="Arial" w:cs="Arial"/>
                <w:b w:val="0"/>
                <w:lang w:val="fr-FR"/>
              </w:rPr>
            </w:pPr>
            <w:r w:rsidRPr="006D7538">
              <w:rPr>
                <w:rFonts w:ascii="Arial" w:hAnsi="Arial" w:cs="Arial"/>
                <w:b w:val="0"/>
                <w:lang w:val="fr-FR"/>
              </w:rPr>
              <w:t>Landsat7</w:t>
            </w:r>
          </w:p>
        </w:tc>
        <w:tc>
          <w:tcPr>
            <w:tcW w:w="2385" w:type="dxa"/>
          </w:tcPr>
          <w:p w14:paraId="0F951B09"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+ETM</w:t>
            </w:r>
          </w:p>
        </w:tc>
        <w:tc>
          <w:tcPr>
            <w:tcW w:w="2433" w:type="dxa"/>
          </w:tcPr>
          <w:p w14:paraId="663AE8B5"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18/04/2002</w:t>
            </w:r>
          </w:p>
        </w:tc>
        <w:tc>
          <w:tcPr>
            <w:tcW w:w="2074" w:type="dxa"/>
          </w:tcPr>
          <w:p w14:paraId="7CFE49AF"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30m</w:t>
            </w:r>
          </w:p>
        </w:tc>
      </w:tr>
      <w:tr w:rsidR="006D7538" w:rsidRPr="006D7538" w14:paraId="5EB95A46" w14:textId="77777777" w:rsidTr="006D7538">
        <w:trPr>
          <w:trHeight w:val="459"/>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1DFFF190" w14:textId="77777777" w:rsidR="006D7538" w:rsidRPr="006D7538" w:rsidRDefault="006D7538" w:rsidP="006D7538">
            <w:pPr>
              <w:pStyle w:val="Body"/>
              <w:spacing w:after="0"/>
              <w:rPr>
                <w:rFonts w:ascii="Arial" w:hAnsi="Arial" w:cs="Arial"/>
                <w:b w:val="0"/>
                <w:lang w:val="fr-FR"/>
              </w:rPr>
            </w:pPr>
            <w:r w:rsidRPr="006D7538">
              <w:rPr>
                <w:rFonts w:ascii="Arial" w:hAnsi="Arial" w:cs="Arial"/>
                <w:b w:val="0"/>
                <w:lang w:val="fr-FR"/>
              </w:rPr>
              <w:t>Landsat8</w:t>
            </w:r>
          </w:p>
        </w:tc>
        <w:tc>
          <w:tcPr>
            <w:tcW w:w="2385" w:type="dxa"/>
            <w:vMerge w:val="restart"/>
          </w:tcPr>
          <w:p w14:paraId="7EE2D935" w14:textId="77777777" w:rsidR="00981319" w:rsidRDefault="00981319"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Pr>
                <w:rFonts w:ascii="Arial" w:hAnsi="Arial" w:cs="Arial"/>
                <w:lang w:val="fr-FR"/>
              </w:rPr>
              <w:t xml:space="preserve">     </w:t>
            </w:r>
          </w:p>
          <w:p w14:paraId="5FB3B36C"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lastRenderedPageBreak/>
              <w:t>OLI-TIRS</w:t>
            </w:r>
          </w:p>
        </w:tc>
        <w:tc>
          <w:tcPr>
            <w:tcW w:w="2433" w:type="dxa"/>
          </w:tcPr>
          <w:p w14:paraId="0BF7291A"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lastRenderedPageBreak/>
              <w:t xml:space="preserve">24/04/2013.  </w:t>
            </w:r>
          </w:p>
        </w:tc>
        <w:tc>
          <w:tcPr>
            <w:tcW w:w="2074" w:type="dxa"/>
            <w:vMerge w:val="restart"/>
          </w:tcPr>
          <w:p w14:paraId="23F08F62"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 xml:space="preserve">      30m</w:t>
            </w:r>
          </w:p>
        </w:tc>
      </w:tr>
      <w:tr w:rsidR="006D7538" w:rsidRPr="006D7538" w14:paraId="161DF849" w14:textId="77777777" w:rsidTr="006D7538">
        <w:trPr>
          <w:trHeight w:val="43"/>
        </w:trPr>
        <w:tc>
          <w:tcPr>
            <w:cnfStyle w:val="001000000000" w:firstRow="0" w:lastRow="0" w:firstColumn="1" w:lastColumn="0" w:oddVBand="0" w:evenVBand="0" w:oddHBand="0" w:evenHBand="0" w:firstRowFirstColumn="0" w:firstRowLastColumn="0" w:lastRowFirstColumn="0" w:lastRowLastColumn="0"/>
            <w:tcW w:w="2376" w:type="dxa"/>
            <w:vMerge/>
          </w:tcPr>
          <w:p w14:paraId="07C907B3" w14:textId="77777777" w:rsidR="006D7538" w:rsidRPr="006D7538" w:rsidRDefault="006D7538" w:rsidP="006D7538">
            <w:pPr>
              <w:pStyle w:val="Body"/>
              <w:spacing w:after="0"/>
              <w:rPr>
                <w:rFonts w:ascii="Arial" w:hAnsi="Arial" w:cs="Arial"/>
                <w:b w:val="0"/>
                <w:lang w:val="fr-FR"/>
              </w:rPr>
            </w:pPr>
          </w:p>
        </w:tc>
        <w:tc>
          <w:tcPr>
            <w:tcW w:w="2385" w:type="dxa"/>
            <w:vMerge/>
          </w:tcPr>
          <w:p w14:paraId="46391074"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p>
        </w:tc>
        <w:tc>
          <w:tcPr>
            <w:tcW w:w="2433" w:type="dxa"/>
          </w:tcPr>
          <w:p w14:paraId="16391559"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10/02/2024</w:t>
            </w:r>
          </w:p>
        </w:tc>
        <w:tc>
          <w:tcPr>
            <w:tcW w:w="2074" w:type="dxa"/>
            <w:vMerge/>
          </w:tcPr>
          <w:p w14:paraId="26F4BDB1"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p>
        </w:tc>
      </w:tr>
    </w:tbl>
    <w:p w14:paraId="16CAB8DA" w14:textId="77777777" w:rsidR="00191B84" w:rsidRDefault="00191B84" w:rsidP="006D7538">
      <w:pPr>
        <w:pStyle w:val="Body"/>
        <w:spacing w:after="0"/>
        <w:rPr>
          <w:rFonts w:ascii="Arial" w:hAnsi="Arial" w:cs="Arial"/>
        </w:rPr>
      </w:pPr>
    </w:p>
    <w:p w14:paraId="7A223CBD" w14:textId="77777777" w:rsidR="006D7538" w:rsidRPr="006D7538" w:rsidRDefault="006D7538" w:rsidP="006D7538">
      <w:pPr>
        <w:pStyle w:val="Body"/>
        <w:spacing w:after="0"/>
        <w:rPr>
          <w:rFonts w:ascii="Arial" w:hAnsi="Arial" w:cs="Arial"/>
        </w:rPr>
      </w:pPr>
      <w:r w:rsidRPr="006D7538">
        <w:rPr>
          <w:rFonts w:ascii="Arial" w:hAnsi="Arial" w:cs="Arial"/>
        </w:rPr>
        <w:t xml:space="preserve">ENVI version 5.6 and ArcGIS version 10.8 software were used for image processing. Color composition, supervised classification, and classification validation are the three steps performed for image processing. A segmentation-based method was used to represent mangroves. For color composition, bands 5-4-3 for 2002 and 6-5-4 for 2013 and 2024 were used. These were chosen because they provide good discrimination between different types of land cover and natural colors. Supervised classification consisted of constructing a classifier and transforming the images into a thematic map (Mephu Nguifo &amp; Njiwoua, 2005; Dibi Nda </w:t>
      </w:r>
      <w:r w:rsidRPr="006D7538">
        <w:rPr>
          <w:rFonts w:ascii="Arial" w:hAnsi="Arial" w:cs="Arial"/>
          <w:i/>
        </w:rPr>
        <w:t>et al.,</w:t>
      </w:r>
      <w:r w:rsidRPr="006D7538">
        <w:rPr>
          <w:rFonts w:ascii="Arial" w:hAnsi="Arial" w:cs="Arial"/>
        </w:rPr>
        <w:t xml:space="preserve"> 2019). The maximum likelihood algorithm method was adopted due to knowledge of the study area. The maximum likelihood classification of Landsat8 images from 2024 was first performed, followed by Landsat8 images from 2013 and Landsat7 images from 2002 based on color composite images. The classification made it possible to distinguish the different spectral signatures that characterize the study area. Seven land cover units or classes were identified: mangrove, other vegetation, dwelling, bare soil, tan, mudflat, and water surface. A post-classification comparison was used to analyze the states and changes of the different land cover units. Image classification and change detection provided general statistics on the states, changes, spatial structure, and dynamics of the different land cover units. RStudio was used to represent the state and evolution of the land cover classes. To understand the evolution of each land use unit over time and space, the ensemble method of Poulon (2015) was used. Let U1 be the set of pixels on date 1, U2 the set of pixels on date 2, and ΔU the variation of a pixel of any land use unit between dates U1 and U2. ΔU = 0 reflects a stable state (no change); ΔU &lt; 0 indicates regression (decrease, loss, etc.) and ΔU &gt; 0 reflects progression (increase, gain, etc.). The accuracy of the image classification was evaluated and reported using overall accuracy and kappa statistic or coefficient (Appendix). This information on land use/cover was then used to validate the classification and to deduce the spatio-temporal dynamic of land cover units in the study area (Top et al., 2024). The overall accuracy of the image classification was 97.80%, 96.65%, and 93.44% for 2002, 2013, and 2024, respectively, with a kappa coefficient between 0.93 and 0.98 (Appendix).</w:t>
      </w:r>
    </w:p>
    <w:p w14:paraId="0E810BAF" w14:textId="77777777" w:rsidR="00A03B96" w:rsidRDefault="00A03B96" w:rsidP="00441B6F">
      <w:pPr>
        <w:pStyle w:val="Body"/>
        <w:spacing w:after="0"/>
        <w:rPr>
          <w:rFonts w:ascii="Arial" w:hAnsi="Arial" w:cs="Arial"/>
        </w:rPr>
      </w:pPr>
    </w:p>
    <w:p w14:paraId="07A9F725" w14:textId="77777777" w:rsidR="00E42084" w:rsidRPr="00E42084" w:rsidRDefault="00E42084" w:rsidP="00E42084">
      <w:pPr>
        <w:pStyle w:val="Body"/>
        <w:spacing w:after="0"/>
        <w:rPr>
          <w:rFonts w:ascii="Arial" w:hAnsi="Arial" w:cs="Arial"/>
          <w:b/>
        </w:rPr>
      </w:pPr>
      <w:r w:rsidRPr="00E42084">
        <w:rPr>
          <w:rFonts w:ascii="Arial" w:hAnsi="Arial" w:cs="Arial"/>
        </w:rPr>
        <w:t xml:space="preserve">      </w:t>
      </w:r>
      <w:r w:rsidRPr="00E42084">
        <w:rPr>
          <w:rFonts w:ascii="Arial" w:hAnsi="Arial" w:cs="Arial"/>
          <w:b/>
        </w:rPr>
        <w:t>2.2.2 Surveys</w:t>
      </w:r>
    </w:p>
    <w:p w14:paraId="1E7AED42" w14:textId="77777777" w:rsidR="00E42084" w:rsidRPr="00E42084" w:rsidRDefault="00E42084" w:rsidP="00E42084">
      <w:pPr>
        <w:pStyle w:val="Body"/>
        <w:rPr>
          <w:rFonts w:ascii="Arial" w:hAnsi="Arial" w:cs="Arial"/>
        </w:rPr>
      </w:pPr>
      <w:r w:rsidRPr="00E42084">
        <w:rPr>
          <w:rFonts w:ascii="Arial" w:hAnsi="Arial" w:cs="Arial"/>
        </w:rPr>
        <w:t>Perception surveys were conducted using a questionnaire to identify the factors driving land use dynamics. An interview guide was developed for the population of villages bordering the Gandoule and Sangomar MPAs. A total of nine villages from Palmarin and Niodior in the department of Foundiougne were sampled for the surveys. These were Ndonrogu Longu, Soum, Baout, Djirnda, Diamniadio, Palmarin, Dionewar, Niodior, and Falia. Regarding sampling, Fisher's method was used to determine the number of people to be surveyed. The formula used is as follows:</w:t>
      </w:r>
    </w:p>
    <w:p w14:paraId="6CECB3E6" w14:textId="77777777" w:rsidR="00E42084" w:rsidRPr="00E42084" w:rsidRDefault="00E42084" w:rsidP="00E42084">
      <w:pPr>
        <w:pStyle w:val="Body"/>
        <w:rPr>
          <w:rFonts w:ascii="Arial" w:hAnsi="Arial" w:cs="Arial"/>
        </w:rPr>
      </w:pPr>
      <w:proofErr w:type="spellStart"/>
      <w:r w:rsidRPr="00E42084">
        <w:rPr>
          <w:rFonts w:ascii="Arial" w:hAnsi="Arial" w:cs="Arial"/>
          <w:b/>
        </w:rPr>
        <w:t>Nf</w:t>
      </w:r>
      <w:proofErr w:type="spellEnd"/>
      <w:r w:rsidRPr="00E42084">
        <w:rPr>
          <w:rFonts w:ascii="Arial" w:hAnsi="Arial" w:cs="Arial"/>
          <w:b/>
        </w:rPr>
        <w:t>= n/1+ (n/N)</w:t>
      </w:r>
      <w:r w:rsidRPr="00E42084">
        <w:rPr>
          <w:rFonts w:ascii="Arial" w:hAnsi="Arial" w:cs="Arial"/>
        </w:rPr>
        <w:t xml:space="preserve"> with </w:t>
      </w:r>
      <w:r w:rsidRPr="00E42084">
        <w:rPr>
          <w:rFonts w:ascii="Arial" w:hAnsi="Arial" w:cs="Arial"/>
          <w:b/>
        </w:rPr>
        <w:t>n=</w:t>
      </w:r>
      <w:r w:rsidRPr="00E42084">
        <w:rPr>
          <w:rFonts w:ascii="Arial" w:hAnsi="Arial" w:cs="Arial"/>
        </w:rPr>
        <w:t>1/d^2 and a margin of error of 10%.</w:t>
      </w:r>
    </w:p>
    <w:p w14:paraId="4FBE5DDD" w14:textId="77777777" w:rsidR="00E42084" w:rsidRPr="00E42084" w:rsidRDefault="00E42084" w:rsidP="00E42084">
      <w:pPr>
        <w:pStyle w:val="Body"/>
        <w:rPr>
          <w:rFonts w:ascii="Arial" w:hAnsi="Arial" w:cs="Arial"/>
        </w:rPr>
      </w:pPr>
      <w:r w:rsidRPr="00E42084">
        <w:rPr>
          <w:rFonts w:ascii="Arial" w:hAnsi="Arial" w:cs="Arial"/>
        </w:rPr>
        <w:t>Applying this formula, 178 people, over 2192 fishermen, were selected for the interviews. The survey was conducted using a questionnaire to document people's perception on state, dynamics over 20 years, causes of degradation, and protection strategies of mangrove ecosystems.</w:t>
      </w:r>
    </w:p>
    <w:p w14:paraId="5523C2EC" w14:textId="77777777" w:rsidR="00E42084" w:rsidRPr="00E42084" w:rsidRDefault="00E42084" w:rsidP="00E42084">
      <w:pPr>
        <w:pStyle w:val="Body"/>
        <w:spacing w:after="0"/>
        <w:rPr>
          <w:rFonts w:ascii="Arial" w:hAnsi="Arial" w:cs="Arial"/>
        </w:rPr>
      </w:pPr>
      <w:r w:rsidRPr="00E42084">
        <w:rPr>
          <w:rFonts w:ascii="Arial" w:hAnsi="Arial" w:cs="Arial"/>
        </w:rPr>
        <w:t>The survey data were collected and analyzed using Sphinx Plus version 5 and Excel, then transferred to RStudio for graphical representation.</w:t>
      </w:r>
    </w:p>
    <w:p w14:paraId="57F9B731" w14:textId="77777777" w:rsidR="00790ADA" w:rsidRPr="00FB3A86" w:rsidRDefault="00790ADA" w:rsidP="00441B6F">
      <w:pPr>
        <w:pStyle w:val="Body"/>
        <w:spacing w:after="0"/>
        <w:rPr>
          <w:rFonts w:ascii="Arial" w:hAnsi="Arial" w:cs="Arial"/>
        </w:rPr>
      </w:pPr>
    </w:p>
    <w:p w14:paraId="21F5BC6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6B488617" w14:textId="77777777" w:rsidR="00790ADA" w:rsidRPr="00FB3A86" w:rsidRDefault="00790ADA" w:rsidP="00441B6F">
      <w:pPr>
        <w:pStyle w:val="Head1"/>
        <w:spacing w:after="0"/>
        <w:jc w:val="both"/>
        <w:rPr>
          <w:rFonts w:ascii="Arial" w:hAnsi="Arial" w:cs="Arial"/>
        </w:rPr>
      </w:pPr>
    </w:p>
    <w:p w14:paraId="584D0AAD" w14:textId="77777777" w:rsidR="00981319" w:rsidRPr="00E42084" w:rsidRDefault="00981319" w:rsidP="00E42084">
      <w:pPr>
        <w:pStyle w:val="Body"/>
        <w:numPr>
          <w:ilvl w:val="1"/>
          <w:numId w:val="34"/>
        </w:numPr>
        <w:spacing w:after="0"/>
        <w:rPr>
          <w:rFonts w:ascii="Arial" w:hAnsi="Arial" w:cs="Arial"/>
          <w:b/>
        </w:rPr>
      </w:pPr>
      <w:r w:rsidRPr="00E42084">
        <w:rPr>
          <w:rFonts w:ascii="Arial" w:hAnsi="Arial" w:cs="Arial"/>
          <w:b/>
        </w:rPr>
        <w:t xml:space="preserve">Land use status                                                                                                                                                                                                                                                                                                                                                                                    </w:t>
      </w:r>
    </w:p>
    <w:p w14:paraId="1E9F8576" w14:textId="77777777" w:rsidR="00E42084" w:rsidRPr="00E42084" w:rsidRDefault="00E42084" w:rsidP="00E42084">
      <w:pPr>
        <w:pStyle w:val="Body"/>
        <w:spacing w:after="0"/>
        <w:rPr>
          <w:rFonts w:ascii="Arial" w:hAnsi="Arial" w:cs="Arial"/>
        </w:rPr>
      </w:pPr>
      <w:r w:rsidRPr="00E42084">
        <w:rPr>
          <w:rFonts w:ascii="Arial" w:hAnsi="Arial" w:cs="Arial"/>
        </w:rPr>
        <w:t xml:space="preserve">A spatiotemporal variation of land use/cover was noticed between 2002 and 2024 (Figure 2). Statistics revealed variations in area between the different land use units in Gandoule Marine Protected Area (GMPA). In 2002, mangrove occupied the largest area (29.10%), followed by water (25.37%), mudflats (20.62%), other vegetation (14.95%), tans (8.56%), and bare soil (1.4%). In 2013, land use/cover was dominated by mangroves (32.94%), water (31.33%), </w:t>
      </w:r>
      <w:r w:rsidRPr="00E42084">
        <w:rPr>
          <w:rFonts w:ascii="Arial" w:hAnsi="Arial" w:cs="Arial"/>
        </w:rPr>
        <w:lastRenderedPageBreak/>
        <w:t>mudflats (20.81%) and dwellings (9.56%). However, more recently in 2024, mangrove (37.91%), water (27.93%) and dwelling (23.59%) occupied the largest areas in Gandoule. While tans (5.88%), other vegetation (3.09%), bare soil (0.83%), and mudflats (0.77%) occupied smaller areas.</w:t>
      </w:r>
    </w:p>
    <w:p w14:paraId="68CFC7F2" w14:textId="77777777" w:rsidR="00E42084" w:rsidRPr="00E42084" w:rsidRDefault="00E42084" w:rsidP="00E42084">
      <w:pPr>
        <w:pStyle w:val="Body"/>
        <w:spacing w:after="0"/>
        <w:rPr>
          <w:rFonts w:ascii="Arial" w:hAnsi="Arial" w:cs="Arial"/>
        </w:rPr>
      </w:pPr>
      <w:r w:rsidRPr="00E42084">
        <w:rPr>
          <w:rFonts w:ascii="Arial" w:hAnsi="Arial" w:cs="Arial"/>
        </w:rPr>
        <w:t>In Sangomar Marine Protected Area (SMPA), more than half of the total area was covered by water. In 2002, 76.88% of the total area was covered by water, followed by mangrove (10.43%), other vegetation (9.30%), and mudflats (1.57%). Bare soil (1.35%) and tans (0.46%) were represented small area. Changes in land use were observed in 2013, with water occupying the largest area (78.33%), followed by mangroves (12.27%), dwellings (2.91%) and other vegetation (2.78%). The area occupied by water (77.14%), mangrove (11.93%), and other vegetation (3.92%) remained larger in 2024. The area occupied by mudflats (3.36%), dwellings (2.07%), bare soil (0.86%) and tanning areas (0.72%) was small.</w:t>
      </w:r>
    </w:p>
    <w:p w14:paraId="06368514" w14:textId="77777777" w:rsidR="00E053D0" w:rsidRDefault="00E053D0" w:rsidP="00441B6F">
      <w:pPr>
        <w:pStyle w:val="Body"/>
        <w:spacing w:after="0"/>
        <w:rPr>
          <w:rFonts w:ascii="Arial" w:hAnsi="Arial" w:cs="Arial"/>
        </w:rPr>
      </w:pPr>
    </w:p>
    <w:p w14:paraId="749C14E6" w14:textId="77777777" w:rsidR="00790ADA" w:rsidRDefault="00FD0B22" w:rsidP="0063703D">
      <w:pPr>
        <w:pStyle w:val="Body"/>
        <w:spacing w:after="0"/>
        <w:jc w:val="center"/>
        <w:rPr>
          <w:rFonts w:ascii="Arial" w:hAnsi="Arial" w:cs="Arial"/>
        </w:rPr>
      </w:pPr>
      <w:r>
        <w:rPr>
          <w:rFonts w:ascii="Times New Roman" w:eastAsia="Calibri" w:hAnsi="Times New Roman"/>
          <w:noProof/>
          <w:sz w:val="24"/>
          <w:szCs w:val="24"/>
          <w:lang w:val="fr-FR" w:eastAsia="fr-FR"/>
        </w:rPr>
        <w:pict w14:anchorId="16B04CF6">
          <v:shapetype id="_x0000_t202" coordsize="21600,21600" o:spt="202" path="m,l,21600r21600,l21600,xe">
            <v:stroke joinstyle="miter"/>
            <v:path gradientshapeok="t" o:connecttype="rect"/>
          </v:shapetype>
          <v:shape id="_x0000_s1035" type="#_x0000_t202" style="position:absolute;left:0;text-align:left;margin-left:316.8pt;margin-top:293.4pt;width:22pt;height:27.3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" fillcolor="white [3201]" strokeweight=".5pt">
            <v:textbox>
              <w:txbxContent>
                <w:p w14:paraId="583401A6" w14:textId="77777777" w:rsidR="0004105C" w:rsidRPr="004222A1" w:rsidRDefault="0004105C" w:rsidP="00023A39">
                  <w:pPr>
                    <w:rPr>
                      <w:rFonts w:ascii="Times New Roman" w:hAnsi="Times New Roman"/>
                      <w:color w:val="000000" w:themeColor="text1"/>
                      <w:sz w:val="24"/>
                      <w:szCs w:val="24"/>
                    </w:rPr>
                  </w:pPr>
                  <w:r>
                    <w:rPr>
                      <w:rFonts w:ascii="Times New Roman" w:hAnsi="Times New Roman"/>
                      <w:color w:val="000000" w:themeColor="text1"/>
                      <w:sz w:val="24"/>
                      <w:szCs w:val="24"/>
                    </w:rPr>
                    <w:t>b</w:t>
                  </w:r>
                </w:p>
              </w:txbxContent>
            </v:textbox>
          </v:shape>
        </w:pict>
      </w:r>
      <w:r>
        <w:rPr>
          <w:rFonts w:ascii="Times New Roman" w:eastAsia="Calibri" w:hAnsi="Times New Roman"/>
          <w:noProof/>
          <w:sz w:val="24"/>
          <w:szCs w:val="24"/>
          <w:lang w:val="fr-FR" w:eastAsia="fr-FR"/>
        </w:rPr>
        <w:pict w14:anchorId="04853C05">
          <v:shape id="_x0000_s1034" type="#_x0000_t202" style="position:absolute;left:0;text-align:left;margin-left:310.8pt;margin-top:3.6pt;width:23.4pt;height:24.9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" fillcolor="window" strokeweight=".5pt">
            <v:textbox>
              <w:txbxContent>
                <w:p w14:paraId="750BE296" w14:textId="77777777" w:rsidR="0004105C" w:rsidRPr="00121F29" w:rsidRDefault="0004105C" w:rsidP="00023A39">
                  <w:pPr>
                    <w:jc w:val="center"/>
                    <w:rPr>
                      <w:rFonts w:ascii="Times New Roman" w:hAnsi="Times New Roman"/>
                      <w:color w:val="000000"/>
                      <w:sz w:val="24"/>
                      <w:szCs w:val="24"/>
                    </w:rPr>
                  </w:pPr>
                  <w:r w:rsidRPr="00121F29">
                    <w:rPr>
                      <w:rFonts w:ascii="Times New Roman" w:hAnsi="Times New Roman"/>
                      <w:color w:val="000000"/>
                      <w:sz w:val="24"/>
                      <w:szCs w:val="24"/>
                    </w:rPr>
                    <w:t xml:space="preserve"> a</w:t>
                  </w:r>
                </w:p>
              </w:txbxContent>
            </v:textbox>
          </v:shape>
        </w:pict>
      </w:r>
      <w:r w:rsidR="00E42084" w:rsidRPr="00E42084">
        <w:rPr>
          <w:rFonts w:ascii="Times New Roman" w:eastAsia="Calibri" w:hAnsi="Times New Roman"/>
          <w:noProof/>
          <w:sz w:val="24"/>
          <w:szCs w:val="24"/>
          <w:lang w:val="fr-FR" w:eastAsia="fr-FR"/>
        </w:rPr>
        <w:drawing>
          <wp:inline distT="0" distB="0" distL="0" distR="0" wp14:anchorId="4FE6AC84" wp14:editId="5F75139A">
            <wp:extent cx="3816927" cy="35421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tatGAng2.tiff"/>
                    <pic:cNvPicPr/>
                  </pic:nvPicPr>
                  <pic:blipFill>
                    <a:blip r:embed="rId15">
                      <a:extLst>
                        <a:ext uri="{28A0092B-C50C-407E-A947-70E740481C1C}">
                          <a14:useLocalDpi xmlns:a14="http://schemas.microsoft.com/office/drawing/2010/main" val="0"/>
                        </a:ext>
                      </a:extLst>
                    </a:blip>
                    <a:stretch>
                      <a:fillRect/>
                    </a:stretch>
                  </pic:blipFill>
                  <pic:spPr>
                    <a:xfrm>
                      <a:off x="0" y="0"/>
                      <a:ext cx="3827975" cy="3552438"/>
                    </a:xfrm>
                    <a:prstGeom prst="rect">
                      <a:avLst/>
                    </a:prstGeom>
                  </pic:spPr>
                </pic:pic>
              </a:graphicData>
            </a:graphic>
          </wp:inline>
        </w:drawing>
      </w:r>
      <w:r w:rsidR="00E42084" w:rsidRPr="00E42084">
        <w:rPr>
          <w:rFonts w:ascii="Times New Roman" w:eastAsia="Calibri" w:hAnsi="Times New Roman"/>
          <w:noProof/>
          <w:sz w:val="24"/>
          <w:szCs w:val="24"/>
          <w:lang w:val="fr-FR" w:eastAsia="fr-FR"/>
        </w:rPr>
        <w:drawing>
          <wp:inline distT="0" distB="0" distL="0" distR="0" wp14:anchorId="59A074E1" wp14:editId="7BB0CB01">
            <wp:extent cx="3865419" cy="358718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lot18.tiff"/>
                    <pic:cNvPicPr/>
                  </pic:nvPicPr>
                  <pic:blipFill>
                    <a:blip r:embed="rId16">
                      <a:extLst>
                        <a:ext uri="{28A0092B-C50C-407E-A947-70E740481C1C}">
                          <a14:useLocalDpi xmlns:a14="http://schemas.microsoft.com/office/drawing/2010/main" val="0"/>
                        </a:ext>
                      </a:extLst>
                    </a:blip>
                    <a:stretch>
                      <a:fillRect/>
                    </a:stretch>
                  </pic:blipFill>
                  <pic:spPr>
                    <a:xfrm>
                      <a:off x="0" y="0"/>
                      <a:ext cx="3874807" cy="3595900"/>
                    </a:xfrm>
                    <a:prstGeom prst="rect">
                      <a:avLst/>
                    </a:prstGeom>
                  </pic:spPr>
                </pic:pic>
              </a:graphicData>
            </a:graphic>
          </wp:inline>
        </w:drawing>
      </w:r>
    </w:p>
    <w:p w14:paraId="22DAA415" w14:textId="77777777" w:rsidR="00E42084" w:rsidRDefault="00E42084" w:rsidP="00441B6F">
      <w:pPr>
        <w:pStyle w:val="Body"/>
        <w:spacing w:after="0"/>
        <w:rPr>
          <w:rFonts w:ascii="Arial" w:hAnsi="Arial" w:cs="Arial"/>
          <w:b/>
          <w:iCs/>
        </w:rPr>
      </w:pPr>
      <w:r w:rsidRPr="00E42084">
        <w:rPr>
          <w:rFonts w:ascii="Arial" w:hAnsi="Arial" w:cs="Arial"/>
          <w:b/>
          <w:iCs/>
        </w:rPr>
        <w:t xml:space="preserve">Fig. </w:t>
      </w:r>
      <w:r w:rsidRPr="00E42084">
        <w:rPr>
          <w:rFonts w:ascii="Arial" w:hAnsi="Arial" w:cs="Arial"/>
          <w:b/>
          <w:iCs/>
          <w:lang w:val="fr-FR"/>
        </w:rPr>
        <w:fldChar w:fldCharType="begin"/>
      </w:r>
      <w:r w:rsidRPr="00E42084">
        <w:rPr>
          <w:rFonts w:ascii="Arial" w:hAnsi="Arial" w:cs="Arial"/>
          <w:b/>
          <w:iCs/>
        </w:rPr>
        <w:instrText xml:space="preserve"> SEQ Figure \* ARABIC </w:instrText>
      </w:r>
      <w:r w:rsidRPr="00E42084">
        <w:rPr>
          <w:rFonts w:ascii="Arial" w:hAnsi="Arial" w:cs="Arial"/>
          <w:b/>
          <w:iCs/>
          <w:lang w:val="fr-FR"/>
        </w:rPr>
        <w:fldChar w:fldCharType="separate"/>
      </w:r>
      <w:r w:rsidRPr="00E42084">
        <w:rPr>
          <w:rFonts w:ascii="Arial" w:hAnsi="Arial" w:cs="Arial"/>
          <w:b/>
          <w:iCs/>
        </w:rPr>
        <w:t>2</w:t>
      </w:r>
      <w:r w:rsidRPr="00E42084">
        <w:rPr>
          <w:rFonts w:ascii="Arial" w:hAnsi="Arial" w:cs="Arial"/>
          <w:b/>
        </w:rPr>
        <w:fldChar w:fldCharType="end"/>
      </w:r>
      <w:r w:rsidRPr="00E42084">
        <w:rPr>
          <w:rFonts w:ascii="Arial" w:hAnsi="Arial" w:cs="Arial"/>
          <w:b/>
          <w:iCs/>
        </w:rPr>
        <w:t> . Land use/cover status from 2002 to 2024 in Gandoule MPA (a) and Sangomar MPA (b)</w:t>
      </w:r>
    </w:p>
    <w:p w14:paraId="38D57C17" w14:textId="77777777" w:rsidR="0004105C" w:rsidRDefault="0004105C" w:rsidP="00441B6F">
      <w:pPr>
        <w:pStyle w:val="Body"/>
        <w:spacing w:after="0"/>
        <w:rPr>
          <w:rFonts w:ascii="Arial" w:hAnsi="Arial" w:cs="Arial"/>
          <w:b/>
          <w:iCs/>
        </w:rPr>
      </w:pPr>
    </w:p>
    <w:p w14:paraId="71065C9D" w14:textId="77777777" w:rsidR="0004105C" w:rsidRDefault="0004105C" w:rsidP="00441B6F">
      <w:pPr>
        <w:pStyle w:val="Body"/>
        <w:spacing w:after="0"/>
        <w:rPr>
          <w:rFonts w:ascii="Arial" w:hAnsi="Arial" w:cs="Arial"/>
          <w:b/>
          <w:iCs/>
        </w:rPr>
      </w:pPr>
    </w:p>
    <w:p w14:paraId="1C1BE035" w14:textId="77777777" w:rsidR="0004105C" w:rsidRPr="0004105C" w:rsidRDefault="0004105C" w:rsidP="00441B6F">
      <w:pPr>
        <w:pStyle w:val="Body"/>
        <w:spacing w:after="0"/>
        <w:rPr>
          <w:rFonts w:ascii="Arial" w:hAnsi="Arial" w:cs="Arial"/>
          <w:b/>
          <w:iCs/>
        </w:rPr>
      </w:pPr>
    </w:p>
    <w:p w14:paraId="74751DC1" w14:textId="77777777" w:rsidR="004307E6" w:rsidRPr="0004105C" w:rsidRDefault="004307E6" w:rsidP="0004105C">
      <w:pPr>
        <w:numPr>
          <w:ilvl w:val="1"/>
          <w:numId w:val="34"/>
        </w:numPr>
        <w:spacing w:after="160"/>
        <w:contextualSpacing/>
        <w:jc w:val="both"/>
        <w:rPr>
          <w:rFonts w:ascii="Arial" w:eastAsia="Calibri" w:hAnsi="Arial" w:cs="Arial"/>
          <w:b/>
        </w:rPr>
      </w:pPr>
      <w:r w:rsidRPr="0004105C">
        <w:rPr>
          <w:rFonts w:ascii="Arial" w:eastAsia="Calibri" w:hAnsi="Arial" w:cs="Arial"/>
          <w:b/>
        </w:rPr>
        <w:t xml:space="preserve">Changes in land use/cover classes                                                                                                                      </w:t>
      </w:r>
    </w:p>
    <w:p w14:paraId="4C036069" w14:textId="77777777" w:rsidR="004307E6" w:rsidRPr="004307E6" w:rsidRDefault="004307E6" w:rsidP="004307E6">
      <w:pPr>
        <w:jc w:val="both"/>
        <w:rPr>
          <w:rFonts w:ascii="Arial" w:eastAsia="Calibri" w:hAnsi="Arial" w:cs="Arial"/>
        </w:rPr>
      </w:pPr>
      <w:r w:rsidRPr="004307E6">
        <w:rPr>
          <w:rFonts w:ascii="Arial" w:eastAsia="Calibri" w:hAnsi="Arial" w:cs="Arial"/>
        </w:rPr>
        <w:lastRenderedPageBreak/>
        <w:t>Changes in land use/cover have occurred over time and spatial (Figures 3 and 4).  In Gandoule MPA, land use/cover between 2002 and 2013 was marked by a gradual increase in mangrove (3.84%), dwellings (9.56%), bare soil (0.35%), water (5.96%) and mudflats (0.19%). In contrast, other vegetation (-12.29%) and tans (-7.61%) saw a decrease in area. Between 2013 and 2024, mangrove area (4.98%), other vegetation (0.43%), tans (4.93%) and dwellings (14.03%) increased. Meanwhile, mudflats (-20.05%) and bare soil (-0.92%) saw a decrease in area. Between 2002 and 2024, the dynamic showed a decrease in area for most classes. Mudflats (-19.86%), other vegetation (-11.87%), tans (-2.68%) and bare soil (-0.57%) recorded losses in area. In fact, area occupied by buildings (23.58%) and mangrove (8.81%) increased.</w:t>
      </w:r>
    </w:p>
    <w:p w14:paraId="38967A2E" w14:textId="77777777" w:rsidR="004307E6" w:rsidRPr="004307E6" w:rsidRDefault="004307E6" w:rsidP="004307E6">
      <w:pPr>
        <w:spacing w:after="160"/>
        <w:jc w:val="both"/>
        <w:rPr>
          <w:rFonts w:ascii="Times New Roman" w:eastAsia="Calibri" w:hAnsi="Times New Roman"/>
          <w:sz w:val="24"/>
          <w:szCs w:val="24"/>
        </w:rPr>
      </w:pPr>
      <w:r w:rsidRPr="004307E6">
        <w:rPr>
          <w:rFonts w:ascii="Arial" w:eastAsia="Calibri" w:hAnsi="Arial" w:cs="Arial"/>
        </w:rPr>
        <w:t>In Sangomar MPA, changes in land use/cover have resulted in an overall increase in mangrove and dwellings and a loss of vegetation and bare soil.  Mangrove (1.83%), dwellings (2.91%), tans (0.22%), and bare soil (0.16%) increased between 2002 and 2013. Vegetation (-6.52%) and mudflats (-0.07%) lost area between 2002 and 2013. Land use/cover between 2013 and 2024 was characterized by a decline of mangrove (-0.33%) and dwellings (-0.84%) area. The change in land use/cover between 2013 and 2024 indicated an increase of mudflats (1.86%), other vegetation (1.13%), tans (0.03%), and bare soil (0.66%). The observed dynamics of land cover/use between 2002 and 2024 showed an increase in mangroves (1.5%), dwellings (2.07%), mudflats (0.18%) and tans (0.26</w:t>
      </w:r>
      <w:r w:rsidRPr="004307E6">
        <w:rPr>
          <w:rFonts w:ascii="Times New Roman" w:eastAsia="Calibri" w:hAnsi="Times New Roman"/>
          <w:sz w:val="24"/>
          <w:szCs w:val="24"/>
        </w:rPr>
        <w:t>%). On the other hand, other vegetation (-5.38%) and bare soil (-0.49%) have lost area.</w:t>
      </w:r>
    </w:p>
    <w:p w14:paraId="7FDA0EF9" w14:textId="43FAF2B7" w:rsidR="00863BD3" w:rsidRDefault="00CF53C3" w:rsidP="00441B6F">
      <w:pPr>
        <w:pStyle w:val="BodyText3"/>
        <w:tabs>
          <w:tab w:val="left" w:pos="1080"/>
        </w:tabs>
        <w:spacing w:after="0"/>
        <w:ind w:left="1080" w:hanging="1080"/>
        <w:jc w:val="both"/>
        <w:rPr>
          <w:rFonts w:ascii="Arial" w:hAnsi="Arial"/>
          <w:b/>
          <w:sz w:val="20"/>
          <w:szCs w:val="20"/>
        </w:rPr>
      </w:pPr>
      <w:r w:rsidRPr="00CF53C3">
        <w:rPr>
          <w:rFonts w:ascii="Times New Roman" w:eastAsia="Calibri" w:hAnsi="Times New Roman"/>
          <w:noProof/>
          <w:sz w:val="24"/>
          <w:szCs w:val="24"/>
          <w:lang w:val="fr-FR" w:eastAsia="fr-FR"/>
        </w:rPr>
        <w:drawing>
          <wp:inline distT="0" distB="0" distL="0" distR="0" wp14:anchorId="5AF41C41" wp14:editId="0CFFC2C0">
            <wp:extent cx="2583072" cy="18262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eAMP2002A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9520" cy="1852029"/>
                    </a:xfrm>
                    <a:prstGeom prst="rect">
                      <a:avLst/>
                    </a:prstGeom>
                  </pic:spPr>
                </pic:pic>
              </a:graphicData>
            </a:graphic>
          </wp:inline>
        </w:drawing>
      </w:r>
      <w:r>
        <w:rPr>
          <w:rFonts w:ascii="Times New Roman" w:hAnsi="Times New Roman"/>
          <w:noProof/>
          <w:sz w:val="24"/>
          <w:szCs w:val="24"/>
          <w:lang w:val="fr-FR" w:eastAsia="fr-FR"/>
        </w:rPr>
        <w:drawing>
          <wp:inline distT="0" distB="0" distL="0" distR="0" wp14:anchorId="11265AD8" wp14:editId="68BBF054">
            <wp:extent cx="2628900" cy="186039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eAMP2013A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191" cy="1866974"/>
                    </a:xfrm>
                    <a:prstGeom prst="rect">
                      <a:avLst/>
                    </a:prstGeom>
                  </pic:spPr>
                </pic:pic>
              </a:graphicData>
            </a:graphic>
          </wp:inline>
        </w:drawing>
      </w:r>
      <w:r w:rsidR="006D7365">
        <w:rPr>
          <w:rFonts w:ascii="Times New Roman" w:hAnsi="Times New Roman"/>
          <w:noProof/>
          <w:sz w:val="24"/>
          <w:szCs w:val="24"/>
          <w:lang w:val="fr-FR" w:eastAsia="fr-FR"/>
        </w:rPr>
        <w:drawing>
          <wp:inline distT="0" distB="0" distL="0" distR="0" wp14:anchorId="6759B6B6" wp14:editId="4EE600DD">
            <wp:extent cx="2895600" cy="20472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eAMP2024A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1390" cy="2072524"/>
                    </a:xfrm>
                    <a:prstGeom prst="rect">
                      <a:avLst/>
                    </a:prstGeom>
                  </pic:spPr>
                </pic:pic>
              </a:graphicData>
            </a:graphic>
          </wp:inline>
        </w:drawing>
      </w:r>
    </w:p>
    <w:p w14:paraId="6B7D659C" w14:textId="57D4DECA" w:rsidR="00376BBE" w:rsidRDefault="00376BBE" w:rsidP="00CF53C3">
      <w:pPr>
        <w:pStyle w:val="Body"/>
        <w:spacing w:after="0"/>
        <w:jc w:val="center"/>
        <w:rPr>
          <w:rFonts w:ascii="Arial" w:hAnsi="Arial" w:cs="Arial"/>
        </w:rPr>
      </w:pPr>
    </w:p>
    <w:p w14:paraId="44AFF4F4" w14:textId="77777777" w:rsidR="00121F29" w:rsidRDefault="00121F29" w:rsidP="00CF53C3">
      <w:pPr>
        <w:pStyle w:val="Body"/>
        <w:spacing w:after="0"/>
        <w:jc w:val="center"/>
        <w:rPr>
          <w:rFonts w:ascii="Arial" w:hAnsi="Arial" w:cs="Arial"/>
        </w:rPr>
      </w:pPr>
    </w:p>
    <w:p w14:paraId="2D55020B" w14:textId="77777777" w:rsidR="00121F29" w:rsidRDefault="00121F29" w:rsidP="00CF53C3">
      <w:pPr>
        <w:pStyle w:val="Body"/>
        <w:spacing w:after="0"/>
        <w:jc w:val="center"/>
        <w:rPr>
          <w:rFonts w:ascii="Arial" w:hAnsi="Arial" w:cs="Arial"/>
        </w:rPr>
      </w:pPr>
    </w:p>
    <w:p w14:paraId="313C2BD3" w14:textId="0D3E248F" w:rsidR="00CF53C3" w:rsidRDefault="00FD0B22" w:rsidP="00441B6F">
      <w:pPr>
        <w:pStyle w:val="Body"/>
        <w:spacing w:after="0"/>
        <w:rPr>
          <w:rFonts w:ascii="Arial" w:hAnsi="Arial" w:cs="Arial"/>
        </w:rPr>
      </w:pPr>
      <w:r>
        <w:rPr>
          <w:noProof/>
          <w:sz w:val="16"/>
          <w:szCs w:val="16"/>
        </w:rPr>
        <w:pict w14:anchorId="065C41F5">
          <v:shape id="Zone de texte 1" o:spid="_x0000_s1028" type="#_x0000_t202" style="position:absolute;left:0;text-align:left;margin-left:310.35pt;margin-top:3.7pt;width:23.4pt;height:24.9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" fillcolor="window" strokeweight=".5pt">
            <v:textbox>
              <w:txbxContent>
                <w:p w14:paraId="038C36E7" w14:textId="77777777" w:rsidR="0004105C" w:rsidRPr="00121F29" w:rsidRDefault="0004105C" w:rsidP="00121F29">
                  <w:pPr>
                    <w:jc w:val="center"/>
                    <w:rPr>
                      <w:rFonts w:ascii="Times New Roman" w:hAnsi="Times New Roman"/>
                      <w:color w:val="000000"/>
                      <w:sz w:val="24"/>
                      <w:szCs w:val="24"/>
                    </w:rPr>
                  </w:pPr>
                  <w:r w:rsidRPr="00121F29">
                    <w:rPr>
                      <w:rFonts w:ascii="Times New Roman" w:hAnsi="Times New Roman"/>
                      <w:color w:val="000000"/>
                      <w:sz w:val="24"/>
                      <w:szCs w:val="24"/>
                    </w:rPr>
                    <w:t xml:space="preserve"> a</w:t>
                  </w:r>
                </w:p>
              </w:txbxContent>
            </v:textbox>
          </v:shape>
        </w:pict>
      </w:r>
    </w:p>
    <w:p w14:paraId="6C6A1098" w14:textId="77777777" w:rsidR="00CF53C3" w:rsidRDefault="00CF53C3" w:rsidP="00441B6F">
      <w:pPr>
        <w:pStyle w:val="Body"/>
        <w:spacing w:after="0"/>
        <w:rPr>
          <w:rFonts w:ascii="Arial" w:hAnsi="Arial" w:cs="Arial"/>
        </w:rPr>
      </w:pPr>
    </w:p>
    <w:p w14:paraId="3C0B9A58" w14:textId="77777777" w:rsidR="00CF53C3" w:rsidRDefault="00CF53C3" w:rsidP="00441B6F">
      <w:pPr>
        <w:pStyle w:val="Body"/>
        <w:spacing w:after="0"/>
        <w:rPr>
          <w:rFonts w:ascii="Arial" w:hAnsi="Arial" w:cs="Arial"/>
        </w:rPr>
      </w:pPr>
    </w:p>
    <w:p w14:paraId="242CF704" w14:textId="7ED02E00" w:rsidR="00CF53C3" w:rsidRDefault="00121F29" w:rsidP="00121F29">
      <w:pPr>
        <w:pStyle w:val="Body"/>
        <w:spacing w:after="0"/>
        <w:jc w:val="center"/>
        <w:rPr>
          <w:rFonts w:ascii="Arial" w:hAnsi="Arial" w:cs="Arial"/>
        </w:rPr>
      </w:pPr>
      <w:r w:rsidRPr="00121F29">
        <w:rPr>
          <w:rFonts w:ascii="Calibri" w:eastAsia="Calibri" w:hAnsi="Calibri"/>
          <w:noProof/>
          <w:sz w:val="22"/>
          <w:szCs w:val="22"/>
          <w:lang w:val="fr-FR" w:eastAsia="fr-FR"/>
        </w:rPr>
        <w:lastRenderedPageBreak/>
        <w:drawing>
          <wp:inline distT="0" distB="0" distL="0" distR="0" wp14:anchorId="5D2151CF" wp14:editId="039A3B6A">
            <wp:extent cx="2622831" cy="18561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AMPS2002A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8707" cy="1874417"/>
                    </a:xfrm>
                    <a:prstGeom prst="rect">
                      <a:avLst/>
                    </a:prstGeom>
                  </pic:spPr>
                </pic:pic>
              </a:graphicData>
            </a:graphic>
          </wp:inline>
        </w:drawing>
      </w:r>
      <w:r w:rsidRPr="00121F29">
        <w:rPr>
          <w:rFonts w:ascii="Calibri" w:eastAsia="Calibri" w:hAnsi="Calibri"/>
          <w:noProof/>
          <w:sz w:val="22"/>
          <w:szCs w:val="22"/>
          <w:lang w:val="fr-FR" w:eastAsia="fr-FR"/>
        </w:rPr>
        <w:drawing>
          <wp:inline distT="0" distB="0" distL="0" distR="0" wp14:anchorId="6638DD1C" wp14:editId="45489C73">
            <wp:extent cx="2572585" cy="18205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AMPS2013A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4025" cy="1821564"/>
                    </a:xfrm>
                    <a:prstGeom prst="rect">
                      <a:avLst/>
                    </a:prstGeom>
                  </pic:spPr>
                </pic:pic>
              </a:graphicData>
            </a:graphic>
          </wp:inline>
        </w:drawing>
      </w:r>
      <w:r>
        <w:rPr>
          <w:noProof/>
          <w:lang w:val="fr-FR" w:eastAsia="fr-FR"/>
        </w:rPr>
        <w:drawing>
          <wp:inline distT="0" distB="0" distL="0" distR="0" wp14:anchorId="028AAA67" wp14:editId="1EB43D23">
            <wp:extent cx="2857500" cy="20221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teAMPS2024A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7613" cy="2036406"/>
                    </a:xfrm>
                    <a:prstGeom prst="rect">
                      <a:avLst/>
                    </a:prstGeom>
                  </pic:spPr>
                </pic:pic>
              </a:graphicData>
            </a:graphic>
          </wp:inline>
        </w:drawing>
      </w:r>
    </w:p>
    <w:p w14:paraId="7B38FB90" w14:textId="1381BCE0" w:rsidR="006D7365" w:rsidRDefault="00FD0B22" w:rsidP="007313E5">
      <w:pPr>
        <w:pStyle w:val="Caption"/>
        <w:jc w:val="center"/>
        <w:rPr>
          <w:rFonts w:ascii="Arial" w:hAnsi="Arial" w:cs="Arial"/>
          <w:b/>
          <w:i w:val="0"/>
          <w:color w:val="auto"/>
          <w:sz w:val="20"/>
          <w:szCs w:val="20"/>
          <w:lang w:val="en-US"/>
        </w:rPr>
      </w:pPr>
      <w:r>
        <w:rPr>
          <w:rFonts w:ascii="Helvetica" w:hAnsi="Helvetica" w:cs="Times New Roman"/>
          <w:noProof/>
        </w:rPr>
        <w:pict w14:anchorId="1C5AFD54">
          <v:shape id="_x0000_s1029" type="#_x0000_t202" style="position:absolute;left:0;text-align:left;margin-left:289.2pt;margin-top:18.95pt;width:22pt;height:27.3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" fillcolor="white [3201]" strokeweight=".5pt">
            <v:textbox>
              <w:txbxContent>
                <w:p w14:paraId="18AB62D7" w14:textId="77777777" w:rsidR="0004105C" w:rsidRPr="004222A1" w:rsidRDefault="0004105C" w:rsidP="00121F29">
                  <w:pPr>
                    <w:rPr>
                      <w:rFonts w:ascii="Times New Roman" w:hAnsi="Times New Roman"/>
                      <w:color w:val="000000" w:themeColor="text1"/>
                      <w:sz w:val="24"/>
                      <w:szCs w:val="24"/>
                    </w:rPr>
                  </w:pPr>
                  <w:r>
                    <w:rPr>
                      <w:rFonts w:ascii="Times New Roman" w:hAnsi="Times New Roman"/>
                      <w:color w:val="000000" w:themeColor="text1"/>
                      <w:sz w:val="24"/>
                      <w:szCs w:val="24"/>
                    </w:rPr>
                    <w:t>b</w:t>
                  </w:r>
                </w:p>
              </w:txbxContent>
            </v:textbox>
          </v:shape>
        </w:pict>
      </w:r>
    </w:p>
    <w:p w14:paraId="2EC88FDF" w14:textId="77777777" w:rsidR="006D7365" w:rsidRDefault="006D7365" w:rsidP="007313E5">
      <w:pPr>
        <w:pStyle w:val="Caption"/>
        <w:jc w:val="center"/>
        <w:rPr>
          <w:rFonts w:ascii="Arial" w:hAnsi="Arial" w:cs="Arial"/>
          <w:b/>
          <w:i w:val="0"/>
          <w:color w:val="auto"/>
          <w:sz w:val="20"/>
          <w:szCs w:val="20"/>
          <w:lang w:val="en-US"/>
        </w:rPr>
      </w:pPr>
    </w:p>
    <w:p w14:paraId="54D23261" w14:textId="77777777" w:rsidR="006D7365" w:rsidRDefault="006D7365" w:rsidP="007313E5">
      <w:pPr>
        <w:pStyle w:val="Caption"/>
        <w:jc w:val="center"/>
        <w:rPr>
          <w:rFonts w:ascii="Arial" w:hAnsi="Arial" w:cs="Arial"/>
          <w:b/>
          <w:i w:val="0"/>
          <w:color w:val="auto"/>
          <w:sz w:val="20"/>
          <w:szCs w:val="20"/>
          <w:lang w:val="en-US"/>
        </w:rPr>
      </w:pPr>
    </w:p>
    <w:p w14:paraId="1AB6694B" w14:textId="77777777" w:rsidR="006D7365" w:rsidRDefault="006D7365" w:rsidP="007313E5">
      <w:pPr>
        <w:pStyle w:val="Caption"/>
        <w:jc w:val="center"/>
        <w:rPr>
          <w:rFonts w:ascii="Arial" w:hAnsi="Arial" w:cs="Arial"/>
          <w:b/>
          <w:i w:val="0"/>
          <w:color w:val="auto"/>
          <w:sz w:val="20"/>
          <w:szCs w:val="20"/>
          <w:lang w:val="en-US"/>
        </w:rPr>
      </w:pPr>
    </w:p>
    <w:p w14:paraId="6C0D0E25" w14:textId="1EE38D74" w:rsidR="007313E5" w:rsidRPr="007313E5" w:rsidRDefault="007313E5" w:rsidP="007313E5">
      <w:pPr>
        <w:pStyle w:val="Caption"/>
        <w:jc w:val="center"/>
        <w:rPr>
          <w:rFonts w:ascii="Arial" w:hAnsi="Arial" w:cs="Arial"/>
          <w:b/>
          <w:i w:val="0"/>
          <w:color w:val="auto"/>
          <w:sz w:val="20"/>
          <w:szCs w:val="20"/>
          <w:lang w:val="en-US"/>
        </w:rPr>
      </w:pPr>
      <w:r>
        <w:rPr>
          <w:rFonts w:ascii="Arial" w:hAnsi="Arial" w:cs="Arial"/>
          <w:b/>
          <w:i w:val="0"/>
          <w:color w:val="auto"/>
          <w:sz w:val="20"/>
          <w:szCs w:val="20"/>
          <w:lang w:val="en-US"/>
        </w:rPr>
        <w:t>Fig.</w:t>
      </w:r>
      <w:r w:rsidRPr="007313E5">
        <w:rPr>
          <w:rFonts w:ascii="Arial" w:hAnsi="Arial" w:cs="Arial"/>
          <w:b/>
          <w:i w:val="0"/>
          <w:color w:val="auto"/>
          <w:sz w:val="20"/>
          <w:szCs w:val="20"/>
          <w:lang w:val="en-US"/>
        </w:rPr>
        <w:t xml:space="preserve"> </w:t>
      </w:r>
      <w:r w:rsidRPr="007313E5">
        <w:rPr>
          <w:rFonts w:ascii="Arial" w:hAnsi="Arial" w:cs="Arial"/>
          <w:b/>
          <w:i w:val="0"/>
          <w:color w:val="auto"/>
          <w:sz w:val="20"/>
          <w:szCs w:val="20"/>
        </w:rPr>
        <w:fldChar w:fldCharType="begin"/>
      </w:r>
      <w:r w:rsidRPr="007313E5">
        <w:rPr>
          <w:rFonts w:ascii="Arial" w:hAnsi="Arial" w:cs="Arial"/>
          <w:b/>
          <w:i w:val="0"/>
          <w:color w:val="auto"/>
          <w:sz w:val="20"/>
          <w:szCs w:val="20"/>
          <w:lang w:val="en-US"/>
        </w:rPr>
        <w:instrText xml:space="preserve"> SEQ Figure \* ARABIC </w:instrText>
      </w:r>
      <w:r w:rsidRPr="007313E5">
        <w:rPr>
          <w:rFonts w:ascii="Arial" w:hAnsi="Arial" w:cs="Arial"/>
          <w:b/>
          <w:i w:val="0"/>
          <w:color w:val="auto"/>
          <w:sz w:val="20"/>
          <w:szCs w:val="20"/>
        </w:rPr>
        <w:fldChar w:fldCharType="separate"/>
      </w:r>
      <w:r w:rsidRPr="007313E5">
        <w:rPr>
          <w:rFonts w:ascii="Arial" w:hAnsi="Arial" w:cs="Arial"/>
          <w:b/>
          <w:i w:val="0"/>
          <w:noProof/>
          <w:color w:val="auto"/>
          <w:sz w:val="20"/>
          <w:szCs w:val="20"/>
          <w:lang w:val="en-US"/>
        </w:rPr>
        <w:t>3</w:t>
      </w:r>
      <w:r w:rsidRPr="007313E5">
        <w:rPr>
          <w:rFonts w:ascii="Arial" w:hAnsi="Arial" w:cs="Arial"/>
          <w:b/>
          <w:i w:val="0"/>
          <w:color w:val="auto"/>
          <w:sz w:val="20"/>
          <w:szCs w:val="20"/>
        </w:rPr>
        <w:fldChar w:fldCharType="end"/>
      </w:r>
      <w:r w:rsidRPr="008123AC">
        <w:rPr>
          <w:rFonts w:ascii="Arial" w:hAnsi="Arial" w:cs="Arial"/>
          <w:b/>
          <w:i w:val="0"/>
          <w:color w:val="auto"/>
          <w:sz w:val="20"/>
          <w:szCs w:val="20"/>
          <w:lang w:val="en-US"/>
        </w:rPr>
        <w:t>.</w:t>
      </w:r>
      <w:r w:rsidRPr="007313E5">
        <w:rPr>
          <w:rFonts w:ascii="Arial" w:hAnsi="Arial" w:cs="Arial"/>
          <w:b/>
          <w:i w:val="0"/>
          <w:color w:val="auto"/>
          <w:sz w:val="20"/>
          <w:szCs w:val="20"/>
          <w:lang w:val="en-US"/>
        </w:rPr>
        <w:t xml:space="preserve"> Land use/cover dynamic in  Gandoule MPA (a) and in Sangomar MPA (b)</w:t>
      </w:r>
    </w:p>
    <w:p w14:paraId="4BE49C66" w14:textId="754C2AEC" w:rsidR="007313E5" w:rsidRDefault="00FD0B22" w:rsidP="0063703D">
      <w:pPr>
        <w:pStyle w:val="Body"/>
        <w:spacing w:after="0"/>
        <w:jc w:val="center"/>
        <w:rPr>
          <w:rFonts w:ascii="Arial" w:hAnsi="Arial" w:cs="Arial"/>
        </w:rPr>
      </w:pPr>
      <w:r>
        <w:rPr>
          <w:noProof/>
          <w:lang w:val="fr-FR" w:eastAsia="fr-FR"/>
        </w:rPr>
        <w:lastRenderedPageBreak/>
        <w:pict w14:anchorId="6B532F43">
          <v:shape id="_x0000_s1032" type="#_x0000_t202" style="position:absolute;left:0;text-align:left;margin-left:458.55pt;margin-top:291.4pt;width:22pt;height:27.3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" fillcolor="white [3201]" strokeweight=".5pt">
            <v:textbox>
              <w:txbxContent>
                <w:p w14:paraId="7822FE3C" w14:textId="77777777" w:rsidR="0004105C" w:rsidRPr="004222A1" w:rsidRDefault="0004105C" w:rsidP="00023A39">
                  <w:pPr>
                    <w:rPr>
                      <w:rFonts w:ascii="Times New Roman" w:hAnsi="Times New Roman"/>
                      <w:color w:val="000000" w:themeColor="text1"/>
                      <w:sz w:val="24"/>
                      <w:szCs w:val="24"/>
                    </w:rPr>
                  </w:pPr>
                  <w:r>
                    <w:rPr>
                      <w:rFonts w:ascii="Times New Roman" w:hAnsi="Times New Roman"/>
                      <w:color w:val="000000" w:themeColor="text1"/>
                      <w:sz w:val="24"/>
                      <w:szCs w:val="24"/>
                    </w:rPr>
                    <w:t>b</w:t>
                  </w:r>
                </w:p>
              </w:txbxContent>
            </v:textbox>
          </v:shape>
        </w:pict>
      </w:r>
      <w:r w:rsidR="0063703D">
        <w:rPr>
          <w:noProof/>
          <w:lang w:val="fr-FR" w:eastAsia="fr-FR"/>
        </w:rPr>
        <w:drawing>
          <wp:inline distT="0" distB="0" distL="0" distR="0" wp14:anchorId="12EA20BA" wp14:editId="3AF630A6">
            <wp:extent cx="3826339" cy="35509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ynGAng.tiff"/>
                    <pic:cNvPicPr/>
                  </pic:nvPicPr>
                  <pic:blipFill>
                    <a:blip r:embed="rId23">
                      <a:extLst>
                        <a:ext uri="{28A0092B-C50C-407E-A947-70E740481C1C}">
                          <a14:useLocalDpi xmlns:a14="http://schemas.microsoft.com/office/drawing/2010/main" val="0"/>
                        </a:ext>
                      </a:extLst>
                    </a:blip>
                    <a:stretch>
                      <a:fillRect/>
                    </a:stretch>
                  </pic:blipFill>
                  <pic:spPr>
                    <a:xfrm>
                      <a:off x="0" y="0"/>
                      <a:ext cx="3826339" cy="3550920"/>
                    </a:xfrm>
                    <a:prstGeom prst="rect">
                      <a:avLst/>
                    </a:prstGeom>
                  </pic:spPr>
                </pic:pic>
              </a:graphicData>
            </a:graphic>
          </wp:inline>
        </w:drawing>
      </w:r>
      <w:r w:rsidR="0063703D" w:rsidRPr="0063703D">
        <w:rPr>
          <w:rFonts w:ascii="Calibri" w:eastAsia="Calibri" w:hAnsi="Calibri"/>
          <w:noProof/>
          <w:sz w:val="22"/>
          <w:szCs w:val="22"/>
          <w:lang w:val="fr-FR" w:eastAsia="fr-FR"/>
        </w:rPr>
        <w:drawing>
          <wp:inline distT="0" distB="0" distL="0" distR="0" wp14:anchorId="557D7523" wp14:editId="4903A0AC">
            <wp:extent cx="4027786" cy="373786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ynSAng.tiff"/>
                    <pic:cNvPicPr/>
                  </pic:nvPicPr>
                  <pic:blipFill>
                    <a:blip r:embed="rId24">
                      <a:extLst>
                        <a:ext uri="{28A0092B-C50C-407E-A947-70E740481C1C}">
                          <a14:useLocalDpi xmlns:a14="http://schemas.microsoft.com/office/drawing/2010/main" val="0"/>
                        </a:ext>
                      </a:extLst>
                    </a:blip>
                    <a:stretch>
                      <a:fillRect/>
                    </a:stretch>
                  </pic:blipFill>
                  <pic:spPr>
                    <a:xfrm>
                      <a:off x="0" y="0"/>
                      <a:ext cx="4027786" cy="3737866"/>
                    </a:xfrm>
                    <a:prstGeom prst="rect">
                      <a:avLst/>
                    </a:prstGeom>
                  </pic:spPr>
                </pic:pic>
              </a:graphicData>
            </a:graphic>
          </wp:inline>
        </w:drawing>
      </w:r>
    </w:p>
    <w:p w14:paraId="1C50D1BE" w14:textId="77777777" w:rsidR="00CF53C3" w:rsidRDefault="00CF53C3" w:rsidP="00441B6F">
      <w:pPr>
        <w:pStyle w:val="Body"/>
        <w:spacing w:after="0"/>
        <w:rPr>
          <w:rFonts w:ascii="Arial" w:hAnsi="Arial" w:cs="Arial"/>
        </w:rPr>
      </w:pPr>
    </w:p>
    <w:p w14:paraId="22DBC540" w14:textId="06178E7B" w:rsidR="006D7365" w:rsidRDefault="00FD0B22" w:rsidP="0063703D">
      <w:pPr>
        <w:pStyle w:val="Body"/>
        <w:spacing w:after="0"/>
        <w:rPr>
          <w:rFonts w:ascii="Arial" w:hAnsi="Arial" w:cs="Arial"/>
          <w:b/>
          <w:iCs/>
        </w:rPr>
      </w:pPr>
      <w:r>
        <w:rPr>
          <w:noProof/>
          <w:lang w:val="fr-FR" w:eastAsia="fr-FR"/>
        </w:rPr>
        <w:pict w14:anchorId="69B54CE0">
          <v:shape id="_x0000_s1033" type="#_x0000_t202" style="position:absolute;left:0;text-align:left;margin-left:153.6pt;margin-top:2.85pt;width:23.4pt;height:24.9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" fillcolor="window" strokeweight=".5pt">
            <v:textbox>
              <w:txbxContent>
                <w:p w14:paraId="2A90C7AC" w14:textId="77777777" w:rsidR="0004105C" w:rsidRPr="00121F29" w:rsidRDefault="0004105C" w:rsidP="00023A39">
                  <w:pPr>
                    <w:jc w:val="center"/>
                    <w:rPr>
                      <w:rFonts w:ascii="Times New Roman" w:hAnsi="Times New Roman"/>
                      <w:color w:val="000000"/>
                      <w:sz w:val="24"/>
                      <w:szCs w:val="24"/>
                    </w:rPr>
                  </w:pPr>
                  <w:r w:rsidRPr="00121F29">
                    <w:rPr>
                      <w:rFonts w:ascii="Times New Roman" w:hAnsi="Times New Roman"/>
                      <w:color w:val="000000"/>
                      <w:sz w:val="24"/>
                      <w:szCs w:val="24"/>
                    </w:rPr>
                    <w:t xml:space="preserve"> a</w:t>
                  </w:r>
                </w:p>
              </w:txbxContent>
            </v:textbox>
          </v:shape>
        </w:pict>
      </w:r>
    </w:p>
    <w:p w14:paraId="5CB1EF6E" w14:textId="77777777" w:rsidR="006D7365" w:rsidRDefault="006D7365" w:rsidP="0063703D">
      <w:pPr>
        <w:pStyle w:val="Body"/>
        <w:spacing w:after="0"/>
        <w:rPr>
          <w:rFonts w:ascii="Arial" w:hAnsi="Arial" w:cs="Arial"/>
          <w:b/>
          <w:iCs/>
        </w:rPr>
      </w:pPr>
    </w:p>
    <w:p w14:paraId="45BB9098" w14:textId="77777777" w:rsidR="006D7365" w:rsidRDefault="006D7365" w:rsidP="0063703D">
      <w:pPr>
        <w:pStyle w:val="Body"/>
        <w:spacing w:after="0"/>
        <w:rPr>
          <w:rFonts w:ascii="Arial" w:hAnsi="Arial" w:cs="Arial"/>
          <w:b/>
          <w:iCs/>
        </w:rPr>
      </w:pPr>
    </w:p>
    <w:p w14:paraId="68BFF209" w14:textId="77777777" w:rsidR="006D7365" w:rsidRDefault="006D7365" w:rsidP="0063703D">
      <w:pPr>
        <w:pStyle w:val="Body"/>
        <w:spacing w:after="0"/>
        <w:rPr>
          <w:rFonts w:ascii="Arial" w:hAnsi="Arial" w:cs="Arial"/>
          <w:b/>
          <w:iCs/>
        </w:rPr>
      </w:pPr>
    </w:p>
    <w:p w14:paraId="103869AC" w14:textId="77777777" w:rsidR="006D7365" w:rsidRDefault="006D7365" w:rsidP="0063703D">
      <w:pPr>
        <w:pStyle w:val="Body"/>
        <w:spacing w:after="0"/>
        <w:rPr>
          <w:rFonts w:ascii="Arial" w:hAnsi="Arial" w:cs="Arial"/>
          <w:b/>
          <w:iCs/>
        </w:rPr>
      </w:pPr>
    </w:p>
    <w:p w14:paraId="638B33F2" w14:textId="26B5317E" w:rsidR="0063703D" w:rsidRPr="0063703D" w:rsidRDefault="0063703D" w:rsidP="0063703D">
      <w:pPr>
        <w:pStyle w:val="Body"/>
        <w:spacing w:after="0"/>
        <w:rPr>
          <w:rFonts w:ascii="Arial" w:hAnsi="Arial" w:cs="Arial"/>
          <w:b/>
          <w:iCs/>
        </w:rPr>
      </w:pPr>
      <w:r>
        <w:rPr>
          <w:rFonts w:ascii="Arial" w:hAnsi="Arial" w:cs="Arial"/>
          <w:b/>
          <w:iCs/>
        </w:rPr>
        <w:t>Fig.</w:t>
      </w:r>
      <w:r w:rsidRPr="0063703D">
        <w:rPr>
          <w:rFonts w:ascii="Arial" w:hAnsi="Arial" w:cs="Arial"/>
          <w:b/>
          <w:iCs/>
        </w:rPr>
        <w:t xml:space="preserve"> </w:t>
      </w:r>
      <w:r w:rsidRPr="0063703D">
        <w:rPr>
          <w:rFonts w:ascii="Arial" w:hAnsi="Arial" w:cs="Arial"/>
          <w:b/>
          <w:iCs/>
          <w:lang w:val="fr-FR"/>
        </w:rPr>
        <w:fldChar w:fldCharType="begin"/>
      </w:r>
      <w:r w:rsidRPr="0063703D">
        <w:rPr>
          <w:rFonts w:ascii="Arial" w:hAnsi="Arial" w:cs="Arial"/>
          <w:b/>
          <w:iCs/>
        </w:rPr>
        <w:instrText xml:space="preserve"> SEQ Figure \* ARABIC </w:instrText>
      </w:r>
      <w:r w:rsidRPr="0063703D">
        <w:rPr>
          <w:rFonts w:ascii="Arial" w:hAnsi="Arial" w:cs="Arial"/>
          <w:b/>
          <w:iCs/>
          <w:lang w:val="fr-FR"/>
        </w:rPr>
        <w:fldChar w:fldCharType="separate"/>
      </w:r>
      <w:r w:rsidRPr="0063703D">
        <w:rPr>
          <w:rFonts w:ascii="Arial" w:hAnsi="Arial" w:cs="Arial"/>
          <w:b/>
          <w:iCs/>
        </w:rPr>
        <w:t>4</w:t>
      </w:r>
      <w:r w:rsidRPr="0063703D">
        <w:rPr>
          <w:rFonts w:ascii="Arial" w:hAnsi="Arial" w:cs="Arial"/>
          <w:b/>
        </w:rPr>
        <w:fldChar w:fldCharType="end"/>
      </w:r>
      <w:r>
        <w:rPr>
          <w:rFonts w:ascii="Arial" w:hAnsi="Arial" w:cs="Arial"/>
          <w:b/>
          <w:iCs/>
        </w:rPr>
        <w:t>.</w:t>
      </w:r>
      <w:r w:rsidRPr="0063703D">
        <w:rPr>
          <w:rFonts w:ascii="Arial" w:hAnsi="Arial" w:cs="Arial"/>
          <w:b/>
          <w:iCs/>
        </w:rPr>
        <w:t xml:space="preserve"> Changes in land use/cover units in Gandoule MPA (a) and in Sangomar MPA (b)</w:t>
      </w:r>
    </w:p>
    <w:p w14:paraId="6E54C784" w14:textId="77777777" w:rsidR="00CF53C3" w:rsidRDefault="00CF53C3" w:rsidP="00441B6F">
      <w:pPr>
        <w:pStyle w:val="Body"/>
        <w:spacing w:after="0"/>
        <w:rPr>
          <w:rFonts w:ascii="Arial" w:hAnsi="Arial" w:cs="Arial"/>
        </w:rPr>
      </w:pPr>
    </w:p>
    <w:p w14:paraId="457715C7" w14:textId="77777777" w:rsidR="00981319" w:rsidRPr="0063703D" w:rsidRDefault="0063703D" w:rsidP="0063703D">
      <w:pPr>
        <w:pStyle w:val="Body"/>
        <w:spacing w:after="0"/>
        <w:rPr>
          <w:rFonts w:ascii="Arial" w:hAnsi="Arial" w:cs="Arial"/>
          <w:b/>
        </w:rPr>
      </w:pPr>
      <w:r w:rsidRPr="0063703D">
        <w:rPr>
          <w:rFonts w:ascii="Arial" w:hAnsi="Arial" w:cs="Arial"/>
          <w:b/>
        </w:rPr>
        <w:t xml:space="preserve">3.3 </w:t>
      </w:r>
      <w:r w:rsidR="00981319" w:rsidRPr="0063703D">
        <w:rPr>
          <w:rFonts w:ascii="Arial" w:hAnsi="Arial" w:cs="Arial"/>
          <w:b/>
        </w:rPr>
        <w:t>Local populations' perception of changes in land use</w:t>
      </w:r>
    </w:p>
    <w:p w14:paraId="048B52D5" w14:textId="77777777" w:rsidR="0063703D" w:rsidRPr="0063703D" w:rsidRDefault="0063703D" w:rsidP="0063703D">
      <w:pPr>
        <w:pStyle w:val="Body"/>
        <w:rPr>
          <w:rFonts w:ascii="Arial" w:hAnsi="Arial" w:cs="Arial"/>
        </w:rPr>
      </w:pPr>
      <w:r w:rsidRPr="0063703D">
        <w:rPr>
          <w:rFonts w:ascii="Arial" w:hAnsi="Arial" w:cs="Arial"/>
        </w:rPr>
        <w:t xml:space="preserve">The surveys revealed that mangrove area has overall increased.  71.6% of respondents reported an increase, while 28.5% observed a decrease in mangrove area (Figure 5). </w:t>
      </w:r>
    </w:p>
    <w:p w14:paraId="6FF55931" w14:textId="77777777" w:rsidR="0063703D" w:rsidRPr="0063703D" w:rsidRDefault="0063703D" w:rsidP="0063703D">
      <w:pPr>
        <w:pStyle w:val="Body"/>
        <w:rPr>
          <w:rFonts w:ascii="Arial" w:hAnsi="Arial" w:cs="Arial"/>
        </w:rPr>
      </w:pPr>
      <w:r w:rsidRPr="0063703D">
        <w:rPr>
          <w:rFonts w:ascii="Arial" w:hAnsi="Arial" w:cs="Arial"/>
        </w:rPr>
        <w:lastRenderedPageBreak/>
        <w:t>The factors contributing to mangrove degradation were anthropogenic (exploitation of mangrove resources) and natural (coastal erosion and climate change). The surveys revealed that the main factor contributing to mangrove degradation is the exploitation of mangrove resources (90.1%). The exploitation of mangrove resources in the Saloum Delta mainly involves cutting mangrove wood for smoking, cooking oysters, cooking, and construction. Poor fishing and harvesting practices not only destroy habitats but also degrade mangrove ecosystems. The overexploitation of mangrove resources and the use of certain fishing nets that catch juveniles (purse seines) were cited as the most significant factors causing the degradation and imbalance in mangrove ecosystems, with increasing loss of biodiversity and scarcity of resources. Some fishing nets abandoned at sea, such as monofilament nets, can trap fish but also damage mangrove roots and make them vulnerable. Seawater pollution and poor waste management were also mentioned as a result of human activities in mangrove areas, subsequently harming fish stocks and mangroves. Coastal erosion (38.9%) was one of the main factors cited by local populations contributing to mangrove degradation. In Saloum Delta, islanders were facing to sea encroachment as a result of rising water levels, tidal phenomena, and the breach of the Sangomar spit. This breach has altered the topography with sedimentation downstream of the estuary and the disappearance of the mangrove. Upstream, the submersion of the mangrove is also remarkable. Climate change (7.6%) also contributed to the degradation of mangrove ecosystems. Among the factors caused by climate change, surveys have indicated that low rainfall was responsible for the degradation of the mangrove. The latter has increased the salinity gradient of the water as a result of evaporation processes, which was also raised during the surveys and has consequently caused the mortality of the mangrove (Figure 6).</w:t>
      </w:r>
    </w:p>
    <w:p w14:paraId="326BA643" w14:textId="77777777" w:rsidR="00CF53C3" w:rsidRDefault="0063703D" w:rsidP="00441B6F">
      <w:pPr>
        <w:pStyle w:val="Body"/>
        <w:spacing w:after="0"/>
        <w:rPr>
          <w:rFonts w:ascii="Arial" w:hAnsi="Arial" w:cs="Arial"/>
        </w:rPr>
      </w:pPr>
      <w:r w:rsidRPr="0063703D">
        <w:rPr>
          <w:rFonts w:ascii="Arial" w:hAnsi="Arial" w:cs="Arial"/>
        </w:rPr>
        <w:t>To address these threats, strategies for mangrove conservation, preservation, and restoration were recommended (Figure 7). Among these strategies, reforestation (29.33%) was the most frequently cited by local communities. Local populations have proposed reforestation as a restoration measure with the help of MPA services and civil society (Figure 8). Another strategy for preserving mangrove was to ban the cutting of mangrove wood (22.67%). The involvement of the population in the preservation of mangrove resources through awareness-raising campaigns on their importance (18%) is also mentioned. Bans (16%) on certain monofilament fishing nets and purse seines are also recommended because they do not comply with regulations and do not allow for resource renewal. A six-month biological rest period for night fishing with purse seines is approved by fishermen, even with a total ban on fishing. For shrimp fishing, a biological rest period (8.6%) has been recommended for better management and conservation of fishery resources. Finally, to reduce the threats caused by the exploitation of fishery products, the populations have proposed improving market gardening and poultry farming (6%).</w:t>
      </w:r>
    </w:p>
    <w:p w14:paraId="66D61CBF" w14:textId="77777777" w:rsidR="00CF53C3" w:rsidRDefault="00CF53C3" w:rsidP="00441B6F">
      <w:pPr>
        <w:pStyle w:val="Body"/>
        <w:spacing w:after="0"/>
        <w:rPr>
          <w:rFonts w:ascii="Arial" w:hAnsi="Arial" w:cs="Arial"/>
        </w:rPr>
      </w:pPr>
    </w:p>
    <w:p w14:paraId="3F19C55F" w14:textId="77777777" w:rsidR="00CF53C3" w:rsidRDefault="00C35F2C" w:rsidP="00441B6F">
      <w:pPr>
        <w:pStyle w:val="Body"/>
        <w:spacing w:after="0"/>
        <w:rPr>
          <w:rFonts w:ascii="Arial" w:hAnsi="Arial" w:cs="Arial"/>
        </w:rPr>
      </w:pPr>
      <w:r w:rsidRPr="00C35F2C">
        <w:rPr>
          <w:rFonts w:ascii="Times New Roman" w:eastAsia="Calibri" w:hAnsi="Times New Roman"/>
          <w:noProof/>
          <w:sz w:val="24"/>
          <w:szCs w:val="24"/>
          <w:lang w:val="fr-FR" w:eastAsia="fr-FR"/>
        </w:rPr>
        <w:lastRenderedPageBreak/>
        <w:drawing>
          <wp:inline distT="0" distB="0" distL="0" distR="0" wp14:anchorId="0924193A" wp14:editId="48E88276">
            <wp:extent cx="5204460" cy="3138051"/>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plotANG.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4073" cy="3143847"/>
                    </a:xfrm>
                    <a:prstGeom prst="rect">
                      <a:avLst/>
                    </a:prstGeom>
                  </pic:spPr>
                </pic:pic>
              </a:graphicData>
            </a:graphic>
          </wp:inline>
        </w:drawing>
      </w:r>
    </w:p>
    <w:p w14:paraId="5AB59C43" w14:textId="77777777" w:rsidR="00C35F2C" w:rsidRPr="00C35F2C" w:rsidRDefault="00C35F2C" w:rsidP="00C35F2C">
      <w:pPr>
        <w:pStyle w:val="Caption"/>
        <w:jc w:val="both"/>
        <w:rPr>
          <w:rFonts w:ascii="Arial" w:hAnsi="Arial" w:cs="Arial"/>
          <w:b/>
          <w:i w:val="0"/>
          <w:color w:val="auto"/>
          <w:sz w:val="20"/>
          <w:szCs w:val="20"/>
          <w:lang w:val="en-US"/>
        </w:rPr>
      </w:pPr>
      <w:r>
        <w:rPr>
          <w:rFonts w:ascii="Arial" w:hAnsi="Arial" w:cs="Arial"/>
          <w:b/>
          <w:i w:val="0"/>
          <w:color w:val="auto"/>
          <w:sz w:val="20"/>
          <w:szCs w:val="20"/>
          <w:lang w:val="en-US"/>
        </w:rPr>
        <w:t>Fig.</w:t>
      </w:r>
      <w:r w:rsidRPr="00C35F2C">
        <w:rPr>
          <w:rFonts w:ascii="Arial" w:hAnsi="Arial" w:cs="Arial"/>
          <w:b/>
          <w:i w:val="0"/>
          <w:color w:val="auto"/>
          <w:sz w:val="20"/>
          <w:szCs w:val="20"/>
          <w:lang w:val="en-US"/>
        </w:rPr>
        <w:t xml:space="preserve"> </w:t>
      </w:r>
      <w:r w:rsidRPr="00C35F2C">
        <w:rPr>
          <w:rFonts w:ascii="Arial" w:hAnsi="Arial" w:cs="Arial"/>
          <w:b/>
          <w:i w:val="0"/>
          <w:color w:val="auto"/>
          <w:sz w:val="20"/>
          <w:szCs w:val="20"/>
        </w:rPr>
        <w:fldChar w:fldCharType="begin"/>
      </w:r>
      <w:r w:rsidRPr="00C35F2C">
        <w:rPr>
          <w:rFonts w:ascii="Arial" w:hAnsi="Arial" w:cs="Arial"/>
          <w:b/>
          <w:i w:val="0"/>
          <w:color w:val="auto"/>
          <w:sz w:val="20"/>
          <w:szCs w:val="20"/>
          <w:lang w:val="en-US"/>
        </w:rPr>
        <w:instrText xml:space="preserve"> SEQ Figure \* ARABIC </w:instrText>
      </w:r>
      <w:r w:rsidRPr="00C35F2C">
        <w:rPr>
          <w:rFonts w:ascii="Arial" w:hAnsi="Arial" w:cs="Arial"/>
          <w:b/>
          <w:i w:val="0"/>
          <w:color w:val="auto"/>
          <w:sz w:val="20"/>
          <w:szCs w:val="20"/>
        </w:rPr>
        <w:fldChar w:fldCharType="separate"/>
      </w:r>
      <w:r w:rsidRPr="00C35F2C">
        <w:rPr>
          <w:rFonts w:ascii="Arial" w:hAnsi="Arial" w:cs="Arial"/>
          <w:b/>
          <w:i w:val="0"/>
          <w:noProof/>
          <w:color w:val="auto"/>
          <w:sz w:val="20"/>
          <w:szCs w:val="20"/>
          <w:lang w:val="en-US"/>
        </w:rPr>
        <w:t>5</w:t>
      </w:r>
      <w:r w:rsidRPr="00C35F2C">
        <w:rPr>
          <w:rFonts w:ascii="Arial" w:hAnsi="Arial" w:cs="Arial"/>
          <w:b/>
          <w:i w:val="0"/>
          <w:color w:val="auto"/>
          <w:sz w:val="20"/>
          <w:szCs w:val="20"/>
        </w:rPr>
        <w:fldChar w:fldCharType="end"/>
      </w:r>
      <w:r>
        <w:rPr>
          <w:rFonts w:ascii="Arial" w:hAnsi="Arial" w:cs="Arial"/>
          <w:b/>
          <w:i w:val="0"/>
          <w:color w:val="auto"/>
          <w:sz w:val="20"/>
          <w:szCs w:val="20"/>
          <w:lang w:val="en-US"/>
        </w:rPr>
        <w:t>.</w:t>
      </w:r>
      <w:r w:rsidRPr="00C35F2C">
        <w:rPr>
          <w:rFonts w:ascii="Arial" w:hAnsi="Arial" w:cs="Arial"/>
          <w:b/>
          <w:i w:val="0"/>
          <w:color w:val="auto"/>
          <w:sz w:val="20"/>
          <w:szCs w:val="20"/>
          <w:lang w:val="en-US"/>
        </w:rPr>
        <w:t xml:space="preserve"> M</w:t>
      </w:r>
      <w:r>
        <w:rPr>
          <w:rFonts w:ascii="Arial" w:hAnsi="Arial" w:cs="Arial"/>
          <w:b/>
          <w:i w:val="0"/>
          <w:color w:val="auto"/>
          <w:sz w:val="20"/>
          <w:szCs w:val="20"/>
          <w:lang w:val="en-US"/>
        </w:rPr>
        <w:t xml:space="preserve">angrove evolution according to </w:t>
      </w:r>
      <w:r w:rsidRPr="00C35F2C">
        <w:rPr>
          <w:rFonts w:ascii="Arial" w:hAnsi="Arial" w:cs="Arial"/>
          <w:b/>
          <w:i w:val="0"/>
          <w:color w:val="auto"/>
          <w:sz w:val="20"/>
          <w:szCs w:val="20"/>
          <w:lang w:val="en-US"/>
        </w:rPr>
        <w:t>population perceptions</w:t>
      </w:r>
    </w:p>
    <w:p w14:paraId="04388C83" w14:textId="77777777" w:rsidR="00C35F2C" w:rsidRDefault="00C35F2C" w:rsidP="00441B6F">
      <w:pPr>
        <w:pStyle w:val="Body"/>
        <w:spacing w:after="0"/>
        <w:rPr>
          <w:rFonts w:ascii="Arial" w:hAnsi="Arial" w:cs="Arial"/>
        </w:rPr>
      </w:pPr>
      <w:r>
        <w:rPr>
          <w:noProof/>
          <w:lang w:val="fr-FR" w:eastAsia="fr-FR"/>
        </w:rPr>
        <w:lastRenderedPageBreak/>
        <w:drawing>
          <wp:inline distT="0" distB="0" distL="0" distR="0" wp14:anchorId="0B518BB1" wp14:editId="1F230CF1">
            <wp:extent cx="5212080" cy="314172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plot01ANG.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2080" cy="3141726"/>
                    </a:xfrm>
                    <a:prstGeom prst="rect">
                      <a:avLst/>
                    </a:prstGeom>
                  </pic:spPr>
                </pic:pic>
              </a:graphicData>
            </a:graphic>
          </wp:inline>
        </w:drawing>
      </w:r>
    </w:p>
    <w:p w14:paraId="08732CB9" w14:textId="77777777" w:rsidR="00C35F2C" w:rsidRPr="00C35F2C" w:rsidRDefault="00C35F2C" w:rsidP="00C35F2C">
      <w:pPr>
        <w:pStyle w:val="Caption"/>
        <w:jc w:val="both"/>
        <w:rPr>
          <w:rFonts w:ascii="Arial" w:hAnsi="Arial" w:cs="Arial"/>
          <w:b/>
          <w:i w:val="0"/>
          <w:color w:val="auto"/>
          <w:sz w:val="20"/>
          <w:szCs w:val="20"/>
          <w:lang w:val="en-US"/>
        </w:rPr>
      </w:pPr>
      <w:r>
        <w:rPr>
          <w:rFonts w:ascii="Arial" w:hAnsi="Arial" w:cs="Arial"/>
          <w:b/>
          <w:i w:val="0"/>
          <w:color w:val="auto"/>
          <w:sz w:val="20"/>
          <w:szCs w:val="20"/>
          <w:lang w:val="en-US"/>
        </w:rPr>
        <w:t>Fig.</w:t>
      </w:r>
      <w:r w:rsidRPr="00C35F2C">
        <w:rPr>
          <w:rFonts w:ascii="Arial" w:hAnsi="Arial" w:cs="Arial"/>
          <w:b/>
          <w:i w:val="0"/>
          <w:color w:val="auto"/>
          <w:sz w:val="20"/>
          <w:szCs w:val="20"/>
          <w:lang w:val="en-US"/>
        </w:rPr>
        <w:t xml:space="preserve"> </w:t>
      </w:r>
      <w:r w:rsidRPr="00C35F2C">
        <w:rPr>
          <w:rFonts w:ascii="Arial" w:hAnsi="Arial" w:cs="Arial"/>
          <w:b/>
          <w:i w:val="0"/>
          <w:color w:val="auto"/>
          <w:sz w:val="20"/>
          <w:szCs w:val="20"/>
        </w:rPr>
        <w:fldChar w:fldCharType="begin"/>
      </w:r>
      <w:r w:rsidRPr="00C35F2C">
        <w:rPr>
          <w:rFonts w:ascii="Arial" w:hAnsi="Arial" w:cs="Arial"/>
          <w:b/>
          <w:i w:val="0"/>
          <w:color w:val="auto"/>
          <w:sz w:val="20"/>
          <w:szCs w:val="20"/>
          <w:lang w:val="en-US"/>
        </w:rPr>
        <w:instrText xml:space="preserve"> SEQ Figure \* ARABIC </w:instrText>
      </w:r>
      <w:r w:rsidRPr="00C35F2C">
        <w:rPr>
          <w:rFonts w:ascii="Arial" w:hAnsi="Arial" w:cs="Arial"/>
          <w:b/>
          <w:i w:val="0"/>
          <w:color w:val="auto"/>
          <w:sz w:val="20"/>
          <w:szCs w:val="20"/>
        </w:rPr>
        <w:fldChar w:fldCharType="separate"/>
      </w:r>
      <w:r w:rsidRPr="00C35F2C">
        <w:rPr>
          <w:rFonts w:ascii="Arial" w:hAnsi="Arial" w:cs="Arial"/>
          <w:b/>
          <w:i w:val="0"/>
          <w:noProof/>
          <w:color w:val="auto"/>
          <w:sz w:val="20"/>
          <w:szCs w:val="20"/>
          <w:lang w:val="en-US"/>
        </w:rPr>
        <w:t>6</w:t>
      </w:r>
      <w:r w:rsidRPr="00C35F2C">
        <w:rPr>
          <w:rFonts w:ascii="Arial" w:hAnsi="Arial" w:cs="Arial"/>
          <w:b/>
          <w:i w:val="0"/>
          <w:color w:val="auto"/>
          <w:sz w:val="20"/>
          <w:szCs w:val="20"/>
        </w:rPr>
        <w:fldChar w:fldCharType="end"/>
      </w:r>
      <w:r>
        <w:rPr>
          <w:rFonts w:ascii="Arial" w:hAnsi="Arial" w:cs="Arial"/>
          <w:b/>
          <w:i w:val="0"/>
          <w:color w:val="auto"/>
          <w:sz w:val="20"/>
          <w:szCs w:val="20"/>
          <w:lang w:val="en-US"/>
        </w:rPr>
        <w:t>.</w:t>
      </w:r>
      <w:r w:rsidRPr="00C35F2C">
        <w:rPr>
          <w:rFonts w:ascii="Arial" w:hAnsi="Arial" w:cs="Arial"/>
          <w:b/>
          <w:i w:val="0"/>
          <w:color w:val="auto"/>
          <w:sz w:val="20"/>
          <w:szCs w:val="20"/>
          <w:lang w:val="en-US"/>
        </w:rPr>
        <w:t xml:space="preserve"> The main factors contributing to the degradation of the mangrove ecosystem in the Saloum Delta</w:t>
      </w:r>
    </w:p>
    <w:p w14:paraId="45877259" w14:textId="77777777" w:rsidR="00C35F2C" w:rsidRDefault="00C35F2C" w:rsidP="00441B6F">
      <w:pPr>
        <w:pStyle w:val="Body"/>
        <w:spacing w:after="0"/>
        <w:rPr>
          <w:rFonts w:ascii="Arial" w:hAnsi="Arial" w:cs="Arial"/>
        </w:rPr>
      </w:pPr>
    </w:p>
    <w:p w14:paraId="783AA28F" w14:textId="77777777" w:rsidR="00CF53C3" w:rsidRDefault="00C35F2C" w:rsidP="00441B6F">
      <w:pPr>
        <w:pStyle w:val="Body"/>
        <w:spacing w:after="0"/>
        <w:rPr>
          <w:rFonts w:ascii="Arial" w:hAnsi="Arial" w:cs="Arial"/>
        </w:rPr>
      </w:pPr>
      <w:r w:rsidRPr="00C35F2C">
        <w:rPr>
          <w:rFonts w:ascii="Calibri" w:eastAsia="Calibri" w:hAnsi="Calibri"/>
          <w:noProof/>
          <w:sz w:val="22"/>
          <w:szCs w:val="22"/>
          <w:lang w:val="fr-FR" w:eastAsia="fr-FR"/>
        </w:rPr>
        <w:lastRenderedPageBreak/>
        <w:drawing>
          <wp:inline distT="0" distB="0" distL="0" distR="0" wp14:anchorId="29A24078" wp14:editId="18696A63">
            <wp:extent cx="5212080" cy="402031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lot14 Ang.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2080" cy="4020316"/>
                    </a:xfrm>
                    <a:prstGeom prst="rect">
                      <a:avLst/>
                    </a:prstGeom>
                  </pic:spPr>
                </pic:pic>
              </a:graphicData>
            </a:graphic>
          </wp:inline>
        </w:drawing>
      </w:r>
    </w:p>
    <w:p w14:paraId="7C7B4D2B" w14:textId="77777777" w:rsidR="00C35F2C" w:rsidRPr="00C35F2C" w:rsidRDefault="00C35F2C" w:rsidP="00C35F2C">
      <w:pPr>
        <w:pStyle w:val="Body"/>
        <w:spacing w:after="0"/>
        <w:rPr>
          <w:rFonts w:ascii="Arial" w:hAnsi="Arial" w:cs="Arial"/>
          <w:b/>
          <w:iCs/>
        </w:rPr>
      </w:pPr>
      <w:r>
        <w:rPr>
          <w:rFonts w:ascii="Arial" w:hAnsi="Arial" w:cs="Arial"/>
          <w:b/>
          <w:iCs/>
        </w:rPr>
        <w:t>Fig.</w:t>
      </w:r>
      <w:r w:rsidRPr="00C35F2C">
        <w:rPr>
          <w:rFonts w:ascii="Arial" w:hAnsi="Arial" w:cs="Arial"/>
          <w:b/>
          <w:iCs/>
        </w:rPr>
        <w:t xml:space="preserve"> </w:t>
      </w:r>
      <w:r w:rsidRPr="00C35F2C">
        <w:rPr>
          <w:rFonts w:ascii="Arial" w:hAnsi="Arial" w:cs="Arial"/>
          <w:b/>
          <w:iCs/>
          <w:lang w:val="fr-FR"/>
        </w:rPr>
        <w:fldChar w:fldCharType="begin"/>
      </w:r>
      <w:r w:rsidRPr="00C35F2C">
        <w:rPr>
          <w:rFonts w:ascii="Arial" w:hAnsi="Arial" w:cs="Arial"/>
          <w:b/>
          <w:iCs/>
        </w:rPr>
        <w:instrText xml:space="preserve"> SEQ Figure \* ARABIC </w:instrText>
      </w:r>
      <w:r w:rsidRPr="00C35F2C">
        <w:rPr>
          <w:rFonts w:ascii="Arial" w:hAnsi="Arial" w:cs="Arial"/>
          <w:b/>
          <w:iCs/>
          <w:lang w:val="fr-FR"/>
        </w:rPr>
        <w:fldChar w:fldCharType="separate"/>
      </w:r>
      <w:r w:rsidRPr="00C35F2C">
        <w:rPr>
          <w:rFonts w:ascii="Arial" w:hAnsi="Arial" w:cs="Arial"/>
          <w:b/>
          <w:iCs/>
        </w:rPr>
        <w:t>7</w:t>
      </w:r>
      <w:r w:rsidRPr="00C35F2C">
        <w:rPr>
          <w:rFonts w:ascii="Arial" w:hAnsi="Arial" w:cs="Arial"/>
          <w:b/>
        </w:rPr>
        <w:fldChar w:fldCharType="end"/>
      </w:r>
      <w:r>
        <w:rPr>
          <w:rFonts w:ascii="Arial" w:hAnsi="Arial" w:cs="Arial"/>
          <w:b/>
          <w:iCs/>
        </w:rPr>
        <w:t>.</w:t>
      </w:r>
      <w:r w:rsidRPr="00C35F2C">
        <w:rPr>
          <w:rFonts w:ascii="Arial" w:hAnsi="Arial" w:cs="Arial"/>
          <w:b/>
          <w:iCs/>
        </w:rPr>
        <w:t xml:space="preserve"> Strategies for the conservation, preservation, and restoration of mangroves</w:t>
      </w:r>
    </w:p>
    <w:p w14:paraId="214C6954" w14:textId="77777777" w:rsidR="00C35F2C" w:rsidRDefault="00C35F2C" w:rsidP="00441B6F">
      <w:pPr>
        <w:pStyle w:val="Body"/>
        <w:spacing w:after="0"/>
        <w:rPr>
          <w:rFonts w:ascii="Arial" w:hAnsi="Arial" w:cs="Arial"/>
        </w:rPr>
      </w:pPr>
    </w:p>
    <w:p w14:paraId="0B7174FD" w14:textId="77777777" w:rsidR="00CF53C3" w:rsidRDefault="00C35F2C" w:rsidP="00C35F2C">
      <w:pPr>
        <w:pStyle w:val="Body"/>
        <w:spacing w:after="0"/>
        <w:jc w:val="center"/>
        <w:rPr>
          <w:rFonts w:ascii="Arial" w:hAnsi="Arial" w:cs="Arial"/>
        </w:rPr>
      </w:pPr>
      <w:r w:rsidRPr="00C35F2C">
        <w:rPr>
          <w:rFonts w:ascii="Times New Roman" w:hAnsi="Times New Roman"/>
          <w:b/>
          <w:bCs/>
          <w:noProof/>
          <w:kern w:val="36"/>
          <w:sz w:val="24"/>
          <w:szCs w:val="24"/>
          <w:lang w:val="fr-FR" w:eastAsia="fr-FR"/>
        </w:rPr>
        <w:lastRenderedPageBreak/>
        <w:drawing>
          <wp:inline distT="0" distB="0" distL="0" distR="0" wp14:anchorId="62AE13CD" wp14:editId="4B3A800E">
            <wp:extent cx="2282444" cy="1988820"/>
            <wp:effectExtent l="0" t="0" r="3810" b="0"/>
            <wp:docPr id="21" name="Image 21" descr="Une image contenant plein air, ciel, eau,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plein air, ciel, eau, sol&#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8361" cy="2020116"/>
                    </a:xfrm>
                    <a:prstGeom prst="rect">
                      <a:avLst/>
                    </a:prstGeom>
                  </pic:spPr>
                </pic:pic>
              </a:graphicData>
            </a:graphic>
          </wp:inline>
        </w:drawing>
      </w:r>
    </w:p>
    <w:p w14:paraId="1AA1CD9A" w14:textId="77777777" w:rsidR="00C35F2C" w:rsidRDefault="00C35F2C" w:rsidP="00C35F2C">
      <w:pPr>
        <w:pStyle w:val="Body"/>
        <w:spacing w:after="0"/>
        <w:jc w:val="center"/>
        <w:rPr>
          <w:rFonts w:ascii="Arial" w:hAnsi="Arial" w:cs="Arial"/>
        </w:rPr>
      </w:pPr>
    </w:p>
    <w:p w14:paraId="4C594F8E" w14:textId="77777777" w:rsidR="00C35F2C" w:rsidRDefault="00C35F2C" w:rsidP="00C35F2C">
      <w:pPr>
        <w:pStyle w:val="Caption"/>
        <w:jc w:val="both"/>
        <w:rPr>
          <w:rFonts w:ascii="Arial" w:hAnsi="Arial" w:cs="Arial"/>
          <w:b/>
          <w:i w:val="0"/>
          <w:color w:val="auto"/>
          <w:sz w:val="20"/>
          <w:szCs w:val="20"/>
          <w:lang w:val="en-US"/>
        </w:rPr>
      </w:pPr>
      <w:r w:rsidRPr="00C35F2C">
        <w:rPr>
          <w:rFonts w:ascii="Arial" w:hAnsi="Arial" w:cs="Arial"/>
          <w:b/>
          <w:i w:val="0"/>
          <w:color w:val="auto"/>
          <w:sz w:val="20"/>
          <w:szCs w:val="20"/>
          <w:lang w:val="en-US"/>
        </w:rPr>
        <w:t xml:space="preserve">Figure </w:t>
      </w:r>
      <w:r w:rsidRPr="00C35F2C">
        <w:rPr>
          <w:rFonts w:ascii="Arial" w:hAnsi="Arial" w:cs="Arial"/>
          <w:b/>
          <w:i w:val="0"/>
          <w:color w:val="auto"/>
          <w:sz w:val="20"/>
          <w:szCs w:val="20"/>
        </w:rPr>
        <w:fldChar w:fldCharType="begin"/>
      </w:r>
      <w:r w:rsidRPr="00C35F2C">
        <w:rPr>
          <w:rFonts w:ascii="Arial" w:hAnsi="Arial" w:cs="Arial"/>
          <w:b/>
          <w:i w:val="0"/>
          <w:color w:val="auto"/>
          <w:sz w:val="20"/>
          <w:szCs w:val="20"/>
          <w:lang w:val="en-US"/>
        </w:rPr>
        <w:instrText xml:space="preserve"> SEQ Figure \* ARABIC </w:instrText>
      </w:r>
      <w:r w:rsidRPr="00C35F2C">
        <w:rPr>
          <w:rFonts w:ascii="Arial" w:hAnsi="Arial" w:cs="Arial"/>
          <w:b/>
          <w:i w:val="0"/>
          <w:color w:val="auto"/>
          <w:sz w:val="20"/>
          <w:szCs w:val="20"/>
        </w:rPr>
        <w:fldChar w:fldCharType="separate"/>
      </w:r>
      <w:r w:rsidRPr="00C35F2C">
        <w:rPr>
          <w:rFonts w:ascii="Arial" w:hAnsi="Arial" w:cs="Arial"/>
          <w:b/>
          <w:i w:val="0"/>
          <w:noProof/>
          <w:color w:val="auto"/>
          <w:sz w:val="20"/>
          <w:szCs w:val="20"/>
          <w:lang w:val="en-US"/>
        </w:rPr>
        <w:t>8</w:t>
      </w:r>
      <w:r w:rsidRPr="00C35F2C">
        <w:rPr>
          <w:rFonts w:ascii="Arial" w:hAnsi="Arial" w:cs="Arial"/>
          <w:b/>
          <w:i w:val="0"/>
          <w:color w:val="auto"/>
          <w:sz w:val="20"/>
          <w:szCs w:val="20"/>
        </w:rPr>
        <w:fldChar w:fldCharType="end"/>
      </w:r>
      <w:r w:rsidRPr="00C35F2C">
        <w:rPr>
          <w:rFonts w:ascii="Arial" w:hAnsi="Arial" w:cs="Arial"/>
          <w:b/>
          <w:i w:val="0"/>
          <w:color w:val="auto"/>
          <w:sz w:val="20"/>
          <w:szCs w:val="20"/>
          <w:lang w:val="en-US"/>
        </w:rPr>
        <w:t> : Reforested mangrove</w:t>
      </w:r>
    </w:p>
    <w:p w14:paraId="194DE6C9" w14:textId="77777777" w:rsidR="00C35F2C" w:rsidRDefault="00C35F2C" w:rsidP="00C35F2C"/>
    <w:p w14:paraId="5C9B6B95" w14:textId="77777777" w:rsidR="00C35F2C" w:rsidRDefault="00C35F2C" w:rsidP="00C35F2C"/>
    <w:p w14:paraId="517B26AB" w14:textId="77777777" w:rsidR="00C35F2C" w:rsidRDefault="00C35F2C" w:rsidP="00C35F2C"/>
    <w:p w14:paraId="7C874B67" w14:textId="77777777" w:rsidR="00C35F2C" w:rsidRDefault="00C35F2C" w:rsidP="00C35F2C"/>
    <w:p w14:paraId="6D64B416" w14:textId="77777777" w:rsidR="00C35F2C" w:rsidRDefault="00C35F2C" w:rsidP="00C35F2C"/>
    <w:p w14:paraId="4B5DB1FE" w14:textId="77777777" w:rsidR="00C35F2C" w:rsidRPr="00C35F2C" w:rsidRDefault="00C35F2C" w:rsidP="00C35F2C"/>
    <w:p w14:paraId="64823CCE" w14:textId="77777777" w:rsidR="00C35F2C" w:rsidRDefault="00C35F2C" w:rsidP="00C35F2C">
      <w:pPr>
        <w:pStyle w:val="Body"/>
        <w:spacing w:after="0"/>
        <w:jc w:val="center"/>
        <w:rPr>
          <w:rFonts w:ascii="Arial" w:hAnsi="Arial" w:cs="Arial"/>
        </w:rPr>
      </w:pPr>
    </w:p>
    <w:p w14:paraId="73639B60" w14:textId="77777777" w:rsidR="00C35F2C" w:rsidRPr="00C35F2C" w:rsidRDefault="00C35F2C" w:rsidP="00C35F2C">
      <w:pPr>
        <w:pStyle w:val="Body"/>
        <w:spacing w:after="0"/>
        <w:rPr>
          <w:rFonts w:ascii="Arial" w:hAnsi="Arial" w:cs="Arial"/>
          <w:b/>
          <w:bCs/>
        </w:rPr>
      </w:pPr>
      <w:r w:rsidRPr="00C35F2C">
        <w:rPr>
          <w:rFonts w:ascii="Arial" w:hAnsi="Arial" w:cs="Arial"/>
          <w:b/>
          <w:bCs/>
        </w:rPr>
        <w:t xml:space="preserve">                      (a)                                                              </w:t>
      </w:r>
      <w:r>
        <w:rPr>
          <w:rFonts w:ascii="Arial" w:hAnsi="Arial" w:cs="Arial"/>
          <w:b/>
          <w:bCs/>
        </w:rPr>
        <w:t xml:space="preserve"> </w:t>
      </w:r>
      <w:proofErr w:type="gramStart"/>
      <w:r>
        <w:rPr>
          <w:rFonts w:ascii="Arial" w:hAnsi="Arial" w:cs="Arial"/>
          <w:b/>
          <w:bCs/>
        </w:rPr>
        <w:t xml:space="preserve">   </w:t>
      </w:r>
      <w:r w:rsidRPr="00C35F2C">
        <w:rPr>
          <w:rFonts w:ascii="Arial" w:hAnsi="Arial" w:cs="Arial"/>
          <w:b/>
          <w:bCs/>
        </w:rPr>
        <w:t>(</w:t>
      </w:r>
      <w:proofErr w:type="gramEnd"/>
      <w:r w:rsidRPr="00C35F2C">
        <w:rPr>
          <w:rFonts w:ascii="Arial" w:hAnsi="Arial" w:cs="Arial"/>
          <w:b/>
          <w:bCs/>
        </w:rPr>
        <w:t>b)</w:t>
      </w:r>
    </w:p>
    <w:p w14:paraId="4F4CAB55" w14:textId="77777777" w:rsidR="00C35F2C" w:rsidRPr="00C35F2C" w:rsidRDefault="00C35F2C" w:rsidP="00C35F2C">
      <w:pPr>
        <w:pStyle w:val="Body"/>
        <w:spacing w:after="0"/>
        <w:rPr>
          <w:rFonts w:ascii="Arial" w:hAnsi="Arial" w:cs="Arial"/>
          <w:b/>
          <w:bCs/>
          <w:lang w:val="fr-FR"/>
        </w:rPr>
      </w:pPr>
      <w:r w:rsidRPr="00C35F2C">
        <w:rPr>
          <w:rFonts w:ascii="Arial" w:hAnsi="Arial" w:cs="Arial"/>
          <w:b/>
          <w:bCs/>
          <w:noProof/>
          <w:lang w:val="fr-FR" w:eastAsia="fr-FR"/>
        </w:rPr>
        <w:drawing>
          <wp:inline distT="0" distB="0" distL="0" distR="0" wp14:anchorId="24F85CEA" wp14:editId="67114EAD">
            <wp:extent cx="2382982" cy="1787237"/>
            <wp:effectExtent l="0" t="0" r="0" b="0"/>
            <wp:docPr id="13" name="Image 13" descr="Une image contenant plein air, ciel, sol, na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lein air, ciel, sol, nature&#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5759" cy="1789319"/>
                    </a:xfrm>
                    <a:prstGeom prst="rect">
                      <a:avLst/>
                    </a:prstGeom>
                  </pic:spPr>
                </pic:pic>
              </a:graphicData>
            </a:graphic>
          </wp:inline>
        </w:drawing>
      </w:r>
      <w:r w:rsidRPr="00C35F2C">
        <w:rPr>
          <w:rFonts w:ascii="Arial" w:hAnsi="Arial" w:cs="Arial"/>
          <w:b/>
          <w:bCs/>
          <w:noProof/>
          <w:lang w:val="fr-FR" w:eastAsia="fr-FR"/>
        </w:rPr>
        <w:drawing>
          <wp:inline distT="0" distB="0" distL="0" distR="0" wp14:anchorId="1E04429A" wp14:editId="6F57DA95">
            <wp:extent cx="2348346" cy="1759187"/>
            <wp:effectExtent l="0" t="0" r="0" b="0"/>
            <wp:docPr id="22" name="Image 22" descr="Une image contenant plein air, ciel, arbre,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lein air, ciel, arbre, eau&#10;&#10;Le contenu généré par l’IA peut êtr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1582" cy="1776593"/>
                    </a:xfrm>
                    <a:prstGeom prst="rect">
                      <a:avLst/>
                    </a:prstGeom>
                  </pic:spPr>
                </pic:pic>
              </a:graphicData>
            </a:graphic>
          </wp:inline>
        </w:drawing>
      </w:r>
    </w:p>
    <w:p w14:paraId="4B55C6A7" w14:textId="77777777" w:rsidR="00CF53C3" w:rsidRDefault="00CF53C3" w:rsidP="00441B6F">
      <w:pPr>
        <w:pStyle w:val="Body"/>
        <w:spacing w:after="0"/>
        <w:rPr>
          <w:rFonts w:ascii="Arial" w:hAnsi="Arial" w:cs="Arial"/>
        </w:rPr>
      </w:pPr>
    </w:p>
    <w:p w14:paraId="34B2C84A" w14:textId="77777777" w:rsidR="00C35F2C" w:rsidRPr="00C35F2C" w:rsidRDefault="00C35F2C" w:rsidP="00C35F2C">
      <w:pPr>
        <w:pStyle w:val="Body"/>
        <w:spacing w:after="0"/>
        <w:jc w:val="left"/>
        <w:rPr>
          <w:rFonts w:ascii="Arial" w:hAnsi="Arial" w:cs="Arial"/>
          <w:b/>
          <w:iCs/>
        </w:rPr>
      </w:pPr>
      <w:r>
        <w:rPr>
          <w:rFonts w:ascii="Arial" w:hAnsi="Arial" w:cs="Arial"/>
          <w:b/>
          <w:iCs/>
        </w:rPr>
        <w:t>Fig.</w:t>
      </w:r>
      <w:r w:rsidRPr="00C35F2C">
        <w:rPr>
          <w:rFonts w:ascii="Arial" w:hAnsi="Arial" w:cs="Arial"/>
          <w:b/>
          <w:iCs/>
        </w:rPr>
        <w:t xml:space="preserve"> </w:t>
      </w:r>
      <w:r w:rsidRPr="00C35F2C">
        <w:rPr>
          <w:rFonts w:ascii="Arial" w:hAnsi="Arial" w:cs="Arial"/>
          <w:b/>
          <w:iCs/>
          <w:lang w:val="fr-FR"/>
        </w:rPr>
        <w:fldChar w:fldCharType="begin"/>
      </w:r>
      <w:r w:rsidRPr="00C35F2C">
        <w:rPr>
          <w:rFonts w:ascii="Arial" w:hAnsi="Arial" w:cs="Arial"/>
          <w:b/>
          <w:iCs/>
        </w:rPr>
        <w:instrText xml:space="preserve"> SEQ Figure \* ARABIC </w:instrText>
      </w:r>
      <w:r w:rsidRPr="00C35F2C">
        <w:rPr>
          <w:rFonts w:ascii="Arial" w:hAnsi="Arial" w:cs="Arial"/>
          <w:b/>
          <w:iCs/>
          <w:lang w:val="fr-FR"/>
        </w:rPr>
        <w:fldChar w:fldCharType="separate"/>
      </w:r>
      <w:r w:rsidRPr="00C35F2C">
        <w:rPr>
          <w:rFonts w:ascii="Arial" w:hAnsi="Arial" w:cs="Arial"/>
          <w:b/>
          <w:iCs/>
        </w:rPr>
        <w:t>9</w:t>
      </w:r>
      <w:r w:rsidRPr="00C35F2C">
        <w:rPr>
          <w:rFonts w:ascii="Arial" w:hAnsi="Arial" w:cs="Arial"/>
          <w:b/>
        </w:rPr>
        <w:fldChar w:fldCharType="end"/>
      </w:r>
      <w:r>
        <w:rPr>
          <w:rFonts w:ascii="Arial" w:hAnsi="Arial" w:cs="Arial"/>
          <w:b/>
          <w:iCs/>
        </w:rPr>
        <w:t>.</w:t>
      </w:r>
      <w:r w:rsidRPr="00C35F2C">
        <w:rPr>
          <w:rFonts w:ascii="Arial" w:hAnsi="Arial" w:cs="Arial"/>
          <w:b/>
          <w:iCs/>
        </w:rPr>
        <w:t xml:space="preserve"> Images of mangrove ecosystem degradation: coastal erosion (a) and drying up of mudflats (b)</w:t>
      </w:r>
    </w:p>
    <w:p w14:paraId="49BA8DA2" w14:textId="77777777" w:rsidR="00CF53C3" w:rsidRDefault="00CF53C3" w:rsidP="00441B6F">
      <w:pPr>
        <w:pStyle w:val="Body"/>
        <w:spacing w:after="0"/>
        <w:rPr>
          <w:rFonts w:ascii="Arial" w:hAnsi="Arial" w:cs="Arial"/>
        </w:rPr>
      </w:pPr>
    </w:p>
    <w:p w14:paraId="14D85606" w14:textId="77777777" w:rsidR="00C35F2C" w:rsidRPr="00C35F2C" w:rsidRDefault="00C35F2C" w:rsidP="00C35F2C">
      <w:pPr>
        <w:pStyle w:val="Body"/>
        <w:spacing w:after="0"/>
        <w:rPr>
          <w:rFonts w:ascii="Arial" w:hAnsi="Arial" w:cs="Arial"/>
          <w:b/>
        </w:rPr>
      </w:pPr>
      <w:r w:rsidRPr="00C35F2C">
        <w:rPr>
          <w:rFonts w:ascii="Arial" w:hAnsi="Arial" w:cs="Arial"/>
          <w:b/>
        </w:rPr>
        <w:t>4. Discussion</w:t>
      </w:r>
    </w:p>
    <w:p w14:paraId="4A68D34F" w14:textId="77777777" w:rsidR="00C35F2C" w:rsidRPr="00C35F2C" w:rsidRDefault="00C35F2C" w:rsidP="00C35F2C">
      <w:pPr>
        <w:pStyle w:val="Body"/>
        <w:numPr>
          <w:ilvl w:val="0"/>
          <w:numId w:val="35"/>
        </w:numPr>
        <w:spacing w:after="0"/>
        <w:rPr>
          <w:rFonts w:ascii="Arial" w:hAnsi="Arial" w:cs="Arial"/>
          <w:b/>
        </w:rPr>
      </w:pPr>
      <w:r w:rsidRPr="00C35F2C">
        <w:rPr>
          <w:rFonts w:ascii="Arial" w:hAnsi="Arial" w:cs="Arial"/>
          <w:b/>
        </w:rPr>
        <w:t>Occupancy status and dynamics of the mangrove ecosystem</w:t>
      </w:r>
    </w:p>
    <w:p w14:paraId="327F6135" w14:textId="77777777" w:rsidR="00C35F2C" w:rsidRPr="00C35F2C" w:rsidRDefault="00C35F2C" w:rsidP="00C35F2C">
      <w:pPr>
        <w:pStyle w:val="Body"/>
        <w:spacing w:after="0"/>
        <w:rPr>
          <w:rFonts w:ascii="Arial" w:hAnsi="Arial" w:cs="Arial"/>
        </w:rPr>
      </w:pPr>
      <w:r w:rsidRPr="00C35F2C">
        <w:rPr>
          <w:rFonts w:ascii="Arial" w:hAnsi="Arial" w:cs="Arial"/>
        </w:rPr>
        <w:t xml:space="preserve">The results showed that water and mangrove were the units that occupied the largest area, followed by other vegetation and mudflats in Gandoule and Sangomar over the three years. These results corroborate those of; in mangrove ecosystems, water occupied the largest areas (32.60%) followed by mangrove (22.12%) (Sow </w:t>
      </w:r>
      <w:r w:rsidRPr="00C35F2C">
        <w:rPr>
          <w:rFonts w:ascii="Arial" w:hAnsi="Arial" w:cs="Arial"/>
          <w:i/>
        </w:rPr>
        <w:t>et al.</w:t>
      </w:r>
      <w:r w:rsidRPr="00C35F2C">
        <w:rPr>
          <w:rFonts w:ascii="Arial" w:hAnsi="Arial" w:cs="Arial"/>
        </w:rPr>
        <w:t xml:space="preserve"> 2025). According to BONOU </w:t>
      </w:r>
      <w:r w:rsidRPr="00C35F2C">
        <w:rPr>
          <w:rFonts w:ascii="Arial" w:hAnsi="Arial" w:cs="Arial"/>
          <w:i/>
        </w:rPr>
        <w:t>et al.</w:t>
      </w:r>
      <w:r w:rsidRPr="00C35F2C">
        <w:rPr>
          <w:rFonts w:ascii="Arial" w:hAnsi="Arial" w:cs="Arial"/>
        </w:rPr>
        <w:t xml:space="preserve"> (2021), mangrove occupied 37.89% of the area, followed by water bodies at 27.69% of the area. Analysis of mangrove dynamics revealed a spatio-temporal change characterized by a decline and an increase in surface area. In Sangomar MPA, a period of mangrove regression was observed between 2013 and 2024 and an increase between 2002 and 2013 and 2002 and 2024. Meanwhile, in Gandoule MPA, an increase was observed between 2002 and 2024. The same trend was observed for almost the same periods in the studies by Dièye </w:t>
      </w:r>
      <w:r w:rsidRPr="00C35F2C">
        <w:rPr>
          <w:rFonts w:ascii="Arial" w:hAnsi="Arial" w:cs="Arial"/>
          <w:i/>
        </w:rPr>
        <w:t>et al.</w:t>
      </w:r>
      <w:r w:rsidRPr="00C35F2C">
        <w:rPr>
          <w:rFonts w:ascii="Arial" w:hAnsi="Arial" w:cs="Arial"/>
        </w:rPr>
        <w:t xml:space="preserve"> (2013) between 1986 and 2001, with regressions mainly occurring in the northwestern part of the estuary and the Sangomar spit break zone. Dieng </w:t>
      </w:r>
      <w:r w:rsidRPr="00C35F2C">
        <w:rPr>
          <w:rFonts w:ascii="Arial" w:hAnsi="Arial" w:cs="Arial"/>
          <w:i/>
        </w:rPr>
        <w:t>et al.</w:t>
      </w:r>
      <w:r w:rsidRPr="00C35F2C">
        <w:rPr>
          <w:rFonts w:ascii="Arial" w:hAnsi="Arial" w:cs="Arial"/>
        </w:rPr>
        <w:t xml:space="preserve"> (2022) demonstrated an upward trend in mangrove cover between 1980 and 2021, with the area increasing from 1,105.82 ha to 1,482.32 ha. However, between 2001 and 2010, it reappeared in concentrated and significant numbers in the northern and northwestern parts of the estuary (Gandoule MPA). A more significant appearance of mangrove was observed mainly in Sangomar spit break zone (Sangomar MPA). Observations made on the </w:t>
      </w:r>
      <w:proofErr w:type="spellStart"/>
      <w:r w:rsidRPr="00C35F2C">
        <w:rPr>
          <w:rFonts w:ascii="Arial" w:hAnsi="Arial" w:cs="Arial"/>
        </w:rPr>
        <w:t>incease</w:t>
      </w:r>
      <w:proofErr w:type="spellEnd"/>
      <w:r w:rsidRPr="00C35F2C">
        <w:rPr>
          <w:rFonts w:ascii="Arial" w:hAnsi="Arial" w:cs="Arial"/>
        </w:rPr>
        <w:t xml:space="preserve"> of tans depended on the degradation of the mangrove, while their disappearance was marked by the development of other vegetation. According to Andrieu (2017), mangrove deforestation areas were tanns, sometimes covered with dead shrubs or even senescent vegetation. In Sangomar, the area of tans increased between 2002 and 2024, covering 69.34 ha. This result corroborated those of Faye </w:t>
      </w:r>
      <w:r w:rsidRPr="00C35F2C">
        <w:rPr>
          <w:rFonts w:ascii="Arial" w:hAnsi="Arial" w:cs="Arial"/>
          <w:i/>
        </w:rPr>
        <w:t>et al.</w:t>
      </w:r>
      <w:r w:rsidRPr="00C35F2C">
        <w:rPr>
          <w:rFonts w:ascii="Arial" w:hAnsi="Arial" w:cs="Arial"/>
        </w:rPr>
        <w:t xml:space="preserve"> (2022), who stated that the area covered by tans has expanded significantly in recent decades in Haut-Saloum, primarily due to long periods of drought. The built-up area is expanding more rapidly in Gandoule AMP during the period 2013-2024 than in Sangomar AMP, where there has been a slowdown in construction by the population during the same period. The demographic change can be explained on the one hand by the spatial expansion of the city of Mbour-Saly and on the other hand by the development of trade towards Kaolack and, above all, by the development of activities related to fishery resources in Joal-Fadiouth (Ackermann </w:t>
      </w:r>
      <w:r w:rsidRPr="00C35F2C">
        <w:rPr>
          <w:rFonts w:ascii="Arial" w:hAnsi="Arial" w:cs="Arial"/>
          <w:i/>
        </w:rPr>
        <w:t>et al.,</w:t>
      </w:r>
      <w:r w:rsidRPr="00C35F2C">
        <w:rPr>
          <w:rFonts w:ascii="Arial" w:hAnsi="Arial" w:cs="Arial"/>
        </w:rPr>
        <w:t xml:space="preserve"> 2006).</w:t>
      </w:r>
    </w:p>
    <w:p w14:paraId="5BC0EA1F" w14:textId="77777777" w:rsidR="00C35F2C" w:rsidRPr="00C35F2C" w:rsidRDefault="00C35F2C" w:rsidP="00C35F2C">
      <w:pPr>
        <w:pStyle w:val="Body"/>
        <w:numPr>
          <w:ilvl w:val="0"/>
          <w:numId w:val="35"/>
        </w:numPr>
        <w:spacing w:after="0"/>
        <w:rPr>
          <w:rFonts w:ascii="Arial" w:hAnsi="Arial" w:cs="Arial"/>
          <w:b/>
        </w:rPr>
      </w:pPr>
      <w:r w:rsidRPr="00C35F2C">
        <w:rPr>
          <w:rFonts w:ascii="Arial" w:hAnsi="Arial" w:cs="Arial"/>
          <w:b/>
        </w:rPr>
        <w:t>Factors contributing to the degradation of the mangrove ecosystem in the Saloum Delta</w:t>
      </w:r>
    </w:p>
    <w:p w14:paraId="12E28620" w14:textId="77777777" w:rsidR="00C35F2C" w:rsidRPr="00C35F2C" w:rsidRDefault="00C35F2C" w:rsidP="00C35F2C">
      <w:pPr>
        <w:pStyle w:val="Body"/>
        <w:spacing w:after="0"/>
        <w:rPr>
          <w:rFonts w:ascii="Arial" w:hAnsi="Arial" w:cs="Arial"/>
        </w:rPr>
      </w:pPr>
      <w:r w:rsidRPr="00C35F2C">
        <w:rPr>
          <w:rFonts w:ascii="Arial" w:hAnsi="Arial" w:cs="Arial"/>
        </w:rPr>
        <w:t xml:space="preserve">The exploitation of mangrove resources was one of the most frequently cited factors. Indeed, the most significant form of exploitation remained the cutting of mangrove wood. As Diouf (2017) indicated in his work within Gandoule MPA, smoking activities contributed more to the destruction of mangrove and other vegetation cover, with 55% of wood being used. Over-exploitation was also a factor in degradation caused by population growth, with fishing efforts increasing over time. Activity was relatively high in the area (on average, 93% of registered canoes were in operation and 1 in 3 canoes </w:t>
      </w:r>
      <w:proofErr w:type="spellStart"/>
      <w:r w:rsidRPr="00C35F2C">
        <w:rPr>
          <w:rFonts w:ascii="Arial" w:hAnsi="Arial" w:cs="Arial"/>
        </w:rPr>
        <w:t>maked</w:t>
      </w:r>
      <w:proofErr w:type="spellEnd"/>
      <w:r w:rsidRPr="00C35F2C">
        <w:rPr>
          <w:rFonts w:ascii="Arial" w:hAnsi="Arial" w:cs="Arial"/>
        </w:rPr>
        <w:t xml:space="preserve"> a daily trip) (Bousso, 2000).  Demersal resources were practically exhausted (4,000 tons in the 1980s compared to only 700 tons in 2000 (Dème </w:t>
      </w:r>
      <w:r w:rsidRPr="00C35F2C">
        <w:rPr>
          <w:rFonts w:ascii="Arial" w:hAnsi="Arial" w:cs="Arial"/>
          <w:i/>
        </w:rPr>
        <w:t>et al.,</w:t>
      </w:r>
      <w:r w:rsidRPr="00C35F2C">
        <w:rPr>
          <w:rFonts w:ascii="Arial" w:hAnsi="Arial" w:cs="Arial"/>
        </w:rPr>
        <w:t xml:space="preserve"> 2001; Failler &amp; Dème, 2010). According to Dahou (2010), fishing was much more intensive at the estuarine mouths of Saloum, Diombos, and Bandiala rivers. Domestic wastewater, plastics, industrial waste, pesticides, and agricultural fertilizers are the main sources of marine pollution. Coastal areas that have been heavily impacted by human activity, such as aquaculture, fishing, and maritime transport, offer habitats that are less suitable for fish development and survival (Amara, 2011; Fonty, 2021). The Saloum estuary is marked by significant sea encroachment, causing coastal erosion. The results of the study by Prost and Charron (1994) in French Guiana showed that mangroves are not an obstacle to shoreline retreat. Their death is not the cause of coastal erosion but rather the effect of erosion. Similarly, the results of Barry (2017) reveal that among the consequences of erosion, mangrove degradation is estimated at 8.51% between 2000 and 2015. Rainfall in the Saloum Delta between 2019 and 2023 shows a low average precipitation of 700 mm per year. This regressive dynamic is largely linked to the decline in rainfall and its associated effects (Sow and Ba, 2019). These low rainfall levels led to drought and an increase in the salinity gradient of seawater in the estuary. From a chemical point of view, the effects of drought lead to a general decrease in pH in the surface layer and deep horizons of mangroves. Most plant species disappear, with Rhizophora largely replaced by the Avicennia-Sesuvium association, which seems well adapted to a very wide range of salinity levels (Marius, 1979). With regard to salinization, these observations corroborate those of Diop (1990) that in Saloum, the salinity front of certain rivers rises far upstream. Indeed, the scarcity of rainfall results in increased salinity and salt intrusion (DIEYE </w:t>
      </w:r>
      <w:r w:rsidRPr="00C35F2C">
        <w:rPr>
          <w:rFonts w:ascii="Arial" w:hAnsi="Arial" w:cs="Arial"/>
          <w:i/>
        </w:rPr>
        <w:t>et al.,</w:t>
      </w:r>
      <w:r w:rsidRPr="00C35F2C">
        <w:rPr>
          <w:rFonts w:ascii="Arial" w:hAnsi="Arial" w:cs="Arial"/>
        </w:rPr>
        <w:t xml:space="preserve"> 2011). According to Faye et al. </w:t>
      </w:r>
      <w:r w:rsidRPr="00C35F2C">
        <w:rPr>
          <w:rFonts w:ascii="Arial" w:hAnsi="Arial" w:cs="Arial"/>
        </w:rPr>
        <w:lastRenderedPageBreak/>
        <w:t xml:space="preserve">(2007), high salinity and coarse textures (medium sand) are not conducive to the healthy development of mangroves, particularly Rhizophora. The results of Faye </w:t>
      </w:r>
      <w:r w:rsidRPr="00C35F2C">
        <w:rPr>
          <w:rFonts w:ascii="Arial" w:hAnsi="Arial" w:cs="Arial"/>
          <w:i/>
        </w:rPr>
        <w:t>et al.</w:t>
      </w:r>
      <w:r w:rsidRPr="00C35F2C">
        <w:rPr>
          <w:rFonts w:ascii="Arial" w:hAnsi="Arial" w:cs="Arial"/>
        </w:rPr>
        <w:t xml:space="preserve"> (2019) showed that salt-affected land increased by 21,000 ha between 1994 and 2014.</w:t>
      </w:r>
    </w:p>
    <w:p w14:paraId="17402B75" w14:textId="77777777" w:rsidR="00C35F2C" w:rsidRPr="00C35F2C" w:rsidRDefault="00C35F2C" w:rsidP="00C35F2C">
      <w:pPr>
        <w:pStyle w:val="Body"/>
        <w:numPr>
          <w:ilvl w:val="0"/>
          <w:numId w:val="35"/>
        </w:numPr>
        <w:spacing w:after="0"/>
        <w:rPr>
          <w:rFonts w:ascii="Arial" w:hAnsi="Arial" w:cs="Arial"/>
          <w:b/>
        </w:rPr>
      </w:pPr>
      <w:r w:rsidRPr="00C35F2C">
        <w:rPr>
          <w:rFonts w:ascii="Arial" w:hAnsi="Arial" w:cs="Arial"/>
          <w:b/>
        </w:rPr>
        <w:t>Strategies for the conservation, preservation, and restoration of mangrove ecosystems</w:t>
      </w:r>
    </w:p>
    <w:p w14:paraId="13CFD2F7" w14:textId="77777777" w:rsidR="00E053D0" w:rsidRDefault="00C35F2C" w:rsidP="00441B6F">
      <w:pPr>
        <w:pStyle w:val="Body"/>
        <w:spacing w:after="0"/>
        <w:rPr>
          <w:rFonts w:ascii="Arial" w:hAnsi="Arial" w:cs="Arial"/>
        </w:rPr>
      </w:pPr>
      <w:r w:rsidRPr="00C35F2C">
        <w:rPr>
          <w:rFonts w:ascii="Arial" w:hAnsi="Arial" w:cs="Arial"/>
        </w:rPr>
        <w:t>To address the degradation of these ecosystems, strategies are being implemented to support ecosystem balance and promote the return of mangrove resources. Reforestation is the main focus, along with raising awareness about resource exploitation. This is confirmed in the work of Bocquet (2018), which shows that there is a growing trend towards mangrove preservation, with increased participation in reforestation and lower consumption of green wood compared to dead wood. The ban on cutting mangrove wood and the ban on certain fishing nets are being observed. According to Macera (2024), wood cutting is prohibited, and fishing activities are regulated. Managing the RDBS is complex due to the need to comply with a diverse set of policies, laws, and regulations, as well as to collaborate with several institutions.</w:t>
      </w:r>
    </w:p>
    <w:p w14:paraId="26DD0EB2" w14:textId="77777777" w:rsidR="00790ADA" w:rsidRPr="00FB3A86" w:rsidRDefault="00790ADA" w:rsidP="00441B6F">
      <w:pPr>
        <w:pStyle w:val="Body"/>
        <w:spacing w:after="0"/>
        <w:rPr>
          <w:rFonts w:ascii="Arial" w:hAnsi="Arial" w:cs="Arial"/>
        </w:rPr>
      </w:pPr>
    </w:p>
    <w:p w14:paraId="098988A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C4C14CE" w14:textId="77777777" w:rsidR="00681C33" w:rsidRDefault="00C35F2C" w:rsidP="00E56BA6">
      <w:pPr>
        <w:pStyle w:val="Body"/>
        <w:spacing w:before="240" w:after="0"/>
        <w:rPr>
          <w:rFonts w:ascii="Arial" w:hAnsi="Arial" w:cs="Arial"/>
        </w:rPr>
      </w:pPr>
      <w:r w:rsidRPr="00C35F2C">
        <w:rPr>
          <w:rFonts w:ascii="Arial" w:hAnsi="Arial" w:cs="Arial"/>
        </w:rPr>
        <w:t>The mangrove ecosystem of Saloum Delta is home to a thriving and productive biodiversity. Water and mangrove areas occupied the largest area, followed by other vegetation and mudflats. Analysis of the dynamic of mangrove ecosystems in protected areas (GMPA and SMPA) showed a more or less significant increase despite urban expansion between 2002 and 2024. Mangrove experienced negligible losses of area compared to increase at the SMPA over the period 2013-2024. However, other vegetation continued to disappear. The mangrove ecosystems were disrupted by natural phenomena and human activities such as declining rainfall, coastal erosion, salinization, and pressure caused by the uncontrolled exploitation of resources. Reforestation, a ban on mangrove logging, awareness-raising and monitoring with the involvement of local communities, a ban on certain fishing nets, the adoption of biological rest periods, and conversion to market gardening and poultry farming are the strategies recommended by local populations to preserve and restore mangrove ecosystems. Despite these constraints, the resilience of mangrove ecosystems was strengthened by community efforts and restoration actions carried out with MPAs and civil society</w:t>
      </w:r>
      <w:r w:rsidR="00681C33">
        <w:rPr>
          <w:rFonts w:ascii="Arial" w:hAnsi="Arial" w:cs="Arial"/>
        </w:rPr>
        <w:t>.</w:t>
      </w:r>
    </w:p>
    <w:p w14:paraId="0DC70E23" w14:textId="77777777" w:rsidR="00681C33" w:rsidRDefault="00681C33" w:rsidP="00681C33">
      <w:pPr>
        <w:pStyle w:val="Body"/>
        <w:spacing w:after="0"/>
        <w:rPr>
          <w:rFonts w:ascii="Arial" w:hAnsi="Arial" w:cs="Arial"/>
        </w:rPr>
      </w:pPr>
    </w:p>
    <w:p w14:paraId="7EC16955" w14:textId="77777777" w:rsidR="006C0F2C" w:rsidRDefault="006C0F2C" w:rsidP="006C0F2C">
      <w:pPr>
        <w:pStyle w:val="DefAcrHead"/>
        <w:spacing w:after="0"/>
        <w:jc w:val="both"/>
        <w:rPr>
          <w:rFonts w:ascii="Arial" w:hAnsi="Arial" w:cs="Arial"/>
        </w:rPr>
      </w:pPr>
      <w:r>
        <w:rPr>
          <w:rFonts w:ascii="Arial" w:hAnsi="Arial" w:cs="Arial"/>
        </w:rPr>
        <w:t>Acronyms</w:t>
      </w:r>
    </w:p>
    <w:p w14:paraId="5CF2E2E7" w14:textId="77777777" w:rsidR="006C0F2C" w:rsidRDefault="006C0F2C" w:rsidP="006C0F2C">
      <w:pPr>
        <w:pStyle w:val="DefAcrHead"/>
        <w:spacing w:after="0"/>
        <w:jc w:val="both"/>
        <w:rPr>
          <w:rFonts w:ascii="Arial" w:hAnsi="Arial" w:cs="Arial"/>
          <w:b w:val="0"/>
          <w:caps w:val="0"/>
          <w:sz w:val="20"/>
        </w:rPr>
      </w:pPr>
      <w:r w:rsidRPr="00981319">
        <w:rPr>
          <w:rFonts w:ascii="Arial" w:hAnsi="Arial" w:cs="Arial"/>
          <w:sz w:val="20"/>
        </w:rPr>
        <w:t>MP</w:t>
      </w:r>
      <w:r>
        <w:rPr>
          <w:rFonts w:ascii="Arial" w:hAnsi="Arial" w:cs="Arial"/>
          <w:sz w:val="20"/>
        </w:rPr>
        <w:t>A</w:t>
      </w:r>
      <w:r w:rsidRPr="00981319">
        <w:rPr>
          <w:rFonts w:ascii="Arial" w:hAnsi="Arial" w:cs="Arial"/>
          <w:sz w:val="20"/>
        </w:rPr>
        <w:t>:</w:t>
      </w:r>
      <w:r>
        <w:rPr>
          <w:rFonts w:ascii="Arial" w:hAnsi="Arial" w:cs="Arial"/>
          <w:sz w:val="20"/>
        </w:rPr>
        <w:t xml:space="preserve"> </w:t>
      </w:r>
      <w:r>
        <w:rPr>
          <w:rFonts w:ascii="Arial" w:hAnsi="Arial" w:cs="Arial"/>
          <w:b w:val="0"/>
          <w:caps w:val="0"/>
          <w:sz w:val="20"/>
        </w:rPr>
        <w:t>Marine P</w:t>
      </w:r>
      <w:r w:rsidRPr="00981319">
        <w:rPr>
          <w:rFonts w:ascii="Arial" w:hAnsi="Arial" w:cs="Arial"/>
          <w:b w:val="0"/>
          <w:caps w:val="0"/>
          <w:sz w:val="20"/>
        </w:rPr>
        <w:t xml:space="preserve">rotected </w:t>
      </w:r>
      <w:r>
        <w:rPr>
          <w:rFonts w:ascii="Arial" w:hAnsi="Arial" w:cs="Arial"/>
          <w:b w:val="0"/>
          <w:caps w:val="0"/>
          <w:sz w:val="20"/>
        </w:rPr>
        <w:t>Area</w:t>
      </w:r>
    </w:p>
    <w:p w14:paraId="6CF7B007" w14:textId="77777777" w:rsidR="006C0F2C" w:rsidRDefault="006C0F2C" w:rsidP="006C0F2C">
      <w:pPr>
        <w:pStyle w:val="DefAcrHead"/>
        <w:spacing w:after="0"/>
        <w:jc w:val="both"/>
        <w:rPr>
          <w:rFonts w:ascii="Arial" w:hAnsi="Arial" w:cs="Arial"/>
          <w:b w:val="0"/>
          <w:caps w:val="0"/>
          <w:sz w:val="20"/>
        </w:rPr>
      </w:pPr>
      <w:r>
        <w:rPr>
          <w:rFonts w:ascii="Arial" w:hAnsi="Arial" w:cs="Arial"/>
          <w:caps w:val="0"/>
          <w:sz w:val="20"/>
        </w:rPr>
        <w:t>GMPA</w:t>
      </w:r>
      <w:r w:rsidRPr="00981319">
        <w:rPr>
          <w:rFonts w:ascii="Arial" w:hAnsi="Arial" w:cs="Arial"/>
          <w:caps w:val="0"/>
          <w:sz w:val="20"/>
        </w:rPr>
        <w:t xml:space="preserve">: </w:t>
      </w:r>
      <w:proofErr w:type="spellStart"/>
      <w:r>
        <w:rPr>
          <w:rFonts w:ascii="Arial" w:hAnsi="Arial" w:cs="Arial"/>
          <w:b w:val="0"/>
          <w:caps w:val="0"/>
          <w:sz w:val="20"/>
        </w:rPr>
        <w:t>Gandoule</w:t>
      </w:r>
      <w:proofErr w:type="spellEnd"/>
      <w:r>
        <w:rPr>
          <w:rFonts w:ascii="Arial" w:hAnsi="Arial" w:cs="Arial"/>
          <w:b w:val="0"/>
          <w:caps w:val="0"/>
          <w:sz w:val="20"/>
        </w:rPr>
        <w:t xml:space="preserve"> Marine P</w:t>
      </w:r>
      <w:r w:rsidRPr="00981319">
        <w:rPr>
          <w:rFonts w:ascii="Arial" w:hAnsi="Arial" w:cs="Arial"/>
          <w:b w:val="0"/>
          <w:caps w:val="0"/>
          <w:sz w:val="20"/>
        </w:rPr>
        <w:t xml:space="preserve">rotected </w:t>
      </w:r>
      <w:r>
        <w:rPr>
          <w:rFonts w:ascii="Arial" w:hAnsi="Arial" w:cs="Arial"/>
          <w:b w:val="0"/>
          <w:caps w:val="0"/>
          <w:sz w:val="20"/>
        </w:rPr>
        <w:t xml:space="preserve">Area  </w:t>
      </w:r>
    </w:p>
    <w:p w14:paraId="7528DCE6" w14:textId="77777777" w:rsidR="006C0F2C" w:rsidRDefault="006C0F2C" w:rsidP="006C0F2C">
      <w:pPr>
        <w:pStyle w:val="DefAcrHead"/>
        <w:spacing w:after="0"/>
        <w:jc w:val="both"/>
        <w:rPr>
          <w:rFonts w:ascii="Arial" w:hAnsi="Arial" w:cs="Arial"/>
          <w:b w:val="0"/>
          <w:caps w:val="0"/>
          <w:sz w:val="20"/>
        </w:rPr>
      </w:pPr>
      <w:r>
        <w:rPr>
          <w:rFonts w:ascii="Arial" w:hAnsi="Arial" w:cs="Arial"/>
          <w:caps w:val="0"/>
          <w:sz w:val="20"/>
        </w:rPr>
        <w:t>SMPA</w:t>
      </w:r>
      <w:r w:rsidRPr="00981319">
        <w:rPr>
          <w:rFonts w:ascii="Arial" w:hAnsi="Arial" w:cs="Arial"/>
          <w:caps w:val="0"/>
          <w:sz w:val="20"/>
        </w:rPr>
        <w:t xml:space="preserve">: </w:t>
      </w:r>
      <w:proofErr w:type="spellStart"/>
      <w:r>
        <w:rPr>
          <w:rFonts w:ascii="Arial" w:hAnsi="Arial" w:cs="Arial"/>
          <w:b w:val="0"/>
          <w:caps w:val="0"/>
          <w:sz w:val="20"/>
        </w:rPr>
        <w:t>Sangomar</w:t>
      </w:r>
      <w:proofErr w:type="spellEnd"/>
      <w:r>
        <w:rPr>
          <w:rFonts w:ascii="Arial" w:hAnsi="Arial" w:cs="Arial"/>
          <w:b w:val="0"/>
          <w:caps w:val="0"/>
          <w:sz w:val="20"/>
        </w:rPr>
        <w:t xml:space="preserve"> Marine P</w:t>
      </w:r>
      <w:r w:rsidRPr="00981319">
        <w:rPr>
          <w:rFonts w:ascii="Arial" w:hAnsi="Arial" w:cs="Arial"/>
          <w:b w:val="0"/>
          <w:caps w:val="0"/>
          <w:sz w:val="20"/>
        </w:rPr>
        <w:t xml:space="preserve">rotected </w:t>
      </w:r>
      <w:r>
        <w:rPr>
          <w:rFonts w:ascii="Arial" w:hAnsi="Arial" w:cs="Arial"/>
          <w:b w:val="0"/>
          <w:caps w:val="0"/>
          <w:sz w:val="20"/>
        </w:rPr>
        <w:t>Area</w:t>
      </w:r>
    </w:p>
    <w:p w14:paraId="12F5E791" w14:textId="77777777" w:rsidR="006C0F2C" w:rsidRPr="00F469F0" w:rsidRDefault="006C0F2C" w:rsidP="00441B6F">
      <w:pPr>
        <w:pStyle w:val="ReferHead"/>
        <w:spacing w:after="0"/>
        <w:jc w:val="both"/>
        <w:rPr>
          <w:rFonts w:ascii="Arial" w:hAnsi="Arial" w:cs="Arial"/>
          <w:b w:val="0"/>
          <w:caps w:val="0"/>
          <w:sz w:val="20"/>
          <w:u w:val="single"/>
        </w:rPr>
      </w:pPr>
    </w:p>
    <w:p w14:paraId="7513CC1E" w14:textId="77777777" w:rsidR="00860000" w:rsidRDefault="00860000" w:rsidP="00441B6F">
      <w:pPr>
        <w:pStyle w:val="ReferHead"/>
        <w:spacing w:after="0"/>
        <w:jc w:val="both"/>
        <w:rPr>
          <w:rFonts w:ascii="Arial" w:hAnsi="Arial" w:cs="Arial"/>
        </w:rPr>
      </w:pPr>
    </w:p>
    <w:p w14:paraId="138A87E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48D274D" w14:textId="77777777" w:rsidR="00790ADA" w:rsidRPr="00FB3A86" w:rsidRDefault="00790ADA" w:rsidP="00441B6F">
      <w:pPr>
        <w:pStyle w:val="ReferHead"/>
        <w:spacing w:after="0"/>
        <w:jc w:val="both"/>
        <w:rPr>
          <w:rFonts w:ascii="Arial" w:hAnsi="Arial" w:cs="Arial"/>
        </w:rPr>
      </w:pPr>
    </w:p>
    <w:p w14:paraId="76298225" w14:textId="77777777" w:rsidR="00EB1949" w:rsidRPr="00EB1949" w:rsidRDefault="00EB1949" w:rsidP="00EB1949">
      <w:pPr>
        <w:pStyle w:val="Body"/>
        <w:spacing w:after="0"/>
        <w:rPr>
          <w:rFonts w:ascii="Arial" w:hAnsi="Arial" w:cs="Arial"/>
        </w:rPr>
      </w:pPr>
      <w:r w:rsidRPr="00EB1949">
        <w:rPr>
          <w:rFonts w:ascii="Arial" w:hAnsi="Arial" w:cs="Arial"/>
        </w:rPr>
        <w:t xml:space="preserve">Ackermann, G., Alexandre, F., Andrieu, J., Mering, C., et </w:t>
      </w:r>
      <w:r w:rsidR="006A5A4F" w:rsidRPr="00EB1949">
        <w:rPr>
          <w:rFonts w:ascii="Arial" w:hAnsi="Arial" w:cs="Arial"/>
        </w:rPr>
        <w:t>Olivier</w:t>
      </w:r>
      <w:r w:rsidRPr="00EB1949">
        <w:rPr>
          <w:rFonts w:ascii="Arial" w:hAnsi="Arial" w:cs="Arial"/>
        </w:rPr>
        <w:t xml:space="preserve">, C. (2006). </w:t>
      </w:r>
      <w:r w:rsidRPr="0045639E">
        <w:rPr>
          <w:rFonts w:ascii="Arial" w:hAnsi="Arial" w:cs="Arial"/>
        </w:rPr>
        <w:t xml:space="preserve">Landscape dynamics and prospects for sustainable development on the Petite-Côte and in the Sine-Saloum Delta (Senegal). </w:t>
      </w:r>
      <w:r w:rsidRPr="0045639E">
        <w:rPr>
          <w:rFonts w:ascii="Arial" w:hAnsi="Arial" w:cs="Arial"/>
          <w:i/>
        </w:rPr>
        <w:t>VertigO - the electronic journal of environmental sciences</w:t>
      </w:r>
      <w:r w:rsidRPr="0045639E">
        <w:rPr>
          <w:rFonts w:ascii="Arial" w:hAnsi="Arial" w:cs="Arial"/>
        </w:rPr>
        <w:t xml:space="preserve">, no. 7-2 (September), pp.1-18. </w:t>
      </w:r>
      <w:hyperlink r:id="rId31" w:history="1">
        <w:r w:rsidRPr="00EB1949">
          <w:rPr>
            <w:rStyle w:val="Hyperlink"/>
            <w:rFonts w:ascii="Arial" w:hAnsi="Arial" w:cs="Arial"/>
          </w:rPr>
          <w:t>https://doi.org/10.4000/vertigo.2206</w:t>
        </w:r>
      </w:hyperlink>
      <w:r w:rsidRPr="00EB1949">
        <w:rPr>
          <w:rFonts w:ascii="Arial" w:hAnsi="Arial" w:cs="Arial"/>
        </w:rPr>
        <w:t xml:space="preserve">. </w:t>
      </w:r>
    </w:p>
    <w:p w14:paraId="3172C917" w14:textId="77777777" w:rsidR="00EB1949" w:rsidRPr="00EB1949" w:rsidRDefault="00EB1949" w:rsidP="00EB1949">
      <w:pPr>
        <w:pStyle w:val="Body"/>
        <w:spacing w:before="240" w:after="0"/>
        <w:rPr>
          <w:rFonts w:ascii="Arial" w:hAnsi="Arial" w:cs="Arial"/>
          <w:i/>
          <w:iCs/>
        </w:rPr>
      </w:pPr>
      <w:r w:rsidRPr="00EB1949">
        <w:rPr>
          <w:rFonts w:ascii="Arial" w:hAnsi="Arial" w:cs="Arial"/>
        </w:rPr>
        <w:t>Amara, R. (2011).  </w:t>
      </w:r>
      <w:r w:rsidRPr="0045639E">
        <w:rPr>
          <w:rFonts w:ascii="Arial" w:hAnsi="Arial" w:cs="Arial"/>
        </w:rPr>
        <w:t xml:space="preserve">Impact of pollution on coastal ecosystems: the example of the eastern English Channel. </w:t>
      </w:r>
      <w:r w:rsidRPr="0045639E">
        <w:rPr>
          <w:rFonts w:ascii="Arial" w:hAnsi="Arial" w:cs="Arial"/>
          <w:i/>
        </w:rPr>
        <w:t>VertigO - the electronic journal of environmental sciences</w:t>
      </w:r>
      <w:r w:rsidRPr="0045639E">
        <w:rPr>
          <w:rFonts w:ascii="Arial" w:hAnsi="Arial" w:cs="Arial"/>
        </w:rPr>
        <w:t xml:space="preserve">, Special Issue 9 (July): Special Issue 9, pp.1-12.  </w:t>
      </w:r>
      <w:hyperlink r:id="rId32" w:history="1">
        <w:r w:rsidRPr="00EB1949">
          <w:rPr>
            <w:rStyle w:val="Hyperlink"/>
            <w:rFonts w:ascii="Arial" w:hAnsi="Arial" w:cs="Arial"/>
          </w:rPr>
          <w:t>https://doi.org/10.4000/vertigo.10990</w:t>
        </w:r>
      </w:hyperlink>
      <w:r w:rsidRPr="00EB1949">
        <w:rPr>
          <w:rFonts w:ascii="Arial" w:hAnsi="Arial" w:cs="Arial"/>
        </w:rPr>
        <w:t xml:space="preserve">. </w:t>
      </w:r>
    </w:p>
    <w:p w14:paraId="1B9956BE" w14:textId="77777777" w:rsidR="00EB1949" w:rsidRPr="00EB1949" w:rsidRDefault="00EB1949" w:rsidP="00EB1949">
      <w:pPr>
        <w:pStyle w:val="Body"/>
        <w:spacing w:before="240" w:after="0"/>
        <w:rPr>
          <w:rFonts w:ascii="Arial" w:hAnsi="Arial" w:cs="Arial"/>
        </w:rPr>
      </w:pPr>
      <w:r w:rsidRPr="00EB1949">
        <w:rPr>
          <w:rFonts w:ascii="Arial" w:hAnsi="Arial" w:cs="Arial"/>
        </w:rPr>
        <w:lastRenderedPageBreak/>
        <w:t xml:space="preserve">Andrieu, J. (2017). </w:t>
      </w:r>
      <w:r w:rsidRPr="0045639E">
        <w:rPr>
          <w:rFonts w:ascii="Arial" w:hAnsi="Arial" w:cs="Arial"/>
        </w:rPr>
        <w:t xml:space="preserve">Methodological contribution to the spatial analysis of terrestrial vegetation. From quantitative biogeography to geography applied to the fight against plant biodiversity erosion. </w:t>
      </w:r>
      <w:r w:rsidRPr="00EB1949">
        <w:rPr>
          <w:rFonts w:ascii="Arial" w:hAnsi="Arial" w:cs="Arial"/>
        </w:rPr>
        <w:t xml:space="preserve">Biodiversity and Ecology, University of Paris 13, p.192. </w:t>
      </w:r>
      <w:hyperlink r:id="rId33" w:history="1">
        <w:r w:rsidRPr="00EB1949">
          <w:rPr>
            <w:rStyle w:val="Hyperlink"/>
            <w:rFonts w:ascii="Arial" w:hAnsi="Arial" w:cs="Arial"/>
          </w:rPr>
          <w:t>https://shs.hal.science/tel-02500883v1</w:t>
        </w:r>
      </w:hyperlink>
    </w:p>
    <w:p w14:paraId="64A17344" w14:textId="77777777" w:rsidR="00EB1949" w:rsidRPr="00EB1949" w:rsidRDefault="00EB1949" w:rsidP="00EB1949">
      <w:pPr>
        <w:pStyle w:val="Body"/>
        <w:spacing w:before="240" w:after="0"/>
        <w:rPr>
          <w:rFonts w:ascii="Arial" w:hAnsi="Arial" w:cs="Arial"/>
        </w:rPr>
      </w:pPr>
      <w:r w:rsidRPr="00EB1949">
        <w:rPr>
          <w:rFonts w:ascii="Arial" w:hAnsi="Arial" w:cs="Arial"/>
        </w:rPr>
        <w:t>Aubry, A. (2021).  </w:t>
      </w:r>
      <w:r w:rsidRPr="0045639E">
        <w:rPr>
          <w:rFonts w:ascii="Arial" w:hAnsi="Arial" w:cs="Arial"/>
        </w:rPr>
        <w:t xml:space="preserve">A world without mangroves: global decline in ecosystem services in an era of increasing anthropogenic pressure. </w:t>
      </w:r>
      <w:r w:rsidRPr="00EB1949">
        <w:rPr>
          <w:rFonts w:ascii="Arial" w:hAnsi="Arial" w:cs="Arial"/>
        </w:rPr>
        <w:t>Master's thesis, Free University of Brussels, p.96.</w:t>
      </w:r>
    </w:p>
    <w:p w14:paraId="20CFD30B" w14:textId="77777777" w:rsidR="00EB1949" w:rsidRPr="00EB1949" w:rsidRDefault="00EB1949" w:rsidP="00EB1949">
      <w:pPr>
        <w:pStyle w:val="Body"/>
        <w:spacing w:before="240" w:after="0"/>
        <w:rPr>
          <w:rFonts w:ascii="Arial" w:hAnsi="Arial" w:cs="Arial"/>
        </w:rPr>
      </w:pPr>
      <w:r w:rsidRPr="00EB1949">
        <w:rPr>
          <w:rFonts w:ascii="Arial" w:hAnsi="Arial" w:cs="Arial"/>
        </w:rPr>
        <w:t>BARRY, M. (2017).  </w:t>
      </w:r>
      <w:r w:rsidRPr="0045639E">
        <w:rPr>
          <w:rFonts w:ascii="Arial" w:hAnsi="Arial" w:cs="Arial"/>
        </w:rPr>
        <w:t xml:space="preserve">Coastal erosion and its impacts in the municipality of Kafountine (Lower Casamance). </w:t>
      </w:r>
      <w:r w:rsidRPr="00EB1949">
        <w:rPr>
          <w:rFonts w:ascii="Arial" w:hAnsi="Arial" w:cs="Arial"/>
        </w:rPr>
        <w:t>Thesis, Assane Seck University of Ziguinchor (UASZ), p.123.</w:t>
      </w:r>
    </w:p>
    <w:p w14:paraId="5FE01094" w14:textId="77777777" w:rsidR="00EB1949" w:rsidRPr="0045639E" w:rsidRDefault="00EB1949" w:rsidP="00EB1949">
      <w:pPr>
        <w:pStyle w:val="Body"/>
        <w:spacing w:before="240" w:after="0"/>
        <w:rPr>
          <w:rFonts w:ascii="Arial" w:hAnsi="Arial" w:cs="Arial"/>
          <w:lang w:val="fr-FR"/>
        </w:rPr>
      </w:pPr>
      <w:r w:rsidRPr="00EB1949">
        <w:rPr>
          <w:rFonts w:ascii="Arial" w:hAnsi="Arial" w:cs="Arial"/>
        </w:rPr>
        <w:t>Bocquet, E. (2018). </w:t>
      </w:r>
      <w:r w:rsidRPr="0045639E">
        <w:rPr>
          <w:rFonts w:ascii="Arial" w:hAnsi="Arial" w:cs="Arial"/>
        </w:rPr>
        <w:t xml:space="preserve">Mangrove reforestation in the Saloum Delta, Senegal: Ecological and social assessment. Master's thesis, University of Liège/Gembloux Agro-bio Tech, p.86. </w:t>
      </w:r>
      <w:hyperlink r:id="rId34" w:history="1">
        <w:r w:rsidRPr="0045639E">
          <w:rPr>
            <w:rStyle w:val="Hyperlink"/>
            <w:rFonts w:ascii="Arial" w:hAnsi="Arial" w:cs="Arial"/>
            <w:lang w:val="fr-FR"/>
          </w:rPr>
          <w:t>http://hdl.handle.net/2268.2/5182</w:t>
        </w:r>
      </w:hyperlink>
      <w:r w:rsidRPr="0045639E">
        <w:rPr>
          <w:rFonts w:ascii="Arial" w:hAnsi="Arial" w:cs="Arial"/>
          <w:lang w:val="fr-FR"/>
        </w:rPr>
        <w:t>.</w:t>
      </w:r>
    </w:p>
    <w:p w14:paraId="31E8F7D3" w14:textId="77777777" w:rsidR="00EB1949" w:rsidRPr="00EB1949" w:rsidRDefault="00EB1949" w:rsidP="00EB1949">
      <w:pPr>
        <w:pStyle w:val="Body"/>
        <w:spacing w:before="240" w:after="0"/>
        <w:rPr>
          <w:rFonts w:ascii="Arial" w:hAnsi="Arial" w:cs="Arial"/>
        </w:rPr>
      </w:pPr>
      <w:r w:rsidRPr="00E56BA6">
        <w:rPr>
          <w:rFonts w:ascii="Arial" w:hAnsi="Arial" w:cs="Arial"/>
          <w:lang w:val="fr-FR"/>
        </w:rPr>
        <w:t xml:space="preserve">BONOU, C. T., SAHGUI, E. M. C., KARIMOU, S., YAYA, I., IMOROU, &amp; MICHA, J. C. (2021). </w:t>
      </w:r>
      <w:r w:rsidRPr="0045639E">
        <w:rPr>
          <w:rFonts w:ascii="Arial" w:hAnsi="Arial" w:cs="Arial"/>
        </w:rPr>
        <w:t xml:space="preserve">Dynamics of mangrove ecosystems in the Bouche du Roy Community Biodiversity Conservation Area in southwestern Benin. </w:t>
      </w:r>
      <w:r w:rsidRPr="00EB1949">
        <w:rPr>
          <w:rFonts w:ascii="Arial" w:hAnsi="Arial" w:cs="Arial"/>
        </w:rPr>
        <w:t xml:space="preserve">Geo-Eco-Trop., </w:t>
      </w:r>
      <w:r w:rsidRPr="00EB1949">
        <w:rPr>
          <w:rFonts w:ascii="Arial" w:hAnsi="Arial" w:cs="Arial"/>
          <w:i/>
          <w:iCs/>
        </w:rPr>
        <w:t>45</w:t>
      </w:r>
      <w:r w:rsidRPr="00EB1949">
        <w:rPr>
          <w:rFonts w:ascii="Arial" w:hAnsi="Arial" w:cs="Arial"/>
        </w:rPr>
        <w:t>(4), 711</w:t>
      </w:r>
      <w:r w:rsidRPr="00EB1949">
        <w:rPr>
          <w:rFonts w:ascii="Cambria Math" w:hAnsi="Cambria Math" w:cs="Cambria Math"/>
        </w:rPr>
        <w:t>‑</w:t>
      </w:r>
      <w:r w:rsidRPr="00EB1949">
        <w:rPr>
          <w:rFonts w:ascii="Arial" w:hAnsi="Arial" w:cs="Arial"/>
        </w:rPr>
        <w:t>723.</w:t>
      </w:r>
    </w:p>
    <w:p w14:paraId="51782F5F" w14:textId="77777777" w:rsidR="00EB1949" w:rsidRPr="00EB1949" w:rsidRDefault="00EB1949" w:rsidP="00EB1949">
      <w:pPr>
        <w:pStyle w:val="Body"/>
        <w:spacing w:before="240" w:after="0"/>
        <w:rPr>
          <w:rFonts w:ascii="Arial" w:hAnsi="Arial" w:cs="Arial"/>
        </w:rPr>
      </w:pPr>
      <w:r w:rsidRPr="00EB1949">
        <w:rPr>
          <w:rFonts w:ascii="Arial" w:hAnsi="Arial" w:cs="Arial"/>
        </w:rPr>
        <w:t xml:space="preserve">Bousso, T. (2000). </w:t>
      </w:r>
      <w:r w:rsidRPr="0045639E">
        <w:rPr>
          <w:rFonts w:ascii="Arial" w:hAnsi="Arial" w:cs="Arial"/>
        </w:rPr>
        <w:t xml:space="preserve">Fishing in the Sine-Saloum estuary (Senegal): types of fishing villages and camps. </w:t>
      </w:r>
      <w:r w:rsidRPr="00EB1949">
        <w:rPr>
          <w:rFonts w:ascii="Arial" w:hAnsi="Arial" w:cs="Arial"/>
          <w:i/>
        </w:rPr>
        <w:t>ResearchGate,</w:t>
      </w:r>
      <w:r w:rsidRPr="00EB1949">
        <w:rPr>
          <w:rFonts w:ascii="Arial" w:hAnsi="Arial" w:cs="Arial"/>
        </w:rPr>
        <w:t xml:space="preserve"> fishing areas, pp.350–370</w:t>
      </w:r>
    </w:p>
    <w:p w14:paraId="0ABE2190" w14:textId="77777777" w:rsidR="00EB1949" w:rsidRPr="00EB1949" w:rsidRDefault="00EB1949" w:rsidP="00EB1949">
      <w:pPr>
        <w:pStyle w:val="Body"/>
        <w:spacing w:before="240" w:after="0"/>
        <w:rPr>
          <w:rFonts w:ascii="Arial" w:hAnsi="Arial" w:cs="Arial"/>
        </w:rPr>
      </w:pPr>
      <w:r w:rsidRPr="00EB1949">
        <w:rPr>
          <w:rFonts w:ascii="Arial" w:hAnsi="Arial" w:cs="Arial"/>
        </w:rPr>
        <w:t xml:space="preserve">Clerici, N., Bodini, A., Hugh, E., Grégoire, J.-M., Dulieu, D., et Paolini, C. (2007). </w:t>
      </w:r>
      <w:r w:rsidRPr="00E56BA6">
        <w:rPr>
          <w:rFonts w:ascii="Arial" w:hAnsi="Arial" w:cs="Arial"/>
        </w:rPr>
        <w:t xml:space="preserve">Increased isolation of two Biosphere Reserves and surrounding protected areas (WAP ecological complex, West Africa). </w:t>
      </w:r>
      <w:r w:rsidRPr="00EB1949">
        <w:rPr>
          <w:rFonts w:ascii="Arial" w:hAnsi="Arial" w:cs="Arial"/>
          <w:i/>
          <w:iCs/>
        </w:rPr>
        <w:t>Journal for Nature Conservation</w:t>
      </w:r>
      <w:r w:rsidRPr="00EB1949">
        <w:rPr>
          <w:rFonts w:ascii="Arial" w:hAnsi="Arial" w:cs="Arial"/>
        </w:rPr>
        <w:t xml:space="preserve"> 15 (1): 26</w:t>
      </w:r>
      <w:r w:rsidRPr="00EB1949">
        <w:rPr>
          <w:rFonts w:ascii="Cambria Math" w:hAnsi="Cambria Math" w:cs="Cambria Math"/>
        </w:rPr>
        <w:t>‑</w:t>
      </w:r>
      <w:r w:rsidRPr="00EB1949">
        <w:rPr>
          <w:rFonts w:ascii="Arial" w:hAnsi="Arial" w:cs="Arial"/>
        </w:rPr>
        <w:t xml:space="preserve">40. </w:t>
      </w:r>
      <w:hyperlink r:id="rId35" w:history="1">
        <w:r w:rsidRPr="00EB1949">
          <w:rPr>
            <w:rStyle w:val="Hyperlink"/>
            <w:rFonts w:ascii="Arial" w:hAnsi="Arial" w:cs="Arial"/>
          </w:rPr>
          <w:t>https://doi.org/10.1016/j.jnc.2006.08.003</w:t>
        </w:r>
      </w:hyperlink>
      <w:r w:rsidRPr="00EB1949">
        <w:rPr>
          <w:rFonts w:ascii="Arial" w:hAnsi="Arial" w:cs="Arial"/>
        </w:rPr>
        <w:t>.</w:t>
      </w:r>
    </w:p>
    <w:p w14:paraId="3B1A40D1" w14:textId="77777777" w:rsidR="00EB1949" w:rsidRPr="00EB1949" w:rsidRDefault="00EB1949" w:rsidP="00EB1949">
      <w:pPr>
        <w:pStyle w:val="Body"/>
        <w:spacing w:before="240" w:after="0"/>
        <w:rPr>
          <w:rFonts w:ascii="Arial" w:hAnsi="Arial" w:cs="Arial"/>
        </w:rPr>
      </w:pPr>
      <w:r w:rsidRPr="00EB1949">
        <w:rPr>
          <w:rFonts w:ascii="Arial" w:hAnsi="Arial" w:cs="Arial"/>
        </w:rPr>
        <w:t>Dahou, T. (2010). </w:t>
      </w:r>
      <w:r w:rsidRPr="0045639E">
        <w:rPr>
          <w:rFonts w:ascii="Arial" w:hAnsi="Arial" w:cs="Arial"/>
        </w:rPr>
        <w:t xml:space="preserve">Managing space without governing people: the dilemma of marine protected areas (Saloum, Senegal). </w:t>
      </w:r>
      <w:r w:rsidRPr="00EB1949">
        <w:rPr>
          <w:rFonts w:ascii="Arial" w:hAnsi="Arial" w:cs="Arial"/>
          <w:i/>
        </w:rPr>
        <w:t>Anthropology and Societies</w:t>
      </w:r>
      <w:r w:rsidRPr="00EB1949">
        <w:rPr>
          <w:rFonts w:ascii="Arial" w:hAnsi="Arial" w:cs="Arial"/>
        </w:rPr>
        <w:t xml:space="preserve"> 34 (1): 75</w:t>
      </w:r>
      <w:r w:rsidRPr="00EB1949">
        <w:rPr>
          <w:rFonts w:ascii="Cambria Math" w:hAnsi="Cambria Math" w:cs="Cambria Math"/>
        </w:rPr>
        <w:t>‑</w:t>
      </w:r>
      <w:r w:rsidRPr="00EB1949">
        <w:rPr>
          <w:rFonts w:ascii="Arial" w:hAnsi="Arial" w:cs="Arial"/>
        </w:rPr>
        <w:t xml:space="preserve">93. </w:t>
      </w:r>
      <w:hyperlink r:id="rId36" w:history="1">
        <w:r w:rsidRPr="00EB1949">
          <w:rPr>
            <w:rStyle w:val="Hyperlink"/>
            <w:rFonts w:ascii="Arial" w:hAnsi="Arial" w:cs="Arial"/>
          </w:rPr>
          <w:t>https://doi.org/10.7202/044197ar</w:t>
        </w:r>
      </w:hyperlink>
    </w:p>
    <w:p w14:paraId="793571E8" w14:textId="77777777" w:rsidR="00EB1949" w:rsidRPr="0045639E" w:rsidRDefault="00EB1949" w:rsidP="00EB1949">
      <w:pPr>
        <w:pStyle w:val="Body"/>
        <w:spacing w:before="240" w:after="0"/>
        <w:rPr>
          <w:rFonts w:ascii="Arial" w:hAnsi="Arial" w:cs="Arial"/>
        </w:rPr>
      </w:pPr>
      <w:r w:rsidRPr="00EB1949">
        <w:rPr>
          <w:rFonts w:ascii="Arial" w:hAnsi="Arial" w:cs="Arial"/>
        </w:rPr>
        <w:t xml:space="preserve">Dème, M., Diadhiou, H.D., Thiam, D. (2001). </w:t>
      </w:r>
      <w:r w:rsidRPr="0045639E">
        <w:rPr>
          <w:rFonts w:ascii="Arial" w:hAnsi="Arial" w:cs="Arial"/>
        </w:rPr>
        <w:t>Fishing effort, specific catches, and economic values of inland fishery landings in the Senegal River and Sine Saloum. Sustainable Use of Wild Resources in Senegal Project, CRODT/IUCN/ISRA.</w:t>
      </w:r>
    </w:p>
    <w:p w14:paraId="125FC546" w14:textId="77777777" w:rsidR="00EB1949" w:rsidRPr="0045639E" w:rsidRDefault="00EB1949" w:rsidP="00EB1949">
      <w:pPr>
        <w:pStyle w:val="Body"/>
        <w:spacing w:before="240" w:after="0"/>
        <w:rPr>
          <w:rFonts w:ascii="Arial" w:hAnsi="Arial" w:cs="Arial"/>
        </w:rPr>
      </w:pPr>
      <w:r w:rsidRPr="00EB1949">
        <w:rPr>
          <w:rFonts w:ascii="Arial" w:hAnsi="Arial" w:cs="Arial"/>
        </w:rPr>
        <w:t xml:space="preserve">Dia, I.M. (2005). </w:t>
      </w:r>
      <w:r w:rsidRPr="0045639E">
        <w:rPr>
          <w:rFonts w:ascii="Arial" w:hAnsi="Arial" w:cs="Arial"/>
        </w:rPr>
        <w:t>The Saloum Delta Biosphere Reserve</w:t>
      </w:r>
      <w:r>
        <w:rPr>
          <w:rFonts w:ascii="Arial" w:hAnsi="Arial" w:cs="Arial"/>
        </w:rPr>
        <w:t xml:space="preserve">, </w:t>
      </w:r>
      <w:r w:rsidRPr="0045639E">
        <w:rPr>
          <w:rFonts w:ascii="Arial" w:hAnsi="Arial" w:cs="Arial"/>
        </w:rPr>
        <w:t>pp. 9–10. https://aquadocs.org/bitstream/handle/1834/2458/;jsessionid=B658A147EB97E6991BD313F89E220D54?sequence=1 (Accessed on 8/21/2023)</w:t>
      </w:r>
    </w:p>
    <w:p w14:paraId="7F1FC8CC" w14:textId="77777777" w:rsidR="00EB1949" w:rsidRPr="00EB1949" w:rsidRDefault="00EB1949" w:rsidP="00EB1949">
      <w:pPr>
        <w:pStyle w:val="Body"/>
        <w:spacing w:before="240" w:after="0"/>
        <w:rPr>
          <w:rFonts w:ascii="Arial" w:hAnsi="Arial" w:cs="Arial"/>
        </w:rPr>
      </w:pPr>
      <w:r w:rsidRPr="00EB1949">
        <w:rPr>
          <w:rFonts w:ascii="Arial" w:hAnsi="Arial" w:cs="Arial"/>
          <w:bCs/>
        </w:rPr>
        <w:t>Dia,</w:t>
      </w:r>
      <w:r w:rsidRPr="00EB1949">
        <w:rPr>
          <w:rFonts w:ascii="Arial" w:hAnsi="Arial" w:cs="Arial"/>
          <w:b/>
          <w:bCs/>
        </w:rPr>
        <w:t xml:space="preserve"> </w:t>
      </w:r>
      <w:r w:rsidRPr="00EB1949">
        <w:rPr>
          <w:rFonts w:ascii="Arial" w:hAnsi="Arial" w:cs="Arial"/>
        </w:rPr>
        <w:t xml:space="preserve">I.M.M. (2003). </w:t>
      </w:r>
      <w:r w:rsidRPr="006C4960">
        <w:rPr>
          <w:rFonts w:ascii="Arial" w:hAnsi="Arial" w:cs="Arial"/>
        </w:rPr>
        <w:t xml:space="preserve">Development and implementation of an integrated management plan - Saloum Delta Biosphere Reserve, Senegal. </w:t>
      </w:r>
      <w:r w:rsidRPr="00EB1949">
        <w:rPr>
          <w:rFonts w:ascii="Arial" w:hAnsi="Arial" w:cs="Arial"/>
        </w:rPr>
        <w:t xml:space="preserve">IUCN, Senegal, p 145. </w:t>
      </w:r>
      <w:hyperlink r:id="rId37" w:history="1">
        <w:r w:rsidRPr="00EB1949">
          <w:rPr>
            <w:rStyle w:val="Hyperlink"/>
            <w:rFonts w:ascii="Arial" w:hAnsi="Arial" w:cs="Arial"/>
          </w:rPr>
          <w:t>https://portals.iucn.org/library/sites/library/files/documents/WTL-027.pdf</w:t>
        </w:r>
      </w:hyperlink>
      <w:r w:rsidRPr="00EB1949">
        <w:rPr>
          <w:rFonts w:ascii="Arial" w:hAnsi="Arial" w:cs="Arial"/>
        </w:rPr>
        <w:t xml:space="preserve">. </w:t>
      </w:r>
    </w:p>
    <w:p w14:paraId="0167270F" w14:textId="77777777" w:rsidR="00EB1949" w:rsidRPr="00EB1949" w:rsidRDefault="00EB1949" w:rsidP="00EB1949">
      <w:pPr>
        <w:pStyle w:val="Body"/>
        <w:spacing w:before="240" w:after="0"/>
        <w:rPr>
          <w:rFonts w:ascii="Arial" w:hAnsi="Arial" w:cs="Arial"/>
        </w:rPr>
      </w:pPr>
      <w:r w:rsidRPr="006C4960">
        <w:rPr>
          <w:rFonts w:ascii="Arial" w:hAnsi="Arial" w:cs="Arial"/>
        </w:rPr>
        <w:t>Dibi Nda, H., Kouassi, K., Tra Bi, F., Konan, K., et Bohoussou, N. (2019</w:t>
      </w:r>
      <w:r w:rsidRPr="006C4960">
        <w:t xml:space="preserve"> </w:t>
      </w:r>
      <w:r w:rsidRPr="006C4960">
        <w:rPr>
          <w:rFonts w:ascii="Arial" w:hAnsi="Arial" w:cs="Arial"/>
        </w:rPr>
        <w:t xml:space="preserve">Contribution of SPOT satellite imagery to the sustainable management of mangrove ecosystems in Toukouzou-Hozalem, Grand-Lahou and Jacqueville departments, southern Côte d'Ivoire. </w:t>
      </w:r>
      <w:r w:rsidRPr="006C4960">
        <w:rPr>
          <w:rFonts w:ascii="Arial" w:hAnsi="Arial" w:cs="Arial"/>
          <w:i/>
        </w:rPr>
        <w:t>In OSFACO Conference: Satellite images for sustainable land management in Africa</w:t>
      </w:r>
      <w:r w:rsidRPr="006C4960">
        <w:rPr>
          <w:rFonts w:ascii="Arial" w:hAnsi="Arial" w:cs="Arial"/>
        </w:rPr>
        <w:t xml:space="preserve">, edited by Mertens Benoit and Orekan Vincent. Proceedings of the OSFACO Conference: Satellite images for sustainable land management in Africa. </w:t>
      </w:r>
      <w:r w:rsidRPr="00EB1949">
        <w:rPr>
          <w:rFonts w:ascii="Arial" w:hAnsi="Arial" w:cs="Arial"/>
        </w:rPr>
        <w:t xml:space="preserve">Cotonou, Benin, pp.1-16. </w:t>
      </w:r>
      <w:hyperlink r:id="rId38" w:history="1">
        <w:r w:rsidRPr="00EB1949">
          <w:rPr>
            <w:rStyle w:val="Hyperlink"/>
            <w:rFonts w:ascii="Arial" w:hAnsi="Arial" w:cs="Arial"/>
          </w:rPr>
          <w:t>https://hal.science/hal-02189383</w:t>
        </w:r>
      </w:hyperlink>
      <w:r w:rsidRPr="00EB1949">
        <w:rPr>
          <w:rFonts w:ascii="Arial" w:hAnsi="Arial" w:cs="Arial"/>
        </w:rPr>
        <w:t>.</w:t>
      </w:r>
    </w:p>
    <w:p w14:paraId="6D52221E" w14:textId="77777777" w:rsidR="00EB1949" w:rsidRPr="00E56BA6" w:rsidRDefault="00EB1949" w:rsidP="00EB1949">
      <w:pPr>
        <w:pStyle w:val="Body"/>
        <w:spacing w:before="240" w:after="0"/>
        <w:rPr>
          <w:rFonts w:ascii="Arial" w:hAnsi="Arial" w:cs="Arial"/>
          <w:lang w:val="fr-FR"/>
        </w:rPr>
      </w:pPr>
      <w:r w:rsidRPr="00EB1949">
        <w:rPr>
          <w:rFonts w:ascii="Arial" w:hAnsi="Arial" w:cs="Arial"/>
        </w:rPr>
        <w:lastRenderedPageBreak/>
        <w:t xml:space="preserve">Dieng, D., Sow, M., Sow, E.H., et Ba, T. (2022). </w:t>
      </w:r>
      <w:r w:rsidRPr="006C4960">
        <w:rPr>
          <w:rFonts w:ascii="Arial" w:hAnsi="Arial" w:cs="Arial"/>
        </w:rPr>
        <w:t>Spatio-temporal dynamics of the mangrove forest in the lower Senegal River delta from 1980 to 2021: An approach using remote sensing and geographic information systems</w:t>
      </w:r>
      <w:r>
        <w:rPr>
          <w:rFonts w:ascii="Arial" w:hAnsi="Arial" w:cs="Arial"/>
        </w:rPr>
        <w:t>,</w:t>
      </w:r>
      <w:r w:rsidRPr="006C4960">
        <w:rPr>
          <w:rFonts w:ascii="Arial" w:hAnsi="Arial" w:cs="Arial"/>
        </w:rPr>
        <w:t xml:space="preserve"> pp.117-137. </w:t>
      </w:r>
      <w:hyperlink r:id="rId39" w:history="1">
        <w:r w:rsidRPr="00E56BA6">
          <w:rPr>
            <w:rStyle w:val="Hyperlink"/>
            <w:rFonts w:ascii="Arial" w:hAnsi="Arial" w:cs="Arial"/>
            <w:lang w:val="fr-FR"/>
          </w:rPr>
          <w:t>https://eujournal.org/index.php/esj/article/view/16094</w:t>
        </w:r>
      </w:hyperlink>
    </w:p>
    <w:p w14:paraId="02F3D788" w14:textId="77777777" w:rsidR="00EB1949" w:rsidRPr="00E56BA6" w:rsidRDefault="00EB1949" w:rsidP="00EB1949">
      <w:pPr>
        <w:pStyle w:val="Body"/>
        <w:spacing w:before="240" w:after="0"/>
        <w:rPr>
          <w:rFonts w:ascii="Arial" w:hAnsi="Arial" w:cs="Arial"/>
          <w:lang w:val="fr-FR"/>
        </w:rPr>
      </w:pPr>
      <w:r w:rsidRPr="00E56BA6">
        <w:rPr>
          <w:rFonts w:ascii="Arial" w:hAnsi="Arial" w:cs="Arial"/>
          <w:lang w:val="fr-FR"/>
        </w:rPr>
        <w:t xml:space="preserve">Dièye, E. B, Diaw, A.T., Sané, T., et Ndour, N. (2013). </w:t>
      </w:r>
      <w:r w:rsidRPr="006C4960">
        <w:rPr>
          <w:rFonts w:ascii="Arial" w:hAnsi="Arial" w:cs="Arial"/>
        </w:rPr>
        <w:t xml:space="preserve">Dynamics of the mangrove forest in the Saloum estuary (Senegal) between 1972 and 2010. </w:t>
      </w:r>
      <w:r w:rsidRPr="006C4960">
        <w:rPr>
          <w:rFonts w:ascii="Arial" w:hAnsi="Arial" w:cs="Arial"/>
          <w:i/>
        </w:rPr>
        <w:t>Cybergeo: European Journal of Geography</w:t>
      </w:r>
      <w:r w:rsidRPr="006C4960">
        <w:rPr>
          <w:rFonts w:ascii="Arial" w:hAnsi="Arial" w:cs="Arial"/>
        </w:rPr>
        <w:t xml:space="preserve">, early online publication, January 9. p.1-22. </w:t>
      </w:r>
      <w:hyperlink r:id="rId40" w:history="1">
        <w:r w:rsidRPr="008F677F">
          <w:rPr>
            <w:rStyle w:val="Hyperlink"/>
            <w:rFonts w:ascii="Arial" w:hAnsi="Arial" w:cs="Arial"/>
            <w:lang w:val="fr-FR"/>
          </w:rPr>
          <w:t>https://doi.org/10.4000/cybergeo.25671</w:t>
        </w:r>
      </w:hyperlink>
      <w:r w:rsidRPr="00E56BA6">
        <w:rPr>
          <w:rFonts w:ascii="Arial" w:hAnsi="Arial" w:cs="Arial"/>
          <w:lang w:val="fr-FR"/>
        </w:rPr>
        <w:t>.</w:t>
      </w:r>
      <w:r>
        <w:rPr>
          <w:rFonts w:ascii="Arial" w:hAnsi="Arial" w:cs="Arial"/>
          <w:lang w:val="fr-FR"/>
        </w:rPr>
        <w:t xml:space="preserve"> </w:t>
      </w:r>
    </w:p>
    <w:p w14:paraId="5FA03A5F" w14:textId="77777777" w:rsidR="00EB1949" w:rsidRPr="00EB1949" w:rsidRDefault="00EB1949" w:rsidP="00EB1949">
      <w:pPr>
        <w:pStyle w:val="Body"/>
        <w:spacing w:before="240" w:after="0"/>
        <w:rPr>
          <w:rFonts w:ascii="Arial" w:hAnsi="Arial" w:cs="Arial"/>
        </w:rPr>
      </w:pPr>
      <w:r w:rsidRPr="00E56BA6">
        <w:rPr>
          <w:rFonts w:ascii="Arial" w:hAnsi="Arial" w:cs="Arial"/>
          <w:lang w:val="fr-FR"/>
        </w:rPr>
        <w:t>DIEYE, E.B., DIAW, A.T., SANE, T., SY, O., et DIOH, P. (2011). </w:t>
      </w:r>
      <w:r w:rsidRPr="006C4960">
        <w:rPr>
          <w:rFonts w:ascii="Arial" w:hAnsi="Arial" w:cs="Arial"/>
        </w:rPr>
        <w:t xml:space="preserve">Climate change and mangrove evolution in the Joal-Fadiouth lagoon (SENEGAL). </w:t>
      </w:r>
      <w:r w:rsidRPr="00EB1949">
        <w:rPr>
          <w:rFonts w:ascii="Arial" w:hAnsi="Arial" w:cs="Arial"/>
          <w:i/>
        </w:rPr>
        <w:t>Symposium of the International Association of Climatology</w:t>
      </w:r>
      <w:r w:rsidRPr="00EB1949">
        <w:rPr>
          <w:rFonts w:ascii="Arial" w:hAnsi="Arial" w:cs="Arial"/>
        </w:rPr>
        <w:t>, p.183</w:t>
      </w:r>
      <w:r w:rsidRPr="00EB1949">
        <w:rPr>
          <w:rFonts w:ascii="Cambria Math" w:hAnsi="Cambria Math" w:cs="Cambria Math"/>
        </w:rPr>
        <w:t>‑</w:t>
      </w:r>
      <w:r w:rsidRPr="00EB1949">
        <w:rPr>
          <w:rFonts w:ascii="Arial" w:hAnsi="Arial" w:cs="Arial"/>
        </w:rPr>
        <w:t>188.</w:t>
      </w:r>
    </w:p>
    <w:p w14:paraId="20EC30AC" w14:textId="77777777" w:rsidR="00EB1949" w:rsidRPr="006C4960" w:rsidRDefault="00EB1949" w:rsidP="00EB1949">
      <w:pPr>
        <w:pStyle w:val="Body"/>
        <w:spacing w:before="240" w:after="0"/>
        <w:rPr>
          <w:rFonts w:ascii="Arial" w:hAnsi="Arial" w:cs="Arial"/>
          <w:i/>
          <w:iCs/>
        </w:rPr>
      </w:pPr>
      <w:r w:rsidRPr="00EB1949">
        <w:rPr>
          <w:rFonts w:ascii="Arial" w:hAnsi="Arial" w:cs="Arial"/>
        </w:rPr>
        <w:t xml:space="preserve">Diop, S. (1990). </w:t>
      </w:r>
      <w:r w:rsidRPr="006C4960">
        <w:rPr>
          <w:rFonts w:ascii="Arial" w:hAnsi="Arial" w:cs="Arial"/>
        </w:rPr>
        <w:t>The West African coast from Saloum (Senegal) to Mellacorée (Republic of Guinea). ORSTOM Publications. Studies and Theses Collection. French Institute for Scientific Research for Development in Cooperation, Paris. (Studies and Theses). University of Strasbourg: Strasbourg. 1986/11. ISBN 2-7099-0982-0. ISSN 0767-2888,</w:t>
      </w:r>
      <w:r>
        <w:rPr>
          <w:rFonts w:ascii="Arial" w:hAnsi="Arial" w:cs="Arial"/>
        </w:rPr>
        <w:t xml:space="preserve"> </w:t>
      </w:r>
      <w:r w:rsidRPr="006C4960">
        <w:rPr>
          <w:rFonts w:ascii="Arial" w:hAnsi="Arial" w:cs="Arial"/>
        </w:rPr>
        <w:t xml:space="preserve">p.379. </w:t>
      </w:r>
    </w:p>
    <w:p w14:paraId="2013FF04" w14:textId="77777777" w:rsidR="00EB1949" w:rsidRPr="006A5A4F" w:rsidRDefault="00EB1949" w:rsidP="00EB1949">
      <w:pPr>
        <w:pStyle w:val="Body"/>
        <w:spacing w:before="240" w:after="0"/>
        <w:rPr>
          <w:rFonts w:ascii="Arial" w:hAnsi="Arial" w:cs="Arial"/>
        </w:rPr>
      </w:pPr>
      <w:r w:rsidRPr="006A5A4F">
        <w:rPr>
          <w:rFonts w:ascii="Arial" w:hAnsi="Arial" w:cs="Arial"/>
        </w:rPr>
        <w:t xml:space="preserve">Diouf, S. N. (2017). </w:t>
      </w:r>
      <w:r w:rsidRPr="006C4960">
        <w:rPr>
          <w:rFonts w:ascii="Arial" w:hAnsi="Arial" w:cs="Arial"/>
        </w:rPr>
        <w:t xml:space="preserve">Study of the effect of wood energy consumption on mangrove forest dynamics: the case of fish processing in the rural community of Djirnda. </w:t>
      </w:r>
      <w:r w:rsidRPr="006A5A4F">
        <w:rPr>
          <w:rFonts w:ascii="Arial" w:hAnsi="Arial" w:cs="Arial"/>
        </w:rPr>
        <w:t>Publibook Publishing, p.64.</w:t>
      </w:r>
    </w:p>
    <w:p w14:paraId="3A2B0FB3" w14:textId="77777777" w:rsidR="00EB1949" w:rsidRPr="006A5A4F" w:rsidRDefault="00EB1949" w:rsidP="00EB1949">
      <w:pPr>
        <w:pStyle w:val="Body"/>
        <w:spacing w:before="240" w:after="0"/>
        <w:rPr>
          <w:rFonts w:ascii="Arial" w:hAnsi="Arial" w:cs="Arial"/>
        </w:rPr>
      </w:pPr>
      <w:r w:rsidRPr="006A5A4F">
        <w:rPr>
          <w:rFonts w:ascii="Arial" w:hAnsi="Arial" w:cs="Arial"/>
        </w:rPr>
        <w:t xml:space="preserve">Failler, P., et Dème, M. (2010). </w:t>
      </w:r>
      <w:r w:rsidRPr="006C4960">
        <w:rPr>
          <w:rFonts w:ascii="Arial" w:hAnsi="Arial" w:cs="Arial"/>
        </w:rPr>
        <w:t xml:space="preserve">Dynamics of exploitation and valorization of fishery resources in the Saloum Delta Biosphere Reserve (RBDS). </w:t>
      </w:r>
      <w:r w:rsidRPr="006A5A4F">
        <w:rPr>
          <w:rFonts w:ascii="Arial" w:hAnsi="Arial" w:cs="Arial"/>
          <w:i/>
        </w:rPr>
        <w:t>Senegalese Journal of Agricultural and Agri-Food Research</w:t>
      </w:r>
      <w:r w:rsidRPr="006A5A4F">
        <w:rPr>
          <w:rFonts w:ascii="Arial" w:hAnsi="Arial" w:cs="Arial"/>
        </w:rPr>
        <w:t xml:space="preserve"> 7 (January): 1</w:t>
      </w:r>
      <w:r w:rsidRPr="006A5A4F">
        <w:rPr>
          <w:rFonts w:ascii="Cambria Math" w:hAnsi="Cambria Math" w:cs="Cambria Math"/>
        </w:rPr>
        <w:t>‑</w:t>
      </w:r>
      <w:r w:rsidRPr="006A5A4F">
        <w:rPr>
          <w:rFonts w:ascii="Arial" w:hAnsi="Arial" w:cs="Arial"/>
        </w:rPr>
        <w:t>23.</w:t>
      </w:r>
    </w:p>
    <w:p w14:paraId="2106184D" w14:textId="77777777" w:rsidR="00EB1949" w:rsidRPr="00E56BA6" w:rsidRDefault="00EB1949" w:rsidP="00EB1949">
      <w:pPr>
        <w:pStyle w:val="Body"/>
        <w:spacing w:before="240" w:after="0"/>
        <w:rPr>
          <w:rFonts w:ascii="Arial" w:hAnsi="Arial" w:cs="Arial"/>
          <w:lang w:val="fr-FR"/>
        </w:rPr>
      </w:pPr>
      <w:r w:rsidRPr="006A5A4F">
        <w:rPr>
          <w:rFonts w:ascii="Arial" w:hAnsi="Arial" w:cs="Arial"/>
        </w:rPr>
        <w:t>Fall, M. (2009). </w:t>
      </w:r>
      <w:r w:rsidRPr="006C4960">
        <w:rPr>
          <w:rFonts w:ascii="Arial" w:hAnsi="Arial" w:cs="Arial"/>
        </w:rPr>
        <w:t xml:space="preserve">Adapting to environmental degradation in the Saloum Delta: Variability in strategies among Socés and Niominkas women in Senegal. </w:t>
      </w:r>
      <w:r w:rsidRPr="006C4960">
        <w:rPr>
          <w:rFonts w:ascii="Arial" w:hAnsi="Arial" w:cs="Arial"/>
          <w:i/>
        </w:rPr>
        <w:t>VertigO - the electronic journal of environmental sciences,</w:t>
      </w:r>
      <w:r w:rsidRPr="006C4960">
        <w:rPr>
          <w:rFonts w:ascii="Arial" w:hAnsi="Arial" w:cs="Arial"/>
        </w:rPr>
        <w:t xml:space="preserve"> Volume 9 Number 2 (September): Volume 9 Number 2,</w:t>
      </w:r>
      <w:r>
        <w:rPr>
          <w:rFonts w:ascii="Arial" w:hAnsi="Arial" w:cs="Arial"/>
        </w:rPr>
        <w:t xml:space="preserve"> </w:t>
      </w:r>
      <w:r w:rsidRPr="006C4960">
        <w:rPr>
          <w:rFonts w:ascii="Arial" w:hAnsi="Arial" w:cs="Arial"/>
        </w:rPr>
        <w:t xml:space="preserve">pp.1-6. </w:t>
      </w:r>
      <w:hyperlink r:id="rId41" w:history="1">
        <w:r w:rsidRPr="00E56BA6">
          <w:rPr>
            <w:rStyle w:val="Hyperlink"/>
            <w:rFonts w:ascii="Arial" w:hAnsi="Arial" w:cs="Arial"/>
            <w:lang w:val="fr-FR"/>
          </w:rPr>
          <w:t>https://doi.org/10.4000/vertigo.8651</w:t>
        </w:r>
      </w:hyperlink>
      <w:r w:rsidRPr="00E56BA6">
        <w:rPr>
          <w:rFonts w:ascii="Arial" w:hAnsi="Arial" w:cs="Arial"/>
          <w:lang w:val="fr-FR"/>
        </w:rPr>
        <w:t>.</w:t>
      </w:r>
    </w:p>
    <w:p w14:paraId="01DF0663" w14:textId="77777777" w:rsidR="00EB1949" w:rsidRPr="005D1712" w:rsidRDefault="00EB1949" w:rsidP="00EB1949">
      <w:pPr>
        <w:pStyle w:val="Body"/>
        <w:spacing w:before="240" w:after="0"/>
        <w:rPr>
          <w:rFonts w:ascii="Arial" w:hAnsi="Arial" w:cs="Arial"/>
        </w:rPr>
      </w:pPr>
      <w:r w:rsidRPr="00E56BA6">
        <w:rPr>
          <w:rFonts w:ascii="Arial" w:hAnsi="Arial" w:cs="Arial"/>
          <w:lang w:val="fr-FR"/>
        </w:rPr>
        <w:t xml:space="preserve">FAYE, C.A.T., NIANG, S., et THIOR, M. (2022). </w:t>
      </w:r>
      <w:r w:rsidRPr="006C4960">
        <w:rPr>
          <w:rFonts w:ascii="Arial" w:hAnsi="Arial" w:cs="Arial"/>
        </w:rPr>
        <w:t xml:space="preserve">The Haut-Saloum tannes in southwestern Senegal: static or dynamic geomorphological sequences? </w:t>
      </w:r>
      <w:r w:rsidRPr="005D1712">
        <w:rPr>
          <w:rFonts w:ascii="Arial" w:hAnsi="Arial" w:cs="Arial"/>
          <w:i/>
        </w:rPr>
        <w:t>Journal of Geography of the University of Ouagadougou</w:t>
      </w:r>
      <w:r w:rsidR="00713005">
        <w:rPr>
          <w:rFonts w:ascii="Arial" w:hAnsi="Arial" w:cs="Arial"/>
        </w:rPr>
        <w:t>, 2 (11)</w:t>
      </w:r>
      <w:r w:rsidRPr="005D1712">
        <w:rPr>
          <w:rFonts w:ascii="Arial" w:hAnsi="Arial" w:cs="Arial"/>
        </w:rPr>
        <w:t>: 189–208.</w:t>
      </w:r>
    </w:p>
    <w:p w14:paraId="6404B138" w14:textId="77777777" w:rsidR="00EB1949" w:rsidRPr="005D1712" w:rsidRDefault="00EB1949" w:rsidP="00EB1949">
      <w:pPr>
        <w:pStyle w:val="Body"/>
        <w:spacing w:before="240" w:after="0"/>
        <w:rPr>
          <w:rFonts w:ascii="Arial" w:hAnsi="Arial" w:cs="Arial"/>
        </w:rPr>
      </w:pPr>
      <w:r w:rsidRPr="005D1712">
        <w:rPr>
          <w:rFonts w:ascii="Arial" w:hAnsi="Arial" w:cs="Arial"/>
        </w:rPr>
        <w:t>Faye, B., D. Tine, Ndiaye, D., Diop, C., Faye, G., et Ndiaye, A. (2019</w:t>
      </w:r>
      <w:r w:rsidRPr="005D1712">
        <w:t xml:space="preserve"> </w:t>
      </w:r>
      <w:r w:rsidRPr="005D1712">
        <w:rPr>
          <w:rFonts w:ascii="Arial" w:hAnsi="Arial" w:cs="Arial"/>
        </w:rPr>
        <w:t xml:space="preserve">Changes in salt marshes in the northern part of the Saloum estuary (Senegal). </w:t>
      </w:r>
      <w:r w:rsidRPr="005D1712">
        <w:rPr>
          <w:rFonts w:ascii="Arial" w:hAnsi="Arial" w:cs="Arial"/>
          <w:i/>
        </w:rPr>
        <w:t>Geomorphology: relief, processes, environment</w:t>
      </w:r>
      <w:r w:rsidRPr="005D1712">
        <w:rPr>
          <w:rFonts w:ascii="Arial" w:hAnsi="Arial" w:cs="Arial"/>
        </w:rPr>
        <w:t xml:space="preserve"> 25 (2): 2, pp.81-90 </w:t>
      </w:r>
      <w:hyperlink r:id="rId42" w:history="1">
        <w:r w:rsidRPr="005D1712">
          <w:rPr>
            <w:rStyle w:val="Hyperlink"/>
            <w:rFonts w:ascii="Arial" w:hAnsi="Arial" w:cs="Arial"/>
          </w:rPr>
          <w:t>https://doi.org/10.4000/geomorphologie.13125</w:t>
        </w:r>
      </w:hyperlink>
      <w:r w:rsidRPr="005D1712">
        <w:rPr>
          <w:rFonts w:ascii="Arial" w:hAnsi="Arial" w:cs="Arial"/>
        </w:rPr>
        <w:t xml:space="preserve">. </w:t>
      </w:r>
    </w:p>
    <w:p w14:paraId="230FA676" w14:textId="77777777" w:rsidR="00EB1949" w:rsidRPr="006A5A4F" w:rsidRDefault="00EB1949" w:rsidP="00EB1949">
      <w:pPr>
        <w:pStyle w:val="Body"/>
        <w:spacing w:before="240" w:after="0"/>
        <w:rPr>
          <w:rFonts w:ascii="Arial" w:hAnsi="Arial" w:cs="Arial"/>
        </w:rPr>
      </w:pPr>
      <w:r w:rsidRPr="005A6DCD">
        <w:rPr>
          <w:rFonts w:ascii="Arial" w:hAnsi="Arial" w:cs="Arial"/>
          <w:lang w:val="fr-FR"/>
        </w:rPr>
        <w:t xml:space="preserve">Faye, M. N., Guissé, A., et Diallo, N. (2007). </w:t>
      </w:r>
      <w:r w:rsidR="006A5A4F">
        <w:rPr>
          <w:rFonts w:ascii="Arial" w:hAnsi="Arial" w:cs="Arial"/>
        </w:rPr>
        <w:t>I</w:t>
      </w:r>
      <w:r w:rsidRPr="005D1712">
        <w:rPr>
          <w:rFonts w:ascii="Arial" w:hAnsi="Arial" w:cs="Arial"/>
        </w:rPr>
        <w:t xml:space="preserve">nfluence of pH, water salinity, and soil texture on vegetation in the Saloum Estuary mangrove forest in Senegal. </w:t>
      </w:r>
      <w:r w:rsidRPr="006A5A4F">
        <w:rPr>
          <w:rFonts w:ascii="Arial" w:hAnsi="Arial" w:cs="Arial"/>
          <w:i/>
        </w:rPr>
        <w:t>Journal of Science and Technology</w:t>
      </w:r>
      <w:r w:rsidR="00713005">
        <w:rPr>
          <w:rFonts w:ascii="Arial" w:hAnsi="Arial" w:cs="Arial"/>
        </w:rPr>
        <w:t xml:space="preserve"> – vol. 5 (no. 1): </w:t>
      </w:r>
      <w:r w:rsidRPr="006A5A4F">
        <w:rPr>
          <w:rFonts w:ascii="Arial" w:hAnsi="Arial" w:cs="Arial"/>
        </w:rPr>
        <w:t>8</w:t>
      </w:r>
      <w:r w:rsidRPr="006A5A4F">
        <w:rPr>
          <w:rFonts w:ascii="Cambria Math" w:hAnsi="Cambria Math" w:cs="Cambria Math"/>
        </w:rPr>
        <w:t>‑</w:t>
      </w:r>
      <w:r w:rsidRPr="006A5A4F">
        <w:rPr>
          <w:rFonts w:ascii="Arial" w:hAnsi="Arial" w:cs="Arial"/>
        </w:rPr>
        <w:t>17.</w:t>
      </w:r>
    </w:p>
    <w:p w14:paraId="2A71C3AD" w14:textId="77777777" w:rsidR="00EB1949" w:rsidRPr="00E56BA6" w:rsidRDefault="00EB1949" w:rsidP="00EB1949">
      <w:pPr>
        <w:pStyle w:val="Body"/>
        <w:spacing w:before="240" w:after="0"/>
        <w:rPr>
          <w:rFonts w:ascii="Arial" w:hAnsi="Arial" w:cs="Arial"/>
        </w:rPr>
      </w:pPr>
      <w:r w:rsidRPr="006A5A4F">
        <w:rPr>
          <w:rFonts w:ascii="Arial" w:hAnsi="Arial" w:cs="Arial"/>
        </w:rPr>
        <w:t xml:space="preserve">FONTY, G. (2021). The effect of plastics on marine ecosystems, </w:t>
      </w:r>
      <w:r w:rsidRPr="006A5A4F">
        <w:rPr>
          <w:rFonts w:ascii="Arial" w:hAnsi="Arial" w:cs="Arial"/>
          <w:i/>
        </w:rPr>
        <w:t xml:space="preserve">La Revue du Centre Michel de L'Hospital </w:t>
      </w:r>
      <w:r w:rsidRPr="006A5A4F">
        <w:rPr>
          <w:rFonts w:ascii="Arial" w:hAnsi="Arial" w:cs="Arial"/>
        </w:rPr>
        <w:t xml:space="preserve">[Online], 23 | 2021, published online on March 28, 2022, accessed on August 29, 2025., p.13. </w:t>
      </w:r>
      <w:r w:rsidRPr="00E56BA6">
        <w:rPr>
          <w:rFonts w:ascii="Arial" w:hAnsi="Arial" w:cs="Arial"/>
        </w:rPr>
        <w:t xml:space="preserve">URL: </w:t>
      </w:r>
      <w:hyperlink r:id="rId43" w:history="1">
        <w:r w:rsidRPr="00E56BA6">
          <w:rPr>
            <w:rStyle w:val="Hyperlink"/>
            <w:rFonts w:ascii="Arial" w:hAnsi="Arial" w:cs="Arial"/>
            <w:b/>
            <w:bCs/>
          </w:rPr>
          <w:t>http://revues-msh.uca.fr/revue-cmh/index.php?id=425</w:t>
        </w:r>
      </w:hyperlink>
      <w:r w:rsidRPr="00E56BA6">
        <w:rPr>
          <w:rFonts w:ascii="Arial" w:hAnsi="Arial" w:cs="Arial"/>
        </w:rPr>
        <w:t>.</w:t>
      </w:r>
    </w:p>
    <w:p w14:paraId="696C9046" w14:textId="77777777" w:rsidR="00EB1949" w:rsidRPr="006A5A4F" w:rsidRDefault="00EB1949" w:rsidP="00EB1949">
      <w:pPr>
        <w:pStyle w:val="Body"/>
        <w:spacing w:before="240" w:after="0"/>
        <w:rPr>
          <w:rFonts w:ascii="Arial" w:hAnsi="Arial" w:cs="Arial"/>
        </w:rPr>
      </w:pPr>
      <w:r w:rsidRPr="00E56BA6">
        <w:rPr>
          <w:rFonts w:ascii="Arial" w:hAnsi="Arial" w:cs="Arial"/>
          <w:lang w:val="fr-FR"/>
        </w:rPr>
        <w:t xml:space="preserve">Fousseni, F., Andrianamenoso, R., Kperkouma, W., et al. </w:t>
      </w:r>
      <w:r w:rsidRPr="006A5A4F">
        <w:rPr>
          <w:rFonts w:ascii="Arial" w:hAnsi="Arial" w:cs="Arial"/>
        </w:rPr>
        <w:t>(2017).  </w:t>
      </w:r>
      <w:r w:rsidRPr="005D1712">
        <w:rPr>
          <w:rFonts w:ascii="Arial" w:hAnsi="Arial" w:cs="Arial"/>
        </w:rPr>
        <w:t xml:space="preserve">Ecology and spatio-temporal dynamics of mangroves in Togo. </w:t>
      </w:r>
      <w:r w:rsidRPr="005D1712">
        <w:rPr>
          <w:rFonts w:ascii="Arial" w:hAnsi="Arial" w:cs="Arial"/>
          <w:i/>
        </w:rPr>
        <w:t>VertigO: the electronic journal of environmental sciences</w:t>
      </w:r>
      <w:r w:rsidRPr="005D1712">
        <w:rPr>
          <w:rFonts w:ascii="Arial" w:hAnsi="Arial" w:cs="Arial"/>
        </w:rPr>
        <w:t xml:space="preserve"> 17 (3), pp.1-23. </w:t>
      </w:r>
      <w:hyperlink r:id="rId44" w:history="1">
        <w:r w:rsidRPr="006A5A4F">
          <w:rPr>
            <w:rStyle w:val="Hyperlink"/>
            <w:rFonts w:ascii="Arial" w:hAnsi="Arial" w:cs="Arial"/>
          </w:rPr>
          <w:t>https://www.erudit.org/fr/revues/vertigo/2017-v17-n3-vertigo04476/1058386ar/</w:t>
        </w:r>
      </w:hyperlink>
      <w:r w:rsidRPr="006A5A4F">
        <w:rPr>
          <w:rFonts w:ascii="Arial" w:hAnsi="Arial" w:cs="Arial"/>
        </w:rPr>
        <w:t>.</w:t>
      </w:r>
    </w:p>
    <w:p w14:paraId="04E7B1C3" w14:textId="77777777" w:rsidR="00EB1949" w:rsidRPr="005D1712" w:rsidRDefault="00EB1949" w:rsidP="00EB1949">
      <w:pPr>
        <w:pStyle w:val="Body"/>
        <w:spacing w:before="240" w:after="0"/>
        <w:rPr>
          <w:rFonts w:ascii="Arial" w:hAnsi="Arial" w:cs="Arial"/>
        </w:rPr>
      </w:pPr>
      <w:r w:rsidRPr="006A5A4F">
        <w:rPr>
          <w:rFonts w:ascii="Arial" w:hAnsi="Arial" w:cs="Arial"/>
        </w:rPr>
        <w:t>Francoeur, M. (2009). </w:t>
      </w:r>
      <w:r w:rsidRPr="005D1712">
        <w:rPr>
          <w:rFonts w:ascii="Arial" w:hAnsi="Arial" w:cs="Arial"/>
        </w:rPr>
        <w:t>Shrimp farming: a threat to mangroves? Master's thesis, Faculty of Science, University of Sherbrooke,</w:t>
      </w:r>
      <w:r>
        <w:rPr>
          <w:rFonts w:ascii="Arial" w:hAnsi="Arial" w:cs="Arial"/>
        </w:rPr>
        <w:t xml:space="preserve"> </w:t>
      </w:r>
      <w:r w:rsidRPr="005D1712">
        <w:rPr>
          <w:rFonts w:ascii="Arial" w:hAnsi="Arial" w:cs="Arial"/>
        </w:rPr>
        <w:t>p.103.</w:t>
      </w:r>
    </w:p>
    <w:p w14:paraId="479B41A2" w14:textId="77777777" w:rsidR="00EB1949" w:rsidRPr="006A5A4F" w:rsidRDefault="00EB1949" w:rsidP="00EB1949">
      <w:pPr>
        <w:pStyle w:val="Body"/>
        <w:spacing w:before="240" w:after="0"/>
        <w:rPr>
          <w:rFonts w:ascii="Arial" w:hAnsi="Arial" w:cs="Arial"/>
        </w:rPr>
      </w:pPr>
      <w:r w:rsidRPr="00E56BA6">
        <w:rPr>
          <w:rFonts w:ascii="Arial" w:hAnsi="Arial" w:cs="Arial"/>
          <w:lang w:val="fr-FR"/>
        </w:rPr>
        <w:lastRenderedPageBreak/>
        <w:t xml:space="preserve">Guissé, A., Faye, M.N., Diallo, N. (2007). </w:t>
      </w:r>
      <w:r w:rsidRPr="005D1712">
        <w:rPr>
          <w:rFonts w:ascii="Arial" w:hAnsi="Arial" w:cs="Arial"/>
        </w:rPr>
        <w:t xml:space="preserve">Influence of pH, water salinity, and soil texture on mangrove vegetation in the Saloum estuary in Senegal. </w:t>
      </w:r>
      <w:r w:rsidRPr="006A5A4F">
        <w:rPr>
          <w:rFonts w:ascii="Arial" w:hAnsi="Arial" w:cs="Arial"/>
        </w:rPr>
        <w:t>Journal of Science and Technology vol. 5, pp 8–17.</w:t>
      </w:r>
    </w:p>
    <w:p w14:paraId="2A31BBBE" w14:textId="77777777" w:rsidR="00EB1949" w:rsidRPr="00E56BA6" w:rsidRDefault="00EB1949" w:rsidP="00EB1949">
      <w:pPr>
        <w:pStyle w:val="Body"/>
        <w:spacing w:before="240" w:after="0"/>
        <w:rPr>
          <w:rFonts w:ascii="Arial" w:hAnsi="Arial" w:cs="Arial"/>
        </w:rPr>
      </w:pPr>
      <w:r w:rsidRPr="006A5A4F">
        <w:rPr>
          <w:rFonts w:ascii="Arial" w:hAnsi="Arial" w:cs="Arial"/>
        </w:rPr>
        <w:t xml:space="preserve">Jelibseda, J., Rahayu, Y. G., S, S. H., Muhayatul, M., Syah, N., Barlian, E., Umar, I., Dewata, I., &amp; Kamal, E. (2025, June 14). </w:t>
      </w:r>
      <w:r w:rsidRPr="00E56BA6">
        <w:rPr>
          <w:rFonts w:ascii="Arial" w:hAnsi="Arial" w:cs="Arial"/>
        </w:rPr>
        <w:t>E</w:t>
      </w:r>
      <w:r w:rsidRPr="00E56BA6">
        <w:rPr>
          <w:rFonts w:ascii="Arial" w:hAnsi="Arial" w:cs="Arial"/>
          <w:iCs/>
        </w:rPr>
        <w:t>cological and socioeconomic importance of mangrove ecosystems: a case study of Muar Johor, Malaysia [Pentingnya ekosistem mangrove secara ekologis dan sosial ekonomi: studi kasus di Muar Johor, Malaysia]</w:t>
      </w:r>
      <w:r w:rsidRPr="00E56BA6">
        <w:rPr>
          <w:rFonts w:ascii="Arial" w:hAnsi="Arial" w:cs="Arial"/>
        </w:rPr>
        <w:t xml:space="preserve">. Jelibseda | Al-Ihtiram: Multidisciplinary Journal of Counselling and Social Research. </w:t>
      </w:r>
      <w:hyperlink r:id="rId45" w:history="1">
        <w:r w:rsidRPr="00E56BA6">
          <w:rPr>
            <w:rStyle w:val="Hyperlink"/>
            <w:rFonts w:ascii="Arial" w:hAnsi="Arial" w:cs="Arial"/>
          </w:rPr>
          <w:t>https://jurnal.pabki.org/index.php/alihtiram/article/view/961/330</w:t>
        </w:r>
      </w:hyperlink>
    </w:p>
    <w:p w14:paraId="50FC4456" w14:textId="77777777" w:rsidR="00EB1949" w:rsidRPr="00E56BA6" w:rsidRDefault="00EB1949" w:rsidP="00EB1949">
      <w:pPr>
        <w:pStyle w:val="Body"/>
        <w:spacing w:before="240" w:after="0"/>
        <w:rPr>
          <w:rFonts w:ascii="Arial" w:hAnsi="Arial" w:cs="Arial"/>
          <w:lang w:val="fr-FR"/>
        </w:rPr>
      </w:pPr>
      <w:r w:rsidRPr="00CC35D3">
        <w:rPr>
          <w:rFonts w:ascii="Arial" w:hAnsi="Arial" w:cs="Arial"/>
        </w:rPr>
        <w:t>Lombard, F. (2023). </w:t>
      </w:r>
      <w:r w:rsidRPr="005D1712">
        <w:rPr>
          <w:rFonts w:ascii="Arial" w:hAnsi="Arial" w:cs="Arial"/>
        </w:rPr>
        <w:t xml:space="preserve">Spatio-temporal dynamics of the Senegalese mangrove: Characterization of plant species resilience through spatial modeling of biological processes. </w:t>
      </w:r>
      <w:r w:rsidRPr="005D1712">
        <w:rPr>
          <w:rFonts w:ascii="Arial" w:hAnsi="Arial" w:cs="Arial"/>
          <w:lang w:val="fr-FR"/>
        </w:rPr>
        <w:t xml:space="preserve">PhD Thesis, Université Côte d’Azur, </w:t>
      </w:r>
      <w:r w:rsidRPr="00E56BA6">
        <w:rPr>
          <w:rFonts w:ascii="Arial" w:hAnsi="Arial" w:cs="Arial"/>
          <w:lang w:val="fr-FR"/>
        </w:rPr>
        <w:t xml:space="preserve">p.300. </w:t>
      </w:r>
      <w:hyperlink r:id="rId46" w:history="1">
        <w:r w:rsidRPr="00E56BA6">
          <w:rPr>
            <w:rStyle w:val="Hyperlink"/>
            <w:rFonts w:ascii="Arial" w:hAnsi="Arial" w:cs="Arial"/>
            <w:lang w:val="fr-FR"/>
          </w:rPr>
          <w:t>https://hal.science/tel-04431000</w:t>
        </w:r>
      </w:hyperlink>
      <w:r w:rsidRPr="00E56BA6">
        <w:rPr>
          <w:rFonts w:ascii="Arial" w:hAnsi="Arial" w:cs="Arial"/>
          <w:lang w:val="fr-FR"/>
        </w:rPr>
        <w:t>.</w:t>
      </w:r>
    </w:p>
    <w:p w14:paraId="78D668B0" w14:textId="77777777" w:rsidR="00EB1949" w:rsidRPr="006A5A4F" w:rsidRDefault="00EB1949" w:rsidP="00EB1949">
      <w:pPr>
        <w:pStyle w:val="Body"/>
        <w:spacing w:before="240" w:after="0"/>
        <w:rPr>
          <w:rFonts w:ascii="Arial" w:hAnsi="Arial" w:cs="Arial"/>
        </w:rPr>
      </w:pPr>
      <w:r w:rsidRPr="006A5A4F">
        <w:rPr>
          <w:rFonts w:ascii="Arial" w:hAnsi="Arial" w:cs="Arial"/>
        </w:rPr>
        <w:t xml:space="preserve">Macera, L. (2024, May 22). </w:t>
      </w:r>
      <w:r w:rsidRPr="005D1712">
        <w:rPr>
          <w:rFonts w:ascii="Arial" w:hAnsi="Arial" w:cs="Arial"/>
          <w:i/>
          <w:iCs/>
        </w:rPr>
        <w:t>Restoration of mangrove ecosystems: evaluation and improvement of practices through a comparative study of projects worldwide.</w:t>
      </w:r>
      <w:r>
        <w:rPr>
          <w:rFonts w:ascii="Arial" w:hAnsi="Arial" w:cs="Arial"/>
          <w:i/>
          <w:iCs/>
        </w:rPr>
        <w:t xml:space="preserve"> </w:t>
      </w:r>
      <w:r w:rsidRPr="005D1712">
        <w:rPr>
          <w:rFonts w:ascii="Arial" w:hAnsi="Arial" w:cs="Arial"/>
        </w:rPr>
        <w:t xml:space="preserve">p. 358. </w:t>
      </w:r>
      <w:hyperlink r:id="rId47" w:history="1">
        <w:r w:rsidRPr="006A5A4F">
          <w:rPr>
            <w:rStyle w:val="Hyperlink"/>
            <w:rFonts w:ascii="Arial" w:hAnsi="Arial" w:cs="Arial"/>
          </w:rPr>
          <w:t>https://theses.hal.science/tel-04652570</w:t>
        </w:r>
      </w:hyperlink>
      <w:r w:rsidRPr="006A5A4F">
        <w:rPr>
          <w:rFonts w:ascii="Arial" w:hAnsi="Arial" w:cs="Arial"/>
        </w:rPr>
        <w:t xml:space="preserve"> </w:t>
      </w:r>
    </w:p>
    <w:p w14:paraId="547B12C9" w14:textId="77777777" w:rsidR="00EB1949" w:rsidRPr="006A5A4F" w:rsidRDefault="00EB1949" w:rsidP="00EB1949">
      <w:pPr>
        <w:pStyle w:val="Body"/>
        <w:spacing w:before="240" w:after="0"/>
        <w:rPr>
          <w:rFonts w:ascii="Arial" w:hAnsi="Arial" w:cs="Arial"/>
        </w:rPr>
      </w:pPr>
      <w:r w:rsidRPr="006A5A4F">
        <w:rPr>
          <w:rFonts w:ascii="Arial" w:hAnsi="Arial" w:cs="Arial"/>
        </w:rPr>
        <w:t>Marius, C. (1979). </w:t>
      </w:r>
      <w:r w:rsidRPr="005D1712">
        <w:rPr>
          <w:rFonts w:ascii="Arial" w:hAnsi="Arial" w:cs="Arial"/>
        </w:rPr>
        <w:t xml:space="preserve">Effect of drought on the phytogeographic and pedological evolution of the Lower Casamance mangrove. </w:t>
      </w:r>
      <w:r w:rsidRPr="006A5A4F">
        <w:rPr>
          <w:rFonts w:ascii="Arial" w:hAnsi="Arial" w:cs="Arial"/>
          <w:i/>
        </w:rPr>
        <w:t>Bulletin of the Institut Fondamental d'Afrique Noire</w:t>
      </w:r>
      <w:r w:rsidRPr="006A5A4F">
        <w:rPr>
          <w:rFonts w:ascii="Arial" w:hAnsi="Arial" w:cs="Arial"/>
        </w:rPr>
        <w:t xml:space="preserve"> (IFAN) series A (4): 669</w:t>
      </w:r>
      <w:r w:rsidRPr="006A5A4F">
        <w:rPr>
          <w:rFonts w:ascii="Cambria Math" w:hAnsi="Cambria Math" w:cs="Cambria Math"/>
        </w:rPr>
        <w:t>‑</w:t>
      </w:r>
      <w:r w:rsidRPr="006A5A4F">
        <w:rPr>
          <w:rFonts w:ascii="Arial" w:hAnsi="Arial" w:cs="Arial"/>
        </w:rPr>
        <w:t>691.</w:t>
      </w:r>
    </w:p>
    <w:p w14:paraId="108C83C3" w14:textId="77777777" w:rsidR="00EB1949" w:rsidRPr="006A5A4F" w:rsidRDefault="00EB1949" w:rsidP="00EB1949">
      <w:pPr>
        <w:pStyle w:val="Body"/>
        <w:spacing w:before="240" w:after="0"/>
        <w:rPr>
          <w:rFonts w:ascii="Arial" w:hAnsi="Arial" w:cs="Arial"/>
        </w:rPr>
      </w:pPr>
      <w:r w:rsidRPr="00E56BA6">
        <w:rPr>
          <w:rFonts w:ascii="Arial" w:hAnsi="Arial" w:cs="Arial"/>
          <w:lang w:val="fi-FI"/>
        </w:rPr>
        <w:t xml:space="preserve">Matoko, J. B., Malanda, G. S., Kinkela, J. M., &amp; Shutcha, M. N. (2025). </w:t>
      </w:r>
      <w:r w:rsidRPr="005D1712">
        <w:rPr>
          <w:rFonts w:ascii="Arial" w:hAnsi="Arial" w:cs="Arial"/>
        </w:rPr>
        <w:t xml:space="preserve">Stakeholder perceptions of ecosystem services in the Mangrove Marine Park in the Democratic Republic of Congo. </w:t>
      </w:r>
      <w:r w:rsidRPr="006A5A4F">
        <w:rPr>
          <w:rFonts w:ascii="Arial" w:hAnsi="Arial" w:cs="Arial"/>
          <w:i/>
        </w:rPr>
        <w:t>African Journal of Environment and Agriculture,</w:t>
      </w:r>
      <w:r w:rsidRPr="006A5A4F">
        <w:rPr>
          <w:rFonts w:ascii="Arial" w:hAnsi="Arial" w:cs="Arial"/>
        </w:rPr>
        <w:t xml:space="preserve"> </w:t>
      </w:r>
      <w:r w:rsidRPr="006A5A4F">
        <w:rPr>
          <w:rFonts w:ascii="Arial" w:hAnsi="Arial" w:cs="Arial"/>
          <w:i/>
          <w:iCs/>
        </w:rPr>
        <w:t>8</w:t>
      </w:r>
      <w:r w:rsidRPr="006A5A4F">
        <w:rPr>
          <w:rFonts w:ascii="Arial" w:hAnsi="Arial" w:cs="Arial"/>
        </w:rPr>
        <w:t xml:space="preserve">(2), 89–99. </w:t>
      </w:r>
      <w:hyperlink r:id="rId48" w:history="1">
        <w:r w:rsidRPr="006A5A4F">
          <w:rPr>
            <w:rStyle w:val="Hyperlink"/>
            <w:rFonts w:ascii="Arial" w:hAnsi="Arial" w:cs="Arial"/>
          </w:rPr>
          <w:t>https://doi.org/10.4314/rafea.v8i2.8</w:t>
        </w:r>
      </w:hyperlink>
      <w:r w:rsidRPr="006A5A4F">
        <w:rPr>
          <w:rFonts w:ascii="Arial" w:hAnsi="Arial" w:cs="Arial"/>
        </w:rPr>
        <w:t xml:space="preserve"> </w:t>
      </w:r>
    </w:p>
    <w:p w14:paraId="79A7820A" w14:textId="77777777" w:rsidR="00EB1949" w:rsidRPr="00A47391" w:rsidRDefault="00EB1949" w:rsidP="00EB1949">
      <w:pPr>
        <w:pStyle w:val="Body"/>
        <w:spacing w:before="240" w:after="0"/>
        <w:rPr>
          <w:rFonts w:ascii="Arial" w:hAnsi="Arial" w:cs="Arial"/>
        </w:rPr>
      </w:pPr>
      <w:r w:rsidRPr="00E56BA6">
        <w:rPr>
          <w:rFonts w:ascii="Arial" w:hAnsi="Arial" w:cs="Arial"/>
          <w:lang w:val="fr-FR"/>
        </w:rPr>
        <w:t>Mephu Nguifo, E., et Njiwoua, P. (2005). </w:t>
      </w:r>
      <w:r w:rsidRPr="00A47391">
        <w:rPr>
          <w:rFonts w:ascii="Arial" w:hAnsi="Arial" w:cs="Arial"/>
        </w:rPr>
        <w:t xml:space="preserve">Concept lattices and supervised classification. </w:t>
      </w:r>
      <w:r w:rsidRPr="006A5A4F">
        <w:rPr>
          <w:rFonts w:ascii="Arial" w:hAnsi="Arial" w:cs="Arial"/>
          <w:i/>
        </w:rPr>
        <w:t>ResearchGate</w:t>
      </w:r>
      <w:r w:rsidRPr="00A47391">
        <w:rPr>
          <w:rFonts w:ascii="Arial" w:hAnsi="Arial" w:cs="Arial"/>
        </w:rPr>
        <w:t>, Computer Science and Technology, vol. 24 (4</w:t>
      </w:r>
      <w:proofErr w:type="gramStart"/>
      <w:r w:rsidRPr="00A47391">
        <w:rPr>
          <w:rFonts w:ascii="Arial" w:hAnsi="Arial" w:cs="Arial"/>
        </w:rPr>
        <w:t>) :</w:t>
      </w:r>
      <w:proofErr w:type="gramEnd"/>
      <w:r w:rsidRPr="00A47391">
        <w:rPr>
          <w:rFonts w:ascii="Arial" w:hAnsi="Arial" w:cs="Arial"/>
        </w:rPr>
        <w:t xml:space="preserve"> 449</w:t>
      </w:r>
      <w:r w:rsidRPr="00A47391">
        <w:rPr>
          <w:rFonts w:ascii="Cambria Math" w:hAnsi="Cambria Math" w:cs="Cambria Math"/>
        </w:rPr>
        <w:t>‑</w:t>
      </w:r>
      <w:r w:rsidRPr="00A47391">
        <w:rPr>
          <w:rFonts w:ascii="Arial" w:hAnsi="Arial" w:cs="Arial"/>
        </w:rPr>
        <w:t xml:space="preserve">488. https://doi.org/DOI: 10.3166/tsi.24.449-488.  </w:t>
      </w:r>
    </w:p>
    <w:p w14:paraId="2A34AE4C" w14:textId="77777777" w:rsidR="00EB1949" w:rsidRPr="006A5A4F" w:rsidRDefault="00EB1949" w:rsidP="00EB1949">
      <w:pPr>
        <w:pStyle w:val="Body"/>
        <w:spacing w:before="240" w:after="0"/>
        <w:rPr>
          <w:rFonts w:ascii="Arial" w:hAnsi="Arial" w:cs="Arial"/>
        </w:rPr>
      </w:pPr>
      <w:r w:rsidRPr="00E56BA6">
        <w:rPr>
          <w:rFonts w:ascii="Arial" w:hAnsi="Arial" w:cs="Arial"/>
        </w:rPr>
        <w:t xml:space="preserve">Ndour, N., Dieng, S.D., Fall, M., 2012. </w:t>
      </w:r>
      <w:r w:rsidRPr="00A47391">
        <w:rPr>
          <w:rFonts w:ascii="Arial" w:hAnsi="Arial" w:cs="Arial"/>
        </w:rPr>
        <w:t xml:space="preserve">Roles of mangroves, management methods and prospects in the Saloum Delta (Senegal). </w:t>
      </w:r>
      <w:r w:rsidRPr="006A5A4F">
        <w:rPr>
          <w:rFonts w:ascii="Arial" w:hAnsi="Arial" w:cs="Arial"/>
        </w:rPr>
        <w:t xml:space="preserve">VertigO - the electronic journal of environmental sciences, p. 15. </w:t>
      </w:r>
      <w:hyperlink r:id="rId49" w:history="1">
        <w:r w:rsidRPr="006A5A4F">
          <w:rPr>
            <w:rStyle w:val="Hyperlink"/>
            <w:rFonts w:ascii="Arial" w:hAnsi="Arial" w:cs="Arial"/>
            <w:b/>
            <w:bCs/>
          </w:rPr>
          <w:t>https://doi.org/10.4000/vertigo.11515</w:t>
        </w:r>
      </w:hyperlink>
    </w:p>
    <w:p w14:paraId="420F6C68" w14:textId="77777777" w:rsidR="00EB1949" w:rsidRPr="00E56BA6" w:rsidRDefault="00EB1949" w:rsidP="00EB1949">
      <w:pPr>
        <w:pStyle w:val="Body"/>
        <w:spacing w:before="240" w:after="0"/>
        <w:rPr>
          <w:rFonts w:ascii="Arial" w:hAnsi="Arial" w:cs="Arial"/>
          <w:lang w:val="fr-FR"/>
        </w:rPr>
      </w:pPr>
      <w:r w:rsidRPr="006A5A4F">
        <w:rPr>
          <w:rFonts w:ascii="Arial" w:hAnsi="Arial" w:cs="Arial"/>
        </w:rPr>
        <w:t xml:space="preserve">Poulon, F. (2015). </w:t>
      </w:r>
      <w:r w:rsidRPr="00A47391">
        <w:rPr>
          <w:rFonts w:ascii="Arial" w:hAnsi="Arial" w:cs="Arial"/>
        </w:rPr>
        <w:t xml:space="preserve">1. The ensemble method. </w:t>
      </w:r>
      <w:r w:rsidRPr="00A47391">
        <w:rPr>
          <w:rFonts w:ascii="Arial" w:hAnsi="Arial" w:cs="Arial"/>
          <w:i/>
        </w:rPr>
        <w:t>In General Economics</w:t>
      </w:r>
      <w:r w:rsidRPr="00A47391">
        <w:rPr>
          <w:rFonts w:ascii="Arial" w:hAnsi="Arial" w:cs="Arial"/>
        </w:rPr>
        <w:t xml:space="preserve"> (Vol. 8, pp. 9–43). </w:t>
      </w:r>
      <w:hyperlink r:id="rId50" w:history="1">
        <w:r w:rsidRPr="008F677F">
          <w:rPr>
            <w:rStyle w:val="Hyperlink"/>
            <w:rFonts w:ascii="Arial" w:hAnsi="Arial" w:cs="Arial"/>
            <w:lang w:val="fr-FR"/>
          </w:rPr>
          <w:t>https://shs.cairn.info/economie-generale--9782100722433-page-9</w:t>
        </w:r>
      </w:hyperlink>
      <w:r w:rsidRPr="00E56BA6">
        <w:rPr>
          <w:rFonts w:ascii="Arial" w:hAnsi="Arial" w:cs="Arial"/>
          <w:lang w:val="fr-FR"/>
        </w:rPr>
        <w:t>.</w:t>
      </w:r>
      <w:r>
        <w:rPr>
          <w:rFonts w:ascii="Arial" w:hAnsi="Arial" w:cs="Arial"/>
          <w:lang w:val="fr-FR"/>
        </w:rPr>
        <w:t xml:space="preserve"> </w:t>
      </w:r>
      <w:r w:rsidRPr="00E56BA6">
        <w:rPr>
          <w:rFonts w:ascii="Arial" w:hAnsi="Arial" w:cs="Arial"/>
          <w:lang w:val="fr-FR"/>
        </w:rPr>
        <w:t xml:space="preserve"> (Consulte le 20/08/2025)</w:t>
      </w:r>
    </w:p>
    <w:p w14:paraId="64BEA09B" w14:textId="77777777" w:rsidR="00EB1949" w:rsidRPr="00A47391" w:rsidRDefault="00EB1949" w:rsidP="00EB1949">
      <w:pPr>
        <w:pStyle w:val="Body"/>
        <w:spacing w:before="240" w:after="0"/>
        <w:rPr>
          <w:rFonts w:ascii="Arial" w:hAnsi="Arial" w:cs="Arial"/>
        </w:rPr>
      </w:pPr>
      <w:r w:rsidRPr="00E56BA6">
        <w:rPr>
          <w:rFonts w:ascii="Arial" w:hAnsi="Arial" w:cs="Arial"/>
          <w:lang w:val="fr-FR"/>
        </w:rPr>
        <w:t xml:space="preserve">Proisy, C. et Mougin, E. (1998). </w:t>
      </w:r>
      <w:r w:rsidRPr="00A47391">
        <w:rPr>
          <w:rFonts w:ascii="Arial" w:hAnsi="Arial" w:cs="Arial"/>
        </w:rPr>
        <w:t>Radar remote sensing of mangroves in French Guiana, Center for Space Studies</w:t>
      </w:r>
      <w:r>
        <w:rPr>
          <w:rFonts w:ascii="Arial" w:hAnsi="Arial" w:cs="Arial"/>
        </w:rPr>
        <w:t xml:space="preserve"> of the Biosphere, France, p. 26 </w:t>
      </w:r>
    </w:p>
    <w:p w14:paraId="00243773" w14:textId="77777777" w:rsidR="00EB1949" w:rsidRPr="00E56BA6" w:rsidRDefault="00EB1949" w:rsidP="00EB1949">
      <w:pPr>
        <w:pStyle w:val="Body"/>
        <w:spacing w:before="240" w:after="0"/>
        <w:rPr>
          <w:rFonts w:ascii="Arial" w:hAnsi="Arial" w:cs="Arial"/>
          <w:lang w:val="fr-FR"/>
        </w:rPr>
      </w:pPr>
      <w:r w:rsidRPr="00A47391">
        <w:rPr>
          <w:rFonts w:ascii="Arial" w:hAnsi="Arial" w:cs="Arial"/>
          <w:lang w:val="fr-FR"/>
        </w:rPr>
        <w:t xml:space="preserve">Prost, M., et Charron, C. (1994). </w:t>
      </w:r>
      <w:r w:rsidRPr="00A47391">
        <w:rPr>
          <w:rFonts w:ascii="Arial" w:hAnsi="Arial" w:cs="Arial"/>
        </w:rPr>
        <w:t xml:space="preserve">Coastal erosion in French Guiana. </w:t>
      </w:r>
      <w:r w:rsidRPr="00A47391">
        <w:rPr>
          <w:rFonts w:ascii="Arial" w:hAnsi="Arial" w:cs="Arial"/>
          <w:i/>
          <w:lang w:val="fr-FR"/>
        </w:rPr>
        <w:t>Cahiers Du Centre Nantais De Recherche Pour l’Aménagement Régiona</w:t>
      </w:r>
      <w:r w:rsidRPr="00A47391">
        <w:rPr>
          <w:rFonts w:ascii="Arial" w:hAnsi="Arial" w:cs="Arial"/>
          <w:lang w:val="fr-FR"/>
        </w:rPr>
        <w:t xml:space="preserve">l (Journal of the Nantes Center for </w:t>
      </w:r>
      <w:proofErr w:type="spellStart"/>
      <w:r w:rsidRPr="00A47391">
        <w:rPr>
          <w:rFonts w:ascii="Arial" w:hAnsi="Arial" w:cs="Arial"/>
          <w:lang w:val="fr-FR"/>
        </w:rPr>
        <w:t>Regional</w:t>
      </w:r>
      <w:proofErr w:type="spellEnd"/>
      <w:r w:rsidRPr="00A47391">
        <w:rPr>
          <w:rFonts w:ascii="Arial" w:hAnsi="Arial" w:cs="Arial"/>
          <w:lang w:val="fr-FR"/>
        </w:rPr>
        <w:t xml:space="preserve"> </w:t>
      </w:r>
      <w:proofErr w:type="spellStart"/>
      <w:r w:rsidRPr="00A47391">
        <w:rPr>
          <w:rFonts w:ascii="Arial" w:hAnsi="Arial" w:cs="Arial"/>
          <w:lang w:val="fr-FR"/>
        </w:rPr>
        <w:t>Development</w:t>
      </w:r>
      <w:proofErr w:type="spellEnd"/>
      <w:r w:rsidRPr="00A47391">
        <w:rPr>
          <w:rFonts w:ascii="Arial" w:hAnsi="Arial" w:cs="Arial"/>
          <w:lang w:val="fr-FR"/>
        </w:rPr>
        <w:t xml:space="preserve"> </w:t>
      </w:r>
      <w:proofErr w:type="spellStart"/>
      <w:r w:rsidRPr="00A47391">
        <w:rPr>
          <w:rFonts w:ascii="Arial" w:hAnsi="Arial" w:cs="Arial"/>
          <w:lang w:val="fr-FR"/>
        </w:rPr>
        <w:t>Research</w:t>
      </w:r>
      <w:proofErr w:type="spellEnd"/>
      <w:r w:rsidRPr="00A47391">
        <w:rPr>
          <w:rFonts w:ascii="Arial" w:hAnsi="Arial" w:cs="Arial"/>
          <w:lang w:val="fr-FR"/>
        </w:rPr>
        <w:t>), 4</w:t>
      </w:r>
      <w:r w:rsidRPr="00A47391">
        <w:rPr>
          <w:rFonts w:ascii="Arial" w:hAnsi="Arial" w:cs="Arial"/>
          <w:i/>
          <w:iCs/>
          <w:lang w:val="fr-FR"/>
        </w:rPr>
        <w:t>1</w:t>
      </w:r>
      <w:r w:rsidRPr="00A47391">
        <w:rPr>
          <w:rFonts w:ascii="Arial" w:hAnsi="Arial" w:cs="Arial"/>
          <w:lang w:val="fr-FR"/>
        </w:rPr>
        <w:t xml:space="preserve">(1), pp.70–81. </w:t>
      </w:r>
      <w:hyperlink r:id="rId51" w:history="1">
        <w:r w:rsidRPr="008F677F">
          <w:rPr>
            <w:rStyle w:val="Hyperlink"/>
            <w:rFonts w:ascii="Arial" w:hAnsi="Arial" w:cs="Arial"/>
            <w:lang w:val="fr-FR"/>
          </w:rPr>
          <w:t>https://doi.org/10.3406/canan.1994.1581</w:t>
        </w:r>
      </w:hyperlink>
      <w:r w:rsidRPr="00E56BA6">
        <w:rPr>
          <w:rFonts w:ascii="Arial" w:hAnsi="Arial" w:cs="Arial"/>
          <w:lang w:val="fr-FR"/>
        </w:rPr>
        <w:t>.</w:t>
      </w:r>
      <w:r>
        <w:rPr>
          <w:rFonts w:ascii="Arial" w:hAnsi="Arial" w:cs="Arial"/>
          <w:lang w:val="fr-FR"/>
        </w:rPr>
        <w:t xml:space="preserve"> </w:t>
      </w:r>
    </w:p>
    <w:p w14:paraId="086FE1CA" w14:textId="77777777" w:rsidR="00EB1949" w:rsidRPr="00E56BA6" w:rsidRDefault="00EB1949" w:rsidP="00EB1949">
      <w:pPr>
        <w:pStyle w:val="Body"/>
        <w:spacing w:before="240" w:after="0"/>
        <w:rPr>
          <w:rFonts w:ascii="Arial" w:hAnsi="Arial" w:cs="Arial"/>
          <w:lang w:val="fr-FR"/>
        </w:rPr>
      </w:pPr>
      <w:r w:rsidRPr="00E56BA6">
        <w:rPr>
          <w:rFonts w:ascii="Arial" w:hAnsi="Arial" w:cs="Arial"/>
          <w:lang w:val="fi-FI"/>
        </w:rPr>
        <w:t>Ranaivojaona, S.B., et Ranarijaona, H.L.T. (2021). </w:t>
      </w:r>
      <w:r w:rsidRPr="00A47391">
        <w:rPr>
          <w:rFonts w:ascii="Arial" w:hAnsi="Arial" w:cs="Arial"/>
        </w:rPr>
        <w:t xml:space="preserve">Ecological dynamics of the peri-urban mangrove forest of Mahajanga: an ecosystem-based and remote sensing approach. </w:t>
      </w:r>
      <w:r w:rsidRPr="00A47391">
        <w:rPr>
          <w:rFonts w:ascii="Arial" w:hAnsi="Arial" w:cs="Arial"/>
          <w:i/>
          <w:lang w:val="fr-FR"/>
        </w:rPr>
        <w:t xml:space="preserve">Journal of Science, </w:t>
      </w:r>
      <w:proofErr w:type="spellStart"/>
      <w:r w:rsidRPr="00A47391">
        <w:rPr>
          <w:rFonts w:ascii="Arial" w:hAnsi="Arial" w:cs="Arial"/>
          <w:i/>
          <w:lang w:val="fr-FR"/>
        </w:rPr>
        <w:t>Technology</w:t>
      </w:r>
      <w:proofErr w:type="spellEnd"/>
      <w:r w:rsidRPr="00A47391">
        <w:rPr>
          <w:rFonts w:ascii="Arial" w:hAnsi="Arial" w:cs="Arial"/>
          <w:i/>
          <w:lang w:val="fr-FR"/>
        </w:rPr>
        <w:t xml:space="preserve">, and </w:t>
      </w:r>
      <w:proofErr w:type="spellStart"/>
      <w:r w:rsidRPr="00A47391">
        <w:rPr>
          <w:rFonts w:ascii="Arial" w:hAnsi="Arial" w:cs="Arial"/>
          <w:i/>
          <w:lang w:val="fr-FR"/>
        </w:rPr>
        <w:t>Environment</w:t>
      </w:r>
      <w:proofErr w:type="spellEnd"/>
      <w:r w:rsidRPr="00A47391">
        <w:rPr>
          <w:rFonts w:ascii="Arial" w:hAnsi="Arial" w:cs="Arial"/>
          <w:lang w:val="fr-FR"/>
        </w:rPr>
        <w:t xml:space="preserve"> </w:t>
      </w:r>
      <w:r w:rsidRPr="00E56BA6">
        <w:rPr>
          <w:rFonts w:ascii="Arial" w:hAnsi="Arial" w:cs="Arial"/>
          <w:lang w:val="fr-FR"/>
        </w:rPr>
        <w:t>4</w:t>
      </w:r>
      <w:r w:rsidR="00A43E2E">
        <w:rPr>
          <w:rFonts w:ascii="Arial" w:hAnsi="Arial" w:cs="Arial"/>
          <w:lang w:val="fr-FR"/>
        </w:rPr>
        <w:t xml:space="preserve"> </w:t>
      </w:r>
      <w:r w:rsidRPr="00E56BA6">
        <w:rPr>
          <w:rFonts w:ascii="Arial" w:hAnsi="Arial" w:cs="Arial"/>
          <w:lang w:val="fr-FR"/>
        </w:rPr>
        <w:t>: 16</w:t>
      </w:r>
      <w:r w:rsidRPr="00E56BA6">
        <w:rPr>
          <w:rFonts w:ascii="Cambria Math" w:hAnsi="Cambria Math" w:cs="Cambria Math"/>
          <w:lang w:val="fr-FR"/>
        </w:rPr>
        <w:t>‑</w:t>
      </w:r>
      <w:r w:rsidRPr="00E56BA6">
        <w:rPr>
          <w:rFonts w:ascii="Arial" w:hAnsi="Arial" w:cs="Arial"/>
          <w:lang w:val="fr-FR"/>
        </w:rPr>
        <w:t>23.</w:t>
      </w:r>
    </w:p>
    <w:p w14:paraId="4735BFE6" w14:textId="77777777" w:rsidR="00EB1949" w:rsidRPr="00E56BA6" w:rsidRDefault="00EB1949" w:rsidP="00EB1949">
      <w:pPr>
        <w:pStyle w:val="Body"/>
        <w:spacing w:before="240" w:after="0"/>
        <w:rPr>
          <w:rFonts w:ascii="Arial" w:hAnsi="Arial" w:cs="Arial"/>
          <w:lang w:val="fr-FR"/>
        </w:rPr>
      </w:pPr>
      <w:r w:rsidRPr="00EB1949">
        <w:rPr>
          <w:rFonts w:ascii="Arial" w:hAnsi="Arial" w:cs="Arial"/>
        </w:rPr>
        <w:lastRenderedPageBreak/>
        <w:t>Salomon, J-N. (1987). </w:t>
      </w:r>
      <w:r w:rsidRPr="00A47391">
        <w:rPr>
          <w:rFonts w:ascii="Arial" w:hAnsi="Arial" w:cs="Arial"/>
        </w:rPr>
        <w:t xml:space="preserve">Traditional exploitation and development of mangrove lands in West Africa. </w:t>
      </w:r>
      <w:r w:rsidRPr="00A47391">
        <w:rPr>
          <w:rFonts w:ascii="Arial" w:hAnsi="Arial" w:cs="Arial"/>
          <w:i/>
          <w:lang w:val="fr-FR"/>
        </w:rPr>
        <w:t>Les Cahiers d’Outre-Mer</w:t>
      </w:r>
      <w:r w:rsidRPr="00A47391">
        <w:rPr>
          <w:rFonts w:ascii="Arial" w:hAnsi="Arial" w:cs="Arial"/>
          <w:lang w:val="fr-FR"/>
        </w:rPr>
        <w:t xml:space="preserve"> </w:t>
      </w:r>
      <w:r w:rsidRPr="00E56BA6">
        <w:rPr>
          <w:rFonts w:ascii="Arial" w:hAnsi="Arial" w:cs="Arial"/>
          <w:lang w:val="fr-FR"/>
        </w:rPr>
        <w:t>40 (160</w:t>
      </w:r>
      <w:proofErr w:type="gramStart"/>
      <w:r w:rsidRPr="00E56BA6">
        <w:rPr>
          <w:rFonts w:ascii="Arial" w:hAnsi="Arial" w:cs="Arial"/>
          <w:lang w:val="fr-FR"/>
        </w:rPr>
        <w:t>):</w:t>
      </w:r>
      <w:proofErr w:type="gramEnd"/>
      <w:r w:rsidRPr="00E56BA6">
        <w:rPr>
          <w:rFonts w:ascii="Arial" w:hAnsi="Arial" w:cs="Arial"/>
          <w:lang w:val="fr-FR"/>
        </w:rPr>
        <w:t xml:space="preserve"> 313</w:t>
      </w:r>
      <w:r w:rsidRPr="00E56BA6">
        <w:rPr>
          <w:rFonts w:ascii="Cambria Math" w:hAnsi="Cambria Math" w:cs="Cambria Math"/>
          <w:lang w:val="fr-FR"/>
        </w:rPr>
        <w:t>‑</w:t>
      </w:r>
      <w:r w:rsidRPr="00E56BA6">
        <w:rPr>
          <w:rFonts w:ascii="Arial" w:hAnsi="Arial" w:cs="Arial"/>
          <w:lang w:val="fr-FR"/>
        </w:rPr>
        <w:t xml:space="preserve">342. </w:t>
      </w:r>
      <w:hyperlink r:id="rId52" w:history="1">
        <w:r w:rsidRPr="00E56BA6">
          <w:rPr>
            <w:rStyle w:val="Hyperlink"/>
            <w:rFonts w:ascii="Arial" w:hAnsi="Arial" w:cs="Arial"/>
            <w:lang w:val="fr-FR"/>
          </w:rPr>
          <w:t>https://doi.org/10.3406/caoum.1987.3235</w:t>
        </w:r>
      </w:hyperlink>
      <w:r w:rsidRPr="00E56BA6">
        <w:rPr>
          <w:rFonts w:ascii="Arial" w:hAnsi="Arial" w:cs="Arial"/>
          <w:lang w:val="fr-FR"/>
        </w:rPr>
        <w:t>.</w:t>
      </w:r>
    </w:p>
    <w:p w14:paraId="740FC7A3" w14:textId="77777777" w:rsidR="00EB1949" w:rsidRPr="002C5886" w:rsidRDefault="00EB1949" w:rsidP="00EB1949">
      <w:pPr>
        <w:pStyle w:val="Body"/>
        <w:spacing w:before="240" w:after="0"/>
        <w:rPr>
          <w:rFonts w:ascii="Arial" w:hAnsi="Arial" w:cs="Arial"/>
          <w:lang w:val="fr-FR"/>
        </w:rPr>
      </w:pPr>
      <w:r w:rsidRPr="002C5886">
        <w:rPr>
          <w:rFonts w:ascii="Arial" w:hAnsi="Arial" w:cs="Arial"/>
          <w:lang w:val="fr-FR"/>
        </w:rPr>
        <w:t xml:space="preserve">Sambou, A., Theilade, I., Fensholt, R., &amp; Ræbild, A. (2016). </w:t>
      </w:r>
      <w:r w:rsidRPr="00E56BA6">
        <w:rPr>
          <w:rFonts w:ascii="Arial" w:hAnsi="Arial" w:cs="Arial"/>
        </w:rPr>
        <w:t>Decline of woody vegetation in a saline landscape in the Groundnut Basin, Senegal. </w:t>
      </w:r>
      <w:r w:rsidRPr="002C5886">
        <w:rPr>
          <w:rFonts w:ascii="Arial" w:hAnsi="Arial" w:cs="Arial"/>
          <w:i/>
          <w:iCs/>
          <w:lang w:val="fr-FR"/>
        </w:rPr>
        <w:t>Regional environmental change</w:t>
      </w:r>
      <w:r w:rsidRPr="002C5886">
        <w:rPr>
          <w:rFonts w:ascii="Arial" w:hAnsi="Arial" w:cs="Arial"/>
          <w:lang w:val="fr-FR"/>
        </w:rPr>
        <w:t>, </w:t>
      </w:r>
      <w:r w:rsidRPr="002C5886">
        <w:rPr>
          <w:rFonts w:ascii="Arial" w:hAnsi="Arial" w:cs="Arial"/>
          <w:i/>
          <w:iCs/>
          <w:lang w:val="fr-FR"/>
        </w:rPr>
        <w:t>16</w:t>
      </w:r>
      <w:r w:rsidRPr="002C5886">
        <w:rPr>
          <w:rFonts w:ascii="Arial" w:hAnsi="Arial" w:cs="Arial"/>
          <w:lang w:val="fr-FR"/>
        </w:rPr>
        <w:t>(6), 1765-1777.</w:t>
      </w:r>
    </w:p>
    <w:p w14:paraId="1C6ABB1E" w14:textId="77777777" w:rsidR="00EB1949" w:rsidRPr="00E56BA6" w:rsidRDefault="00EB1949" w:rsidP="00EB1949">
      <w:pPr>
        <w:pStyle w:val="Body"/>
        <w:spacing w:before="240" w:after="0"/>
        <w:rPr>
          <w:rFonts w:ascii="Arial" w:hAnsi="Arial" w:cs="Arial"/>
        </w:rPr>
      </w:pPr>
      <w:r w:rsidRPr="00E56BA6">
        <w:rPr>
          <w:rFonts w:ascii="Arial" w:hAnsi="Arial" w:cs="Arial"/>
          <w:lang w:val="fr-FR"/>
        </w:rPr>
        <w:t xml:space="preserve">Sow, M., Bendu, D., &amp; Sow, E. H. (2025). Analyse de la séparabilité spectrale des classes d’occupation du sol pour la cartographie de la mangrove de la Réserve de biosphère du delta du Saloum, Sénégal. </w:t>
      </w:r>
      <w:r w:rsidRPr="00E56BA6">
        <w:rPr>
          <w:rFonts w:ascii="Arial" w:hAnsi="Arial" w:cs="Arial"/>
          <w:i/>
          <w:iCs/>
        </w:rPr>
        <w:t>International Journal of Biological and Chemical Sciences</w:t>
      </w:r>
      <w:r w:rsidRPr="00E56BA6">
        <w:rPr>
          <w:rFonts w:ascii="Arial" w:hAnsi="Arial" w:cs="Arial"/>
        </w:rPr>
        <w:t xml:space="preserve">, </w:t>
      </w:r>
      <w:r w:rsidRPr="00E56BA6">
        <w:rPr>
          <w:rFonts w:ascii="Arial" w:hAnsi="Arial" w:cs="Arial"/>
          <w:i/>
          <w:iCs/>
        </w:rPr>
        <w:t>19</w:t>
      </w:r>
      <w:r w:rsidRPr="00E56BA6">
        <w:rPr>
          <w:rFonts w:ascii="Arial" w:hAnsi="Arial" w:cs="Arial"/>
        </w:rPr>
        <w:t xml:space="preserve">(1), 225–239. </w:t>
      </w:r>
      <w:hyperlink r:id="rId53" w:history="1">
        <w:r w:rsidRPr="008F677F">
          <w:rPr>
            <w:rStyle w:val="Hyperlink"/>
            <w:rFonts w:ascii="Arial" w:hAnsi="Arial" w:cs="Arial"/>
          </w:rPr>
          <w:t>https://doi.org/10.4314/ijbcs.v19i1.17</w:t>
        </w:r>
      </w:hyperlink>
      <w:r>
        <w:rPr>
          <w:rFonts w:ascii="Arial" w:hAnsi="Arial" w:cs="Arial"/>
        </w:rPr>
        <w:t xml:space="preserve"> </w:t>
      </w:r>
    </w:p>
    <w:p w14:paraId="45992DF6" w14:textId="77777777" w:rsidR="00EB1949" w:rsidRPr="00E56BA6" w:rsidRDefault="00EB1949" w:rsidP="00EB1949">
      <w:pPr>
        <w:pStyle w:val="Body"/>
        <w:spacing w:before="240" w:after="0"/>
        <w:rPr>
          <w:rFonts w:ascii="Arial" w:hAnsi="Arial" w:cs="Arial"/>
        </w:rPr>
      </w:pPr>
      <w:r w:rsidRPr="00E56BA6">
        <w:rPr>
          <w:rFonts w:ascii="Arial" w:hAnsi="Arial" w:cs="Arial"/>
          <w:lang w:val="fr-FR"/>
        </w:rPr>
        <w:t xml:space="preserve">Sow, E. H., et Ba, T. (2019). </w:t>
      </w:r>
      <w:r w:rsidRPr="00A47391">
        <w:rPr>
          <w:rFonts w:ascii="Arial" w:hAnsi="Arial" w:cs="Arial"/>
        </w:rPr>
        <w:t xml:space="preserve">Analysis of the spectral separability of land cover classes for mapping the mangrove forest of the Saloum Delta Biosphere Reserve, Senegal.  </w:t>
      </w:r>
      <w:r w:rsidRPr="00E56BA6">
        <w:rPr>
          <w:rFonts w:ascii="Arial" w:hAnsi="Arial" w:cs="Arial"/>
          <w:i/>
          <w:iCs/>
        </w:rPr>
        <w:t>European Scientific Journal</w:t>
      </w:r>
      <w:r w:rsidRPr="00E56BA6">
        <w:rPr>
          <w:rFonts w:ascii="Arial" w:hAnsi="Arial" w:cs="Arial"/>
        </w:rPr>
        <w:t xml:space="preserve"> 15 (NO.15 ISSN: 1857 – 7881 (Print) e): 20. </w:t>
      </w:r>
      <w:hyperlink r:id="rId54" w:history="1">
        <w:r w:rsidRPr="008F677F">
          <w:rPr>
            <w:rStyle w:val="Hyperlink"/>
            <w:rFonts w:ascii="Arial" w:hAnsi="Arial" w:cs="Arial"/>
          </w:rPr>
          <w:t>https://doi.org/10.19044/esj.2019.v15n15p467</w:t>
        </w:r>
      </w:hyperlink>
      <w:r w:rsidRPr="00E56BA6">
        <w:rPr>
          <w:rFonts w:ascii="Arial" w:hAnsi="Arial" w:cs="Arial"/>
        </w:rPr>
        <w:t>.</w:t>
      </w:r>
      <w:r>
        <w:rPr>
          <w:rFonts w:ascii="Arial" w:hAnsi="Arial" w:cs="Arial"/>
        </w:rPr>
        <w:t xml:space="preserve"> </w:t>
      </w:r>
    </w:p>
    <w:p w14:paraId="20851BD3" w14:textId="77777777" w:rsidR="00EB1949" w:rsidRPr="00E56BA6" w:rsidRDefault="00EB1949" w:rsidP="00EB1949">
      <w:pPr>
        <w:pStyle w:val="Body"/>
        <w:spacing w:before="240" w:after="0"/>
        <w:rPr>
          <w:rFonts w:ascii="Arial" w:hAnsi="Arial" w:cs="Arial"/>
        </w:rPr>
      </w:pPr>
      <w:r w:rsidRPr="00E56BA6">
        <w:rPr>
          <w:rFonts w:ascii="Arial" w:hAnsi="Arial" w:cs="Arial"/>
        </w:rPr>
        <w:t xml:space="preserve">Top, O., Sambou, H., Diédhiou, Y.M. (2024). Dynamics and Factors in the Evolution of Landscape Units in the </w:t>
      </w:r>
      <w:r w:rsidRPr="00E56BA6">
        <w:rPr>
          <w:rFonts w:ascii="Arial" w:hAnsi="Arial" w:cs="Arial"/>
          <w:i/>
        </w:rPr>
        <w:t>Casuarina equisetifolia</w:t>
      </w:r>
      <w:r w:rsidRPr="00E56BA6">
        <w:rPr>
          <w:rFonts w:ascii="Arial" w:hAnsi="Arial" w:cs="Arial"/>
        </w:rPr>
        <w:t xml:space="preserve"> Strip of the Dakar Region (Great Coast, Senegal). </w:t>
      </w:r>
      <w:r w:rsidRPr="00E56BA6">
        <w:rPr>
          <w:rFonts w:ascii="Arial" w:hAnsi="Arial" w:cs="Arial"/>
          <w:i/>
          <w:iCs/>
        </w:rPr>
        <w:t>Journal of Geoscience and Environment Protection</w:t>
      </w:r>
      <w:r w:rsidRPr="00E56BA6">
        <w:rPr>
          <w:rFonts w:ascii="Arial" w:hAnsi="Arial" w:cs="Arial"/>
        </w:rPr>
        <w:t xml:space="preserve"> 12 (12): 12, pp.164-182. </w:t>
      </w:r>
      <w:hyperlink r:id="rId55" w:history="1">
        <w:r w:rsidRPr="00E56BA6">
          <w:rPr>
            <w:rStyle w:val="Hyperlink"/>
            <w:rFonts w:ascii="Arial" w:hAnsi="Arial" w:cs="Arial"/>
          </w:rPr>
          <w:t>https://doi.org/10.4236/gep.2024.1212011</w:t>
        </w:r>
      </w:hyperlink>
      <w:r w:rsidRPr="00E56BA6">
        <w:rPr>
          <w:rFonts w:ascii="Arial" w:hAnsi="Arial" w:cs="Arial"/>
        </w:rPr>
        <w:t>.</w:t>
      </w:r>
    </w:p>
    <w:p w14:paraId="2D891EE2" w14:textId="77777777" w:rsidR="00441B6F" w:rsidRDefault="00EB1949" w:rsidP="00EB1949">
      <w:pPr>
        <w:pStyle w:val="Body"/>
        <w:spacing w:after="0"/>
        <w:jc w:val="left"/>
        <w:rPr>
          <w:rFonts w:ascii="Arial" w:hAnsi="Arial" w:cs="Arial"/>
        </w:rPr>
      </w:pPr>
      <w:r w:rsidRPr="00E56BA6">
        <w:rPr>
          <w:rFonts w:ascii="Arial" w:hAnsi="Arial" w:cs="Arial"/>
        </w:rPr>
        <w:t xml:space="preserve">Wei, S., Zhang, H., &amp; Ling, J. (2025). A review of mangrove degradation assessment using remote sensing: advances, challenges, and opportunities. </w:t>
      </w:r>
      <w:r w:rsidRPr="005A6DCD">
        <w:rPr>
          <w:rFonts w:ascii="Arial" w:hAnsi="Arial" w:cs="Arial"/>
          <w:i/>
          <w:iCs/>
        </w:rPr>
        <w:t>GIScience &amp; Remote Sensing</w:t>
      </w:r>
      <w:r w:rsidRPr="005A6DCD">
        <w:rPr>
          <w:rFonts w:ascii="Arial" w:hAnsi="Arial" w:cs="Arial"/>
        </w:rPr>
        <w:t xml:space="preserve">, </w:t>
      </w:r>
      <w:r w:rsidRPr="005A6DCD">
        <w:rPr>
          <w:rFonts w:ascii="Arial" w:hAnsi="Arial" w:cs="Arial"/>
          <w:i/>
          <w:iCs/>
        </w:rPr>
        <w:t>62</w:t>
      </w:r>
      <w:r w:rsidRPr="005A6DCD">
        <w:rPr>
          <w:rFonts w:ascii="Arial" w:hAnsi="Arial" w:cs="Arial"/>
        </w:rPr>
        <w:t xml:space="preserve">(1). </w:t>
      </w:r>
      <w:hyperlink r:id="rId56" w:history="1">
        <w:r w:rsidRPr="005A6DCD">
          <w:rPr>
            <w:rStyle w:val="Hyperlink"/>
            <w:rFonts w:ascii="Arial" w:hAnsi="Arial" w:cs="Arial"/>
          </w:rPr>
          <w:t>https://doi.org/10.1080/15481603.2025.2491920</w:t>
        </w:r>
      </w:hyperlink>
    </w:p>
    <w:p w14:paraId="0072848B" w14:textId="77777777" w:rsidR="00B01FCD" w:rsidRPr="00FB3A86" w:rsidRDefault="00B01FCD" w:rsidP="00441B6F">
      <w:pPr>
        <w:pStyle w:val="Reference"/>
        <w:numPr>
          <w:ilvl w:val="0"/>
          <w:numId w:val="0"/>
        </w:numPr>
        <w:spacing w:line="240" w:lineRule="auto"/>
        <w:rPr>
          <w:rFonts w:ascii="Arial" w:hAnsi="Arial" w:cs="Arial"/>
        </w:rPr>
      </w:pPr>
    </w:p>
    <w:p w14:paraId="06EDD92F" w14:textId="77777777" w:rsidR="00AA61EB" w:rsidRPr="00981319" w:rsidRDefault="00AA61EB" w:rsidP="00981319">
      <w:pPr>
        <w:pStyle w:val="DefAcrHead"/>
        <w:spacing w:after="0"/>
        <w:jc w:val="both"/>
        <w:rPr>
          <w:rFonts w:ascii="Arial" w:hAnsi="Arial" w:cs="Arial"/>
          <w:sz w:val="20"/>
        </w:rPr>
      </w:pPr>
    </w:p>
    <w:p w14:paraId="5239A597" w14:textId="6D77FD7B" w:rsidR="00981319" w:rsidRPr="00981319" w:rsidRDefault="00981319" w:rsidP="00981319">
      <w:pPr>
        <w:spacing w:after="200"/>
        <w:rPr>
          <w:rFonts w:ascii="Arial" w:eastAsia="Calibri" w:hAnsi="Arial" w:cs="Arial"/>
          <w:b/>
          <w:iCs/>
        </w:rPr>
      </w:pPr>
      <w:r w:rsidRPr="00981319">
        <w:rPr>
          <w:rFonts w:ascii="Arial" w:eastAsia="Calibri" w:hAnsi="Arial" w:cs="Arial"/>
          <w:b/>
          <w:iCs/>
        </w:rPr>
        <w:t xml:space="preserve">Table </w:t>
      </w:r>
      <w:r w:rsidRPr="00981319">
        <w:rPr>
          <w:rFonts w:ascii="Arial" w:eastAsia="Calibri" w:hAnsi="Arial" w:cs="Arial"/>
          <w:b/>
          <w:iCs/>
          <w:lang w:val="fr-FR"/>
        </w:rPr>
        <w:fldChar w:fldCharType="begin"/>
      </w:r>
      <w:r w:rsidRPr="00981319">
        <w:rPr>
          <w:rFonts w:ascii="Arial" w:eastAsia="Calibri" w:hAnsi="Arial" w:cs="Arial"/>
          <w:b/>
          <w:iCs/>
        </w:rPr>
        <w:instrText xml:space="preserve"> SEQ Tableau \* ARABIC </w:instrText>
      </w:r>
      <w:r w:rsidRPr="00981319">
        <w:rPr>
          <w:rFonts w:ascii="Arial" w:eastAsia="Calibri" w:hAnsi="Arial" w:cs="Arial"/>
          <w:b/>
          <w:iCs/>
          <w:lang w:val="fr-FR"/>
        </w:rPr>
        <w:fldChar w:fldCharType="separate"/>
      </w:r>
      <w:r w:rsidRPr="00981319">
        <w:rPr>
          <w:rFonts w:ascii="Arial" w:eastAsia="Calibri" w:hAnsi="Arial" w:cs="Arial"/>
          <w:b/>
          <w:iCs/>
          <w:noProof/>
        </w:rPr>
        <w:t>2</w:t>
      </w:r>
      <w:r w:rsidRPr="00981319">
        <w:rPr>
          <w:rFonts w:ascii="Arial" w:eastAsia="Calibri" w:hAnsi="Arial" w:cs="Arial"/>
          <w:b/>
          <w:iCs/>
          <w:lang w:val="fr-FR"/>
        </w:rPr>
        <w:fldChar w:fldCharType="end"/>
      </w:r>
      <w:r w:rsidRPr="00981319">
        <w:rPr>
          <w:rFonts w:ascii="Arial" w:eastAsia="Calibri" w:hAnsi="Arial" w:cs="Arial"/>
          <w:b/>
          <w:iCs/>
        </w:rPr>
        <w:t>: Confusion matrix for the different land cover classes in the Saloum Delta in 2002.</w:t>
      </w:r>
    </w:p>
    <w:tbl>
      <w:tblPr>
        <w:tblStyle w:val="Grilledetableauclaire1"/>
        <w:tblW w:w="10255" w:type="dxa"/>
        <w:jc w:val="center"/>
        <w:tblLayout w:type="fixed"/>
        <w:tblLook w:val="04A0" w:firstRow="1" w:lastRow="0" w:firstColumn="1" w:lastColumn="0" w:noHBand="0" w:noVBand="1"/>
      </w:tblPr>
      <w:tblGrid>
        <w:gridCol w:w="1435"/>
        <w:gridCol w:w="1260"/>
        <w:gridCol w:w="1350"/>
        <w:gridCol w:w="810"/>
        <w:gridCol w:w="810"/>
        <w:gridCol w:w="1134"/>
        <w:gridCol w:w="846"/>
        <w:gridCol w:w="1281"/>
        <w:gridCol w:w="1329"/>
      </w:tblGrid>
      <w:tr w:rsidR="00981319" w:rsidRPr="00981319" w14:paraId="47BC792C" w14:textId="77777777" w:rsidTr="00981319">
        <w:trPr>
          <w:trHeight w:val="1012"/>
          <w:jc w:val="center"/>
        </w:trPr>
        <w:tc>
          <w:tcPr>
            <w:tcW w:w="1435" w:type="dxa"/>
          </w:tcPr>
          <w:p w14:paraId="0892707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Land use units</w:t>
            </w:r>
          </w:p>
        </w:tc>
        <w:tc>
          <w:tcPr>
            <w:tcW w:w="1260" w:type="dxa"/>
          </w:tcPr>
          <w:p w14:paraId="74F2550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350" w:type="dxa"/>
          </w:tcPr>
          <w:p w14:paraId="0FB5FEA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810" w:type="dxa"/>
          </w:tcPr>
          <w:p w14:paraId="53F6732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810" w:type="dxa"/>
          </w:tcPr>
          <w:p w14:paraId="30AB908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134" w:type="dxa"/>
          </w:tcPr>
          <w:p w14:paraId="40D384B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846" w:type="dxa"/>
          </w:tcPr>
          <w:p w14:paraId="0D9686B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81" w:type="dxa"/>
            <w:shd w:val="clear" w:color="auto" w:fill="EDEDED"/>
          </w:tcPr>
          <w:p w14:paraId="62BB037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Production accuracy</w:t>
            </w:r>
          </w:p>
        </w:tc>
        <w:tc>
          <w:tcPr>
            <w:tcW w:w="1329" w:type="dxa"/>
            <w:shd w:val="clear" w:color="auto" w:fill="EDEDED"/>
          </w:tcPr>
          <w:p w14:paraId="3B80655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Error of omission</w:t>
            </w:r>
          </w:p>
        </w:tc>
      </w:tr>
      <w:tr w:rsidR="00981319" w:rsidRPr="00981319" w14:paraId="2E91D583" w14:textId="77777777" w:rsidTr="00981319">
        <w:trPr>
          <w:jc w:val="center"/>
        </w:trPr>
        <w:tc>
          <w:tcPr>
            <w:tcW w:w="1435" w:type="dxa"/>
          </w:tcPr>
          <w:p w14:paraId="24815A2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60" w:type="dxa"/>
          </w:tcPr>
          <w:p w14:paraId="116CB42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98.07</w:t>
            </w:r>
          </w:p>
        </w:tc>
        <w:tc>
          <w:tcPr>
            <w:tcW w:w="1350" w:type="dxa"/>
          </w:tcPr>
          <w:p w14:paraId="12492806"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1B91237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810" w:type="dxa"/>
          </w:tcPr>
          <w:p w14:paraId="2A09F89A"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5B92EF28" w14:textId="77777777" w:rsidR="00981319" w:rsidRPr="00981319" w:rsidRDefault="00981319" w:rsidP="00981319">
            <w:pPr>
              <w:spacing w:before="240" w:after="200"/>
              <w:rPr>
                <w:rFonts w:ascii="Times New Roman" w:hAnsi="Times New Roman"/>
                <w:color w:val="232323"/>
                <w:sz w:val="24"/>
                <w:szCs w:val="24"/>
              </w:rPr>
            </w:pPr>
          </w:p>
        </w:tc>
        <w:tc>
          <w:tcPr>
            <w:tcW w:w="846" w:type="dxa"/>
          </w:tcPr>
          <w:p w14:paraId="2EEDA8C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0.08</w:t>
            </w:r>
          </w:p>
        </w:tc>
        <w:tc>
          <w:tcPr>
            <w:tcW w:w="1281" w:type="dxa"/>
            <w:shd w:val="clear" w:color="auto" w:fill="EDEDED"/>
          </w:tcPr>
          <w:p w14:paraId="6E6F91B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98.07</w:t>
            </w:r>
          </w:p>
        </w:tc>
        <w:tc>
          <w:tcPr>
            <w:tcW w:w="1329" w:type="dxa"/>
            <w:shd w:val="clear" w:color="auto" w:fill="EDEDED"/>
          </w:tcPr>
          <w:p w14:paraId="4935C34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1.93</w:t>
            </w:r>
          </w:p>
        </w:tc>
      </w:tr>
      <w:tr w:rsidR="00981319" w:rsidRPr="00981319" w14:paraId="58C2C9D8" w14:textId="77777777" w:rsidTr="00981319">
        <w:trPr>
          <w:jc w:val="center"/>
        </w:trPr>
        <w:tc>
          <w:tcPr>
            <w:tcW w:w="1435" w:type="dxa"/>
          </w:tcPr>
          <w:p w14:paraId="2BB8BE1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1260" w:type="dxa"/>
          </w:tcPr>
          <w:p w14:paraId="69610E0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1.47</w:t>
            </w:r>
          </w:p>
        </w:tc>
        <w:tc>
          <w:tcPr>
            <w:tcW w:w="1350" w:type="dxa"/>
          </w:tcPr>
          <w:p w14:paraId="4B634F8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97.77</w:t>
            </w:r>
          </w:p>
        </w:tc>
        <w:tc>
          <w:tcPr>
            <w:tcW w:w="810" w:type="dxa"/>
          </w:tcPr>
          <w:p w14:paraId="3BEE97A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1.04</w:t>
            </w:r>
          </w:p>
        </w:tc>
        <w:tc>
          <w:tcPr>
            <w:tcW w:w="810" w:type="dxa"/>
          </w:tcPr>
          <w:p w14:paraId="4B3BCE0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7.69</w:t>
            </w:r>
          </w:p>
        </w:tc>
        <w:tc>
          <w:tcPr>
            <w:tcW w:w="1134" w:type="dxa"/>
          </w:tcPr>
          <w:p w14:paraId="505CF5B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2.41</w:t>
            </w:r>
          </w:p>
        </w:tc>
        <w:tc>
          <w:tcPr>
            <w:tcW w:w="846" w:type="dxa"/>
          </w:tcPr>
          <w:p w14:paraId="194BF06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0.11</w:t>
            </w:r>
          </w:p>
        </w:tc>
        <w:tc>
          <w:tcPr>
            <w:tcW w:w="1281" w:type="dxa"/>
            <w:shd w:val="clear" w:color="auto" w:fill="EDEDED"/>
          </w:tcPr>
          <w:p w14:paraId="1153A29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97.77</w:t>
            </w:r>
          </w:p>
        </w:tc>
        <w:tc>
          <w:tcPr>
            <w:tcW w:w="1329" w:type="dxa"/>
            <w:shd w:val="clear" w:color="auto" w:fill="EDEDED"/>
          </w:tcPr>
          <w:p w14:paraId="5090A97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2.23</w:t>
            </w:r>
          </w:p>
        </w:tc>
      </w:tr>
      <w:tr w:rsidR="00981319" w:rsidRPr="00981319" w14:paraId="4294151F" w14:textId="77777777" w:rsidTr="00981319">
        <w:trPr>
          <w:jc w:val="center"/>
        </w:trPr>
        <w:tc>
          <w:tcPr>
            <w:tcW w:w="1435" w:type="dxa"/>
          </w:tcPr>
          <w:p w14:paraId="43C64E7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1260" w:type="dxa"/>
          </w:tcPr>
          <w:p w14:paraId="29BD13C2" w14:textId="77777777" w:rsidR="00981319" w:rsidRPr="00981319" w:rsidRDefault="00981319" w:rsidP="00981319">
            <w:pPr>
              <w:spacing w:before="240" w:after="200"/>
              <w:rPr>
                <w:rFonts w:ascii="Times New Roman" w:hAnsi="Times New Roman"/>
                <w:color w:val="232323"/>
                <w:sz w:val="24"/>
                <w:szCs w:val="24"/>
              </w:rPr>
            </w:pPr>
          </w:p>
        </w:tc>
        <w:tc>
          <w:tcPr>
            <w:tcW w:w="1350" w:type="dxa"/>
          </w:tcPr>
          <w:p w14:paraId="55ABBBD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2.23</w:t>
            </w:r>
          </w:p>
        </w:tc>
        <w:tc>
          <w:tcPr>
            <w:tcW w:w="810" w:type="dxa"/>
          </w:tcPr>
          <w:p w14:paraId="3852E49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98.9</w:t>
            </w:r>
          </w:p>
        </w:tc>
        <w:tc>
          <w:tcPr>
            <w:tcW w:w="810" w:type="dxa"/>
          </w:tcPr>
          <w:p w14:paraId="5F17CCB1"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F1494B8" w14:textId="77777777" w:rsidR="00981319" w:rsidRPr="00981319" w:rsidRDefault="00981319" w:rsidP="00981319">
            <w:pPr>
              <w:spacing w:before="240" w:after="200"/>
              <w:rPr>
                <w:rFonts w:ascii="Times New Roman" w:hAnsi="Times New Roman"/>
                <w:color w:val="232323"/>
                <w:sz w:val="24"/>
                <w:szCs w:val="24"/>
              </w:rPr>
            </w:pPr>
          </w:p>
        </w:tc>
        <w:tc>
          <w:tcPr>
            <w:tcW w:w="846" w:type="dxa"/>
          </w:tcPr>
          <w:p w14:paraId="439A1855" w14:textId="77777777" w:rsidR="00981319" w:rsidRPr="00981319" w:rsidRDefault="00981319" w:rsidP="00981319">
            <w:pPr>
              <w:spacing w:before="240" w:after="200"/>
              <w:rPr>
                <w:rFonts w:ascii="Times New Roman" w:hAnsi="Times New Roman"/>
                <w:color w:val="232323"/>
                <w:sz w:val="24"/>
                <w:szCs w:val="24"/>
              </w:rPr>
            </w:pPr>
          </w:p>
        </w:tc>
        <w:tc>
          <w:tcPr>
            <w:tcW w:w="1281" w:type="dxa"/>
            <w:shd w:val="clear" w:color="auto" w:fill="EDEDED"/>
          </w:tcPr>
          <w:p w14:paraId="09A4454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98.9</w:t>
            </w:r>
          </w:p>
        </w:tc>
        <w:tc>
          <w:tcPr>
            <w:tcW w:w="1329" w:type="dxa"/>
            <w:shd w:val="clear" w:color="auto" w:fill="EDEDED"/>
          </w:tcPr>
          <w:p w14:paraId="7E028AC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1.10</w:t>
            </w:r>
          </w:p>
        </w:tc>
      </w:tr>
      <w:tr w:rsidR="00981319" w:rsidRPr="00981319" w14:paraId="19E13010" w14:textId="77777777" w:rsidTr="00981319">
        <w:trPr>
          <w:jc w:val="center"/>
        </w:trPr>
        <w:tc>
          <w:tcPr>
            <w:tcW w:w="1435" w:type="dxa"/>
          </w:tcPr>
          <w:p w14:paraId="45FB0BB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260" w:type="dxa"/>
          </w:tcPr>
          <w:p w14:paraId="4AFD7A4B" w14:textId="77777777" w:rsidR="00981319" w:rsidRPr="00981319" w:rsidRDefault="00981319" w:rsidP="00981319">
            <w:pPr>
              <w:spacing w:before="240" w:after="200"/>
              <w:rPr>
                <w:rFonts w:ascii="Times New Roman" w:hAnsi="Times New Roman"/>
                <w:color w:val="232323"/>
                <w:sz w:val="24"/>
                <w:szCs w:val="24"/>
              </w:rPr>
            </w:pPr>
          </w:p>
        </w:tc>
        <w:tc>
          <w:tcPr>
            <w:tcW w:w="1350" w:type="dxa"/>
          </w:tcPr>
          <w:p w14:paraId="79497106"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1181F4F5"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419F258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92.32</w:t>
            </w:r>
          </w:p>
        </w:tc>
        <w:tc>
          <w:tcPr>
            <w:tcW w:w="1134" w:type="dxa"/>
          </w:tcPr>
          <w:p w14:paraId="1170AE8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0.10</w:t>
            </w:r>
          </w:p>
        </w:tc>
        <w:tc>
          <w:tcPr>
            <w:tcW w:w="846" w:type="dxa"/>
          </w:tcPr>
          <w:p w14:paraId="2AE420C6" w14:textId="77777777" w:rsidR="00981319" w:rsidRPr="00981319" w:rsidRDefault="00981319" w:rsidP="00981319">
            <w:pPr>
              <w:spacing w:before="240" w:after="200"/>
              <w:rPr>
                <w:rFonts w:ascii="Times New Roman" w:hAnsi="Times New Roman"/>
                <w:color w:val="232323"/>
                <w:sz w:val="24"/>
                <w:szCs w:val="24"/>
              </w:rPr>
            </w:pPr>
          </w:p>
        </w:tc>
        <w:tc>
          <w:tcPr>
            <w:tcW w:w="1281" w:type="dxa"/>
            <w:shd w:val="clear" w:color="auto" w:fill="EDEDED"/>
          </w:tcPr>
          <w:p w14:paraId="0CCA1A7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92.32</w:t>
            </w:r>
          </w:p>
        </w:tc>
        <w:tc>
          <w:tcPr>
            <w:tcW w:w="1329" w:type="dxa"/>
            <w:shd w:val="clear" w:color="auto" w:fill="EDEDED"/>
          </w:tcPr>
          <w:p w14:paraId="4065BBC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7.68</w:t>
            </w:r>
          </w:p>
        </w:tc>
      </w:tr>
      <w:tr w:rsidR="00981319" w:rsidRPr="00981319" w14:paraId="38FD5C02" w14:textId="77777777" w:rsidTr="00981319">
        <w:trPr>
          <w:jc w:val="center"/>
        </w:trPr>
        <w:tc>
          <w:tcPr>
            <w:tcW w:w="1435" w:type="dxa"/>
          </w:tcPr>
          <w:p w14:paraId="6EFD91D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lastRenderedPageBreak/>
              <w:t>Mudflats</w:t>
            </w:r>
          </w:p>
        </w:tc>
        <w:tc>
          <w:tcPr>
            <w:tcW w:w="1260" w:type="dxa"/>
          </w:tcPr>
          <w:p w14:paraId="10D05ED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0.46</w:t>
            </w:r>
          </w:p>
        </w:tc>
        <w:tc>
          <w:tcPr>
            <w:tcW w:w="1350" w:type="dxa"/>
          </w:tcPr>
          <w:p w14:paraId="24D22183"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2C5C712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810" w:type="dxa"/>
          </w:tcPr>
          <w:p w14:paraId="716E122D"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6BC31D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97.49</w:t>
            </w:r>
          </w:p>
        </w:tc>
        <w:tc>
          <w:tcPr>
            <w:tcW w:w="846" w:type="dxa"/>
          </w:tcPr>
          <w:p w14:paraId="1CD1221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1.75</w:t>
            </w:r>
          </w:p>
        </w:tc>
        <w:tc>
          <w:tcPr>
            <w:tcW w:w="1281" w:type="dxa"/>
            <w:tcBorders>
              <w:bottom w:val="single" w:sz="4" w:space="0" w:color="BFBFBF"/>
            </w:tcBorders>
            <w:shd w:val="clear" w:color="auto" w:fill="EDEDED"/>
          </w:tcPr>
          <w:p w14:paraId="1E1547B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97.49</w:t>
            </w:r>
          </w:p>
        </w:tc>
        <w:tc>
          <w:tcPr>
            <w:tcW w:w="1329" w:type="dxa"/>
            <w:tcBorders>
              <w:bottom w:val="single" w:sz="4" w:space="0" w:color="BFBFBF"/>
            </w:tcBorders>
            <w:shd w:val="clear" w:color="auto" w:fill="EDEDED"/>
          </w:tcPr>
          <w:p w14:paraId="316CE0E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2.51</w:t>
            </w:r>
          </w:p>
        </w:tc>
      </w:tr>
      <w:tr w:rsidR="00981319" w:rsidRPr="00981319" w14:paraId="39A00123" w14:textId="77777777" w:rsidTr="00981319">
        <w:trPr>
          <w:trHeight w:val="517"/>
          <w:jc w:val="center"/>
        </w:trPr>
        <w:tc>
          <w:tcPr>
            <w:tcW w:w="1435" w:type="dxa"/>
          </w:tcPr>
          <w:p w14:paraId="6ABF7AE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60" w:type="dxa"/>
          </w:tcPr>
          <w:p w14:paraId="4EDA3F37" w14:textId="77777777" w:rsidR="00981319" w:rsidRPr="00981319" w:rsidRDefault="00981319" w:rsidP="00981319">
            <w:pPr>
              <w:spacing w:before="240" w:after="200"/>
              <w:rPr>
                <w:rFonts w:ascii="Times New Roman" w:hAnsi="Times New Roman"/>
                <w:color w:val="232323"/>
                <w:sz w:val="24"/>
                <w:szCs w:val="24"/>
              </w:rPr>
            </w:pPr>
          </w:p>
        </w:tc>
        <w:tc>
          <w:tcPr>
            <w:tcW w:w="1350" w:type="dxa"/>
          </w:tcPr>
          <w:p w14:paraId="25B7F846"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1DBC605C"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5EC97579"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71AC8ACE" w14:textId="77777777" w:rsidR="00981319" w:rsidRPr="00981319" w:rsidRDefault="00981319" w:rsidP="00981319">
            <w:pPr>
              <w:spacing w:before="240" w:after="200"/>
              <w:rPr>
                <w:rFonts w:ascii="Times New Roman" w:hAnsi="Times New Roman"/>
                <w:color w:val="232323"/>
                <w:sz w:val="24"/>
                <w:szCs w:val="24"/>
              </w:rPr>
            </w:pPr>
          </w:p>
        </w:tc>
        <w:tc>
          <w:tcPr>
            <w:tcW w:w="846" w:type="dxa"/>
            <w:tcBorders>
              <w:bottom w:val="single" w:sz="4" w:space="0" w:color="BFBFBF"/>
            </w:tcBorders>
          </w:tcPr>
          <w:p w14:paraId="0355F79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98.05</w:t>
            </w:r>
          </w:p>
        </w:tc>
        <w:tc>
          <w:tcPr>
            <w:tcW w:w="1281" w:type="dxa"/>
            <w:tcBorders>
              <w:bottom w:val="single" w:sz="4" w:space="0" w:color="auto"/>
            </w:tcBorders>
            <w:shd w:val="clear" w:color="auto" w:fill="EDEDED"/>
          </w:tcPr>
          <w:p w14:paraId="14087EA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98.05</w:t>
            </w:r>
          </w:p>
        </w:tc>
        <w:tc>
          <w:tcPr>
            <w:tcW w:w="1329" w:type="dxa"/>
            <w:tcBorders>
              <w:bottom w:val="single" w:sz="4" w:space="0" w:color="auto"/>
            </w:tcBorders>
            <w:shd w:val="clear" w:color="auto" w:fill="EDEDED"/>
          </w:tcPr>
          <w:p w14:paraId="24F0816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1.95</w:t>
            </w:r>
          </w:p>
        </w:tc>
      </w:tr>
      <w:tr w:rsidR="00981319" w:rsidRPr="00981319" w14:paraId="0054F8FE" w14:textId="77777777" w:rsidTr="00981319">
        <w:trPr>
          <w:trHeight w:val="787"/>
          <w:jc w:val="center"/>
        </w:trPr>
        <w:tc>
          <w:tcPr>
            <w:tcW w:w="1435" w:type="dxa"/>
            <w:shd w:val="clear" w:color="auto" w:fill="EDEDED"/>
          </w:tcPr>
          <w:p w14:paraId="4A587D9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User accuracy</w:t>
            </w:r>
          </w:p>
        </w:tc>
        <w:tc>
          <w:tcPr>
            <w:tcW w:w="1260" w:type="dxa"/>
            <w:shd w:val="clear" w:color="auto" w:fill="EDEDED"/>
          </w:tcPr>
          <w:p w14:paraId="3FD62C6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99.84</w:t>
            </w:r>
          </w:p>
        </w:tc>
        <w:tc>
          <w:tcPr>
            <w:tcW w:w="1350" w:type="dxa"/>
            <w:shd w:val="clear" w:color="auto" w:fill="EDEDED"/>
          </w:tcPr>
          <w:p w14:paraId="1672F1A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96.88</w:t>
            </w:r>
          </w:p>
        </w:tc>
        <w:tc>
          <w:tcPr>
            <w:tcW w:w="810" w:type="dxa"/>
            <w:shd w:val="clear" w:color="auto" w:fill="EDEDED"/>
          </w:tcPr>
          <w:p w14:paraId="52ADFD1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95.39</w:t>
            </w:r>
          </w:p>
        </w:tc>
        <w:tc>
          <w:tcPr>
            <w:tcW w:w="810" w:type="dxa"/>
            <w:shd w:val="clear" w:color="auto" w:fill="EDEDED"/>
          </w:tcPr>
          <w:p w14:paraId="77D26E1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99.77</w:t>
            </w:r>
          </w:p>
        </w:tc>
        <w:tc>
          <w:tcPr>
            <w:tcW w:w="1134" w:type="dxa"/>
            <w:shd w:val="clear" w:color="auto" w:fill="EDEDED"/>
          </w:tcPr>
          <w:p w14:paraId="5ED7087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93.96</w:t>
            </w:r>
          </w:p>
        </w:tc>
        <w:tc>
          <w:tcPr>
            <w:tcW w:w="846" w:type="dxa"/>
            <w:tcBorders>
              <w:right w:val="single" w:sz="4" w:space="0" w:color="auto"/>
            </w:tcBorders>
            <w:shd w:val="clear" w:color="auto" w:fill="EDEDED"/>
          </w:tcPr>
          <w:p w14:paraId="7A6C33B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100</w:t>
            </w:r>
          </w:p>
        </w:tc>
        <w:tc>
          <w:tcPr>
            <w:tcW w:w="2610" w:type="dxa"/>
            <w:gridSpan w:val="2"/>
            <w:vMerge w:val="restart"/>
            <w:tcBorders>
              <w:top w:val="single" w:sz="4" w:space="0" w:color="auto"/>
              <w:left w:val="single" w:sz="4" w:space="0" w:color="auto"/>
              <w:bottom w:val="nil"/>
              <w:right w:val="nil"/>
            </w:tcBorders>
          </w:tcPr>
          <w:p w14:paraId="2408CAB3" w14:textId="77777777" w:rsidR="00981319" w:rsidRPr="00981319" w:rsidRDefault="00981319" w:rsidP="00981319">
            <w:pPr>
              <w:spacing w:before="240" w:after="200"/>
              <w:rPr>
                <w:rFonts w:ascii="Times New Roman" w:hAnsi="Times New Roman"/>
                <w:color w:val="232323"/>
                <w:sz w:val="24"/>
                <w:szCs w:val="24"/>
              </w:rPr>
            </w:pPr>
          </w:p>
        </w:tc>
      </w:tr>
      <w:tr w:rsidR="00981319" w:rsidRPr="00981319" w14:paraId="795F49FB" w14:textId="77777777" w:rsidTr="00981319">
        <w:trPr>
          <w:trHeight w:val="769"/>
          <w:jc w:val="center"/>
        </w:trPr>
        <w:tc>
          <w:tcPr>
            <w:tcW w:w="1435" w:type="dxa"/>
            <w:shd w:val="clear" w:color="auto" w:fill="EDEDED"/>
            <w:vAlign w:val="center"/>
          </w:tcPr>
          <w:p w14:paraId="56E0D21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 xml:space="preserve">Commission </w:t>
            </w:r>
            <w:proofErr w:type="spellStart"/>
            <w:r w:rsidRPr="00981319">
              <w:rPr>
                <w:rFonts w:ascii="Times New Roman" w:hAnsi="Times New Roman"/>
                <w:sz w:val="24"/>
                <w:szCs w:val="24"/>
              </w:rPr>
              <w:t>error</w:t>
            </w:r>
            <w:proofErr w:type="spellEnd"/>
          </w:p>
        </w:tc>
        <w:tc>
          <w:tcPr>
            <w:tcW w:w="1260" w:type="dxa"/>
            <w:shd w:val="clear" w:color="auto" w:fill="EDEDED"/>
          </w:tcPr>
          <w:p w14:paraId="09E8571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0.16</w:t>
            </w:r>
          </w:p>
        </w:tc>
        <w:tc>
          <w:tcPr>
            <w:tcW w:w="1350" w:type="dxa"/>
            <w:shd w:val="clear" w:color="auto" w:fill="EDEDED"/>
          </w:tcPr>
          <w:p w14:paraId="3162891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3.13</w:t>
            </w:r>
          </w:p>
        </w:tc>
        <w:tc>
          <w:tcPr>
            <w:tcW w:w="810" w:type="dxa"/>
            <w:shd w:val="clear" w:color="auto" w:fill="EDEDED"/>
          </w:tcPr>
          <w:p w14:paraId="2C33035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4.61</w:t>
            </w:r>
          </w:p>
        </w:tc>
        <w:tc>
          <w:tcPr>
            <w:tcW w:w="810" w:type="dxa"/>
            <w:shd w:val="clear" w:color="auto" w:fill="EDEDED"/>
          </w:tcPr>
          <w:p w14:paraId="3C14DAD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0.23</w:t>
            </w:r>
          </w:p>
        </w:tc>
        <w:tc>
          <w:tcPr>
            <w:tcW w:w="1134" w:type="dxa"/>
            <w:shd w:val="clear" w:color="auto" w:fill="EDEDED"/>
          </w:tcPr>
          <w:p w14:paraId="071CD5C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6.04</w:t>
            </w:r>
          </w:p>
        </w:tc>
        <w:tc>
          <w:tcPr>
            <w:tcW w:w="846" w:type="dxa"/>
            <w:tcBorders>
              <w:right w:val="single" w:sz="4" w:space="0" w:color="auto"/>
            </w:tcBorders>
            <w:shd w:val="clear" w:color="auto" w:fill="EDEDED"/>
          </w:tcPr>
          <w:p w14:paraId="784130EA" w14:textId="77777777" w:rsidR="00981319" w:rsidRPr="00981319" w:rsidRDefault="00981319" w:rsidP="00981319">
            <w:pPr>
              <w:spacing w:before="240" w:after="200"/>
              <w:rPr>
                <w:rFonts w:ascii="Times New Roman" w:hAnsi="Times New Roman"/>
                <w:color w:val="232323"/>
                <w:sz w:val="24"/>
                <w:szCs w:val="24"/>
              </w:rPr>
            </w:pPr>
          </w:p>
        </w:tc>
        <w:tc>
          <w:tcPr>
            <w:tcW w:w="2610" w:type="dxa"/>
            <w:gridSpan w:val="2"/>
            <w:vMerge/>
            <w:tcBorders>
              <w:top w:val="nil"/>
              <w:left w:val="single" w:sz="4" w:space="0" w:color="auto"/>
              <w:bottom w:val="nil"/>
              <w:right w:val="nil"/>
            </w:tcBorders>
          </w:tcPr>
          <w:p w14:paraId="77FE7F1C" w14:textId="77777777" w:rsidR="00981319" w:rsidRPr="00981319" w:rsidRDefault="00981319" w:rsidP="00981319">
            <w:pPr>
              <w:spacing w:before="240" w:after="200"/>
              <w:rPr>
                <w:rFonts w:ascii="Times New Roman" w:hAnsi="Times New Roman"/>
                <w:color w:val="232323"/>
                <w:sz w:val="24"/>
                <w:szCs w:val="24"/>
              </w:rPr>
            </w:pPr>
          </w:p>
        </w:tc>
      </w:tr>
    </w:tbl>
    <w:p w14:paraId="57A62947" w14:textId="77777777" w:rsidR="00981319" w:rsidRPr="00981319" w:rsidRDefault="00981319" w:rsidP="00981319">
      <w:pPr>
        <w:spacing w:after="160" w:line="259" w:lineRule="auto"/>
        <w:rPr>
          <w:rFonts w:ascii="Calibri" w:eastAsia="Calibri" w:hAnsi="Calibri"/>
          <w:sz w:val="22"/>
          <w:szCs w:val="22"/>
        </w:rPr>
      </w:pPr>
    </w:p>
    <w:p w14:paraId="1C8A75D1" w14:textId="77777777" w:rsidR="00981319" w:rsidRPr="00981319" w:rsidRDefault="00981319" w:rsidP="00981319">
      <w:pPr>
        <w:spacing w:after="160" w:line="259" w:lineRule="auto"/>
        <w:rPr>
          <w:rFonts w:ascii="Calibri" w:eastAsia="Calibri" w:hAnsi="Calibri"/>
          <w:sz w:val="22"/>
          <w:szCs w:val="22"/>
        </w:rPr>
      </w:pPr>
    </w:p>
    <w:p w14:paraId="06D6916B" w14:textId="77777777" w:rsidR="00981319" w:rsidRPr="00981319" w:rsidRDefault="00981319" w:rsidP="00981319">
      <w:pPr>
        <w:spacing w:after="160" w:line="259" w:lineRule="auto"/>
        <w:rPr>
          <w:rFonts w:ascii="Calibri" w:eastAsia="Calibri" w:hAnsi="Calibri"/>
          <w:sz w:val="22"/>
          <w:szCs w:val="22"/>
        </w:rPr>
      </w:pPr>
    </w:p>
    <w:p w14:paraId="70957C14" w14:textId="77777777" w:rsidR="00981319" w:rsidRPr="00981319" w:rsidRDefault="00981319" w:rsidP="00981319">
      <w:pPr>
        <w:spacing w:after="160" w:line="259" w:lineRule="auto"/>
        <w:rPr>
          <w:rFonts w:ascii="Calibri" w:eastAsia="Calibri" w:hAnsi="Calibri"/>
          <w:sz w:val="22"/>
          <w:szCs w:val="22"/>
        </w:rPr>
      </w:pPr>
    </w:p>
    <w:p w14:paraId="31C5ECAC" w14:textId="77777777" w:rsidR="00981319" w:rsidRPr="00981319" w:rsidRDefault="00981319" w:rsidP="00981319">
      <w:pPr>
        <w:spacing w:after="160" w:line="259" w:lineRule="auto"/>
        <w:rPr>
          <w:rFonts w:ascii="Calibri" w:eastAsia="Calibri" w:hAnsi="Calibri"/>
          <w:sz w:val="22"/>
          <w:szCs w:val="22"/>
        </w:rPr>
      </w:pPr>
    </w:p>
    <w:p w14:paraId="1115616C" w14:textId="77777777" w:rsidR="00981319" w:rsidRPr="00981319" w:rsidRDefault="00981319" w:rsidP="00981319">
      <w:pPr>
        <w:spacing w:after="160" w:line="259" w:lineRule="auto"/>
        <w:rPr>
          <w:rFonts w:ascii="Calibri" w:eastAsia="Calibri" w:hAnsi="Calibri"/>
          <w:sz w:val="22"/>
          <w:szCs w:val="22"/>
        </w:rPr>
      </w:pPr>
    </w:p>
    <w:p w14:paraId="7C472507" w14:textId="77777777" w:rsidR="00981319" w:rsidRPr="00981319" w:rsidRDefault="00981319" w:rsidP="00981319">
      <w:pPr>
        <w:spacing w:after="160" w:line="259" w:lineRule="auto"/>
        <w:rPr>
          <w:rFonts w:ascii="Calibri" w:eastAsia="Calibri" w:hAnsi="Calibri"/>
          <w:sz w:val="22"/>
          <w:szCs w:val="22"/>
        </w:rPr>
      </w:pPr>
    </w:p>
    <w:p w14:paraId="5064719B" w14:textId="77777777" w:rsidR="00981319" w:rsidRPr="00981319" w:rsidRDefault="00981319" w:rsidP="00981319">
      <w:pPr>
        <w:spacing w:after="160" w:line="259" w:lineRule="auto"/>
        <w:rPr>
          <w:rFonts w:ascii="Calibri" w:eastAsia="Calibri" w:hAnsi="Calibri"/>
          <w:sz w:val="22"/>
          <w:szCs w:val="22"/>
        </w:rPr>
      </w:pPr>
    </w:p>
    <w:p w14:paraId="38672F16" w14:textId="77777777" w:rsidR="00981319" w:rsidRPr="00981319" w:rsidRDefault="00981319" w:rsidP="00981319">
      <w:pPr>
        <w:spacing w:after="160" w:line="259" w:lineRule="auto"/>
        <w:rPr>
          <w:rFonts w:ascii="Calibri" w:eastAsia="Calibri" w:hAnsi="Calibri"/>
          <w:sz w:val="22"/>
          <w:szCs w:val="22"/>
        </w:rPr>
      </w:pPr>
    </w:p>
    <w:p w14:paraId="6986286B" w14:textId="77777777" w:rsidR="00981319" w:rsidRPr="00981319" w:rsidRDefault="00981319" w:rsidP="00981319">
      <w:pPr>
        <w:spacing w:after="160" w:line="259" w:lineRule="auto"/>
        <w:rPr>
          <w:rFonts w:ascii="Calibri" w:eastAsia="Calibri" w:hAnsi="Calibri"/>
          <w:sz w:val="22"/>
          <w:szCs w:val="22"/>
        </w:rPr>
      </w:pPr>
    </w:p>
    <w:p w14:paraId="5AC9915F" w14:textId="77777777" w:rsidR="00981319" w:rsidRDefault="00981319" w:rsidP="00981319">
      <w:pPr>
        <w:spacing w:after="160" w:line="259" w:lineRule="auto"/>
        <w:rPr>
          <w:rFonts w:ascii="Calibri" w:eastAsia="Calibri" w:hAnsi="Calibri"/>
          <w:sz w:val="22"/>
          <w:szCs w:val="22"/>
        </w:rPr>
      </w:pPr>
    </w:p>
    <w:p w14:paraId="01DAD710" w14:textId="77777777" w:rsidR="00981319" w:rsidRDefault="00981319" w:rsidP="00981319">
      <w:pPr>
        <w:spacing w:after="160" w:line="259" w:lineRule="auto"/>
        <w:rPr>
          <w:rFonts w:ascii="Calibri" w:eastAsia="Calibri" w:hAnsi="Calibri"/>
          <w:sz w:val="22"/>
          <w:szCs w:val="22"/>
        </w:rPr>
      </w:pPr>
    </w:p>
    <w:p w14:paraId="4379235B" w14:textId="77777777" w:rsidR="00981319" w:rsidRPr="00981319" w:rsidRDefault="00981319" w:rsidP="00981319">
      <w:pPr>
        <w:spacing w:after="160" w:line="259" w:lineRule="auto"/>
        <w:rPr>
          <w:rFonts w:ascii="Calibri" w:eastAsia="Calibri" w:hAnsi="Calibri"/>
          <w:sz w:val="22"/>
          <w:szCs w:val="22"/>
        </w:rPr>
      </w:pPr>
    </w:p>
    <w:p w14:paraId="194E29CA" w14:textId="77777777" w:rsidR="00981319" w:rsidRPr="00981319" w:rsidRDefault="00981319" w:rsidP="00981319">
      <w:pPr>
        <w:spacing w:after="160" w:line="259" w:lineRule="auto"/>
        <w:rPr>
          <w:rFonts w:ascii="Calibri" w:eastAsia="Calibri" w:hAnsi="Calibri"/>
          <w:sz w:val="22"/>
          <w:szCs w:val="22"/>
        </w:rPr>
      </w:pPr>
    </w:p>
    <w:p w14:paraId="66A5D8B0" w14:textId="77777777" w:rsidR="00981319" w:rsidRPr="00981319" w:rsidRDefault="00981319" w:rsidP="00981319">
      <w:pPr>
        <w:spacing w:after="200"/>
        <w:jc w:val="both"/>
        <w:rPr>
          <w:rFonts w:ascii="Arial" w:eastAsia="Calibri" w:hAnsi="Arial" w:cs="Arial"/>
          <w:b/>
          <w:iCs/>
        </w:rPr>
      </w:pPr>
      <w:r>
        <w:rPr>
          <w:rFonts w:ascii="Arial" w:eastAsia="Calibri" w:hAnsi="Arial" w:cs="Arial"/>
          <w:b/>
          <w:iCs/>
        </w:rPr>
        <w:t>Table</w:t>
      </w:r>
      <w:r w:rsidRPr="00981319">
        <w:rPr>
          <w:rFonts w:ascii="Arial" w:eastAsia="Calibri" w:hAnsi="Arial" w:cs="Arial"/>
          <w:b/>
          <w:iCs/>
        </w:rPr>
        <w:t xml:space="preserve"> </w:t>
      </w:r>
      <w:r w:rsidRPr="00981319">
        <w:rPr>
          <w:rFonts w:ascii="Arial" w:eastAsia="Calibri" w:hAnsi="Arial" w:cs="Arial"/>
          <w:b/>
          <w:iCs/>
          <w:lang w:val="fr-FR"/>
        </w:rPr>
        <w:fldChar w:fldCharType="begin"/>
      </w:r>
      <w:r w:rsidRPr="00981319">
        <w:rPr>
          <w:rFonts w:ascii="Arial" w:eastAsia="Calibri" w:hAnsi="Arial" w:cs="Arial"/>
          <w:b/>
          <w:iCs/>
        </w:rPr>
        <w:instrText xml:space="preserve"> SEQ Tableau \* ARABIC </w:instrText>
      </w:r>
      <w:r w:rsidRPr="00981319">
        <w:rPr>
          <w:rFonts w:ascii="Arial" w:eastAsia="Calibri" w:hAnsi="Arial" w:cs="Arial"/>
          <w:b/>
          <w:iCs/>
          <w:lang w:val="fr-FR"/>
        </w:rPr>
        <w:fldChar w:fldCharType="separate"/>
      </w:r>
      <w:r w:rsidRPr="00981319">
        <w:rPr>
          <w:rFonts w:ascii="Arial" w:eastAsia="Calibri" w:hAnsi="Arial" w:cs="Arial"/>
          <w:b/>
          <w:iCs/>
          <w:noProof/>
        </w:rPr>
        <w:t>3</w:t>
      </w:r>
      <w:r w:rsidRPr="00981319">
        <w:rPr>
          <w:rFonts w:ascii="Arial" w:eastAsia="Calibri" w:hAnsi="Arial" w:cs="Arial"/>
          <w:b/>
          <w:iCs/>
          <w:lang w:val="fr-FR"/>
        </w:rPr>
        <w:fldChar w:fldCharType="end"/>
      </w:r>
      <w:r w:rsidRPr="00981319">
        <w:rPr>
          <w:rFonts w:ascii="Arial" w:eastAsia="Calibri" w:hAnsi="Arial" w:cs="Arial"/>
          <w:b/>
          <w:iCs/>
        </w:rPr>
        <w:t>: Confusion matrix of the different land use classes in the Saloum Delta in 2013.</w:t>
      </w:r>
    </w:p>
    <w:tbl>
      <w:tblPr>
        <w:tblStyle w:val="Grilledetableauclaire1"/>
        <w:tblW w:w="11613" w:type="dxa"/>
        <w:tblInd w:w="-998" w:type="dxa"/>
        <w:tblLayout w:type="fixed"/>
        <w:tblLook w:val="04A0" w:firstRow="1" w:lastRow="0" w:firstColumn="1" w:lastColumn="0" w:noHBand="0" w:noVBand="1"/>
      </w:tblPr>
      <w:tblGrid>
        <w:gridCol w:w="1560"/>
        <w:gridCol w:w="1276"/>
        <w:gridCol w:w="1276"/>
        <w:gridCol w:w="850"/>
        <w:gridCol w:w="1134"/>
        <w:gridCol w:w="851"/>
        <w:gridCol w:w="1134"/>
        <w:gridCol w:w="895"/>
        <w:gridCol w:w="1287"/>
        <w:gridCol w:w="1350"/>
      </w:tblGrid>
      <w:tr w:rsidR="00981319" w:rsidRPr="00981319" w14:paraId="755CFA2D" w14:textId="77777777" w:rsidTr="00981319">
        <w:trPr>
          <w:trHeight w:val="1279"/>
        </w:trPr>
        <w:tc>
          <w:tcPr>
            <w:tcW w:w="1560" w:type="dxa"/>
          </w:tcPr>
          <w:p w14:paraId="0376BB8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Land use units</w:t>
            </w:r>
          </w:p>
        </w:tc>
        <w:tc>
          <w:tcPr>
            <w:tcW w:w="1276" w:type="dxa"/>
          </w:tcPr>
          <w:p w14:paraId="7D04A02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76" w:type="dxa"/>
          </w:tcPr>
          <w:p w14:paraId="3580D2E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850" w:type="dxa"/>
          </w:tcPr>
          <w:p w14:paraId="2A27E6E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1134" w:type="dxa"/>
          </w:tcPr>
          <w:p w14:paraId="57D2C10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Dwellings</w:t>
            </w:r>
          </w:p>
        </w:tc>
        <w:tc>
          <w:tcPr>
            <w:tcW w:w="851" w:type="dxa"/>
          </w:tcPr>
          <w:p w14:paraId="4B4311F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134" w:type="dxa"/>
          </w:tcPr>
          <w:p w14:paraId="6714F8F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895" w:type="dxa"/>
          </w:tcPr>
          <w:p w14:paraId="2A9FD31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87" w:type="dxa"/>
            <w:shd w:val="clear" w:color="auto" w:fill="EDEDED"/>
          </w:tcPr>
          <w:p w14:paraId="50726F3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Production accuracy</w:t>
            </w:r>
          </w:p>
        </w:tc>
        <w:tc>
          <w:tcPr>
            <w:tcW w:w="1350" w:type="dxa"/>
            <w:shd w:val="clear" w:color="auto" w:fill="EDEDED"/>
          </w:tcPr>
          <w:p w14:paraId="5120E0C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Error of omission</w:t>
            </w:r>
          </w:p>
        </w:tc>
      </w:tr>
      <w:tr w:rsidR="00981319" w:rsidRPr="00981319" w14:paraId="29BE0713" w14:textId="77777777" w:rsidTr="00981319">
        <w:trPr>
          <w:trHeight w:val="714"/>
        </w:trPr>
        <w:tc>
          <w:tcPr>
            <w:tcW w:w="1560" w:type="dxa"/>
          </w:tcPr>
          <w:p w14:paraId="0AF68B2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76" w:type="dxa"/>
          </w:tcPr>
          <w:p w14:paraId="2F454C4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99.32</w:t>
            </w:r>
          </w:p>
        </w:tc>
        <w:tc>
          <w:tcPr>
            <w:tcW w:w="1276" w:type="dxa"/>
          </w:tcPr>
          <w:p w14:paraId="108C3C5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0.04</w:t>
            </w:r>
          </w:p>
        </w:tc>
        <w:tc>
          <w:tcPr>
            <w:tcW w:w="850" w:type="dxa"/>
          </w:tcPr>
          <w:p w14:paraId="6EF311A5"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7DF8CA71"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4C7B59A5"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332AEDE0"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10F4898A"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104D1A7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99.32</w:t>
            </w:r>
          </w:p>
        </w:tc>
        <w:tc>
          <w:tcPr>
            <w:tcW w:w="1350" w:type="dxa"/>
            <w:shd w:val="clear" w:color="auto" w:fill="EDEDED"/>
          </w:tcPr>
          <w:p w14:paraId="78FD554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0.68</w:t>
            </w:r>
          </w:p>
        </w:tc>
      </w:tr>
      <w:tr w:rsidR="00981319" w:rsidRPr="00981319" w14:paraId="3290DF7E" w14:textId="77777777" w:rsidTr="00981319">
        <w:trPr>
          <w:trHeight w:val="726"/>
        </w:trPr>
        <w:tc>
          <w:tcPr>
            <w:tcW w:w="1560" w:type="dxa"/>
          </w:tcPr>
          <w:p w14:paraId="7A221BD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1276" w:type="dxa"/>
          </w:tcPr>
          <w:p w14:paraId="09942E2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0.10</w:t>
            </w:r>
          </w:p>
        </w:tc>
        <w:tc>
          <w:tcPr>
            <w:tcW w:w="1276" w:type="dxa"/>
          </w:tcPr>
          <w:p w14:paraId="14BB56A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88.6</w:t>
            </w:r>
          </w:p>
        </w:tc>
        <w:tc>
          <w:tcPr>
            <w:tcW w:w="850" w:type="dxa"/>
          </w:tcPr>
          <w:p w14:paraId="71F70466"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C70B9D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3,27</w:t>
            </w:r>
          </w:p>
        </w:tc>
        <w:tc>
          <w:tcPr>
            <w:tcW w:w="851" w:type="dxa"/>
          </w:tcPr>
          <w:p w14:paraId="7B9524AB"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3ACB899"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34327E74"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1029FCD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88.6</w:t>
            </w:r>
          </w:p>
        </w:tc>
        <w:tc>
          <w:tcPr>
            <w:tcW w:w="1350" w:type="dxa"/>
            <w:shd w:val="clear" w:color="auto" w:fill="EDEDED"/>
          </w:tcPr>
          <w:p w14:paraId="35D474C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11.40</w:t>
            </w:r>
          </w:p>
        </w:tc>
      </w:tr>
      <w:tr w:rsidR="00981319" w:rsidRPr="00981319" w14:paraId="52A757C5" w14:textId="77777777" w:rsidTr="00981319">
        <w:trPr>
          <w:trHeight w:val="714"/>
        </w:trPr>
        <w:tc>
          <w:tcPr>
            <w:tcW w:w="1560" w:type="dxa"/>
          </w:tcPr>
          <w:p w14:paraId="7ADABF8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1276" w:type="dxa"/>
          </w:tcPr>
          <w:p w14:paraId="34F1DD28"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3DBE15F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0.40</w:t>
            </w:r>
          </w:p>
        </w:tc>
        <w:tc>
          <w:tcPr>
            <w:tcW w:w="850" w:type="dxa"/>
          </w:tcPr>
          <w:p w14:paraId="405E1ED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95.02</w:t>
            </w:r>
          </w:p>
        </w:tc>
        <w:tc>
          <w:tcPr>
            <w:tcW w:w="1134" w:type="dxa"/>
          </w:tcPr>
          <w:p w14:paraId="75D2041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9.66</w:t>
            </w:r>
          </w:p>
        </w:tc>
        <w:tc>
          <w:tcPr>
            <w:tcW w:w="851" w:type="dxa"/>
          </w:tcPr>
          <w:p w14:paraId="14F37BA3"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5BDAE62B"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77BCE42C"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248A630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95.02</w:t>
            </w:r>
          </w:p>
        </w:tc>
        <w:tc>
          <w:tcPr>
            <w:tcW w:w="1350" w:type="dxa"/>
            <w:shd w:val="clear" w:color="auto" w:fill="EDEDED"/>
          </w:tcPr>
          <w:p w14:paraId="6C068EF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4.98</w:t>
            </w:r>
          </w:p>
        </w:tc>
      </w:tr>
      <w:tr w:rsidR="00981319" w:rsidRPr="00981319" w14:paraId="0B2D7058" w14:textId="77777777" w:rsidTr="00981319">
        <w:trPr>
          <w:trHeight w:val="714"/>
        </w:trPr>
        <w:tc>
          <w:tcPr>
            <w:tcW w:w="1560" w:type="dxa"/>
          </w:tcPr>
          <w:p w14:paraId="78DF09B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Dwellings</w:t>
            </w:r>
          </w:p>
        </w:tc>
        <w:tc>
          <w:tcPr>
            <w:tcW w:w="1276" w:type="dxa"/>
          </w:tcPr>
          <w:p w14:paraId="1F839F13"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177A526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10.96</w:t>
            </w:r>
          </w:p>
        </w:tc>
        <w:tc>
          <w:tcPr>
            <w:tcW w:w="850" w:type="dxa"/>
          </w:tcPr>
          <w:p w14:paraId="4AB708B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4.82</w:t>
            </w:r>
          </w:p>
        </w:tc>
        <w:tc>
          <w:tcPr>
            <w:tcW w:w="1134" w:type="dxa"/>
          </w:tcPr>
          <w:p w14:paraId="6AD708A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86.55</w:t>
            </w:r>
          </w:p>
        </w:tc>
        <w:tc>
          <w:tcPr>
            <w:tcW w:w="851" w:type="dxa"/>
          </w:tcPr>
          <w:p w14:paraId="5674189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1.47</w:t>
            </w:r>
          </w:p>
        </w:tc>
        <w:tc>
          <w:tcPr>
            <w:tcW w:w="1134" w:type="dxa"/>
          </w:tcPr>
          <w:p w14:paraId="3EE0CAA6"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50CB2210"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1BE69EE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86.55</w:t>
            </w:r>
          </w:p>
        </w:tc>
        <w:tc>
          <w:tcPr>
            <w:tcW w:w="1350" w:type="dxa"/>
            <w:shd w:val="clear" w:color="auto" w:fill="EDEDED"/>
          </w:tcPr>
          <w:p w14:paraId="796AA44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13.45</w:t>
            </w:r>
          </w:p>
        </w:tc>
      </w:tr>
      <w:tr w:rsidR="00981319" w:rsidRPr="00981319" w14:paraId="2D49CE8A" w14:textId="77777777" w:rsidTr="00981319">
        <w:trPr>
          <w:trHeight w:val="714"/>
        </w:trPr>
        <w:tc>
          <w:tcPr>
            <w:tcW w:w="1560" w:type="dxa"/>
          </w:tcPr>
          <w:p w14:paraId="693BA22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276" w:type="dxa"/>
          </w:tcPr>
          <w:p w14:paraId="2FC7B4B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0.55</w:t>
            </w:r>
          </w:p>
        </w:tc>
        <w:tc>
          <w:tcPr>
            <w:tcW w:w="1276" w:type="dxa"/>
          </w:tcPr>
          <w:p w14:paraId="1B6D8DF4"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54EB949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0.17</w:t>
            </w:r>
          </w:p>
        </w:tc>
        <w:tc>
          <w:tcPr>
            <w:tcW w:w="1134" w:type="dxa"/>
          </w:tcPr>
          <w:p w14:paraId="6CAF711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0.52</w:t>
            </w:r>
          </w:p>
        </w:tc>
        <w:tc>
          <w:tcPr>
            <w:tcW w:w="851" w:type="dxa"/>
          </w:tcPr>
          <w:p w14:paraId="2192673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98.53</w:t>
            </w:r>
          </w:p>
        </w:tc>
        <w:tc>
          <w:tcPr>
            <w:tcW w:w="1134" w:type="dxa"/>
          </w:tcPr>
          <w:p w14:paraId="088E2CCE"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5159986D"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7539734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98.53</w:t>
            </w:r>
          </w:p>
        </w:tc>
        <w:tc>
          <w:tcPr>
            <w:tcW w:w="1350" w:type="dxa"/>
            <w:shd w:val="clear" w:color="auto" w:fill="EDEDED"/>
          </w:tcPr>
          <w:p w14:paraId="380830E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1.47</w:t>
            </w:r>
          </w:p>
        </w:tc>
      </w:tr>
      <w:tr w:rsidR="00981319" w:rsidRPr="00981319" w14:paraId="1B70B1BC" w14:textId="77777777" w:rsidTr="00981319">
        <w:trPr>
          <w:trHeight w:val="726"/>
        </w:trPr>
        <w:tc>
          <w:tcPr>
            <w:tcW w:w="1560" w:type="dxa"/>
          </w:tcPr>
          <w:p w14:paraId="038540D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1276" w:type="dxa"/>
          </w:tcPr>
          <w:p w14:paraId="2A14BD7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1276" w:type="dxa"/>
          </w:tcPr>
          <w:p w14:paraId="78B442E8"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3677BA97"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A3DF385"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25B405CB"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064EF35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100</w:t>
            </w:r>
          </w:p>
        </w:tc>
        <w:tc>
          <w:tcPr>
            <w:tcW w:w="895" w:type="dxa"/>
          </w:tcPr>
          <w:p w14:paraId="1DDB46F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1287" w:type="dxa"/>
            <w:tcBorders>
              <w:bottom w:val="single" w:sz="4" w:space="0" w:color="BFBFBF"/>
            </w:tcBorders>
            <w:shd w:val="clear" w:color="auto" w:fill="EDEDED"/>
          </w:tcPr>
          <w:p w14:paraId="003D9E0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100</w:t>
            </w:r>
          </w:p>
        </w:tc>
        <w:tc>
          <w:tcPr>
            <w:tcW w:w="1350" w:type="dxa"/>
            <w:tcBorders>
              <w:bottom w:val="single" w:sz="4" w:space="0" w:color="BFBFBF"/>
            </w:tcBorders>
            <w:shd w:val="clear" w:color="auto" w:fill="EDEDED"/>
          </w:tcPr>
          <w:p w14:paraId="56E49D3B" w14:textId="77777777" w:rsidR="00981319" w:rsidRPr="00981319" w:rsidRDefault="00981319" w:rsidP="00981319">
            <w:pPr>
              <w:spacing w:before="240" w:after="200"/>
              <w:rPr>
                <w:rFonts w:ascii="Times New Roman" w:hAnsi="Times New Roman"/>
                <w:color w:val="232323"/>
                <w:sz w:val="24"/>
                <w:szCs w:val="24"/>
              </w:rPr>
            </w:pPr>
          </w:p>
        </w:tc>
      </w:tr>
      <w:tr w:rsidR="00981319" w:rsidRPr="00981319" w14:paraId="3BDF6C94" w14:textId="77777777" w:rsidTr="00981319">
        <w:trPr>
          <w:trHeight w:val="714"/>
        </w:trPr>
        <w:tc>
          <w:tcPr>
            <w:tcW w:w="1560" w:type="dxa"/>
          </w:tcPr>
          <w:p w14:paraId="4D5F3E3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76" w:type="dxa"/>
          </w:tcPr>
          <w:p w14:paraId="59E33B78"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7D6D42DB"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63AACAB6"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A2F8B66"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7D039561"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0D869577" w14:textId="77777777" w:rsidR="00981319" w:rsidRPr="00981319" w:rsidRDefault="00981319" w:rsidP="00981319">
            <w:pPr>
              <w:spacing w:before="240" w:after="200"/>
              <w:rPr>
                <w:rFonts w:ascii="Times New Roman" w:hAnsi="Times New Roman"/>
                <w:color w:val="232323"/>
                <w:sz w:val="24"/>
                <w:szCs w:val="24"/>
              </w:rPr>
            </w:pPr>
          </w:p>
        </w:tc>
        <w:tc>
          <w:tcPr>
            <w:tcW w:w="895" w:type="dxa"/>
            <w:tcBorders>
              <w:bottom w:val="single" w:sz="4" w:space="0" w:color="BFBFBF"/>
            </w:tcBorders>
          </w:tcPr>
          <w:p w14:paraId="7F20A70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99.97</w:t>
            </w:r>
          </w:p>
        </w:tc>
        <w:tc>
          <w:tcPr>
            <w:tcW w:w="1287" w:type="dxa"/>
            <w:tcBorders>
              <w:bottom w:val="single" w:sz="4" w:space="0" w:color="auto"/>
            </w:tcBorders>
            <w:shd w:val="clear" w:color="auto" w:fill="EDEDED"/>
          </w:tcPr>
          <w:p w14:paraId="22B3DB1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99.97</w:t>
            </w:r>
          </w:p>
        </w:tc>
        <w:tc>
          <w:tcPr>
            <w:tcW w:w="1350" w:type="dxa"/>
            <w:tcBorders>
              <w:bottom w:val="single" w:sz="4" w:space="0" w:color="auto"/>
            </w:tcBorders>
            <w:shd w:val="clear" w:color="auto" w:fill="EDEDED"/>
          </w:tcPr>
          <w:p w14:paraId="68E8891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r>
      <w:tr w:rsidR="00981319" w:rsidRPr="00981319" w14:paraId="2E54C78A" w14:textId="77777777" w:rsidTr="00981319">
        <w:trPr>
          <w:trHeight w:val="1009"/>
        </w:trPr>
        <w:tc>
          <w:tcPr>
            <w:tcW w:w="1560" w:type="dxa"/>
            <w:shd w:val="clear" w:color="auto" w:fill="EDEDED"/>
          </w:tcPr>
          <w:p w14:paraId="055538F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User accuracy</w:t>
            </w:r>
          </w:p>
        </w:tc>
        <w:tc>
          <w:tcPr>
            <w:tcW w:w="1276" w:type="dxa"/>
            <w:shd w:val="clear" w:color="auto" w:fill="EDEDED"/>
          </w:tcPr>
          <w:p w14:paraId="3177355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99.98</w:t>
            </w:r>
          </w:p>
        </w:tc>
        <w:tc>
          <w:tcPr>
            <w:tcW w:w="1276" w:type="dxa"/>
            <w:shd w:val="clear" w:color="auto" w:fill="EDEDED"/>
          </w:tcPr>
          <w:p w14:paraId="4546541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99.29</w:t>
            </w:r>
          </w:p>
        </w:tc>
        <w:tc>
          <w:tcPr>
            <w:tcW w:w="850" w:type="dxa"/>
            <w:shd w:val="clear" w:color="auto" w:fill="EDEDED"/>
          </w:tcPr>
          <w:p w14:paraId="361528D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97.03</w:t>
            </w:r>
          </w:p>
        </w:tc>
        <w:tc>
          <w:tcPr>
            <w:tcW w:w="1134" w:type="dxa"/>
            <w:shd w:val="clear" w:color="auto" w:fill="EDEDED"/>
          </w:tcPr>
          <w:p w14:paraId="64CC66D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42.39</w:t>
            </w:r>
          </w:p>
        </w:tc>
        <w:tc>
          <w:tcPr>
            <w:tcW w:w="851" w:type="dxa"/>
            <w:shd w:val="clear" w:color="auto" w:fill="EDEDED"/>
          </w:tcPr>
          <w:p w14:paraId="109242C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98.95</w:t>
            </w:r>
          </w:p>
        </w:tc>
        <w:tc>
          <w:tcPr>
            <w:tcW w:w="1134" w:type="dxa"/>
            <w:shd w:val="clear" w:color="auto" w:fill="EDEDED"/>
          </w:tcPr>
          <w:p w14:paraId="5618FC7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89.27</w:t>
            </w:r>
          </w:p>
        </w:tc>
        <w:tc>
          <w:tcPr>
            <w:tcW w:w="895" w:type="dxa"/>
            <w:tcBorders>
              <w:right w:val="single" w:sz="4" w:space="0" w:color="auto"/>
            </w:tcBorders>
            <w:shd w:val="clear" w:color="auto" w:fill="EDEDED"/>
          </w:tcPr>
          <w:p w14:paraId="1799A30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99.97</w:t>
            </w:r>
          </w:p>
        </w:tc>
        <w:tc>
          <w:tcPr>
            <w:tcW w:w="1287" w:type="dxa"/>
            <w:tcBorders>
              <w:top w:val="single" w:sz="4" w:space="0" w:color="auto"/>
              <w:left w:val="single" w:sz="4" w:space="0" w:color="auto"/>
              <w:bottom w:val="nil"/>
              <w:right w:val="nil"/>
            </w:tcBorders>
          </w:tcPr>
          <w:p w14:paraId="7C10999C" w14:textId="77777777" w:rsidR="00981319" w:rsidRPr="00981319" w:rsidRDefault="00981319" w:rsidP="00981319">
            <w:pPr>
              <w:spacing w:before="240" w:after="200"/>
              <w:rPr>
                <w:rFonts w:ascii="Times New Roman" w:hAnsi="Times New Roman"/>
                <w:color w:val="232323"/>
                <w:sz w:val="24"/>
                <w:szCs w:val="24"/>
              </w:rPr>
            </w:pPr>
          </w:p>
        </w:tc>
        <w:tc>
          <w:tcPr>
            <w:tcW w:w="1350" w:type="dxa"/>
            <w:tcBorders>
              <w:top w:val="single" w:sz="4" w:space="0" w:color="auto"/>
              <w:left w:val="nil"/>
              <w:bottom w:val="nil"/>
              <w:right w:val="nil"/>
            </w:tcBorders>
          </w:tcPr>
          <w:p w14:paraId="23E1F3DA" w14:textId="77777777" w:rsidR="00981319" w:rsidRPr="00981319" w:rsidRDefault="00981319" w:rsidP="00981319">
            <w:pPr>
              <w:spacing w:before="240" w:after="200"/>
              <w:rPr>
                <w:rFonts w:ascii="Times New Roman" w:hAnsi="Times New Roman"/>
                <w:color w:val="232323"/>
                <w:sz w:val="24"/>
                <w:szCs w:val="24"/>
              </w:rPr>
            </w:pPr>
          </w:p>
        </w:tc>
      </w:tr>
      <w:tr w:rsidR="00981319" w:rsidRPr="00981319" w14:paraId="607A1C5B" w14:textId="77777777" w:rsidTr="00981319">
        <w:trPr>
          <w:trHeight w:val="984"/>
        </w:trPr>
        <w:tc>
          <w:tcPr>
            <w:tcW w:w="1560" w:type="dxa"/>
            <w:shd w:val="clear" w:color="auto" w:fill="EDEDED"/>
            <w:vAlign w:val="center"/>
          </w:tcPr>
          <w:p w14:paraId="0577CEB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lastRenderedPageBreak/>
              <w:t xml:space="preserve">Commission </w:t>
            </w:r>
            <w:proofErr w:type="spellStart"/>
            <w:r w:rsidRPr="00981319">
              <w:rPr>
                <w:rFonts w:ascii="Times New Roman" w:hAnsi="Times New Roman"/>
                <w:sz w:val="24"/>
                <w:szCs w:val="24"/>
              </w:rPr>
              <w:t>error</w:t>
            </w:r>
            <w:proofErr w:type="spellEnd"/>
          </w:p>
        </w:tc>
        <w:tc>
          <w:tcPr>
            <w:tcW w:w="1276" w:type="dxa"/>
            <w:shd w:val="clear" w:color="auto" w:fill="EDEDED"/>
          </w:tcPr>
          <w:p w14:paraId="6041938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0.02</w:t>
            </w:r>
          </w:p>
        </w:tc>
        <w:tc>
          <w:tcPr>
            <w:tcW w:w="1276" w:type="dxa"/>
            <w:shd w:val="clear" w:color="auto" w:fill="EDEDED"/>
          </w:tcPr>
          <w:p w14:paraId="4EC4739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0.71</w:t>
            </w:r>
          </w:p>
        </w:tc>
        <w:tc>
          <w:tcPr>
            <w:tcW w:w="850" w:type="dxa"/>
            <w:shd w:val="clear" w:color="auto" w:fill="EDEDED"/>
          </w:tcPr>
          <w:p w14:paraId="619406E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2.97</w:t>
            </w:r>
          </w:p>
        </w:tc>
        <w:tc>
          <w:tcPr>
            <w:tcW w:w="1134" w:type="dxa"/>
            <w:shd w:val="clear" w:color="auto" w:fill="EDEDED"/>
          </w:tcPr>
          <w:p w14:paraId="06D9C6F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57.61</w:t>
            </w:r>
          </w:p>
        </w:tc>
        <w:tc>
          <w:tcPr>
            <w:tcW w:w="851" w:type="dxa"/>
            <w:shd w:val="clear" w:color="auto" w:fill="EDEDED"/>
          </w:tcPr>
          <w:p w14:paraId="6BB23BD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1.05</w:t>
            </w:r>
          </w:p>
        </w:tc>
        <w:tc>
          <w:tcPr>
            <w:tcW w:w="1134" w:type="dxa"/>
            <w:shd w:val="clear" w:color="auto" w:fill="EDEDED"/>
          </w:tcPr>
          <w:p w14:paraId="2FAF29C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10.73</w:t>
            </w:r>
          </w:p>
        </w:tc>
        <w:tc>
          <w:tcPr>
            <w:tcW w:w="895" w:type="dxa"/>
            <w:tcBorders>
              <w:right w:val="single" w:sz="4" w:space="0" w:color="auto"/>
            </w:tcBorders>
            <w:shd w:val="clear" w:color="auto" w:fill="EDEDED"/>
          </w:tcPr>
          <w:p w14:paraId="6DE1D23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1287" w:type="dxa"/>
            <w:tcBorders>
              <w:top w:val="nil"/>
              <w:left w:val="single" w:sz="4" w:space="0" w:color="auto"/>
              <w:bottom w:val="nil"/>
              <w:right w:val="nil"/>
            </w:tcBorders>
          </w:tcPr>
          <w:p w14:paraId="0B4A608D" w14:textId="77777777" w:rsidR="00981319" w:rsidRPr="00981319" w:rsidRDefault="00981319" w:rsidP="00981319">
            <w:pPr>
              <w:spacing w:before="240" w:after="200"/>
              <w:rPr>
                <w:rFonts w:ascii="Times New Roman" w:hAnsi="Times New Roman"/>
                <w:color w:val="232323"/>
                <w:sz w:val="24"/>
                <w:szCs w:val="24"/>
              </w:rPr>
            </w:pPr>
          </w:p>
        </w:tc>
        <w:tc>
          <w:tcPr>
            <w:tcW w:w="1350" w:type="dxa"/>
            <w:tcBorders>
              <w:top w:val="nil"/>
              <w:left w:val="nil"/>
              <w:bottom w:val="nil"/>
              <w:right w:val="nil"/>
            </w:tcBorders>
          </w:tcPr>
          <w:p w14:paraId="3F66A94F" w14:textId="77777777" w:rsidR="00981319" w:rsidRPr="00981319" w:rsidRDefault="00981319" w:rsidP="00981319">
            <w:pPr>
              <w:spacing w:before="240" w:after="200"/>
              <w:rPr>
                <w:rFonts w:ascii="Times New Roman" w:hAnsi="Times New Roman"/>
                <w:color w:val="232323"/>
                <w:sz w:val="24"/>
                <w:szCs w:val="24"/>
              </w:rPr>
            </w:pPr>
          </w:p>
        </w:tc>
      </w:tr>
    </w:tbl>
    <w:p w14:paraId="479EB509" w14:textId="77777777" w:rsidR="00981319" w:rsidRPr="00981319" w:rsidRDefault="00981319" w:rsidP="00981319">
      <w:pPr>
        <w:spacing w:after="160" w:line="259" w:lineRule="auto"/>
        <w:rPr>
          <w:rFonts w:ascii="Calibri" w:eastAsia="Calibri" w:hAnsi="Calibri"/>
          <w:sz w:val="22"/>
          <w:szCs w:val="22"/>
        </w:rPr>
      </w:pPr>
    </w:p>
    <w:p w14:paraId="2E93FC47" w14:textId="77777777" w:rsidR="00981319" w:rsidRPr="00981319" w:rsidRDefault="00981319" w:rsidP="00981319">
      <w:pPr>
        <w:spacing w:after="160" w:line="259" w:lineRule="auto"/>
        <w:rPr>
          <w:rFonts w:ascii="Calibri" w:eastAsia="Calibri" w:hAnsi="Calibri"/>
          <w:sz w:val="22"/>
          <w:szCs w:val="22"/>
        </w:rPr>
      </w:pPr>
    </w:p>
    <w:p w14:paraId="7E41F9BE" w14:textId="77777777" w:rsidR="00981319" w:rsidRPr="00981319" w:rsidRDefault="00981319" w:rsidP="00981319">
      <w:pPr>
        <w:spacing w:after="160" w:line="259" w:lineRule="auto"/>
        <w:rPr>
          <w:rFonts w:ascii="Calibri" w:eastAsia="Calibri" w:hAnsi="Calibri"/>
          <w:sz w:val="22"/>
          <w:szCs w:val="22"/>
        </w:rPr>
      </w:pPr>
    </w:p>
    <w:p w14:paraId="4416F8F1" w14:textId="77777777" w:rsidR="00981319" w:rsidRPr="00981319" w:rsidRDefault="00981319" w:rsidP="00981319">
      <w:pPr>
        <w:spacing w:after="160" w:line="259" w:lineRule="auto"/>
        <w:rPr>
          <w:rFonts w:ascii="Calibri" w:eastAsia="Calibri" w:hAnsi="Calibri"/>
          <w:sz w:val="22"/>
          <w:szCs w:val="22"/>
        </w:rPr>
      </w:pPr>
    </w:p>
    <w:p w14:paraId="40590666" w14:textId="77777777" w:rsidR="00981319" w:rsidRPr="00981319" w:rsidRDefault="00981319" w:rsidP="00981319">
      <w:pPr>
        <w:spacing w:after="160" w:line="259" w:lineRule="auto"/>
        <w:rPr>
          <w:rFonts w:ascii="Calibri" w:eastAsia="Calibri" w:hAnsi="Calibri"/>
          <w:sz w:val="22"/>
          <w:szCs w:val="22"/>
        </w:rPr>
      </w:pPr>
    </w:p>
    <w:p w14:paraId="32575085" w14:textId="77777777" w:rsidR="00981319" w:rsidRPr="00981319" w:rsidRDefault="00981319" w:rsidP="00981319">
      <w:pPr>
        <w:spacing w:after="160" w:line="259" w:lineRule="auto"/>
        <w:rPr>
          <w:rFonts w:ascii="Calibri" w:eastAsia="Calibri" w:hAnsi="Calibri"/>
          <w:sz w:val="22"/>
          <w:szCs w:val="22"/>
        </w:rPr>
      </w:pPr>
    </w:p>
    <w:p w14:paraId="5AB8D382" w14:textId="77777777" w:rsidR="00981319" w:rsidRPr="00981319" w:rsidRDefault="00981319" w:rsidP="00981319">
      <w:pPr>
        <w:spacing w:after="160" w:line="259" w:lineRule="auto"/>
        <w:rPr>
          <w:rFonts w:ascii="Calibri" w:eastAsia="Calibri" w:hAnsi="Calibri"/>
          <w:sz w:val="22"/>
          <w:szCs w:val="22"/>
        </w:rPr>
      </w:pPr>
    </w:p>
    <w:p w14:paraId="7F971038" w14:textId="77777777" w:rsidR="00981319" w:rsidRPr="00981319" w:rsidRDefault="00981319" w:rsidP="00981319">
      <w:pPr>
        <w:spacing w:after="160" w:line="259" w:lineRule="auto"/>
        <w:rPr>
          <w:rFonts w:ascii="Calibri" w:eastAsia="Calibri" w:hAnsi="Calibri"/>
          <w:sz w:val="22"/>
          <w:szCs w:val="22"/>
        </w:rPr>
      </w:pPr>
    </w:p>
    <w:p w14:paraId="6156270F" w14:textId="77777777" w:rsidR="00981319" w:rsidRPr="00981319" w:rsidRDefault="00981319" w:rsidP="00981319">
      <w:pPr>
        <w:spacing w:after="160" w:line="259" w:lineRule="auto"/>
        <w:rPr>
          <w:rFonts w:ascii="Calibri" w:eastAsia="Calibri" w:hAnsi="Calibri"/>
          <w:sz w:val="22"/>
          <w:szCs w:val="22"/>
        </w:rPr>
      </w:pPr>
    </w:p>
    <w:p w14:paraId="412547E3" w14:textId="77777777" w:rsidR="00981319" w:rsidRDefault="00981319" w:rsidP="00981319">
      <w:pPr>
        <w:spacing w:after="160" w:line="259" w:lineRule="auto"/>
        <w:rPr>
          <w:rFonts w:ascii="Calibri" w:eastAsia="Calibri" w:hAnsi="Calibri"/>
          <w:sz w:val="22"/>
          <w:szCs w:val="22"/>
        </w:rPr>
      </w:pPr>
    </w:p>
    <w:p w14:paraId="4E439659" w14:textId="77777777" w:rsidR="00981319" w:rsidRPr="00981319" w:rsidRDefault="00981319" w:rsidP="00981319">
      <w:pPr>
        <w:spacing w:after="160" w:line="259" w:lineRule="auto"/>
        <w:jc w:val="both"/>
        <w:rPr>
          <w:rFonts w:ascii="Calibri" w:eastAsia="Calibri" w:hAnsi="Calibri"/>
          <w:sz w:val="22"/>
          <w:szCs w:val="22"/>
        </w:rPr>
      </w:pPr>
    </w:p>
    <w:p w14:paraId="11EBA7BB" w14:textId="77777777" w:rsidR="00981319" w:rsidRPr="00981319" w:rsidRDefault="00981319" w:rsidP="00981319">
      <w:pPr>
        <w:spacing w:after="200"/>
        <w:jc w:val="both"/>
        <w:rPr>
          <w:rFonts w:ascii="Arial" w:eastAsia="Calibri" w:hAnsi="Arial" w:cs="Arial"/>
          <w:b/>
          <w:iCs/>
        </w:rPr>
      </w:pPr>
      <w:r>
        <w:rPr>
          <w:rFonts w:ascii="Arial" w:eastAsia="Calibri" w:hAnsi="Arial" w:cs="Arial"/>
          <w:b/>
          <w:iCs/>
        </w:rPr>
        <w:t>Table</w:t>
      </w:r>
      <w:r w:rsidRPr="00981319">
        <w:rPr>
          <w:rFonts w:ascii="Arial" w:eastAsia="Calibri" w:hAnsi="Arial" w:cs="Arial"/>
          <w:b/>
          <w:iCs/>
        </w:rPr>
        <w:t xml:space="preserve"> </w:t>
      </w:r>
      <w:r w:rsidRPr="00981319">
        <w:rPr>
          <w:rFonts w:ascii="Arial" w:eastAsia="Calibri" w:hAnsi="Arial" w:cs="Arial"/>
          <w:b/>
          <w:iCs/>
          <w:lang w:val="fr-FR"/>
        </w:rPr>
        <w:fldChar w:fldCharType="begin"/>
      </w:r>
      <w:r w:rsidRPr="00981319">
        <w:rPr>
          <w:rFonts w:ascii="Arial" w:eastAsia="Calibri" w:hAnsi="Arial" w:cs="Arial"/>
          <w:b/>
          <w:iCs/>
        </w:rPr>
        <w:instrText xml:space="preserve"> SEQ Tableau \* ARABIC </w:instrText>
      </w:r>
      <w:r w:rsidRPr="00981319">
        <w:rPr>
          <w:rFonts w:ascii="Arial" w:eastAsia="Calibri" w:hAnsi="Arial" w:cs="Arial"/>
          <w:b/>
          <w:iCs/>
          <w:lang w:val="fr-FR"/>
        </w:rPr>
        <w:fldChar w:fldCharType="separate"/>
      </w:r>
      <w:r w:rsidRPr="00981319">
        <w:rPr>
          <w:rFonts w:ascii="Arial" w:eastAsia="Calibri" w:hAnsi="Arial" w:cs="Arial"/>
          <w:b/>
          <w:iCs/>
          <w:noProof/>
        </w:rPr>
        <w:t>4</w:t>
      </w:r>
      <w:r w:rsidRPr="00981319">
        <w:rPr>
          <w:rFonts w:ascii="Arial" w:eastAsia="Calibri" w:hAnsi="Arial" w:cs="Arial"/>
          <w:b/>
          <w:iCs/>
          <w:lang w:val="fr-FR"/>
        </w:rPr>
        <w:fldChar w:fldCharType="end"/>
      </w:r>
      <w:r w:rsidRPr="00981319">
        <w:rPr>
          <w:rFonts w:ascii="Arial" w:eastAsia="Calibri" w:hAnsi="Arial" w:cs="Arial"/>
          <w:b/>
          <w:iCs/>
        </w:rPr>
        <w:t>: Confusion matrix of the different land use classes in the Saloum Delta in 2024.</w:t>
      </w:r>
    </w:p>
    <w:tbl>
      <w:tblPr>
        <w:tblStyle w:val="Grilledetableauclaire1"/>
        <w:tblW w:w="11613" w:type="dxa"/>
        <w:tblInd w:w="-998" w:type="dxa"/>
        <w:tblLayout w:type="fixed"/>
        <w:tblLook w:val="04A0" w:firstRow="1" w:lastRow="0" w:firstColumn="1" w:lastColumn="0" w:noHBand="0" w:noVBand="1"/>
      </w:tblPr>
      <w:tblGrid>
        <w:gridCol w:w="1560"/>
        <w:gridCol w:w="1276"/>
        <w:gridCol w:w="1276"/>
        <w:gridCol w:w="850"/>
        <w:gridCol w:w="1276"/>
        <w:gridCol w:w="851"/>
        <w:gridCol w:w="992"/>
        <w:gridCol w:w="832"/>
        <w:gridCol w:w="1350"/>
        <w:gridCol w:w="1350"/>
      </w:tblGrid>
      <w:tr w:rsidR="00981319" w:rsidRPr="00981319" w14:paraId="38051C51" w14:textId="77777777" w:rsidTr="00981319">
        <w:tc>
          <w:tcPr>
            <w:tcW w:w="1560" w:type="dxa"/>
          </w:tcPr>
          <w:p w14:paraId="188E6AC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Land use units</w:t>
            </w:r>
          </w:p>
        </w:tc>
        <w:tc>
          <w:tcPr>
            <w:tcW w:w="1276" w:type="dxa"/>
          </w:tcPr>
          <w:p w14:paraId="2AA336D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76" w:type="dxa"/>
          </w:tcPr>
          <w:p w14:paraId="527B110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850" w:type="dxa"/>
          </w:tcPr>
          <w:p w14:paraId="5648DAE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1276" w:type="dxa"/>
          </w:tcPr>
          <w:p w14:paraId="440209C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Dwellings</w:t>
            </w:r>
          </w:p>
        </w:tc>
        <w:tc>
          <w:tcPr>
            <w:tcW w:w="851" w:type="dxa"/>
          </w:tcPr>
          <w:p w14:paraId="1D3E3D4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992" w:type="dxa"/>
          </w:tcPr>
          <w:p w14:paraId="77C0F3A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832" w:type="dxa"/>
          </w:tcPr>
          <w:p w14:paraId="404F3B7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350" w:type="dxa"/>
            <w:shd w:val="clear" w:color="auto" w:fill="EDEDED"/>
          </w:tcPr>
          <w:p w14:paraId="3AA9CF5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Production accuracy</w:t>
            </w:r>
          </w:p>
        </w:tc>
        <w:tc>
          <w:tcPr>
            <w:tcW w:w="1350" w:type="dxa"/>
            <w:shd w:val="clear" w:color="auto" w:fill="EDEDED"/>
          </w:tcPr>
          <w:p w14:paraId="1F84783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Error of omission</w:t>
            </w:r>
          </w:p>
        </w:tc>
      </w:tr>
      <w:tr w:rsidR="00981319" w:rsidRPr="00981319" w14:paraId="2D4BC9D4" w14:textId="77777777" w:rsidTr="00981319">
        <w:tc>
          <w:tcPr>
            <w:tcW w:w="1560" w:type="dxa"/>
          </w:tcPr>
          <w:p w14:paraId="371C21B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76" w:type="dxa"/>
          </w:tcPr>
          <w:p w14:paraId="4D45947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98.57</w:t>
            </w:r>
          </w:p>
        </w:tc>
        <w:tc>
          <w:tcPr>
            <w:tcW w:w="1276" w:type="dxa"/>
          </w:tcPr>
          <w:p w14:paraId="015C6050"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4FE78573"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7FF762F1"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509BBEDF" w14:textId="77777777" w:rsidR="00981319" w:rsidRPr="00981319" w:rsidRDefault="00981319" w:rsidP="00981319">
            <w:pPr>
              <w:spacing w:before="240" w:after="200"/>
              <w:rPr>
                <w:rFonts w:ascii="Times New Roman" w:hAnsi="Times New Roman"/>
                <w:color w:val="232323"/>
                <w:sz w:val="24"/>
                <w:szCs w:val="24"/>
              </w:rPr>
            </w:pPr>
          </w:p>
        </w:tc>
        <w:tc>
          <w:tcPr>
            <w:tcW w:w="992" w:type="dxa"/>
          </w:tcPr>
          <w:p w14:paraId="01F64CA7" w14:textId="77777777" w:rsidR="00981319" w:rsidRPr="00981319" w:rsidRDefault="00981319" w:rsidP="00981319">
            <w:pPr>
              <w:spacing w:before="240" w:after="200"/>
              <w:rPr>
                <w:rFonts w:ascii="Times New Roman" w:hAnsi="Times New Roman"/>
                <w:color w:val="232323"/>
                <w:sz w:val="24"/>
                <w:szCs w:val="24"/>
              </w:rPr>
            </w:pPr>
          </w:p>
        </w:tc>
        <w:tc>
          <w:tcPr>
            <w:tcW w:w="832" w:type="dxa"/>
          </w:tcPr>
          <w:p w14:paraId="60E75BC3"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26B8316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98.57</w:t>
            </w:r>
          </w:p>
        </w:tc>
        <w:tc>
          <w:tcPr>
            <w:tcW w:w="1350" w:type="dxa"/>
            <w:shd w:val="clear" w:color="auto" w:fill="EDEDED"/>
          </w:tcPr>
          <w:p w14:paraId="034C9DB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1.43</w:t>
            </w:r>
          </w:p>
        </w:tc>
      </w:tr>
      <w:tr w:rsidR="00981319" w:rsidRPr="00981319" w14:paraId="5BFC8FE3" w14:textId="77777777" w:rsidTr="00981319">
        <w:tc>
          <w:tcPr>
            <w:tcW w:w="1560" w:type="dxa"/>
          </w:tcPr>
          <w:p w14:paraId="4F8A9B0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1276" w:type="dxa"/>
          </w:tcPr>
          <w:p w14:paraId="1369C07F"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5B0A8C0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97.88</w:t>
            </w:r>
          </w:p>
        </w:tc>
        <w:tc>
          <w:tcPr>
            <w:tcW w:w="850" w:type="dxa"/>
          </w:tcPr>
          <w:p w14:paraId="3EAA8B6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5.81</w:t>
            </w:r>
          </w:p>
        </w:tc>
        <w:tc>
          <w:tcPr>
            <w:tcW w:w="1276" w:type="dxa"/>
          </w:tcPr>
          <w:p w14:paraId="2FB21A3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12.85</w:t>
            </w:r>
          </w:p>
        </w:tc>
        <w:tc>
          <w:tcPr>
            <w:tcW w:w="851" w:type="dxa"/>
          </w:tcPr>
          <w:p w14:paraId="5EA3EA12" w14:textId="77777777" w:rsidR="00981319" w:rsidRPr="00981319" w:rsidRDefault="00981319" w:rsidP="00981319">
            <w:pPr>
              <w:spacing w:before="240" w:after="200"/>
              <w:rPr>
                <w:rFonts w:ascii="Times New Roman" w:hAnsi="Times New Roman"/>
                <w:color w:val="232323"/>
                <w:sz w:val="24"/>
                <w:szCs w:val="24"/>
              </w:rPr>
            </w:pPr>
          </w:p>
        </w:tc>
        <w:tc>
          <w:tcPr>
            <w:tcW w:w="992" w:type="dxa"/>
          </w:tcPr>
          <w:p w14:paraId="5157A2A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1.13</w:t>
            </w:r>
          </w:p>
        </w:tc>
        <w:tc>
          <w:tcPr>
            <w:tcW w:w="832" w:type="dxa"/>
          </w:tcPr>
          <w:p w14:paraId="2A08EDDD"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339A0C6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97.88</w:t>
            </w:r>
          </w:p>
        </w:tc>
        <w:tc>
          <w:tcPr>
            <w:tcW w:w="1350" w:type="dxa"/>
            <w:shd w:val="clear" w:color="auto" w:fill="EDEDED"/>
          </w:tcPr>
          <w:p w14:paraId="37DAB27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2.12</w:t>
            </w:r>
          </w:p>
        </w:tc>
      </w:tr>
      <w:tr w:rsidR="00981319" w:rsidRPr="00981319" w14:paraId="682FC7E2" w14:textId="77777777" w:rsidTr="00981319">
        <w:tc>
          <w:tcPr>
            <w:tcW w:w="1560" w:type="dxa"/>
          </w:tcPr>
          <w:p w14:paraId="0328D47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lastRenderedPageBreak/>
              <w:t>Bare soil</w:t>
            </w:r>
          </w:p>
        </w:tc>
        <w:tc>
          <w:tcPr>
            <w:tcW w:w="1276" w:type="dxa"/>
          </w:tcPr>
          <w:p w14:paraId="506B2993"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3A26D88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1.13</w:t>
            </w:r>
          </w:p>
        </w:tc>
        <w:tc>
          <w:tcPr>
            <w:tcW w:w="850" w:type="dxa"/>
          </w:tcPr>
          <w:p w14:paraId="7F4D81A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94.15</w:t>
            </w:r>
          </w:p>
        </w:tc>
        <w:tc>
          <w:tcPr>
            <w:tcW w:w="1276" w:type="dxa"/>
          </w:tcPr>
          <w:p w14:paraId="5B735F2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3.40</w:t>
            </w:r>
          </w:p>
        </w:tc>
        <w:tc>
          <w:tcPr>
            <w:tcW w:w="851" w:type="dxa"/>
          </w:tcPr>
          <w:p w14:paraId="7416F8B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0.49</w:t>
            </w:r>
          </w:p>
        </w:tc>
        <w:tc>
          <w:tcPr>
            <w:tcW w:w="992" w:type="dxa"/>
          </w:tcPr>
          <w:p w14:paraId="30508D9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4.79</w:t>
            </w:r>
          </w:p>
        </w:tc>
        <w:tc>
          <w:tcPr>
            <w:tcW w:w="832" w:type="dxa"/>
          </w:tcPr>
          <w:p w14:paraId="1D551002"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6353E60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94.15</w:t>
            </w:r>
          </w:p>
        </w:tc>
        <w:tc>
          <w:tcPr>
            <w:tcW w:w="1350" w:type="dxa"/>
            <w:shd w:val="clear" w:color="auto" w:fill="EDEDED"/>
          </w:tcPr>
          <w:p w14:paraId="24ABA6E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5.85</w:t>
            </w:r>
          </w:p>
        </w:tc>
      </w:tr>
      <w:tr w:rsidR="00981319" w:rsidRPr="00981319" w14:paraId="6ABF85B5" w14:textId="77777777" w:rsidTr="00981319">
        <w:tc>
          <w:tcPr>
            <w:tcW w:w="1560" w:type="dxa"/>
          </w:tcPr>
          <w:p w14:paraId="0C1417A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Dwellings</w:t>
            </w:r>
          </w:p>
        </w:tc>
        <w:tc>
          <w:tcPr>
            <w:tcW w:w="1276" w:type="dxa"/>
          </w:tcPr>
          <w:p w14:paraId="79DB0587"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626FF2E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0.99</w:t>
            </w:r>
          </w:p>
        </w:tc>
        <w:tc>
          <w:tcPr>
            <w:tcW w:w="850" w:type="dxa"/>
          </w:tcPr>
          <w:p w14:paraId="7BC70A5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0.04</w:t>
            </w:r>
          </w:p>
        </w:tc>
        <w:tc>
          <w:tcPr>
            <w:tcW w:w="1276" w:type="dxa"/>
          </w:tcPr>
          <w:p w14:paraId="1DE4BE2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79.91</w:t>
            </w:r>
          </w:p>
        </w:tc>
        <w:tc>
          <w:tcPr>
            <w:tcW w:w="851" w:type="dxa"/>
          </w:tcPr>
          <w:p w14:paraId="6B60362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25.73</w:t>
            </w:r>
          </w:p>
        </w:tc>
        <w:tc>
          <w:tcPr>
            <w:tcW w:w="992" w:type="dxa"/>
          </w:tcPr>
          <w:p w14:paraId="650B9C9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0.47</w:t>
            </w:r>
          </w:p>
        </w:tc>
        <w:tc>
          <w:tcPr>
            <w:tcW w:w="832" w:type="dxa"/>
          </w:tcPr>
          <w:p w14:paraId="09841079"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2A78B8D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79.91</w:t>
            </w:r>
          </w:p>
        </w:tc>
        <w:tc>
          <w:tcPr>
            <w:tcW w:w="1350" w:type="dxa"/>
            <w:shd w:val="clear" w:color="auto" w:fill="EDEDED"/>
          </w:tcPr>
          <w:p w14:paraId="7457E37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20.09</w:t>
            </w:r>
          </w:p>
        </w:tc>
      </w:tr>
      <w:tr w:rsidR="00981319" w:rsidRPr="00981319" w14:paraId="352DB517" w14:textId="77777777" w:rsidTr="00981319">
        <w:tc>
          <w:tcPr>
            <w:tcW w:w="1560" w:type="dxa"/>
          </w:tcPr>
          <w:p w14:paraId="5079534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276" w:type="dxa"/>
          </w:tcPr>
          <w:p w14:paraId="597CEBE3"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28725189"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44AEC817"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003EF39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3.55</w:t>
            </w:r>
          </w:p>
        </w:tc>
        <w:tc>
          <w:tcPr>
            <w:tcW w:w="851" w:type="dxa"/>
          </w:tcPr>
          <w:p w14:paraId="0A13F4E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73.79</w:t>
            </w:r>
          </w:p>
        </w:tc>
        <w:tc>
          <w:tcPr>
            <w:tcW w:w="992" w:type="dxa"/>
          </w:tcPr>
          <w:p w14:paraId="3AA5E30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0.28</w:t>
            </w:r>
          </w:p>
        </w:tc>
        <w:tc>
          <w:tcPr>
            <w:tcW w:w="832" w:type="dxa"/>
          </w:tcPr>
          <w:p w14:paraId="09029D56"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445A99B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73.79</w:t>
            </w:r>
          </w:p>
        </w:tc>
        <w:tc>
          <w:tcPr>
            <w:tcW w:w="1350" w:type="dxa"/>
            <w:shd w:val="clear" w:color="auto" w:fill="EDEDED"/>
          </w:tcPr>
          <w:p w14:paraId="62C831D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26.21</w:t>
            </w:r>
          </w:p>
        </w:tc>
      </w:tr>
      <w:tr w:rsidR="00981319" w:rsidRPr="00981319" w14:paraId="67703714" w14:textId="77777777" w:rsidTr="00981319">
        <w:tc>
          <w:tcPr>
            <w:tcW w:w="1560" w:type="dxa"/>
          </w:tcPr>
          <w:p w14:paraId="358909F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1276" w:type="dxa"/>
          </w:tcPr>
          <w:p w14:paraId="65506E6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1.30</w:t>
            </w:r>
          </w:p>
        </w:tc>
        <w:tc>
          <w:tcPr>
            <w:tcW w:w="1276" w:type="dxa"/>
          </w:tcPr>
          <w:p w14:paraId="59A809D5"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1E8E14DC"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4BC305A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0.30</w:t>
            </w:r>
          </w:p>
        </w:tc>
        <w:tc>
          <w:tcPr>
            <w:tcW w:w="851" w:type="dxa"/>
          </w:tcPr>
          <w:p w14:paraId="13BCA752" w14:textId="77777777" w:rsidR="00981319" w:rsidRPr="00981319" w:rsidRDefault="00981319" w:rsidP="00981319">
            <w:pPr>
              <w:spacing w:before="240" w:after="200"/>
              <w:rPr>
                <w:rFonts w:ascii="Times New Roman" w:hAnsi="Times New Roman"/>
                <w:color w:val="232323"/>
                <w:sz w:val="24"/>
                <w:szCs w:val="24"/>
              </w:rPr>
            </w:pPr>
          </w:p>
        </w:tc>
        <w:tc>
          <w:tcPr>
            <w:tcW w:w="992" w:type="dxa"/>
          </w:tcPr>
          <w:p w14:paraId="476BAB7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93.33</w:t>
            </w:r>
          </w:p>
        </w:tc>
        <w:tc>
          <w:tcPr>
            <w:tcW w:w="832" w:type="dxa"/>
          </w:tcPr>
          <w:p w14:paraId="089EA4D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0.32</w:t>
            </w:r>
          </w:p>
        </w:tc>
        <w:tc>
          <w:tcPr>
            <w:tcW w:w="1350" w:type="dxa"/>
            <w:tcBorders>
              <w:bottom w:val="single" w:sz="4" w:space="0" w:color="BFBFBF"/>
            </w:tcBorders>
            <w:shd w:val="clear" w:color="auto" w:fill="EDEDED"/>
          </w:tcPr>
          <w:p w14:paraId="4925A79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93.33</w:t>
            </w:r>
          </w:p>
        </w:tc>
        <w:tc>
          <w:tcPr>
            <w:tcW w:w="1350" w:type="dxa"/>
            <w:tcBorders>
              <w:bottom w:val="single" w:sz="4" w:space="0" w:color="BFBFBF"/>
            </w:tcBorders>
            <w:shd w:val="clear" w:color="auto" w:fill="EDEDED"/>
          </w:tcPr>
          <w:p w14:paraId="449A1DA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6.67</w:t>
            </w:r>
          </w:p>
        </w:tc>
      </w:tr>
      <w:tr w:rsidR="00981319" w:rsidRPr="00981319" w14:paraId="435A794E" w14:textId="77777777" w:rsidTr="00981319">
        <w:tc>
          <w:tcPr>
            <w:tcW w:w="1560" w:type="dxa"/>
          </w:tcPr>
          <w:p w14:paraId="56FDE8E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76" w:type="dxa"/>
          </w:tcPr>
          <w:p w14:paraId="65DDFD8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0.13</w:t>
            </w:r>
          </w:p>
        </w:tc>
        <w:tc>
          <w:tcPr>
            <w:tcW w:w="1276" w:type="dxa"/>
          </w:tcPr>
          <w:p w14:paraId="105402AE"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01F79080"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116F3653"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7283CDFE" w14:textId="77777777" w:rsidR="00981319" w:rsidRPr="00981319" w:rsidRDefault="00981319" w:rsidP="00981319">
            <w:pPr>
              <w:spacing w:before="240" w:after="200"/>
              <w:rPr>
                <w:rFonts w:ascii="Times New Roman" w:hAnsi="Times New Roman"/>
                <w:color w:val="232323"/>
                <w:sz w:val="24"/>
                <w:szCs w:val="24"/>
              </w:rPr>
            </w:pPr>
          </w:p>
        </w:tc>
        <w:tc>
          <w:tcPr>
            <w:tcW w:w="992" w:type="dxa"/>
          </w:tcPr>
          <w:p w14:paraId="458270D3" w14:textId="77777777" w:rsidR="00981319" w:rsidRPr="00981319" w:rsidRDefault="00981319" w:rsidP="00981319">
            <w:pPr>
              <w:spacing w:before="240" w:after="200"/>
              <w:rPr>
                <w:rFonts w:ascii="Times New Roman" w:hAnsi="Times New Roman"/>
                <w:color w:val="232323"/>
                <w:sz w:val="24"/>
                <w:szCs w:val="24"/>
              </w:rPr>
            </w:pPr>
          </w:p>
        </w:tc>
        <w:tc>
          <w:tcPr>
            <w:tcW w:w="832" w:type="dxa"/>
            <w:tcBorders>
              <w:bottom w:val="single" w:sz="4" w:space="0" w:color="BFBFBF"/>
            </w:tcBorders>
          </w:tcPr>
          <w:p w14:paraId="382F29B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99.68</w:t>
            </w:r>
          </w:p>
        </w:tc>
        <w:tc>
          <w:tcPr>
            <w:tcW w:w="1350" w:type="dxa"/>
            <w:tcBorders>
              <w:bottom w:val="single" w:sz="4" w:space="0" w:color="auto"/>
            </w:tcBorders>
            <w:shd w:val="clear" w:color="auto" w:fill="EDEDED"/>
          </w:tcPr>
          <w:p w14:paraId="045F396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98.68</w:t>
            </w:r>
          </w:p>
        </w:tc>
        <w:tc>
          <w:tcPr>
            <w:tcW w:w="1350" w:type="dxa"/>
            <w:tcBorders>
              <w:bottom w:val="single" w:sz="4" w:space="0" w:color="auto"/>
            </w:tcBorders>
            <w:shd w:val="clear" w:color="auto" w:fill="EDEDED"/>
          </w:tcPr>
          <w:p w14:paraId="5428FC0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0.32</w:t>
            </w:r>
          </w:p>
        </w:tc>
      </w:tr>
      <w:tr w:rsidR="00981319" w:rsidRPr="00981319" w14:paraId="0A22FB32" w14:textId="77777777" w:rsidTr="00981319">
        <w:tc>
          <w:tcPr>
            <w:tcW w:w="1560" w:type="dxa"/>
            <w:shd w:val="clear" w:color="auto" w:fill="EDEDED"/>
          </w:tcPr>
          <w:p w14:paraId="00EC857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User accuracy</w:t>
            </w:r>
          </w:p>
        </w:tc>
        <w:tc>
          <w:tcPr>
            <w:tcW w:w="1276" w:type="dxa"/>
            <w:shd w:val="clear" w:color="auto" w:fill="EDEDED"/>
          </w:tcPr>
          <w:p w14:paraId="0CC9282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100</w:t>
            </w:r>
          </w:p>
        </w:tc>
        <w:tc>
          <w:tcPr>
            <w:tcW w:w="1276" w:type="dxa"/>
            <w:shd w:val="clear" w:color="auto" w:fill="EDEDED"/>
          </w:tcPr>
          <w:p w14:paraId="1C165F0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74.54</w:t>
            </w:r>
          </w:p>
        </w:tc>
        <w:tc>
          <w:tcPr>
            <w:tcW w:w="850" w:type="dxa"/>
            <w:shd w:val="clear" w:color="auto" w:fill="EDEDED"/>
          </w:tcPr>
          <w:p w14:paraId="21483C0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96.40</w:t>
            </w:r>
          </w:p>
        </w:tc>
        <w:tc>
          <w:tcPr>
            <w:tcW w:w="1276" w:type="dxa"/>
            <w:shd w:val="clear" w:color="auto" w:fill="EDEDED"/>
          </w:tcPr>
          <w:p w14:paraId="6B33249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89.13</w:t>
            </w:r>
          </w:p>
        </w:tc>
        <w:tc>
          <w:tcPr>
            <w:tcW w:w="851" w:type="dxa"/>
            <w:shd w:val="clear" w:color="auto" w:fill="EDEDED"/>
          </w:tcPr>
          <w:p w14:paraId="240F300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84.92</w:t>
            </w:r>
          </w:p>
        </w:tc>
        <w:tc>
          <w:tcPr>
            <w:tcW w:w="992" w:type="dxa"/>
            <w:shd w:val="clear" w:color="auto" w:fill="EDEDED"/>
          </w:tcPr>
          <w:p w14:paraId="75B227C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96.50</w:t>
            </w:r>
          </w:p>
        </w:tc>
        <w:tc>
          <w:tcPr>
            <w:tcW w:w="832" w:type="dxa"/>
            <w:tcBorders>
              <w:right w:val="single" w:sz="4" w:space="0" w:color="auto"/>
            </w:tcBorders>
            <w:shd w:val="clear" w:color="auto" w:fill="EDEDED"/>
          </w:tcPr>
          <w:p w14:paraId="4EACCFB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99.76</w:t>
            </w:r>
          </w:p>
        </w:tc>
        <w:tc>
          <w:tcPr>
            <w:tcW w:w="1350" w:type="dxa"/>
            <w:tcBorders>
              <w:top w:val="single" w:sz="4" w:space="0" w:color="auto"/>
              <w:left w:val="single" w:sz="4" w:space="0" w:color="auto"/>
              <w:bottom w:val="nil"/>
              <w:right w:val="nil"/>
            </w:tcBorders>
          </w:tcPr>
          <w:p w14:paraId="56A971D3" w14:textId="77777777" w:rsidR="00981319" w:rsidRPr="00981319" w:rsidRDefault="00981319" w:rsidP="00981319">
            <w:pPr>
              <w:spacing w:before="240" w:after="200"/>
              <w:rPr>
                <w:rFonts w:ascii="Times New Roman" w:hAnsi="Times New Roman"/>
                <w:color w:val="232323"/>
                <w:sz w:val="24"/>
                <w:szCs w:val="24"/>
              </w:rPr>
            </w:pPr>
          </w:p>
        </w:tc>
        <w:tc>
          <w:tcPr>
            <w:tcW w:w="1350" w:type="dxa"/>
            <w:tcBorders>
              <w:top w:val="single" w:sz="4" w:space="0" w:color="auto"/>
              <w:left w:val="nil"/>
              <w:bottom w:val="nil"/>
              <w:right w:val="nil"/>
            </w:tcBorders>
          </w:tcPr>
          <w:p w14:paraId="3D809D65" w14:textId="77777777" w:rsidR="00981319" w:rsidRPr="00981319" w:rsidRDefault="00981319" w:rsidP="00981319">
            <w:pPr>
              <w:spacing w:before="240" w:after="200"/>
              <w:rPr>
                <w:rFonts w:ascii="Times New Roman" w:hAnsi="Times New Roman"/>
                <w:color w:val="232323"/>
                <w:sz w:val="24"/>
                <w:szCs w:val="24"/>
              </w:rPr>
            </w:pPr>
          </w:p>
        </w:tc>
      </w:tr>
      <w:tr w:rsidR="00981319" w:rsidRPr="00981319" w14:paraId="3C2D34B0" w14:textId="77777777" w:rsidTr="00981319">
        <w:tc>
          <w:tcPr>
            <w:tcW w:w="1560" w:type="dxa"/>
            <w:shd w:val="clear" w:color="auto" w:fill="EDEDED"/>
            <w:vAlign w:val="center"/>
          </w:tcPr>
          <w:p w14:paraId="7B0B55E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 xml:space="preserve">Commission </w:t>
            </w:r>
            <w:proofErr w:type="spellStart"/>
            <w:r w:rsidRPr="00981319">
              <w:rPr>
                <w:rFonts w:ascii="Times New Roman" w:hAnsi="Times New Roman"/>
                <w:sz w:val="24"/>
                <w:szCs w:val="24"/>
              </w:rPr>
              <w:t>error</w:t>
            </w:r>
            <w:proofErr w:type="spellEnd"/>
          </w:p>
        </w:tc>
        <w:tc>
          <w:tcPr>
            <w:tcW w:w="1276" w:type="dxa"/>
            <w:shd w:val="clear" w:color="auto" w:fill="EDEDED"/>
          </w:tcPr>
          <w:p w14:paraId="7CEC37BD" w14:textId="77777777" w:rsidR="00981319" w:rsidRPr="00981319" w:rsidRDefault="00981319" w:rsidP="00981319">
            <w:pPr>
              <w:spacing w:before="240" w:after="200"/>
              <w:rPr>
                <w:rFonts w:ascii="Times New Roman" w:hAnsi="Times New Roman"/>
                <w:color w:val="232323"/>
                <w:sz w:val="24"/>
                <w:szCs w:val="24"/>
              </w:rPr>
            </w:pPr>
          </w:p>
        </w:tc>
        <w:tc>
          <w:tcPr>
            <w:tcW w:w="1276" w:type="dxa"/>
            <w:shd w:val="clear" w:color="auto" w:fill="EDEDED"/>
          </w:tcPr>
          <w:p w14:paraId="0D235B5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25.46</w:t>
            </w:r>
          </w:p>
        </w:tc>
        <w:tc>
          <w:tcPr>
            <w:tcW w:w="850" w:type="dxa"/>
            <w:shd w:val="clear" w:color="auto" w:fill="EDEDED"/>
          </w:tcPr>
          <w:p w14:paraId="207451C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3.60</w:t>
            </w:r>
          </w:p>
        </w:tc>
        <w:tc>
          <w:tcPr>
            <w:tcW w:w="1276" w:type="dxa"/>
            <w:shd w:val="clear" w:color="auto" w:fill="EDEDED"/>
          </w:tcPr>
          <w:p w14:paraId="29712C9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10.87</w:t>
            </w:r>
          </w:p>
        </w:tc>
        <w:tc>
          <w:tcPr>
            <w:tcW w:w="851" w:type="dxa"/>
            <w:shd w:val="clear" w:color="auto" w:fill="EDEDED"/>
          </w:tcPr>
          <w:p w14:paraId="75C8374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15.08</w:t>
            </w:r>
          </w:p>
        </w:tc>
        <w:tc>
          <w:tcPr>
            <w:tcW w:w="992" w:type="dxa"/>
            <w:shd w:val="clear" w:color="auto" w:fill="EDEDED"/>
          </w:tcPr>
          <w:p w14:paraId="1CFE89C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3.50</w:t>
            </w:r>
          </w:p>
        </w:tc>
        <w:tc>
          <w:tcPr>
            <w:tcW w:w="832" w:type="dxa"/>
            <w:tcBorders>
              <w:right w:val="single" w:sz="4" w:space="0" w:color="auto"/>
            </w:tcBorders>
            <w:shd w:val="clear" w:color="auto" w:fill="EDEDED"/>
          </w:tcPr>
          <w:p w14:paraId="6BF7392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0.24</w:t>
            </w:r>
          </w:p>
        </w:tc>
        <w:tc>
          <w:tcPr>
            <w:tcW w:w="1350" w:type="dxa"/>
            <w:tcBorders>
              <w:top w:val="nil"/>
              <w:left w:val="single" w:sz="4" w:space="0" w:color="auto"/>
              <w:bottom w:val="nil"/>
              <w:right w:val="nil"/>
            </w:tcBorders>
          </w:tcPr>
          <w:p w14:paraId="0657918A" w14:textId="77777777" w:rsidR="00981319" w:rsidRPr="00981319" w:rsidRDefault="00981319" w:rsidP="00981319">
            <w:pPr>
              <w:spacing w:before="240" w:after="200"/>
              <w:rPr>
                <w:rFonts w:ascii="Times New Roman" w:hAnsi="Times New Roman"/>
                <w:color w:val="232323"/>
                <w:sz w:val="24"/>
                <w:szCs w:val="24"/>
              </w:rPr>
            </w:pPr>
          </w:p>
        </w:tc>
        <w:tc>
          <w:tcPr>
            <w:tcW w:w="1350" w:type="dxa"/>
            <w:tcBorders>
              <w:top w:val="nil"/>
              <w:left w:val="nil"/>
              <w:bottom w:val="nil"/>
              <w:right w:val="nil"/>
            </w:tcBorders>
          </w:tcPr>
          <w:p w14:paraId="687719FF" w14:textId="77777777" w:rsidR="00981319" w:rsidRPr="00981319" w:rsidRDefault="00981319" w:rsidP="00981319">
            <w:pPr>
              <w:spacing w:before="240" w:after="200"/>
              <w:rPr>
                <w:rFonts w:ascii="Times New Roman" w:hAnsi="Times New Roman"/>
                <w:color w:val="232323"/>
                <w:sz w:val="24"/>
                <w:szCs w:val="24"/>
              </w:rPr>
            </w:pPr>
          </w:p>
        </w:tc>
      </w:tr>
    </w:tbl>
    <w:p w14:paraId="2D4B10BE" w14:textId="77777777" w:rsidR="00981319" w:rsidRPr="00981319" w:rsidRDefault="00981319" w:rsidP="00981319">
      <w:pPr>
        <w:spacing w:after="160" w:line="259" w:lineRule="auto"/>
        <w:rPr>
          <w:rFonts w:ascii="Calibri" w:eastAsia="Calibri" w:hAnsi="Calibri"/>
          <w:sz w:val="22"/>
          <w:szCs w:val="22"/>
        </w:rPr>
      </w:pPr>
    </w:p>
    <w:p w14:paraId="33CE0378" w14:textId="77777777" w:rsidR="00B01FCD" w:rsidRPr="00FB3A86" w:rsidRDefault="00B01FCD" w:rsidP="00441B6F">
      <w:pPr>
        <w:pStyle w:val="Appendix"/>
        <w:spacing w:after="0"/>
        <w:jc w:val="both"/>
        <w:rPr>
          <w:rFonts w:ascii="Arial" w:hAnsi="Arial" w:cs="Arial"/>
          <w:b w:val="0"/>
        </w:rPr>
      </w:pPr>
    </w:p>
    <w:sectPr w:rsidR="00B01FCD" w:rsidRPr="00FB3A86" w:rsidSect="00642168">
      <w:headerReference w:type="even" r:id="rId57"/>
      <w:headerReference w:type="default" r:id="rId58"/>
      <w:footerReference w:type="default" r:id="rId59"/>
      <w:headerReference w:type="first" r:id="rId60"/>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88BA8" w14:textId="77777777" w:rsidR="00FD0B22" w:rsidRDefault="00FD0B22" w:rsidP="00C37E61">
      <w:r>
        <w:separator/>
      </w:r>
    </w:p>
  </w:endnote>
  <w:endnote w:type="continuationSeparator" w:id="0">
    <w:p w14:paraId="78B9C2BF" w14:textId="77777777" w:rsidR="00FD0B22" w:rsidRDefault="00FD0B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E29B" w14:textId="77777777" w:rsidR="00B84E9A" w:rsidRDefault="00B84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4EDC8" w14:textId="77777777" w:rsidR="00B84E9A" w:rsidRDefault="00B84E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941CB" w14:textId="06605822" w:rsidR="0004105C" w:rsidRPr="00B84E9A" w:rsidRDefault="0004105C" w:rsidP="00B84E9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1863E" w14:textId="77777777" w:rsidR="0004105C" w:rsidRPr="00C37E61" w:rsidRDefault="0004105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BA4B5" w14:textId="77777777" w:rsidR="00FD0B22" w:rsidRDefault="00FD0B22" w:rsidP="00C37E61">
      <w:r>
        <w:separator/>
      </w:r>
    </w:p>
  </w:footnote>
  <w:footnote w:type="continuationSeparator" w:id="0">
    <w:p w14:paraId="1A96F300" w14:textId="77777777" w:rsidR="00FD0B22" w:rsidRDefault="00FD0B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8377F" w14:textId="194FD8BB" w:rsidR="00B84E9A" w:rsidRDefault="00B84E9A">
    <w:pPr>
      <w:pStyle w:val="Header"/>
    </w:pPr>
    <w:r>
      <w:rPr>
        <w:noProof/>
      </w:rPr>
      <w:pict w14:anchorId="2A083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DD87" w14:textId="7B4BD3C1" w:rsidR="00B84E9A" w:rsidRDefault="00B84E9A">
    <w:pPr>
      <w:pStyle w:val="Header"/>
    </w:pPr>
    <w:r>
      <w:rPr>
        <w:noProof/>
      </w:rPr>
      <w:pict w14:anchorId="1EAD5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04D70" w14:textId="1E844CE0" w:rsidR="0004105C" w:rsidRPr="00296529" w:rsidRDefault="00B84E9A" w:rsidP="00296529">
    <w:pPr>
      <w:ind w:left="2160"/>
      <w:jc w:val="center"/>
      <w:rPr>
        <w:rFonts w:ascii="Times New Roman" w:eastAsia="Calibri" w:hAnsi="Times New Roman"/>
        <w:i/>
        <w:sz w:val="18"/>
        <w:szCs w:val="22"/>
      </w:rPr>
    </w:pPr>
    <w:r>
      <w:rPr>
        <w:noProof/>
      </w:rPr>
      <w:pict w14:anchorId="393E1A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607A2A5" w14:textId="77777777" w:rsidR="0004105C" w:rsidRPr="00296529" w:rsidRDefault="0004105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DF76F6E" w14:textId="77777777" w:rsidR="0004105C" w:rsidRPr="00296529" w:rsidRDefault="0004105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87AA07D" w14:textId="77777777" w:rsidR="0004105C" w:rsidRPr="00296529" w:rsidRDefault="0004105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6B807F" w14:textId="77777777" w:rsidR="0004105C" w:rsidRDefault="0004105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2D84F8" w14:textId="77777777" w:rsidR="0004105C" w:rsidRDefault="0004105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352E919" w14:textId="77777777" w:rsidR="0004105C" w:rsidRDefault="0004105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B6139" w14:textId="12AA4592" w:rsidR="00B84E9A" w:rsidRDefault="00B84E9A">
    <w:pPr>
      <w:pStyle w:val="Header"/>
    </w:pPr>
    <w:r>
      <w:rPr>
        <w:noProof/>
      </w:rPr>
      <w:pict w14:anchorId="0658A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74.65pt;height:64.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F5AEB" w14:textId="3316A262" w:rsidR="00B84E9A" w:rsidRDefault="00B84E9A">
    <w:pPr>
      <w:pStyle w:val="Header"/>
    </w:pPr>
    <w:r>
      <w:rPr>
        <w:noProof/>
      </w:rPr>
      <w:pict w14:anchorId="01C66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74.65pt;height:64.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DEA0" w14:textId="3046184B" w:rsidR="00B84E9A" w:rsidRDefault="00B84E9A">
    <w:pPr>
      <w:pStyle w:val="Header"/>
    </w:pPr>
    <w:r>
      <w:rPr>
        <w:noProof/>
      </w:rPr>
      <w:pict w14:anchorId="7B601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74.65pt;height:64.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AB329E"/>
    <w:multiLevelType w:val="multilevel"/>
    <w:tmpl w:val="1AE8BB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4971CA"/>
    <w:multiLevelType w:val="multilevel"/>
    <w:tmpl w:val="38DA69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00D658D"/>
    <w:multiLevelType w:val="hybridMultilevel"/>
    <w:tmpl w:val="B9D489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66258A"/>
    <w:multiLevelType w:val="hybridMultilevel"/>
    <w:tmpl w:val="2ADA650C"/>
    <w:lvl w:ilvl="0" w:tplc="1736ED2A">
      <w:start w:val="1"/>
      <w:numFmt w:val="decimal"/>
      <w:lvlText w:val="%1."/>
      <w:lvlJc w:val="left"/>
      <w:pPr>
        <w:ind w:left="720" w:hanging="360"/>
      </w:pPr>
      <w:rPr>
        <w:rFonts w:ascii="Times New Roman" w:eastAsiaTheme="minorHAnsi" w:hAnsi="Times New Roman" w:cs="Times New Roman"/>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AE103A4"/>
    <w:multiLevelType w:val="multilevel"/>
    <w:tmpl w:val="A1C0F1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124BC"/>
    <w:multiLevelType w:val="hybridMultilevel"/>
    <w:tmpl w:val="02C6AB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6"/>
  </w:num>
  <w:num w:numId="9">
    <w:abstractNumId w:val="31"/>
  </w:num>
  <w:num w:numId="10">
    <w:abstractNumId w:val="3"/>
  </w:num>
  <w:num w:numId="11">
    <w:abstractNumId w:val="24"/>
  </w:num>
  <w:num w:numId="12">
    <w:abstractNumId w:val="4"/>
  </w:num>
  <w:num w:numId="13">
    <w:abstractNumId w:val="23"/>
  </w:num>
  <w:num w:numId="14">
    <w:abstractNumId w:val="11"/>
  </w:num>
  <w:num w:numId="15">
    <w:abstractNumId w:val="27"/>
  </w:num>
  <w:num w:numId="16">
    <w:abstractNumId w:val="6"/>
  </w:num>
  <w:num w:numId="17">
    <w:abstractNumId w:val="28"/>
  </w:num>
  <w:num w:numId="18">
    <w:abstractNumId w:val="18"/>
  </w:num>
  <w:num w:numId="19">
    <w:abstractNumId w:val="34"/>
  </w:num>
  <w:num w:numId="20">
    <w:abstractNumId w:val="15"/>
  </w:num>
  <w:num w:numId="21">
    <w:abstractNumId w:val="12"/>
  </w:num>
  <w:num w:numId="22">
    <w:abstractNumId w:val="17"/>
  </w:num>
  <w:num w:numId="23">
    <w:abstractNumId w:val="25"/>
  </w:num>
  <w:num w:numId="24">
    <w:abstractNumId w:val="32"/>
  </w:num>
  <w:num w:numId="25">
    <w:abstractNumId w:val="5"/>
  </w:num>
  <w:num w:numId="26">
    <w:abstractNumId w:val="21"/>
  </w:num>
  <w:num w:numId="27">
    <w:abstractNumId w:val="26"/>
  </w:num>
  <w:num w:numId="28">
    <w:abstractNumId w:val="33"/>
  </w:num>
  <w:num w:numId="29">
    <w:abstractNumId w:val="30"/>
  </w:num>
  <w:num w:numId="30">
    <w:abstractNumId w:val="13"/>
  </w:num>
  <w:num w:numId="31">
    <w:abstractNumId w:val="9"/>
  </w:num>
  <w:num w:numId="32">
    <w:abstractNumId w:val="1"/>
  </w:num>
  <w:num w:numId="33">
    <w:abstractNumId w:val="7"/>
  </w:num>
  <w:num w:numId="34">
    <w:abstractNumId w:val="19"/>
  </w:num>
  <w:num w:numId="35">
    <w:abstractNumId w:val="2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0795"/>
    <w:rsid w:val="00023A39"/>
    <w:rsid w:val="00030174"/>
    <w:rsid w:val="0004105C"/>
    <w:rsid w:val="0004579C"/>
    <w:rsid w:val="000A47FA"/>
    <w:rsid w:val="000A65D3"/>
    <w:rsid w:val="000B1E33"/>
    <w:rsid w:val="000D689F"/>
    <w:rsid w:val="000E7B7B"/>
    <w:rsid w:val="000E7D62"/>
    <w:rsid w:val="00103357"/>
    <w:rsid w:val="00121F29"/>
    <w:rsid w:val="00123C9F"/>
    <w:rsid w:val="00126190"/>
    <w:rsid w:val="00130F17"/>
    <w:rsid w:val="001320BF"/>
    <w:rsid w:val="00163BC4"/>
    <w:rsid w:val="00191062"/>
    <w:rsid w:val="00191B84"/>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7CA4"/>
    <w:rsid w:val="00283105"/>
    <w:rsid w:val="00284C4C"/>
    <w:rsid w:val="00287E68"/>
    <w:rsid w:val="00296529"/>
    <w:rsid w:val="002B27FB"/>
    <w:rsid w:val="002B685A"/>
    <w:rsid w:val="002C57D2"/>
    <w:rsid w:val="002C5886"/>
    <w:rsid w:val="002E0D56"/>
    <w:rsid w:val="00315186"/>
    <w:rsid w:val="003162A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07E6"/>
    <w:rsid w:val="00440F43"/>
    <w:rsid w:val="00441B6F"/>
    <w:rsid w:val="00446221"/>
    <w:rsid w:val="00450E62"/>
    <w:rsid w:val="004539DB"/>
    <w:rsid w:val="00471A80"/>
    <w:rsid w:val="0047304E"/>
    <w:rsid w:val="004C0A3D"/>
    <w:rsid w:val="004D305E"/>
    <w:rsid w:val="004D4277"/>
    <w:rsid w:val="00502516"/>
    <w:rsid w:val="00505F06"/>
    <w:rsid w:val="00506828"/>
    <w:rsid w:val="0053056E"/>
    <w:rsid w:val="00547FA3"/>
    <w:rsid w:val="00554FDA"/>
    <w:rsid w:val="00570107"/>
    <w:rsid w:val="005A6DCD"/>
    <w:rsid w:val="005C320B"/>
    <w:rsid w:val="005C784C"/>
    <w:rsid w:val="005D17F6"/>
    <w:rsid w:val="005E5539"/>
    <w:rsid w:val="00602BF5"/>
    <w:rsid w:val="0061076A"/>
    <w:rsid w:val="00617F1A"/>
    <w:rsid w:val="00617FDD"/>
    <w:rsid w:val="00633614"/>
    <w:rsid w:val="00633F68"/>
    <w:rsid w:val="00636EB2"/>
    <w:rsid w:val="0063703D"/>
    <w:rsid w:val="006375B8"/>
    <w:rsid w:val="00642168"/>
    <w:rsid w:val="0066510A"/>
    <w:rsid w:val="00673F9F"/>
    <w:rsid w:val="00681C33"/>
    <w:rsid w:val="00686953"/>
    <w:rsid w:val="00687DEA"/>
    <w:rsid w:val="00687E67"/>
    <w:rsid w:val="006967F7"/>
    <w:rsid w:val="006A250C"/>
    <w:rsid w:val="006A5A4F"/>
    <w:rsid w:val="006B21D3"/>
    <w:rsid w:val="006B57D0"/>
    <w:rsid w:val="006B5FA3"/>
    <w:rsid w:val="006C0F2C"/>
    <w:rsid w:val="006D30FF"/>
    <w:rsid w:val="006D6940"/>
    <w:rsid w:val="006D7365"/>
    <w:rsid w:val="006D7538"/>
    <w:rsid w:val="006F11EC"/>
    <w:rsid w:val="0070082C"/>
    <w:rsid w:val="00713005"/>
    <w:rsid w:val="007313E5"/>
    <w:rsid w:val="007369E6"/>
    <w:rsid w:val="00746E59"/>
    <w:rsid w:val="00754C9A"/>
    <w:rsid w:val="0075599A"/>
    <w:rsid w:val="00761D52"/>
    <w:rsid w:val="00762B72"/>
    <w:rsid w:val="0077749E"/>
    <w:rsid w:val="00790ADA"/>
    <w:rsid w:val="007D2288"/>
    <w:rsid w:val="007E088F"/>
    <w:rsid w:val="007E5FD8"/>
    <w:rsid w:val="007F7B32"/>
    <w:rsid w:val="00804BC2"/>
    <w:rsid w:val="008123AC"/>
    <w:rsid w:val="0081431A"/>
    <w:rsid w:val="0083216F"/>
    <w:rsid w:val="00860000"/>
    <w:rsid w:val="00863BD3"/>
    <w:rsid w:val="008641ED"/>
    <w:rsid w:val="00866D66"/>
    <w:rsid w:val="008671C6"/>
    <w:rsid w:val="00875803"/>
    <w:rsid w:val="008B459E"/>
    <w:rsid w:val="008B47A2"/>
    <w:rsid w:val="008E0B41"/>
    <w:rsid w:val="008E13AE"/>
    <w:rsid w:val="008E1506"/>
    <w:rsid w:val="008E710C"/>
    <w:rsid w:val="008F69D6"/>
    <w:rsid w:val="00902823"/>
    <w:rsid w:val="00912152"/>
    <w:rsid w:val="00915CA6"/>
    <w:rsid w:val="00927834"/>
    <w:rsid w:val="00945AD8"/>
    <w:rsid w:val="009500A6"/>
    <w:rsid w:val="00957C18"/>
    <w:rsid w:val="009659BA"/>
    <w:rsid w:val="00981319"/>
    <w:rsid w:val="00983040"/>
    <w:rsid w:val="009A099D"/>
    <w:rsid w:val="009A1337"/>
    <w:rsid w:val="009B3FB9"/>
    <w:rsid w:val="009C2465"/>
    <w:rsid w:val="009D35A0"/>
    <w:rsid w:val="009D7EB7"/>
    <w:rsid w:val="009E048A"/>
    <w:rsid w:val="009E08E9"/>
    <w:rsid w:val="009E3DB9"/>
    <w:rsid w:val="009E6E35"/>
    <w:rsid w:val="009F0EDA"/>
    <w:rsid w:val="009F7C17"/>
    <w:rsid w:val="00A03B96"/>
    <w:rsid w:val="00A05B19"/>
    <w:rsid w:val="00A1134E"/>
    <w:rsid w:val="00A24E7E"/>
    <w:rsid w:val="00A258C3"/>
    <w:rsid w:val="00A347C0"/>
    <w:rsid w:val="00A43E2E"/>
    <w:rsid w:val="00A51431"/>
    <w:rsid w:val="00A539AD"/>
    <w:rsid w:val="00A94063"/>
    <w:rsid w:val="00AA61EB"/>
    <w:rsid w:val="00AA6219"/>
    <w:rsid w:val="00AA74E0"/>
    <w:rsid w:val="00AB703F"/>
    <w:rsid w:val="00AC6BB8"/>
    <w:rsid w:val="00AE008F"/>
    <w:rsid w:val="00AF4C5B"/>
    <w:rsid w:val="00B01FCD"/>
    <w:rsid w:val="00B02C98"/>
    <w:rsid w:val="00B1776C"/>
    <w:rsid w:val="00B52583"/>
    <w:rsid w:val="00B52896"/>
    <w:rsid w:val="00B65A92"/>
    <w:rsid w:val="00B84E9A"/>
    <w:rsid w:val="00B95236"/>
    <w:rsid w:val="00B96BD9"/>
    <w:rsid w:val="00BA1B01"/>
    <w:rsid w:val="00BA2641"/>
    <w:rsid w:val="00BB37AA"/>
    <w:rsid w:val="00BC53A0"/>
    <w:rsid w:val="00BE62AD"/>
    <w:rsid w:val="00BF121F"/>
    <w:rsid w:val="00BF1F80"/>
    <w:rsid w:val="00BF6E00"/>
    <w:rsid w:val="00C05DE3"/>
    <w:rsid w:val="00C166EF"/>
    <w:rsid w:val="00C17EB0"/>
    <w:rsid w:val="00C27F5F"/>
    <w:rsid w:val="00C30A0F"/>
    <w:rsid w:val="00C34782"/>
    <w:rsid w:val="00C35F2C"/>
    <w:rsid w:val="00C37E61"/>
    <w:rsid w:val="00C4048F"/>
    <w:rsid w:val="00C70F1B"/>
    <w:rsid w:val="00C71A47"/>
    <w:rsid w:val="00C7464C"/>
    <w:rsid w:val="00C76248"/>
    <w:rsid w:val="00C823FB"/>
    <w:rsid w:val="00C85588"/>
    <w:rsid w:val="00CC35D3"/>
    <w:rsid w:val="00CD6755"/>
    <w:rsid w:val="00CD6856"/>
    <w:rsid w:val="00CE0089"/>
    <w:rsid w:val="00CE793C"/>
    <w:rsid w:val="00CF193C"/>
    <w:rsid w:val="00CF3F17"/>
    <w:rsid w:val="00CF53C3"/>
    <w:rsid w:val="00D10751"/>
    <w:rsid w:val="00D173F1"/>
    <w:rsid w:val="00D178A6"/>
    <w:rsid w:val="00D74CB0"/>
    <w:rsid w:val="00D8295D"/>
    <w:rsid w:val="00DB6BD3"/>
    <w:rsid w:val="00DC2A65"/>
    <w:rsid w:val="00DD48E8"/>
    <w:rsid w:val="00DE15F0"/>
    <w:rsid w:val="00DE5663"/>
    <w:rsid w:val="00DE78AA"/>
    <w:rsid w:val="00E053D0"/>
    <w:rsid w:val="00E15994"/>
    <w:rsid w:val="00E3114E"/>
    <w:rsid w:val="00E31A70"/>
    <w:rsid w:val="00E35B02"/>
    <w:rsid w:val="00E42084"/>
    <w:rsid w:val="00E425B0"/>
    <w:rsid w:val="00E56BA6"/>
    <w:rsid w:val="00E66496"/>
    <w:rsid w:val="00E66B35"/>
    <w:rsid w:val="00E66E10"/>
    <w:rsid w:val="00E769F6"/>
    <w:rsid w:val="00E8407C"/>
    <w:rsid w:val="00E84F3C"/>
    <w:rsid w:val="00EA012C"/>
    <w:rsid w:val="00EB1949"/>
    <w:rsid w:val="00EC6A55"/>
    <w:rsid w:val="00ED0288"/>
    <w:rsid w:val="00EE52CB"/>
    <w:rsid w:val="00EF581D"/>
    <w:rsid w:val="00EF7FD8"/>
    <w:rsid w:val="00F06F59"/>
    <w:rsid w:val="00F17988"/>
    <w:rsid w:val="00F469F0"/>
    <w:rsid w:val="00F5235E"/>
    <w:rsid w:val="00F53273"/>
    <w:rsid w:val="00F60DA1"/>
    <w:rsid w:val="00F755E4"/>
    <w:rsid w:val="00F77D02"/>
    <w:rsid w:val="00FB3A86"/>
    <w:rsid w:val="00FD0B2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8A0B5A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TableGridLight">
    <w:name w:val="Grid Table Light"/>
    <w:basedOn w:val="TableNormal"/>
    <w:uiPriority w:val="40"/>
    <w:rsid w:val="006D75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6D753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D75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7313E5"/>
    <w:pPr>
      <w:spacing w:after="200"/>
    </w:pPr>
    <w:rPr>
      <w:rFonts w:asciiTheme="minorHAnsi" w:eastAsiaTheme="minorHAnsi" w:hAnsiTheme="minorHAnsi" w:cstheme="minorBidi"/>
      <w:i/>
      <w:iCs/>
      <w:color w:val="1F497D" w:themeColor="text2"/>
      <w:sz w:val="18"/>
      <w:szCs w:val="18"/>
      <w:lang w:val="fr-FR"/>
    </w:rPr>
  </w:style>
  <w:style w:type="table" w:customStyle="1" w:styleId="Grilledetableauclaire1">
    <w:name w:val="Grille de tableau claire1"/>
    <w:basedOn w:val="TableNormal"/>
    <w:uiPriority w:val="40"/>
    <w:rsid w:val="00981319"/>
    <w:rPr>
      <w:rFonts w:eastAsia="SimSun"/>
      <w:lang w:val="fr-FR"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basedOn w:val="DefaultParagraphFont"/>
    <w:uiPriority w:val="99"/>
    <w:semiHidden/>
    <w:unhideWhenUsed/>
    <w:rsid w:val="00D17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tiff"/><Relationship Id="rId39" Type="http://schemas.openxmlformats.org/officeDocument/2006/relationships/hyperlink" Target="https://eujournal.org/index.php/esj/article/view/16094" TargetMode="External"/><Relationship Id="rId21" Type="http://schemas.openxmlformats.org/officeDocument/2006/relationships/image" Target="media/image8.png"/><Relationship Id="rId34" Type="http://schemas.openxmlformats.org/officeDocument/2006/relationships/hyperlink" Target="http://hdl.handle.net/2268.2/5182" TargetMode="External"/><Relationship Id="rId42" Type="http://schemas.openxmlformats.org/officeDocument/2006/relationships/hyperlink" Target="https://doi.org/10.4000/geomorphologie.13125" TargetMode="External"/><Relationship Id="rId47" Type="http://schemas.openxmlformats.org/officeDocument/2006/relationships/hyperlink" Target="https://theses.hal.science/tel-04652570" TargetMode="External"/><Relationship Id="rId50" Type="http://schemas.openxmlformats.org/officeDocument/2006/relationships/hyperlink" Target="https://shs.cairn.info/economie-generale--9782100722433-page-9" TargetMode="External"/><Relationship Id="rId55" Type="http://schemas.openxmlformats.org/officeDocument/2006/relationships/hyperlink" Target="https://doi.org/10.4236/gep.2024.12120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tiff"/><Relationship Id="rId32" Type="http://schemas.openxmlformats.org/officeDocument/2006/relationships/hyperlink" Target="https://doi.org/10.4000/vertigo.10990" TargetMode="External"/><Relationship Id="rId37" Type="http://schemas.openxmlformats.org/officeDocument/2006/relationships/hyperlink" Target="https://portals.iucn.org/library/sites/library/files/documents/WTL-027.pdf" TargetMode="External"/><Relationship Id="rId40" Type="http://schemas.openxmlformats.org/officeDocument/2006/relationships/hyperlink" Target="https://doi.org/10.4000/cybergeo.25671" TargetMode="External"/><Relationship Id="rId45" Type="http://schemas.openxmlformats.org/officeDocument/2006/relationships/hyperlink" Target="https://jurnal.pabki.org/index.php/alihtiram/article/view/961/330" TargetMode="External"/><Relationship Id="rId53" Type="http://schemas.openxmlformats.org/officeDocument/2006/relationships/hyperlink" Target="https://doi.org/10.4314/ijbcs.v19i1.17"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tiff"/><Relationship Id="rId30" Type="http://schemas.openxmlformats.org/officeDocument/2006/relationships/image" Target="media/image17.jpg"/><Relationship Id="rId35" Type="http://schemas.openxmlformats.org/officeDocument/2006/relationships/hyperlink" Target="https://doi.org/10.1016/j.jnc.2006.08.003" TargetMode="External"/><Relationship Id="rId43" Type="http://schemas.openxmlformats.org/officeDocument/2006/relationships/hyperlink" Target="http://revues-msh.uca.fr/revue-cmh/index.php?id=425" TargetMode="External"/><Relationship Id="rId48" Type="http://schemas.openxmlformats.org/officeDocument/2006/relationships/hyperlink" Target="https://doi.org/10.4314/rafea.v8i2.8" TargetMode="External"/><Relationship Id="rId56" Type="http://schemas.openxmlformats.org/officeDocument/2006/relationships/hyperlink" Target="https://doi.org/10.1080/15481603.2025.2491920" TargetMode="External"/><Relationship Id="rId8" Type="http://schemas.openxmlformats.org/officeDocument/2006/relationships/header" Target="header1.xml"/><Relationship Id="rId51" Type="http://schemas.openxmlformats.org/officeDocument/2006/relationships/hyperlink" Target="https://doi.org/10.3406/canan.1994.158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tiff"/><Relationship Id="rId33" Type="http://schemas.openxmlformats.org/officeDocument/2006/relationships/hyperlink" Target="https://shs.hal.science/tel-02500883v1" TargetMode="External"/><Relationship Id="rId38" Type="http://schemas.openxmlformats.org/officeDocument/2006/relationships/hyperlink" Target="https://hal.science/hal-02189383" TargetMode="External"/><Relationship Id="rId46" Type="http://schemas.openxmlformats.org/officeDocument/2006/relationships/hyperlink" Target="https://hal.science/tel-04431000" TargetMode="External"/><Relationship Id="rId59"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doi.org/10.4000/vertigo.8651" TargetMode="External"/><Relationship Id="rId54" Type="http://schemas.openxmlformats.org/officeDocument/2006/relationships/hyperlink" Target="https://doi.org/10.19044/esj.2019.v15n15p46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iff"/><Relationship Id="rId23" Type="http://schemas.openxmlformats.org/officeDocument/2006/relationships/image" Target="media/image10.tiff"/><Relationship Id="rId28" Type="http://schemas.openxmlformats.org/officeDocument/2006/relationships/image" Target="media/image15.tiff"/><Relationship Id="rId36" Type="http://schemas.openxmlformats.org/officeDocument/2006/relationships/hyperlink" Target="https://doi.org/10.7202/044197ar" TargetMode="External"/><Relationship Id="rId49" Type="http://schemas.openxmlformats.org/officeDocument/2006/relationships/hyperlink" Target="https://doi.org/10.4000/vertigo.11515"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hyperlink" Target="https://doi.org/10.4000/vertigo.2206" TargetMode="External"/><Relationship Id="rId44" Type="http://schemas.openxmlformats.org/officeDocument/2006/relationships/hyperlink" Target="https://www.erudit.org/fr/revues/vertigo/2017-v17-n3-vertigo04476/1058386ar/" TargetMode="External"/><Relationship Id="rId52" Type="http://schemas.openxmlformats.org/officeDocument/2006/relationships/hyperlink" Target="https://doi.org/10.3406/caoum.1987.3235"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B90E0-8937-4653-80C9-5FFAE5564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2614</TotalTime>
  <Pages>24</Pages>
  <Words>6093</Words>
  <Characters>34734</Characters>
  <Application>Microsoft Office Word</Application>
  <DocSecurity>0</DocSecurity>
  <Lines>289</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40746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49</cp:revision>
  <cp:lastPrinted>1999-07-06T11:00:00Z</cp:lastPrinted>
  <dcterms:created xsi:type="dcterms:W3CDTF">2014-10-25T14:34:00Z</dcterms:created>
  <dcterms:modified xsi:type="dcterms:W3CDTF">2026-02-13T11:25:00Z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117b5403-6ba2-45d4-9408-104b9c389e74</vt:lpwstr>
  </property>
</Properties>
</file>