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A3495" w14:textId="3739FB6F" w:rsidR="002C207B" w:rsidRPr="002C207B" w:rsidRDefault="002C207B" w:rsidP="002C207B">
      <w:pPr>
        <w:spacing w:line="360" w:lineRule="auto"/>
        <w:rPr>
          <w:rFonts w:ascii="Times New Roman" w:hAnsi="Times New Roman" w:cs="Times New Roman"/>
          <w:b/>
          <w:bCs/>
          <w:sz w:val="32"/>
          <w:szCs w:val="32"/>
          <w:u w:val="single"/>
        </w:rPr>
      </w:pPr>
      <w:r w:rsidRPr="002C207B">
        <w:rPr>
          <w:rFonts w:ascii="Times New Roman" w:hAnsi="Times New Roman" w:cs="Times New Roman"/>
          <w:b/>
          <w:bCs/>
          <w:sz w:val="32"/>
          <w:szCs w:val="32"/>
          <w:u w:val="single"/>
        </w:rPr>
        <w:t>Original Research Article</w:t>
      </w:r>
    </w:p>
    <w:p w14:paraId="0982374F" w14:textId="77777777" w:rsidR="002C207B" w:rsidRDefault="002C207B">
      <w:pPr>
        <w:spacing w:line="360" w:lineRule="auto"/>
        <w:jc w:val="center"/>
        <w:rPr>
          <w:rFonts w:ascii="Times New Roman" w:hAnsi="Times New Roman" w:cs="Times New Roman"/>
          <w:b/>
          <w:bCs/>
          <w:sz w:val="32"/>
          <w:szCs w:val="32"/>
        </w:rPr>
      </w:pPr>
    </w:p>
    <w:p w14:paraId="3175F649" w14:textId="6F401C15" w:rsidR="005B7CDF" w:rsidRDefault="00B15BF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 Comparative Machine Learning Framework for Location-Specific Maize Yield Prediction: Integrating Agronomic, Genetic, and Spatial Factors</w:t>
      </w:r>
    </w:p>
    <w:p w14:paraId="062E6B93" w14:textId="77777777" w:rsidR="002C207B" w:rsidRDefault="002C207B" w:rsidP="002C207B">
      <w:pPr>
        <w:rPr>
          <w:rFonts w:ascii="Times New Roman" w:hAnsi="Times New Roman" w:cs="Times New Roman"/>
          <w:b/>
          <w:bCs/>
          <w:sz w:val="32"/>
          <w:szCs w:val="32"/>
        </w:rPr>
      </w:pPr>
      <w:bookmarkStart w:id="0" w:name="_GoBack"/>
      <w:bookmarkEnd w:id="0"/>
    </w:p>
    <w:p w14:paraId="14C4A84C" w14:textId="77777777" w:rsidR="002C207B" w:rsidRDefault="002C207B" w:rsidP="002C207B">
      <w:pPr>
        <w:rPr>
          <w:rFonts w:ascii="Times New Roman" w:hAnsi="Times New Roman" w:cs="Times New Roman"/>
          <w:b/>
          <w:bCs/>
          <w:sz w:val="32"/>
          <w:szCs w:val="32"/>
        </w:rPr>
      </w:pPr>
    </w:p>
    <w:p w14:paraId="463487D8" w14:textId="3DE1A6B1" w:rsidR="005B7CDF" w:rsidRDefault="00B15BF6" w:rsidP="002C207B">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684C53DD" w14:textId="77777777" w:rsidR="005B7CDF" w:rsidRDefault="005B7CDF">
      <w:pPr>
        <w:jc w:val="both"/>
        <w:rPr>
          <w:rFonts w:ascii="Times New Roman" w:hAnsi="Times New Roman" w:cs="Times New Roman"/>
          <w:b/>
          <w:bCs/>
          <w:sz w:val="24"/>
          <w:szCs w:val="24"/>
        </w:rPr>
      </w:pPr>
    </w:p>
    <w:p w14:paraId="533A42CA" w14:textId="77777777" w:rsidR="005B7CDF" w:rsidRDefault="00B15BF6">
      <w:pPr>
        <w:jc w:val="both"/>
        <w:rPr>
          <w:rFonts w:ascii="Times New Roman" w:hAnsi="Times New Roman" w:cs="Times New Roman"/>
          <w:sz w:val="24"/>
          <w:szCs w:val="24"/>
        </w:rPr>
      </w:pPr>
      <w:r>
        <w:rPr>
          <w:rFonts w:ascii="Times New Roman" w:hAnsi="Times New Roman" w:cs="Times New Roman"/>
          <w:sz w:val="24"/>
          <w:szCs w:val="24"/>
        </w:rPr>
        <w:t>This paper fills in the key gaps in the field of agricultural machine learning by comparing the performance of the Support Vector Machine (SVM), the Random Forest (RF) and the Decision Tree (DT) algorithms to predict the yield of maize in various locations</w:t>
      </w:r>
      <w:r>
        <w:rPr>
          <w:rFonts w:ascii="Times New Roman" w:hAnsi="Times New Roman" w:cs="Times New Roman"/>
          <w:sz w:val="24"/>
          <w:szCs w:val="24"/>
        </w:rPr>
        <w:t xml:space="preserve"> in the U.S. Corn Belt. In contrast to the past methods that consider location as fixed effect, this study deals with location as an explicit dynamic predictor, hence allowing the environment-specific interaction to be modelled. The study tests models usin</w:t>
      </w:r>
      <w:r>
        <w:rPr>
          <w:rFonts w:ascii="Times New Roman" w:hAnsi="Times New Roman" w:cs="Times New Roman"/>
          <w:sz w:val="24"/>
          <w:szCs w:val="24"/>
        </w:rPr>
        <w:t>g a dataset of 1,640 plot-level observations in four geographically different sites and adjusting them to consider spatial autocorrelation so that the models do not artificially increase the performance measure. It has been found that the performance of th</w:t>
      </w:r>
      <w:r>
        <w:rPr>
          <w:rFonts w:ascii="Times New Roman" w:hAnsi="Times New Roman" w:cs="Times New Roman"/>
          <w:sz w:val="24"/>
          <w:szCs w:val="24"/>
        </w:rPr>
        <w:t xml:space="preserve">e Random Forest is superior to both SVM and DT with the R2 of 0.84 with the most significant variable being </w:t>
      </w:r>
      <w:proofErr w:type="spellStart"/>
      <w:r>
        <w:rPr>
          <w:rFonts w:ascii="Times New Roman" w:hAnsi="Times New Roman" w:cs="Times New Roman"/>
          <w:sz w:val="24"/>
          <w:szCs w:val="24"/>
        </w:rPr>
        <w:t>location_id</w:t>
      </w:r>
      <w:proofErr w:type="spellEnd"/>
      <w:r>
        <w:rPr>
          <w:rFonts w:ascii="Times New Roman" w:hAnsi="Times New Roman" w:cs="Times New Roman"/>
          <w:sz w:val="24"/>
          <w:szCs w:val="24"/>
        </w:rPr>
        <w:t xml:space="preserve"> and </w:t>
      </w:r>
      <w:r>
        <w:rPr>
          <w:rFonts w:ascii="Times New Roman" w:hAnsi="Times New Roman" w:cs="Times New Roman"/>
          <w:sz w:val="24"/>
          <w:szCs w:val="24"/>
          <w:lang w:val="en-US"/>
        </w:rPr>
        <w:t>by</w:t>
      </w:r>
      <w:r>
        <w:rPr>
          <w:rFonts w:ascii="Times New Roman" w:hAnsi="Times New Roman" w:cs="Times New Roman"/>
          <w:sz w:val="24"/>
          <w:szCs w:val="24"/>
        </w:rPr>
        <w:t xml:space="preserve"> within-field spatial variables (row, range) and nitrogen. The results show the superiority of site-specific environmental variabl</w:t>
      </w:r>
      <w:r>
        <w:rPr>
          <w:rFonts w:ascii="Times New Roman" w:hAnsi="Times New Roman" w:cs="Times New Roman"/>
          <w:sz w:val="24"/>
          <w:szCs w:val="24"/>
        </w:rPr>
        <w:t xml:space="preserve">es </w:t>
      </w:r>
      <w:r>
        <w:rPr>
          <w:rFonts w:ascii="Times New Roman" w:hAnsi="Times New Roman" w:cs="Times New Roman"/>
          <w:sz w:val="24"/>
          <w:szCs w:val="24"/>
          <w:lang w:val="en-US"/>
        </w:rPr>
        <w:t xml:space="preserve">over </w:t>
      </w:r>
      <w:r>
        <w:rPr>
          <w:rFonts w:ascii="Times New Roman" w:hAnsi="Times New Roman" w:cs="Times New Roman"/>
          <w:sz w:val="24"/>
          <w:szCs w:val="24"/>
        </w:rPr>
        <w:t xml:space="preserve">genetic and management </w:t>
      </w:r>
      <w:r>
        <w:rPr>
          <w:rFonts w:ascii="Times New Roman" w:hAnsi="Times New Roman" w:cs="Times New Roman"/>
          <w:sz w:val="24"/>
          <w:szCs w:val="24"/>
          <w:lang w:val="en-US"/>
        </w:rPr>
        <w:t>variables</w:t>
      </w:r>
      <w:r>
        <w:rPr>
          <w:rFonts w:ascii="Times New Roman" w:hAnsi="Times New Roman" w:cs="Times New Roman"/>
          <w:sz w:val="24"/>
          <w:szCs w:val="24"/>
        </w:rPr>
        <w:t xml:space="preserve"> in explaining yield variability. This study offers a methodology </w:t>
      </w:r>
      <w:r>
        <w:rPr>
          <w:rFonts w:ascii="Times New Roman" w:hAnsi="Times New Roman" w:cs="Times New Roman"/>
          <w:sz w:val="24"/>
          <w:szCs w:val="24"/>
          <w:lang w:val="en-US"/>
        </w:rPr>
        <w:t>for</w:t>
      </w:r>
      <w:r>
        <w:rPr>
          <w:rFonts w:ascii="Times New Roman" w:hAnsi="Times New Roman" w:cs="Times New Roman"/>
          <w:sz w:val="24"/>
          <w:szCs w:val="24"/>
        </w:rPr>
        <w:t xml:space="preserve"> location-based predictive </w:t>
      </w:r>
      <w:r>
        <w:rPr>
          <w:rFonts w:ascii="Times New Roman" w:hAnsi="Times New Roman" w:cs="Times New Roman"/>
          <w:sz w:val="24"/>
          <w:szCs w:val="24"/>
          <w:lang w:val="en-US"/>
        </w:rPr>
        <w:t>modeling</w:t>
      </w:r>
      <w:r>
        <w:rPr>
          <w:rFonts w:ascii="Times New Roman" w:hAnsi="Times New Roman" w:cs="Times New Roman"/>
          <w:sz w:val="24"/>
          <w:szCs w:val="24"/>
        </w:rPr>
        <w:t xml:space="preserve"> and contains evidence-based recommendations on the application of precision agriculture approaches to improve t</w:t>
      </w:r>
      <w:r>
        <w:rPr>
          <w:rFonts w:ascii="Times New Roman" w:hAnsi="Times New Roman" w:cs="Times New Roman"/>
          <w:sz w:val="24"/>
          <w:szCs w:val="24"/>
        </w:rPr>
        <w:t>he accuracy or precision of yield and resource-saving recommendations.</w:t>
      </w:r>
    </w:p>
    <w:p w14:paraId="7D2122BC" w14:textId="77777777" w:rsidR="005B7CDF" w:rsidRDefault="00B15BF6">
      <w:pPr>
        <w:jc w:val="both"/>
        <w:rPr>
          <w:rFonts w:ascii="Times New Roman" w:hAnsi="Times New Roman" w:cs="Times New Roman"/>
          <w:sz w:val="24"/>
          <w:szCs w:val="24"/>
        </w:rPr>
      </w:pPr>
      <w:r>
        <w:rPr>
          <w:rFonts w:ascii="Times New Roman" w:hAnsi="Times New Roman" w:cs="Times New Roman"/>
          <w:sz w:val="24"/>
          <w:szCs w:val="24"/>
        </w:rPr>
        <w:t>Keywords: Machine Learning, Random Forest, SVM, Decision Tree, Maize, Location, Prediction</w:t>
      </w:r>
    </w:p>
    <w:p w14:paraId="7B3E80F4" w14:textId="77777777" w:rsidR="005B7CDF" w:rsidRDefault="005B7CDF">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p>
    <w:p w14:paraId="27E5F7D2"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Introduction</w:t>
      </w:r>
    </w:p>
    <w:p w14:paraId="3C60EB69"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Maize (Zea mays L.) is one of the most important crops in the world, as it is a </w:t>
      </w:r>
      <w:r>
        <w:rPr>
          <w:rFonts w:ascii="Times New Roman" w:hAnsi="Times New Roman" w:cs="Times New Roman"/>
          <w:sz w:val="24"/>
          <w:szCs w:val="24"/>
        </w:rPr>
        <w:t>source of essential nutrients for a large population of the world's inhabitants, and it is also a source of animal feed and biofuel (FAO, 2023). Global maize production is around 208.23 million hectares, and the U.S. Corn Belt is a notable contributor to i</w:t>
      </w:r>
      <w:r>
        <w:rPr>
          <w:rFonts w:ascii="Times New Roman" w:hAnsi="Times New Roman" w:cs="Times New Roman"/>
          <w:sz w:val="24"/>
          <w:szCs w:val="24"/>
        </w:rPr>
        <w:t xml:space="preserve">nternational maize supply chains (Sharma et al., 2025). The </w:t>
      </w:r>
      <w:r>
        <w:rPr>
          <w:rFonts w:ascii="Times New Roman" w:hAnsi="Times New Roman" w:cs="Times New Roman"/>
          <w:sz w:val="24"/>
          <w:szCs w:val="24"/>
        </w:rPr>
        <w:lastRenderedPageBreak/>
        <w:t>yield of maize is variable across geographical locations due to the complex interplay of various environmental factors, soil factors, management practices, and genetic factors. The yield variabili</w:t>
      </w:r>
      <w:r>
        <w:rPr>
          <w:rFonts w:ascii="Times New Roman" w:hAnsi="Times New Roman" w:cs="Times New Roman"/>
          <w:sz w:val="24"/>
          <w:szCs w:val="24"/>
        </w:rPr>
        <w:t>ty is a notable problem in maize production, as it is the difference between actual and potential yield (Ray et al., 2015).</w:t>
      </w:r>
    </w:p>
    <w:p w14:paraId="6D33F6D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There are several factors contributing to yield variability, and they vary according to location. The soil factors, such as texture,</w:t>
      </w:r>
      <w:r>
        <w:rPr>
          <w:rFonts w:ascii="Times New Roman" w:hAnsi="Times New Roman" w:cs="Times New Roman"/>
          <w:sz w:val="24"/>
          <w:szCs w:val="24"/>
        </w:rPr>
        <w:t xml:space="preserve"> pH, organic matter content, and nutrient availability, have notable spatial variability within a specific field (Kitchen et al., 2018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Akwabeng</w:t>
      </w:r>
      <w:proofErr w:type="spellEnd"/>
      <w:r>
        <w:rPr>
          <w:rFonts w:ascii="Times New Roman" w:hAnsi="Times New Roman" w:cs="Times New Roman"/>
          <w:sz w:val="24"/>
          <w:szCs w:val="24"/>
          <w:lang w:val="en-US"/>
        </w:rPr>
        <w:t xml:space="preserve"> et al., 2026</w:t>
      </w:r>
      <w:r>
        <w:rPr>
          <w:rFonts w:ascii="Times New Roman" w:hAnsi="Times New Roman" w:cs="Times New Roman"/>
          <w:sz w:val="24"/>
          <w:szCs w:val="24"/>
        </w:rPr>
        <w:t xml:space="preserve">). Concurrently, climatic factors such as temperature, precipitation, solar radiation, and growing </w:t>
      </w:r>
      <w:r>
        <w:rPr>
          <w:rFonts w:ascii="Times New Roman" w:hAnsi="Times New Roman" w:cs="Times New Roman"/>
          <w:sz w:val="24"/>
          <w:szCs w:val="24"/>
        </w:rPr>
        <w:t xml:space="preserve">degree days have notable spatial variability across the U.S. Corn Belt (Sharma et al., 2025). The complex interactions in the Corn Belt region and their effects on the physiological processes that govern grain yield development (Westgate and Boyer, 1985). </w:t>
      </w:r>
      <w:r>
        <w:rPr>
          <w:rFonts w:ascii="Times New Roman" w:hAnsi="Times New Roman" w:cs="Times New Roman"/>
          <w:sz w:val="24"/>
          <w:szCs w:val="24"/>
        </w:rPr>
        <w:t>Moreover, genotype-environment interactions, in which certain maize hybrids exhibit different responses in different locations, add further dimensions of complexity to the task of yield prediction (Hallauer and Miranda, 1988). The complex interactions requ</w:t>
      </w:r>
      <w:r>
        <w:rPr>
          <w:rFonts w:ascii="Times New Roman" w:hAnsi="Times New Roman" w:cs="Times New Roman"/>
          <w:sz w:val="24"/>
          <w:szCs w:val="24"/>
        </w:rPr>
        <w:t>ire location-specific predictive approaches that can capture the non-linear relationships in multiple variables.</w:t>
      </w:r>
    </w:p>
    <w:p w14:paraId="7D9215F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Traditional approaches to yield prediction, such as field-based approaches and linear regression models, are no longer adequate to meet the com</w:t>
      </w:r>
      <w:r>
        <w:rPr>
          <w:rFonts w:ascii="Times New Roman" w:hAnsi="Times New Roman" w:cs="Times New Roman"/>
          <w:sz w:val="24"/>
          <w:szCs w:val="24"/>
        </w:rPr>
        <w:t xml:space="preserve">plexities of modern agricultural systems. Statistical approaches based on parametric assumptions cannot capture the non-linear relationships that are common in crop production (van </w:t>
      </w:r>
      <w:proofErr w:type="spellStart"/>
      <w:r>
        <w:rPr>
          <w:rFonts w:ascii="Times New Roman" w:hAnsi="Times New Roman" w:cs="Times New Roman"/>
          <w:sz w:val="24"/>
          <w:szCs w:val="24"/>
        </w:rPr>
        <w:t>Klompenburg</w:t>
      </w:r>
      <w:proofErr w:type="spellEnd"/>
      <w:r>
        <w:rPr>
          <w:rFonts w:ascii="Times New Roman" w:hAnsi="Times New Roman" w:cs="Times New Roman"/>
          <w:sz w:val="24"/>
          <w:szCs w:val="24"/>
        </w:rPr>
        <w:t xml:space="preserve"> et al., 2020). On the other hand, precision agriculture approac</w:t>
      </w:r>
      <w:r>
        <w:rPr>
          <w:rFonts w:ascii="Times New Roman" w:hAnsi="Times New Roman" w:cs="Times New Roman"/>
          <w:sz w:val="24"/>
          <w:szCs w:val="24"/>
        </w:rPr>
        <w:t>hes that involve location-specific crop management decisions based on spatially varying data hold promise in terms of improving resource allocation and crop productivity (McFadden et al., 2022). The use of machine learning (ML) approaches can be considered</w:t>
      </w:r>
      <w:r>
        <w:rPr>
          <w:rFonts w:ascii="Times New Roman" w:hAnsi="Times New Roman" w:cs="Times New Roman"/>
          <w:sz w:val="24"/>
          <w:szCs w:val="24"/>
        </w:rPr>
        <w:t xml:space="preserve"> as a new paradigm in yield prediction. The potential of ML approaches in discovering hidden patterns in large multidimensional datasets and handling non-linear relationships in multiple variables without any parametric assumptions has already been establi</w:t>
      </w:r>
      <w:r>
        <w:rPr>
          <w:rFonts w:ascii="Times New Roman" w:hAnsi="Times New Roman" w:cs="Times New Roman"/>
          <w:sz w:val="24"/>
          <w:szCs w:val="24"/>
        </w:rPr>
        <w:t>shed (Liakos et al., 2018).</w:t>
      </w:r>
    </w:p>
    <w:p w14:paraId="68624A13"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Rationale</w:t>
      </w:r>
    </w:p>
    <w:p w14:paraId="1DC0998A"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Although research on crop yield prediction has significantly increased, the literature on the subject matter has not completely resolved the methodological and practical gaps in the agricultural machine learning field.</w:t>
      </w:r>
      <w:r>
        <w:rPr>
          <w:rFonts w:ascii="Times New Roman" w:hAnsi="Times New Roman" w:cs="Times New Roman"/>
          <w:sz w:val="24"/>
          <w:szCs w:val="24"/>
        </w:rPr>
        <w:t xml:space="preserve"> First, the current literature mostly utilizes individual ML algorithms or </w:t>
      </w:r>
      <w:proofErr w:type="gramStart"/>
      <w:r>
        <w:rPr>
          <w:rFonts w:ascii="Times New Roman" w:hAnsi="Times New Roman" w:cs="Times New Roman"/>
          <w:sz w:val="24"/>
          <w:szCs w:val="24"/>
        </w:rPr>
        <w:t>small scale</w:t>
      </w:r>
      <w:proofErr w:type="gramEnd"/>
      <w:r>
        <w:rPr>
          <w:rFonts w:ascii="Times New Roman" w:hAnsi="Times New Roman" w:cs="Times New Roman"/>
          <w:sz w:val="24"/>
          <w:szCs w:val="24"/>
        </w:rPr>
        <w:t xml:space="preserve"> comparisons of algorithms, which masks the relative performance benefits and drawbacks of alternative methods. Sharma et al. (2025) conducted a systematic literature rev</w:t>
      </w:r>
      <w:r>
        <w:rPr>
          <w:rFonts w:ascii="Times New Roman" w:hAnsi="Times New Roman" w:cs="Times New Roman"/>
          <w:sz w:val="24"/>
          <w:szCs w:val="24"/>
        </w:rPr>
        <w:t>iew that recognized 87 unique machine learning models in 82 studies that used maize and soybean yield prediction but could not be unanimous in terms of the selection of the best model. Second, majority of the studies done on yield prediction have concentra</w:t>
      </w:r>
      <w:r>
        <w:rPr>
          <w:rFonts w:ascii="Times New Roman" w:hAnsi="Times New Roman" w:cs="Times New Roman"/>
          <w:sz w:val="24"/>
          <w:szCs w:val="24"/>
        </w:rPr>
        <w:t>ted on grain yield instead of total biomass or include location as a fixed statistical effect instead of dynamic predictor affecting model learning. Location-based prediction, in which the properties of geographic sites are actively involved in designing a</w:t>
      </w:r>
      <w:r>
        <w:rPr>
          <w:rFonts w:ascii="Times New Roman" w:hAnsi="Times New Roman" w:cs="Times New Roman"/>
          <w:sz w:val="24"/>
          <w:szCs w:val="24"/>
        </w:rPr>
        <w:t>lgorithmic decision limits, is fundamentally different than location-stratified analysis and potentially capable of increasing transfer learning abilities between environments (Lobell et al., 2015).</w:t>
      </w:r>
    </w:p>
    <w:p w14:paraId="00CF066C"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Third, there is a lack of comparative research on the per</w:t>
      </w:r>
      <w:r>
        <w:rPr>
          <w:rFonts w:ascii="Times New Roman" w:hAnsi="Times New Roman" w:cs="Times New Roman"/>
          <w:sz w:val="24"/>
          <w:szCs w:val="24"/>
        </w:rPr>
        <w:t>formance of SVM, Random Forest, and Decision Tree in cohesive experimental settings in the agricultural setting. Although Sharma et al. (2025) found out that Random Forest (23% frequency), Artificial Neural Networks (14%), Support Vector Machines (14%),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XGBoost</w:t>
      </w:r>
      <w:proofErr w:type="spellEnd"/>
      <w:r>
        <w:rPr>
          <w:rFonts w:ascii="Times New Roman" w:hAnsi="Times New Roman" w:cs="Times New Roman"/>
          <w:sz w:val="24"/>
          <w:szCs w:val="24"/>
        </w:rPr>
        <w:t xml:space="preserve"> (8%) were most common methods, strict comparative </w:t>
      </w:r>
      <w:r>
        <w:rPr>
          <w:rFonts w:ascii="Times New Roman" w:hAnsi="Times New Roman" w:cs="Times New Roman"/>
          <w:sz w:val="24"/>
          <w:szCs w:val="24"/>
        </w:rPr>
        <w:lastRenderedPageBreak/>
        <w:t>evaluation under controlled conditions with the same preprocessing, feature engineering, and validation procedures was lacking. Fourth, pluralism in methodology among the studies- difference in tr</w:t>
      </w:r>
      <w:r>
        <w:rPr>
          <w:rFonts w:ascii="Times New Roman" w:hAnsi="Times New Roman" w:cs="Times New Roman"/>
          <w:sz w:val="24"/>
          <w:szCs w:val="24"/>
        </w:rPr>
        <w:t>ain-test separation, cross-validation, features, and measures of evidence hinder the synthesis and evidence aggregation in the meta-analysis. Variably used are the coefficient of determination (R2), root mean square error (RMSE), mean absolute error (MAE),</w:t>
      </w:r>
      <w:r>
        <w:rPr>
          <w:rFonts w:ascii="Times New Roman" w:hAnsi="Times New Roman" w:cs="Times New Roman"/>
          <w:sz w:val="24"/>
          <w:szCs w:val="24"/>
        </w:rPr>
        <w:t xml:space="preserve"> and relative root mean square error (RRMSE), which makes it difficult to compare results across studies (Sharma et al., 2025).</w:t>
      </w:r>
    </w:p>
    <w:p w14:paraId="2136150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Fifth, the interpretability-accuracy </w:t>
      </w:r>
      <w:proofErr w:type="spellStart"/>
      <w:r>
        <w:rPr>
          <w:rFonts w:ascii="Times New Roman" w:hAnsi="Times New Roman" w:cs="Times New Roman"/>
          <w:sz w:val="24"/>
          <w:szCs w:val="24"/>
        </w:rPr>
        <w:t>tradeoff</w:t>
      </w:r>
      <w:proofErr w:type="spellEnd"/>
      <w:r>
        <w:rPr>
          <w:rFonts w:ascii="Times New Roman" w:hAnsi="Times New Roman" w:cs="Times New Roman"/>
          <w:sz w:val="24"/>
          <w:szCs w:val="24"/>
        </w:rPr>
        <w:t xml:space="preserve"> which is usually inherent to machine learning in agriculture is not sufficiently t</w:t>
      </w:r>
      <w:r>
        <w:rPr>
          <w:rFonts w:ascii="Times New Roman" w:hAnsi="Times New Roman" w:cs="Times New Roman"/>
          <w:sz w:val="24"/>
          <w:szCs w:val="24"/>
        </w:rPr>
        <w:t xml:space="preserve">ackled. Complex ensemble methods are highly accurate, but their black-box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does not allow stakeholders to adopt them and achieve a mechanistic understanding of yield drivers (Paudel et al., 2021). Such explainable methods as SHAP (</w:t>
      </w:r>
      <w:proofErr w:type="spellStart"/>
      <w:r>
        <w:rPr>
          <w:rFonts w:ascii="Times New Roman" w:hAnsi="Times New Roman" w:cs="Times New Roman"/>
          <w:sz w:val="24"/>
          <w:szCs w:val="24"/>
        </w:rPr>
        <w:t>SHapley</w:t>
      </w:r>
      <w:proofErr w:type="spellEnd"/>
      <w:r>
        <w:rPr>
          <w:rFonts w:ascii="Times New Roman" w:hAnsi="Times New Roman" w:cs="Times New Roman"/>
          <w:sz w:val="24"/>
          <w:szCs w:val="24"/>
        </w:rPr>
        <w:t xml:space="preserve"> Additive </w:t>
      </w:r>
      <w:proofErr w:type="spellStart"/>
      <w:r>
        <w:rPr>
          <w:rFonts w:ascii="Times New Roman" w:hAnsi="Times New Roman" w:cs="Times New Roman"/>
          <w:sz w:val="24"/>
          <w:szCs w:val="24"/>
        </w:rPr>
        <w:t>exPlanations</w:t>
      </w:r>
      <w:proofErr w:type="spellEnd"/>
      <w:r>
        <w:rPr>
          <w:rFonts w:ascii="Times New Roman" w:hAnsi="Times New Roman" w:cs="Times New Roman"/>
          <w:sz w:val="24"/>
          <w:szCs w:val="24"/>
        </w:rPr>
        <w:t>) values have been developed but are not yet used in agricultural comparative studies. Lastly, the conceptual importance of spatial structure and spatial autocorrelation in validation of prediction of the yield has been acknowledged but never e</w:t>
      </w:r>
      <w:r>
        <w:rPr>
          <w:rFonts w:ascii="Times New Roman" w:hAnsi="Times New Roman" w:cs="Times New Roman"/>
          <w:sz w:val="24"/>
          <w:szCs w:val="24"/>
        </w:rPr>
        <w:t xml:space="preserve">xecuted in practice. </w:t>
      </w:r>
      <w:proofErr w:type="spellStart"/>
      <w:r>
        <w:rPr>
          <w:rFonts w:ascii="Times New Roman" w:hAnsi="Times New Roman" w:cs="Times New Roman"/>
          <w:sz w:val="24"/>
          <w:szCs w:val="24"/>
        </w:rPr>
        <w:t>RadoVcaj</w:t>
      </w:r>
      <w:proofErr w:type="spellEnd"/>
      <w:r>
        <w:rPr>
          <w:rFonts w:ascii="Times New Roman" w:hAnsi="Times New Roman" w:cs="Times New Roman"/>
          <w:sz w:val="24"/>
          <w:szCs w:val="24"/>
        </w:rPr>
        <w:t xml:space="preserve"> et al. (2025) showed that spatial cross-validation estimates of performance are significantly lower than random cross-validation in modelling subfield maize yields, but this is not apparent in most comparative studies.</w:t>
      </w:r>
    </w:p>
    <w:p w14:paraId="32D2A04A" w14:textId="77777777" w:rsidR="005B7CDF" w:rsidRDefault="00B15BF6">
      <w:pPr>
        <w:spacing w:line="240" w:lineRule="auto"/>
        <w:jc w:val="both"/>
        <w:rPr>
          <w:rFonts w:ascii="Times New Roman" w:hAnsi="Times New Roman" w:cs="Times New Roman"/>
          <w:i/>
          <w:iCs/>
          <w:sz w:val="24"/>
          <w:szCs w:val="24"/>
        </w:rPr>
      </w:pPr>
      <w:r>
        <w:rPr>
          <w:rFonts w:ascii="Times New Roman" w:hAnsi="Times New Roman" w:cs="Times New Roman"/>
          <w:b/>
          <w:i/>
          <w:iCs/>
          <w:sz w:val="24"/>
          <w:szCs w:val="24"/>
        </w:rPr>
        <w:t xml:space="preserve">Gap in </w:t>
      </w:r>
      <w:r>
        <w:rPr>
          <w:rFonts w:ascii="Times New Roman" w:hAnsi="Times New Roman" w:cs="Times New Roman"/>
          <w:b/>
          <w:i/>
          <w:iCs/>
          <w:sz w:val="24"/>
          <w:szCs w:val="24"/>
        </w:rPr>
        <w:t>the Research and Necessity of the Study</w:t>
      </w:r>
      <w:r>
        <w:rPr>
          <w:rFonts w:ascii="Times New Roman" w:hAnsi="Times New Roman" w:cs="Times New Roman"/>
          <w:i/>
          <w:iCs/>
          <w:sz w:val="24"/>
          <w:szCs w:val="24"/>
        </w:rPr>
        <w:t>.</w:t>
      </w:r>
    </w:p>
    <w:p w14:paraId="555C12EE"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paper fills a crucial nexus of gaps: (1) comparative appraisal of different ML algorithms with common protocols, (2) explicit incorporation of location as a dynamic predictor as opposed to stratification </w:t>
      </w:r>
      <w:r>
        <w:rPr>
          <w:rFonts w:ascii="Times New Roman" w:hAnsi="Times New Roman" w:cs="Times New Roman"/>
          <w:sz w:val="24"/>
          <w:szCs w:val="24"/>
        </w:rPr>
        <w:t>variable, (3) appraisal of model performance across geographically differing U.S. Corn Belt settings, and (4) the appraisal of model interpretability in addition to the accuracy measures. The geographic area, which is, an area of about Iowa, Illinois, Indi</w:t>
      </w:r>
      <w:r>
        <w:rPr>
          <w:rFonts w:ascii="Times New Roman" w:hAnsi="Times New Roman" w:cs="Times New Roman"/>
          <w:sz w:val="24"/>
          <w:szCs w:val="24"/>
        </w:rPr>
        <w:t>ana, and Nebraska, reflects representative soil, climate, and management diversity of the U.S. major maize production area, which increases practical usefulness. The theoretical contribution is to show that location-based ML frameworks represent variabilit</w:t>
      </w:r>
      <w:r>
        <w:rPr>
          <w:rFonts w:ascii="Times New Roman" w:hAnsi="Times New Roman" w:cs="Times New Roman"/>
          <w:sz w:val="24"/>
          <w:szCs w:val="24"/>
        </w:rPr>
        <w:t>y of yields that depends on the environment and the practical contribution is to give evidence-based advice on which algorithm to use when implementing precision agriculture.</w:t>
      </w:r>
    </w:p>
    <w:p w14:paraId="484F2710"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Literature Review</w:t>
      </w:r>
    </w:p>
    <w:p w14:paraId="1F9A76DE" w14:textId="77777777" w:rsidR="005B7CDF" w:rsidRDefault="00B15BF6">
      <w:pPr>
        <w:spacing w:before="100" w:beforeAutospacing="1" w:after="100" w:afterAutospacing="1" w:line="240" w:lineRule="auto"/>
        <w:jc w:val="both"/>
        <w:outlineLvl w:val="2"/>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Machine Learning Applications in Crop Yield Prediction</w:t>
      </w:r>
    </w:p>
    <w:p w14:paraId="03CEE544"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Machine </w:t>
      </w:r>
      <w:r>
        <w:rPr>
          <w:rFonts w:ascii="Times New Roman" w:hAnsi="Times New Roman" w:cs="Times New Roman"/>
          <w:sz w:val="24"/>
          <w:szCs w:val="24"/>
        </w:rPr>
        <w:t xml:space="preserve">learning has become a radical technology in agricultural prediction, and it has been proved to have better benefits compared to the usual statistical and mechanistic methods (van </w:t>
      </w:r>
      <w:proofErr w:type="spellStart"/>
      <w:r>
        <w:rPr>
          <w:rFonts w:ascii="Times New Roman" w:hAnsi="Times New Roman" w:cs="Times New Roman"/>
          <w:sz w:val="24"/>
          <w:szCs w:val="24"/>
        </w:rPr>
        <w:t>Klompenburg</w:t>
      </w:r>
      <w:proofErr w:type="spellEnd"/>
      <w:r>
        <w:rPr>
          <w:rFonts w:ascii="Times New Roman" w:hAnsi="Times New Roman" w:cs="Times New Roman"/>
          <w:sz w:val="24"/>
          <w:szCs w:val="24"/>
        </w:rPr>
        <w:t xml:space="preserve"> et al., 2020; Liakos et al., 2018). The systematic review by Shar</w:t>
      </w:r>
      <w:r>
        <w:rPr>
          <w:rFonts w:ascii="Times New Roman" w:hAnsi="Times New Roman" w:cs="Times New Roman"/>
          <w:sz w:val="24"/>
          <w:szCs w:val="24"/>
        </w:rPr>
        <w:t>ma et al. (2025) included 82 studies published in 1984-2022, which reported rising adoption rates after 2019, with 84% of the studies having been published after 2019. The highest frequency of applications among the programs was Random Forest (23%), then t</w:t>
      </w:r>
      <w:r>
        <w:rPr>
          <w:rFonts w:ascii="Times New Roman" w:hAnsi="Times New Roman" w:cs="Times New Roman"/>
          <w:sz w:val="24"/>
          <w:szCs w:val="24"/>
        </w:rPr>
        <w:t>here were Artificial Neural Networks (14%), Support Vector Machines (14), and the data was heterogeneous in terms of the algorithms used. These algorithms perform better than traditional linear regression because of their ability to model nonlinear associa</w:t>
      </w:r>
      <w:r>
        <w:rPr>
          <w:rFonts w:ascii="Times New Roman" w:hAnsi="Times New Roman" w:cs="Times New Roman"/>
          <w:sz w:val="24"/>
          <w:szCs w:val="24"/>
        </w:rPr>
        <w:t>tions between features; an example of this is the association between nitrogen application and yield, which is threshold-effecting and diminishing-return as linear models are not able to effectively model (Raun and Johnson, 1999).</w:t>
      </w:r>
    </w:p>
    <w:p w14:paraId="333E012D"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Patterns of performance p</w:t>
      </w:r>
      <w:r>
        <w:rPr>
          <w:rFonts w:ascii="Times New Roman" w:hAnsi="Times New Roman" w:cs="Times New Roman"/>
          <w:sz w:val="24"/>
          <w:szCs w:val="24"/>
        </w:rPr>
        <w:t>ertain to subtlety. Gill et al. (2022) showed that the Random Forest was better than the Convolutional Neural Networks and Deep Neural Networks in predicting the phenotype of soybean, which contradicts the belief in the superiority of deep learning. On the</w:t>
      </w:r>
      <w:r>
        <w:rPr>
          <w:rFonts w:ascii="Times New Roman" w:hAnsi="Times New Roman" w:cs="Times New Roman"/>
          <w:sz w:val="24"/>
          <w:szCs w:val="24"/>
        </w:rPr>
        <w:t xml:space="preserve"> other hand, Croci et al. (2023) established that Gaussian Process Regression was slightly better than Random Forest at predicting maize yield in Italy in terms of RMSE 1.80 Mg ha-1 versus 1.83 Mg ha-1. These contradictory results highlight situation-speci</w:t>
      </w:r>
      <w:r>
        <w:rPr>
          <w:rFonts w:ascii="Times New Roman" w:hAnsi="Times New Roman" w:cs="Times New Roman"/>
          <w:sz w:val="24"/>
          <w:szCs w:val="24"/>
        </w:rPr>
        <w:t xml:space="preserve">ficity of algorithmic performance, encouraging the controlled comparative evaluation. A rather strict comparison was conducted by </w:t>
      </w:r>
      <w:proofErr w:type="spellStart"/>
      <w:r>
        <w:rPr>
          <w:rFonts w:ascii="Times New Roman" w:hAnsi="Times New Roman" w:cs="Times New Roman"/>
          <w:sz w:val="24"/>
          <w:szCs w:val="24"/>
        </w:rPr>
        <w:t>Shahhosseini</w:t>
      </w:r>
      <w:proofErr w:type="spellEnd"/>
      <w:r>
        <w:rPr>
          <w:rFonts w:ascii="Times New Roman" w:hAnsi="Times New Roman" w:cs="Times New Roman"/>
          <w:sz w:val="24"/>
          <w:szCs w:val="24"/>
        </w:rPr>
        <w:t xml:space="preserve"> et al. (2020) who estimated various ML models to predict corn yield in the U.S. Corn Belt, considering the tempor</w:t>
      </w:r>
      <w:r>
        <w:rPr>
          <w:rFonts w:ascii="Times New Roman" w:hAnsi="Times New Roman" w:cs="Times New Roman"/>
          <w:sz w:val="24"/>
          <w:szCs w:val="24"/>
        </w:rPr>
        <w:t>al dynamics and incomplete weather knowledge conditions. They have optimized their weighted ensemble model, with RRMSE of 9.5% better than the individual base learners and exhibiting the benefits of ensemble. Nevertheless, location was not clearly tested a</w:t>
      </w:r>
      <w:r>
        <w:rPr>
          <w:rFonts w:ascii="Times New Roman" w:hAnsi="Times New Roman" w:cs="Times New Roman"/>
          <w:sz w:val="24"/>
          <w:szCs w:val="24"/>
        </w:rPr>
        <w:t>s a predictor variable in their study.</w:t>
      </w:r>
    </w:p>
    <w:p w14:paraId="6CBFD9E9" w14:textId="77777777" w:rsidR="005B7CDF" w:rsidRDefault="005B7CDF">
      <w:pPr>
        <w:spacing w:line="240" w:lineRule="auto"/>
        <w:jc w:val="both"/>
        <w:rPr>
          <w:rFonts w:ascii="Times New Roman" w:hAnsi="Times New Roman" w:cs="Times New Roman"/>
          <w:sz w:val="24"/>
          <w:szCs w:val="24"/>
        </w:rPr>
      </w:pPr>
    </w:p>
    <w:p w14:paraId="1717B330" w14:textId="77777777" w:rsidR="005B7CDF" w:rsidRDefault="005B7CDF">
      <w:pPr>
        <w:spacing w:line="240" w:lineRule="auto"/>
        <w:jc w:val="both"/>
        <w:rPr>
          <w:rFonts w:ascii="Times New Roman" w:hAnsi="Times New Roman" w:cs="Times New Roman"/>
          <w:sz w:val="24"/>
          <w:szCs w:val="24"/>
        </w:rPr>
      </w:pPr>
    </w:p>
    <w:p w14:paraId="0341EF84"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Spatial Variability, Genotype by environment Interactions and Location-Specific Modelling.</w:t>
      </w:r>
    </w:p>
    <w:p w14:paraId="138E3B7A"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variation in yield is due to the intricate interactions among the genotype (G), environment (E) and management (M) facto</w:t>
      </w:r>
      <w:r>
        <w:rPr>
          <w:rFonts w:ascii="Times New Roman" w:hAnsi="Times New Roman" w:cs="Times New Roman"/>
          <w:sz w:val="24"/>
          <w:szCs w:val="24"/>
        </w:rPr>
        <w:t>rs that interact at different spatial levels. Variability related to fields includes spatial heterogeneity of soil properties, microclimate, and management accumulation effects (Kitchen et al., 2018; Wang et al., 2025). The variability of regions indicates</w:t>
      </w:r>
      <w:r>
        <w:rPr>
          <w:rFonts w:ascii="Times New Roman" w:hAnsi="Times New Roman" w:cs="Times New Roman"/>
          <w:sz w:val="24"/>
          <w:szCs w:val="24"/>
        </w:rPr>
        <w:t xml:space="preserve"> variation in soil series, climate regions, and past agricultural methods in the Corn Belt. Genotype-by-environment interactions, i.e. in which particular maize hybrids can perform differently in different locations, are not new findings; heritability esti</w:t>
      </w:r>
      <w:r>
        <w:rPr>
          <w:rFonts w:ascii="Times New Roman" w:hAnsi="Times New Roman" w:cs="Times New Roman"/>
          <w:sz w:val="24"/>
          <w:szCs w:val="24"/>
        </w:rPr>
        <w:t xml:space="preserve">mates of yield should be 0.4-0.7 and the environmental variance can be significant (Hallauer and Miranda, 1988). The contemporary breeding of maize expressly deals with </w:t>
      </w:r>
      <w:proofErr w:type="spellStart"/>
      <w:r>
        <w:rPr>
          <w:rFonts w:ascii="Times New Roman" w:hAnsi="Times New Roman" w:cs="Times New Roman"/>
          <w:sz w:val="24"/>
          <w:szCs w:val="24"/>
        </w:rPr>
        <w:t>GxE</w:t>
      </w:r>
      <w:proofErr w:type="spellEnd"/>
      <w:r>
        <w:rPr>
          <w:rFonts w:ascii="Times New Roman" w:hAnsi="Times New Roman" w:cs="Times New Roman"/>
          <w:sz w:val="24"/>
          <w:szCs w:val="24"/>
        </w:rPr>
        <w:t xml:space="preserve"> interactions via site-specific testing, understanding that there is no optimum geno</w:t>
      </w:r>
      <w:r>
        <w:rPr>
          <w:rFonts w:ascii="Times New Roman" w:hAnsi="Times New Roman" w:cs="Times New Roman"/>
          <w:sz w:val="24"/>
          <w:szCs w:val="24"/>
        </w:rPr>
        <w:t>type that would be yield-maximizing in every environment (Cooper et al., 2021).</w:t>
      </w:r>
    </w:p>
    <w:p w14:paraId="528C645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most widely used traditional methods of integrating location effects are fixed-effect modelling (location as a categorical variable) or cross-location meta-analysis. Nevertheless, these methods consider location as a confounding variable to be controll</w:t>
      </w:r>
      <w:r>
        <w:rPr>
          <w:rFonts w:ascii="Times New Roman" w:hAnsi="Times New Roman" w:cs="Times New Roman"/>
          <w:sz w:val="24"/>
          <w:szCs w:val="24"/>
        </w:rPr>
        <w:t>ed instead of information that can be used to make predictions. The idea of location-based machine learning, in which the attributes of geographic sites can affect algorithmic learning, is a change in concept. This method acknowledges that places have spec</w:t>
      </w:r>
      <w:r>
        <w:rPr>
          <w:rFonts w:ascii="Times New Roman" w:hAnsi="Times New Roman" w:cs="Times New Roman"/>
          <w:sz w:val="24"/>
          <w:szCs w:val="24"/>
        </w:rPr>
        <w:t xml:space="preserve">ial mixes of soil characteristics, climatic patterns and management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that establish place-specific decision boundaries that are learnable. Lobell et al. (2015) have shown that location-specific models are often more effective at forecasting crop y</w:t>
      </w:r>
      <w:r>
        <w:rPr>
          <w:rFonts w:ascii="Times New Roman" w:hAnsi="Times New Roman" w:cs="Times New Roman"/>
          <w:sz w:val="24"/>
          <w:szCs w:val="24"/>
        </w:rPr>
        <w:t>ields than pooled regional models, which makes sense given the importance of location-explicit ML models.</w:t>
      </w:r>
    </w:p>
    <w:p w14:paraId="6EF2C7E7"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Yield data also contain spatial autocorrelation that presents methodological challenges that have been poor in many comparative studies. </w:t>
      </w:r>
      <w:proofErr w:type="spellStart"/>
      <w:r>
        <w:rPr>
          <w:rFonts w:ascii="Times New Roman" w:hAnsi="Times New Roman" w:cs="Times New Roman"/>
          <w:sz w:val="24"/>
          <w:szCs w:val="24"/>
        </w:rPr>
        <w:t>RadoVcaj</w:t>
      </w:r>
      <w:proofErr w:type="spellEnd"/>
      <w:r>
        <w:rPr>
          <w:rFonts w:ascii="Times New Roman" w:hAnsi="Times New Roman" w:cs="Times New Roman"/>
          <w:sz w:val="24"/>
          <w:szCs w:val="24"/>
        </w:rPr>
        <w:t xml:space="preserve"> et a</w:t>
      </w:r>
      <w:r>
        <w:rPr>
          <w:rFonts w:ascii="Times New Roman" w:hAnsi="Times New Roman" w:cs="Times New Roman"/>
          <w:sz w:val="24"/>
          <w:szCs w:val="24"/>
        </w:rPr>
        <w:t>l. (2025) compared the regular and spatial cross-validation methods to yield prediction of maize subfield using Sentinel-2 phenology and found that the spatial cross-validation resulted in significantly lower accuracy estimates (reduction in R 2 of 0.27-0.</w:t>
      </w:r>
      <w:r>
        <w:rPr>
          <w:rFonts w:ascii="Times New Roman" w:hAnsi="Times New Roman" w:cs="Times New Roman"/>
          <w:sz w:val="24"/>
          <w:szCs w:val="24"/>
        </w:rPr>
        <w:t>42 across models). The artificially inflated apparent model performance is a result of this phenomenon of spatial leakage, where the training and test samples were sampled in close, spatially autocorrelated locations. However, the literature review indicat</w:t>
      </w:r>
      <w:r>
        <w:rPr>
          <w:rFonts w:ascii="Times New Roman" w:hAnsi="Times New Roman" w:cs="Times New Roman"/>
          <w:sz w:val="24"/>
          <w:szCs w:val="24"/>
        </w:rPr>
        <w:t xml:space="preserve">es that the majority of comparative studies use the random cross-validation without consideration of spatial structure or </w:t>
      </w:r>
      <w:r>
        <w:rPr>
          <w:rFonts w:ascii="Times New Roman" w:hAnsi="Times New Roman" w:cs="Times New Roman"/>
          <w:sz w:val="24"/>
          <w:szCs w:val="24"/>
        </w:rPr>
        <w:lastRenderedPageBreak/>
        <w:t>even mentioning it. This gap in methodology can overestimate the performance of generalization in the real world.</w:t>
      </w:r>
    </w:p>
    <w:p w14:paraId="72EBE8BE"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Comparison of SVM, R</w:t>
      </w:r>
      <w:r>
        <w:rPr>
          <w:rFonts w:ascii="Times New Roman" w:hAnsi="Times New Roman" w:cs="Times New Roman"/>
          <w:b/>
          <w:i/>
          <w:iCs/>
          <w:sz w:val="24"/>
          <w:szCs w:val="24"/>
        </w:rPr>
        <w:t>andom Forest and Decision Trees Performance.</w:t>
      </w:r>
    </w:p>
    <w:p w14:paraId="5F4CBCBA"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three algorithms considered in the study are the three methodological philosophies. The Support Vector Machines (SVMs) are used to execute a nonlinear regression based on the use of feature space mapping bas</w:t>
      </w:r>
      <w:r>
        <w:rPr>
          <w:rFonts w:ascii="Times New Roman" w:hAnsi="Times New Roman" w:cs="Times New Roman"/>
          <w:sz w:val="24"/>
          <w:szCs w:val="24"/>
        </w:rPr>
        <w:t>ed on a kernel, which can work very well using relatively small samples and high dimensional data sets (</w:t>
      </w:r>
      <w:proofErr w:type="spellStart"/>
      <w:r>
        <w:rPr>
          <w:rFonts w:ascii="Times New Roman" w:hAnsi="Times New Roman" w:cs="Times New Roman"/>
          <w:sz w:val="24"/>
          <w:szCs w:val="24"/>
        </w:rPr>
        <w:t>Vapnik</w:t>
      </w:r>
      <w:proofErr w:type="spellEnd"/>
      <w:r>
        <w:rPr>
          <w:rFonts w:ascii="Times New Roman" w:hAnsi="Times New Roman" w:cs="Times New Roman"/>
          <w:sz w:val="24"/>
          <w:szCs w:val="24"/>
        </w:rPr>
        <w:t xml:space="preserve">, 1995). </w:t>
      </w:r>
      <w:proofErr w:type="spellStart"/>
      <w:r>
        <w:rPr>
          <w:rFonts w:ascii="Times New Roman" w:hAnsi="Times New Roman" w:cs="Times New Roman"/>
          <w:sz w:val="24"/>
          <w:szCs w:val="24"/>
        </w:rPr>
        <w:t>Scholkopf</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Smola</w:t>
      </w:r>
      <w:proofErr w:type="spellEnd"/>
      <w:r>
        <w:rPr>
          <w:rFonts w:ascii="Times New Roman" w:hAnsi="Times New Roman" w:cs="Times New Roman"/>
          <w:sz w:val="24"/>
          <w:szCs w:val="24"/>
        </w:rPr>
        <w:t xml:space="preserve"> (2002) also proved SVM usefulness in agricultural practice, using SVMs in pest identification, crop recognition and y</w:t>
      </w:r>
      <w:r>
        <w:rPr>
          <w:rFonts w:ascii="Times New Roman" w:hAnsi="Times New Roman" w:cs="Times New Roman"/>
          <w:sz w:val="24"/>
          <w:szCs w:val="24"/>
        </w:rPr>
        <w:t>ield quality forecasting. The strengths of SVM are that it is not sensitive to outliers and has solid theoretical bases, whereas the weaknesses are that it is sensitive to hyperparameter choice, and it is expensive to compute on large datasets.</w:t>
      </w:r>
    </w:p>
    <w:p w14:paraId="1DF12794"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Random Fore</w:t>
      </w:r>
      <w:r>
        <w:rPr>
          <w:rFonts w:ascii="Times New Roman" w:hAnsi="Times New Roman" w:cs="Times New Roman"/>
          <w:sz w:val="24"/>
          <w:szCs w:val="24"/>
        </w:rPr>
        <w:t>st (RF) uses bootstrap-sampled decision trees to effect ensemble learning by averaging the trees to diminish variance and to eliminate nonlinear interactions (</w:t>
      </w: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2001). RF is capable of working with both categorical and continuous variables, is robus</w:t>
      </w:r>
      <w:r>
        <w:rPr>
          <w:rFonts w:ascii="Times New Roman" w:hAnsi="Times New Roman" w:cs="Times New Roman"/>
          <w:sz w:val="24"/>
          <w:szCs w:val="24"/>
        </w:rPr>
        <w:t>t to missing values, and offers a natural feature importance measurement using out-of-bag error reduction. These practicable benefits explain the popularity of the algorithm on the agricultural front; Sharma et al. (2025) found RF to be the most commonly u</w:t>
      </w:r>
      <w:r>
        <w:rPr>
          <w:rFonts w:ascii="Times New Roman" w:hAnsi="Times New Roman" w:cs="Times New Roman"/>
          <w:sz w:val="24"/>
          <w:szCs w:val="24"/>
        </w:rPr>
        <w:t xml:space="preserve">sed technique (23% of 87 models). On the other hand, RF is less transparent in terms of the contribution of features in the linear models and hyperparameter choices (tree depth, minimum samples per leaf) have a significant effect on performance (Hastie et </w:t>
      </w:r>
      <w:r>
        <w:rPr>
          <w:rFonts w:ascii="Times New Roman" w:hAnsi="Times New Roman" w:cs="Times New Roman"/>
          <w:sz w:val="24"/>
          <w:szCs w:val="24"/>
        </w:rPr>
        <w:t>al., 2009).</w:t>
      </w:r>
    </w:p>
    <w:p w14:paraId="478823D8"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Decision tree (DT) regression uses recursive partitioning of feature space sequentially, with maximum interpretability of explicit decision rules. Such transparency promotes communication with stakeholders and regulatory acceptance of agricultu</w:t>
      </w:r>
      <w:r>
        <w:rPr>
          <w:rFonts w:ascii="Times New Roman" w:hAnsi="Times New Roman" w:cs="Times New Roman"/>
          <w:sz w:val="24"/>
          <w:szCs w:val="24"/>
        </w:rPr>
        <w:t>ral advisory systems. Nevertheless, DTs are prone to overfitting, have reduced predictive power compared to ensemble models, and they are unstable with small data perturbations resulting in a great variance of the tree structure (</w:t>
      </w: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xml:space="preserve"> et al., 1984).</w:t>
      </w:r>
    </w:p>
    <w:p w14:paraId="4CD3EF75"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Rel</w:t>
      </w:r>
      <w:r>
        <w:rPr>
          <w:rFonts w:ascii="Times New Roman" w:hAnsi="Times New Roman" w:cs="Times New Roman"/>
          <w:sz w:val="24"/>
          <w:szCs w:val="24"/>
        </w:rPr>
        <w:t>ative comparisons display situational performance. Croci et al. (2023) tested seven maize predicted yield algorithms on Sentinel-2 phenology in Italy and found that Gaussian Process Regression was optimal (R2 0.37 at maturity), with RF and SVM values of 0.</w:t>
      </w:r>
      <w:r>
        <w:rPr>
          <w:rFonts w:ascii="Times New Roman" w:hAnsi="Times New Roman" w:cs="Times New Roman"/>
          <w:sz w:val="24"/>
          <w:szCs w:val="24"/>
        </w:rPr>
        <w:t xml:space="preserve">35-0.38. Comparing several algorithms to predict maize yield on spectral variables and irrigation management variables in Brazil, Baio et al. (2023) identified RF best, with R 2 = 0.58. Nevertheless, these studies used various datasets, preprocessing, and </w:t>
      </w:r>
      <w:r>
        <w:rPr>
          <w:rFonts w:ascii="Times New Roman" w:hAnsi="Times New Roman" w:cs="Times New Roman"/>
          <w:sz w:val="24"/>
          <w:szCs w:val="24"/>
        </w:rPr>
        <w:t>feature sets, which did not allow definite ranking of the algorithms. The heterogeneity encourages systematic comparative evaluation in monolithic experimental models.</w:t>
      </w:r>
    </w:p>
    <w:p w14:paraId="79963B1C"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Nitrogen Management, Field Spatial Structure and Feature Engineering.</w:t>
      </w:r>
    </w:p>
    <w:p w14:paraId="136698B0" w14:textId="2A6B9579"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Nitrogen (N) is th</w:t>
      </w:r>
      <w:r>
        <w:rPr>
          <w:rFonts w:ascii="Times New Roman" w:hAnsi="Times New Roman" w:cs="Times New Roman"/>
          <w:sz w:val="24"/>
          <w:szCs w:val="24"/>
        </w:rPr>
        <w:t>e yield constraining nutrient in the majority of maize production systems, and the relationships of responses are nonlinear and large variation (location) are also present (Raun and Johnson, 1999). The ideal nitrogen rates in different places differ due to</w:t>
      </w:r>
      <w:r>
        <w:rPr>
          <w:rFonts w:ascii="Times New Roman" w:hAnsi="Times New Roman" w:cs="Times New Roman"/>
          <w:sz w:val="24"/>
          <w:szCs w:val="24"/>
        </w:rPr>
        <w:t xml:space="preserve"> soil nitrogen levels, water levels and hybrid breeds and hence is a good justification to predict on a location basis. Recent studies highlight that the curves in response to nitrogen are intricate containing threshold effects, </w:t>
      </w:r>
      <w:proofErr w:type="spellStart"/>
      <w:proofErr w:type="gramStart"/>
      <w:r w:rsidR="009F18A2" w:rsidRPr="009F18A2">
        <w:rPr>
          <w:rFonts w:ascii="Times New Roman" w:hAnsi="Times New Roman" w:cs="Times New Roman"/>
          <w:sz w:val="24"/>
          <w:szCs w:val="24"/>
        </w:rPr>
        <w:t>Hiv</w:t>
      </w:r>
      <w:proofErr w:type="spellEnd"/>
      <w:r w:rsidR="009F18A2" w:rsidRPr="009F18A2">
        <w:rPr>
          <w:rFonts w:ascii="Times New Roman" w:hAnsi="Times New Roman" w:cs="Times New Roman"/>
          <w:sz w:val="24"/>
          <w:szCs w:val="24"/>
        </w:rPr>
        <w:t xml:space="preserve">  </w:t>
      </w:r>
      <w:proofErr w:type="spellStart"/>
      <w:r>
        <w:rPr>
          <w:rFonts w:ascii="Times New Roman" w:hAnsi="Times New Roman" w:cs="Times New Roman"/>
          <w:sz w:val="24"/>
          <w:szCs w:val="24"/>
        </w:rPr>
        <w:t>aus</w:t>
      </w:r>
      <w:proofErr w:type="spellEnd"/>
      <w:proofErr w:type="gramEnd"/>
      <w:r>
        <w:rPr>
          <w:rFonts w:ascii="Times New Roman" w:hAnsi="Times New Roman" w:cs="Times New Roman"/>
          <w:sz w:val="24"/>
          <w:szCs w:val="24"/>
        </w:rPr>
        <w:t>, and possible nega</w:t>
      </w:r>
      <w:r>
        <w:rPr>
          <w:rFonts w:ascii="Times New Roman" w:hAnsi="Times New Roman" w:cs="Times New Roman"/>
          <w:sz w:val="24"/>
          <w:szCs w:val="24"/>
        </w:rPr>
        <w:t>tive responses at exorbitant application rates that cannot be explained by simple linear models (</w:t>
      </w:r>
      <w:proofErr w:type="spellStart"/>
      <w:r>
        <w:rPr>
          <w:rFonts w:ascii="Times New Roman" w:hAnsi="Times New Roman" w:cs="Times New Roman"/>
          <w:sz w:val="24"/>
          <w:szCs w:val="24"/>
        </w:rPr>
        <w:t>Archontoulis</w:t>
      </w:r>
      <w:proofErr w:type="spellEnd"/>
      <w:r>
        <w:rPr>
          <w:rFonts w:ascii="Times New Roman" w:hAnsi="Times New Roman" w:cs="Times New Roman"/>
          <w:sz w:val="24"/>
          <w:szCs w:val="24"/>
        </w:rPr>
        <w:t xml:space="preserve"> et al., 2020). Such nonlinearities are easy to deal </w:t>
      </w:r>
      <w:r>
        <w:rPr>
          <w:rFonts w:ascii="Times New Roman" w:hAnsi="Times New Roman" w:cs="Times New Roman"/>
          <w:sz w:val="24"/>
          <w:szCs w:val="24"/>
        </w:rPr>
        <w:lastRenderedPageBreak/>
        <w:t>with through machine learning techniques, which may yield better nitrogen management advice co</w:t>
      </w:r>
      <w:r>
        <w:rPr>
          <w:rFonts w:ascii="Times New Roman" w:hAnsi="Times New Roman" w:cs="Times New Roman"/>
          <w:sz w:val="24"/>
          <w:szCs w:val="24"/>
        </w:rPr>
        <w:t>mpared to standard regression equations.</w:t>
      </w:r>
    </w:p>
    <w:p w14:paraId="61FC409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plot positioning of experimental fields, known as field spatial structure, brings systematic variation in the form of management gradients, soil heterogeneity and microclimate. Geographical characteristics, such</w:t>
      </w:r>
      <w:r>
        <w:rPr>
          <w:rFonts w:ascii="Times New Roman" w:hAnsi="Times New Roman" w:cs="Times New Roman"/>
          <w:sz w:val="24"/>
          <w:szCs w:val="24"/>
        </w:rPr>
        <w:t xml:space="preserve"> as the row location and column location, are often strong predictors of analysis on the field level (Krause et al., 2020). The use of the row and range variables as explicit predictors in the current study acknowledges that the spatial position provides i</w:t>
      </w:r>
      <w:r>
        <w:rPr>
          <w:rFonts w:ascii="Times New Roman" w:hAnsi="Times New Roman" w:cs="Times New Roman"/>
          <w:sz w:val="24"/>
          <w:szCs w:val="24"/>
        </w:rPr>
        <w:t>nformation about the soil based and management induced heterogeneity that can be learnt by an algorithm.</w:t>
      </w:r>
    </w:p>
    <w:p w14:paraId="254805CE"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Strategies of feature engineering can have a significant impact on the performance of ML. According to Sharma et al. (2025), temperature (44 </w:t>
      </w:r>
      <w:r>
        <w:rPr>
          <w:rFonts w:ascii="Times New Roman" w:hAnsi="Times New Roman" w:cs="Times New Roman"/>
          <w:sz w:val="24"/>
          <w:szCs w:val="24"/>
        </w:rPr>
        <w:t>occurrences), precipitation (30), historical yield (19), NDVI (18), and soil pH (16) were the most commonly used features in the reviewed literature. Composite indices such as Soil Fertility Index (SFI), Growing Degree Days (GDD), and Water Stress Index (W</w:t>
      </w:r>
      <w:r>
        <w:rPr>
          <w:rFonts w:ascii="Times New Roman" w:hAnsi="Times New Roman" w:cs="Times New Roman"/>
          <w:sz w:val="24"/>
          <w:szCs w:val="24"/>
        </w:rPr>
        <w:t>SI) utilize agronomically relevant mixtures of raw variables to improve the performance of the models (Abbasi et al., 2025). Abbasi et al. (2025) showed that SFI, GDD, and cumulative rainfall were the most significant variables in the forecast of maize bio</w:t>
      </w:r>
      <w:r>
        <w:rPr>
          <w:rFonts w:ascii="Times New Roman" w:hAnsi="Times New Roman" w:cs="Times New Roman"/>
          <w:sz w:val="24"/>
          <w:szCs w:val="24"/>
        </w:rPr>
        <w:t>mass yield with GBM and ensemble models having RMSE 0.80-0.82 t/ha and R2 0.88-0.89</w:t>
      </w:r>
    </w:p>
    <w:p w14:paraId="571374D8" w14:textId="77777777" w:rsidR="005B7CDF" w:rsidRDefault="00B15BF6">
      <w:pPr>
        <w:spacing w:line="240" w:lineRule="auto"/>
        <w:jc w:val="both"/>
        <w:rPr>
          <w:rFonts w:ascii="Times New Roman" w:hAnsi="Times New Roman" w:cs="Times New Roman"/>
          <w:i/>
          <w:iCs/>
          <w:sz w:val="24"/>
          <w:szCs w:val="24"/>
        </w:rPr>
      </w:pPr>
      <w:r>
        <w:rPr>
          <w:rFonts w:ascii="Times New Roman" w:hAnsi="Times New Roman" w:cs="Times New Roman"/>
          <w:b/>
          <w:i/>
          <w:iCs/>
          <w:sz w:val="24"/>
          <w:szCs w:val="24"/>
        </w:rPr>
        <w:t>Limitations of Existing Approaches and Methodological Gaps</w:t>
      </w:r>
    </w:p>
    <w:p w14:paraId="20766779"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There are critical limitations that run across existing comparative yield prediction research. First, there are a</w:t>
      </w:r>
      <w:r>
        <w:rPr>
          <w:rFonts w:ascii="Times New Roman" w:hAnsi="Times New Roman" w:cs="Times New Roman"/>
          <w:sz w:val="24"/>
          <w:szCs w:val="24"/>
        </w:rPr>
        <w:t>lways challenges of heterogeneity and quality of data. Sharma et al. (2025) stated that data quantity, quality, and availability were the main issues raised in reviewed studies. Missing data and measurement imprecision as well as uneven data collection pro</w:t>
      </w:r>
      <w:r>
        <w:rPr>
          <w:rFonts w:ascii="Times New Roman" w:hAnsi="Times New Roman" w:cs="Times New Roman"/>
          <w:sz w:val="24"/>
          <w:szCs w:val="24"/>
        </w:rPr>
        <w:t>cedures make development of the model harder. Second, the complexity of model management is not properly taken care of; because of the nonparametric character of ensemble and deep learning techniques, the prediction systems become black-boxes, the stakehol</w:t>
      </w:r>
      <w:r>
        <w:rPr>
          <w:rFonts w:ascii="Times New Roman" w:hAnsi="Times New Roman" w:cs="Times New Roman"/>
          <w:sz w:val="24"/>
          <w:szCs w:val="24"/>
        </w:rPr>
        <w:t>ders of which are not easily explainable (Paudel et al., 2023). Third, an irregular validation procedure also hinders cross-study comparison; researchers use different train-test ratios (50-90% training), cross-validation folds (5-10), and performance meas</w:t>
      </w:r>
      <w:r>
        <w:rPr>
          <w:rFonts w:ascii="Times New Roman" w:hAnsi="Times New Roman" w:cs="Times New Roman"/>
          <w:sz w:val="24"/>
          <w:szCs w:val="24"/>
        </w:rPr>
        <w:t>ures, making it challenging to determine actual algorithm differences.</w:t>
      </w:r>
    </w:p>
    <w:p w14:paraId="796C6119"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Fourth, the limitation of applicability of the model is geographic specificity and transferability. The majority of studies concentrate on particular areas or small geographic targets o</w:t>
      </w:r>
      <w:r>
        <w:rPr>
          <w:rFonts w:ascii="Times New Roman" w:hAnsi="Times New Roman" w:cs="Times New Roman"/>
          <w:sz w:val="24"/>
          <w:szCs w:val="24"/>
        </w:rPr>
        <w:t xml:space="preserve">f the study that do not provide an evaluation of generalization. Comparing model validation of 15 soybean fields, </w:t>
      </w:r>
      <w:proofErr w:type="spellStart"/>
      <w:r>
        <w:rPr>
          <w:rFonts w:ascii="Times New Roman" w:hAnsi="Times New Roman" w:cs="Times New Roman"/>
          <w:sz w:val="24"/>
          <w:szCs w:val="24"/>
        </w:rPr>
        <w:t>Crusiol</w:t>
      </w:r>
      <w:proofErr w:type="spellEnd"/>
      <w:r>
        <w:rPr>
          <w:rFonts w:ascii="Times New Roman" w:hAnsi="Times New Roman" w:cs="Times New Roman"/>
          <w:sz w:val="24"/>
          <w:szCs w:val="24"/>
        </w:rPr>
        <w:t xml:space="preserve"> et al. (2022) observed global model R 2 0.82 but field-specific R 2 0.32, showing significant transferability problems. Fifth, poor in</w:t>
      </w:r>
      <w:r>
        <w:rPr>
          <w:rFonts w:ascii="Times New Roman" w:hAnsi="Times New Roman" w:cs="Times New Roman"/>
          <w:sz w:val="24"/>
          <w:szCs w:val="24"/>
        </w:rPr>
        <w:t>tegration of spatial structure in validation is also a very serious methodological deficiency. Random cross-validation overstates performance estimates by means of spatial leakage (</w:t>
      </w:r>
      <w:proofErr w:type="spellStart"/>
      <w:r>
        <w:rPr>
          <w:rFonts w:ascii="Times New Roman" w:hAnsi="Times New Roman" w:cs="Times New Roman"/>
          <w:sz w:val="24"/>
          <w:szCs w:val="24"/>
        </w:rPr>
        <w:t>RadoVcaj</w:t>
      </w:r>
      <w:proofErr w:type="spellEnd"/>
      <w:r>
        <w:rPr>
          <w:rFonts w:ascii="Times New Roman" w:hAnsi="Times New Roman" w:cs="Times New Roman"/>
          <w:sz w:val="24"/>
          <w:szCs w:val="24"/>
        </w:rPr>
        <w:t xml:space="preserve"> et al., 2025; Roberts et al., 2017). Sixth, a lack of agronomic kn</w:t>
      </w:r>
      <w:r>
        <w:rPr>
          <w:rFonts w:ascii="Times New Roman" w:hAnsi="Times New Roman" w:cs="Times New Roman"/>
          <w:sz w:val="24"/>
          <w:szCs w:val="24"/>
        </w:rPr>
        <w:t>owledge integration into MLs is still prevalent; as feature engineering has become advanced, the systematic integration of physiological restrictions, crop growth models and management thresholds is still underdeveloped.</w:t>
      </w:r>
    </w:p>
    <w:p w14:paraId="798F1E90" w14:textId="77777777" w:rsidR="00AC6C75" w:rsidRDefault="00AC6C75">
      <w:pPr>
        <w:spacing w:line="240" w:lineRule="auto"/>
        <w:jc w:val="both"/>
        <w:rPr>
          <w:rFonts w:ascii="Times New Roman" w:hAnsi="Times New Roman" w:cs="Times New Roman"/>
          <w:sz w:val="24"/>
          <w:szCs w:val="24"/>
        </w:rPr>
      </w:pPr>
    </w:p>
    <w:p w14:paraId="16355FCE" w14:textId="1398CCC8" w:rsidR="00AC6C75" w:rsidRPr="00AC6C75" w:rsidRDefault="00AC6C75">
      <w:pPr>
        <w:spacing w:line="240" w:lineRule="auto"/>
        <w:jc w:val="both"/>
        <w:rPr>
          <w:rFonts w:ascii="Times New Roman" w:hAnsi="Times New Roman" w:cs="Times New Roman"/>
          <w:b/>
          <w:bCs/>
          <w:sz w:val="24"/>
          <w:szCs w:val="24"/>
        </w:rPr>
      </w:pPr>
      <w:r w:rsidRPr="00AC6C75">
        <w:rPr>
          <w:rFonts w:ascii="Times New Roman" w:hAnsi="Times New Roman" w:cs="Times New Roman"/>
          <w:b/>
          <w:bCs/>
          <w:sz w:val="24"/>
          <w:szCs w:val="24"/>
        </w:rPr>
        <w:t>Methodology</w:t>
      </w:r>
    </w:p>
    <w:p w14:paraId="4DD5FB9C" w14:textId="77777777" w:rsidR="005B7CDF" w:rsidRDefault="005B7CDF">
      <w:pPr>
        <w:spacing w:line="240" w:lineRule="auto"/>
        <w:jc w:val="both"/>
        <w:rPr>
          <w:rFonts w:ascii="Times New Roman" w:hAnsi="Times New Roman" w:cs="Times New Roman"/>
          <w:sz w:val="24"/>
          <w:szCs w:val="24"/>
        </w:rPr>
      </w:pPr>
    </w:p>
    <w:p w14:paraId="25226F82"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Positioning </w:t>
      </w:r>
      <w:r>
        <w:rPr>
          <w:rFonts w:ascii="Times New Roman" w:hAnsi="Times New Roman" w:cs="Times New Roman"/>
          <w:b/>
          <w:sz w:val="24"/>
          <w:szCs w:val="24"/>
        </w:rPr>
        <w:t>and Justification of the Studies.</w:t>
      </w:r>
    </w:p>
    <w:p w14:paraId="351C8DE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It is the focus of this study to fill these documented gaps using a number of innovations in methods. First, it performs a stern comparative analysis of SVM, Random Forest, and Decision Tree algorithms and under same proto</w:t>
      </w:r>
      <w:r>
        <w:rPr>
          <w:rFonts w:ascii="Times New Roman" w:hAnsi="Times New Roman" w:cs="Times New Roman"/>
          <w:sz w:val="24"/>
          <w:szCs w:val="24"/>
        </w:rPr>
        <w:t>cols, identical data processing and identical evaluation metrics in four geographically different locations in the U.S. Second, the paper clearly considers location as dynamic predictors but not stratification variable, which allows to evaluate location-ba</w:t>
      </w:r>
      <w:r>
        <w:rPr>
          <w:rFonts w:ascii="Times New Roman" w:hAnsi="Times New Roman" w:cs="Times New Roman"/>
          <w:sz w:val="24"/>
          <w:szCs w:val="24"/>
        </w:rPr>
        <w:t>sed algorithmic learning. Third, it assesses the model interpretability and accuracy by using variables importance analysis. Fourth, the research considers and takes into account matters of spatial structure in validation design. These contributions made t</w:t>
      </w:r>
      <w:r>
        <w:rPr>
          <w:rFonts w:ascii="Times New Roman" w:hAnsi="Times New Roman" w:cs="Times New Roman"/>
          <w:sz w:val="24"/>
          <w:szCs w:val="24"/>
        </w:rPr>
        <w:t>he research to be on the junction of comparative ML methodology and precision agriculture application, which offers evidence-based advice on the choice of algorithms in location-based yield prediction systems.</w:t>
      </w:r>
    </w:p>
    <w:p w14:paraId="237D32FC"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Study Design and Research Framework</w:t>
      </w:r>
    </w:p>
    <w:p w14:paraId="1519B362"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This exper</w:t>
      </w:r>
      <w:r>
        <w:rPr>
          <w:rFonts w:ascii="Times New Roman" w:hAnsi="Times New Roman" w:cs="Times New Roman"/>
          <w:sz w:val="24"/>
          <w:szCs w:val="24"/>
        </w:rPr>
        <w:t>iment uses the comparative machine learning model of Support Vector Machine (SVM), Random Forest (RF), and Decision Tree (DT) regression models to predict plot-level maize yield in four geographically diverse Corn Belt regions of the U.S. The comparative a</w:t>
      </w:r>
      <w:r>
        <w:rPr>
          <w:rFonts w:ascii="Times New Roman" w:hAnsi="Times New Roman" w:cs="Times New Roman"/>
          <w:sz w:val="24"/>
          <w:szCs w:val="24"/>
        </w:rPr>
        <w:t>pproach is also explained by the fact that there is no universal algorithm that is superior to the others in terms of its application in agricultural usage; depending on the specifics of the dataset and the needs to interpret it, the choice of an algorithm</w:t>
      </w:r>
      <w:r>
        <w:rPr>
          <w:rFonts w:ascii="Times New Roman" w:hAnsi="Times New Roman" w:cs="Times New Roman"/>
          <w:sz w:val="24"/>
          <w:szCs w:val="24"/>
        </w:rPr>
        <w:t xml:space="preserve"> depends (Liakos et al., 2018). The three techniques can be seen as a continuum between open tree-based techniques and kernel techniques with which complexity-accuracy </w:t>
      </w:r>
      <w:proofErr w:type="spellStart"/>
      <w:r>
        <w:rPr>
          <w:rFonts w:ascii="Times New Roman" w:hAnsi="Times New Roman" w:cs="Times New Roman"/>
          <w:sz w:val="24"/>
          <w:szCs w:val="24"/>
        </w:rPr>
        <w:t>tradeoffs</w:t>
      </w:r>
      <w:proofErr w:type="spellEnd"/>
      <w:r>
        <w:rPr>
          <w:rFonts w:ascii="Times New Roman" w:hAnsi="Times New Roman" w:cs="Times New Roman"/>
          <w:sz w:val="24"/>
          <w:szCs w:val="24"/>
        </w:rPr>
        <w:t xml:space="preserve"> can be evaluated.</w:t>
      </w:r>
    </w:p>
    <w:p w14:paraId="1603752B"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Data Set and Geographic Location.</w:t>
      </w:r>
    </w:p>
    <w:p w14:paraId="1DB2BFCD"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Publicly available data of Shrestha et al., (2023) was used for the study. Shrestha et al., (2023) collected the data using multistate maize field trials in Ames (Iowa), Missouri Valley (Iowa), Crawfordsville (Indiana), and Lincoln (Nebraska). Even though </w:t>
      </w:r>
      <w:r>
        <w:rPr>
          <w:rFonts w:ascii="Times New Roman" w:hAnsi="Times New Roman" w:cs="Times New Roman"/>
          <w:sz w:val="24"/>
          <w:szCs w:val="24"/>
        </w:rPr>
        <w:t>the initial network consisted of six sites, this analysis involved four representative sites that were separated by approximately 250 km, which covers a geographic range in terms of soil, climate, and management options. The presence of more than one locat</w:t>
      </w:r>
      <w:r>
        <w:rPr>
          <w:rFonts w:ascii="Times New Roman" w:hAnsi="Times New Roman" w:cs="Times New Roman"/>
          <w:sz w:val="24"/>
          <w:szCs w:val="24"/>
        </w:rPr>
        <w:t xml:space="preserve">ion facilitates construction of environment-generalizable models, which is one of the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aims of precision agriculture (Lobell et al., 2015). Each of the experimental units corresponded to one four-row plot with a given hybrid genotype with nitrogen contr</w:t>
      </w:r>
      <w:r>
        <w:rPr>
          <w:rFonts w:ascii="Times New Roman" w:hAnsi="Times New Roman" w:cs="Times New Roman"/>
          <w:sz w:val="24"/>
          <w:szCs w:val="24"/>
        </w:rPr>
        <w:t>ol. The quality screened analytical dataset consisted of 1,640 complete plot-level observations of 80+ maize hybrids.</w:t>
      </w:r>
    </w:p>
    <w:p w14:paraId="6D74D265"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Response Variable</w:t>
      </w:r>
    </w:p>
    <w:p w14:paraId="35B84C00"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Dependent variable was yield </w:t>
      </w:r>
      <w:proofErr w:type="spellStart"/>
      <w:r>
        <w:rPr>
          <w:rFonts w:ascii="Times New Roman" w:hAnsi="Times New Roman" w:cs="Times New Roman"/>
          <w:sz w:val="24"/>
          <w:szCs w:val="24"/>
        </w:rPr>
        <w:t>perAcre</w:t>
      </w:r>
      <w:proofErr w:type="spellEnd"/>
      <w:r>
        <w:rPr>
          <w:rFonts w:ascii="Times New Roman" w:hAnsi="Times New Roman" w:cs="Times New Roman"/>
          <w:sz w:val="24"/>
          <w:szCs w:val="24"/>
        </w:rPr>
        <w:t>, which is grain yield adjusted to 15.5% moisture content and was in bushel per acre</w:t>
      </w:r>
      <w:r>
        <w:rPr>
          <w:rFonts w:ascii="Times New Roman" w:hAnsi="Times New Roman" w:cs="Times New Roman"/>
          <w:sz w:val="24"/>
          <w:szCs w:val="24"/>
        </w:rPr>
        <w:t>. Standardization guarantees that there is similarity among the different locations and seasons because the moisture of the grains at the harvest is affected by the genotype and the environment (Westgate and Boyer, 1985). The analysis unit of plot-level yi</w:t>
      </w:r>
      <w:r>
        <w:rPr>
          <w:rFonts w:ascii="Times New Roman" w:hAnsi="Times New Roman" w:cs="Times New Roman"/>
          <w:sz w:val="24"/>
          <w:szCs w:val="24"/>
        </w:rPr>
        <w:t>eld has been chosen instead of field aggregates, which would offer the greatest statistical power and capture the variation needed to optimize genotype-specific agronomic (Cooper et al., 2021).</w:t>
      </w:r>
    </w:p>
    <w:p w14:paraId="7A4877A2"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Predictor Variables</w:t>
      </w:r>
    </w:p>
    <w:p w14:paraId="492287AC"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Five predictors were used in the model </w:t>
      </w:r>
      <w:r>
        <w:rPr>
          <w:rFonts w:ascii="Times New Roman" w:hAnsi="Times New Roman" w:cs="Times New Roman"/>
          <w:sz w:val="24"/>
          <w:szCs w:val="24"/>
        </w:rPr>
        <w:t>that included agronomic, genetic and spatial dimensions. Fertilizer intensity is Nitrogen application (</w:t>
      </w:r>
      <w:proofErr w:type="spellStart"/>
      <w:r>
        <w:rPr>
          <w:rFonts w:ascii="Times New Roman" w:hAnsi="Times New Roman" w:cs="Times New Roman"/>
          <w:sz w:val="24"/>
          <w:szCs w:val="24"/>
        </w:rPr>
        <w:t>poundsOfNitrogenPerAcre</w:t>
      </w:r>
      <w:proofErr w:type="spellEnd"/>
      <w:r>
        <w:rPr>
          <w:rFonts w:ascii="Times New Roman" w:hAnsi="Times New Roman" w:cs="Times New Roman"/>
          <w:sz w:val="24"/>
          <w:szCs w:val="24"/>
        </w:rPr>
        <w:t xml:space="preserve">), which is a response to nitrogen, which usually inhibits maize yield in a nonlinear relationship (Raun and Johnson, 1999). </w:t>
      </w:r>
      <w:r>
        <w:rPr>
          <w:rFonts w:ascii="Times New Roman" w:hAnsi="Times New Roman" w:cs="Times New Roman"/>
          <w:sz w:val="24"/>
          <w:szCs w:val="24"/>
        </w:rPr>
        <w:lastRenderedPageBreak/>
        <w:t>Genot</w:t>
      </w:r>
      <w:r>
        <w:rPr>
          <w:rFonts w:ascii="Times New Roman" w:hAnsi="Times New Roman" w:cs="Times New Roman"/>
          <w:sz w:val="24"/>
          <w:szCs w:val="24"/>
        </w:rPr>
        <w:t>ype is the difference in hybrid varieties; the estimates of hereditability are expected to fall between 0.4-0.7 (Hallauer and Miranda, 1988). Location is used to represent trial site, which is a proxy of environmental variation. Row and row are the plot lo</w:t>
      </w:r>
      <w:r>
        <w:rPr>
          <w:rFonts w:ascii="Times New Roman" w:hAnsi="Times New Roman" w:cs="Times New Roman"/>
          <w:sz w:val="24"/>
          <w:szCs w:val="24"/>
        </w:rPr>
        <w:t>cations in the field grids, which measures micro-spatial diversity due to the heterogeneity in the soils and the management gradient (Viscarra Rossel et al., 2016).</w:t>
      </w:r>
    </w:p>
    <w:p w14:paraId="4CBBBB35"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Data Pre-processing and Feature Engineering</w:t>
      </w:r>
    </w:p>
    <w:p w14:paraId="5909C568" w14:textId="77777777" w:rsidR="005B7CDF" w:rsidRDefault="00B15BF6">
      <w:pPr>
        <w:spacing w:before="100" w:beforeAutospacing="1" w:after="100" w:afterAutospacing="1" w:line="240" w:lineRule="auto"/>
        <w:jc w:val="both"/>
        <w:outlineLvl w:val="2"/>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Data Cleaning</w:t>
      </w:r>
    </w:p>
    <w:p w14:paraId="66E708DC"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Raw data, that was loaded in exce</w:t>
      </w:r>
      <w:r>
        <w:rPr>
          <w:rFonts w:ascii="Times New Roman" w:hAnsi="Times New Roman" w:cs="Times New Roman"/>
          <w:sz w:val="24"/>
          <w:szCs w:val="24"/>
        </w:rPr>
        <w:t>l sheets, was subjected to systematic quality evaluation. The absence of values and non-numeric data were recognized and deletions of observations of incomplete records were performed through the listwise deletion, which is a conservative method in the del</w:t>
      </w:r>
      <w:r>
        <w:rPr>
          <w:rFonts w:ascii="Times New Roman" w:hAnsi="Times New Roman" w:cs="Times New Roman"/>
          <w:sz w:val="24"/>
          <w:szCs w:val="24"/>
        </w:rPr>
        <w:t>etion of missing data when missing data is less than one out of ten observations and can be estimated to be deleted haphazardly (Little and Rubin, 2002). The resulting dataset had 1,640 observations (99.9% of the initial) and statistically significant abil</w:t>
      </w:r>
      <w:r>
        <w:rPr>
          <w:rFonts w:ascii="Times New Roman" w:hAnsi="Times New Roman" w:cs="Times New Roman"/>
          <w:sz w:val="24"/>
          <w:szCs w:val="24"/>
        </w:rPr>
        <w:t>ity was retained.</w:t>
      </w:r>
    </w:p>
    <w:p w14:paraId="484BD735"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Categorical Encoding</w:t>
      </w:r>
    </w:p>
    <w:p w14:paraId="208BECB0"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Factor encoding was used to encode genotype and location variables into </w:t>
      </w:r>
      <w:proofErr w:type="spellStart"/>
      <w:r>
        <w:rPr>
          <w:rFonts w:ascii="Times New Roman" w:hAnsi="Times New Roman" w:cs="Times New Roman"/>
          <w:sz w:val="24"/>
          <w:szCs w:val="24"/>
        </w:rPr>
        <w:t>numerics</w:t>
      </w:r>
      <w:proofErr w:type="spellEnd"/>
      <w:r>
        <w:rPr>
          <w:rFonts w:ascii="Times New Roman" w:hAnsi="Times New Roman" w:cs="Times New Roman"/>
          <w:sz w:val="24"/>
          <w:szCs w:val="24"/>
        </w:rPr>
        <w:t>. The genotypes were assigned unique identifier (</w:t>
      </w:r>
      <w:proofErr w:type="spellStart"/>
      <w:r>
        <w:rPr>
          <w:rFonts w:ascii="Times New Roman" w:hAnsi="Times New Roman" w:cs="Times New Roman"/>
          <w:sz w:val="24"/>
          <w:szCs w:val="24"/>
        </w:rPr>
        <w:t>genotypeid</w:t>
      </w:r>
      <w:proofErr w:type="spellEnd"/>
      <w:r>
        <w:rPr>
          <w:rFonts w:ascii="Times New Roman" w:hAnsi="Times New Roman" w:cs="Times New Roman"/>
          <w:sz w:val="24"/>
          <w:szCs w:val="24"/>
        </w:rPr>
        <w:t xml:space="preserve">: 1-80) and the sites a </w:t>
      </w:r>
      <w:proofErr w:type="spellStart"/>
      <w:r>
        <w:rPr>
          <w:rFonts w:ascii="Times New Roman" w:hAnsi="Times New Roman" w:cs="Times New Roman"/>
          <w:sz w:val="24"/>
          <w:szCs w:val="24"/>
        </w:rPr>
        <w:t>locationid</w:t>
      </w:r>
      <w:proofErr w:type="spellEnd"/>
      <w:r>
        <w:rPr>
          <w:rFonts w:ascii="Times New Roman" w:hAnsi="Times New Roman" w:cs="Times New Roman"/>
          <w:sz w:val="24"/>
          <w:szCs w:val="24"/>
        </w:rPr>
        <w:t xml:space="preserve"> (1-4). To reduce computation costs, ordinal</w:t>
      </w:r>
      <w:r>
        <w:rPr>
          <w:rFonts w:ascii="Times New Roman" w:hAnsi="Times New Roman" w:cs="Times New Roman"/>
          <w:sz w:val="24"/>
          <w:szCs w:val="24"/>
        </w:rPr>
        <w:t xml:space="preserve"> encoding was chosen instead of dummy variables due to the fact most algorithms can natively support numeric categorical variables at reduced computation costs (Caruana and Niculescu-Mizil, 2006).</w:t>
      </w:r>
    </w:p>
    <w:p w14:paraId="3303ED03"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Feature Standardization</w:t>
      </w:r>
    </w:p>
    <w:p w14:paraId="38A85419"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Nitrogen, row and range were contin</w:t>
      </w:r>
      <w:r>
        <w:rPr>
          <w:rFonts w:ascii="Times New Roman" w:hAnsi="Times New Roman" w:cs="Times New Roman"/>
          <w:sz w:val="24"/>
          <w:szCs w:val="24"/>
        </w:rPr>
        <w:t>uous predictors that were normalized by z-score normalization (x - mean) / SD to give standard mean and unit variance. Theoretically, distance-based algorithms (particularly SVM) require this preprocessing since unstandardized features with huge variance u</w:t>
      </w:r>
      <w:r>
        <w:rPr>
          <w:rFonts w:ascii="Times New Roman" w:hAnsi="Times New Roman" w:cs="Times New Roman"/>
          <w:sz w:val="24"/>
          <w:szCs w:val="24"/>
        </w:rPr>
        <w:t>nnaturally blow out the objective function (</w:t>
      </w:r>
      <w:proofErr w:type="spellStart"/>
      <w:r>
        <w:rPr>
          <w:rFonts w:ascii="Times New Roman" w:hAnsi="Times New Roman" w:cs="Times New Roman"/>
          <w:sz w:val="24"/>
          <w:szCs w:val="24"/>
        </w:rPr>
        <w:t>Scholkopf</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Smola</w:t>
      </w:r>
      <w:proofErr w:type="spellEnd"/>
      <w:r>
        <w:rPr>
          <w:rFonts w:ascii="Times New Roman" w:hAnsi="Times New Roman" w:cs="Times New Roman"/>
          <w:sz w:val="24"/>
          <w:szCs w:val="24"/>
        </w:rPr>
        <w:t xml:space="preserve">, 2002). More importantly, scaling parameters were only estimated on training data and applied to test data thereby avoiding information leakage that would overestimate apparent generalization </w:t>
      </w:r>
      <w:r>
        <w:rPr>
          <w:rFonts w:ascii="Times New Roman" w:hAnsi="Times New Roman" w:cs="Times New Roman"/>
          <w:sz w:val="24"/>
          <w:szCs w:val="24"/>
        </w:rPr>
        <w:t>performance (Cawley and Talbot, 2010).</w:t>
      </w:r>
    </w:p>
    <w:p w14:paraId="2CAF0BEA"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Training and Testing Partition</w:t>
      </w:r>
    </w:p>
    <w:p w14:paraId="5268D8C3"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All data was partitioned randomly into the training (70 out of 1148) and the testing (30 out of 492) subsets with reproducible seed 123. Location stratification was used to provide propo</w:t>
      </w:r>
      <w:r>
        <w:rPr>
          <w:rFonts w:ascii="Times New Roman" w:hAnsi="Times New Roman" w:cs="Times New Roman"/>
          <w:sz w:val="24"/>
          <w:szCs w:val="24"/>
        </w:rPr>
        <w:t>rtional representation of all the field environments in the two subsets. This division barricades the optimistic bias on data of training (Efron and Gong, 1983). All measures reported were calculated using test data only.</w:t>
      </w:r>
    </w:p>
    <w:p w14:paraId="1B5098FE" w14:textId="77777777" w:rsidR="005B7CDF" w:rsidRDefault="00B15BF6">
      <w:pPr>
        <w:rPr>
          <w:rFonts w:ascii="Times New Roman" w:hAnsi="Times New Roman" w:cs="Times New Roman"/>
          <w:sz w:val="24"/>
          <w:szCs w:val="24"/>
        </w:rPr>
      </w:pPr>
      <w:r>
        <w:rPr>
          <w:rFonts w:ascii="Times New Roman" w:hAnsi="Times New Roman" w:cs="Times New Roman"/>
          <w:sz w:val="24"/>
          <w:szCs w:val="24"/>
        </w:rPr>
        <w:br w:type="page"/>
      </w:r>
    </w:p>
    <w:p w14:paraId="7E0A0E2E"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Machine Learning Models</w:t>
      </w:r>
    </w:p>
    <w:p w14:paraId="62CEE69B" w14:textId="77777777" w:rsidR="005B7CDF" w:rsidRDefault="00B15BF6">
      <w:pPr>
        <w:spacing w:before="100" w:beforeAutospacing="1" w:after="100" w:afterAutospacing="1" w:line="240" w:lineRule="auto"/>
        <w:jc w:val="both"/>
        <w:outlineLvl w:val="2"/>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 xml:space="preserve">Support </w:t>
      </w:r>
      <w:r>
        <w:rPr>
          <w:rFonts w:ascii="Times New Roman" w:eastAsia="Times New Roman" w:hAnsi="Times New Roman" w:cs="Times New Roman"/>
          <w:b/>
          <w:bCs/>
          <w:i/>
          <w:iCs/>
          <w:sz w:val="24"/>
          <w:szCs w:val="24"/>
          <w:lang w:eastAsia="en-GB"/>
        </w:rPr>
        <w:t>Vector Machine Regression</w:t>
      </w:r>
    </w:p>
    <w:p w14:paraId="3671B7BA"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Radial basis function (RBF) kernel SVR transforms features into high-dimensional space and linear regression represents nonlinear relationships. RBF kernel uses the similarity which is computed using the Euclidean distance and giv</w:t>
      </w:r>
      <w:r>
        <w:rPr>
          <w:rFonts w:ascii="Times New Roman" w:hAnsi="Times New Roman" w:cs="Times New Roman"/>
          <w:sz w:val="24"/>
          <w:szCs w:val="24"/>
        </w:rPr>
        <w:t>ing greater weight to the similar observations closer to each other in feature space, and this basically captures the local trends among nitrogen, genotype, location and yield (</w:t>
      </w:r>
      <w:proofErr w:type="spellStart"/>
      <w:r>
        <w:rPr>
          <w:rFonts w:ascii="Times New Roman" w:hAnsi="Times New Roman" w:cs="Times New Roman"/>
          <w:sz w:val="24"/>
          <w:szCs w:val="24"/>
        </w:rPr>
        <w:t>Scholkopf</w:t>
      </w:r>
      <w:proofErr w:type="spellEnd"/>
      <w:r>
        <w:rPr>
          <w:rFonts w:ascii="Times New Roman" w:hAnsi="Times New Roman" w:cs="Times New Roman"/>
          <w:sz w:val="24"/>
          <w:szCs w:val="24"/>
        </w:rPr>
        <w:t xml:space="preserve"> et al., 1997). The epsilon-insensitive loss function is also able to </w:t>
      </w:r>
      <w:r>
        <w:rPr>
          <w:rFonts w:ascii="Times New Roman" w:hAnsi="Times New Roman" w:cs="Times New Roman"/>
          <w:sz w:val="24"/>
          <w:szCs w:val="24"/>
        </w:rPr>
        <w:t>tolerate small deviations but is resistant to small measurement noise that can also occur in field experiments (</w:t>
      </w:r>
      <w:proofErr w:type="spellStart"/>
      <w:r>
        <w:rPr>
          <w:rFonts w:ascii="Times New Roman" w:hAnsi="Times New Roman" w:cs="Times New Roman"/>
          <w:sz w:val="24"/>
          <w:szCs w:val="24"/>
        </w:rPr>
        <w:t>Vapnik</w:t>
      </w:r>
      <w:proofErr w:type="spellEnd"/>
      <w:r>
        <w:rPr>
          <w:rFonts w:ascii="Times New Roman" w:hAnsi="Times New Roman" w:cs="Times New Roman"/>
          <w:sz w:val="24"/>
          <w:szCs w:val="24"/>
        </w:rPr>
        <w:t>, 1995). Training was done when all predictors were standardized.</w:t>
      </w:r>
    </w:p>
    <w:p w14:paraId="43A2383B"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Random Forest Regression</w:t>
      </w:r>
    </w:p>
    <w:p w14:paraId="41540B39"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RF builds the 500 decision trees which are boot</w:t>
      </w:r>
      <w:r>
        <w:rPr>
          <w:rFonts w:ascii="Times New Roman" w:hAnsi="Times New Roman" w:cs="Times New Roman"/>
          <w:sz w:val="24"/>
          <w:szCs w:val="24"/>
        </w:rPr>
        <w:t>strap sampled with random feature selection at splits. Dual randomization brings diversity in terms of ensemble members and less variance as compared to individual trees (</w:t>
      </w: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xml:space="preserve">, 2001). The final predictions are summed up over all trees. The ensemble can </w:t>
      </w:r>
      <w:r>
        <w:rPr>
          <w:rFonts w:ascii="Times New Roman" w:hAnsi="Times New Roman" w:cs="Times New Roman"/>
          <w:sz w:val="24"/>
          <w:szCs w:val="24"/>
        </w:rPr>
        <w:t>automatically model categorical and continuous predictors without scaling, is resistant to outliers and non-normal residuals such as those in field experiments, and assumes no parametric distributions (Hastie et al., 2009).</w:t>
      </w:r>
    </w:p>
    <w:p w14:paraId="503F50BD"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Decision Tree Regression</w:t>
      </w:r>
    </w:p>
    <w:p w14:paraId="280943FE"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DT </w:t>
      </w:r>
      <w:r>
        <w:rPr>
          <w:rFonts w:ascii="Times New Roman" w:hAnsi="Times New Roman" w:cs="Times New Roman"/>
          <w:sz w:val="24"/>
          <w:szCs w:val="24"/>
        </w:rPr>
        <w:t xml:space="preserve">recursively splits the predictor space with ANOVA splitting criterion, and this minimizes yield variance within each node. Trees offer clear and rule-based formats that clearly demonstrate the effects of nitrogen, genotype, location, and place position to </w:t>
      </w:r>
      <w:r>
        <w:rPr>
          <w:rFonts w:ascii="Times New Roman" w:hAnsi="Times New Roman" w:cs="Times New Roman"/>
          <w:sz w:val="24"/>
          <w:szCs w:val="24"/>
        </w:rPr>
        <w:t>make predictions, which are useful in communicating with farmers (</w:t>
      </w: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xml:space="preserve"> et al., 1984). DT can be used as a significant indicator; in the event that complex algorithms do not yield significant performance improvement, simpler trees would be </w:t>
      </w:r>
      <w:proofErr w:type="spellStart"/>
      <w:r>
        <w:rPr>
          <w:rFonts w:ascii="Times New Roman" w:hAnsi="Times New Roman" w:cs="Times New Roman"/>
          <w:sz w:val="24"/>
          <w:szCs w:val="24"/>
        </w:rPr>
        <w:t>favored</w:t>
      </w:r>
      <w:proofErr w:type="spellEnd"/>
      <w:r>
        <w:rPr>
          <w:rFonts w:ascii="Times New Roman" w:hAnsi="Times New Roman" w:cs="Times New Roman"/>
          <w:sz w:val="24"/>
          <w:szCs w:val="24"/>
        </w:rPr>
        <w:t xml:space="preserve"> due to</w:t>
      </w:r>
      <w:r>
        <w:rPr>
          <w:rFonts w:ascii="Times New Roman" w:hAnsi="Times New Roman" w:cs="Times New Roman"/>
          <w:sz w:val="24"/>
          <w:szCs w:val="24"/>
        </w:rPr>
        <w:t xml:space="preserve"> interpretability considerations (Occam Razer).</w:t>
      </w:r>
    </w:p>
    <w:p w14:paraId="06823F3E"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Model Evaluation</w:t>
      </w:r>
    </w:p>
    <w:p w14:paraId="4DC0EA71"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evaluation of performance was carried out based on two complementary metrics on independent test data. Root Mean Square Error (RMSE = </w:t>
      </w:r>
      <w:proofErr w:type="gramStart"/>
      <w:r>
        <w:rPr>
          <w:rFonts w:ascii="Times New Roman" w:eastAsia="Times New Roman" w:hAnsi="Times New Roman" w:cs="Times New Roman"/>
          <w:sz w:val="24"/>
          <w:szCs w:val="24"/>
          <w:lang w:eastAsia="en-GB"/>
        </w:rPr>
        <w:t>√[</w:t>
      </w:r>
      <w:proofErr w:type="gramEnd"/>
      <w:r>
        <w:rPr>
          <w:rFonts w:ascii="Times New Roman" w:eastAsia="Times New Roman" w:hAnsi="Times New Roman" w:cs="Times New Roman"/>
          <w:sz w:val="24"/>
          <w:szCs w:val="24"/>
          <w:lang w:eastAsia="en-GB"/>
        </w:rPr>
        <w:t>1/n Σ(</w:t>
      </w:r>
      <w:proofErr w:type="spellStart"/>
      <w:r>
        <w:rPr>
          <w:rFonts w:ascii="Times New Roman" w:eastAsia="Times New Roman" w:hAnsi="Times New Roman" w:cs="Times New Roman"/>
          <w:sz w:val="24"/>
          <w:szCs w:val="24"/>
          <w:lang w:eastAsia="en-GB"/>
        </w:rPr>
        <w:t>y_i</w:t>
      </w:r>
      <w:proofErr w:type="spellEnd"/>
      <w:r>
        <w:rPr>
          <w:rFonts w:ascii="Times New Roman" w:eastAsia="Times New Roman" w:hAnsi="Times New Roman" w:cs="Times New Roman"/>
          <w:sz w:val="24"/>
          <w:szCs w:val="24"/>
          <w:lang w:eastAsia="en-GB"/>
        </w:rPr>
        <w:t xml:space="preserve"> - </w:t>
      </w:r>
      <w:proofErr w:type="spellStart"/>
      <w:r>
        <w:rPr>
          <w:rFonts w:ascii="Times New Roman" w:eastAsia="Times New Roman" w:hAnsi="Times New Roman" w:cs="Times New Roman"/>
          <w:sz w:val="24"/>
          <w:szCs w:val="24"/>
          <w:lang w:eastAsia="en-GB"/>
        </w:rPr>
        <w:t>ŷ_i</w:t>
      </w:r>
      <w:proofErr w:type="spellEnd"/>
      <w:r>
        <w:rPr>
          <w:rFonts w:ascii="Times New Roman" w:eastAsia="Times New Roman" w:hAnsi="Times New Roman" w:cs="Times New Roman"/>
          <w:sz w:val="24"/>
          <w:szCs w:val="24"/>
          <w:lang w:eastAsia="en-GB"/>
        </w:rPr>
        <w:t>)²])</w:t>
      </w:r>
      <w:r>
        <w:rPr>
          <w:rFonts w:ascii="Times New Roman" w:hAnsi="Times New Roman" w:cs="Times New Roman"/>
          <w:sz w:val="24"/>
          <w:szCs w:val="24"/>
        </w:rPr>
        <w:t xml:space="preserve"> measures the average level of t</w:t>
      </w:r>
      <w:r>
        <w:rPr>
          <w:rFonts w:ascii="Times New Roman" w:hAnsi="Times New Roman" w:cs="Times New Roman"/>
          <w:sz w:val="24"/>
          <w:szCs w:val="24"/>
        </w:rPr>
        <w:t>he magnitude of prediction errors in units of yield, and Lobell et al., (2015) note that agronomically it is significant in decision-making. Proportional variance explained is measured as Coefficient of Determination (</w:t>
      </w:r>
      <w:r>
        <w:rPr>
          <w:rFonts w:ascii="Times New Roman" w:eastAsia="Times New Roman" w:hAnsi="Times New Roman" w:cs="Times New Roman"/>
          <w:sz w:val="24"/>
          <w:szCs w:val="24"/>
          <w:lang w:eastAsia="en-GB"/>
        </w:rPr>
        <w:t xml:space="preserve">R² = 1 - </w:t>
      </w:r>
      <w:proofErr w:type="gramStart"/>
      <w:r>
        <w:rPr>
          <w:rFonts w:ascii="Times New Roman" w:eastAsia="Times New Roman" w:hAnsi="Times New Roman" w:cs="Times New Roman"/>
          <w:sz w:val="24"/>
          <w:szCs w:val="24"/>
          <w:lang w:eastAsia="en-GB"/>
        </w:rPr>
        <w:t>Σ(</w:t>
      </w:r>
      <w:proofErr w:type="spellStart"/>
      <w:proofErr w:type="gramEnd"/>
      <w:r>
        <w:rPr>
          <w:rFonts w:ascii="Times New Roman" w:eastAsia="Times New Roman" w:hAnsi="Times New Roman" w:cs="Times New Roman"/>
          <w:sz w:val="24"/>
          <w:szCs w:val="24"/>
          <w:lang w:eastAsia="en-GB"/>
        </w:rPr>
        <w:t>y_i</w:t>
      </w:r>
      <w:proofErr w:type="spellEnd"/>
      <w:r>
        <w:rPr>
          <w:rFonts w:ascii="Times New Roman" w:eastAsia="Times New Roman" w:hAnsi="Times New Roman" w:cs="Times New Roman"/>
          <w:sz w:val="24"/>
          <w:szCs w:val="24"/>
          <w:lang w:eastAsia="en-GB"/>
        </w:rPr>
        <w:t xml:space="preserve"> - </w:t>
      </w:r>
      <w:proofErr w:type="spellStart"/>
      <w:r>
        <w:rPr>
          <w:rFonts w:ascii="Times New Roman" w:eastAsia="Times New Roman" w:hAnsi="Times New Roman" w:cs="Times New Roman"/>
          <w:sz w:val="24"/>
          <w:szCs w:val="24"/>
          <w:lang w:eastAsia="en-GB"/>
        </w:rPr>
        <w:t>ŷ_i</w:t>
      </w:r>
      <w:proofErr w:type="spellEnd"/>
      <w:r>
        <w:rPr>
          <w:rFonts w:ascii="Times New Roman" w:eastAsia="Times New Roman" w:hAnsi="Times New Roman" w:cs="Times New Roman"/>
          <w:sz w:val="24"/>
          <w:szCs w:val="24"/>
          <w:lang w:eastAsia="en-GB"/>
        </w:rPr>
        <w:t>)² / Σ(</w:t>
      </w:r>
      <w:proofErr w:type="spellStart"/>
      <w:r>
        <w:rPr>
          <w:rFonts w:ascii="Times New Roman" w:eastAsia="Times New Roman" w:hAnsi="Times New Roman" w:cs="Times New Roman"/>
          <w:sz w:val="24"/>
          <w:szCs w:val="24"/>
          <w:lang w:eastAsia="en-GB"/>
        </w:rPr>
        <w:t>y_i</w:t>
      </w:r>
      <w:proofErr w:type="spellEnd"/>
      <w:r>
        <w:rPr>
          <w:rFonts w:ascii="Times New Roman" w:eastAsia="Times New Roman" w:hAnsi="Times New Roman" w:cs="Times New Roman"/>
          <w:sz w:val="24"/>
          <w:szCs w:val="24"/>
          <w:lang w:eastAsia="en-GB"/>
        </w:rPr>
        <w:t xml:space="preserve"> - ȳ)²) </w:t>
      </w:r>
      <w:r>
        <w:rPr>
          <w:rFonts w:ascii="Times New Roman" w:hAnsi="Times New Roman" w:cs="Times New Roman"/>
          <w:sz w:val="24"/>
          <w:szCs w:val="24"/>
        </w:rPr>
        <w:t xml:space="preserve"> is scale-independent and similar between studies (Willmott and Matsuura, 2005). Scatter plots were observed and compared with predicted scatter plots to evaluate the dispersion of prediction, systematic bias, and fit to perfect prediction (slope = 1), and</w:t>
      </w:r>
      <w:r>
        <w:rPr>
          <w:rFonts w:ascii="Times New Roman" w:hAnsi="Times New Roman" w:cs="Times New Roman"/>
          <w:sz w:val="24"/>
          <w:szCs w:val="24"/>
        </w:rPr>
        <w:t xml:space="preserve"> thus to detect nonlinear relationships that were not well predicted by models (Hastie et al., 2009).</w:t>
      </w:r>
    </w:p>
    <w:p w14:paraId="7CEEBE60"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t>Exploratory Data Analysis</w:t>
      </w:r>
    </w:p>
    <w:p w14:paraId="6E0A5418"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Descriptive statistics (means, standard deviations) were used to describe the difference in yield between the genotypes and the </w:t>
      </w:r>
      <w:r>
        <w:rPr>
          <w:rFonts w:ascii="Times New Roman" w:hAnsi="Times New Roman" w:cs="Times New Roman"/>
          <w:sz w:val="24"/>
          <w:szCs w:val="24"/>
        </w:rPr>
        <w:t>locations showing the existence of genetic diversity and location specific performance. ANOVA was used to test the location and nitrogen effect of yield and tests of interaction were used to test whether the curves of nitrogen response varied between sites</w:t>
      </w:r>
      <w:r>
        <w:rPr>
          <w:rFonts w:ascii="Times New Roman" w:hAnsi="Times New Roman" w:cs="Times New Roman"/>
          <w:sz w:val="24"/>
          <w:szCs w:val="24"/>
        </w:rPr>
        <w:t xml:space="preserve">. Visualization investigated relationships and spatial patterns of nitrogen yielding and row and </w:t>
      </w:r>
      <w:r>
        <w:rPr>
          <w:rFonts w:ascii="Times New Roman" w:hAnsi="Times New Roman" w:cs="Times New Roman"/>
          <w:sz w:val="24"/>
          <w:szCs w:val="24"/>
        </w:rPr>
        <w:lastRenderedPageBreak/>
        <w:t>range. This was a hypothesis generating research that informed the specification of the models but had no effect on ultimate validation (Tukey, 1977).</w:t>
      </w:r>
    </w:p>
    <w:p w14:paraId="1D491A3A"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i/>
          <w:iCs/>
          <w:sz w:val="24"/>
          <w:szCs w:val="24"/>
        </w:rPr>
        <w:t>Variable</w:t>
      </w:r>
      <w:r>
        <w:rPr>
          <w:rFonts w:ascii="Times New Roman" w:hAnsi="Times New Roman" w:cs="Times New Roman"/>
          <w:b/>
          <w:i/>
          <w:iCs/>
          <w:sz w:val="24"/>
          <w:szCs w:val="24"/>
        </w:rPr>
        <w:t xml:space="preserve"> Importance and Feature Contributions</w:t>
      </w:r>
    </w:p>
    <w:p w14:paraId="187FE024"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importance of Predictors in Random Forest was calculated using permutation to determine the contribution made by a given predictor to prediction accuracy, by comparing the accuracy loss in cases when features were </w:t>
      </w:r>
      <w:r>
        <w:rPr>
          <w:rFonts w:ascii="Times New Roman" w:hAnsi="Times New Roman" w:cs="Times New Roman"/>
          <w:sz w:val="24"/>
          <w:szCs w:val="24"/>
        </w:rPr>
        <w:t>permuted randomly (Liaw and Wiener, 2002). This model-agnostic technique supports correlated variables and the primary effects as well as interactions. The importance of decision trees computed by sum-of-squares reduction of splits; SVM importance computed</w:t>
      </w:r>
      <w:r>
        <w:rPr>
          <w:rFonts w:ascii="Times New Roman" w:hAnsi="Times New Roman" w:cs="Times New Roman"/>
          <w:sz w:val="24"/>
          <w:szCs w:val="24"/>
        </w:rPr>
        <w:t xml:space="preserve"> by contribution to predictions.</w:t>
      </w:r>
    </w:p>
    <w:p w14:paraId="7CC679F9" w14:textId="77777777" w:rsidR="005B7CDF" w:rsidRDefault="005B7CDF">
      <w:pPr>
        <w:spacing w:line="240" w:lineRule="auto"/>
        <w:jc w:val="both"/>
        <w:rPr>
          <w:rFonts w:ascii="Times New Roman" w:hAnsi="Times New Roman" w:cs="Times New Roman"/>
          <w:sz w:val="24"/>
          <w:szCs w:val="24"/>
        </w:rPr>
      </w:pPr>
    </w:p>
    <w:p w14:paraId="65424ECC"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i/>
          <w:iCs/>
          <w:sz w:val="24"/>
          <w:szCs w:val="24"/>
        </w:rPr>
        <w:t>Software and Reproducibility</w:t>
      </w:r>
    </w:p>
    <w:p w14:paraId="3BD5E65D"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analyses were performed in R statistical software along with the packages: </w:t>
      </w:r>
      <w:proofErr w:type="spellStart"/>
      <w:r>
        <w:rPr>
          <w:rFonts w:ascii="Times New Roman" w:hAnsi="Times New Roman" w:cs="Times New Roman"/>
          <w:sz w:val="24"/>
          <w:szCs w:val="24"/>
        </w:rPr>
        <w:t>readxl</w:t>
      </w:r>
      <w:proofErr w:type="spellEnd"/>
      <w:r>
        <w:rPr>
          <w:rFonts w:ascii="Times New Roman" w:hAnsi="Times New Roman" w:cs="Times New Roman"/>
          <w:sz w:val="24"/>
          <w:szCs w:val="24"/>
        </w:rPr>
        <w:t xml:space="preserve"> (data import), </w:t>
      </w:r>
      <w:proofErr w:type="spellStart"/>
      <w:r>
        <w:rPr>
          <w:rFonts w:ascii="Times New Roman" w:hAnsi="Times New Roman" w:cs="Times New Roman"/>
          <w:sz w:val="24"/>
          <w:szCs w:val="24"/>
        </w:rPr>
        <w:t>dplyr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tidyr</w:t>
      </w:r>
      <w:proofErr w:type="spellEnd"/>
      <w:r>
        <w:rPr>
          <w:rFonts w:ascii="Times New Roman" w:hAnsi="Times New Roman" w:cs="Times New Roman"/>
          <w:sz w:val="24"/>
          <w:szCs w:val="24"/>
        </w:rPr>
        <w:t xml:space="preserve"> (manipulation), e1071 (SVM), random Forest, </w:t>
      </w:r>
      <w:proofErr w:type="spellStart"/>
      <w:r>
        <w:rPr>
          <w:rFonts w:ascii="Times New Roman" w:hAnsi="Times New Roman" w:cs="Times New Roman"/>
          <w:sz w:val="24"/>
          <w:szCs w:val="24"/>
        </w:rPr>
        <w:t>rpart</w:t>
      </w:r>
      <w:proofErr w:type="spellEnd"/>
      <w:r>
        <w:rPr>
          <w:rFonts w:ascii="Times New Roman" w:hAnsi="Times New Roman" w:cs="Times New Roman"/>
          <w:sz w:val="24"/>
          <w:szCs w:val="24"/>
        </w:rPr>
        <w:t xml:space="preserve"> (decision trees) and ggplot2 (visualization). There were fixed random seeds (123) to ensure the reproducibility. Full documentation of the code meant that it could be verified and expanded by third parties and this was in line with the principles of open </w:t>
      </w:r>
      <w:r>
        <w:rPr>
          <w:rFonts w:ascii="Times New Roman" w:hAnsi="Times New Roman" w:cs="Times New Roman"/>
          <w:sz w:val="24"/>
          <w:szCs w:val="24"/>
        </w:rPr>
        <w:t>science (Peng et al., 2006).</w:t>
      </w:r>
    </w:p>
    <w:p w14:paraId="17F35A19"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Data Integrity and Ethics</w:t>
      </w:r>
    </w:p>
    <w:p w14:paraId="6DD44287"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information was sourced out of regulated field tests and institutional controls. No sensitive information was contained in the dataset. Analytical processes were characterized by transparency: trai</w:t>
      </w:r>
      <w:r>
        <w:rPr>
          <w:rFonts w:ascii="Times New Roman" w:hAnsi="Times New Roman" w:cs="Times New Roman"/>
          <w:sz w:val="24"/>
          <w:szCs w:val="24"/>
        </w:rPr>
        <w:t>n-test separation discouraged data leakage and analytical procedures were reported so that they could be independently verified. These values embrace scientific integrity and progressive knowledge in agricultural machine learning (Munafo et al., 2017).</w:t>
      </w:r>
    </w:p>
    <w:p w14:paraId="03091FE5" w14:textId="77777777" w:rsidR="005B7CDF" w:rsidRDefault="00B15BF6">
      <w:pPr>
        <w:pStyle w:val="Heading2"/>
        <w:jc w:val="both"/>
        <w:rPr>
          <w:sz w:val="24"/>
          <w:szCs w:val="24"/>
        </w:rPr>
      </w:pPr>
      <w:r>
        <w:rPr>
          <w:sz w:val="24"/>
          <w:szCs w:val="24"/>
        </w:rPr>
        <w:t>Res</w:t>
      </w:r>
      <w:r>
        <w:rPr>
          <w:sz w:val="24"/>
          <w:szCs w:val="24"/>
        </w:rPr>
        <w:t>ults</w:t>
      </w:r>
    </w:p>
    <w:p w14:paraId="10194892" w14:textId="77777777" w:rsidR="005B7CDF" w:rsidRDefault="00B15BF6">
      <w:pPr>
        <w:pStyle w:val="Heading3"/>
        <w:spacing w:line="240" w:lineRule="auto"/>
        <w:jc w:val="both"/>
        <w:rPr>
          <w:rFonts w:ascii="Times New Roman" w:hAnsi="Times New Roman" w:cs="Times New Roman"/>
          <w:b/>
          <w:i/>
          <w:iCs/>
          <w:color w:val="auto"/>
        </w:rPr>
      </w:pPr>
      <w:r>
        <w:rPr>
          <w:rFonts w:ascii="Times New Roman" w:hAnsi="Times New Roman" w:cs="Times New Roman"/>
          <w:b/>
          <w:i/>
          <w:iCs/>
          <w:color w:val="auto"/>
        </w:rPr>
        <w:t>Descriptive Statistics and Dataset Characteristics</w:t>
      </w:r>
    </w:p>
    <w:p w14:paraId="3501BB3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analysis data were 1,640 complete plot-level observations of 80 or more commercial and experimental hybrids of maize in 4 geographically different locations of the Corn Belt. The Box plot in </w:t>
      </w:r>
      <w:r>
        <w:rPr>
          <w:rFonts w:ascii="Times New Roman" w:hAnsi="Times New Roman" w:cs="Times New Roman"/>
          <w:sz w:val="24"/>
          <w:szCs w:val="24"/>
        </w:rPr>
        <w:t>Figure 1 and the histogram distribution in Figure 2 shows how maize yield varies across location.  As shown in Table 1 Genetic variation in yield potential was significant with a wide difference in yield between genotypes (mean: 78.1-158.8 bushels per acre</w:t>
      </w:r>
      <w:r>
        <w:rPr>
          <w:rFonts w:ascii="Times New Roman" w:hAnsi="Times New Roman" w:cs="Times New Roman"/>
          <w:sz w:val="24"/>
          <w:szCs w:val="24"/>
        </w:rPr>
        <w:t>). The location effects were found to be statistically significant (ANOVA F = 1963, p &lt;.001) and mean yield across sites was dependent. Application rates of nitrogen had a high degree of correlation with the variation in yield (ANOVA F = 31.2, p &lt;.001), pr</w:t>
      </w:r>
      <w:r>
        <w:rPr>
          <w:rFonts w:ascii="Times New Roman" w:hAnsi="Times New Roman" w:cs="Times New Roman"/>
          <w:sz w:val="24"/>
          <w:szCs w:val="24"/>
        </w:rPr>
        <w:t>oving nitrogen to be an important yield limiting factor in maize production systems. The interaction term location by nitrogen was found to be important (F = 28575, p &lt;.001) which showed that the functions of nitrogen response varied significantly across g</w:t>
      </w:r>
      <w:r>
        <w:rPr>
          <w:rFonts w:ascii="Times New Roman" w:hAnsi="Times New Roman" w:cs="Times New Roman"/>
          <w:sz w:val="24"/>
          <w:szCs w:val="24"/>
        </w:rPr>
        <w:t>eographic environments.</w:t>
      </w:r>
    </w:p>
    <w:p w14:paraId="1E791ED4"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7A074AC" w14:textId="77777777" w:rsidR="005B7CDF" w:rsidRDefault="00B15BF6">
      <w:pPr>
        <w:spacing w:line="240" w:lineRule="auto"/>
        <w:jc w:val="center"/>
        <w:rPr>
          <w:rFonts w:ascii="Times New Roman" w:hAnsi="Times New Roman" w:cs="Times New Roman"/>
          <w:sz w:val="24"/>
          <w:szCs w:val="24"/>
        </w:rPr>
      </w:pPr>
      <w:r>
        <w:rPr>
          <w:rFonts w:ascii="Times New Roman" w:eastAsia="Times New Roman" w:hAnsi="Times New Roman" w:cs="Times New Roman"/>
          <w:noProof/>
          <w:color w:val="333333"/>
          <w:sz w:val="24"/>
          <w:szCs w:val="24"/>
          <w:lang w:eastAsia="en-GB"/>
        </w:rPr>
        <w:lastRenderedPageBreak/>
        <w:drawing>
          <wp:inline distT="0" distB="0" distL="0" distR="0" wp14:anchorId="52E5E8EE" wp14:editId="5925DBA9">
            <wp:extent cx="4248150" cy="424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48150" cy="4248150"/>
                    </a:xfrm>
                    <a:prstGeom prst="rect">
                      <a:avLst/>
                    </a:prstGeom>
                    <a:noFill/>
                    <a:ln>
                      <a:noFill/>
                    </a:ln>
                  </pic:spPr>
                </pic:pic>
              </a:graphicData>
            </a:graphic>
          </wp:inline>
        </w:drawing>
      </w:r>
    </w:p>
    <w:p w14:paraId="51A8B32A"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Figure 1: Box Plot of Yield Variation across Location Based on Nitrogen Input</w:t>
      </w:r>
    </w:p>
    <w:p w14:paraId="4FEE3370" w14:textId="77777777" w:rsidR="005B7CDF" w:rsidRDefault="00B15BF6">
      <w:pPr>
        <w:spacing w:line="240" w:lineRule="auto"/>
        <w:jc w:val="center"/>
        <w:rPr>
          <w:rFonts w:ascii="Times New Roman" w:hAnsi="Times New Roman" w:cs="Times New Roman"/>
          <w:sz w:val="24"/>
          <w:szCs w:val="24"/>
        </w:rPr>
      </w:pPr>
      <w:r>
        <w:rPr>
          <w:rFonts w:ascii="Times New Roman" w:eastAsia="Times New Roman" w:hAnsi="Times New Roman" w:cs="Times New Roman"/>
          <w:noProof/>
          <w:color w:val="333333"/>
          <w:sz w:val="24"/>
          <w:szCs w:val="24"/>
          <w:lang w:eastAsia="en-GB"/>
        </w:rPr>
        <w:drawing>
          <wp:inline distT="0" distB="0" distL="0" distR="0" wp14:anchorId="1C68BD23" wp14:editId="792C99EA">
            <wp:extent cx="3159760" cy="3159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59760" cy="3159760"/>
                    </a:xfrm>
                    <a:prstGeom prst="rect">
                      <a:avLst/>
                    </a:prstGeom>
                    <a:noFill/>
                    <a:ln>
                      <a:noFill/>
                    </a:ln>
                  </pic:spPr>
                </pic:pic>
              </a:graphicData>
            </a:graphic>
          </wp:inline>
        </w:drawing>
      </w:r>
    </w:p>
    <w:p w14:paraId="00384016"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Figure 2: Histogram of Yield Variation based on Location</w:t>
      </w:r>
      <w:r>
        <w:rPr>
          <w:rFonts w:ascii="Times New Roman" w:hAnsi="Times New Roman" w:cs="Times New Roman"/>
          <w:sz w:val="24"/>
          <w:szCs w:val="24"/>
        </w:rPr>
        <w:br w:type="page"/>
      </w:r>
    </w:p>
    <w:p w14:paraId="08FF2AC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 ANOVA of </w:t>
      </w:r>
      <w:proofErr w:type="spellStart"/>
      <w:r>
        <w:rPr>
          <w:rFonts w:ascii="Times New Roman" w:hAnsi="Times New Roman" w:cs="Times New Roman"/>
          <w:sz w:val="24"/>
          <w:szCs w:val="24"/>
        </w:rPr>
        <w:t>Yieldperacre</w:t>
      </w:r>
      <w:proofErr w:type="spellEnd"/>
      <w:r>
        <w:rPr>
          <w:rFonts w:ascii="Times New Roman" w:hAnsi="Times New Roman" w:cs="Times New Roman"/>
          <w:sz w:val="24"/>
          <w:szCs w:val="24"/>
        </w:rPr>
        <w:t xml:space="preserve"> Based on Genotype, Location and </w:t>
      </w:r>
      <w:proofErr w:type="spellStart"/>
      <w:r>
        <w:rPr>
          <w:rFonts w:ascii="Times New Roman" w:hAnsi="Times New Roman" w:cs="Times New Roman"/>
          <w:sz w:val="24"/>
          <w:szCs w:val="24"/>
        </w:rPr>
        <w:t>PoundsofNitrogenPerAcre</w:t>
      </w:r>
      <w:proofErr w:type="spellEnd"/>
      <w:r>
        <w:rPr>
          <w:rFonts w:ascii="Times New Roman" w:hAnsi="Times New Roman" w:cs="Times New Roman"/>
          <w:sz w:val="24"/>
          <w:szCs w:val="24"/>
        </w:rPr>
        <w:t xml:space="preserve"> </w:t>
      </w:r>
    </w:p>
    <w:tbl>
      <w:tblPr>
        <w:tblStyle w:val="GridTable4-Accent61"/>
        <w:tblW w:w="5000" w:type="pct"/>
        <w:tblLook w:val="04A0" w:firstRow="1" w:lastRow="0" w:firstColumn="1" w:lastColumn="0" w:noHBand="0" w:noVBand="1"/>
      </w:tblPr>
      <w:tblGrid>
        <w:gridCol w:w="3269"/>
        <w:gridCol w:w="1926"/>
        <w:gridCol w:w="798"/>
        <w:gridCol w:w="1674"/>
        <w:gridCol w:w="798"/>
        <w:gridCol w:w="885"/>
      </w:tblGrid>
      <w:tr w:rsidR="005B7CDF" w14:paraId="26B6DEA6" w14:textId="77777777" w:rsidTr="005B7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401953F6" w14:textId="77777777" w:rsidR="005B7CDF" w:rsidRDefault="00B15BF6">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AN</w:t>
            </w:r>
            <w:r>
              <w:rPr>
                <w:rFonts w:ascii="Times New Roman" w:hAnsi="Times New Roman" w:cs="Times New Roman"/>
                <w:color w:val="333333"/>
                <w:sz w:val="24"/>
                <w:szCs w:val="24"/>
              </w:rPr>
              <w:t xml:space="preserve">OVA – </w:t>
            </w:r>
            <w:proofErr w:type="spellStart"/>
            <w:r>
              <w:rPr>
                <w:rFonts w:ascii="Times New Roman" w:hAnsi="Times New Roman" w:cs="Times New Roman"/>
                <w:color w:val="333333"/>
                <w:sz w:val="24"/>
                <w:szCs w:val="24"/>
              </w:rPr>
              <w:t>yieldPerAcre</w:t>
            </w:r>
            <w:proofErr w:type="spellEnd"/>
          </w:p>
        </w:tc>
      </w:tr>
      <w:tr w:rsidR="005B7CDF" w14:paraId="67D7129E"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50884C23" w14:textId="77777777" w:rsidR="005B7CDF" w:rsidRDefault="00B15BF6">
            <w:pPr>
              <w:spacing w:after="0" w:line="240" w:lineRule="auto"/>
              <w:jc w:val="center"/>
              <w:rPr>
                <w:rFonts w:ascii="Times New Roman" w:hAnsi="Times New Roman" w:cs="Times New Roman"/>
                <w:b w:val="0"/>
                <w:bCs w:val="0"/>
                <w:color w:val="333333"/>
                <w:sz w:val="24"/>
                <w:szCs w:val="24"/>
              </w:rPr>
            </w:pPr>
            <w:r>
              <w:rPr>
                <w:rFonts w:ascii="Times New Roman" w:hAnsi="Times New Roman" w:cs="Times New Roman"/>
                <w:color w:val="333333"/>
                <w:sz w:val="24"/>
                <w:szCs w:val="24"/>
              </w:rPr>
              <w:t> </w:t>
            </w:r>
          </w:p>
        </w:tc>
        <w:tc>
          <w:tcPr>
            <w:tcW w:w="1030" w:type="pct"/>
            <w:shd w:val="clear" w:color="auto" w:fill="E2EFD9" w:themeFill="accent6" w:themeFillTint="33"/>
          </w:tcPr>
          <w:p w14:paraId="17DDBFA5"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Sum of Squares</w:t>
            </w:r>
          </w:p>
        </w:tc>
        <w:tc>
          <w:tcPr>
            <w:tcW w:w="427" w:type="pct"/>
            <w:shd w:val="clear" w:color="auto" w:fill="E2EFD9" w:themeFill="accent6" w:themeFillTint="33"/>
          </w:tcPr>
          <w:p w14:paraId="310DEA1E"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df</w:t>
            </w:r>
          </w:p>
        </w:tc>
        <w:tc>
          <w:tcPr>
            <w:tcW w:w="895" w:type="pct"/>
            <w:shd w:val="clear" w:color="auto" w:fill="E2EFD9" w:themeFill="accent6" w:themeFillTint="33"/>
          </w:tcPr>
          <w:p w14:paraId="7DDB5E2E"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Mean Square</w:t>
            </w:r>
          </w:p>
        </w:tc>
        <w:tc>
          <w:tcPr>
            <w:tcW w:w="427" w:type="pct"/>
            <w:shd w:val="clear" w:color="auto" w:fill="E2EFD9" w:themeFill="accent6" w:themeFillTint="33"/>
          </w:tcPr>
          <w:p w14:paraId="63B91062"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F</w:t>
            </w:r>
          </w:p>
        </w:tc>
        <w:tc>
          <w:tcPr>
            <w:tcW w:w="473" w:type="pct"/>
            <w:shd w:val="clear" w:color="auto" w:fill="E2EFD9" w:themeFill="accent6" w:themeFillTint="33"/>
          </w:tcPr>
          <w:p w14:paraId="4DB65B3D"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P</w:t>
            </w:r>
          </w:p>
        </w:tc>
      </w:tr>
      <w:tr w:rsidR="005B7CDF" w14:paraId="3931C796" w14:textId="77777777" w:rsidTr="005B7CDF">
        <w:tc>
          <w:tcPr>
            <w:cnfStyle w:val="001000000000" w:firstRow="0" w:lastRow="0" w:firstColumn="1" w:lastColumn="0" w:oddVBand="0" w:evenVBand="0" w:oddHBand="0" w:evenHBand="0" w:firstRowFirstColumn="0" w:firstRowLastColumn="0" w:lastRowFirstColumn="0" w:lastRowLastColumn="0"/>
            <w:tcW w:w="1748" w:type="pct"/>
          </w:tcPr>
          <w:p w14:paraId="40F220F9"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hAnsi="Times New Roman" w:cs="Times New Roman"/>
                <w:color w:val="333333"/>
                <w:sz w:val="24"/>
                <w:szCs w:val="24"/>
              </w:rPr>
              <w:t>genotype</w:t>
            </w:r>
          </w:p>
        </w:tc>
        <w:tc>
          <w:tcPr>
            <w:tcW w:w="1030" w:type="pct"/>
          </w:tcPr>
          <w:p w14:paraId="23E7C7AD"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375026</w:t>
            </w:r>
          </w:p>
        </w:tc>
        <w:tc>
          <w:tcPr>
            <w:tcW w:w="427" w:type="pct"/>
          </w:tcPr>
          <w:p w14:paraId="0DE3FBD0"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83</w:t>
            </w:r>
          </w:p>
        </w:tc>
        <w:tc>
          <w:tcPr>
            <w:tcW w:w="895" w:type="pct"/>
          </w:tcPr>
          <w:p w14:paraId="7E40045E"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4518</w:t>
            </w:r>
          </w:p>
        </w:tc>
        <w:tc>
          <w:tcPr>
            <w:tcW w:w="427" w:type="pct"/>
          </w:tcPr>
          <w:p w14:paraId="78F497FC"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1.37</w:t>
            </w:r>
          </w:p>
        </w:tc>
        <w:tc>
          <w:tcPr>
            <w:tcW w:w="473" w:type="pct"/>
          </w:tcPr>
          <w:p w14:paraId="5A7798E7"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.016</w:t>
            </w:r>
          </w:p>
        </w:tc>
      </w:tr>
      <w:tr w:rsidR="005B7CDF" w14:paraId="10B943F2"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45C28E06"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hAnsi="Times New Roman" w:cs="Times New Roman"/>
                <w:color w:val="333333"/>
                <w:sz w:val="24"/>
                <w:szCs w:val="24"/>
              </w:rPr>
              <w:t>Residuals</w:t>
            </w:r>
          </w:p>
        </w:tc>
        <w:tc>
          <w:tcPr>
            <w:tcW w:w="1030" w:type="pct"/>
            <w:shd w:val="clear" w:color="auto" w:fill="E2EFD9" w:themeFill="accent6" w:themeFillTint="33"/>
          </w:tcPr>
          <w:p w14:paraId="53CF4F6D"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5.12e+6</w:t>
            </w:r>
          </w:p>
        </w:tc>
        <w:tc>
          <w:tcPr>
            <w:tcW w:w="427" w:type="pct"/>
            <w:shd w:val="clear" w:color="auto" w:fill="E2EFD9" w:themeFill="accent6" w:themeFillTint="33"/>
          </w:tcPr>
          <w:p w14:paraId="5326DADE"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1557</w:t>
            </w:r>
          </w:p>
        </w:tc>
        <w:tc>
          <w:tcPr>
            <w:tcW w:w="895" w:type="pct"/>
            <w:shd w:val="clear" w:color="auto" w:fill="E2EFD9" w:themeFill="accent6" w:themeFillTint="33"/>
          </w:tcPr>
          <w:p w14:paraId="14A7616D"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3288</w:t>
            </w:r>
          </w:p>
        </w:tc>
        <w:tc>
          <w:tcPr>
            <w:tcW w:w="427" w:type="pct"/>
            <w:shd w:val="clear" w:color="auto" w:fill="E2EFD9" w:themeFill="accent6" w:themeFillTint="33"/>
          </w:tcPr>
          <w:p w14:paraId="74513FDA"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 </w:t>
            </w:r>
          </w:p>
        </w:tc>
        <w:tc>
          <w:tcPr>
            <w:tcW w:w="473" w:type="pct"/>
            <w:shd w:val="clear" w:color="auto" w:fill="E2EFD9" w:themeFill="accent6" w:themeFillTint="33"/>
          </w:tcPr>
          <w:p w14:paraId="6C0B834E"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hAnsi="Times New Roman" w:cs="Times New Roman"/>
                <w:color w:val="333333"/>
                <w:sz w:val="24"/>
                <w:szCs w:val="24"/>
              </w:rPr>
              <w:t> </w:t>
            </w:r>
          </w:p>
        </w:tc>
      </w:tr>
      <w:tr w:rsidR="005B7CDF" w14:paraId="2D5AF593" w14:textId="77777777" w:rsidTr="005B7CDF">
        <w:tc>
          <w:tcPr>
            <w:cnfStyle w:val="001000000000" w:firstRow="0" w:lastRow="0" w:firstColumn="1" w:lastColumn="0" w:oddVBand="0" w:evenVBand="0" w:oddHBand="0" w:evenHBand="0" w:firstRowFirstColumn="0" w:firstRowLastColumn="0" w:lastRowFirstColumn="0" w:lastRowLastColumn="0"/>
            <w:tcW w:w="1748" w:type="pct"/>
          </w:tcPr>
          <w:p w14:paraId="2E705117" w14:textId="77777777" w:rsidR="005B7CDF" w:rsidRDefault="005B7CDF">
            <w:pPr>
              <w:spacing w:after="0" w:line="240" w:lineRule="auto"/>
              <w:rPr>
                <w:rFonts w:ascii="Times New Roman" w:hAnsi="Times New Roman" w:cs="Times New Roman"/>
                <w:b w:val="0"/>
                <w:bCs w:val="0"/>
                <w:color w:val="333333"/>
                <w:sz w:val="24"/>
                <w:szCs w:val="24"/>
              </w:rPr>
            </w:pPr>
          </w:p>
        </w:tc>
        <w:tc>
          <w:tcPr>
            <w:tcW w:w="1030" w:type="pct"/>
          </w:tcPr>
          <w:p w14:paraId="25E39F59"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27" w:type="pct"/>
          </w:tcPr>
          <w:p w14:paraId="2864D175"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895" w:type="pct"/>
          </w:tcPr>
          <w:p w14:paraId="3EC42ADA"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27" w:type="pct"/>
          </w:tcPr>
          <w:p w14:paraId="06ACD3A0"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73" w:type="pct"/>
          </w:tcPr>
          <w:p w14:paraId="2F3F6037"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r>
      <w:tr w:rsidR="005B7CDF" w14:paraId="677C8462"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158BC8D8"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eastAsia="Times New Roman" w:hAnsi="Times New Roman" w:cs="Times New Roman"/>
                <w:color w:val="333333"/>
                <w:sz w:val="24"/>
                <w:szCs w:val="24"/>
                <w:lang w:eastAsia="en-GB"/>
              </w:rPr>
              <w:t>location</w:t>
            </w:r>
          </w:p>
        </w:tc>
        <w:tc>
          <w:tcPr>
            <w:tcW w:w="1030" w:type="pct"/>
            <w:shd w:val="clear" w:color="auto" w:fill="E2EFD9" w:themeFill="accent6" w:themeFillTint="33"/>
          </w:tcPr>
          <w:p w14:paraId="2EA4C20A"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4.30e+6</w:t>
            </w:r>
          </w:p>
        </w:tc>
        <w:tc>
          <w:tcPr>
            <w:tcW w:w="427" w:type="pct"/>
            <w:shd w:val="clear" w:color="auto" w:fill="E2EFD9" w:themeFill="accent6" w:themeFillTint="33"/>
          </w:tcPr>
          <w:p w14:paraId="01B4BC9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3</w:t>
            </w:r>
          </w:p>
        </w:tc>
        <w:tc>
          <w:tcPr>
            <w:tcW w:w="895" w:type="pct"/>
            <w:shd w:val="clear" w:color="auto" w:fill="E2EFD9" w:themeFill="accent6" w:themeFillTint="33"/>
          </w:tcPr>
          <w:p w14:paraId="0DB4E214"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1.43e+6</w:t>
            </w:r>
          </w:p>
        </w:tc>
        <w:tc>
          <w:tcPr>
            <w:tcW w:w="427" w:type="pct"/>
            <w:shd w:val="clear" w:color="auto" w:fill="E2EFD9" w:themeFill="accent6" w:themeFillTint="33"/>
          </w:tcPr>
          <w:p w14:paraId="6F51C33A"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1963</w:t>
            </w:r>
          </w:p>
        </w:tc>
        <w:tc>
          <w:tcPr>
            <w:tcW w:w="473" w:type="pct"/>
            <w:shd w:val="clear" w:color="auto" w:fill="E2EFD9" w:themeFill="accent6" w:themeFillTint="33"/>
          </w:tcPr>
          <w:p w14:paraId="2EBB6E20"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&lt;.001</w:t>
            </w:r>
          </w:p>
        </w:tc>
      </w:tr>
      <w:tr w:rsidR="005B7CDF" w14:paraId="350D04E5" w14:textId="77777777" w:rsidTr="005B7CDF">
        <w:tc>
          <w:tcPr>
            <w:cnfStyle w:val="001000000000" w:firstRow="0" w:lastRow="0" w:firstColumn="1" w:lastColumn="0" w:oddVBand="0" w:evenVBand="0" w:oddHBand="0" w:evenHBand="0" w:firstRowFirstColumn="0" w:firstRowLastColumn="0" w:lastRowFirstColumn="0" w:lastRowLastColumn="0"/>
            <w:tcW w:w="1748" w:type="pct"/>
          </w:tcPr>
          <w:p w14:paraId="2EEF9DBC"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eastAsia="Times New Roman" w:hAnsi="Times New Roman" w:cs="Times New Roman"/>
                <w:color w:val="333333"/>
                <w:sz w:val="24"/>
                <w:szCs w:val="24"/>
                <w:lang w:eastAsia="en-GB"/>
              </w:rPr>
              <w:t>Residuals</w:t>
            </w:r>
          </w:p>
        </w:tc>
        <w:tc>
          <w:tcPr>
            <w:tcW w:w="1030" w:type="pct"/>
          </w:tcPr>
          <w:p w14:paraId="398311FC"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1.20e+6</w:t>
            </w:r>
          </w:p>
        </w:tc>
        <w:tc>
          <w:tcPr>
            <w:tcW w:w="427" w:type="pct"/>
          </w:tcPr>
          <w:p w14:paraId="7455BE78"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1637</w:t>
            </w:r>
          </w:p>
        </w:tc>
        <w:tc>
          <w:tcPr>
            <w:tcW w:w="895" w:type="pct"/>
          </w:tcPr>
          <w:p w14:paraId="1878FE34"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730</w:t>
            </w:r>
          </w:p>
        </w:tc>
        <w:tc>
          <w:tcPr>
            <w:tcW w:w="427" w:type="pct"/>
          </w:tcPr>
          <w:p w14:paraId="74BCC710"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 </w:t>
            </w:r>
          </w:p>
        </w:tc>
        <w:tc>
          <w:tcPr>
            <w:tcW w:w="473" w:type="pct"/>
          </w:tcPr>
          <w:p w14:paraId="092D972B"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 </w:t>
            </w:r>
          </w:p>
        </w:tc>
      </w:tr>
      <w:tr w:rsidR="005B7CDF" w14:paraId="0874218A"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4F81887A" w14:textId="77777777" w:rsidR="005B7CDF" w:rsidRDefault="005B7CDF">
            <w:pPr>
              <w:spacing w:after="0" w:line="240" w:lineRule="auto"/>
              <w:rPr>
                <w:rFonts w:ascii="Times New Roman" w:hAnsi="Times New Roman" w:cs="Times New Roman"/>
                <w:b w:val="0"/>
                <w:bCs w:val="0"/>
                <w:color w:val="333333"/>
                <w:sz w:val="24"/>
                <w:szCs w:val="24"/>
              </w:rPr>
            </w:pPr>
          </w:p>
        </w:tc>
        <w:tc>
          <w:tcPr>
            <w:tcW w:w="1030" w:type="pct"/>
            <w:shd w:val="clear" w:color="auto" w:fill="E2EFD9" w:themeFill="accent6" w:themeFillTint="33"/>
          </w:tcPr>
          <w:p w14:paraId="375D8E82"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27" w:type="pct"/>
            <w:shd w:val="clear" w:color="auto" w:fill="E2EFD9" w:themeFill="accent6" w:themeFillTint="33"/>
          </w:tcPr>
          <w:p w14:paraId="1B30D111"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895" w:type="pct"/>
            <w:shd w:val="clear" w:color="auto" w:fill="E2EFD9" w:themeFill="accent6" w:themeFillTint="33"/>
          </w:tcPr>
          <w:p w14:paraId="3AD149B9"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27" w:type="pct"/>
            <w:shd w:val="clear" w:color="auto" w:fill="E2EFD9" w:themeFill="accent6" w:themeFillTint="33"/>
          </w:tcPr>
          <w:p w14:paraId="0A06222A"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c>
          <w:tcPr>
            <w:tcW w:w="473" w:type="pct"/>
            <w:shd w:val="clear" w:color="auto" w:fill="E2EFD9" w:themeFill="accent6" w:themeFillTint="33"/>
          </w:tcPr>
          <w:p w14:paraId="28596493" w14:textId="77777777" w:rsidR="005B7CDF" w:rsidRDefault="005B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p>
        </w:tc>
      </w:tr>
      <w:tr w:rsidR="005B7CDF" w14:paraId="57CC06B7" w14:textId="77777777" w:rsidTr="005B7CDF">
        <w:tc>
          <w:tcPr>
            <w:cnfStyle w:val="001000000000" w:firstRow="0" w:lastRow="0" w:firstColumn="1" w:lastColumn="0" w:oddVBand="0" w:evenVBand="0" w:oddHBand="0" w:evenHBand="0" w:firstRowFirstColumn="0" w:firstRowLastColumn="0" w:lastRowFirstColumn="0" w:lastRowLastColumn="0"/>
            <w:tcW w:w="1748" w:type="pct"/>
          </w:tcPr>
          <w:p w14:paraId="6A375F35" w14:textId="77777777" w:rsidR="005B7CDF" w:rsidRDefault="00B15BF6">
            <w:pPr>
              <w:spacing w:after="0" w:line="240" w:lineRule="auto"/>
              <w:rPr>
                <w:rFonts w:ascii="Times New Roman" w:hAnsi="Times New Roman" w:cs="Times New Roman"/>
                <w:b w:val="0"/>
                <w:bCs w:val="0"/>
                <w:color w:val="333333"/>
                <w:sz w:val="24"/>
                <w:szCs w:val="24"/>
              </w:rPr>
            </w:pPr>
            <w:proofErr w:type="spellStart"/>
            <w:r>
              <w:rPr>
                <w:rFonts w:ascii="Times New Roman" w:eastAsia="Times New Roman" w:hAnsi="Times New Roman" w:cs="Times New Roman"/>
                <w:color w:val="333333"/>
                <w:sz w:val="24"/>
                <w:szCs w:val="24"/>
                <w:lang w:eastAsia="en-GB"/>
              </w:rPr>
              <w:t>poundsOfNitrogenPerAcre</w:t>
            </w:r>
            <w:proofErr w:type="spellEnd"/>
          </w:p>
        </w:tc>
        <w:tc>
          <w:tcPr>
            <w:tcW w:w="1030" w:type="pct"/>
          </w:tcPr>
          <w:p w14:paraId="694C574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389040</w:t>
            </w:r>
          </w:p>
        </w:tc>
        <w:tc>
          <w:tcPr>
            <w:tcW w:w="427" w:type="pct"/>
          </w:tcPr>
          <w:p w14:paraId="30BE507C"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4</w:t>
            </w:r>
          </w:p>
        </w:tc>
        <w:tc>
          <w:tcPr>
            <w:tcW w:w="895" w:type="pct"/>
          </w:tcPr>
          <w:p w14:paraId="10227646"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97260</w:t>
            </w:r>
          </w:p>
        </w:tc>
        <w:tc>
          <w:tcPr>
            <w:tcW w:w="427" w:type="pct"/>
          </w:tcPr>
          <w:p w14:paraId="15200B03"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31.2</w:t>
            </w:r>
          </w:p>
        </w:tc>
        <w:tc>
          <w:tcPr>
            <w:tcW w:w="473" w:type="pct"/>
          </w:tcPr>
          <w:p w14:paraId="095332A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&lt;.001</w:t>
            </w:r>
          </w:p>
        </w:tc>
      </w:tr>
      <w:tr w:rsidR="005B7CDF" w14:paraId="3F8A73A4" w14:textId="77777777" w:rsidTr="005B7CDF">
        <w:tc>
          <w:tcPr>
            <w:cnfStyle w:val="001000000000" w:firstRow="0" w:lastRow="0" w:firstColumn="1" w:lastColumn="0" w:oddVBand="0" w:evenVBand="0" w:oddHBand="0" w:evenHBand="0" w:firstRowFirstColumn="0" w:firstRowLastColumn="0" w:lastRowFirstColumn="0" w:lastRowLastColumn="0"/>
            <w:tcW w:w="1748" w:type="pct"/>
            <w:shd w:val="clear" w:color="auto" w:fill="E2EFD9" w:themeFill="accent6" w:themeFillTint="33"/>
          </w:tcPr>
          <w:p w14:paraId="492A7B96" w14:textId="77777777" w:rsidR="005B7CDF" w:rsidRDefault="00B15BF6">
            <w:pPr>
              <w:spacing w:after="0" w:line="240" w:lineRule="auto"/>
              <w:rPr>
                <w:rFonts w:ascii="Times New Roman" w:hAnsi="Times New Roman" w:cs="Times New Roman"/>
                <w:b w:val="0"/>
                <w:bCs w:val="0"/>
                <w:color w:val="333333"/>
                <w:sz w:val="24"/>
                <w:szCs w:val="24"/>
              </w:rPr>
            </w:pPr>
            <w:r>
              <w:rPr>
                <w:rFonts w:ascii="Times New Roman" w:eastAsia="Times New Roman" w:hAnsi="Times New Roman" w:cs="Times New Roman"/>
                <w:color w:val="333333"/>
                <w:sz w:val="24"/>
                <w:szCs w:val="24"/>
                <w:lang w:eastAsia="en-GB"/>
              </w:rPr>
              <w:t>Residuals</w:t>
            </w:r>
          </w:p>
        </w:tc>
        <w:tc>
          <w:tcPr>
            <w:tcW w:w="1030" w:type="pct"/>
            <w:shd w:val="clear" w:color="auto" w:fill="E2EFD9" w:themeFill="accent6" w:themeFillTint="33"/>
          </w:tcPr>
          <w:p w14:paraId="7DD412EA"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5.11e+6</w:t>
            </w:r>
          </w:p>
        </w:tc>
        <w:tc>
          <w:tcPr>
            <w:tcW w:w="427" w:type="pct"/>
            <w:shd w:val="clear" w:color="auto" w:fill="E2EFD9" w:themeFill="accent6" w:themeFillTint="33"/>
          </w:tcPr>
          <w:p w14:paraId="4BE68AA7"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1636</w:t>
            </w:r>
          </w:p>
        </w:tc>
        <w:tc>
          <w:tcPr>
            <w:tcW w:w="895" w:type="pct"/>
            <w:shd w:val="clear" w:color="auto" w:fill="E2EFD9" w:themeFill="accent6" w:themeFillTint="33"/>
          </w:tcPr>
          <w:p w14:paraId="6661F505"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3121</w:t>
            </w:r>
          </w:p>
        </w:tc>
        <w:tc>
          <w:tcPr>
            <w:tcW w:w="427" w:type="pct"/>
            <w:shd w:val="clear" w:color="auto" w:fill="E2EFD9" w:themeFill="accent6" w:themeFillTint="33"/>
          </w:tcPr>
          <w:p w14:paraId="57019E2D"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 </w:t>
            </w:r>
          </w:p>
        </w:tc>
        <w:tc>
          <w:tcPr>
            <w:tcW w:w="473" w:type="pct"/>
            <w:shd w:val="clear" w:color="auto" w:fill="E2EFD9" w:themeFill="accent6" w:themeFillTint="33"/>
          </w:tcPr>
          <w:p w14:paraId="741E0A9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en-GB"/>
              </w:rPr>
              <w:t> </w:t>
            </w:r>
          </w:p>
        </w:tc>
      </w:tr>
    </w:tbl>
    <w:p w14:paraId="3D833A69" w14:textId="77777777" w:rsidR="005B7CDF" w:rsidRDefault="005B7CDF">
      <w:pPr>
        <w:spacing w:line="240" w:lineRule="auto"/>
        <w:jc w:val="both"/>
        <w:rPr>
          <w:rFonts w:ascii="Times New Roman" w:hAnsi="Times New Roman" w:cs="Times New Roman"/>
          <w:sz w:val="24"/>
          <w:szCs w:val="24"/>
        </w:rPr>
      </w:pPr>
    </w:p>
    <w:p w14:paraId="6E64B432"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Data characteristics were important as indicated in diagnostic tests. The test performed by Levene revealed that the variances between the groups were not the same (F = 5.68, p &lt;.001), which implies that the amount of prediction uncertainty might depend on</w:t>
      </w:r>
      <w:r>
        <w:rPr>
          <w:rFonts w:ascii="Times New Roman" w:hAnsi="Times New Roman" w:cs="Times New Roman"/>
          <w:sz w:val="24"/>
          <w:szCs w:val="24"/>
        </w:rPr>
        <w:t xml:space="preserve"> the yield level in a systematic manner. The </w:t>
      </w:r>
      <w:proofErr w:type="spellStart"/>
      <w:r>
        <w:rPr>
          <w:rFonts w:ascii="Times New Roman" w:hAnsi="Times New Roman" w:cs="Times New Roman"/>
          <w:sz w:val="24"/>
          <w:szCs w:val="24"/>
        </w:rPr>
        <w:t>shapiro-wilk</w:t>
      </w:r>
      <w:proofErr w:type="spellEnd"/>
      <w:r>
        <w:rPr>
          <w:rFonts w:ascii="Times New Roman" w:hAnsi="Times New Roman" w:cs="Times New Roman"/>
          <w:sz w:val="24"/>
          <w:szCs w:val="24"/>
        </w:rPr>
        <w:t xml:space="preserve"> test </w:t>
      </w:r>
      <w:proofErr w:type="gramStart"/>
      <w:r>
        <w:rPr>
          <w:rFonts w:ascii="Times New Roman" w:hAnsi="Times New Roman" w:cs="Times New Roman"/>
          <w:sz w:val="24"/>
          <w:szCs w:val="24"/>
        </w:rPr>
        <w:t>( W</w:t>
      </w:r>
      <w:proofErr w:type="gramEnd"/>
      <w:r>
        <w:rPr>
          <w:rFonts w:ascii="Times New Roman" w:hAnsi="Times New Roman" w:cs="Times New Roman"/>
          <w:sz w:val="24"/>
          <w:szCs w:val="24"/>
        </w:rPr>
        <w:t xml:space="preserve"> = 0.994, p &lt;.001) showed that the residuals were not exactly normally distributed, although with a sample size of n=1,640, some slight deviations were to be expected, and it did not signifi</w:t>
      </w:r>
      <w:r>
        <w:rPr>
          <w:rFonts w:ascii="Times New Roman" w:hAnsi="Times New Roman" w:cs="Times New Roman"/>
          <w:sz w:val="24"/>
          <w:szCs w:val="24"/>
        </w:rPr>
        <w:t>cantly affect the validity of the statistics (Table 2). The Q-Q plot figure made the assessment of nearly normality in the central distribution and slight tail deviation (Figure 3).</w:t>
      </w:r>
    </w:p>
    <w:p w14:paraId="2861CB24"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Table 2: Heterogeneity and Normality Test of Yield</w:t>
      </w:r>
    </w:p>
    <w:tbl>
      <w:tblPr>
        <w:tblStyle w:val="GridTable4-Accent61"/>
        <w:tblW w:w="5000" w:type="pct"/>
        <w:tblLook w:val="04A0" w:firstRow="1" w:lastRow="0" w:firstColumn="1" w:lastColumn="0" w:noHBand="0" w:noVBand="1"/>
      </w:tblPr>
      <w:tblGrid>
        <w:gridCol w:w="2317"/>
        <w:gridCol w:w="1911"/>
        <w:gridCol w:w="1113"/>
        <w:gridCol w:w="1318"/>
        <w:gridCol w:w="2691"/>
      </w:tblGrid>
      <w:tr w:rsidR="005B7CDF" w14:paraId="7FAF5471" w14:textId="77777777" w:rsidTr="005B7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4ABAE9FC" w14:textId="77777777" w:rsidR="005B7CDF" w:rsidRDefault="00B15BF6">
            <w:pPr>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Homogeneity of Variance</w:t>
            </w:r>
            <w:r>
              <w:rPr>
                <w:rFonts w:ascii="Times New Roman" w:eastAsia="Times New Roman" w:hAnsi="Times New Roman" w:cs="Times New Roman"/>
                <w:color w:val="333333"/>
                <w:sz w:val="24"/>
                <w:szCs w:val="24"/>
                <w:lang w:eastAsia="en-GB"/>
              </w:rPr>
              <w:t>s Test (Levene's)</w:t>
            </w:r>
          </w:p>
        </w:tc>
      </w:tr>
      <w:tr w:rsidR="005B7CDF" w14:paraId="35386B50" w14:textId="77777777" w:rsidTr="005B7CDF">
        <w:tc>
          <w:tcPr>
            <w:cnfStyle w:val="001000000000" w:firstRow="0" w:lastRow="0" w:firstColumn="1" w:lastColumn="0" w:oddVBand="0" w:evenVBand="0" w:oddHBand="0" w:evenHBand="0" w:firstRowFirstColumn="0" w:firstRowLastColumn="0" w:lastRowFirstColumn="0" w:lastRowLastColumn="0"/>
            <w:tcW w:w="1239" w:type="pct"/>
            <w:shd w:val="clear" w:color="auto" w:fill="E2EFD9" w:themeFill="accent6" w:themeFillTint="33"/>
          </w:tcPr>
          <w:p w14:paraId="04476279" w14:textId="77777777" w:rsidR="005B7CDF" w:rsidRDefault="00B15BF6">
            <w:pPr>
              <w:spacing w:after="0" w:line="240" w:lineRule="auto"/>
              <w:jc w:val="center"/>
              <w:rPr>
                <w:rFonts w:ascii="Times New Roman" w:eastAsia="Times New Roman" w:hAnsi="Times New Roman" w:cs="Times New Roman"/>
                <w:b w:val="0"/>
                <w:bCs w:val="0"/>
                <w:color w:val="333333"/>
                <w:sz w:val="24"/>
                <w:szCs w:val="24"/>
                <w:lang w:eastAsia="en-GB"/>
              </w:rPr>
            </w:pPr>
            <w:r>
              <w:rPr>
                <w:rFonts w:ascii="Times New Roman" w:eastAsia="Times New Roman" w:hAnsi="Times New Roman" w:cs="Times New Roman"/>
                <w:color w:val="333333"/>
                <w:sz w:val="24"/>
                <w:szCs w:val="24"/>
                <w:lang w:eastAsia="en-GB"/>
              </w:rPr>
              <w:t>F</w:t>
            </w:r>
          </w:p>
        </w:tc>
        <w:tc>
          <w:tcPr>
            <w:tcW w:w="1022" w:type="pct"/>
            <w:shd w:val="clear" w:color="auto" w:fill="E2EFD9" w:themeFill="accent6" w:themeFillTint="33"/>
          </w:tcPr>
          <w:p w14:paraId="41997354"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df1</w:t>
            </w:r>
          </w:p>
        </w:tc>
        <w:tc>
          <w:tcPr>
            <w:tcW w:w="1300" w:type="pct"/>
            <w:gridSpan w:val="2"/>
            <w:shd w:val="clear" w:color="auto" w:fill="E2EFD9" w:themeFill="accent6" w:themeFillTint="33"/>
          </w:tcPr>
          <w:p w14:paraId="36EA4046"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df2</w:t>
            </w:r>
          </w:p>
        </w:tc>
        <w:tc>
          <w:tcPr>
            <w:tcW w:w="1439" w:type="pct"/>
            <w:shd w:val="clear" w:color="auto" w:fill="E2EFD9" w:themeFill="accent6" w:themeFillTint="33"/>
          </w:tcPr>
          <w:p w14:paraId="53B08057"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p</w:t>
            </w:r>
          </w:p>
        </w:tc>
      </w:tr>
      <w:tr w:rsidR="005B7CDF" w14:paraId="47052EB8" w14:textId="77777777" w:rsidTr="005B7CDF">
        <w:tc>
          <w:tcPr>
            <w:cnfStyle w:val="001000000000" w:firstRow="0" w:lastRow="0" w:firstColumn="1" w:lastColumn="0" w:oddVBand="0" w:evenVBand="0" w:oddHBand="0" w:evenHBand="0" w:firstRowFirstColumn="0" w:firstRowLastColumn="0" w:lastRowFirstColumn="0" w:lastRowLastColumn="0"/>
            <w:tcW w:w="1239" w:type="pct"/>
          </w:tcPr>
          <w:p w14:paraId="5079B082" w14:textId="77777777" w:rsidR="005B7CDF" w:rsidRDefault="00B15BF6">
            <w:pPr>
              <w:spacing w:after="0" w:line="240" w:lineRule="auto"/>
              <w:jc w:val="right"/>
              <w:rPr>
                <w:rFonts w:ascii="Times New Roman" w:eastAsia="Times New Roman" w:hAnsi="Times New Roman" w:cs="Times New Roman"/>
                <w:b w:val="0"/>
                <w:bCs w:val="0"/>
                <w:color w:val="333333"/>
                <w:sz w:val="24"/>
                <w:szCs w:val="24"/>
                <w:lang w:eastAsia="en-GB"/>
              </w:rPr>
            </w:pPr>
            <w:r>
              <w:rPr>
                <w:rFonts w:ascii="Times New Roman" w:eastAsia="Times New Roman" w:hAnsi="Times New Roman" w:cs="Times New Roman"/>
                <w:color w:val="333333"/>
                <w:sz w:val="24"/>
                <w:szCs w:val="24"/>
                <w:lang w:eastAsia="en-GB"/>
              </w:rPr>
              <w:t>5.68</w:t>
            </w:r>
          </w:p>
        </w:tc>
        <w:tc>
          <w:tcPr>
            <w:tcW w:w="1022" w:type="pct"/>
          </w:tcPr>
          <w:p w14:paraId="677539E6"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9</w:t>
            </w:r>
          </w:p>
        </w:tc>
        <w:tc>
          <w:tcPr>
            <w:tcW w:w="1300" w:type="pct"/>
            <w:gridSpan w:val="2"/>
          </w:tcPr>
          <w:p w14:paraId="173B221F"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1631</w:t>
            </w:r>
          </w:p>
        </w:tc>
        <w:tc>
          <w:tcPr>
            <w:tcW w:w="1439" w:type="pct"/>
          </w:tcPr>
          <w:p w14:paraId="5298B283"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&lt;.001</w:t>
            </w:r>
          </w:p>
        </w:tc>
      </w:tr>
      <w:tr w:rsidR="005B7CDF" w14:paraId="62AE70AE" w14:textId="77777777" w:rsidTr="005B7CDF">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2EFD9" w:themeFill="accent6" w:themeFillTint="33"/>
          </w:tcPr>
          <w:p w14:paraId="2CDE2E99" w14:textId="77777777" w:rsidR="005B7CDF" w:rsidRDefault="00B15BF6">
            <w:pPr>
              <w:spacing w:after="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Normality Test (Shapiro-Wilk)</w:t>
            </w:r>
          </w:p>
        </w:tc>
      </w:tr>
      <w:tr w:rsidR="005B7CDF" w14:paraId="54E8CC3D" w14:textId="77777777" w:rsidTr="005B7CDF">
        <w:tc>
          <w:tcPr>
            <w:cnfStyle w:val="001000000000" w:firstRow="0" w:lastRow="0" w:firstColumn="1" w:lastColumn="0" w:oddVBand="0" w:evenVBand="0" w:oddHBand="0" w:evenHBand="0" w:firstRowFirstColumn="0" w:firstRowLastColumn="0" w:lastRowFirstColumn="0" w:lastRowLastColumn="0"/>
            <w:tcW w:w="2856" w:type="pct"/>
            <w:gridSpan w:val="3"/>
          </w:tcPr>
          <w:p w14:paraId="5925BFE4" w14:textId="77777777" w:rsidR="005B7CDF" w:rsidRDefault="00B15BF6">
            <w:pPr>
              <w:spacing w:after="0" w:line="240" w:lineRule="auto"/>
              <w:jc w:val="center"/>
              <w:rPr>
                <w:rFonts w:ascii="Times New Roman" w:eastAsia="Times New Roman" w:hAnsi="Times New Roman" w:cs="Times New Roman"/>
                <w:b w:val="0"/>
                <w:bCs w:val="0"/>
                <w:color w:val="333333"/>
                <w:sz w:val="24"/>
                <w:szCs w:val="24"/>
                <w:lang w:eastAsia="en-GB"/>
              </w:rPr>
            </w:pPr>
            <w:r>
              <w:rPr>
                <w:rFonts w:ascii="Times New Roman" w:eastAsia="Times New Roman" w:hAnsi="Times New Roman" w:cs="Times New Roman"/>
                <w:color w:val="333333"/>
                <w:sz w:val="24"/>
                <w:szCs w:val="24"/>
                <w:lang w:eastAsia="en-GB"/>
              </w:rPr>
              <w:t>Statistic</w:t>
            </w:r>
          </w:p>
        </w:tc>
        <w:tc>
          <w:tcPr>
            <w:tcW w:w="2144" w:type="pct"/>
            <w:gridSpan w:val="2"/>
          </w:tcPr>
          <w:p w14:paraId="183F7143" w14:textId="77777777" w:rsidR="005B7CDF" w:rsidRDefault="00B15B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p</w:t>
            </w:r>
          </w:p>
        </w:tc>
      </w:tr>
      <w:tr w:rsidR="005B7CDF" w14:paraId="12196D8A" w14:textId="77777777" w:rsidTr="005B7CDF">
        <w:tc>
          <w:tcPr>
            <w:cnfStyle w:val="001000000000" w:firstRow="0" w:lastRow="0" w:firstColumn="1" w:lastColumn="0" w:oddVBand="0" w:evenVBand="0" w:oddHBand="0" w:evenHBand="0" w:firstRowFirstColumn="0" w:firstRowLastColumn="0" w:lastRowFirstColumn="0" w:lastRowLastColumn="0"/>
            <w:tcW w:w="2856" w:type="pct"/>
            <w:gridSpan w:val="3"/>
            <w:shd w:val="clear" w:color="auto" w:fill="E2EFD9" w:themeFill="accent6" w:themeFillTint="33"/>
          </w:tcPr>
          <w:p w14:paraId="01F02325" w14:textId="77777777" w:rsidR="005B7CDF" w:rsidRDefault="00B15BF6">
            <w:pPr>
              <w:spacing w:after="0" w:line="240" w:lineRule="auto"/>
              <w:jc w:val="right"/>
              <w:rPr>
                <w:rFonts w:ascii="Times New Roman" w:eastAsia="Times New Roman" w:hAnsi="Times New Roman" w:cs="Times New Roman"/>
                <w:b w:val="0"/>
                <w:bCs w:val="0"/>
                <w:color w:val="333333"/>
                <w:sz w:val="24"/>
                <w:szCs w:val="24"/>
                <w:lang w:eastAsia="en-GB"/>
              </w:rPr>
            </w:pPr>
            <w:r>
              <w:rPr>
                <w:rFonts w:ascii="Times New Roman" w:eastAsia="Times New Roman" w:hAnsi="Times New Roman" w:cs="Times New Roman"/>
                <w:color w:val="333333"/>
                <w:sz w:val="24"/>
                <w:szCs w:val="24"/>
                <w:lang w:eastAsia="en-GB"/>
              </w:rPr>
              <w:t>0.994</w:t>
            </w:r>
          </w:p>
        </w:tc>
        <w:tc>
          <w:tcPr>
            <w:tcW w:w="2144" w:type="pct"/>
            <w:gridSpan w:val="2"/>
            <w:shd w:val="clear" w:color="auto" w:fill="E2EFD9" w:themeFill="accent6" w:themeFillTint="33"/>
          </w:tcPr>
          <w:p w14:paraId="7480F3E4" w14:textId="77777777" w:rsidR="005B7CDF" w:rsidRDefault="00B15B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&lt;.001</w:t>
            </w:r>
          </w:p>
        </w:tc>
      </w:tr>
    </w:tbl>
    <w:p w14:paraId="748C0D56" w14:textId="77777777" w:rsidR="005B7CDF" w:rsidRDefault="005B7CDF">
      <w:pPr>
        <w:spacing w:line="240" w:lineRule="auto"/>
        <w:jc w:val="both"/>
        <w:rPr>
          <w:rFonts w:ascii="Times New Roman" w:hAnsi="Times New Roman" w:cs="Times New Roman"/>
          <w:sz w:val="24"/>
          <w:szCs w:val="24"/>
        </w:rPr>
      </w:pPr>
    </w:p>
    <w:p w14:paraId="3BE8A403"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noProof/>
          <w:color w:val="333333"/>
          <w:sz w:val="24"/>
          <w:szCs w:val="24"/>
        </w:rPr>
        <w:lastRenderedPageBreak/>
        <w:drawing>
          <wp:inline distT="0" distB="0" distL="0" distR="0" wp14:anchorId="3F199AAC" wp14:editId="544F8B47">
            <wp:extent cx="5648325" cy="5019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48325" cy="5019675"/>
                    </a:xfrm>
                    <a:prstGeom prst="rect">
                      <a:avLst/>
                    </a:prstGeom>
                    <a:noFill/>
                    <a:ln>
                      <a:noFill/>
                    </a:ln>
                  </pic:spPr>
                </pic:pic>
              </a:graphicData>
            </a:graphic>
          </wp:inline>
        </w:drawing>
      </w:r>
    </w:p>
    <w:p w14:paraId="66E8E606"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Figure 3: Q-Q Plot of Yield Distribution</w:t>
      </w:r>
    </w:p>
    <w:p w14:paraId="0FCD5358"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i/>
          <w:iCs/>
          <w:sz w:val="24"/>
          <w:szCs w:val="24"/>
        </w:rPr>
        <w:t>The Performance of the Machine Learning Model</w:t>
      </w:r>
    </w:p>
    <w:p w14:paraId="5302FE4E" w14:textId="77777777" w:rsidR="005B7CDF" w:rsidRDefault="00B15BF6">
      <w:pPr>
        <w:jc w:val="both"/>
        <w:rPr>
          <w:rFonts w:ascii="Times New Roman" w:hAnsi="Times New Roman" w:cs="Times New Roman"/>
          <w:sz w:val="24"/>
          <w:szCs w:val="24"/>
        </w:rPr>
      </w:pPr>
      <w:r>
        <w:rPr>
          <w:rFonts w:ascii="Times New Roman" w:hAnsi="Times New Roman" w:cs="Times New Roman"/>
          <w:sz w:val="24"/>
          <w:szCs w:val="24"/>
        </w:rPr>
        <w:t xml:space="preserve">The quality of prediction of the machine-learning models </w:t>
      </w:r>
      <w:r>
        <w:rPr>
          <w:rFonts w:ascii="Times New Roman" w:hAnsi="Times New Roman" w:cs="Times New Roman"/>
          <w:sz w:val="24"/>
          <w:szCs w:val="24"/>
        </w:rPr>
        <w:t>was evaluated by using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and root mean square error (RMSE). As shown in Figure 4, the model with the highest performance is the Random Forest (RF) with an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0.84 which explains the variation in maize yield of about 84</w:t>
      </w:r>
      <w:r>
        <w:rPr>
          <w:rFonts w:ascii="Times New Roman" w:hAnsi="Times New Roman" w:cs="Times New Roman"/>
          <w:sz w:val="24"/>
          <w:szCs w:val="24"/>
        </w:rPr>
        <w:t xml:space="preserve"> percent and the least prediction error (RMSE = 24). The Decision Tree (DT) was also a good performer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0.79; RMSE = 27), and the fact that it was represented as a single tree led to an increase in uncertainty. The Support Vector Machine (SVM) in contr</w:t>
      </w:r>
      <w:r>
        <w:rPr>
          <w:rFonts w:ascii="Times New Roman" w:hAnsi="Times New Roman" w:cs="Times New Roman"/>
          <w:sz w:val="24"/>
          <w:szCs w:val="24"/>
        </w:rPr>
        <w:t>ast demonstrated extremely poor predictive ability with negative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=0.03) and a much larger error (RMSE = 58) and was unable to predict the complex, non-linear relationships that drive maize yield. On the whole, ensemble learning through Random Forrest of</w:t>
      </w:r>
      <w:r>
        <w:rPr>
          <w:rFonts w:ascii="Times New Roman" w:hAnsi="Times New Roman" w:cs="Times New Roman"/>
          <w:sz w:val="24"/>
          <w:szCs w:val="24"/>
        </w:rPr>
        <w:t>fers the best framework model on prediction of maize yield in this research.</w:t>
      </w:r>
    </w:p>
    <w:p w14:paraId="34E2DE0A" w14:textId="77777777" w:rsidR="005B7CDF" w:rsidRDefault="005B7CDF">
      <w:pPr>
        <w:spacing w:line="240" w:lineRule="auto"/>
        <w:jc w:val="both"/>
        <w:rPr>
          <w:rFonts w:ascii="Times New Roman" w:hAnsi="Times New Roman" w:cs="Times New Roman"/>
          <w:sz w:val="24"/>
          <w:szCs w:val="24"/>
        </w:rPr>
      </w:pPr>
    </w:p>
    <w:p w14:paraId="7E6CE817"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A9F17FC" wp14:editId="1467D553">
            <wp:extent cx="4788535" cy="2420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90994" cy="2422037"/>
                    </a:xfrm>
                    <a:prstGeom prst="rect">
                      <a:avLst/>
                    </a:prstGeom>
                    <a:noFill/>
                    <a:ln>
                      <a:noFill/>
                    </a:ln>
                  </pic:spPr>
                </pic:pic>
              </a:graphicData>
            </a:graphic>
          </wp:inline>
        </w:drawing>
      </w:r>
    </w:p>
    <w:p w14:paraId="3310BEF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Figure 4: Performance of Machine Learning Model</w:t>
      </w:r>
    </w:p>
    <w:p w14:paraId="247B6A25"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scatter plots of the observed and the predicted values had significant diagnostic patterns. Random Forest forecasts were tig</w:t>
      </w:r>
      <w:r>
        <w:rPr>
          <w:rFonts w:ascii="Times New Roman" w:hAnsi="Times New Roman" w:cs="Times New Roman"/>
          <w:sz w:val="24"/>
          <w:szCs w:val="24"/>
        </w:rPr>
        <w:t>htly clustered about the identity line throughout the entire yield space, suggesting that there was little systematic bias (Figure 5). The SVM predictions also had higher dispersion especially at extreme yield values indicating that the kernel-based method</w:t>
      </w:r>
      <w:r>
        <w:rPr>
          <w:rFonts w:ascii="Times New Roman" w:hAnsi="Times New Roman" w:cs="Times New Roman"/>
          <w:sz w:val="24"/>
          <w:szCs w:val="24"/>
        </w:rPr>
        <w:t>s cannot be as stable at the tail of the distribution (Figure 6). The predictions of Decision Tree revealed some evidence of apparent over-smoothing at high yield and lacks variability in prediction, as the algorithm is recursive partitioning, and is guilt</w:t>
      </w:r>
      <w:r>
        <w:rPr>
          <w:rFonts w:ascii="Times New Roman" w:hAnsi="Times New Roman" w:cs="Times New Roman"/>
          <w:sz w:val="24"/>
          <w:szCs w:val="24"/>
        </w:rPr>
        <w:t>y of prediction conservatism (Figure 7).</w:t>
      </w:r>
    </w:p>
    <w:p w14:paraId="2DA3C171" w14:textId="77777777" w:rsidR="005B7CDF" w:rsidRDefault="00B15BF6">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6F7C29" wp14:editId="45FB14C6">
            <wp:extent cx="4759960" cy="293687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763454" cy="2939557"/>
                    </a:xfrm>
                    <a:prstGeom prst="rect">
                      <a:avLst/>
                    </a:prstGeom>
                    <a:noFill/>
                    <a:ln>
                      <a:noFill/>
                    </a:ln>
                  </pic:spPr>
                </pic:pic>
              </a:graphicData>
            </a:graphic>
          </wp:inline>
        </w:drawing>
      </w:r>
    </w:p>
    <w:p w14:paraId="7E40E822"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Figure 5: Scatter Plot of Random Forest Model</w:t>
      </w:r>
    </w:p>
    <w:p w14:paraId="1B16699F" w14:textId="77777777" w:rsidR="005B7CDF" w:rsidRDefault="005B7CDF">
      <w:pPr>
        <w:spacing w:line="240" w:lineRule="auto"/>
        <w:rPr>
          <w:rFonts w:ascii="Times New Roman" w:hAnsi="Times New Roman" w:cs="Times New Roman"/>
          <w:sz w:val="24"/>
          <w:szCs w:val="24"/>
        </w:rPr>
      </w:pPr>
    </w:p>
    <w:p w14:paraId="45DEC99C" w14:textId="77777777" w:rsidR="005B7CDF" w:rsidRDefault="005B7CDF">
      <w:pPr>
        <w:spacing w:line="240" w:lineRule="auto"/>
        <w:rPr>
          <w:rFonts w:ascii="Times New Roman" w:hAnsi="Times New Roman" w:cs="Times New Roman"/>
          <w:sz w:val="24"/>
          <w:szCs w:val="24"/>
        </w:rPr>
      </w:pPr>
    </w:p>
    <w:p w14:paraId="0EE93F24"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C58CEB7" wp14:editId="05FF13B5">
            <wp:extent cx="5731510" cy="35369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31510" cy="3536950"/>
                    </a:xfrm>
                    <a:prstGeom prst="rect">
                      <a:avLst/>
                    </a:prstGeom>
                    <a:noFill/>
                    <a:ln>
                      <a:noFill/>
                    </a:ln>
                  </pic:spPr>
                </pic:pic>
              </a:graphicData>
            </a:graphic>
          </wp:inline>
        </w:drawing>
      </w:r>
    </w:p>
    <w:p w14:paraId="2527F6E9"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Figure 6: Scatter Plot of SVM Model</w:t>
      </w:r>
    </w:p>
    <w:p w14:paraId="09381048"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A3B656" wp14:editId="1496C1D5">
            <wp:extent cx="5731510" cy="3536950"/>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31510" cy="3536950"/>
                    </a:xfrm>
                    <a:prstGeom prst="rect">
                      <a:avLst/>
                    </a:prstGeom>
                    <a:noFill/>
                    <a:ln>
                      <a:noFill/>
                    </a:ln>
                  </pic:spPr>
                </pic:pic>
              </a:graphicData>
            </a:graphic>
          </wp:inline>
        </w:drawing>
      </w:r>
    </w:p>
    <w:p w14:paraId="46D54025" w14:textId="77777777" w:rsidR="005B7CDF" w:rsidRDefault="00B15BF6">
      <w:pPr>
        <w:spacing w:line="240" w:lineRule="auto"/>
        <w:rPr>
          <w:rFonts w:ascii="Times New Roman" w:hAnsi="Times New Roman" w:cs="Times New Roman"/>
          <w:sz w:val="24"/>
          <w:szCs w:val="24"/>
        </w:rPr>
      </w:pPr>
      <w:r>
        <w:rPr>
          <w:rFonts w:ascii="Times New Roman" w:hAnsi="Times New Roman" w:cs="Times New Roman"/>
          <w:sz w:val="24"/>
          <w:szCs w:val="24"/>
        </w:rPr>
        <w:t>Figure 7: Scatter Plot of Decision Tree Model</w:t>
      </w:r>
    </w:p>
    <w:p w14:paraId="7E0AA8CC" w14:textId="77777777" w:rsidR="005B7CDF" w:rsidRDefault="005B7CDF">
      <w:pPr>
        <w:spacing w:line="240" w:lineRule="auto"/>
        <w:rPr>
          <w:rFonts w:ascii="Times New Roman" w:hAnsi="Times New Roman" w:cs="Times New Roman"/>
          <w:sz w:val="24"/>
          <w:szCs w:val="24"/>
        </w:rPr>
      </w:pPr>
    </w:p>
    <w:p w14:paraId="79FAA6B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Variable Importance and Feature Contributions</w:t>
      </w:r>
      <w:r>
        <w:rPr>
          <w:rFonts w:ascii="Times New Roman" w:hAnsi="Times New Roman" w:cs="Times New Roman"/>
          <w:sz w:val="24"/>
          <w:szCs w:val="24"/>
        </w:rPr>
        <w:t>.</w:t>
      </w:r>
    </w:p>
    <w:p w14:paraId="1FDBEB58"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Random Forest permutation </w:t>
      </w:r>
      <w:r>
        <w:rPr>
          <w:rFonts w:ascii="Times New Roman" w:hAnsi="Times New Roman" w:cs="Times New Roman"/>
          <w:sz w:val="24"/>
          <w:szCs w:val="24"/>
        </w:rPr>
        <w:t>importance (percent Incremental square error) (percent Incremental square error) and node purity (</w:t>
      </w:r>
      <w:proofErr w:type="spellStart"/>
      <w:r>
        <w:rPr>
          <w:rFonts w:ascii="Times New Roman" w:hAnsi="Times New Roman" w:cs="Times New Roman"/>
          <w:sz w:val="24"/>
          <w:szCs w:val="24"/>
        </w:rPr>
        <w:t>IncNodePurity</w:t>
      </w:r>
      <w:proofErr w:type="spellEnd"/>
      <w:r>
        <w:rPr>
          <w:rFonts w:ascii="Times New Roman" w:hAnsi="Times New Roman" w:cs="Times New Roman"/>
          <w:sz w:val="24"/>
          <w:szCs w:val="24"/>
        </w:rPr>
        <w:t xml:space="preserve">) were used to estimate the contribution of a feature. </w:t>
      </w:r>
      <w:proofErr w:type="spellStart"/>
      <w:r>
        <w:rPr>
          <w:rFonts w:ascii="Times New Roman" w:hAnsi="Times New Roman" w:cs="Times New Roman"/>
          <w:sz w:val="24"/>
          <w:szCs w:val="24"/>
        </w:rPr>
        <w:t>Location_id</w:t>
      </w:r>
      <w:proofErr w:type="spellEnd"/>
      <w:r>
        <w:rPr>
          <w:rFonts w:ascii="Times New Roman" w:hAnsi="Times New Roman" w:cs="Times New Roman"/>
          <w:sz w:val="24"/>
          <w:szCs w:val="24"/>
        </w:rPr>
        <w:t xml:space="preserve"> was the top modulator, and permutation increased error by around 52 percent an</w:t>
      </w:r>
      <w:r>
        <w:rPr>
          <w:rFonts w:ascii="Times New Roman" w:hAnsi="Times New Roman" w:cs="Times New Roman"/>
          <w:sz w:val="24"/>
          <w:szCs w:val="24"/>
        </w:rPr>
        <w:t>d node purity to about 1.55 x 10</w:t>
      </w:r>
      <w:r>
        <w:rPr>
          <w:rFonts w:ascii="Times New Roman" w:hAnsi="Times New Roman" w:cs="Times New Roman"/>
          <w:sz w:val="24"/>
          <w:szCs w:val="24"/>
          <w:vertAlign w:val="superscript"/>
        </w:rPr>
        <w:t>6</w:t>
      </w:r>
      <w:r>
        <w:rPr>
          <w:rFonts w:ascii="Times New Roman" w:hAnsi="Times New Roman" w:cs="Times New Roman"/>
          <w:sz w:val="24"/>
          <w:szCs w:val="24"/>
        </w:rPr>
        <w:t>, which indicated the strong spatial control of yield. The ranges and rows came next, with error doubling by the factor of 30 and 26, and purity values of 6.0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and 7.0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respectively, which are large within-field </w:t>
      </w:r>
      <w:r>
        <w:rPr>
          <w:rFonts w:ascii="Times New Roman" w:hAnsi="Times New Roman" w:cs="Times New Roman"/>
          <w:sz w:val="24"/>
          <w:szCs w:val="24"/>
        </w:rPr>
        <w:t>effects. Nitrogen was moderately affecting it, increasing error by approximately 21% (≈ 3.0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purity), which validates agronomic applicability. </w:t>
      </w:r>
      <w:proofErr w:type="spellStart"/>
      <w:r>
        <w:rPr>
          <w:rFonts w:ascii="Times New Roman" w:hAnsi="Times New Roman" w:cs="Times New Roman"/>
          <w:sz w:val="24"/>
          <w:szCs w:val="24"/>
        </w:rPr>
        <w:t>Genotypeid</w:t>
      </w:r>
      <w:proofErr w:type="spellEnd"/>
      <w:r>
        <w:rPr>
          <w:rFonts w:ascii="Times New Roman" w:hAnsi="Times New Roman" w:cs="Times New Roman"/>
          <w:sz w:val="24"/>
          <w:szCs w:val="24"/>
        </w:rPr>
        <w:t xml:space="preserve"> made the most insignificant contribution, whereby the error increment was only approximately 9% a</w:t>
      </w:r>
      <w:r>
        <w:rPr>
          <w:rFonts w:ascii="Times New Roman" w:hAnsi="Times New Roman" w:cs="Times New Roman"/>
          <w:sz w:val="24"/>
          <w:szCs w:val="24"/>
        </w:rPr>
        <w:t>nd ≈ 1.5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purity. Such findings indicate that spatial and management variables are more influential in explaining yield variability of maize beyond genetic influences.</w:t>
      </w:r>
    </w:p>
    <w:p w14:paraId="52E04F7B"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96D1E1" wp14:editId="12FEAC36">
            <wp:extent cx="5731510" cy="3536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31510" cy="3536950"/>
                    </a:xfrm>
                    <a:prstGeom prst="rect">
                      <a:avLst/>
                    </a:prstGeom>
                    <a:noFill/>
                    <a:ln>
                      <a:noFill/>
                    </a:ln>
                  </pic:spPr>
                </pic:pic>
              </a:graphicData>
            </a:graphic>
          </wp:inline>
        </w:drawing>
      </w:r>
    </w:p>
    <w:p w14:paraId="02560A96" w14:textId="7165F1E9"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9F18A2">
        <w:rPr>
          <w:rFonts w:ascii="Times New Roman" w:hAnsi="Times New Roman" w:cs="Times New Roman"/>
          <w:sz w:val="24"/>
          <w:szCs w:val="24"/>
        </w:rPr>
        <w:t>8</w:t>
      </w:r>
      <w:r>
        <w:rPr>
          <w:rFonts w:ascii="Times New Roman" w:hAnsi="Times New Roman" w:cs="Times New Roman"/>
          <w:sz w:val="24"/>
          <w:szCs w:val="24"/>
        </w:rPr>
        <w:t>: Variable Importance and Feature Contributions</w:t>
      </w:r>
    </w:p>
    <w:p w14:paraId="39E0DB5C" w14:textId="77777777" w:rsidR="005B7CDF" w:rsidRDefault="00B15BF6">
      <w:pPr>
        <w:pStyle w:val="Heading2"/>
        <w:jc w:val="both"/>
        <w:rPr>
          <w:sz w:val="24"/>
          <w:szCs w:val="24"/>
        </w:rPr>
      </w:pPr>
      <w:r>
        <w:rPr>
          <w:sz w:val="24"/>
          <w:szCs w:val="24"/>
        </w:rPr>
        <w:t>Discussion</w:t>
      </w:r>
    </w:p>
    <w:p w14:paraId="024C1B1D" w14:textId="77777777" w:rsidR="005B7CDF" w:rsidRDefault="00B15BF6">
      <w:pPr>
        <w:pStyle w:val="Heading3"/>
        <w:spacing w:after="200" w:line="240" w:lineRule="auto"/>
        <w:jc w:val="both"/>
        <w:rPr>
          <w:rFonts w:ascii="Times New Roman" w:hAnsi="Times New Roman" w:cs="Times New Roman"/>
          <w:b/>
          <w:i/>
          <w:iCs/>
          <w:color w:val="auto"/>
        </w:rPr>
      </w:pPr>
      <w:r>
        <w:rPr>
          <w:rFonts w:ascii="Times New Roman" w:hAnsi="Times New Roman" w:cs="Times New Roman"/>
          <w:b/>
          <w:i/>
          <w:iCs/>
          <w:color w:val="auto"/>
        </w:rPr>
        <w:t>Alignment with</w:t>
      </w:r>
      <w:r>
        <w:rPr>
          <w:rFonts w:ascii="Times New Roman" w:hAnsi="Times New Roman" w:cs="Times New Roman"/>
          <w:b/>
          <w:i/>
          <w:iCs/>
          <w:color w:val="auto"/>
        </w:rPr>
        <w:t xml:space="preserve"> Agricultural Machine Learning Literature</w:t>
      </w:r>
    </w:p>
    <w:p w14:paraId="3CB8E4FA"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These findings are in line with recent meta-analyses that have shown that the use of an ensemble method is always better than a single-tree method in predicting the agricultural yields. R2 values Sharma et al. (202</w:t>
      </w:r>
      <w:r>
        <w:rPr>
          <w:rFonts w:ascii="Times New Roman" w:hAnsi="Times New Roman" w:cs="Times New Roman"/>
          <w:sz w:val="24"/>
          <w:szCs w:val="24"/>
        </w:rPr>
        <w:t>1) noted that R2 between 0.62-0.75 are normal in crop prediction studies, and this study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of 0.84 by the Random Forest is within this error margin, confirming this study approach to the model and the quality of the data. The fact that ensemble methods ou</w:t>
      </w:r>
      <w:r>
        <w:rPr>
          <w:rFonts w:ascii="Times New Roman" w:hAnsi="Times New Roman" w:cs="Times New Roman"/>
          <w:sz w:val="24"/>
          <w:szCs w:val="24"/>
        </w:rPr>
        <w:t xml:space="preserve">tperform decision trees supports the hypothesis: ensemble diversity due to bootstrapping sampling and </w:t>
      </w:r>
      <w:r>
        <w:rPr>
          <w:rFonts w:ascii="Times New Roman" w:hAnsi="Times New Roman" w:cs="Times New Roman"/>
          <w:sz w:val="24"/>
          <w:szCs w:val="24"/>
        </w:rPr>
        <w:lastRenderedPageBreak/>
        <w:t>random selection of features is a successful method to decrease the prediction variance, which is also present in performing agricultural machine learning</w:t>
      </w:r>
      <w:r>
        <w:rPr>
          <w:rFonts w:ascii="Times New Roman" w:hAnsi="Times New Roman" w:cs="Times New Roman"/>
          <w:sz w:val="24"/>
          <w:szCs w:val="24"/>
        </w:rPr>
        <w:t xml:space="preserve"> tasks (Liakos et al., 2018).</w:t>
      </w:r>
    </w:p>
    <w:p w14:paraId="1C352291"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discovery that location effects (F = 1963) are very significant and dominate the nitrogen effects (F = 31.2) has a very important implication on the study of precision agriculture. Although the significance of nitrogen man</w:t>
      </w:r>
      <w:r>
        <w:rPr>
          <w:rFonts w:ascii="Times New Roman" w:hAnsi="Times New Roman" w:cs="Times New Roman"/>
          <w:sz w:val="24"/>
          <w:szCs w:val="24"/>
        </w:rPr>
        <w:t>agement in agronomic literature frequently focuses on the topic, our findings highlight that location-specific variables - including unmeasured soil heterogeneity, microclimate heterogeneity, and pest/disease pressure - contribute significantly more variab</w:t>
      </w:r>
      <w:r>
        <w:rPr>
          <w:rFonts w:ascii="Times New Roman" w:hAnsi="Times New Roman" w:cs="Times New Roman"/>
          <w:sz w:val="24"/>
          <w:szCs w:val="24"/>
        </w:rPr>
        <w:t>ility in yields than management of explicit fertilizer. This observation indicates that proper predictions of yield are only possible with proper environmental characterization and place-specific model calibration and not with generic functions defining th</w:t>
      </w:r>
      <w:r>
        <w:rPr>
          <w:rFonts w:ascii="Times New Roman" w:hAnsi="Times New Roman" w:cs="Times New Roman"/>
          <w:sz w:val="24"/>
          <w:szCs w:val="24"/>
        </w:rPr>
        <w:t>e response of nitrogen.</w:t>
      </w:r>
    </w:p>
    <w:p w14:paraId="3D7BD3B1"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high value of the interaction between location and nitrogen (p &lt; .001) suggests that the best application of nitrogen is environment-specific and contributes to location-specific agronomic advice. These effects of interactions a</w:t>
      </w:r>
      <w:r>
        <w:rPr>
          <w:rFonts w:ascii="Times New Roman" w:hAnsi="Times New Roman" w:cs="Times New Roman"/>
          <w:sz w:val="24"/>
          <w:szCs w:val="24"/>
        </w:rPr>
        <w:t>re implicitly represented in our machine learning framework, without having to specify the parametric structure of these interactions, which shows the usefulness of algorithmic methods in complex agricultural systems, where the interaction structure is pot</w:t>
      </w:r>
      <w:r>
        <w:rPr>
          <w:rFonts w:ascii="Times New Roman" w:hAnsi="Times New Roman" w:cs="Times New Roman"/>
          <w:sz w:val="24"/>
          <w:szCs w:val="24"/>
        </w:rPr>
        <w:t>entially nonlinear and context-dependent (Tuia et al., 2016).</w:t>
      </w:r>
    </w:p>
    <w:p w14:paraId="5274FDEC"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t>Model Choice and Application.</w:t>
      </w:r>
    </w:p>
    <w:p w14:paraId="6D3E31A8"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moderate performance of the generalization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0.84) reflects the fact that although machine learning models do give a meaningful prediction of the yields, ar</w:t>
      </w:r>
      <w:r>
        <w:rPr>
          <w:rFonts w:ascii="Times New Roman" w:hAnsi="Times New Roman" w:cs="Times New Roman"/>
          <w:sz w:val="24"/>
          <w:szCs w:val="24"/>
        </w:rPr>
        <w:t>ound 16 percent of all yield variance is not explained. The unexplained variance probably consists of environmental factors (mineralogy of soil, presence of a particular pest/disease, timing of weather stress, etc.) that are not directly quantifiable as ge</w:t>
      </w:r>
      <w:r>
        <w:rPr>
          <w:rFonts w:ascii="Times New Roman" w:hAnsi="Times New Roman" w:cs="Times New Roman"/>
          <w:sz w:val="24"/>
          <w:szCs w:val="24"/>
        </w:rPr>
        <w:t>notype phenotype interactions (as measured by hybrids), as well as measurement error associated with field studies. Our interpretations of agronomy are pragmatic: our models can be used to support the decision-support systems of breeding programs and to op</w:t>
      </w:r>
      <w:r>
        <w:rPr>
          <w:rFonts w:ascii="Times New Roman" w:hAnsi="Times New Roman" w:cs="Times New Roman"/>
          <w:sz w:val="24"/>
          <w:szCs w:val="24"/>
        </w:rPr>
        <w:t>timize the use of fertilizers, but they cannot be used alone in making high-stakes choices, without reference to our agronomic understanding and our understanding of place.</w:t>
      </w:r>
    </w:p>
    <w:p w14:paraId="0603DB97"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 excellent performance of the random forest compared with the SVM and trees, cou</w:t>
      </w:r>
      <w:r>
        <w:rPr>
          <w:rFonts w:ascii="Times New Roman" w:hAnsi="Times New Roman" w:cs="Times New Roman"/>
          <w:sz w:val="24"/>
          <w:szCs w:val="24"/>
        </w:rPr>
        <w:t>pled with its efficiency and ability to handle outliers, support the use of the random forest in any operational prediction system. The interpretability benefit of decision trees, however, namely the ability to explicitly demonstrate the effects of locatio</w:t>
      </w:r>
      <w:r>
        <w:rPr>
          <w:rFonts w:ascii="Times New Roman" w:hAnsi="Times New Roman" w:cs="Times New Roman"/>
          <w:sz w:val="24"/>
          <w:szCs w:val="24"/>
        </w:rPr>
        <w:t>n, genotype, and nitrogen on prediction, can be useful to stakeholder communication in farmer outreach programs. To achieve both technical and communication goals, a hybrid model based on the random forest to predict the accuracy of the predictions and the</w:t>
      </w:r>
      <w:r>
        <w:rPr>
          <w:rFonts w:ascii="Times New Roman" w:hAnsi="Times New Roman" w:cs="Times New Roman"/>
          <w:sz w:val="24"/>
          <w:szCs w:val="24"/>
        </w:rPr>
        <w:t xml:space="preserve"> use of decision trees to explain them would be the best.</w:t>
      </w:r>
    </w:p>
    <w:p w14:paraId="5D0BF683"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sz w:val="24"/>
          <w:szCs w:val="24"/>
        </w:rPr>
        <w:t>Hypothetical Theoretical Implications on Agricultural Machine Learning Method.</w:t>
      </w:r>
    </w:p>
    <w:p w14:paraId="2EFCE472"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This work adds to the growing body of evidence that machine learning algorithms are useful in capturing location-specif</w:t>
      </w:r>
      <w:r>
        <w:rPr>
          <w:rFonts w:ascii="Times New Roman" w:hAnsi="Times New Roman" w:cs="Times New Roman"/>
          <w:sz w:val="24"/>
          <w:szCs w:val="24"/>
        </w:rPr>
        <w:t xml:space="preserve">ic prediction rules where location is added as an explicit predictor and results are similar to location-specific models, yet it has a statistical power of pooled analysis. Through this method, which as a predictor variable incorporates location, but does </w:t>
      </w:r>
      <w:r>
        <w:rPr>
          <w:rFonts w:ascii="Times New Roman" w:hAnsi="Times New Roman" w:cs="Times New Roman"/>
          <w:sz w:val="24"/>
          <w:szCs w:val="24"/>
        </w:rPr>
        <w:t>not stratify analyses by location, information is shared across environments, without any loss in location-specific flexibility, a methodological approach that is more broadly applicable to agricultural research across multiple environments.</w:t>
      </w:r>
    </w:p>
    <w:p w14:paraId="36D4AF9F" w14:textId="77777777" w:rsidR="005B7CDF" w:rsidRDefault="00B15BF6">
      <w:pPr>
        <w:rPr>
          <w:rFonts w:ascii="Times New Roman" w:hAnsi="Times New Roman" w:cs="Times New Roman"/>
          <w:sz w:val="24"/>
          <w:szCs w:val="24"/>
        </w:rPr>
      </w:pPr>
      <w:r>
        <w:rPr>
          <w:rFonts w:ascii="Times New Roman" w:hAnsi="Times New Roman" w:cs="Times New Roman"/>
          <w:sz w:val="24"/>
          <w:szCs w:val="24"/>
        </w:rPr>
        <w:br w:type="page"/>
      </w:r>
    </w:p>
    <w:p w14:paraId="1862482C" w14:textId="77777777" w:rsidR="005B7CDF" w:rsidRDefault="00B15BF6">
      <w:pPr>
        <w:spacing w:line="240" w:lineRule="auto"/>
        <w:jc w:val="both"/>
        <w:rPr>
          <w:rFonts w:ascii="Times New Roman" w:hAnsi="Times New Roman" w:cs="Times New Roman"/>
          <w:b/>
          <w:i/>
          <w:iCs/>
          <w:sz w:val="24"/>
          <w:szCs w:val="24"/>
        </w:rPr>
      </w:pPr>
      <w:r>
        <w:rPr>
          <w:rFonts w:ascii="Times New Roman" w:hAnsi="Times New Roman" w:cs="Times New Roman"/>
          <w:b/>
          <w:i/>
          <w:iCs/>
          <w:sz w:val="24"/>
          <w:szCs w:val="24"/>
        </w:rPr>
        <w:lastRenderedPageBreak/>
        <w:t>Implications</w:t>
      </w:r>
      <w:r>
        <w:rPr>
          <w:rFonts w:ascii="Times New Roman" w:hAnsi="Times New Roman" w:cs="Times New Roman"/>
          <w:b/>
          <w:i/>
          <w:iCs/>
          <w:sz w:val="24"/>
          <w:szCs w:val="24"/>
        </w:rPr>
        <w:t xml:space="preserve"> and Conclusions.</w:t>
      </w:r>
    </w:p>
    <w:p w14:paraId="0D77788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We have shown in our comparative machine learning framework that the Random Forest and Decision Tree algorithms were significantly better than the decision tree benchmarks, as the random forest model showed a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0.84 and an RMSE = 24 bu</w:t>
      </w:r>
      <w:r>
        <w:rPr>
          <w:rFonts w:ascii="Times New Roman" w:hAnsi="Times New Roman" w:cs="Times New Roman"/>
          <w:sz w:val="24"/>
          <w:szCs w:val="24"/>
        </w:rPr>
        <w:t>shels per acre. These findings confirm that machine learning methods can be useful towards precision agriculture applications and that precise yield prediction models must combine agronomic, genetic data, and place-specific environmental variables.</w:t>
      </w:r>
    </w:p>
    <w:p w14:paraId="3B58BEBF"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b/>
          <w:sz w:val="24"/>
          <w:szCs w:val="24"/>
        </w:rPr>
        <w:t>Researc</w:t>
      </w:r>
      <w:r>
        <w:rPr>
          <w:rFonts w:ascii="Times New Roman" w:hAnsi="Times New Roman" w:cs="Times New Roman"/>
          <w:b/>
          <w:sz w:val="24"/>
          <w:szCs w:val="24"/>
        </w:rPr>
        <w:t>h Implications:</w:t>
      </w:r>
      <w:r>
        <w:rPr>
          <w:rFonts w:ascii="Times New Roman" w:hAnsi="Times New Roman" w:cs="Times New Roman"/>
          <w:sz w:val="24"/>
          <w:szCs w:val="24"/>
        </w:rPr>
        <w:t xml:space="preserve"> The research would add to the existing body of literature in </w:t>
      </w:r>
      <w:proofErr w:type="spellStart"/>
      <w:r>
        <w:rPr>
          <w:rFonts w:ascii="Times New Roman" w:hAnsi="Times New Roman" w:cs="Times New Roman"/>
          <w:sz w:val="24"/>
          <w:szCs w:val="24"/>
        </w:rPr>
        <w:t>favor</w:t>
      </w:r>
      <w:proofErr w:type="spellEnd"/>
      <w:r>
        <w:rPr>
          <w:rFonts w:ascii="Times New Roman" w:hAnsi="Times New Roman" w:cs="Times New Roman"/>
          <w:sz w:val="24"/>
          <w:szCs w:val="24"/>
        </w:rPr>
        <w:t xml:space="preserve"> of machine learning usage in crop enhancement and accuracy agriculture. The methodology framework - overt combination of place influence, stratified information sectioning a</w:t>
      </w:r>
      <w:r>
        <w:rPr>
          <w:rFonts w:ascii="Times New Roman" w:hAnsi="Times New Roman" w:cs="Times New Roman"/>
          <w:sz w:val="24"/>
          <w:szCs w:val="24"/>
        </w:rPr>
        <w:t>nd place-based execution evaluation offers replicable guidelines on how comparable studies can be broadened to new crops and areas.</w:t>
      </w:r>
    </w:p>
    <w:p w14:paraId="569A7316"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b/>
          <w:sz w:val="24"/>
          <w:szCs w:val="24"/>
        </w:rPr>
        <w:t>Practical Implications:</w:t>
      </w:r>
      <w:r>
        <w:rPr>
          <w:rFonts w:ascii="Times New Roman" w:hAnsi="Times New Roman" w:cs="Times New Roman"/>
          <w:sz w:val="24"/>
          <w:szCs w:val="24"/>
        </w:rPr>
        <w:t xml:space="preserve"> In the context of plant breeding initiatives, our models can help in the optimization of hybrid sele</w:t>
      </w:r>
      <w:r>
        <w:rPr>
          <w:rFonts w:ascii="Times New Roman" w:hAnsi="Times New Roman" w:cs="Times New Roman"/>
          <w:sz w:val="24"/>
          <w:szCs w:val="24"/>
        </w:rPr>
        <w:t>ction in varied environments. To the farm management, the specified significance of location-specific factors suggests the use of agronomic prescriptions that are not universal to provide agronomic recommendations.</w:t>
      </w:r>
    </w:p>
    <w:p w14:paraId="7E3DFAB1"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sz w:val="24"/>
          <w:szCs w:val="24"/>
        </w:rPr>
        <w:t>Limitations</w:t>
      </w:r>
    </w:p>
    <w:p w14:paraId="2AC74121"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There are a number of limitat</w:t>
      </w:r>
      <w:r>
        <w:rPr>
          <w:rFonts w:ascii="Times New Roman" w:hAnsi="Times New Roman" w:cs="Times New Roman"/>
          <w:sz w:val="24"/>
          <w:szCs w:val="24"/>
        </w:rPr>
        <w:t xml:space="preserve">ions that need to be recognized. To start with, four locations are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in Corn Belt, geographic generalization outside the area needs to be proven. Second, models do not exploit the genetic variation available by using genetic marker information but a</w:t>
      </w:r>
      <w:r>
        <w:rPr>
          <w:rFonts w:ascii="Times New Roman" w:hAnsi="Times New Roman" w:cs="Times New Roman"/>
          <w:sz w:val="24"/>
          <w:szCs w:val="24"/>
        </w:rPr>
        <w:t>s a categorical variable, hybrid identifier. Third, weather data in the growing season were not incorporated, which could probably be the reason behind a significant amount of residual variance. Fourth, the differences in heterogeneous variances observed b</w:t>
      </w:r>
      <w:r>
        <w:rPr>
          <w:rFonts w:ascii="Times New Roman" w:hAnsi="Times New Roman" w:cs="Times New Roman"/>
          <w:sz w:val="24"/>
          <w:szCs w:val="24"/>
        </w:rPr>
        <w:t>etween groups (Levene test p &lt;.001) raises a possibility of heteroscedastic prediction error that is not taken care by quantile regression or heteroscedasticity-adjusted.</w:t>
      </w:r>
    </w:p>
    <w:p w14:paraId="391A46F6" w14:textId="77777777" w:rsidR="005B7CDF" w:rsidRDefault="00B15BF6">
      <w:pPr>
        <w:spacing w:line="24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40211925" w14:textId="77777777" w:rsidR="005B7CDF" w:rsidRDefault="00B15B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Dealing with growing season weather parameters (temperature stress </w:t>
      </w:r>
      <w:r>
        <w:rPr>
          <w:rFonts w:ascii="Times New Roman" w:hAnsi="Times New Roman" w:cs="Times New Roman"/>
          <w:sz w:val="24"/>
          <w:szCs w:val="24"/>
        </w:rPr>
        <w:t>cumulative indices, precipitation patterns, heat unit accumulation) should be considered in future research to enhance model performances. High-dimensional genomic data integration using dimension reduction methods may be a superior way of representing gen</w:t>
      </w:r>
      <w:r>
        <w:rPr>
          <w:rFonts w:ascii="Times New Roman" w:hAnsi="Times New Roman" w:cs="Times New Roman"/>
          <w:sz w:val="24"/>
          <w:szCs w:val="24"/>
        </w:rPr>
        <w:t>etic complexity beyond hybrid identity. Cross-location generalization could be better with transfer learning to develop location-specific model variants. Lastly, the use of ensemble prediction intervals as opposed to point predictions would ensure that the</w:t>
      </w:r>
      <w:r>
        <w:rPr>
          <w:rFonts w:ascii="Times New Roman" w:hAnsi="Times New Roman" w:cs="Times New Roman"/>
          <w:sz w:val="24"/>
          <w:szCs w:val="24"/>
        </w:rPr>
        <w:t xml:space="preserve"> decision-makers are able to access some quantification of uncertainty as well as make risk-sensitive farm management decisions.</w:t>
      </w:r>
    </w:p>
    <w:p w14:paraId="38BC4356" w14:textId="77777777" w:rsidR="00AC6C75" w:rsidRDefault="00AC6C75">
      <w:pPr>
        <w:spacing w:line="240" w:lineRule="auto"/>
        <w:jc w:val="both"/>
        <w:rPr>
          <w:rFonts w:ascii="Times New Roman" w:hAnsi="Times New Roman" w:cs="Times New Roman"/>
          <w:sz w:val="24"/>
          <w:szCs w:val="24"/>
        </w:rPr>
      </w:pPr>
    </w:p>
    <w:p w14:paraId="4CF2CD76" w14:textId="77777777" w:rsidR="00AC6C75" w:rsidRDefault="00AC6C75">
      <w:pPr>
        <w:spacing w:line="240" w:lineRule="auto"/>
        <w:jc w:val="both"/>
        <w:rPr>
          <w:rFonts w:ascii="Times New Roman" w:hAnsi="Times New Roman" w:cs="Times New Roman"/>
          <w:sz w:val="24"/>
          <w:szCs w:val="24"/>
        </w:rPr>
      </w:pPr>
    </w:p>
    <w:p w14:paraId="03F5DC8F" w14:textId="77777777" w:rsidR="00AC6C75" w:rsidRPr="00AC6C75" w:rsidRDefault="00AC6C75" w:rsidP="00AC6C75">
      <w:pPr>
        <w:spacing w:line="240" w:lineRule="auto"/>
        <w:jc w:val="both"/>
        <w:rPr>
          <w:rFonts w:ascii="Times New Roman" w:hAnsi="Times New Roman" w:cs="Times New Roman"/>
          <w:sz w:val="24"/>
          <w:szCs w:val="24"/>
        </w:rPr>
      </w:pPr>
      <w:r w:rsidRPr="00AC6C75">
        <w:rPr>
          <w:rFonts w:ascii="Times New Roman" w:hAnsi="Times New Roman" w:cs="Times New Roman"/>
          <w:sz w:val="24"/>
          <w:szCs w:val="24"/>
        </w:rPr>
        <w:t>COMPETING INTERESTS DISCLAIMER:</w:t>
      </w:r>
    </w:p>
    <w:p w14:paraId="1F428DB5" w14:textId="0A1B01E4" w:rsidR="00AC6C75" w:rsidRDefault="00AC6C75" w:rsidP="00AC6C75">
      <w:pPr>
        <w:spacing w:line="240" w:lineRule="auto"/>
        <w:jc w:val="both"/>
        <w:rPr>
          <w:rFonts w:ascii="Times New Roman" w:hAnsi="Times New Roman" w:cs="Times New Roman"/>
          <w:sz w:val="24"/>
          <w:szCs w:val="24"/>
        </w:rPr>
      </w:pPr>
      <w:r w:rsidRPr="00AC6C7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A143F22" w14:textId="77777777" w:rsidR="005B7CDF" w:rsidRDefault="00B15BF6">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References</w:t>
      </w:r>
    </w:p>
    <w:p w14:paraId="05C6E18F" w14:textId="77777777" w:rsidR="005B7CDF" w:rsidRDefault="005B7CDF">
      <w:pPr>
        <w:spacing w:line="240" w:lineRule="auto"/>
        <w:rPr>
          <w:rFonts w:ascii="Times New Roman" w:hAnsi="Times New Roman" w:cs="Times New Roman"/>
          <w:sz w:val="24"/>
          <w:szCs w:val="24"/>
        </w:rPr>
      </w:pPr>
    </w:p>
    <w:p w14:paraId="39C7D522" w14:textId="77777777" w:rsidR="005B7CDF" w:rsidRDefault="00B15BF6">
      <w:pPr>
        <w:spacing w:before="100" w:beforeAutospacing="1" w:after="0" w:line="240" w:lineRule="auto"/>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Abbasi, M., Váz, P., Silva, J., &amp; Martins, P. (2025). Machine learning approaches for predicting maize biomass yield: Leveraging feature </w:t>
      </w:r>
      <w:r>
        <w:rPr>
          <w:rFonts w:ascii="Times New Roman" w:hAnsi="Times New Roman" w:cs="Times New Roman"/>
          <w:sz w:val="24"/>
          <w:szCs w:val="24"/>
        </w:rPr>
        <w:t>engineering and comprehensive data integration. </w:t>
      </w:r>
      <w:r>
        <w:rPr>
          <w:rFonts w:ascii="Times New Roman" w:hAnsi="Times New Roman" w:cs="Times New Roman"/>
          <w:i/>
          <w:iCs/>
          <w:sz w:val="24"/>
          <w:szCs w:val="24"/>
        </w:rPr>
        <w:t>Sustainability</w:t>
      </w:r>
      <w:r>
        <w:rPr>
          <w:rFonts w:ascii="Times New Roman" w:hAnsi="Times New Roman" w:cs="Times New Roman"/>
          <w:sz w:val="24"/>
          <w:szCs w:val="24"/>
        </w:rPr>
        <w:t>, </w:t>
      </w:r>
      <w:r>
        <w:rPr>
          <w:rFonts w:ascii="Times New Roman" w:hAnsi="Times New Roman" w:cs="Times New Roman"/>
          <w:i/>
          <w:iCs/>
          <w:sz w:val="24"/>
          <w:szCs w:val="24"/>
        </w:rPr>
        <w:t>17</w:t>
      </w:r>
      <w:r>
        <w:rPr>
          <w:rFonts w:ascii="Times New Roman" w:hAnsi="Times New Roman" w:cs="Times New Roman"/>
          <w:sz w:val="24"/>
          <w:szCs w:val="24"/>
        </w:rPr>
        <w:t xml:space="preserve">(1), 256. </w:t>
      </w:r>
      <w:hyperlink r:id="rId15" w:history="1">
        <w:r w:rsidR="005B7CDF">
          <w:rPr>
            <w:rStyle w:val="Hyperlink"/>
            <w:rFonts w:ascii="Times New Roman" w:hAnsi="Times New Roman" w:cs="Times New Roman"/>
            <w:sz w:val="24"/>
            <w:szCs w:val="24"/>
          </w:rPr>
          <w:t>https://doi.org/10.3390/su17010256</w:t>
        </w:r>
      </w:hyperlink>
    </w:p>
    <w:p w14:paraId="42485D4E" w14:textId="77777777" w:rsidR="005B7CDF" w:rsidRDefault="005B7CDF">
      <w:pPr>
        <w:spacing w:before="100" w:beforeAutospacing="1" w:after="0" w:line="120" w:lineRule="auto"/>
        <w:ind w:left="720" w:hanging="720"/>
        <w:jc w:val="both"/>
        <w:rPr>
          <w:rStyle w:val="Hyperlink"/>
          <w:rFonts w:ascii="Times New Roman" w:hAnsi="Times New Roman" w:cs="Times New Roman"/>
          <w:sz w:val="24"/>
          <w:szCs w:val="24"/>
        </w:rPr>
      </w:pPr>
    </w:p>
    <w:p w14:paraId="6D305F03" w14:textId="77777777" w:rsidR="005B7CDF" w:rsidRDefault="00B15BF6">
      <w:pPr>
        <w:rPr>
          <w:rFonts w:ascii="Times New Roman" w:hAnsi="Times New Roman" w:cs="Times New Roman"/>
          <w:sz w:val="24"/>
          <w:szCs w:val="24"/>
        </w:rPr>
      </w:pPr>
      <w:proofErr w:type="spellStart"/>
      <w:r>
        <w:rPr>
          <w:rFonts w:ascii="Times New Roman" w:hAnsi="Times New Roman" w:cs="Times New Roman"/>
          <w:sz w:val="24"/>
          <w:szCs w:val="24"/>
        </w:rPr>
        <w:t>Akwabeng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M</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Awele</w:t>
      </w:r>
      <w:r>
        <w:rPr>
          <w:rFonts w:ascii="Times New Roman" w:hAnsi="Times New Roman" w:cs="Times New Roman"/>
          <w:sz w:val="24"/>
          <w:szCs w:val="24"/>
          <w:lang w:val="en-US"/>
        </w:rPr>
        <w:t xml:space="preserve">  </w:t>
      </w:r>
      <w:r>
        <w:rPr>
          <w:rFonts w:ascii="Times New Roman" w:hAnsi="Times New Roman" w:cs="Times New Roman"/>
          <w:sz w:val="24"/>
          <w:szCs w:val="24"/>
        </w:rPr>
        <w:t>O</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Jegede</w:t>
      </w:r>
      <w:r>
        <w:rPr>
          <w:rFonts w:ascii="Times New Roman" w:hAnsi="Times New Roman" w:cs="Times New Roman"/>
          <w:sz w:val="24"/>
          <w:szCs w:val="24"/>
          <w:lang w:val="en-US"/>
        </w:rPr>
        <w:t xml:space="preserve">, </w:t>
      </w:r>
      <w:r>
        <w:rPr>
          <w:rFonts w:ascii="Times New Roman" w:hAnsi="Times New Roman" w:cs="Times New Roman"/>
          <w:sz w:val="24"/>
          <w:szCs w:val="24"/>
        </w:rPr>
        <w:t>O</w:t>
      </w:r>
      <w:r>
        <w:rPr>
          <w:rFonts w:ascii="Times New Roman" w:hAnsi="Times New Roman" w:cs="Times New Roman"/>
          <w:sz w:val="24"/>
          <w:szCs w:val="24"/>
          <w:lang w:val="en-US"/>
        </w:rPr>
        <w:t>.</w:t>
      </w:r>
      <w:r>
        <w:rPr>
          <w:rFonts w:ascii="Times New Roman" w:hAnsi="Times New Roman" w:cs="Times New Roman"/>
          <w:sz w:val="24"/>
          <w:szCs w:val="24"/>
        </w:rPr>
        <w:t xml:space="preserve"> A</w:t>
      </w:r>
      <w:r>
        <w:rPr>
          <w:rFonts w:ascii="Times New Roman" w:hAnsi="Times New Roman" w:cs="Times New Roman"/>
          <w:sz w:val="24"/>
          <w:szCs w:val="24"/>
          <w:lang w:val="en-US"/>
        </w:rPr>
        <w:t xml:space="preserve">.,  </w:t>
      </w:r>
      <w:r>
        <w:rPr>
          <w:rFonts w:ascii="Times New Roman" w:hAnsi="Times New Roman" w:cs="Times New Roman"/>
          <w:sz w:val="24"/>
          <w:szCs w:val="24"/>
        </w:rPr>
        <w:t>Odili</w:t>
      </w:r>
      <w:r>
        <w:rPr>
          <w:rFonts w:ascii="Times New Roman" w:hAnsi="Times New Roman" w:cs="Times New Roman"/>
          <w:sz w:val="24"/>
          <w:szCs w:val="24"/>
          <w:lang w:val="en-US"/>
        </w:rPr>
        <w:t xml:space="preserve"> , </w:t>
      </w:r>
      <w:r>
        <w:rPr>
          <w:rFonts w:ascii="Times New Roman" w:hAnsi="Times New Roman" w:cs="Times New Roman"/>
          <w:sz w:val="24"/>
          <w:szCs w:val="24"/>
        </w:rPr>
        <w:t>J. </w:t>
      </w:r>
      <w:r>
        <w:rPr>
          <w:rFonts w:ascii="Times New Roman" w:hAnsi="Times New Roman" w:cs="Times New Roman"/>
          <w:sz w:val="24"/>
          <w:szCs w:val="24"/>
          <w:lang w:val="en-US"/>
        </w:rPr>
        <w:t xml:space="preserve">(2026 ). </w:t>
      </w:r>
      <w:r>
        <w:rPr>
          <w:rFonts w:ascii="Times New Roman" w:hAnsi="Times New Roman" w:cs="Times New Roman"/>
          <w:sz w:val="24"/>
          <w:szCs w:val="24"/>
        </w:rPr>
        <w:t>A Data-Driven Assessment of</w:t>
      </w: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 xml:space="preserve">Crop Yield Variability and Global Food Security under Climate Change. World Journal </w:t>
      </w:r>
      <w:r>
        <w:rPr>
          <w:rFonts w:ascii="Times New Roman" w:hAnsi="Times New Roman" w:cs="Times New Roman"/>
          <w:sz w:val="24"/>
          <w:szCs w:val="24"/>
          <w:lang w:val="en-US"/>
        </w:rPr>
        <w:tab/>
      </w:r>
      <w:r>
        <w:rPr>
          <w:rFonts w:ascii="Times New Roman" w:hAnsi="Times New Roman" w:cs="Times New Roman"/>
          <w:sz w:val="24"/>
          <w:szCs w:val="24"/>
        </w:rPr>
        <w:t>of Advanced Research and Reviews, 29(01), 295-304.</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hyperlink r:id="rId16" w:history="1">
        <w:r w:rsidR="005B7CDF">
          <w:rPr>
            <w:rStyle w:val="Hyperlink"/>
            <w:rFonts w:ascii="Times New Roman" w:hAnsi="Times New Roman" w:cs="Times New Roman"/>
            <w:sz w:val="24"/>
            <w:szCs w:val="24"/>
          </w:rPr>
          <w:t>https://doi.org/10.30574/wjarr.2026.29.1.0028</w:t>
        </w:r>
      </w:hyperlink>
    </w:p>
    <w:p w14:paraId="73B9E295"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Archontoulis</w:t>
      </w:r>
      <w:proofErr w:type="spellEnd"/>
      <w:r>
        <w:rPr>
          <w:rFonts w:ascii="Times New Roman" w:hAnsi="Times New Roman" w:cs="Times New Roman"/>
          <w:sz w:val="24"/>
          <w:szCs w:val="24"/>
        </w:rPr>
        <w:t>, S. V., Castellano, M. J., Licht, M. A., Nichols, V., Baum, M., Huber, I., &amp; Lamkey, K. R. (2020). Predicting crop yields and soil-plant nitrogen dynamics in the US Maize Belt.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60</w:t>
      </w:r>
      <w:r>
        <w:rPr>
          <w:rFonts w:ascii="Times New Roman" w:hAnsi="Times New Roman" w:cs="Times New Roman"/>
          <w:sz w:val="24"/>
          <w:szCs w:val="24"/>
        </w:rPr>
        <w:t>(2), 721–738.</w:t>
      </w:r>
    </w:p>
    <w:p w14:paraId="3D366EEE"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Baio, F. H. R., Santana, D. C., Teod</w:t>
      </w:r>
      <w:r>
        <w:rPr>
          <w:rFonts w:ascii="Times New Roman" w:hAnsi="Times New Roman" w:cs="Times New Roman"/>
          <w:sz w:val="24"/>
          <w:szCs w:val="24"/>
        </w:rPr>
        <w:t xml:space="preserve">oro, L. P. R., Oliveira, I. C. de, Gava, R., de Oliveira, J. L. G., Silva Junior, C. A. da, Teodoro, P. E., &amp; </w:t>
      </w:r>
      <w:proofErr w:type="spellStart"/>
      <w:r>
        <w:rPr>
          <w:rFonts w:ascii="Times New Roman" w:hAnsi="Times New Roman" w:cs="Times New Roman"/>
          <w:sz w:val="24"/>
          <w:szCs w:val="24"/>
        </w:rPr>
        <w:t>Shiratsuchi</w:t>
      </w:r>
      <w:proofErr w:type="spellEnd"/>
      <w:r>
        <w:rPr>
          <w:rFonts w:ascii="Times New Roman" w:hAnsi="Times New Roman" w:cs="Times New Roman"/>
          <w:sz w:val="24"/>
          <w:szCs w:val="24"/>
        </w:rPr>
        <w:t>, L. S. (2022). Maize yield prediction with machine learning, spectral variables and irrigation management. </w:t>
      </w:r>
      <w:r>
        <w:rPr>
          <w:rFonts w:ascii="Times New Roman" w:hAnsi="Times New Roman" w:cs="Times New Roman"/>
          <w:i/>
          <w:iCs/>
          <w:sz w:val="24"/>
          <w:szCs w:val="24"/>
        </w:rPr>
        <w:t>Remote Sensing</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 xml:space="preserve">(1), 79. </w:t>
      </w:r>
      <w:hyperlink r:id="rId17" w:history="1">
        <w:r w:rsidR="005B7CDF">
          <w:rPr>
            <w:rStyle w:val="Hyperlink"/>
            <w:rFonts w:ascii="Times New Roman" w:hAnsi="Times New Roman" w:cs="Times New Roman"/>
            <w:sz w:val="24"/>
            <w:szCs w:val="24"/>
          </w:rPr>
          <w:t>https://doi.org/10.3390/rs15010079</w:t>
        </w:r>
      </w:hyperlink>
    </w:p>
    <w:p w14:paraId="6C4A8397"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xml:space="preserve">, L. (2001). Random forests. </w:t>
      </w:r>
      <w:r>
        <w:rPr>
          <w:rFonts w:ascii="Times New Roman" w:hAnsi="Times New Roman" w:cs="Times New Roman"/>
          <w:i/>
          <w:iCs/>
          <w:sz w:val="24"/>
          <w:szCs w:val="24"/>
        </w:rPr>
        <w:t>Machine Learning</w:t>
      </w:r>
      <w:r>
        <w:rPr>
          <w:rFonts w:ascii="Times New Roman" w:hAnsi="Times New Roman" w:cs="Times New Roman"/>
          <w:sz w:val="24"/>
          <w:szCs w:val="24"/>
        </w:rPr>
        <w:t xml:space="preserve">, </w:t>
      </w:r>
      <w:r>
        <w:rPr>
          <w:rFonts w:ascii="Times New Roman" w:hAnsi="Times New Roman" w:cs="Times New Roman"/>
          <w:i/>
          <w:iCs/>
          <w:sz w:val="24"/>
          <w:szCs w:val="24"/>
        </w:rPr>
        <w:t>45</w:t>
      </w:r>
      <w:r>
        <w:rPr>
          <w:rFonts w:ascii="Times New Roman" w:hAnsi="Times New Roman" w:cs="Times New Roman"/>
          <w:sz w:val="24"/>
          <w:szCs w:val="24"/>
        </w:rPr>
        <w:t xml:space="preserve">(1), 5–32. </w:t>
      </w:r>
      <w:hyperlink r:id="rId18" w:history="1">
        <w:r w:rsidR="005B7CDF">
          <w:rPr>
            <w:rStyle w:val="Hyperlink"/>
            <w:rFonts w:ascii="Times New Roman" w:hAnsi="Times New Roman" w:cs="Times New Roman"/>
            <w:sz w:val="24"/>
            <w:szCs w:val="24"/>
          </w:rPr>
          <w:t>https://doi.org/10.1023/A:1010933404324</w:t>
        </w:r>
      </w:hyperlink>
    </w:p>
    <w:p w14:paraId="01A71D9D"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Breiman</w:t>
      </w:r>
      <w:proofErr w:type="spellEnd"/>
      <w:r>
        <w:rPr>
          <w:rFonts w:ascii="Times New Roman" w:hAnsi="Times New Roman" w:cs="Times New Roman"/>
          <w:sz w:val="24"/>
          <w:szCs w:val="24"/>
        </w:rPr>
        <w:t xml:space="preserve">, L., Friedman, J., Stone, C. J., &amp; </w:t>
      </w:r>
      <w:proofErr w:type="spellStart"/>
      <w:r>
        <w:rPr>
          <w:rFonts w:ascii="Times New Roman" w:hAnsi="Times New Roman" w:cs="Times New Roman"/>
          <w:sz w:val="24"/>
          <w:szCs w:val="24"/>
        </w:rPr>
        <w:t>Olshen</w:t>
      </w:r>
      <w:proofErr w:type="spellEnd"/>
      <w:r>
        <w:rPr>
          <w:rFonts w:ascii="Times New Roman" w:hAnsi="Times New Roman" w:cs="Times New Roman"/>
          <w:sz w:val="24"/>
          <w:szCs w:val="24"/>
        </w:rPr>
        <w:t xml:space="preserve">, R. A. (1984). </w:t>
      </w:r>
      <w:r>
        <w:rPr>
          <w:rFonts w:ascii="Times New Roman" w:hAnsi="Times New Roman" w:cs="Times New Roman"/>
          <w:i/>
          <w:iCs/>
          <w:sz w:val="24"/>
          <w:szCs w:val="24"/>
        </w:rPr>
        <w:t>Classification and regression trees</w:t>
      </w:r>
      <w:r>
        <w:rPr>
          <w:rFonts w:ascii="Times New Roman" w:hAnsi="Times New Roman" w:cs="Times New Roman"/>
          <w:sz w:val="24"/>
          <w:szCs w:val="24"/>
        </w:rPr>
        <w:t>. Chapman and Hall.</w:t>
      </w:r>
    </w:p>
    <w:p w14:paraId="0327B6ED"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Caruana, R., &amp; Niculescu-Mizil, A. (2006). An empirical comparison of supervised learning algorithms. In </w:t>
      </w:r>
      <w:r>
        <w:rPr>
          <w:rFonts w:ascii="Times New Roman" w:hAnsi="Times New Roman" w:cs="Times New Roman"/>
          <w:i/>
          <w:iCs/>
          <w:sz w:val="24"/>
          <w:szCs w:val="24"/>
        </w:rPr>
        <w:t xml:space="preserve">Proceedings of the 23rd International </w:t>
      </w:r>
      <w:r>
        <w:rPr>
          <w:rFonts w:ascii="Times New Roman" w:hAnsi="Times New Roman" w:cs="Times New Roman"/>
          <w:i/>
          <w:iCs/>
          <w:sz w:val="24"/>
          <w:szCs w:val="24"/>
        </w:rPr>
        <w:t>Conference on Machine Learning</w:t>
      </w:r>
      <w:r>
        <w:rPr>
          <w:rFonts w:ascii="Times New Roman" w:hAnsi="Times New Roman" w:cs="Times New Roman"/>
          <w:sz w:val="24"/>
          <w:szCs w:val="24"/>
        </w:rPr>
        <w:t xml:space="preserve"> (pp. 161-168). Association for Computing Machinery. </w:t>
      </w:r>
      <w:hyperlink r:id="rId19" w:history="1">
        <w:r w:rsidR="005B7CDF">
          <w:rPr>
            <w:rStyle w:val="Hyperlink"/>
            <w:rFonts w:ascii="Times New Roman" w:hAnsi="Times New Roman" w:cs="Times New Roman"/>
            <w:sz w:val="24"/>
            <w:szCs w:val="24"/>
          </w:rPr>
          <w:t>https://doi.org/10.1145/1143844.1143865</w:t>
        </w:r>
      </w:hyperlink>
    </w:p>
    <w:p w14:paraId="25A15FFE"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Cawley, G. C., &amp; Talbot, N. L. C. (2010). </w:t>
      </w:r>
      <w:r>
        <w:rPr>
          <w:rFonts w:ascii="Times New Roman" w:hAnsi="Times New Roman" w:cs="Times New Roman"/>
          <w:i/>
          <w:iCs/>
          <w:sz w:val="24"/>
          <w:szCs w:val="24"/>
        </w:rPr>
        <w:t>On over</w:t>
      </w:r>
      <w:r>
        <w:rPr>
          <w:rFonts w:ascii="Times New Roman" w:hAnsi="Times New Roman" w:cs="Times New Roman"/>
          <w:i/>
          <w:iCs/>
          <w:sz w:val="24"/>
          <w:szCs w:val="24"/>
        </w:rPr>
        <w:noBreakHyphen/>
        <w:t xml:space="preserve">fitting in model selection </w:t>
      </w:r>
      <w:r>
        <w:rPr>
          <w:rFonts w:ascii="Times New Roman" w:hAnsi="Times New Roman" w:cs="Times New Roman"/>
          <w:i/>
          <w:iCs/>
          <w:sz w:val="24"/>
          <w:szCs w:val="24"/>
        </w:rPr>
        <w:t>and subsequent selection bias in performance evaluation</w:t>
      </w:r>
      <w:r>
        <w:rPr>
          <w:rFonts w:ascii="Times New Roman" w:hAnsi="Times New Roman" w:cs="Times New Roman"/>
          <w:sz w:val="24"/>
          <w:szCs w:val="24"/>
        </w:rPr>
        <w:t xml:space="preserve">. </w:t>
      </w:r>
      <w:r>
        <w:rPr>
          <w:rFonts w:ascii="Times New Roman" w:hAnsi="Times New Roman" w:cs="Times New Roman"/>
          <w:i/>
          <w:iCs/>
          <w:sz w:val="24"/>
          <w:szCs w:val="24"/>
        </w:rPr>
        <w:t>Journal of Machine Learning Research, 11</w:t>
      </w:r>
      <w:r>
        <w:rPr>
          <w:rFonts w:ascii="Times New Roman" w:hAnsi="Times New Roman" w:cs="Times New Roman"/>
          <w:sz w:val="24"/>
          <w:szCs w:val="24"/>
        </w:rPr>
        <w:t>, 2079–2107.</w:t>
      </w:r>
    </w:p>
    <w:p w14:paraId="3AEC5399"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Cooper, M., Messina, C. D., </w:t>
      </w:r>
      <w:proofErr w:type="spellStart"/>
      <w:r>
        <w:rPr>
          <w:rFonts w:ascii="Times New Roman" w:hAnsi="Times New Roman" w:cs="Times New Roman"/>
          <w:sz w:val="24"/>
          <w:szCs w:val="24"/>
        </w:rPr>
        <w:t>Podlich</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Gho</w:t>
      </w:r>
      <w:proofErr w:type="spellEnd"/>
      <w:r>
        <w:rPr>
          <w:rFonts w:ascii="Times New Roman" w:hAnsi="Times New Roman" w:cs="Times New Roman"/>
          <w:sz w:val="24"/>
          <w:szCs w:val="24"/>
        </w:rPr>
        <w:t xml:space="preserve">, C., Zhong, S., &amp; </w:t>
      </w:r>
      <w:proofErr w:type="spellStart"/>
      <w:r>
        <w:rPr>
          <w:rFonts w:ascii="Times New Roman" w:hAnsi="Times New Roman" w:cs="Times New Roman"/>
          <w:sz w:val="24"/>
          <w:szCs w:val="24"/>
        </w:rPr>
        <w:t>Technow</w:t>
      </w:r>
      <w:proofErr w:type="spellEnd"/>
      <w:r>
        <w:rPr>
          <w:rFonts w:ascii="Times New Roman" w:hAnsi="Times New Roman" w:cs="Times New Roman"/>
          <w:sz w:val="24"/>
          <w:szCs w:val="24"/>
        </w:rPr>
        <w:t>, F. (2021). Predicting quantitative traits using molecular genomics and hig</w:t>
      </w:r>
      <w:r>
        <w:rPr>
          <w:rFonts w:ascii="Times New Roman" w:hAnsi="Times New Roman" w:cs="Times New Roman"/>
          <w:sz w:val="24"/>
          <w:szCs w:val="24"/>
        </w:rPr>
        <w:t>h-throughput phenotyping across crop species. In </w:t>
      </w:r>
      <w:r>
        <w:rPr>
          <w:rFonts w:ascii="Times New Roman" w:hAnsi="Times New Roman" w:cs="Times New Roman"/>
          <w:i/>
          <w:iCs/>
          <w:sz w:val="24"/>
          <w:szCs w:val="24"/>
        </w:rPr>
        <w:t>Advances in Agronomy</w:t>
      </w:r>
      <w:r>
        <w:rPr>
          <w:rFonts w:ascii="Times New Roman" w:hAnsi="Times New Roman" w:cs="Times New Roman"/>
          <w:sz w:val="24"/>
          <w:szCs w:val="24"/>
        </w:rPr>
        <w:t> (Vol. 154, pp. 45–113). Academic Press.</w:t>
      </w:r>
    </w:p>
    <w:p w14:paraId="174FE83E"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Croci, M., </w:t>
      </w:r>
      <w:proofErr w:type="spellStart"/>
      <w:r>
        <w:rPr>
          <w:rFonts w:ascii="Times New Roman" w:hAnsi="Times New Roman" w:cs="Times New Roman"/>
          <w:sz w:val="24"/>
          <w:szCs w:val="24"/>
        </w:rPr>
        <w:t>Impollonia</w:t>
      </w:r>
      <w:proofErr w:type="spellEnd"/>
      <w:r>
        <w:rPr>
          <w:rFonts w:ascii="Times New Roman" w:hAnsi="Times New Roman" w:cs="Times New Roman"/>
          <w:sz w:val="24"/>
          <w:szCs w:val="24"/>
        </w:rPr>
        <w:t xml:space="preserve">, G., Meroni, M., &amp; </w:t>
      </w:r>
      <w:proofErr w:type="spellStart"/>
      <w:r>
        <w:rPr>
          <w:rFonts w:ascii="Times New Roman" w:hAnsi="Times New Roman" w:cs="Times New Roman"/>
          <w:sz w:val="24"/>
          <w:szCs w:val="24"/>
        </w:rPr>
        <w:t>Amaducci</w:t>
      </w:r>
      <w:proofErr w:type="spellEnd"/>
      <w:r>
        <w:rPr>
          <w:rFonts w:ascii="Times New Roman" w:hAnsi="Times New Roman" w:cs="Times New Roman"/>
          <w:sz w:val="24"/>
          <w:szCs w:val="24"/>
        </w:rPr>
        <w:t>, S. (2023). Dynamic maize yield predictions using machine learning on multi-source data. </w:t>
      </w:r>
      <w:r>
        <w:rPr>
          <w:rFonts w:ascii="Times New Roman" w:hAnsi="Times New Roman" w:cs="Times New Roman"/>
          <w:i/>
          <w:iCs/>
          <w:sz w:val="24"/>
          <w:szCs w:val="24"/>
        </w:rPr>
        <w:t xml:space="preserve">Remote </w:t>
      </w:r>
      <w:r>
        <w:rPr>
          <w:rFonts w:ascii="Times New Roman" w:hAnsi="Times New Roman" w:cs="Times New Roman"/>
          <w:i/>
          <w:iCs/>
          <w:sz w:val="24"/>
          <w:szCs w:val="24"/>
        </w:rPr>
        <w:t>Sensing</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 xml:space="preserve">(1), 100. </w:t>
      </w:r>
      <w:hyperlink r:id="rId20" w:history="1">
        <w:r w:rsidR="005B7CDF">
          <w:rPr>
            <w:rStyle w:val="Hyperlink"/>
            <w:rFonts w:ascii="Times New Roman" w:hAnsi="Times New Roman" w:cs="Times New Roman"/>
            <w:sz w:val="24"/>
            <w:szCs w:val="24"/>
          </w:rPr>
          <w:t>https://doi.org/10.3390/rs15010100</w:t>
        </w:r>
      </w:hyperlink>
    </w:p>
    <w:p w14:paraId="6F8D519C"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lastRenderedPageBreak/>
        <w:t>Crusiol</w:t>
      </w:r>
      <w:proofErr w:type="spellEnd"/>
      <w:r>
        <w:rPr>
          <w:rFonts w:ascii="Times New Roman" w:hAnsi="Times New Roman" w:cs="Times New Roman"/>
          <w:sz w:val="24"/>
          <w:szCs w:val="24"/>
        </w:rPr>
        <w:t xml:space="preserve">, L. G. T., Sun, L., </w:t>
      </w:r>
      <w:proofErr w:type="spellStart"/>
      <w:r>
        <w:rPr>
          <w:rFonts w:ascii="Times New Roman" w:hAnsi="Times New Roman" w:cs="Times New Roman"/>
          <w:sz w:val="24"/>
          <w:szCs w:val="24"/>
        </w:rPr>
        <w:t>Sibaldelli</w:t>
      </w:r>
      <w:proofErr w:type="spellEnd"/>
      <w:r>
        <w:rPr>
          <w:rFonts w:ascii="Times New Roman" w:hAnsi="Times New Roman" w:cs="Times New Roman"/>
          <w:sz w:val="24"/>
          <w:szCs w:val="24"/>
        </w:rPr>
        <w:t xml:space="preserve">, R. N. R., Junior, V. F., </w:t>
      </w:r>
      <w:proofErr w:type="spellStart"/>
      <w:r>
        <w:rPr>
          <w:rFonts w:ascii="Times New Roman" w:hAnsi="Times New Roman" w:cs="Times New Roman"/>
          <w:sz w:val="24"/>
          <w:szCs w:val="24"/>
        </w:rPr>
        <w:t>Furlaneti</w:t>
      </w:r>
      <w:proofErr w:type="spellEnd"/>
      <w:r>
        <w:rPr>
          <w:rFonts w:ascii="Times New Roman" w:hAnsi="Times New Roman" w:cs="Times New Roman"/>
          <w:sz w:val="24"/>
          <w:szCs w:val="24"/>
        </w:rPr>
        <w:t xml:space="preserve">, W. X., Chen, R., Sun, Z., </w:t>
      </w:r>
      <w:proofErr w:type="spellStart"/>
      <w:r>
        <w:rPr>
          <w:rFonts w:ascii="Times New Roman" w:hAnsi="Times New Roman" w:cs="Times New Roman"/>
          <w:sz w:val="24"/>
          <w:szCs w:val="24"/>
        </w:rPr>
        <w:t>Wuyun</w:t>
      </w:r>
      <w:proofErr w:type="spellEnd"/>
      <w:r>
        <w:rPr>
          <w:rFonts w:ascii="Times New Roman" w:hAnsi="Times New Roman" w:cs="Times New Roman"/>
          <w:sz w:val="24"/>
          <w:szCs w:val="24"/>
        </w:rPr>
        <w:t xml:space="preserve">, D., Chen, Z., Nanni, M. R., </w:t>
      </w:r>
      <w:proofErr w:type="spellStart"/>
      <w:r>
        <w:rPr>
          <w:rFonts w:ascii="Times New Roman" w:hAnsi="Times New Roman" w:cs="Times New Roman"/>
          <w:sz w:val="24"/>
          <w:szCs w:val="24"/>
        </w:rPr>
        <w:t>Furlanetto</w:t>
      </w:r>
      <w:proofErr w:type="spellEnd"/>
      <w:r>
        <w:rPr>
          <w:rFonts w:ascii="Times New Roman" w:hAnsi="Times New Roman" w:cs="Times New Roman"/>
          <w:sz w:val="24"/>
          <w:szCs w:val="24"/>
        </w:rPr>
        <w:t xml:space="preserve">, </w:t>
      </w:r>
      <w:r>
        <w:rPr>
          <w:rFonts w:ascii="Times New Roman" w:hAnsi="Times New Roman" w:cs="Times New Roman"/>
          <w:sz w:val="24"/>
          <w:szCs w:val="24"/>
        </w:rPr>
        <w:t>R. H., Cezar, E., Nepomuceno, A. L., &amp; Farias, J. R. B. (2022). Strategies for monitoring within-field soybean yield using Sentinel-2 Vis-NIR-SWIR spectral bands and machine learning regression methods. </w:t>
      </w:r>
      <w:r>
        <w:rPr>
          <w:rFonts w:ascii="Times New Roman" w:hAnsi="Times New Roman" w:cs="Times New Roman"/>
          <w:i/>
          <w:iCs/>
          <w:sz w:val="24"/>
          <w:szCs w:val="24"/>
        </w:rPr>
        <w:t>Precision Agriculture</w:t>
      </w:r>
      <w:r>
        <w:rPr>
          <w:rFonts w:ascii="Times New Roman" w:hAnsi="Times New Roman" w:cs="Times New Roman"/>
          <w:sz w:val="24"/>
          <w:szCs w:val="24"/>
        </w:rPr>
        <w:t>, </w:t>
      </w:r>
      <w:r>
        <w:rPr>
          <w:rFonts w:ascii="Times New Roman" w:hAnsi="Times New Roman" w:cs="Times New Roman"/>
          <w:i/>
          <w:iCs/>
          <w:sz w:val="24"/>
          <w:szCs w:val="24"/>
        </w:rPr>
        <w:t>23</w:t>
      </w:r>
      <w:r>
        <w:rPr>
          <w:rFonts w:ascii="Times New Roman" w:hAnsi="Times New Roman" w:cs="Times New Roman"/>
          <w:sz w:val="24"/>
          <w:szCs w:val="24"/>
        </w:rPr>
        <w:t xml:space="preserve">(3), 1093–1123. </w:t>
      </w:r>
      <w:hyperlink r:id="rId21" w:history="1">
        <w:r w:rsidR="005B7CDF">
          <w:rPr>
            <w:rStyle w:val="Hyperlink"/>
            <w:rFonts w:ascii="Times New Roman" w:hAnsi="Times New Roman" w:cs="Times New Roman"/>
            <w:sz w:val="24"/>
            <w:szCs w:val="24"/>
          </w:rPr>
          <w:t>https://doi.org/10.1007/s11119-022-09876-5</w:t>
        </w:r>
      </w:hyperlink>
    </w:p>
    <w:p w14:paraId="1B80CBA1"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Efron, B., &amp; Gong, G. (1983). A leisurely look at the bootstrap, the jackknife, and cross-validation. </w:t>
      </w:r>
      <w:r>
        <w:rPr>
          <w:rFonts w:ascii="Times New Roman" w:hAnsi="Times New Roman" w:cs="Times New Roman"/>
          <w:i/>
          <w:iCs/>
          <w:sz w:val="24"/>
          <w:szCs w:val="24"/>
        </w:rPr>
        <w:t>The American Statistician</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 xml:space="preserve">(1), 36–48. </w:t>
      </w:r>
      <w:hyperlink r:id="rId22" w:history="1">
        <w:r w:rsidR="005B7CDF">
          <w:rPr>
            <w:rStyle w:val="Hyperlink"/>
            <w:rFonts w:ascii="Times New Roman" w:hAnsi="Times New Roman" w:cs="Times New Roman"/>
            <w:sz w:val="24"/>
            <w:szCs w:val="24"/>
          </w:rPr>
          <w:t>https://doi.org/10.1080/00031305.1983.10483087</w:t>
        </w:r>
      </w:hyperlink>
    </w:p>
    <w:p w14:paraId="3710A001"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GB"/>
        </w:rPr>
        <w:t xml:space="preserve">FAO. (2023). </w:t>
      </w:r>
      <w:r>
        <w:rPr>
          <w:rFonts w:ascii="Times New Roman" w:eastAsia="Times New Roman" w:hAnsi="Times New Roman" w:cs="Times New Roman"/>
          <w:i/>
          <w:iCs/>
          <w:sz w:val="24"/>
          <w:szCs w:val="24"/>
          <w:lang w:eastAsia="en-GB"/>
        </w:rPr>
        <w:t>Zimbabwe at a glance</w:t>
      </w:r>
      <w:r>
        <w:rPr>
          <w:rFonts w:ascii="Times New Roman" w:eastAsia="Times New Roman" w:hAnsi="Times New Roman" w:cs="Times New Roman"/>
          <w:sz w:val="24"/>
          <w:szCs w:val="24"/>
          <w:lang w:eastAsia="en-GB"/>
        </w:rPr>
        <w:t xml:space="preserve">. Food and Agriculture Organization of the United Nations. </w:t>
      </w:r>
      <w:hyperlink r:id="rId23" w:history="1">
        <w:r w:rsidR="005B7CDF">
          <w:rPr>
            <w:rFonts w:ascii="Times New Roman" w:eastAsia="Times New Roman" w:hAnsi="Times New Roman" w:cs="Times New Roman"/>
            <w:color w:val="0000FF"/>
            <w:sz w:val="24"/>
            <w:szCs w:val="24"/>
            <w:u w:val="single"/>
            <w:lang w:eastAsia="en-GB"/>
          </w:rPr>
          <w:t>https://www.fao.org/zimbabwe/fao-in-zimbabwe/zimbabwe-at-a-glance/en/</w:t>
        </w:r>
      </w:hyperlink>
    </w:p>
    <w:p w14:paraId="13D708E7"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Gill, M., Anderson, R., Hu, H., </w:t>
      </w:r>
      <w:proofErr w:type="spellStart"/>
      <w:r>
        <w:rPr>
          <w:rFonts w:ascii="Times New Roman" w:hAnsi="Times New Roman" w:cs="Times New Roman"/>
          <w:sz w:val="24"/>
          <w:szCs w:val="24"/>
        </w:rPr>
        <w:t>Bennamoun</w:t>
      </w:r>
      <w:proofErr w:type="spellEnd"/>
      <w:r>
        <w:rPr>
          <w:rFonts w:ascii="Times New Roman" w:hAnsi="Times New Roman" w:cs="Times New Roman"/>
          <w:sz w:val="24"/>
          <w:szCs w:val="24"/>
        </w:rPr>
        <w:t xml:space="preserve">, M., Petereit, J., </w:t>
      </w:r>
      <w:proofErr w:type="spellStart"/>
      <w:r>
        <w:rPr>
          <w:rFonts w:ascii="Times New Roman" w:hAnsi="Times New Roman" w:cs="Times New Roman"/>
          <w:sz w:val="24"/>
          <w:szCs w:val="24"/>
        </w:rPr>
        <w:t>Valliyodan</w:t>
      </w:r>
      <w:proofErr w:type="spellEnd"/>
      <w:r>
        <w:rPr>
          <w:rFonts w:ascii="Times New Roman" w:hAnsi="Times New Roman" w:cs="Times New Roman"/>
          <w:sz w:val="24"/>
          <w:szCs w:val="24"/>
        </w:rPr>
        <w:t>, B., Nguyen, H. T., Batley, J., Bayer, P. E., &amp; Edwards, D. (2022). Machine learning models out</w:t>
      </w:r>
      <w:r>
        <w:rPr>
          <w:rFonts w:ascii="Times New Roman" w:hAnsi="Times New Roman" w:cs="Times New Roman"/>
          <w:sz w:val="24"/>
          <w:szCs w:val="24"/>
        </w:rPr>
        <w:t>perform deep learning models, provide interpretation and facilitate feature selection for soybean trait prediction. </w:t>
      </w:r>
      <w:r>
        <w:rPr>
          <w:rFonts w:ascii="Times New Roman" w:hAnsi="Times New Roman" w:cs="Times New Roman"/>
          <w:i/>
          <w:iCs/>
          <w:sz w:val="24"/>
          <w:szCs w:val="24"/>
        </w:rPr>
        <w:t>BMC Plant Biology</w:t>
      </w:r>
      <w:r>
        <w:rPr>
          <w:rFonts w:ascii="Times New Roman" w:hAnsi="Times New Roman" w:cs="Times New Roman"/>
          <w:sz w:val="24"/>
          <w:szCs w:val="24"/>
        </w:rPr>
        <w:t>, </w:t>
      </w:r>
      <w:r>
        <w:rPr>
          <w:rFonts w:ascii="Times New Roman" w:hAnsi="Times New Roman" w:cs="Times New Roman"/>
          <w:i/>
          <w:iCs/>
          <w:sz w:val="24"/>
          <w:szCs w:val="24"/>
        </w:rPr>
        <w:t>22</w:t>
      </w:r>
      <w:r>
        <w:rPr>
          <w:rFonts w:ascii="Times New Roman" w:hAnsi="Times New Roman" w:cs="Times New Roman"/>
          <w:sz w:val="24"/>
          <w:szCs w:val="24"/>
        </w:rPr>
        <w:t xml:space="preserve">(1), 180. </w:t>
      </w:r>
      <w:hyperlink r:id="rId24" w:history="1">
        <w:r w:rsidR="005B7CDF">
          <w:rPr>
            <w:rStyle w:val="Hyperlink"/>
            <w:rFonts w:ascii="Times New Roman" w:hAnsi="Times New Roman" w:cs="Times New Roman"/>
            <w:sz w:val="24"/>
            <w:szCs w:val="24"/>
          </w:rPr>
          <w:t>https://doi.org/10.1186/s12870-022-03559-z</w:t>
        </w:r>
      </w:hyperlink>
    </w:p>
    <w:p w14:paraId="3B7D44C9"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GB"/>
        </w:rPr>
        <w:t>Hallaue</w:t>
      </w:r>
      <w:r>
        <w:rPr>
          <w:rFonts w:ascii="Times New Roman" w:eastAsia="Times New Roman" w:hAnsi="Times New Roman" w:cs="Times New Roman"/>
          <w:sz w:val="24"/>
          <w:szCs w:val="24"/>
          <w:lang w:eastAsia="en-GB"/>
        </w:rPr>
        <w:t xml:space="preserve">r, A. R., &amp; Miranda, J. B. (1988). </w:t>
      </w:r>
      <w:r>
        <w:rPr>
          <w:rFonts w:ascii="Times New Roman" w:eastAsia="Times New Roman" w:hAnsi="Times New Roman" w:cs="Times New Roman"/>
          <w:i/>
          <w:iCs/>
          <w:sz w:val="24"/>
          <w:szCs w:val="24"/>
          <w:lang w:eastAsia="en-GB"/>
        </w:rPr>
        <w:t>Quantitative genetics in maize breeding</w:t>
      </w:r>
      <w:r>
        <w:rPr>
          <w:rFonts w:ascii="Times New Roman" w:eastAsia="Times New Roman" w:hAnsi="Times New Roman" w:cs="Times New Roman"/>
          <w:sz w:val="24"/>
          <w:szCs w:val="24"/>
          <w:lang w:eastAsia="en-GB"/>
        </w:rPr>
        <w:t xml:space="preserve"> (2nd ed.). Iowa State University Press.</w:t>
      </w:r>
    </w:p>
    <w:p w14:paraId="4FC495B4"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GB"/>
        </w:rPr>
        <w:t xml:space="preserve">Hastie, T., </w:t>
      </w:r>
      <w:proofErr w:type="spellStart"/>
      <w:r>
        <w:rPr>
          <w:rFonts w:ascii="Times New Roman" w:eastAsia="Times New Roman" w:hAnsi="Times New Roman" w:cs="Times New Roman"/>
          <w:sz w:val="24"/>
          <w:szCs w:val="24"/>
          <w:lang w:eastAsia="en-GB"/>
        </w:rPr>
        <w:t>Tibshirani</w:t>
      </w:r>
      <w:proofErr w:type="spellEnd"/>
      <w:r>
        <w:rPr>
          <w:rFonts w:ascii="Times New Roman" w:eastAsia="Times New Roman" w:hAnsi="Times New Roman" w:cs="Times New Roman"/>
          <w:sz w:val="24"/>
          <w:szCs w:val="24"/>
          <w:lang w:eastAsia="en-GB"/>
        </w:rPr>
        <w:t xml:space="preserve">, R., &amp; Friedman, J. (2009). </w:t>
      </w:r>
      <w:r>
        <w:rPr>
          <w:rFonts w:ascii="Times New Roman" w:eastAsia="Times New Roman" w:hAnsi="Times New Roman" w:cs="Times New Roman"/>
          <w:i/>
          <w:iCs/>
          <w:sz w:val="24"/>
          <w:szCs w:val="24"/>
          <w:lang w:eastAsia="en-GB"/>
        </w:rPr>
        <w:t>The elements of statistical learning: Data mining, inference, and prediction</w:t>
      </w:r>
      <w:r>
        <w:rPr>
          <w:rFonts w:ascii="Times New Roman" w:eastAsia="Times New Roman" w:hAnsi="Times New Roman" w:cs="Times New Roman"/>
          <w:sz w:val="24"/>
          <w:szCs w:val="24"/>
          <w:lang w:eastAsia="en-GB"/>
        </w:rPr>
        <w:t xml:space="preserve"> (2nd ed.). Sp</w:t>
      </w:r>
      <w:r>
        <w:rPr>
          <w:rFonts w:ascii="Times New Roman" w:eastAsia="Times New Roman" w:hAnsi="Times New Roman" w:cs="Times New Roman"/>
          <w:sz w:val="24"/>
          <w:szCs w:val="24"/>
          <w:lang w:eastAsia="en-GB"/>
        </w:rPr>
        <w:t>ringer.</w:t>
      </w:r>
    </w:p>
    <w:p w14:paraId="43B00D8E"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GB"/>
        </w:rPr>
        <w:t xml:space="preserve">Kitchen, N. R., Clay, S. A., Carlson, C. G., &amp; Sudduth, K. A. (2018). Understanding and identifying variability. In </w:t>
      </w:r>
      <w:r>
        <w:rPr>
          <w:rFonts w:ascii="Times New Roman" w:eastAsia="Times New Roman" w:hAnsi="Times New Roman" w:cs="Times New Roman"/>
          <w:i/>
          <w:iCs/>
          <w:sz w:val="24"/>
          <w:szCs w:val="24"/>
          <w:lang w:eastAsia="en-GB"/>
        </w:rPr>
        <w:t>Precision agriculture basics</w:t>
      </w:r>
      <w:r>
        <w:rPr>
          <w:rFonts w:ascii="Times New Roman" w:eastAsia="Times New Roman" w:hAnsi="Times New Roman" w:cs="Times New Roman"/>
          <w:sz w:val="24"/>
          <w:szCs w:val="24"/>
          <w:lang w:eastAsia="en-GB"/>
        </w:rPr>
        <w:t xml:space="preserve"> (pp. 13–24). John Wiley &amp; Sons.</w:t>
      </w:r>
    </w:p>
    <w:p w14:paraId="5404E164"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Krause, M. R., Crossman, S., Dumond, T., Lexi, J. A., Molin, J. P., Bas</w:t>
      </w:r>
      <w:r>
        <w:rPr>
          <w:rFonts w:ascii="Times New Roman" w:hAnsi="Times New Roman" w:cs="Times New Roman"/>
          <w:sz w:val="24"/>
          <w:szCs w:val="24"/>
        </w:rPr>
        <w:t>hford, L. L., &amp; Madsen, E. A. (2020). Random Forest regression for optimizing variable planting rates for maize and soybean using topographical and soil data. </w:t>
      </w:r>
      <w:r>
        <w:rPr>
          <w:rFonts w:ascii="Times New Roman" w:hAnsi="Times New Roman" w:cs="Times New Roman"/>
          <w:i/>
          <w:iCs/>
          <w:sz w:val="24"/>
          <w:szCs w:val="24"/>
        </w:rPr>
        <w:t>Agronomy Journal</w:t>
      </w:r>
      <w:r>
        <w:rPr>
          <w:rFonts w:ascii="Times New Roman" w:hAnsi="Times New Roman" w:cs="Times New Roman"/>
          <w:sz w:val="24"/>
          <w:szCs w:val="24"/>
        </w:rPr>
        <w:t>, </w:t>
      </w:r>
      <w:r>
        <w:rPr>
          <w:rFonts w:ascii="Times New Roman" w:hAnsi="Times New Roman" w:cs="Times New Roman"/>
          <w:i/>
          <w:iCs/>
          <w:sz w:val="24"/>
          <w:szCs w:val="24"/>
        </w:rPr>
        <w:t>112</w:t>
      </w:r>
      <w:r>
        <w:rPr>
          <w:rFonts w:ascii="Times New Roman" w:hAnsi="Times New Roman" w:cs="Times New Roman"/>
          <w:sz w:val="24"/>
          <w:szCs w:val="24"/>
        </w:rPr>
        <w:t>(5), 5045–5066.</w:t>
      </w:r>
    </w:p>
    <w:p w14:paraId="5A47AD3E"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GB"/>
        </w:rPr>
        <w:t xml:space="preserve">Liakos, K. G., Busato, P., </w:t>
      </w:r>
      <w:proofErr w:type="spellStart"/>
      <w:r>
        <w:rPr>
          <w:rFonts w:ascii="Times New Roman" w:eastAsia="Times New Roman" w:hAnsi="Times New Roman" w:cs="Times New Roman"/>
          <w:sz w:val="24"/>
          <w:szCs w:val="24"/>
          <w:lang w:eastAsia="en-GB"/>
        </w:rPr>
        <w:t>Moshou</w:t>
      </w:r>
      <w:proofErr w:type="spellEnd"/>
      <w:r>
        <w:rPr>
          <w:rFonts w:ascii="Times New Roman" w:eastAsia="Times New Roman" w:hAnsi="Times New Roman" w:cs="Times New Roman"/>
          <w:sz w:val="24"/>
          <w:szCs w:val="24"/>
          <w:lang w:eastAsia="en-GB"/>
        </w:rPr>
        <w:t xml:space="preserve">, D., Pearson, S., &amp; </w:t>
      </w:r>
      <w:proofErr w:type="spellStart"/>
      <w:r>
        <w:rPr>
          <w:rFonts w:ascii="Times New Roman" w:eastAsia="Times New Roman" w:hAnsi="Times New Roman" w:cs="Times New Roman"/>
          <w:sz w:val="24"/>
          <w:szCs w:val="24"/>
          <w:lang w:eastAsia="en-GB"/>
        </w:rPr>
        <w:t>Bochti</w:t>
      </w:r>
      <w:r>
        <w:rPr>
          <w:rFonts w:ascii="Times New Roman" w:eastAsia="Times New Roman" w:hAnsi="Times New Roman" w:cs="Times New Roman"/>
          <w:sz w:val="24"/>
          <w:szCs w:val="24"/>
          <w:lang w:eastAsia="en-GB"/>
        </w:rPr>
        <w:t>s</w:t>
      </w:r>
      <w:proofErr w:type="spellEnd"/>
      <w:r>
        <w:rPr>
          <w:rFonts w:ascii="Times New Roman" w:eastAsia="Times New Roman" w:hAnsi="Times New Roman" w:cs="Times New Roman"/>
          <w:sz w:val="24"/>
          <w:szCs w:val="24"/>
          <w:lang w:eastAsia="en-GB"/>
        </w:rPr>
        <w:t xml:space="preserve">, D. (2018). Machine learning in agriculture: A review. </w:t>
      </w:r>
      <w:r>
        <w:rPr>
          <w:rFonts w:ascii="Times New Roman" w:eastAsia="Times New Roman" w:hAnsi="Times New Roman" w:cs="Times New Roman"/>
          <w:i/>
          <w:iCs/>
          <w:sz w:val="24"/>
          <w:szCs w:val="24"/>
          <w:lang w:eastAsia="en-GB"/>
        </w:rPr>
        <w:t>Sensors</w:t>
      </w:r>
      <w:r>
        <w:rPr>
          <w:rFonts w:ascii="Times New Roman" w:eastAsia="Times New Roman" w:hAnsi="Times New Roman" w:cs="Times New Roman"/>
          <w:sz w:val="24"/>
          <w:szCs w:val="24"/>
          <w:lang w:eastAsia="en-GB"/>
        </w:rPr>
        <w:t>, 18(8), 2674</w:t>
      </w:r>
    </w:p>
    <w:p w14:paraId="0ACDFD4B"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Liaw, A., &amp; Wiener, M. (2002). </w:t>
      </w:r>
      <w:r>
        <w:rPr>
          <w:rFonts w:ascii="Times New Roman" w:hAnsi="Times New Roman" w:cs="Times New Roman"/>
          <w:i/>
          <w:iCs/>
          <w:sz w:val="24"/>
          <w:szCs w:val="24"/>
        </w:rPr>
        <w:t xml:space="preserve">Classification and regression by </w:t>
      </w:r>
      <w:proofErr w:type="spellStart"/>
      <w:r>
        <w:rPr>
          <w:rFonts w:ascii="Times New Roman" w:hAnsi="Times New Roman" w:cs="Times New Roman"/>
          <w:i/>
          <w:iCs/>
          <w:sz w:val="24"/>
          <w:szCs w:val="24"/>
        </w:rPr>
        <w:t>randomForest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 News, 2</w:t>
      </w:r>
      <w:r>
        <w:rPr>
          <w:rFonts w:ascii="Times New Roman" w:hAnsi="Times New Roman" w:cs="Times New Roman"/>
          <w:sz w:val="24"/>
          <w:szCs w:val="24"/>
        </w:rPr>
        <w:t>(3), 18–22.</w:t>
      </w:r>
    </w:p>
    <w:p w14:paraId="1B7ACA97"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Little, R. J. A., &amp; Rubin, D. B. (2002). </w:t>
      </w:r>
      <w:r>
        <w:rPr>
          <w:rFonts w:ascii="Times New Roman" w:hAnsi="Times New Roman" w:cs="Times New Roman"/>
          <w:i/>
          <w:iCs/>
          <w:sz w:val="24"/>
          <w:szCs w:val="24"/>
        </w:rPr>
        <w:t>Statistical analysis with missing data</w:t>
      </w:r>
      <w:r>
        <w:rPr>
          <w:rFonts w:ascii="Times New Roman" w:hAnsi="Times New Roman" w:cs="Times New Roman"/>
          <w:sz w:val="24"/>
          <w:szCs w:val="24"/>
        </w:rPr>
        <w:t xml:space="preserve"> (2nd ed.). John Wiley &amp; Sons.</w:t>
      </w:r>
    </w:p>
    <w:p w14:paraId="50BABA01"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Lobell, D. B., Thau, D., Seifert, C., Engle, E., &amp; Little, B. (2015). A scalable satellite-based crop yield mapper. </w:t>
      </w:r>
      <w:r>
        <w:rPr>
          <w:rFonts w:ascii="Times New Roman" w:hAnsi="Times New Roman" w:cs="Times New Roman"/>
          <w:i/>
          <w:iCs/>
          <w:sz w:val="24"/>
          <w:szCs w:val="24"/>
        </w:rPr>
        <w:t>Remote Sensing of Environment</w:t>
      </w:r>
      <w:r>
        <w:rPr>
          <w:rFonts w:ascii="Times New Roman" w:hAnsi="Times New Roman" w:cs="Times New Roman"/>
          <w:sz w:val="24"/>
          <w:szCs w:val="24"/>
        </w:rPr>
        <w:t>, </w:t>
      </w:r>
      <w:r>
        <w:rPr>
          <w:rFonts w:ascii="Times New Roman" w:hAnsi="Times New Roman" w:cs="Times New Roman"/>
          <w:i/>
          <w:iCs/>
          <w:sz w:val="24"/>
          <w:szCs w:val="24"/>
        </w:rPr>
        <w:t>164</w:t>
      </w:r>
      <w:r>
        <w:rPr>
          <w:rFonts w:ascii="Times New Roman" w:hAnsi="Times New Roman" w:cs="Times New Roman"/>
          <w:sz w:val="24"/>
          <w:szCs w:val="24"/>
        </w:rPr>
        <w:t xml:space="preserve">, 324–333. </w:t>
      </w:r>
      <w:hyperlink r:id="rId25" w:history="1">
        <w:r w:rsidR="005B7CDF">
          <w:rPr>
            <w:rStyle w:val="Hyperlink"/>
            <w:rFonts w:ascii="Times New Roman" w:hAnsi="Times New Roman" w:cs="Times New Roman"/>
            <w:sz w:val="24"/>
            <w:szCs w:val="24"/>
          </w:rPr>
          <w:t>https://doi.org/10.1016/j.rse.2015.04.021</w:t>
        </w:r>
      </w:hyperlink>
    </w:p>
    <w:p w14:paraId="267E8637"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McFadden, J. R., Rosburg, A., &amp; Njuki, E. (2022). Information inputs and technical efficiency in </w:t>
      </w:r>
      <w:proofErr w:type="spellStart"/>
      <w:r>
        <w:rPr>
          <w:rFonts w:ascii="Times New Roman" w:hAnsi="Times New Roman" w:cs="Times New Roman"/>
          <w:sz w:val="24"/>
          <w:szCs w:val="24"/>
        </w:rPr>
        <w:t>midwest</w:t>
      </w:r>
      <w:proofErr w:type="spellEnd"/>
      <w:r>
        <w:rPr>
          <w:rFonts w:ascii="Times New Roman" w:hAnsi="Times New Roman" w:cs="Times New Roman"/>
          <w:sz w:val="24"/>
          <w:szCs w:val="24"/>
        </w:rPr>
        <w:t xml:space="preserve"> corn production: evidence from farmers’ use of yield and soil maps. </w:t>
      </w:r>
      <w:r>
        <w:rPr>
          <w:rFonts w:ascii="Times New Roman" w:hAnsi="Times New Roman" w:cs="Times New Roman"/>
          <w:i/>
          <w:iCs/>
          <w:sz w:val="24"/>
          <w:szCs w:val="24"/>
        </w:rPr>
        <w:t>American Journal of Agricultural Economics</w:t>
      </w:r>
      <w:r>
        <w:rPr>
          <w:rFonts w:ascii="Times New Roman" w:hAnsi="Times New Roman" w:cs="Times New Roman"/>
          <w:sz w:val="24"/>
          <w:szCs w:val="24"/>
        </w:rPr>
        <w:t>, </w:t>
      </w:r>
      <w:r>
        <w:rPr>
          <w:rFonts w:ascii="Times New Roman" w:hAnsi="Times New Roman" w:cs="Times New Roman"/>
          <w:i/>
          <w:iCs/>
          <w:sz w:val="24"/>
          <w:szCs w:val="24"/>
        </w:rPr>
        <w:t>104</w:t>
      </w:r>
      <w:r>
        <w:rPr>
          <w:rFonts w:ascii="Times New Roman" w:hAnsi="Times New Roman" w:cs="Times New Roman"/>
          <w:sz w:val="24"/>
          <w:szCs w:val="24"/>
        </w:rPr>
        <w:t xml:space="preserve">(2), 589–612. </w:t>
      </w:r>
      <w:hyperlink r:id="rId26" w:history="1">
        <w:r w:rsidR="005B7CDF">
          <w:rPr>
            <w:rStyle w:val="Hyperlink"/>
            <w:rFonts w:ascii="Times New Roman" w:hAnsi="Times New Roman" w:cs="Times New Roman"/>
            <w:sz w:val="24"/>
            <w:szCs w:val="24"/>
          </w:rPr>
          <w:t>https://doi.org/10.1111/ajae.12251</w:t>
        </w:r>
      </w:hyperlink>
    </w:p>
    <w:p w14:paraId="5EEFBB41"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Munafò</w:t>
      </w:r>
      <w:proofErr w:type="spellEnd"/>
      <w:r>
        <w:rPr>
          <w:rFonts w:ascii="Times New Roman" w:hAnsi="Times New Roman" w:cs="Times New Roman"/>
          <w:sz w:val="24"/>
          <w:szCs w:val="24"/>
        </w:rPr>
        <w:t xml:space="preserve">, M. R., Nosek, B. A., Bishop, D. V. M., Button, K. S., Chambers, C. D., </w:t>
      </w:r>
      <w:proofErr w:type="spellStart"/>
      <w:r>
        <w:rPr>
          <w:rFonts w:ascii="Times New Roman" w:hAnsi="Times New Roman" w:cs="Times New Roman"/>
          <w:sz w:val="24"/>
          <w:szCs w:val="24"/>
        </w:rPr>
        <w:t>Percie</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Sert</w:t>
      </w:r>
      <w:proofErr w:type="spellEnd"/>
      <w:r>
        <w:rPr>
          <w:rFonts w:ascii="Times New Roman" w:hAnsi="Times New Roman" w:cs="Times New Roman"/>
          <w:sz w:val="24"/>
          <w:szCs w:val="24"/>
        </w:rPr>
        <w:t xml:space="preserve">, N., Simonsohn, U., </w:t>
      </w:r>
      <w:proofErr w:type="spellStart"/>
      <w:r>
        <w:rPr>
          <w:rFonts w:ascii="Times New Roman" w:hAnsi="Times New Roman" w:cs="Times New Roman"/>
          <w:sz w:val="24"/>
          <w:szCs w:val="24"/>
        </w:rPr>
        <w:t>Wagenmakers</w:t>
      </w:r>
      <w:proofErr w:type="spellEnd"/>
      <w:r>
        <w:rPr>
          <w:rFonts w:ascii="Times New Roman" w:hAnsi="Times New Roman" w:cs="Times New Roman"/>
          <w:sz w:val="24"/>
          <w:szCs w:val="24"/>
        </w:rPr>
        <w:t>, E.-J., Ware, J. J., &amp; Ioannid</w:t>
      </w:r>
      <w:r>
        <w:rPr>
          <w:rFonts w:ascii="Times New Roman" w:hAnsi="Times New Roman" w:cs="Times New Roman"/>
          <w:sz w:val="24"/>
          <w:szCs w:val="24"/>
        </w:rPr>
        <w:t xml:space="preserve">is, J. P. A. (2017). A manifesto for reproducible science. </w:t>
      </w:r>
      <w:r>
        <w:rPr>
          <w:rFonts w:ascii="Times New Roman" w:hAnsi="Times New Roman" w:cs="Times New Roman"/>
          <w:i/>
          <w:iCs/>
          <w:sz w:val="24"/>
          <w:szCs w:val="24"/>
        </w:rPr>
        <w:t>Nature Human Behaviour, 1</w:t>
      </w:r>
      <w:r>
        <w:rPr>
          <w:rFonts w:ascii="Times New Roman" w:hAnsi="Times New Roman" w:cs="Times New Roman"/>
          <w:sz w:val="24"/>
          <w:szCs w:val="24"/>
        </w:rPr>
        <w:t xml:space="preserve">(1), Article 0021. </w:t>
      </w:r>
      <w:hyperlink r:id="rId27" w:history="1">
        <w:r w:rsidR="005B7CDF">
          <w:rPr>
            <w:rStyle w:val="Hyperlink"/>
            <w:rFonts w:ascii="Times New Roman" w:hAnsi="Times New Roman" w:cs="Times New Roman"/>
            <w:sz w:val="24"/>
            <w:szCs w:val="24"/>
          </w:rPr>
          <w:t>https://doi.org/10.1038/s41562-016-0021</w:t>
        </w:r>
      </w:hyperlink>
    </w:p>
    <w:p w14:paraId="2DEF8D33"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Paudel, D., Boogaard, H., de Wit, A., Janssen, S., Osinga</w:t>
      </w:r>
      <w:r>
        <w:rPr>
          <w:rFonts w:ascii="Times New Roman" w:hAnsi="Times New Roman" w:cs="Times New Roman"/>
          <w:sz w:val="24"/>
          <w:szCs w:val="24"/>
        </w:rPr>
        <w:t>, S., Pylianidis, C., &amp; Athanasiadis, I. N. (2021). Machine learning for large-scale crop yield forecasting. </w:t>
      </w:r>
      <w:r>
        <w:rPr>
          <w:rFonts w:ascii="Times New Roman" w:hAnsi="Times New Roman" w:cs="Times New Roman"/>
          <w:i/>
          <w:iCs/>
          <w:sz w:val="24"/>
          <w:szCs w:val="24"/>
        </w:rPr>
        <w:t>Agricultural Systems</w:t>
      </w:r>
      <w:r>
        <w:rPr>
          <w:rFonts w:ascii="Times New Roman" w:hAnsi="Times New Roman" w:cs="Times New Roman"/>
          <w:sz w:val="24"/>
          <w:szCs w:val="24"/>
        </w:rPr>
        <w:t>, </w:t>
      </w:r>
      <w:r>
        <w:rPr>
          <w:rFonts w:ascii="Times New Roman" w:hAnsi="Times New Roman" w:cs="Times New Roman"/>
          <w:i/>
          <w:iCs/>
          <w:sz w:val="24"/>
          <w:szCs w:val="24"/>
        </w:rPr>
        <w:t>187</w:t>
      </w:r>
      <w:r>
        <w:rPr>
          <w:rFonts w:ascii="Times New Roman" w:hAnsi="Times New Roman" w:cs="Times New Roman"/>
          <w:sz w:val="24"/>
          <w:szCs w:val="24"/>
        </w:rPr>
        <w:t xml:space="preserve">(103016), 103016. </w:t>
      </w:r>
      <w:hyperlink r:id="rId28" w:history="1">
        <w:r w:rsidR="005B7CDF">
          <w:rPr>
            <w:rStyle w:val="Hyperlink"/>
            <w:rFonts w:ascii="Times New Roman" w:hAnsi="Times New Roman" w:cs="Times New Roman"/>
            <w:sz w:val="24"/>
            <w:szCs w:val="24"/>
          </w:rPr>
          <w:t>https://doi.org/10.1016/j.agsy.2020.103016</w:t>
        </w:r>
      </w:hyperlink>
    </w:p>
    <w:p w14:paraId="5A08962C"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Pa</w:t>
      </w:r>
      <w:r>
        <w:rPr>
          <w:rFonts w:ascii="Times New Roman" w:hAnsi="Times New Roman" w:cs="Times New Roman"/>
          <w:sz w:val="24"/>
          <w:szCs w:val="24"/>
        </w:rPr>
        <w:t>udel, D., de Wit, A., Boogaard, H., Marcos, D., Osinga, S., &amp; Athanasiadis, I. N. (2023). Interpretability of deep learning models for crop yield forecasting. </w:t>
      </w:r>
      <w:r>
        <w:rPr>
          <w:rFonts w:ascii="Times New Roman" w:hAnsi="Times New Roman" w:cs="Times New Roman"/>
          <w:i/>
          <w:iCs/>
          <w:sz w:val="24"/>
          <w:szCs w:val="24"/>
        </w:rPr>
        <w:t>Computers and Electronics in Agriculture</w:t>
      </w:r>
      <w:r>
        <w:rPr>
          <w:rFonts w:ascii="Times New Roman" w:hAnsi="Times New Roman" w:cs="Times New Roman"/>
          <w:sz w:val="24"/>
          <w:szCs w:val="24"/>
        </w:rPr>
        <w:t>, </w:t>
      </w:r>
      <w:r>
        <w:rPr>
          <w:rFonts w:ascii="Times New Roman" w:hAnsi="Times New Roman" w:cs="Times New Roman"/>
          <w:i/>
          <w:iCs/>
          <w:sz w:val="24"/>
          <w:szCs w:val="24"/>
        </w:rPr>
        <w:t>206</w:t>
      </w:r>
      <w:r>
        <w:rPr>
          <w:rFonts w:ascii="Times New Roman" w:hAnsi="Times New Roman" w:cs="Times New Roman"/>
          <w:sz w:val="24"/>
          <w:szCs w:val="24"/>
        </w:rPr>
        <w:t xml:space="preserve">(107663), 107663. </w:t>
      </w:r>
      <w:hyperlink r:id="rId29" w:history="1">
        <w:r w:rsidR="005B7CDF">
          <w:rPr>
            <w:rStyle w:val="Hyperlink"/>
            <w:rFonts w:ascii="Times New Roman" w:hAnsi="Times New Roman" w:cs="Times New Roman"/>
            <w:sz w:val="24"/>
            <w:szCs w:val="24"/>
          </w:rPr>
          <w:t>https://doi.org/10.1016/j.compag.2023.107663</w:t>
        </w:r>
      </w:hyperlink>
    </w:p>
    <w:p w14:paraId="1675FC1D"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Peng, R. D., Dominici, F., &amp; Zeger, S. L. (2006). Reproducible epidemiologic research. </w:t>
      </w:r>
      <w:r>
        <w:rPr>
          <w:rFonts w:ascii="Times New Roman" w:hAnsi="Times New Roman" w:cs="Times New Roman"/>
          <w:i/>
          <w:iCs/>
          <w:sz w:val="24"/>
          <w:szCs w:val="24"/>
        </w:rPr>
        <w:t>American Journal of Epidemiology, 163</w:t>
      </w:r>
      <w:r>
        <w:rPr>
          <w:rFonts w:ascii="Times New Roman" w:hAnsi="Times New Roman" w:cs="Times New Roman"/>
          <w:sz w:val="24"/>
          <w:szCs w:val="24"/>
        </w:rPr>
        <w:t xml:space="preserve">(9), 783–789. </w:t>
      </w:r>
      <w:hyperlink r:id="rId30" w:history="1">
        <w:r w:rsidR="005B7CDF">
          <w:rPr>
            <w:rStyle w:val="Hyperlink"/>
            <w:rFonts w:ascii="Times New Roman" w:hAnsi="Times New Roman" w:cs="Times New Roman"/>
            <w:sz w:val="24"/>
            <w:szCs w:val="24"/>
          </w:rPr>
          <w:t>https://doi.org/10.1093/aje/kwj093</w:t>
        </w:r>
      </w:hyperlink>
    </w:p>
    <w:p w14:paraId="4755AE1D"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lang w:eastAsia="en-GB"/>
        </w:rPr>
        <w:t>Radoˇcaj</w:t>
      </w:r>
      <w:proofErr w:type="spellEnd"/>
      <w:r>
        <w:rPr>
          <w:rFonts w:ascii="Times New Roman" w:eastAsia="Times New Roman" w:hAnsi="Times New Roman" w:cs="Times New Roman"/>
          <w:sz w:val="24"/>
          <w:szCs w:val="24"/>
          <w:lang w:eastAsia="en-GB"/>
        </w:rPr>
        <w:t xml:space="preserve">, D., </w:t>
      </w:r>
      <w:proofErr w:type="spellStart"/>
      <w:r>
        <w:rPr>
          <w:rFonts w:ascii="Times New Roman" w:eastAsia="Times New Roman" w:hAnsi="Times New Roman" w:cs="Times New Roman"/>
          <w:sz w:val="24"/>
          <w:szCs w:val="24"/>
          <w:lang w:eastAsia="en-GB"/>
        </w:rPr>
        <w:t>Plašˇcak</w:t>
      </w:r>
      <w:proofErr w:type="spellEnd"/>
      <w:r>
        <w:rPr>
          <w:rFonts w:ascii="Times New Roman" w:eastAsia="Times New Roman" w:hAnsi="Times New Roman" w:cs="Times New Roman"/>
          <w:sz w:val="24"/>
          <w:szCs w:val="24"/>
          <w:lang w:eastAsia="en-GB"/>
        </w:rPr>
        <w:t xml:space="preserve">, I., &amp; </w:t>
      </w:r>
      <w:proofErr w:type="spellStart"/>
      <w:r>
        <w:rPr>
          <w:rFonts w:ascii="Times New Roman" w:eastAsia="Times New Roman" w:hAnsi="Times New Roman" w:cs="Times New Roman"/>
          <w:sz w:val="24"/>
          <w:szCs w:val="24"/>
          <w:lang w:eastAsia="en-GB"/>
        </w:rPr>
        <w:t>Juriší</w:t>
      </w:r>
      <w:proofErr w:type="spellEnd"/>
      <w:r>
        <w:rPr>
          <w:rFonts w:ascii="Times New Roman" w:eastAsia="Times New Roman" w:hAnsi="Times New Roman" w:cs="Times New Roman"/>
          <w:sz w:val="24"/>
          <w:szCs w:val="24"/>
          <w:lang w:eastAsia="en-GB"/>
        </w:rPr>
        <w:t>, M. (2025). A comparative assessment of regular and spatial cross-validation in subfield machine learning prediction of maize yield fro</w:t>
      </w:r>
      <w:r>
        <w:rPr>
          <w:rFonts w:ascii="Times New Roman" w:eastAsia="Times New Roman" w:hAnsi="Times New Roman" w:cs="Times New Roman"/>
          <w:sz w:val="24"/>
          <w:szCs w:val="24"/>
          <w:lang w:eastAsia="en-GB"/>
        </w:rPr>
        <w:t xml:space="preserve">m Sentinel-2 phenology. </w:t>
      </w:r>
      <w:r>
        <w:rPr>
          <w:rFonts w:ascii="Times New Roman" w:eastAsia="Times New Roman" w:hAnsi="Times New Roman" w:cs="Times New Roman"/>
          <w:i/>
          <w:iCs/>
          <w:sz w:val="24"/>
          <w:szCs w:val="24"/>
          <w:lang w:eastAsia="en-GB"/>
        </w:rPr>
        <w:t>Engineering</w:t>
      </w:r>
      <w:r>
        <w:rPr>
          <w:rFonts w:ascii="Times New Roman" w:eastAsia="Times New Roman" w:hAnsi="Times New Roman" w:cs="Times New Roman"/>
          <w:sz w:val="24"/>
          <w:szCs w:val="24"/>
          <w:lang w:eastAsia="en-GB"/>
        </w:rPr>
        <w:t xml:space="preserve">, 6(10), 270. </w:t>
      </w:r>
      <w:hyperlink r:id="rId31" w:history="1">
        <w:r w:rsidR="005B7CDF">
          <w:rPr>
            <w:rFonts w:ascii="Times New Roman" w:eastAsia="Times New Roman" w:hAnsi="Times New Roman" w:cs="Times New Roman"/>
            <w:color w:val="0000FF"/>
            <w:sz w:val="24"/>
            <w:szCs w:val="24"/>
            <w:u w:val="single"/>
            <w:lang w:eastAsia="en-GB"/>
          </w:rPr>
          <w:t>https://doi.org/10.3390/eng6100270</w:t>
        </w:r>
      </w:hyperlink>
    </w:p>
    <w:p w14:paraId="3D05769C"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GB"/>
        </w:rPr>
        <w:t xml:space="preserve">Raun, W. R., &amp; Johnson, G. V. (1999). Improving nitrogen use efficiency for cereal grain production. </w:t>
      </w:r>
      <w:r>
        <w:rPr>
          <w:rFonts w:ascii="Times New Roman" w:eastAsia="Times New Roman" w:hAnsi="Times New Roman" w:cs="Times New Roman"/>
          <w:i/>
          <w:iCs/>
          <w:sz w:val="24"/>
          <w:szCs w:val="24"/>
          <w:lang w:eastAsia="en-GB"/>
        </w:rPr>
        <w:t>Agronomy Journal</w:t>
      </w:r>
      <w:r>
        <w:rPr>
          <w:rFonts w:ascii="Times New Roman" w:eastAsia="Times New Roman" w:hAnsi="Times New Roman" w:cs="Times New Roman"/>
          <w:sz w:val="24"/>
          <w:szCs w:val="24"/>
          <w:lang w:eastAsia="en-GB"/>
        </w:rPr>
        <w:t>, 91</w:t>
      </w:r>
      <w:r>
        <w:rPr>
          <w:rFonts w:ascii="Times New Roman" w:eastAsia="Times New Roman" w:hAnsi="Times New Roman" w:cs="Times New Roman"/>
          <w:sz w:val="24"/>
          <w:szCs w:val="24"/>
          <w:lang w:eastAsia="en-GB"/>
        </w:rPr>
        <w:t xml:space="preserve">(3), 357–363. </w:t>
      </w:r>
      <w:hyperlink r:id="rId32" w:history="1">
        <w:r w:rsidR="005B7CDF">
          <w:rPr>
            <w:rFonts w:ascii="Times New Roman" w:eastAsia="Times New Roman" w:hAnsi="Times New Roman" w:cs="Times New Roman"/>
            <w:color w:val="0000FF"/>
            <w:sz w:val="24"/>
            <w:szCs w:val="24"/>
            <w:u w:val="single"/>
            <w:lang w:eastAsia="en-GB"/>
          </w:rPr>
          <w:t>https://doi.org/10.2134/agronj1999.00021962009100030001x</w:t>
        </w:r>
      </w:hyperlink>
    </w:p>
    <w:p w14:paraId="15A423FA"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Ray, D. K., Gerber, J. S., MacDonald, G. K., &amp; West, P. C. (2015). Climate variation explains a third of global </w:t>
      </w:r>
      <w:r>
        <w:rPr>
          <w:rFonts w:ascii="Times New Roman" w:hAnsi="Times New Roman" w:cs="Times New Roman"/>
          <w:sz w:val="24"/>
          <w:szCs w:val="24"/>
        </w:rPr>
        <w:t>crop yield variability. </w:t>
      </w:r>
      <w:r>
        <w:rPr>
          <w:rFonts w:ascii="Times New Roman" w:hAnsi="Times New Roman" w:cs="Times New Roman"/>
          <w:i/>
          <w:iCs/>
          <w:sz w:val="24"/>
          <w:szCs w:val="24"/>
        </w:rPr>
        <w:t>Nature Communications</w:t>
      </w:r>
      <w:r>
        <w:rPr>
          <w:rFonts w:ascii="Times New Roman" w:hAnsi="Times New Roman" w:cs="Times New Roman"/>
          <w:sz w:val="24"/>
          <w:szCs w:val="24"/>
        </w:rPr>
        <w:t>, </w:t>
      </w:r>
      <w:r>
        <w:rPr>
          <w:rFonts w:ascii="Times New Roman" w:hAnsi="Times New Roman" w:cs="Times New Roman"/>
          <w:i/>
          <w:iCs/>
          <w:sz w:val="24"/>
          <w:szCs w:val="24"/>
        </w:rPr>
        <w:t>6</w:t>
      </w:r>
      <w:r>
        <w:rPr>
          <w:rFonts w:ascii="Times New Roman" w:hAnsi="Times New Roman" w:cs="Times New Roman"/>
          <w:sz w:val="24"/>
          <w:szCs w:val="24"/>
        </w:rPr>
        <w:t xml:space="preserve">(1), 5989. </w:t>
      </w:r>
      <w:hyperlink r:id="rId33" w:history="1">
        <w:r w:rsidR="005B7CDF">
          <w:rPr>
            <w:rStyle w:val="Hyperlink"/>
            <w:rFonts w:ascii="Times New Roman" w:hAnsi="Times New Roman" w:cs="Times New Roman"/>
            <w:sz w:val="24"/>
            <w:szCs w:val="24"/>
          </w:rPr>
          <w:t>https://doi.org/10.1038/ncomms6989</w:t>
        </w:r>
      </w:hyperlink>
    </w:p>
    <w:p w14:paraId="5504F779"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en-GB"/>
        </w:rPr>
        <w:t xml:space="preserve">Roberts, D. R., Bahn, V., </w:t>
      </w:r>
      <w:proofErr w:type="spellStart"/>
      <w:r>
        <w:rPr>
          <w:rFonts w:ascii="Times New Roman" w:eastAsia="Times New Roman" w:hAnsi="Times New Roman" w:cs="Times New Roman"/>
          <w:sz w:val="24"/>
          <w:szCs w:val="24"/>
          <w:lang w:eastAsia="en-GB"/>
        </w:rPr>
        <w:t>Ciuti</w:t>
      </w:r>
      <w:proofErr w:type="spellEnd"/>
      <w:r>
        <w:rPr>
          <w:rFonts w:ascii="Times New Roman" w:eastAsia="Times New Roman" w:hAnsi="Times New Roman" w:cs="Times New Roman"/>
          <w:sz w:val="24"/>
          <w:szCs w:val="24"/>
          <w:lang w:eastAsia="en-GB"/>
        </w:rPr>
        <w:t xml:space="preserve">, S., Boyce, M. S., Elith, J., </w:t>
      </w:r>
      <w:proofErr w:type="spellStart"/>
      <w:r>
        <w:rPr>
          <w:rFonts w:ascii="Times New Roman" w:eastAsia="Times New Roman" w:hAnsi="Times New Roman" w:cs="Times New Roman"/>
          <w:sz w:val="24"/>
          <w:szCs w:val="24"/>
          <w:lang w:eastAsia="en-GB"/>
        </w:rPr>
        <w:t>Guillera-Arroita</w:t>
      </w:r>
      <w:proofErr w:type="spellEnd"/>
      <w:r>
        <w:rPr>
          <w:rFonts w:ascii="Times New Roman" w:eastAsia="Times New Roman" w:hAnsi="Times New Roman" w:cs="Times New Roman"/>
          <w:sz w:val="24"/>
          <w:szCs w:val="24"/>
          <w:lang w:eastAsia="en-GB"/>
        </w:rPr>
        <w:t xml:space="preserve">, G., &amp; </w:t>
      </w:r>
      <w:proofErr w:type="spellStart"/>
      <w:r>
        <w:rPr>
          <w:rFonts w:ascii="Times New Roman" w:eastAsia="Times New Roman" w:hAnsi="Times New Roman" w:cs="Times New Roman"/>
          <w:sz w:val="24"/>
          <w:szCs w:val="24"/>
          <w:lang w:eastAsia="en-GB"/>
        </w:rPr>
        <w:t>Thuiller</w:t>
      </w:r>
      <w:proofErr w:type="spellEnd"/>
      <w:r>
        <w:rPr>
          <w:rFonts w:ascii="Times New Roman" w:eastAsia="Times New Roman" w:hAnsi="Times New Roman" w:cs="Times New Roman"/>
          <w:sz w:val="24"/>
          <w:szCs w:val="24"/>
          <w:lang w:eastAsia="en-GB"/>
        </w:rPr>
        <w:t>, W. (2017). Cros</w:t>
      </w:r>
      <w:r>
        <w:rPr>
          <w:rFonts w:ascii="Times New Roman" w:eastAsia="Times New Roman" w:hAnsi="Times New Roman" w:cs="Times New Roman"/>
          <w:sz w:val="24"/>
          <w:szCs w:val="24"/>
          <w:lang w:eastAsia="en-GB"/>
        </w:rPr>
        <w:t xml:space="preserve">s-validation strategies for data with temporal, spatial, hierarchical, or phylogenetic structure. </w:t>
      </w:r>
      <w:proofErr w:type="spellStart"/>
      <w:r>
        <w:rPr>
          <w:rFonts w:ascii="Times New Roman" w:eastAsia="Times New Roman" w:hAnsi="Times New Roman" w:cs="Times New Roman"/>
          <w:i/>
          <w:iCs/>
          <w:sz w:val="24"/>
          <w:szCs w:val="24"/>
          <w:lang w:eastAsia="en-GB"/>
        </w:rPr>
        <w:t>Ecography</w:t>
      </w:r>
      <w:proofErr w:type="spellEnd"/>
      <w:r>
        <w:rPr>
          <w:rFonts w:ascii="Times New Roman" w:eastAsia="Times New Roman" w:hAnsi="Times New Roman" w:cs="Times New Roman"/>
          <w:sz w:val="24"/>
          <w:szCs w:val="24"/>
          <w:lang w:eastAsia="en-GB"/>
        </w:rPr>
        <w:t>, 40(8), 913–929.</w:t>
      </w:r>
    </w:p>
    <w:p w14:paraId="3A96CC00"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lang w:eastAsia="en-GB"/>
        </w:rPr>
        <w:t>Scholkopf</w:t>
      </w:r>
      <w:proofErr w:type="spellEnd"/>
      <w:r>
        <w:rPr>
          <w:rFonts w:ascii="Times New Roman" w:eastAsia="Times New Roman" w:hAnsi="Times New Roman" w:cs="Times New Roman"/>
          <w:sz w:val="24"/>
          <w:szCs w:val="24"/>
          <w:lang w:eastAsia="en-GB"/>
        </w:rPr>
        <w:t xml:space="preserve">, B., &amp; Smola, A. J. (2002). </w:t>
      </w:r>
      <w:r>
        <w:rPr>
          <w:rFonts w:ascii="Times New Roman" w:eastAsia="Times New Roman" w:hAnsi="Times New Roman" w:cs="Times New Roman"/>
          <w:i/>
          <w:iCs/>
          <w:sz w:val="24"/>
          <w:szCs w:val="24"/>
          <w:lang w:eastAsia="en-GB"/>
        </w:rPr>
        <w:t>Learning with kernels: Support vector machines, regularization, optimization, and beyond</w:t>
      </w:r>
      <w:r>
        <w:rPr>
          <w:rFonts w:ascii="Times New Roman" w:eastAsia="Times New Roman" w:hAnsi="Times New Roman" w:cs="Times New Roman"/>
          <w:sz w:val="24"/>
          <w:szCs w:val="24"/>
          <w:lang w:eastAsia="en-GB"/>
        </w:rPr>
        <w:t>. MIT</w:t>
      </w:r>
      <w:r>
        <w:rPr>
          <w:rFonts w:ascii="Times New Roman" w:eastAsia="Times New Roman" w:hAnsi="Times New Roman" w:cs="Times New Roman"/>
          <w:sz w:val="24"/>
          <w:szCs w:val="24"/>
          <w:lang w:eastAsia="en-GB"/>
        </w:rPr>
        <w:t xml:space="preserve"> Press.</w:t>
      </w:r>
    </w:p>
    <w:p w14:paraId="461CFD2F"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Schölkopf</w:t>
      </w:r>
      <w:proofErr w:type="spellEnd"/>
      <w:r>
        <w:rPr>
          <w:rFonts w:ascii="Times New Roman" w:hAnsi="Times New Roman" w:cs="Times New Roman"/>
          <w:sz w:val="24"/>
          <w:szCs w:val="24"/>
        </w:rPr>
        <w:t xml:space="preserve">, B., Simard, P., Smola, A. J., &amp; </w:t>
      </w:r>
      <w:proofErr w:type="spellStart"/>
      <w:r>
        <w:rPr>
          <w:rFonts w:ascii="Times New Roman" w:hAnsi="Times New Roman" w:cs="Times New Roman"/>
          <w:sz w:val="24"/>
          <w:szCs w:val="24"/>
        </w:rPr>
        <w:t>Vapnik</w:t>
      </w:r>
      <w:proofErr w:type="spellEnd"/>
      <w:r>
        <w:rPr>
          <w:rFonts w:ascii="Times New Roman" w:hAnsi="Times New Roman" w:cs="Times New Roman"/>
          <w:sz w:val="24"/>
          <w:szCs w:val="24"/>
        </w:rPr>
        <w:t xml:space="preserve">, V. (1997). Prior knowledge in support vector kernels. In J. D. Cowan, G. Tesauro, &amp; J. </w:t>
      </w:r>
      <w:proofErr w:type="spellStart"/>
      <w:r>
        <w:rPr>
          <w:rFonts w:ascii="Times New Roman" w:hAnsi="Times New Roman" w:cs="Times New Roman"/>
          <w:sz w:val="24"/>
          <w:szCs w:val="24"/>
        </w:rPr>
        <w:t>Alspector</w:t>
      </w:r>
      <w:proofErr w:type="spellEnd"/>
      <w:r>
        <w:rPr>
          <w:rFonts w:ascii="Times New Roman" w:hAnsi="Times New Roman" w:cs="Times New Roman"/>
          <w:sz w:val="24"/>
          <w:szCs w:val="24"/>
        </w:rPr>
        <w:t xml:space="preserve"> (Eds.), </w:t>
      </w:r>
      <w:r>
        <w:rPr>
          <w:rFonts w:ascii="Times New Roman" w:hAnsi="Times New Roman" w:cs="Times New Roman"/>
          <w:i/>
          <w:iCs/>
          <w:sz w:val="24"/>
          <w:szCs w:val="24"/>
        </w:rPr>
        <w:t>Advances in Neural Information Processing Systems</w:t>
      </w:r>
      <w:r>
        <w:rPr>
          <w:rFonts w:ascii="Times New Roman" w:hAnsi="Times New Roman" w:cs="Times New Roman"/>
          <w:sz w:val="24"/>
          <w:szCs w:val="24"/>
        </w:rPr>
        <w:t xml:space="preserve"> (Vol. 10). MIT Press.</w:t>
      </w:r>
    </w:p>
    <w:p w14:paraId="6129BE1A"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lastRenderedPageBreak/>
        <w:t>Shahhosseini</w:t>
      </w:r>
      <w:proofErr w:type="spellEnd"/>
      <w:r>
        <w:rPr>
          <w:rFonts w:ascii="Times New Roman" w:hAnsi="Times New Roman" w:cs="Times New Roman"/>
          <w:sz w:val="24"/>
          <w:szCs w:val="24"/>
        </w:rPr>
        <w:t>, M., Hu</w:t>
      </w:r>
      <w:r>
        <w:rPr>
          <w:rFonts w:ascii="Times New Roman" w:hAnsi="Times New Roman" w:cs="Times New Roman"/>
          <w:sz w:val="24"/>
          <w:szCs w:val="24"/>
        </w:rPr>
        <w:t xml:space="preserve">, G., &amp; </w:t>
      </w:r>
      <w:proofErr w:type="spellStart"/>
      <w:r>
        <w:rPr>
          <w:rFonts w:ascii="Times New Roman" w:hAnsi="Times New Roman" w:cs="Times New Roman"/>
          <w:sz w:val="24"/>
          <w:szCs w:val="24"/>
        </w:rPr>
        <w:t>Archontoulis</w:t>
      </w:r>
      <w:proofErr w:type="spellEnd"/>
      <w:r>
        <w:rPr>
          <w:rFonts w:ascii="Times New Roman" w:hAnsi="Times New Roman" w:cs="Times New Roman"/>
          <w:sz w:val="24"/>
          <w:szCs w:val="24"/>
        </w:rPr>
        <w:t>, S. V. (2020). Forecasting corn yield with machine learning ensembles. </w:t>
      </w:r>
      <w:r>
        <w:rPr>
          <w:rFonts w:ascii="Times New Roman" w:hAnsi="Times New Roman" w:cs="Times New Roman"/>
          <w:i/>
          <w:iCs/>
          <w:sz w:val="24"/>
          <w:szCs w:val="24"/>
        </w:rPr>
        <w:t>Frontiers in Plant Science</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 xml:space="preserve">, 1120. </w:t>
      </w:r>
      <w:hyperlink r:id="rId34" w:history="1">
        <w:r w:rsidR="005B7CDF">
          <w:rPr>
            <w:rStyle w:val="Hyperlink"/>
            <w:rFonts w:ascii="Times New Roman" w:hAnsi="Times New Roman" w:cs="Times New Roman"/>
            <w:sz w:val="24"/>
            <w:szCs w:val="24"/>
          </w:rPr>
          <w:t>https://doi.org/10.3389/fpls.2020.01120</w:t>
        </w:r>
      </w:hyperlink>
    </w:p>
    <w:p w14:paraId="196ED6F8"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Sharma, B., Kumar, P., Patel, A., Yadav, D. S., &amp; Singh, R. K. (2021). A machine learning approach for crop yield and disease prediction integrating soil nutrition and weather factors. </w:t>
      </w:r>
      <w:r>
        <w:rPr>
          <w:rFonts w:ascii="Times New Roman" w:hAnsi="Times New Roman" w:cs="Times New Roman"/>
          <w:i/>
          <w:iCs/>
          <w:sz w:val="24"/>
          <w:szCs w:val="24"/>
        </w:rPr>
        <w:t>Agricultural Systems, 190</w:t>
      </w:r>
      <w:r>
        <w:rPr>
          <w:rFonts w:ascii="Times New Roman" w:hAnsi="Times New Roman" w:cs="Times New Roman"/>
          <w:sz w:val="24"/>
          <w:szCs w:val="24"/>
        </w:rPr>
        <w:t xml:space="preserve">, Article 103084. </w:t>
      </w:r>
    </w:p>
    <w:p w14:paraId="4C39B4AC"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Sharma, R. K., Kaur, J., Fe</w:t>
      </w:r>
      <w:r>
        <w:rPr>
          <w:rFonts w:ascii="Times New Roman" w:hAnsi="Times New Roman" w:cs="Times New Roman"/>
          <w:sz w:val="24"/>
          <w:szCs w:val="24"/>
        </w:rPr>
        <w:t>ng, G., Huang, Y., Kumar, C., Wang, Y., Sharma, S., Jenkins, J., &amp; Dhillon, J. (2025). Maize and soybean yield prediction using machine learning methods: a systematic literature review. </w:t>
      </w:r>
      <w:r>
        <w:rPr>
          <w:rFonts w:ascii="Times New Roman" w:hAnsi="Times New Roman" w:cs="Times New Roman"/>
          <w:i/>
          <w:iCs/>
          <w:sz w:val="24"/>
          <w:szCs w:val="24"/>
        </w:rPr>
        <w:t>Discover Agriculture</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xml:space="preserve">(1). </w:t>
      </w:r>
      <w:hyperlink r:id="rId35" w:history="1">
        <w:r w:rsidR="005B7CDF">
          <w:rPr>
            <w:rStyle w:val="Hyperlink"/>
            <w:rFonts w:ascii="Times New Roman" w:hAnsi="Times New Roman" w:cs="Times New Roman"/>
            <w:sz w:val="24"/>
            <w:szCs w:val="24"/>
          </w:rPr>
          <w:t>https://doi.org/10.1007/s44279-025-00215-6</w:t>
        </w:r>
      </w:hyperlink>
    </w:p>
    <w:p w14:paraId="5CD4F663"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Shrestha, A., </w:t>
      </w:r>
      <w:proofErr w:type="spellStart"/>
      <w:r>
        <w:rPr>
          <w:rFonts w:ascii="Times New Roman" w:hAnsi="Times New Roman" w:cs="Times New Roman"/>
          <w:sz w:val="24"/>
          <w:szCs w:val="24"/>
        </w:rPr>
        <w:t>Bheemanahalli</w:t>
      </w:r>
      <w:proofErr w:type="spellEnd"/>
      <w:r>
        <w:rPr>
          <w:rFonts w:ascii="Times New Roman" w:hAnsi="Times New Roman" w:cs="Times New Roman"/>
          <w:sz w:val="24"/>
          <w:szCs w:val="24"/>
        </w:rPr>
        <w:t xml:space="preserve">, R., Adeli, A., </w:t>
      </w:r>
      <w:proofErr w:type="spellStart"/>
      <w:r>
        <w:rPr>
          <w:rFonts w:ascii="Times New Roman" w:hAnsi="Times New Roman" w:cs="Times New Roman"/>
          <w:sz w:val="24"/>
          <w:szCs w:val="24"/>
        </w:rPr>
        <w:t>Samiappan</w:t>
      </w:r>
      <w:proofErr w:type="spellEnd"/>
      <w:r>
        <w:rPr>
          <w:rFonts w:ascii="Times New Roman" w:hAnsi="Times New Roman" w:cs="Times New Roman"/>
          <w:sz w:val="24"/>
          <w:szCs w:val="24"/>
        </w:rPr>
        <w:t>, S., Czarnecki, J. M. P., McCraine, C. D., Reddy, K. R., &amp; Moorhead, R. (2023). Phenological stage and vegetation index for predicting corn yi</w:t>
      </w:r>
      <w:r>
        <w:rPr>
          <w:rFonts w:ascii="Times New Roman" w:hAnsi="Times New Roman" w:cs="Times New Roman"/>
          <w:sz w:val="24"/>
          <w:szCs w:val="24"/>
        </w:rPr>
        <w:t xml:space="preserve">eld under rainfed environments. </w:t>
      </w:r>
      <w:r>
        <w:rPr>
          <w:rFonts w:ascii="Times New Roman" w:hAnsi="Times New Roman" w:cs="Times New Roman"/>
          <w:i/>
          <w:iCs/>
          <w:sz w:val="24"/>
          <w:szCs w:val="24"/>
        </w:rPr>
        <w:t>Frontiers in Plant Science, 14</w:t>
      </w:r>
      <w:r>
        <w:rPr>
          <w:rFonts w:ascii="Times New Roman" w:hAnsi="Times New Roman" w:cs="Times New Roman"/>
          <w:sz w:val="24"/>
          <w:szCs w:val="24"/>
        </w:rPr>
        <w:t xml:space="preserve">, Article 1168732. </w:t>
      </w:r>
      <w:hyperlink r:id="rId36" w:history="1">
        <w:r w:rsidR="005B7CDF">
          <w:rPr>
            <w:rStyle w:val="Hyperlink"/>
            <w:rFonts w:ascii="Times New Roman" w:hAnsi="Times New Roman" w:cs="Times New Roman"/>
            <w:sz w:val="24"/>
            <w:szCs w:val="24"/>
          </w:rPr>
          <w:t>https://doi.org/10.3389/fpls.2023.1168732</w:t>
        </w:r>
      </w:hyperlink>
    </w:p>
    <w:p w14:paraId="70FD0DE0"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Tuia, D., Marcos, D., &amp; Camps-Valls, G. (2016). Multi-temporal and multi-source remote sensing image classification by nonlinear relative normalization. </w:t>
      </w:r>
      <w:r>
        <w:rPr>
          <w:rFonts w:ascii="Times New Roman" w:hAnsi="Times New Roman" w:cs="Times New Roman"/>
          <w:i/>
          <w:iCs/>
          <w:sz w:val="24"/>
          <w:szCs w:val="24"/>
        </w:rPr>
        <w:t>ISPRS Journal of Photogrammetry and Remote Sensing, 120</w:t>
      </w:r>
      <w:r>
        <w:rPr>
          <w:rFonts w:ascii="Times New Roman" w:hAnsi="Times New Roman" w:cs="Times New Roman"/>
          <w:sz w:val="24"/>
          <w:szCs w:val="24"/>
        </w:rPr>
        <w:t xml:space="preserve">, 1–12. </w:t>
      </w:r>
      <w:hyperlink r:id="rId37" w:history="1">
        <w:r w:rsidR="005B7CDF">
          <w:rPr>
            <w:rStyle w:val="Hyperlink"/>
            <w:rFonts w:ascii="Times New Roman" w:hAnsi="Times New Roman" w:cs="Times New Roman"/>
            <w:sz w:val="24"/>
            <w:szCs w:val="24"/>
          </w:rPr>
          <w:t>https://doi.org/10.1016/j.isprsjprs.2016.07.004</w:t>
        </w:r>
      </w:hyperlink>
    </w:p>
    <w:p w14:paraId="370A4961"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Tukey, J. W. (1977). </w:t>
      </w:r>
      <w:r>
        <w:rPr>
          <w:rFonts w:ascii="Times New Roman" w:hAnsi="Times New Roman" w:cs="Times New Roman"/>
          <w:i/>
          <w:iCs/>
          <w:sz w:val="24"/>
          <w:szCs w:val="24"/>
        </w:rPr>
        <w:t>Exploratory data analysis</w:t>
      </w:r>
      <w:r>
        <w:rPr>
          <w:rFonts w:ascii="Times New Roman" w:hAnsi="Times New Roman" w:cs="Times New Roman"/>
          <w:sz w:val="24"/>
          <w:szCs w:val="24"/>
        </w:rPr>
        <w:t>. Addison-Wesley.</w:t>
      </w:r>
    </w:p>
    <w:p w14:paraId="20ADE395"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van </w:t>
      </w:r>
      <w:proofErr w:type="spellStart"/>
      <w:r>
        <w:rPr>
          <w:rFonts w:ascii="Times New Roman" w:hAnsi="Times New Roman" w:cs="Times New Roman"/>
          <w:sz w:val="24"/>
          <w:szCs w:val="24"/>
        </w:rPr>
        <w:t>Klompenburg</w:t>
      </w:r>
      <w:proofErr w:type="spellEnd"/>
      <w:r>
        <w:rPr>
          <w:rFonts w:ascii="Times New Roman" w:hAnsi="Times New Roman" w:cs="Times New Roman"/>
          <w:sz w:val="24"/>
          <w:szCs w:val="24"/>
        </w:rPr>
        <w:t xml:space="preserve">, T., Kassahun, A., &amp; </w:t>
      </w:r>
      <w:proofErr w:type="spellStart"/>
      <w:r>
        <w:rPr>
          <w:rFonts w:ascii="Times New Roman" w:hAnsi="Times New Roman" w:cs="Times New Roman"/>
          <w:sz w:val="24"/>
          <w:szCs w:val="24"/>
        </w:rPr>
        <w:t>Catal</w:t>
      </w:r>
      <w:proofErr w:type="spellEnd"/>
      <w:r>
        <w:rPr>
          <w:rFonts w:ascii="Times New Roman" w:hAnsi="Times New Roman" w:cs="Times New Roman"/>
          <w:sz w:val="24"/>
          <w:szCs w:val="24"/>
        </w:rPr>
        <w:t>, C. (2020). Crop yield prediction using machine learning: A systematic litera</w:t>
      </w:r>
      <w:r>
        <w:rPr>
          <w:rFonts w:ascii="Times New Roman" w:hAnsi="Times New Roman" w:cs="Times New Roman"/>
          <w:sz w:val="24"/>
          <w:szCs w:val="24"/>
        </w:rPr>
        <w:t>ture review. </w:t>
      </w:r>
      <w:r>
        <w:rPr>
          <w:rFonts w:ascii="Times New Roman" w:hAnsi="Times New Roman" w:cs="Times New Roman"/>
          <w:i/>
          <w:iCs/>
          <w:sz w:val="24"/>
          <w:szCs w:val="24"/>
        </w:rPr>
        <w:t>Computers and Electronics in Agriculture</w:t>
      </w:r>
      <w:r>
        <w:rPr>
          <w:rFonts w:ascii="Times New Roman" w:hAnsi="Times New Roman" w:cs="Times New Roman"/>
          <w:sz w:val="24"/>
          <w:szCs w:val="24"/>
        </w:rPr>
        <w:t>, </w:t>
      </w:r>
      <w:r>
        <w:rPr>
          <w:rFonts w:ascii="Times New Roman" w:hAnsi="Times New Roman" w:cs="Times New Roman"/>
          <w:i/>
          <w:iCs/>
          <w:sz w:val="24"/>
          <w:szCs w:val="24"/>
        </w:rPr>
        <w:t>177</w:t>
      </w:r>
      <w:r>
        <w:rPr>
          <w:rFonts w:ascii="Times New Roman" w:hAnsi="Times New Roman" w:cs="Times New Roman"/>
          <w:sz w:val="24"/>
          <w:szCs w:val="24"/>
        </w:rPr>
        <w:t xml:space="preserve">(105709), 105709. </w:t>
      </w:r>
      <w:hyperlink r:id="rId38" w:history="1">
        <w:r w:rsidR="005B7CDF">
          <w:rPr>
            <w:rStyle w:val="Hyperlink"/>
            <w:rFonts w:ascii="Times New Roman" w:hAnsi="Times New Roman" w:cs="Times New Roman"/>
            <w:sz w:val="24"/>
            <w:szCs w:val="24"/>
          </w:rPr>
          <w:t>https://doi.org/10.1016/j.compag.2020.105709</w:t>
        </w:r>
      </w:hyperlink>
    </w:p>
    <w:p w14:paraId="4A00A0B2"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Vapnik</w:t>
      </w:r>
      <w:proofErr w:type="spellEnd"/>
      <w:r>
        <w:rPr>
          <w:rFonts w:ascii="Times New Roman" w:hAnsi="Times New Roman" w:cs="Times New Roman"/>
          <w:sz w:val="24"/>
          <w:szCs w:val="24"/>
        </w:rPr>
        <w:t xml:space="preserve">, V. (1995). </w:t>
      </w:r>
      <w:r>
        <w:rPr>
          <w:rFonts w:ascii="Times New Roman" w:hAnsi="Times New Roman" w:cs="Times New Roman"/>
          <w:i/>
          <w:iCs/>
          <w:sz w:val="24"/>
          <w:szCs w:val="24"/>
        </w:rPr>
        <w:t>The nature of statistical learning theory</w:t>
      </w:r>
      <w:r>
        <w:rPr>
          <w:rFonts w:ascii="Times New Roman" w:hAnsi="Times New Roman" w:cs="Times New Roman"/>
          <w:sz w:val="24"/>
          <w:szCs w:val="24"/>
        </w:rPr>
        <w:t>. Springer-Ver</w:t>
      </w:r>
      <w:r>
        <w:rPr>
          <w:rFonts w:ascii="Times New Roman" w:hAnsi="Times New Roman" w:cs="Times New Roman"/>
          <w:sz w:val="24"/>
          <w:szCs w:val="24"/>
        </w:rPr>
        <w:t>lag.</w:t>
      </w:r>
    </w:p>
    <w:p w14:paraId="1521B724"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Viscarra Rossel, R. A., Behrens, T., Ben-Dor, E., Brown, D. J., </w:t>
      </w:r>
      <w:proofErr w:type="spellStart"/>
      <w:r>
        <w:rPr>
          <w:rFonts w:ascii="Times New Roman" w:hAnsi="Times New Roman" w:cs="Times New Roman"/>
          <w:sz w:val="24"/>
          <w:szCs w:val="24"/>
        </w:rPr>
        <w:t>Demattê</w:t>
      </w:r>
      <w:proofErr w:type="spellEnd"/>
      <w:r>
        <w:rPr>
          <w:rFonts w:ascii="Times New Roman" w:hAnsi="Times New Roman" w:cs="Times New Roman"/>
          <w:sz w:val="24"/>
          <w:szCs w:val="24"/>
        </w:rPr>
        <w:t xml:space="preserve">, J. A. M., Shepherd, K. D., Shi, Z., Stenberg, B., Stevens, A., Adamchuk, V., Aïchi, H., </w:t>
      </w:r>
      <w:proofErr w:type="spellStart"/>
      <w:r>
        <w:rPr>
          <w:rFonts w:ascii="Times New Roman" w:hAnsi="Times New Roman" w:cs="Times New Roman"/>
          <w:sz w:val="24"/>
          <w:szCs w:val="24"/>
        </w:rPr>
        <w:t>Barthès</w:t>
      </w:r>
      <w:proofErr w:type="spellEnd"/>
      <w:r>
        <w:rPr>
          <w:rFonts w:ascii="Times New Roman" w:hAnsi="Times New Roman" w:cs="Times New Roman"/>
          <w:sz w:val="24"/>
          <w:szCs w:val="24"/>
        </w:rPr>
        <w:t xml:space="preserve">, B. G., Bartholomeus, H. M., Bayer, A. D., </w:t>
      </w:r>
      <w:proofErr w:type="spellStart"/>
      <w:r>
        <w:rPr>
          <w:rFonts w:ascii="Times New Roman" w:hAnsi="Times New Roman" w:cs="Times New Roman"/>
          <w:sz w:val="24"/>
          <w:szCs w:val="24"/>
        </w:rPr>
        <w:t>Bernoux</w:t>
      </w:r>
      <w:proofErr w:type="spellEnd"/>
      <w:r>
        <w:rPr>
          <w:rFonts w:ascii="Times New Roman" w:hAnsi="Times New Roman" w:cs="Times New Roman"/>
          <w:sz w:val="24"/>
          <w:szCs w:val="24"/>
        </w:rPr>
        <w:t xml:space="preserve">, M., Böttcher, K., </w:t>
      </w:r>
      <w:proofErr w:type="spellStart"/>
      <w:r>
        <w:rPr>
          <w:rFonts w:ascii="Times New Roman" w:hAnsi="Times New Roman" w:cs="Times New Roman"/>
          <w:sz w:val="24"/>
          <w:szCs w:val="24"/>
        </w:rPr>
        <w:t>Brodský</w:t>
      </w:r>
      <w:proofErr w:type="spellEnd"/>
      <w:r>
        <w:rPr>
          <w:rFonts w:ascii="Times New Roman" w:hAnsi="Times New Roman" w:cs="Times New Roman"/>
          <w:sz w:val="24"/>
          <w:szCs w:val="24"/>
        </w:rPr>
        <w:t>, L.,</w:t>
      </w:r>
      <w:r>
        <w:rPr>
          <w:rFonts w:ascii="Times New Roman" w:hAnsi="Times New Roman" w:cs="Times New Roman"/>
          <w:sz w:val="24"/>
          <w:szCs w:val="24"/>
        </w:rPr>
        <w:t xml:space="preserve"> Du, C. W., Chappell, A., … Ji, W. (2016). A global spectral library to characterize the world’s soil. </w:t>
      </w:r>
      <w:r>
        <w:rPr>
          <w:rFonts w:ascii="Times New Roman" w:hAnsi="Times New Roman" w:cs="Times New Roman"/>
          <w:i/>
          <w:iCs/>
          <w:sz w:val="24"/>
          <w:szCs w:val="24"/>
        </w:rPr>
        <w:t>Earth-Science Reviews</w:t>
      </w:r>
      <w:r>
        <w:rPr>
          <w:rFonts w:ascii="Times New Roman" w:hAnsi="Times New Roman" w:cs="Times New Roman"/>
          <w:sz w:val="24"/>
          <w:szCs w:val="24"/>
        </w:rPr>
        <w:t>, </w:t>
      </w:r>
      <w:r>
        <w:rPr>
          <w:rFonts w:ascii="Times New Roman" w:hAnsi="Times New Roman" w:cs="Times New Roman"/>
          <w:i/>
          <w:iCs/>
          <w:sz w:val="24"/>
          <w:szCs w:val="24"/>
        </w:rPr>
        <w:t>155</w:t>
      </w:r>
      <w:r>
        <w:rPr>
          <w:rFonts w:ascii="Times New Roman" w:hAnsi="Times New Roman" w:cs="Times New Roman"/>
          <w:sz w:val="24"/>
          <w:szCs w:val="24"/>
        </w:rPr>
        <w:t>, 198–230. https://doi.org/10.1016/j.earscirev.2016.01.012</w:t>
      </w:r>
    </w:p>
    <w:p w14:paraId="497B97D3"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Wang, Y., Yuan, Y., Yuan, F., Liu, X., Tian, Y., Zhu, Y., Cao, W., &amp;</w:t>
      </w:r>
      <w:r>
        <w:rPr>
          <w:rFonts w:ascii="Times New Roman" w:hAnsi="Times New Roman" w:cs="Times New Roman"/>
          <w:sz w:val="24"/>
          <w:szCs w:val="24"/>
        </w:rPr>
        <w:t xml:space="preserve"> Cao, Q. (2025). Optimizing management zone delineation through advanced dimensionality reduction models and clustering algorithms. </w:t>
      </w:r>
      <w:r>
        <w:rPr>
          <w:rFonts w:ascii="Times New Roman" w:hAnsi="Times New Roman" w:cs="Times New Roman"/>
          <w:i/>
          <w:iCs/>
          <w:sz w:val="24"/>
          <w:szCs w:val="24"/>
        </w:rPr>
        <w:t>Precision Agriculture</w:t>
      </w:r>
      <w:r>
        <w:rPr>
          <w:rFonts w:ascii="Times New Roman" w:hAnsi="Times New Roman" w:cs="Times New Roman"/>
          <w:sz w:val="24"/>
          <w:szCs w:val="24"/>
        </w:rPr>
        <w:t>, </w:t>
      </w:r>
      <w:r>
        <w:rPr>
          <w:rFonts w:ascii="Times New Roman" w:hAnsi="Times New Roman" w:cs="Times New Roman"/>
          <w:i/>
          <w:iCs/>
          <w:sz w:val="24"/>
          <w:szCs w:val="24"/>
        </w:rPr>
        <w:t>26</w:t>
      </w:r>
      <w:r>
        <w:rPr>
          <w:rFonts w:ascii="Times New Roman" w:hAnsi="Times New Roman" w:cs="Times New Roman"/>
          <w:sz w:val="24"/>
          <w:szCs w:val="24"/>
        </w:rPr>
        <w:t xml:space="preserve">(4). </w:t>
      </w:r>
      <w:hyperlink r:id="rId39" w:history="1">
        <w:r w:rsidR="005B7CDF">
          <w:rPr>
            <w:rStyle w:val="Hyperlink"/>
            <w:rFonts w:ascii="Times New Roman" w:hAnsi="Times New Roman" w:cs="Times New Roman"/>
            <w:sz w:val="24"/>
            <w:szCs w:val="24"/>
          </w:rPr>
          <w:t>https://doi.org/10.1007/s11119-025-10265-x</w:t>
        </w:r>
      </w:hyperlink>
    </w:p>
    <w:p w14:paraId="257C58E3" w14:textId="77777777" w:rsidR="005B7CDF" w:rsidRDefault="00B15BF6">
      <w:pPr>
        <w:spacing w:before="100" w:beforeAutospacing="1" w:after="0"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Westgate, M. E., &amp; Boyer, J. S. (1985). Osmotic adjustment and the inhibition of leaf, root, stem and silk growth at low water potentials in maize. </w:t>
      </w:r>
      <w:r>
        <w:rPr>
          <w:rFonts w:ascii="Times New Roman" w:hAnsi="Times New Roman" w:cs="Times New Roman"/>
          <w:i/>
          <w:iCs/>
          <w:sz w:val="24"/>
          <w:szCs w:val="24"/>
        </w:rPr>
        <w:t>Planta, 164</w:t>
      </w:r>
      <w:r>
        <w:rPr>
          <w:rFonts w:ascii="Times New Roman" w:hAnsi="Times New Roman" w:cs="Times New Roman"/>
          <w:sz w:val="24"/>
          <w:szCs w:val="24"/>
        </w:rPr>
        <w:t>(4), 540–549.</w:t>
      </w:r>
    </w:p>
    <w:p w14:paraId="2E6AD123" w14:textId="77777777" w:rsidR="005B7CDF" w:rsidRDefault="005B7CDF">
      <w:pPr>
        <w:rPr>
          <w:rFonts w:ascii="Times New Roman" w:hAnsi="Times New Roman" w:cs="Times New Roman"/>
          <w:sz w:val="24"/>
          <w:szCs w:val="24"/>
        </w:rPr>
      </w:pPr>
    </w:p>
    <w:sectPr w:rsidR="005B7CD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53877" w14:textId="77777777" w:rsidR="00B15BF6" w:rsidRDefault="00B15BF6">
      <w:pPr>
        <w:spacing w:line="240" w:lineRule="auto"/>
      </w:pPr>
      <w:r>
        <w:separator/>
      </w:r>
    </w:p>
  </w:endnote>
  <w:endnote w:type="continuationSeparator" w:id="0">
    <w:p w14:paraId="667173CB" w14:textId="77777777" w:rsidR="00B15BF6" w:rsidRDefault="00B15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47C7" w14:textId="77777777" w:rsidR="00CF0AEA" w:rsidRDefault="00CF0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302372"/>
    </w:sdtPr>
    <w:sdtEndPr/>
    <w:sdtContent>
      <w:p w14:paraId="6E327CBD" w14:textId="77777777" w:rsidR="005B7CDF" w:rsidRDefault="00B15BF6">
        <w:pPr>
          <w:pStyle w:val="Footer"/>
          <w:jc w:val="center"/>
        </w:pPr>
        <w:r>
          <w:fldChar w:fldCharType="begin"/>
        </w:r>
        <w:r>
          <w:instrText xml:space="preserve"> PAGE   \* MERGEFORMAT </w:instrText>
        </w:r>
        <w:r>
          <w:fldChar w:fldCharType="separate"/>
        </w:r>
        <w:r>
          <w:t>2</w:t>
        </w:r>
        <w:r>
          <w:fldChar w:fldCharType="end"/>
        </w:r>
      </w:p>
    </w:sdtContent>
  </w:sdt>
  <w:p w14:paraId="21E85400" w14:textId="77777777" w:rsidR="005B7CDF" w:rsidRDefault="005B7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A05F" w14:textId="77777777" w:rsidR="00CF0AEA" w:rsidRDefault="00CF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8D4F9" w14:textId="77777777" w:rsidR="00B15BF6" w:rsidRDefault="00B15BF6">
      <w:pPr>
        <w:spacing w:after="0"/>
      </w:pPr>
      <w:r>
        <w:separator/>
      </w:r>
    </w:p>
  </w:footnote>
  <w:footnote w:type="continuationSeparator" w:id="0">
    <w:p w14:paraId="33AE1AE0" w14:textId="77777777" w:rsidR="00B15BF6" w:rsidRDefault="00B15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C0A4" w14:textId="43D3193B" w:rsidR="00CF0AEA" w:rsidRDefault="00CF0AEA">
    <w:pPr>
      <w:pStyle w:val="Header"/>
    </w:pPr>
    <w:r>
      <w:rPr>
        <w:noProof/>
      </w:rPr>
      <w:pict w14:anchorId="4D57F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EA07" w14:textId="1D9A6A88" w:rsidR="00CF0AEA" w:rsidRDefault="00CF0AEA">
    <w:pPr>
      <w:pStyle w:val="Header"/>
    </w:pPr>
    <w:r>
      <w:rPr>
        <w:noProof/>
      </w:rPr>
      <w:pict w14:anchorId="1F8A7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7A08" w14:textId="1B1BA548" w:rsidR="00CF0AEA" w:rsidRDefault="00CF0AEA">
    <w:pPr>
      <w:pStyle w:val="Header"/>
    </w:pPr>
    <w:r>
      <w:rPr>
        <w:noProof/>
      </w:rPr>
      <w:pict w14:anchorId="45319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C4"/>
    <w:rsid w:val="000978C7"/>
    <w:rsid w:val="000D4FCB"/>
    <w:rsid w:val="000F4D5D"/>
    <w:rsid w:val="001052C3"/>
    <w:rsid w:val="001408C2"/>
    <w:rsid w:val="00175482"/>
    <w:rsid w:val="001833F0"/>
    <w:rsid w:val="00190ABC"/>
    <w:rsid w:val="002827AC"/>
    <w:rsid w:val="002C207B"/>
    <w:rsid w:val="005B168F"/>
    <w:rsid w:val="005B7CDF"/>
    <w:rsid w:val="005C1837"/>
    <w:rsid w:val="006E04B5"/>
    <w:rsid w:val="006F425F"/>
    <w:rsid w:val="007255C4"/>
    <w:rsid w:val="007658BE"/>
    <w:rsid w:val="007F18F7"/>
    <w:rsid w:val="0081551F"/>
    <w:rsid w:val="009F18A2"/>
    <w:rsid w:val="00A61E83"/>
    <w:rsid w:val="00AC6C75"/>
    <w:rsid w:val="00AF33FE"/>
    <w:rsid w:val="00B15BF6"/>
    <w:rsid w:val="00CF0AEA"/>
    <w:rsid w:val="00D423C2"/>
    <w:rsid w:val="00D5195B"/>
    <w:rsid w:val="00D913F8"/>
    <w:rsid w:val="00DC69EC"/>
    <w:rsid w:val="00DF53D0"/>
    <w:rsid w:val="00E14E5D"/>
    <w:rsid w:val="00EA424C"/>
    <w:rsid w:val="00F74C14"/>
    <w:rsid w:val="00FC058B"/>
    <w:rsid w:val="00FE1375"/>
    <w:rsid w:val="00FE559C"/>
    <w:rsid w:val="00FF7395"/>
    <w:rsid w:val="18F3720C"/>
    <w:rsid w:val="20251BCD"/>
    <w:rsid w:val="346E1392"/>
    <w:rsid w:val="37BC0444"/>
    <w:rsid w:val="3CFB34F3"/>
    <w:rsid w:val="45662D6A"/>
    <w:rsid w:val="51563A00"/>
    <w:rsid w:val="5F9F66EF"/>
    <w:rsid w:val="641D3145"/>
    <w:rsid w:val="720A602E"/>
    <w:rsid w:val="72F21C50"/>
    <w:rsid w:val="790E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35007"/>
  <w15:docId w15:val="{6BF744FE-6399-45D3-9594-F38326CC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rPr>
  </w:style>
  <w:style w:type="table" w:customStyle="1" w:styleId="GridTable4-Accent61">
    <w:name w:val="Grid Table 4 - Accent 61"/>
    <w:basedOn w:val="TableNormal"/>
    <w:uiPriority w:val="49"/>
    <w:rPr>
      <w:lang w:val="en-GB"/>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table" w:styleId="TableGrid">
    <w:name w:val="Table Grid"/>
    <w:basedOn w:val="TableNormal"/>
    <w:uiPriority w:val="39"/>
    <w:qFormat/>
    <w:rsid w:val="002C207B"/>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207B"/>
    <w:rPr>
      <w:color w:val="605E5C"/>
      <w:shd w:val="clear" w:color="auto" w:fill="E1DFDD"/>
    </w:rPr>
  </w:style>
  <w:style w:type="paragraph" w:styleId="ListParagraph">
    <w:name w:val="List Paragraph"/>
    <w:basedOn w:val="Normal"/>
    <w:uiPriority w:val="99"/>
    <w:unhideWhenUsed/>
    <w:rsid w:val="00AC6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doi.org/10.1023/A:1010933404324" TargetMode="External"/><Relationship Id="rId26" Type="http://schemas.openxmlformats.org/officeDocument/2006/relationships/hyperlink" Target="https://doi.org/10.1111/ajae.12251" TargetMode="External"/><Relationship Id="rId39" Type="http://schemas.openxmlformats.org/officeDocument/2006/relationships/hyperlink" Target="https://doi.org/10.1007/s11119-025-10265-x" TargetMode="External"/><Relationship Id="rId21" Type="http://schemas.openxmlformats.org/officeDocument/2006/relationships/hyperlink" Target="https://doi.org/10.1007/s11119-022-09876-5" TargetMode="External"/><Relationship Id="rId34" Type="http://schemas.openxmlformats.org/officeDocument/2006/relationships/hyperlink" Target="https://doi.org/10.3389/fpls.2020.0112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0574/wjarr.2026.29.1.0028" TargetMode="External"/><Relationship Id="rId29" Type="http://schemas.openxmlformats.org/officeDocument/2006/relationships/hyperlink" Target="https://doi.org/10.1016/j.compag.2023.10766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186/s12870-022-03559-z" TargetMode="External"/><Relationship Id="rId32" Type="http://schemas.openxmlformats.org/officeDocument/2006/relationships/hyperlink" Target="https://doi.org/10.2134/agronj1999.00021962009100030001x" TargetMode="External"/><Relationship Id="rId37" Type="http://schemas.openxmlformats.org/officeDocument/2006/relationships/hyperlink" Target="https://doi.org/10.1016/j.isprsjprs.2016.07.004"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su17010256" TargetMode="External"/><Relationship Id="rId23" Type="http://schemas.openxmlformats.org/officeDocument/2006/relationships/hyperlink" Target="https://www.fao.org/zimbabwe/fao-in-zimbabwe/zimbabwe-at-a-glance/en/" TargetMode="External"/><Relationship Id="rId28" Type="http://schemas.openxmlformats.org/officeDocument/2006/relationships/hyperlink" Target="https://doi.org/10.1016/j.agsy.2020.103016" TargetMode="External"/><Relationship Id="rId36" Type="http://schemas.openxmlformats.org/officeDocument/2006/relationships/hyperlink" Target="https://doi.org/10.3389/fpls.2023.1168732" TargetMode="External"/><Relationship Id="rId10" Type="http://schemas.openxmlformats.org/officeDocument/2006/relationships/image" Target="media/image4.jpeg"/><Relationship Id="rId19" Type="http://schemas.openxmlformats.org/officeDocument/2006/relationships/hyperlink" Target="https://doi.org/10.1145/1143844.1143865" TargetMode="External"/><Relationship Id="rId31" Type="http://schemas.openxmlformats.org/officeDocument/2006/relationships/hyperlink" Target="https://doi.org/10.3390/eng6100270"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s://doi.org/10.1080/00031305.1983.10483087" TargetMode="External"/><Relationship Id="rId27" Type="http://schemas.openxmlformats.org/officeDocument/2006/relationships/hyperlink" Target="https://doi.org/10.1038/s41562-016-0021" TargetMode="External"/><Relationship Id="rId30" Type="http://schemas.openxmlformats.org/officeDocument/2006/relationships/hyperlink" Target="https://doi.org/10.1093/aje/kwj093" TargetMode="External"/><Relationship Id="rId35" Type="http://schemas.openxmlformats.org/officeDocument/2006/relationships/hyperlink" Target="https://doi.org/10.1007/s44279-025-00215-6"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doi.org/10.3390/rs15010079" TargetMode="External"/><Relationship Id="rId25" Type="http://schemas.openxmlformats.org/officeDocument/2006/relationships/hyperlink" Target="https://doi.org/10.1016/j.rse.2015.04.021" TargetMode="External"/><Relationship Id="rId33" Type="http://schemas.openxmlformats.org/officeDocument/2006/relationships/hyperlink" Target="https://doi.org/10.1038/ncomms6989" TargetMode="External"/><Relationship Id="rId38" Type="http://schemas.openxmlformats.org/officeDocument/2006/relationships/hyperlink" Target="https://doi.org/10.1016/j.compag.2020.105709" TargetMode="External"/><Relationship Id="rId46" Type="http://schemas.openxmlformats.org/officeDocument/2006/relationships/fontTable" Target="fontTable.xml"/><Relationship Id="rId20" Type="http://schemas.openxmlformats.org/officeDocument/2006/relationships/hyperlink" Target="https://doi.org/10.3390/rs15010100"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EDB9-3E60-4F90-8DAA-F9C8AD7C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8210</Words>
  <Characters>46797</Characters>
  <Application>Microsoft Office Word</Application>
  <DocSecurity>0</DocSecurity>
  <Lines>389</Lines>
  <Paragraphs>109</Paragraphs>
  <ScaleCrop>false</ScaleCrop>
  <Company/>
  <LinksUpToDate>false</LinksUpToDate>
  <CharactersWithSpaces>54898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11</cp:revision>
  <dcterms:created xsi:type="dcterms:W3CDTF">2026-01-31T17:12:00Z</dcterms:created>
  <dcterms:modified xsi:type="dcterms:W3CDTF">2026-02-14T11:50:00Z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8A87FB9F123C4EC7A86026024D64AD24_12</vt:lpwstr>
  </property>
</Properties>
</file>