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AAC1D" w14:textId="77777777" w:rsidR="00174149" w:rsidRPr="00174149" w:rsidRDefault="00174149" w:rsidP="00174149">
      <w:pPr>
        <w:spacing w:before="100" w:beforeAutospacing="1" w:after="100" w:afterAutospacing="1" w:line="240" w:lineRule="auto"/>
        <w:jc w:val="center"/>
        <w:outlineLvl w:val="0"/>
        <w:rPr>
          <w:rFonts w:ascii="Times New Roman" w:eastAsia="Times New Roman" w:hAnsi="Times New Roman" w:cs="Times New Roman"/>
          <w:b/>
          <w:bCs/>
          <w:i/>
          <w:iCs/>
          <w:color w:val="000000" w:themeColor="text1"/>
          <w:kern w:val="36"/>
          <w:sz w:val="48"/>
          <w:szCs w:val="48"/>
          <w:u w:val="single"/>
          <w:lang w:val="en-US" w:eastAsia="en-IN" w:bidi="ml-IN"/>
          <w14:ligatures w14:val="none"/>
        </w:rPr>
      </w:pPr>
      <w:r w:rsidRPr="00174149">
        <w:rPr>
          <w:rFonts w:ascii="Times New Roman" w:eastAsia="Times New Roman" w:hAnsi="Times New Roman" w:cs="Times New Roman"/>
          <w:b/>
          <w:bCs/>
          <w:i/>
          <w:iCs/>
          <w:color w:val="000000" w:themeColor="text1"/>
          <w:kern w:val="36"/>
          <w:sz w:val="48"/>
          <w:szCs w:val="48"/>
          <w:u w:val="single"/>
          <w:lang w:val="en-US" w:eastAsia="en-IN" w:bidi="ml-IN"/>
          <w14:ligatures w14:val="none"/>
        </w:rPr>
        <w:t>Review Article</w:t>
      </w:r>
    </w:p>
    <w:p w14:paraId="5CCD629A" w14:textId="5FBBFBF3" w:rsidR="00B941F4" w:rsidRPr="00F13523" w:rsidRDefault="00B941F4" w:rsidP="004B5B6C">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48"/>
          <w:szCs w:val="48"/>
          <w:lang w:eastAsia="en-IN" w:bidi="ml-IN"/>
          <w14:ligatures w14:val="none"/>
        </w:rPr>
      </w:pPr>
      <w:r w:rsidRPr="00F13523">
        <w:rPr>
          <w:rFonts w:ascii="Times New Roman" w:eastAsia="Times New Roman" w:hAnsi="Times New Roman" w:cs="Times New Roman"/>
          <w:b/>
          <w:bCs/>
          <w:color w:val="000000" w:themeColor="text1"/>
          <w:kern w:val="36"/>
          <w:sz w:val="48"/>
          <w:szCs w:val="48"/>
          <w:lang w:eastAsia="en-IN" w:bidi="ml-IN"/>
          <w14:ligatures w14:val="none"/>
        </w:rPr>
        <w:t xml:space="preserve">Invisible </w:t>
      </w:r>
      <w:r w:rsidR="00EB45EE" w:rsidRPr="00F13523">
        <w:rPr>
          <w:rFonts w:ascii="Times New Roman" w:eastAsia="Times New Roman" w:hAnsi="Times New Roman" w:cs="Times New Roman"/>
          <w:b/>
          <w:bCs/>
          <w:color w:val="000000" w:themeColor="text1"/>
          <w:kern w:val="36"/>
          <w:sz w:val="48"/>
          <w:szCs w:val="48"/>
          <w:lang w:eastAsia="en-IN" w:bidi="ml-IN"/>
          <w14:ligatures w14:val="none"/>
        </w:rPr>
        <w:t>c</w:t>
      </w:r>
      <w:r w:rsidRPr="00F13523">
        <w:rPr>
          <w:rFonts w:ascii="Times New Roman" w:eastAsia="Times New Roman" w:hAnsi="Times New Roman" w:cs="Times New Roman"/>
          <w:b/>
          <w:bCs/>
          <w:color w:val="000000" w:themeColor="text1"/>
          <w:kern w:val="36"/>
          <w:sz w:val="48"/>
          <w:szCs w:val="48"/>
          <w:lang w:eastAsia="en-IN" w:bidi="ml-IN"/>
          <w14:ligatures w14:val="none"/>
        </w:rPr>
        <w:t xml:space="preserve">lues: </w:t>
      </w:r>
      <w:r w:rsidR="00EB45EE" w:rsidRPr="00F13523">
        <w:rPr>
          <w:rFonts w:ascii="Times New Roman" w:eastAsia="Times New Roman" w:hAnsi="Times New Roman" w:cs="Times New Roman"/>
          <w:b/>
          <w:bCs/>
          <w:color w:val="000000" w:themeColor="text1"/>
          <w:kern w:val="36"/>
          <w:sz w:val="48"/>
          <w:szCs w:val="48"/>
          <w:lang w:eastAsia="en-IN" w:bidi="ml-IN"/>
          <w14:ligatures w14:val="none"/>
        </w:rPr>
        <w:t>A systematic review on the use of stable isotope analysis in wildlife studies</w:t>
      </w:r>
    </w:p>
    <w:p w14:paraId="33682B48" w14:textId="49155C75" w:rsidR="0023006F" w:rsidRPr="00F13523" w:rsidRDefault="0023006F"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3E5139DB" w14:textId="77777777" w:rsidR="0023006F" w:rsidRPr="00F13523" w:rsidRDefault="0023006F" w:rsidP="0057591C">
      <w:pPr>
        <w:spacing w:before="100" w:beforeAutospacing="1" w:after="100" w:afterAutospacing="1" w:line="240" w:lineRule="auto"/>
        <w:jc w:val="both"/>
        <w:outlineLvl w:val="1"/>
        <w:rPr>
          <w:rFonts w:ascii="Times New Roman" w:eastAsia="Times New Roman" w:hAnsi="Times New Roman" w:cs="Times New Roman"/>
          <w:b/>
          <w:bCs/>
          <w:color w:val="000000" w:themeColor="text1"/>
          <w:kern w:val="0"/>
          <w:sz w:val="36"/>
          <w:szCs w:val="36"/>
          <w:lang w:eastAsia="en-IN" w:bidi="ml-IN"/>
          <w14:ligatures w14:val="none"/>
        </w:rPr>
      </w:pPr>
      <w:r w:rsidRPr="00F13523">
        <w:rPr>
          <w:rFonts w:ascii="Times New Roman" w:eastAsia="Times New Roman" w:hAnsi="Times New Roman" w:cs="Times New Roman"/>
          <w:b/>
          <w:bCs/>
          <w:color w:val="000000" w:themeColor="text1"/>
          <w:kern w:val="0"/>
          <w:sz w:val="36"/>
          <w:szCs w:val="36"/>
          <w:lang w:eastAsia="en-IN" w:bidi="ml-IN"/>
          <w14:ligatures w14:val="none"/>
        </w:rPr>
        <w:t>Abstract</w:t>
      </w:r>
    </w:p>
    <w:p w14:paraId="2C1FE33B" w14:textId="44741BB1" w:rsidR="00F914E2" w:rsidRPr="00F13523" w:rsidRDefault="00F914E2" w:rsidP="0057591C">
      <w:pPr>
        <w:spacing w:before="100" w:beforeAutospacing="1" w:after="100" w:afterAutospacing="1" w:line="240" w:lineRule="auto"/>
        <w:jc w:val="both"/>
        <w:rPr>
          <w:rFonts w:ascii="Times New Roman" w:hAnsi="Times New Roman" w:cs="Times New Roman"/>
          <w:color w:val="000000" w:themeColor="text1"/>
          <w:sz w:val="24"/>
          <w:szCs w:val="24"/>
        </w:rPr>
      </w:pPr>
      <w:r w:rsidRPr="00F13523">
        <w:rPr>
          <w:rFonts w:ascii="Times New Roman" w:hAnsi="Times New Roman" w:cs="Times New Roman"/>
          <w:color w:val="000000" w:themeColor="text1"/>
          <w:sz w:val="24"/>
          <w:szCs w:val="24"/>
        </w:rPr>
        <w:t xml:space="preserve">Stable isotope analysis (SIA) has emerged as an indispensable tool in wildlife ecology, providing an indirect yet reliable means of investigating diets, trophic interactions, migration pathways, and contaminant transfer across ecosystems. This review synthesises global and Indian applications of SIA, tracing its development from early bulk tissue analyses to contemporary high-resolution approaches such as Compound-Specific Isotope Analysis (CSIA) and Bayesian mixing models. A systematic literature search following PRISMA guidelines retrieved 742 records, of which 112 </w:t>
      </w:r>
      <w:r w:rsidR="00EB45EE" w:rsidRPr="00F13523">
        <w:rPr>
          <w:rFonts w:ascii="Times New Roman" w:hAnsi="Times New Roman" w:cs="Times New Roman"/>
          <w:color w:val="000000" w:themeColor="text1"/>
          <w:sz w:val="24"/>
          <w:szCs w:val="24"/>
        </w:rPr>
        <w:t>were included in the</w:t>
      </w:r>
      <w:r w:rsidRPr="00F13523">
        <w:rPr>
          <w:rFonts w:ascii="Times New Roman" w:hAnsi="Times New Roman" w:cs="Times New Roman"/>
          <w:color w:val="000000" w:themeColor="text1"/>
          <w:sz w:val="24"/>
          <w:szCs w:val="24"/>
        </w:rPr>
        <w:t xml:space="preserve"> synthesis. Four major applications dominate the field</w:t>
      </w:r>
      <w:r w:rsidR="00EB45EE" w:rsidRPr="00F13523">
        <w:rPr>
          <w:rFonts w:ascii="Times New Roman" w:hAnsi="Times New Roman" w:cs="Times New Roman"/>
          <w:color w:val="000000" w:themeColor="text1"/>
          <w:sz w:val="24"/>
          <w:szCs w:val="24"/>
        </w:rPr>
        <w:t>,</w:t>
      </w:r>
      <w:r w:rsidR="00154A12" w:rsidRPr="00F13523">
        <w:rPr>
          <w:rFonts w:ascii="Times New Roman" w:hAnsi="Times New Roman" w:cs="Times New Roman"/>
          <w:color w:val="000000" w:themeColor="text1"/>
          <w:sz w:val="24"/>
          <w:szCs w:val="24"/>
        </w:rPr>
        <w:t xml:space="preserve"> which include, </w:t>
      </w:r>
      <w:r w:rsidRPr="00F13523">
        <w:rPr>
          <w:rFonts w:ascii="Times New Roman" w:hAnsi="Times New Roman" w:cs="Times New Roman"/>
          <w:color w:val="000000" w:themeColor="text1"/>
          <w:sz w:val="24"/>
          <w:szCs w:val="24"/>
        </w:rPr>
        <w:t xml:space="preserve">diet reconstruction, trophic level estimation, </w:t>
      </w:r>
      <w:r w:rsidR="00BF4E1E" w:rsidRPr="00F13523">
        <w:rPr>
          <w:rFonts w:ascii="Times New Roman" w:hAnsi="Times New Roman" w:cs="Times New Roman"/>
          <w:color w:val="000000" w:themeColor="text1"/>
          <w:sz w:val="24"/>
          <w:szCs w:val="24"/>
        </w:rPr>
        <w:t>migration, habitat</w:t>
      </w:r>
      <w:r w:rsidRPr="00F13523">
        <w:rPr>
          <w:rFonts w:ascii="Times New Roman" w:hAnsi="Times New Roman" w:cs="Times New Roman"/>
          <w:color w:val="000000" w:themeColor="text1"/>
          <w:sz w:val="24"/>
          <w:szCs w:val="24"/>
        </w:rPr>
        <w:t xml:space="preserve"> use, and ecotoxicology</w:t>
      </w:r>
      <w:r w:rsidR="00154A12" w:rsidRPr="00F13523">
        <w:rPr>
          <w:rFonts w:ascii="Times New Roman" w:hAnsi="Times New Roman" w:cs="Times New Roman"/>
          <w:color w:val="000000" w:themeColor="text1"/>
          <w:sz w:val="24"/>
          <w:szCs w:val="24"/>
        </w:rPr>
        <w:t xml:space="preserve">, </w:t>
      </w:r>
      <w:r w:rsidRPr="00F13523">
        <w:rPr>
          <w:rFonts w:ascii="Times New Roman" w:hAnsi="Times New Roman" w:cs="Times New Roman"/>
          <w:color w:val="000000" w:themeColor="text1"/>
          <w:sz w:val="24"/>
          <w:szCs w:val="24"/>
        </w:rPr>
        <w:t xml:space="preserve">supplemented by emerging uses in </w:t>
      </w:r>
      <w:proofErr w:type="spellStart"/>
      <w:r w:rsidRPr="00F13523">
        <w:rPr>
          <w:rFonts w:ascii="Times New Roman" w:hAnsi="Times New Roman" w:cs="Times New Roman"/>
          <w:color w:val="000000" w:themeColor="text1"/>
          <w:sz w:val="24"/>
          <w:szCs w:val="24"/>
        </w:rPr>
        <w:t>palaeoecology</w:t>
      </w:r>
      <w:proofErr w:type="spellEnd"/>
      <w:r w:rsidRPr="00F13523">
        <w:rPr>
          <w:rFonts w:ascii="Times New Roman" w:hAnsi="Times New Roman" w:cs="Times New Roman"/>
          <w:color w:val="000000" w:themeColor="text1"/>
          <w:sz w:val="24"/>
          <w:szCs w:val="24"/>
        </w:rPr>
        <w:t xml:space="preserve">, conservation forensics, and climate change research. Carbon and nitrogen isotopes remain central to diet and trophic studies, hydrogen and oxygen isotopes enable tracking of migratory connectivity, </w:t>
      </w:r>
      <w:r w:rsidR="00154A12" w:rsidRPr="00F13523">
        <w:rPr>
          <w:rFonts w:ascii="Times New Roman" w:hAnsi="Times New Roman" w:cs="Times New Roman"/>
          <w:color w:val="000000" w:themeColor="text1"/>
          <w:sz w:val="24"/>
          <w:szCs w:val="24"/>
        </w:rPr>
        <w:t>sulphur</w:t>
      </w:r>
      <w:r w:rsidRPr="00F13523">
        <w:rPr>
          <w:rFonts w:ascii="Times New Roman" w:hAnsi="Times New Roman" w:cs="Times New Roman"/>
          <w:color w:val="000000" w:themeColor="text1"/>
          <w:sz w:val="24"/>
          <w:szCs w:val="24"/>
        </w:rPr>
        <w:t xml:space="preserve"> isotopes enhance resolution of aquatic systems, and strontium isotopes provide geological signatures of habitat use. The field has expanded from descriptive insights to robust quantitative science capable of informing management and policy. Particular attention is given to the Indian context, where isotope ecology is still in its infancy but demonstrates strong potential in wetlands, fisheries, and wildlife conservation. Methodological challenges, including baseline variability, tissue-specific discrimination, and limited regional infrastructure, remain barriers but are increasingly addressed by innovations such as CSIA, </w:t>
      </w:r>
      <w:proofErr w:type="spellStart"/>
      <w:r w:rsidRPr="00F13523">
        <w:rPr>
          <w:rFonts w:ascii="Times New Roman" w:hAnsi="Times New Roman" w:cs="Times New Roman"/>
          <w:color w:val="000000" w:themeColor="text1"/>
          <w:sz w:val="24"/>
          <w:szCs w:val="24"/>
        </w:rPr>
        <w:t>isoscapes</w:t>
      </w:r>
      <w:proofErr w:type="spellEnd"/>
      <w:r w:rsidRPr="00F13523">
        <w:rPr>
          <w:rFonts w:ascii="Times New Roman" w:hAnsi="Times New Roman" w:cs="Times New Roman"/>
          <w:color w:val="000000" w:themeColor="text1"/>
          <w:sz w:val="24"/>
          <w:szCs w:val="24"/>
        </w:rPr>
        <w:t>, and probabilistic modelling. Stable isotope ecology stands as a dynamic, interdisciplinary discipline poised to play a pivotal role in addressing biodiversity conservation and environmental change in the 21</w:t>
      </w:r>
      <w:r w:rsidRPr="00F13523">
        <w:rPr>
          <w:rFonts w:ascii="Times New Roman" w:hAnsi="Times New Roman" w:cs="Times New Roman"/>
          <w:color w:val="000000" w:themeColor="text1"/>
          <w:sz w:val="24"/>
          <w:szCs w:val="24"/>
          <w:vertAlign w:val="superscript"/>
        </w:rPr>
        <w:t>st</w:t>
      </w:r>
      <w:r w:rsidR="00EB45EE" w:rsidRPr="00F13523">
        <w:rPr>
          <w:rFonts w:ascii="Times New Roman" w:hAnsi="Times New Roman" w:cs="Times New Roman"/>
          <w:color w:val="000000" w:themeColor="text1"/>
          <w:sz w:val="24"/>
          <w:szCs w:val="24"/>
        </w:rPr>
        <w:t xml:space="preserve"> </w:t>
      </w:r>
      <w:r w:rsidRPr="00F13523">
        <w:rPr>
          <w:rFonts w:ascii="Times New Roman" w:hAnsi="Times New Roman" w:cs="Times New Roman"/>
          <w:color w:val="000000" w:themeColor="text1"/>
          <w:sz w:val="24"/>
          <w:szCs w:val="24"/>
        </w:rPr>
        <w:t>century</w:t>
      </w:r>
      <w:r w:rsidR="00EB45EE" w:rsidRPr="00F13523">
        <w:rPr>
          <w:rFonts w:ascii="Times New Roman" w:hAnsi="Times New Roman" w:cs="Times New Roman"/>
          <w:color w:val="000000" w:themeColor="text1"/>
          <w:sz w:val="24"/>
          <w:szCs w:val="24"/>
        </w:rPr>
        <w:t>.</w:t>
      </w:r>
    </w:p>
    <w:p w14:paraId="2BCAF36E" w14:textId="5E5D1889" w:rsidR="0023006F" w:rsidRPr="00F13523" w:rsidRDefault="0023006F"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b/>
          <w:bCs/>
          <w:color w:val="000000" w:themeColor="text1"/>
          <w:kern w:val="0"/>
          <w:sz w:val="24"/>
          <w:szCs w:val="24"/>
          <w:lang w:eastAsia="en-IN" w:bidi="ml-IN"/>
          <w14:ligatures w14:val="none"/>
        </w:rPr>
        <w:t>Key words:</w:t>
      </w:r>
      <w:r w:rsidRPr="00F13523">
        <w:rPr>
          <w:rFonts w:ascii="Times New Roman" w:eastAsia="Times New Roman" w:hAnsi="Times New Roman" w:cs="Times New Roman"/>
          <w:color w:val="000000" w:themeColor="text1"/>
          <w:kern w:val="0"/>
          <w:sz w:val="24"/>
          <w:szCs w:val="24"/>
          <w:lang w:eastAsia="en-IN" w:bidi="ml-IN"/>
          <w14:ligatures w14:val="none"/>
        </w:rPr>
        <w:t xml:space="preserve"> stable isotope analysis, wildlife ecology, trophic levels, migration, ecotoxicology</w:t>
      </w:r>
    </w:p>
    <w:p w14:paraId="5159F6DD" w14:textId="77777777" w:rsidR="0023006F" w:rsidRPr="00F13523" w:rsidRDefault="0023006F" w:rsidP="0057591C">
      <w:pPr>
        <w:spacing w:before="100" w:beforeAutospacing="1" w:after="100" w:afterAutospacing="1" w:line="240" w:lineRule="auto"/>
        <w:jc w:val="both"/>
        <w:outlineLvl w:val="1"/>
        <w:rPr>
          <w:rFonts w:ascii="Times New Roman" w:eastAsia="Times New Roman" w:hAnsi="Times New Roman" w:cs="Times New Roman"/>
          <w:b/>
          <w:bCs/>
          <w:color w:val="000000" w:themeColor="text1"/>
          <w:kern w:val="0"/>
          <w:sz w:val="36"/>
          <w:szCs w:val="36"/>
          <w:lang w:eastAsia="en-IN" w:bidi="ml-IN"/>
          <w14:ligatures w14:val="none"/>
        </w:rPr>
      </w:pPr>
      <w:r w:rsidRPr="00F13523">
        <w:rPr>
          <w:rFonts w:ascii="Times New Roman" w:eastAsia="Times New Roman" w:hAnsi="Times New Roman" w:cs="Times New Roman"/>
          <w:b/>
          <w:bCs/>
          <w:color w:val="000000" w:themeColor="text1"/>
          <w:kern w:val="0"/>
          <w:sz w:val="36"/>
          <w:szCs w:val="36"/>
          <w:lang w:eastAsia="en-IN" w:bidi="ml-IN"/>
          <w14:ligatures w14:val="none"/>
        </w:rPr>
        <w:t>Introduction</w:t>
      </w:r>
    </w:p>
    <w:p w14:paraId="57C480DA" w14:textId="58826D12" w:rsidR="00F914E2" w:rsidRPr="00F13523" w:rsidRDefault="00F914E2" w:rsidP="0057591C">
      <w:pPr>
        <w:pStyle w:val="NormalWeb"/>
        <w:jc w:val="both"/>
        <w:rPr>
          <w:color w:val="000000" w:themeColor="text1"/>
        </w:rPr>
      </w:pPr>
      <w:r w:rsidRPr="00F13523">
        <w:rPr>
          <w:color w:val="000000" w:themeColor="text1"/>
        </w:rPr>
        <w:t>Wildlife management and conservation face pressing challenges in the Anthropocene. Expanding human populations, climate change, habitat fragmentation, and wildlife trade place immense pressure on biodiversity (</w:t>
      </w:r>
      <w:proofErr w:type="spellStart"/>
      <w:r w:rsidRPr="00F13523">
        <w:rPr>
          <w:color w:val="000000" w:themeColor="text1"/>
        </w:rPr>
        <w:t>Liordos</w:t>
      </w:r>
      <w:proofErr w:type="spellEnd"/>
      <w:r w:rsidRPr="00F13523">
        <w:rPr>
          <w:color w:val="000000" w:themeColor="text1"/>
        </w:rPr>
        <w:t>, 2024). Traditional ecological tools</w:t>
      </w:r>
      <w:r w:rsidR="00154A12" w:rsidRPr="00F13523">
        <w:rPr>
          <w:color w:val="000000" w:themeColor="text1"/>
        </w:rPr>
        <w:t xml:space="preserve">, </w:t>
      </w:r>
      <w:r w:rsidRPr="00F13523">
        <w:rPr>
          <w:color w:val="000000" w:themeColor="text1"/>
        </w:rPr>
        <w:t>such as direct observation, radio-telemetry, or scat analysis</w:t>
      </w:r>
      <w:r w:rsidR="00154A12" w:rsidRPr="00F13523">
        <w:rPr>
          <w:color w:val="000000" w:themeColor="text1"/>
        </w:rPr>
        <w:t xml:space="preserve">, </w:t>
      </w:r>
      <w:r w:rsidRPr="00F13523">
        <w:rPr>
          <w:color w:val="000000" w:themeColor="text1"/>
        </w:rPr>
        <w:t>are often inadequate for secretive, nocturnal, or migratory species</w:t>
      </w:r>
      <w:r w:rsidR="0028226A" w:rsidRPr="00F13523">
        <w:rPr>
          <w:color w:val="000000" w:themeColor="text1"/>
        </w:rPr>
        <w:t xml:space="preserve"> (</w:t>
      </w:r>
      <w:proofErr w:type="spellStart"/>
      <w:r w:rsidR="0028226A" w:rsidRPr="00F13523">
        <w:rPr>
          <w:color w:val="000000" w:themeColor="text1"/>
        </w:rPr>
        <w:t>Hebblewhite</w:t>
      </w:r>
      <w:proofErr w:type="spellEnd"/>
      <w:r w:rsidR="0028226A" w:rsidRPr="00F13523">
        <w:rPr>
          <w:color w:val="000000" w:themeColor="text1"/>
        </w:rPr>
        <w:t xml:space="preserve"> &amp; Haydon, 2010; Kays et al., 2015)</w:t>
      </w:r>
      <w:r w:rsidR="00531E16" w:rsidRPr="00F13523">
        <w:rPr>
          <w:color w:val="000000" w:themeColor="text1"/>
        </w:rPr>
        <w:t>.</w:t>
      </w:r>
      <w:r w:rsidR="0028226A" w:rsidRPr="00F13523">
        <w:rPr>
          <w:color w:val="000000" w:themeColor="text1"/>
        </w:rPr>
        <w:t xml:space="preserve"> Moreover</w:t>
      </w:r>
      <w:r w:rsidRPr="00F13523">
        <w:rPr>
          <w:color w:val="000000" w:themeColor="text1"/>
        </w:rPr>
        <w:t>, management decisions increasingly demand integrative, evidence-based approaches that can simultaneously address conservation, sustainability, and human–wildlife coexistence</w:t>
      </w:r>
      <w:r w:rsidR="0028226A" w:rsidRPr="00F13523">
        <w:rPr>
          <w:color w:val="000000" w:themeColor="text1"/>
        </w:rPr>
        <w:t xml:space="preserve"> (Redpath et al., 2013; Carter &amp; Linnell, 2016).</w:t>
      </w:r>
    </w:p>
    <w:p w14:paraId="2890203C" w14:textId="7FBC8AFF" w:rsidR="00F914E2" w:rsidRPr="00F13523" w:rsidRDefault="00F914E2" w:rsidP="0057591C">
      <w:pPr>
        <w:pStyle w:val="NormalWeb"/>
        <w:jc w:val="both"/>
        <w:rPr>
          <w:color w:val="000000" w:themeColor="text1"/>
        </w:rPr>
      </w:pPr>
      <w:r w:rsidRPr="00F13523">
        <w:rPr>
          <w:color w:val="000000" w:themeColor="text1"/>
        </w:rPr>
        <w:lastRenderedPageBreak/>
        <w:t xml:space="preserve">Stable isotope analysis (SIA) has become one of the most powerful diagnostic tools available to ecologists. The technique is founded on a simple but elegant principle: “you are what you eat, plus a small isotopic </w:t>
      </w:r>
      <w:r w:rsidR="0028226A" w:rsidRPr="00F13523">
        <w:rPr>
          <w:color w:val="000000" w:themeColor="text1"/>
        </w:rPr>
        <w:t>offset” (DeNiro &amp; Epstein, 1978; Post, 2002).</w:t>
      </w:r>
      <w:r w:rsidRPr="00F13523">
        <w:rPr>
          <w:color w:val="000000" w:themeColor="text1"/>
        </w:rPr>
        <w:t xml:space="preserve"> Animals incorporate the isotopic signatures of their food and environment into their tissues, creating natural biochemical tracers that record their diets, habitats, and movements</w:t>
      </w:r>
      <w:r w:rsidR="0028226A" w:rsidRPr="00F13523">
        <w:rPr>
          <w:color w:val="000000" w:themeColor="text1"/>
        </w:rPr>
        <w:t xml:space="preserve"> (Kelly, 2000; Hobson &amp; Wassenaar, 2019).</w:t>
      </w:r>
      <w:r w:rsidRPr="00F13523">
        <w:rPr>
          <w:color w:val="000000" w:themeColor="text1"/>
        </w:rPr>
        <w:t xml:space="preserve"> By analysing isotopes of carbon, nitrogen, hydrogen, oxygen, sulphur, and strontium, researchers can infer trophic positions, track migrations across continents, and detect contaminant pathways invisible to other methods</w:t>
      </w:r>
      <w:r w:rsidR="0028226A" w:rsidRPr="00F13523">
        <w:rPr>
          <w:color w:val="000000" w:themeColor="text1"/>
        </w:rPr>
        <w:t xml:space="preserve"> (West et al., 2006; Hobson et al., 2010; </w:t>
      </w:r>
      <w:proofErr w:type="spellStart"/>
      <w:r w:rsidR="0028226A" w:rsidRPr="00F13523">
        <w:rPr>
          <w:color w:val="000000" w:themeColor="text1"/>
        </w:rPr>
        <w:t>Bataille</w:t>
      </w:r>
      <w:proofErr w:type="spellEnd"/>
      <w:r w:rsidR="0028226A" w:rsidRPr="00F13523">
        <w:rPr>
          <w:color w:val="000000" w:themeColor="text1"/>
        </w:rPr>
        <w:t xml:space="preserve"> et al., 2020).</w:t>
      </w:r>
    </w:p>
    <w:p w14:paraId="3C316CFF" w14:textId="4E1EA2DB" w:rsidR="00F914E2" w:rsidRPr="00F13523" w:rsidRDefault="00F914E2" w:rsidP="0057591C">
      <w:pPr>
        <w:pStyle w:val="NormalWeb"/>
        <w:jc w:val="both"/>
        <w:rPr>
          <w:color w:val="000000" w:themeColor="text1"/>
        </w:rPr>
      </w:pPr>
      <w:r w:rsidRPr="00F13523">
        <w:rPr>
          <w:color w:val="000000" w:themeColor="text1"/>
        </w:rPr>
        <w:t>What makes SIA especially powerful is its temporal integration. While gut content analysis provides only a short-term dietary snapshot, isotopes record assimilated nutrients over days (blood plasma), weeks (red blood cells), months (hair, whiskers, feathers), or even lifetimes (bone collagen, tooth enamel, otoliths)</w:t>
      </w:r>
      <w:r w:rsidR="0028226A" w:rsidRPr="00F13523">
        <w:rPr>
          <w:color w:val="000000" w:themeColor="text1"/>
        </w:rPr>
        <w:t xml:space="preserve"> (</w:t>
      </w:r>
      <w:proofErr w:type="spellStart"/>
      <w:r w:rsidR="0028226A" w:rsidRPr="00F13523">
        <w:rPr>
          <w:color w:val="000000" w:themeColor="text1"/>
        </w:rPr>
        <w:t>Tieszen</w:t>
      </w:r>
      <w:proofErr w:type="spellEnd"/>
      <w:r w:rsidR="0028226A" w:rsidRPr="00F13523">
        <w:rPr>
          <w:color w:val="000000" w:themeColor="text1"/>
        </w:rPr>
        <w:t xml:space="preserve"> et al., 1983; Newsome et al., 2007; </w:t>
      </w:r>
      <w:proofErr w:type="spellStart"/>
      <w:r w:rsidR="0028226A" w:rsidRPr="00F13523">
        <w:rPr>
          <w:color w:val="000000" w:themeColor="text1"/>
        </w:rPr>
        <w:t>Dalerum</w:t>
      </w:r>
      <w:proofErr w:type="spellEnd"/>
      <w:r w:rsidR="0028226A" w:rsidRPr="00F13523">
        <w:rPr>
          <w:color w:val="000000" w:themeColor="text1"/>
        </w:rPr>
        <w:t xml:space="preserve"> &amp; </w:t>
      </w:r>
      <w:proofErr w:type="spellStart"/>
      <w:r w:rsidR="0028226A" w:rsidRPr="00F13523">
        <w:rPr>
          <w:color w:val="000000" w:themeColor="text1"/>
        </w:rPr>
        <w:t>Angerbjörn</w:t>
      </w:r>
      <w:proofErr w:type="spellEnd"/>
      <w:r w:rsidR="0028226A" w:rsidRPr="00F13523">
        <w:rPr>
          <w:color w:val="000000" w:themeColor="text1"/>
        </w:rPr>
        <w:t>, 2005).</w:t>
      </w:r>
      <w:r w:rsidRPr="00F13523">
        <w:rPr>
          <w:color w:val="000000" w:themeColor="text1"/>
        </w:rPr>
        <w:t xml:space="preserve"> This makes isotopes invaluable for understanding both short-term foraging behaviour and long-term ecological patterns</w:t>
      </w:r>
      <w:r w:rsidR="0028226A" w:rsidRPr="00F13523">
        <w:rPr>
          <w:color w:val="000000" w:themeColor="text1"/>
        </w:rPr>
        <w:t xml:space="preserve"> (Ben-David &amp; Flaherty, 2012).</w:t>
      </w:r>
    </w:p>
    <w:p w14:paraId="3CDE472C" w14:textId="40551331" w:rsidR="007B3247" w:rsidRPr="00F13523" w:rsidRDefault="006F1BEA" w:rsidP="00C5790F">
      <w:pPr>
        <w:pStyle w:val="NormalWeb"/>
        <w:rPr>
          <w:color w:val="000000" w:themeColor="text1"/>
        </w:rPr>
      </w:pPr>
      <w:r w:rsidRPr="00F13523">
        <w:rPr>
          <w:noProof/>
          <w:color w:val="000000" w:themeColor="text1"/>
          <w14:ligatures w14:val="standardContextual"/>
        </w:rPr>
        <w:drawing>
          <wp:anchor distT="0" distB="0" distL="114300" distR="114300" simplePos="0" relativeHeight="251663360" behindDoc="0" locked="0" layoutInCell="1" allowOverlap="1" wp14:anchorId="1ACE10C6" wp14:editId="16E7531F">
            <wp:simplePos x="0" y="0"/>
            <wp:positionH relativeFrom="column">
              <wp:posOffset>0</wp:posOffset>
            </wp:positionH>
            <wp:positionV relativeFrom="paragraph">
              <wp:posOffset>0</wp:posOffset>
            </wp:positionV>
            <wp:extent cx="5731510" cy="3223895"/>
            <wp:effectExtent l="0" t="0" r="2540" b="0"/>
            <wp:wrapNone/>
            <wp:docPr id="1735604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04303" name="Picture 1735604303"/>
                    <pic:cNvPicPr/>
                  </pic:nvPicPr>
                  <pic:blipFill>
                    <a:blip r:embed="rId8">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anchor>
        </w:drawing>
      </w:r>
    </w:p>
    <w:p w14:paraId="17C6AC2A" w14:textId="568E62D9" w:rsidR="007B3247" w:rsidRPr="00F13523" w:rsidRDefault="007B3247" w:rsidP="00C5790F">
      <w:pPr>
        <w:pStyle w:val="NormalWeb"/>
        <w:jc w:val="center"/>
        <w:rPr>
          <w:color w:val="000000" w:themeColor="text1"/>
        </w:rPr>
      </w:pPr>
    </w:p>
    <w:p w14:paraId="05116291" w14:textId="08CDC6C8" w:rsidR="004E6755" w:rsidRPr="00F13523" w:rsidRDefault="004E6755" w:rsidP="0057591C">
      <w:pPr>
        <w:pStyle w:val="NormalWeb"/>
        <w:jc w:val="both"/>
        <w:rPr>
          <w:color w:val="000000" w:themeColor="text1"/>
        </w:rPr>
      </w:pPr>
    </w:p>
    <w:p w14:paraId="76422794" w14:textId="02F29887" w:rsidR="004E6755" w:rsidRPr="00F13523" w:rsidRDefault="004E6755" w:rsidP="0057591C">
      <w:pPr>
        <w:pStyle w:val="NormalWeb"/>
        <w:jc w:val="both"/>
        <w:rPr>
          <w:color w:val="000000" w:themeColor="text1"/>
        </w:rPr>
      </w:pPr>
    </w:p>
    <w:p w14:paraId="0CD5578F" w14:textId="10244C96" w:rsidR="004E6755" w:rsidRPr="00F13523" w:rsidRDefault="004E6755" w:rsidP="0057591C">
      <w:pPr>
        <w:pStyle w:val="NormalWeb"/>
        <w:jc w:val="both"/>
        <w:rPr>
          <w:color w:val="000000" w:themeColor="text1"/>
        </w:rPr>
      </w:pPr>
    </w:p>
    <w:p w14:paraId="134607B6" w14:textId="3E82D7DD" w:rsidR="004E6755" w:rsidRPr="00F13523" w:rsidRDefault="004E6755" w:rsidP="0057591C">
      <w:pPr>
        <w:pStyle w:val="NormalWeb"/>
        <w:jc w:val="both"/>
        <w:rPr>
          <w:color w:val="000000" w:themeColor="text1"/>
        </w:rPr>
      </w:pPr>
    </w:p>
    <w:p w14:paraId="0FB92CEB" w14:textId="30217507" w:rsidR="004E6755" w:rsidRPr="00F13523" w:rsidRDefault="004E6755" w:rsidP="0057591C">
      <w:pPr>
        <w:pStyle w:val="NormalWeb"/>
        <w:jc w:val="both"/>
        <w:rPr>
          <w:color w:val="000000" w:themeColor="text1"/>
        </w:rPr>
      </w:pPr>
    </w:p>
    <w:p w14:paraId="202E4503" w14:textId="32DAB99A" w:rsidR="004E6755" w:rsidRPr="00F13523" w:rsidRDefault="004E6755" w:rsidP="0057591C">
      <w:pPr>
        <w:pStyle w:val="NormalWeb"/>
        <w:jc w:val="both"/>
        <w:rPr>
          <w:color w:val="000000" w:themeColor="text1"/>
        </w:rPr>
      </w:pPr>
    </w:p>
    <w:p w14:paraId="26AE30EF" w14:textId="77777777" w:rsidR="004E6755" w:rsidRPr="00F13523" w:rsidRDefault="004E6755" w:rsidP="0057591C">
      <w:pPr>
        <w:pStyle w:val="NormalWeb"/>
        <w:jc w:val="both"/>
        <w:rPr>
          <w:color w:val="000000" w:themeColor="text1"/>
        </w:rPr>
      </w:pPr>
    </w:p>
    <w:p w14:paraId="5B3E0B95" w14:textId="2634AFA3" w:rsidR="004E6755" w:rsidRPr="00F13523" w:rsidRDefault="004E6755" w:rsidP="0057591C">
      <w:pPr>
        <w:pStyle w:val="NormalWeb"/>
        <w:jc w:val="both"/>
        <w:rPr>
          <w:color w:val="000000" w:themeColor="text1"/>
        </w:rPr>
      </w:pPr>
      <w:r w:rsidRPr="00F13523">
        <w:rPr>
          <w:noProof/>
          <w:color w:val="000000" w:themeColor="text1"/>
        </w:rPr>
        <mc:AlternateContent>
          <mc:Choice Requires="wps">
            <w:drawing>
              <wp:anchor distT="0" distB="0" distL="114300" distR="114300" simplePos="0" relativeHeight="251662336" behindDoc="1" locked="0" layoutInCell="1" allowOverlap="1" wp14:anchorId="5E4F4AC0" wp14:editId="30B7C1A4">
                <wp:simplePos x="0" y="0"/>
                <wp:positionH relativeFrom="margin">
                  <wp:align>center</wp:align>
                </wp:positionH>
                <wp:positionV relativeFrom="paragraph">
                  <wp:posOffset>5715</wp:posOffset>
                </wp:positionV>
                <wp:extent cx="5090160" cy="635"/>
                <wp:effectExtent l="0" t="0" r="0" b="0"/>
                <wp:wrapNone/>
                <wp:docPr id="696038761" name="Text Box 1"/>
                <wp:cNvGraphicFramePr/>
                <a:graphic xmlns:a="http://schemas.openxmlformats.org/drawingml/2006/main">
                  <a:graphicData uri="http://schemas.microsoft.com/office/word/2010/wordprocessingShape">
                    <wps:wsp>
                      <wps:cNvSpPr txBox="1"/>
                      <wps:spPr>
                        <a:xfrm>
                          <a:off x="0" y="0"/>
                          <a:ext cx="5090160" cy="635"/>
                        </a:xfrm>
                        <a:prstGeom prst="rect">
                          <a:avLst/>
                        </a:prstGeom>
                        <a:solidFill>
                          <a:prstClr val="white"/>
                        </a:solidFill>
                        <a:ln>
                          <a:noFill/>
                        </a:ln>
                      </wps:spPr>
                      <wps:txbx>
                        <w:txbxContent>
                          <w:p w14:paraId="68FFF161" w14:textId="18004865" w:rsidR="007B3247" w:rsidRPr="00C5790F" w:rsidRDefault="006F1BEA" w:rsidP="00C5790F">
                            <w:pPr>
                              <w:pStyle w:val="Caption"/>
                              <w:jc w:val="center"/>
                              <w:rPr>
                                <w:rFonts w:ascii="Times New Roman" w:eastAsia="Times New Roman" w:hAnsi="Times New Roman" w:cs="Times New Roman"/>
                                <w:noProof/>
                                <w:kern w:val="0"/>
                                <w:sz w:val="20"/>
                                <w:szCs w:val="20"/>
                                <w:lang w:bidi="ml-IN"/>
                              </w:rPr>
                            </w:pPr>
                            <w:r>
                              <w:rPr>
                                <w:rFonts w:ascii="Times New Roman" w:hAnsi="Times New Roman" w:cs="Times New Roman"/>
                                <w:i w:val="0"/>
                                <w:iCs w:val="0"/>
                                <w:sz w:val="20"/>
                                <w:szCs w:val="20"/>
                              </w:rPr>
                              <w:t xml:space="preserve">Figure 1 </w:t>
                            </w:r>
                            <w:r w:rsidR="003228B8">
                              <w:rPr>
                                <w:rFonts w:ascii="Times New Roman" w:hAnsi="Times New Roman" w:cs="Times New Roman"/>
                                <w:i w:val="0"/>
                                <w:iCs w:val="0"/>
                                <w:sz w:val="20"/>
                                <w:szCs w:val="20"/>
                              </w:rPr>
                              <w:t xml:space="preserve">Tissue integration duration for Stable Isotope Analysis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4F4AC0" id="_x0000_t202" coordsize="21600,21600" o:spt="202" path="m,l,21600r21600,l21600,xe">
                <v:stroke joinstyle="miter"/>
                <v:path gradientshapeok="t" o:connecttype="rect"/>
              </v:shapetype>
              <v:shape id="Text Box 1" o:spid="_x0000_s1026" type="#_x0000_t202" style="position:absolute;left:0;text-align:left;margin-left:0;margin-top:.45pt;width:400.8pt;height:.0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" stroked="f">
                <v:textbox style="mso-fit-shape-to-text:t" inset="0,0,0,0">
                  <w:txbxContent>
                    <w:p w14:paraId="68FFF161" w14:textId="18004865" w:rsidR="007B3247" w:rsidRPr="00C5790F" w:rsidRDefault="006F1BEA" w:rsidP="00C5790F">
                      <w:pPr>
                        <w:pStyle w:val="Caption"/>
                        <w:jc w:val="center"/>
                        <w:rPr>
                          <w:rFonts w:ascii="Times New Roman" w:eastAsia="Times New Roman" w:hAnsi="Times New Roman" w:cs="Times New Roman"/>
                          <w:noProof/>
                          <w:kern w:val="0"/>
                          <w:sz w:val="20"/>
                          <w:szCs w:val="20"/>
                          <w:lang w:bidi="ml-IN"/>
                        </w:rPr>
                      </w:pPr>
                      <w:r>
                        <w:rPr>
                          <w:rFonts w:ascii="Times New Roman" w:hAnsi="Times New Roman" w:cs="Times New Roman"/>
                          <w:i w:val="0"/>
                          <w:iCs w:val="0"/>
                          <w:sz w:val="20"/>
                          <w:szCs w:val="20"/>
                        </w:rPr>
                        <w:t xml:space="preserve">Figure 1 </w:t>
                      </w:r>
                      <w:r w:rsidR="003228B8">
                        <w:rPr>
                          <w:rFonts w:ascii="Times New Roman" w:hAnsi="Times New Roman" w:cs="Times New Roman"/>
                          <w:i w:val="0"/>
                          <w:iCs w:val="0"/>
                          <w:sz w:val="20"/>
                          <w:szCs w:val="20"/>
                        </w:rPr>
                        <w:t xml:space="preserve">Tissue integration duration for Stable Isotope Analysis </w:t>
                      </w:r>
                    </w:p>
                  </w:txbxContent>
                </v:textbox>
                <w10:wrap anchorx="margin"/>
              </v:shape>
            </w:pict>
          </mc:Fallback>
        </mc:AlternateContent>
      </w:r>
    </w:p>
    <w:p w14:paraId="79C8F3EC" w14:textId="4CB711DA" w:rsidR="004E6755" w:rsidRPr="00F13523" w:rsidRDefault="004E6755" w:rsidP="0057591C">
      <w:pPr>
        <w:pStyle w:val="NormalWeb"/>
        <w:jc w:val="both"/>
        <w:rPr>
          <w:color w:val="000000" w:themeColor="text1"/>
        </w:rPr>
      </w:pPr>
    </w:p>
    <w:p w14:paraId="4F2F4C40" w14:textId="59E3232A" w:rsidR="00F914E2" w:rsidRPr="00F13523" w:rsidRDefault="00F914E2" w:rsidP="0057591C">
      <w:pPr>
        <w:pStyle w:val="NormalWeb"/>
        <w:jc w:val="both"/>
        <w:rPr>
          <w:color w:val="000000" w:themeColor="text1"/>
        </w:rPr>
      </w:pPr>
      <w:r w:rsidRPr="00F13523">
        <w:rPr>
          <w:color w:val="000000" w:themeColor="text1"/>
        </w:rPr>
        <w:t>SIA has moved from niche ecological studies into mainstream wildlife science. It is now central to research on food webs, migration ecology, ecotoxicology, and wildlife trade forensics (</w:t>
      </w:r>
      <w:proofErr w:type="spellStart"/>
      <w:r w:rsidRPr="00F13523">
        <w:rPr>
          <w:color w:val="000000" w:themeColor="text1"/>
        </w:rPr>
        <w:t>Prigge</w:t>
      </w:r>
      <w:proofErr w:type="spellEnd"/>
      <w:r w:rsidRPr="00F13523">
        <w:rPr>
          <w:color w:val="000000" w:themeColor="text1"/>
        </w:rPr>
        <w:t xml:space="preserve"> et al., 2025; Hatten et al., 2025). In India, where monitoring elusive or wide-ranging species is particularly challenging, isotope ecology provides opportunities to fill critical knowledge gaps, from tracking </w:t>
      </w:r>
      <w:r w:rsidR="00154A12" w:rsidRPr="00F13523">
        <w:rPr>
          <w:color w:val="000000" w:themeColor="text1"/>
        </w:rPr>
        <w:t>H</w:t>
      </w:r>
      <w:r w:rsidRPr="00F13523">
        <w:rPr>
          <w:color w:val="000000" w:themeColor="text1"/>
        </w:rPr>
        <w:t>ilsa migrations</w:t>
      </w:r>
      <w:r w:rsidR="004D4A5A" w:rsidRPr="00F13523">
        <w:rPr>
          <w:color w:val="000000" w:themeColor="text1"/>
        </w:rPr>
        <w:t xml:space="preserve"> (Ghosh </w:t>
      </w:r>
      <w:r w:rsidR="004D4A5A" w:rsidRPr="00F13523">
        <w:rPr>
          <w:i/>
          <w:iCs/>
          <w:color w:val="000000" w:themeColor="text1"/>
        </w:rPr>
        <w:t>et al.</w:t>
      </w:r>
      <w:r w:rsidR="004D4A5A" w:rsidRPr="00F13523">
        <w:rPr>
          <w:color w:val="000000" w:themeColor="text1"/>
        </w:rPr>
        <w:t>, 2022)</w:t>
      </w:r>
      <w:r w:rsidRPr="00F13523">
        <w:rPr>
          <w:color w:val="000000" w:themeColor="text1"/>
        </w:rPr>
        <w:t xml:space="preserve"> </w:t>
      </w:r>
    </w:p>
    <w:p w14:paraId="42DB4B10" w14:textId="77777777" w:rsidR="004E6755" w:rsidRPr="00F13523" w:rsidRDefault="004E6755" w:rsidP="0057591C">
      <w:pPr>
        <w:pStyle w:val="NormalWeb"/>
        <w:jc w:val="both"/>
        <w:rPr>
          <w:color w:val="000000" w:themeColor="text1"/>
        </w:rPr>
      </w:pPr>
    </w:p>
    <w:p w14:paraId="2C090130" w14:textId="77777777" w:rsidR="0023006F" w:rsidRPr="00F13523" w:rsidRDefault="0023006F" w:rsidP="0057591C">
      <w:pPr>
        <w:spacing w:before="100" w:beforeAutospacing="1" w:after="100" w:afterAutospacing="1" w:line="240" w:lineRule="auto"/>
        <w:jc w:val="both"/>
        <w:outlineLvl w:val="1"/>
        <w:rPr>
          <w:rFonts w:ascii="Times New Roman" w:eastAsia="Times New Roman" w:hAnsi="Times New Roman" w:cs="Times New Roman"/>
          <w:b/>
          <w:bCs/>
          <w:color w:val="000000" w:themeColor="text1"/>
          <w:kern w:val="0"/>
          <w:sz w:val="36"/>
          <w:szCs w:val="36"/>
          <w:lang w:eastAsia="en-IN" w:bidi="ml-IN"/>
          <w14:ligatures w14:val="none"/>
        </w:rPr>
      </w:pPr>
      <w:r w:rsidRPr="00F13523">
        <w:rPr>
          <w:rFonts w:ascii="Times New Roman" w:eastAsia="Times New Roman" w:hAnsi="Times New Roman" w:cs="Times New Roman"/>
          <w:b/>
          <w:bCs/>
          <w:color w:val="000000" w:themeColor="text1"/>
          <w:kern w:val="0"/>
          <w:sz w:val="36"/>
          <w:szCs w:val="36"/>
          <w:lang w:eastAsia="en-IN" w:bidi="ml-IN"/>
          <w14:ligatures w14:val="none"/>
        </w:rPr>
        <w:t>Material and Methods</w:t>
      </w:r>
    </w:p>
    <w:p w14:paraId="65117B43" w14:textId="77777777" w:rsidR="0023006F" w:rsidRPr="00F13523" w:rsidRDefault="0023006F"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r w:rsidRPr="00F13523">
        <w:rPr>
          <w:rFonts w:ascii="Times New Roman" w:eastAsia="Times New Roman" w:hAnsi="Times New Roman" w:cs="Times New Roman"/>
          <w:b/>
          <w:bCs/>
          <w:color w:val="000000" w:themeColor="text1"/>
          <w:kern w:val="0"/>
          <w:sz w:val="27"/>
          <w:szCs w:val="27"/>
          <w:lang w:eastAsia="en-IN" w:bidi="ml-IN"/>
          <w14:ligatures w14:val="none"/>
        </w:rPr>
        <w:lastRenderedPageBreak/>
        <w:t>Literature search</w:t>
      </w:r>
    </w:p>
    <w:p w14:paraId="6AB29E44" w14:textId="55E4F2C0" w:rsidR="0023006F" w:rsidRPr="00F13523" w:rsidRDefault="0023006F"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A systematic review was carried out following PRISMA guidelines</w:t>
      </w:r>
      <w:r w:rsidR="00441774" w:rsidRPr="00F13523">
        <w:rPr>
          <w:color w:val="000000" w:themeColor="text1"/>
        </w:rPr>
        <w:t xml:space="preserve"> </w:t>
      </w:r>
      <w:r w:rsidR="00441774" w:rsidRPr="00F13523">
        <w:rPr>
          <w:rFonts w:ascii="Times New Roman" w:hAnsi="Times New Roman" w:cs="Times New Roman"/>
          <w:color w:val="000000" w:themeColor="text1"/>
          <w:sz w:val="24"/>
          <w:szCs w:val="24"/>
        </w:rPr>
        <w:t>(</w:t>
      </w:r>
      <w:r w:rsidR="000A5639" w:rsidRPr="00F13523">
        <w:rPr>
          <w:rFonts w:ascii="Times New Roman" w:eastAsia="Times New Roman" w:hAnsi="Times New Roman" w:cs="Times New Roman"/>
          <w:color w:val="000000" w:themeColor="text1"/>
          <w:kern w:val="0"/>
          <w:sz w:val="24"/>
          <w:szCs w:val="24"/>
          <w:lang w:eastAsia="en-IN" w:bidi="ml-IN"/>
          <w14:ligatures w14:val="none"/>
        </w:rPr>
        <w:t xml:space="preserve">Moher et al., 2009; </w:t>
      </w:r>
      <w:r w:rsidR="00441774" w:rsidRPr="00F13523">
        <w:rPr>
          <w:rFonts w:ascii="Times New Roman" w:hAnsi="Times New Roman" w:cs="Times New Roman"/>
          <w:color w:val="000000" w:themeColor="text1"/>
          <w:sz w:val="24"/>
          <w:szCs w:val="24"/>
        </w:rPr>
        <w:t>Page et al., 2021)</w:t>
      </w:r>
      <w:r w:rsidRPr="00F13523">
        <w:rPr>
          <w:rFonts w:ascii="Times New Roman" w:eastAsia="Times New Roman" w:hAnsi="Times New Roman" w:cs="Times New Roman"/>
          <w:color w:val="000000" w:themeColor="text1"/>
          <w:kern w:val="0"/>
          <w:sz w:val="24"/>
          <w:szCs w:val="24"/>
          <w:lang w:eastAsia="en-IN" w:bidi="ml-IN"/>
          <w14:ligatures w14:val="none"/>
        </w:rPr>
        <w:t>. Records were collected from Scopus, Web of Science, and Google Scholar between January 1980 and June 2025 using keywords “stable isotope analysis AND wildlife,” “δ¹³C AND trophic ecology,” “δ¹⁵N AND diet reconstruction,” “stable isotopes AND migration,” and “stable isotopes AND ecotoxicology”</w:t>
      </w:r>
      <w:r w:rsidR="00441774" w:rsidRPr="00F13523">
        <w:rPr>
          <w:color w:val="000000" w:themeColor="text1"/>
        </w:rPr>
        <w:t xml:space="preserve"> </w:t>
      </w:r>
    </w:p>
    <w:p w14:paraId="616E8A3E" w14:textId="77777777" w:rsidR="0023006F" w:rsidRPr="00F13523" w:rsidRDefault="0023006F"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r w:rsidRPr="00F13523">
        <w:rPr>
          <w:rFonts w:ascii="Times New Roman" w:eastAsia="Times New Roman" w:hAnsi="Times New Roman" w:cs="Times New Roman"/>
          <w:b/>
          <w:bCs/>
          <w:color w:val="000000" w:themeColor="text1"/>
          <w:kern w:val="0"/>
          <w:sz w:val="27"/>
          <w:szCs w:val="27"/>
          <w:lang w:eastAsia="en-IN" w:bidi="ml-IN"/>
          <w14:ligatures w14:val="none"/>
        </w:rPr>
        <w:t>Screening</w:t>
      </w:r>
    </w:p>
    <w:p w14:paraId="68BA49CF" w14:textId="3CB8C51C" w:rsidR="0023006F" w:rsidRPr="00F13523" w:rsidRDefault="0023006F"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A total of 742 records were obtained. After removing duplicates (n = 121), 621 were screened by title and abstract. Full-text review was done for 176, and 112 studies were included</w:t>
      </w:r>
      <w:r w:rsidR="00441774" w:rsidRPr="00F13523">
        <w:rPr>
          <w:color w:val="000000" w:themeColor="text1"/>
        </w:rPr>
        <w:t xml:space="preserve"> </w:t>
      </w:r>
    </w:p>
    <w:p w14:paraId="69FEB833"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48AE9A31"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1A9676EB"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74825F82"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3187BA54"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2031A076"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76E4864F"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09AA6D44"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13A81EBC"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5AC49A85"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0D968A0A"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3129F58E"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01E35975"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37ACD153" w14:textId="77777777" w:rsidR="004E6755" w:rsidRPr="00F13523" w:rsidRDefault="004E6755"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p>
    <w:p w14:paraId="4DAE6982" w14:textId="01912108" w:rsidR="0023006F" w:rsidRPr="00F13523" w:rsidRDefault="0023006F"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r w:rsidRPr="00F13523">
        <w:rPr>
          <w:rFonts w:ascii="Times New Roman" w:eastAsia="Times New Roman" w:hAnsi="Times New Roman" w:cs="Times New Roman"/>
          <w:b/>
          <w:bCs/>
          <w:color w:val="000000" w:themeColor="text1"/>
          <w:kern w:val="0"/>
          <w:sz w:val="27"/>
          <w:szCs w:val="27"/>
          <w:lang w:eastAsia="en-IN" w:bidi="ml-IN"/>
          <w14:ligatures w14:val="none"/>
        </w:rPr>
        <w:t>Methodological background</w:t>
      </w:r>
    </w:p>
    <w:p w14:paraId="10DFF624" w14:textId="77777777" w:rsidR="00F914E2" w:rsidRPr="00F13523" w:rsidRDefault="00F914E2"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r w:rsidRPr="00F13523">
        <w:rPr>
          <w:rFonts w:ascii="Times New Roman" w:eastAsia="Times New Roman" w:hAnsi="Times New Roman" w:cs="Times New Roman"/>
          <w:b/>
          <w:bCs/>
          <w:color w:val="000000" w:themeColor="text1"/>
          <w:kern w:val="0"/>
          <w:sz w:val="27"/>
          <w:szCs w:val="27"/>
          <w:lang w:eastAsia="en-IN" w:bidi="ml-IN"/>
          <w14:ligatures w14:val="none"/>
        </w:rPr>
        <w:t>Isotopes: The Basics</w:t>
      </w:r>
    </w:p>
    <w:p w14:paraId="243EC8F7" w14:textId="7BC46163" w:rsidR="00F914E2" w:rsidRPr="00F13523" w:rsidRDefault="00F914E2"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Atoms of the same element can exist in multiple forms, called isotopes, which differ in the number of neutrons in their nucleus</w:t>
      </w:r>
      <w:r w:rsidR="00441774" w:rsidRPr="00F13523">
        <w:rPr>
          <w:color w:val="000000" w:themeColor="text1"/>
        </w:rPr>
        <w:t xml:space="preserve"> </w:t>
      </w:r>
      <w:r w:rsidR="00441774" w:rsidRPr="00F13523">
        <w:rPr>
          <w:rFonts w:ascii="Times New Roman" w:eastAsia="Times New Roman" w:hAnsi="Times New Roman" w:cs="Times New Roman"/>
          <w:color w:val="000000" w:themeColor="text1"/>
          <w:kern w:val="0"/>
          <w:sz w:val="24"/>
          <w:szCs w:val="24"/>
          <w:lang w:eastAsia="en-IN" w:bidi="ml-IN"/>
          <w14:ligatures w14:val="none"/>
        </w:rPr>
        <w:t>(</w:t>
      </w:r>
      <w:proofErr w:type="spellStart"/>
      <w:r w:rsidR="00441774" w:rsidRPr="00F13523">
        <w:rPr>
          <w:rFonts w:ascii="Times New Roman" w:eastAsia="Times New Roman" w:hAnsi="Times New Roman" w:cs="Times New Roman"/>
          <w:color w:val="000000" w:themeColor="text1"/>
          <w:kern w:val="0"/>
          <w:sz w:val="24"/>
          <w:szCs w:val="24"/>
          <w:lang w:eastAsia="en-IN" w:bidi="ml-IN"/>
          <w14:ligatures w14:val="none"/>
        </w:rPr>
        <w:t>Hoefs</w:t>
      </w:r>
      <w:proofErr w:type="spellEnd"/>
      <w:r w:rsidR="00441774" w:rsidRPr="00F13523">
        <w:rPr>
          <w:rFonts w:ascii="Times New Roman" w:eastAsia="Times New Roman" w:hAnsi="Times New Roman" w:cs="Times New Roman"/>
          <w:color w:val="000000" w:themeColor="text1"/>
          <w:kern w:val="0"/>
          <w:sz w:val="24"/>
          <w:szCs w:val="24"/>
          <w:lang w:eastAsia="en-IN" w:bidi="ml-IN"/>
          <w14:ligatures w14:val="none"/>
        </w:rPr>
        <w:t>, 2018)</w:t>
      </w:r>
      <w:r w:rsidRPr="00F13523">
        <w:rPr>
          <w:rFonts w:ascii="Times New Roman" w:eastAsia="Times New Roman" w:hAnsi="Times New Roman" w:cs="Times New Roman"/>
          <w:color w:val="000000" w:themeColor="text1"/>
          <w:kern w:val="0"/>
          <w:sz w:val="24"/>
          <w:szCs w:val="24"/>
          <w:lang w:eastAsia="en-IN" w:bidi="ml-IN"/>
          <w14:ligatures w14:val="none"/>
        </w:rPr>
        <w:t>. For example, carbon occurs as the lighter isotope ¹²C and the heavier ¹³C, both of which are stable (non-radioactive)</w:t>
      </w:r>
      <w:r w:rsidR="00441774" w:rsidRPr="00F13523">
        <w:rPr>
          <w:color w:val="000000" w:themeColor="text1"/>
        </w:rPr>
        <w:t xml:space="preserve"> </w:t>
      </w:r>
      <w:r w:rsidR="00441774" w:rsidRPr="00F13523">
        <w:rPr>
          <w:rFonts w:ascii="Times New Roman" w:eastAsia="Times New Roman" w:hAnsi="Times New Roman" w:cs="Times New Roman"/>
          <w:color w:val="000000" w:themeColor="text1"/>
          <w:kern w:val="0"/>
          <w:sz w:val="24"/>
          <w:szCs w:val="24"/>
          <w:lang w:eastAsia="en-IN" w:bidi="ml-IN"/>
          <w14:ligatures w14:val="none"/>
        </w:rPr>
        <w:t xml:space="preserve">(Peterson &amp; Fry, </w:t>
      </w:r>
      <w:r w:rsidR="00441774" w:rsidRPr="00F13523">
        <w:rPr>
          <w:rFonts w:ascii="Times New Roman" w:eastAsia="Times New Roman" w:hAnsi="Times New Roman" w:cs="Times New Roman"/>
          <w:color w:val="000000" w:themeColor="text1"/>
          <w:kern w:val="0"/>
          <w:sz w:val="24"/>
          <w:szCs w:val="24"/>
          <w:lang w:eastAsia="en-IN" w:bidi="ml-IN"/>
          <w14:ligatures w14:val="none"/>
        </w:rPr>
        <w:lastRenderedPageBreak/>
        <w:t>1987)</w:t>
      </w:r>
      <w:r w:rsidRPr="00F13523">
        <w:rPr>
          <w:rFonts w:ascii="Times New Roman" w:eastAsia="Times New Roman" w:hAnsi="Times New Roman" w:cs="Times New Roman"/>
          <w:color w:val="000000" w:themeColor="text1"/>
          <w:kern w:val="0"/>
          <w:sz w:val="24"/>
          <w:szCs w:val="24"/>
          <w:lang w:eastAsia="en-IN" w:bidi="ml-IN"/>
          <w14:ligatures w14:val="none"/>
        </w:rPr>
        <w:t>. Stable isotopes behave similarly chemically, but small differences in reaction rates cause predictable “fractionation” between isotopes</w:t>
      </w:r>
      <w:r w:rsidR="00441774" w:rsidRPr="00F13523">
        <w:rPr>
          <w:color w:val="000000" w:themeColor="text1"/>
        </w:rPr>
        <w:t xml:space="preserve"> </w:t>
      </w:r>
      <w:r w:rsidR="00441774" w:rsidRPr="00F13523">
        <w:rPr>
          <w:rFonts w:ascii="Times New Roman" w:eastAsia="Times New Roman" w:hAnsi="Times New Roman" w:cs="Times New Roman"/>
          <w:color w:val="000000" w:themeColor="text1"/>
          <w:kern w:val="0"/>
          <w:sz w:val="24"/>
          <w:szCs w:val="24"/>
          <w:lang w:eastAsia="en-IN" w:bidi="ml-IN"/>
          <w14:ligatures w14:val="none"/>
        </w:rPr>
        <w:t>(DeNiro &amp; Epstein, 1978; Fry, 2006)</w:t>
      </w:r>
      <w:r w:rsidRPr="00F13523">
        <w:rPr>
          <w:rFonts w:ascii="Times New Roman" w:eastAsia="Times New Roman" w:hAnsi="Times New Roman" w:cs="Times New Roman"/>
          <w:color w:val="000000" w:themeColor="text1"/>
          <w:kern w:val="0"/>
          <w:sz w:val="24"/>
          <w:szCs w:val="24"/>
          <w:lang w:eastAsia="en-IN" w:bidi="ml-IN"/>
          <w14:ligatures w14:val="none"/>
        </w:rPr>
        <w:t>. These fractionation patterns underpin ecological applications</w:t>
      </w:r>
      <w:r w:rsidR="00441774" w:rsidRPr="00F13523">
        <w:rPr>
          <w:color w:val="000000" w:themeColor="text1"/>
        </w:rPr>
        <w:t xml:space="preserve"> </w:t>
      </w:r>
      <w:r w:rsidR="00441774" w:rsidRPr="00F13523">
        <w:rPr>
          <w:rFonts w:ascii="Times New Roman" w:eastAsia="Times New Roman" w:hAnsi="Times New Roman" w:cs="Times New Roman"/>
          <w:color w:val="000000" w:themeColor="text1"/>
          <w:kern w:val="0"/>
          <w:sz w:val="24"/>
          <w:szCs w:val="24"/>
          <w:lang w:eastAsia="en-IN" w:bidi="ml-IN"/>
          <w14:ligatures w14:val="none"/>
        </w:rPr>
        <w:t>(Post, 2002; Newsome et al., 2007)</w:t>
      </w:r>
      <w:r w:rsidRPr="00F13523">
        <w:rPr>
          <w:rFonts w:ascii="Times New Roman" w:eastAsia="Times New Roman" w:hAnsi="Times New Roman" w:cs="Times New Roman"/>
          <w:color w:val="000000" w:themeColor="text1"/>
          <w:kern w:val="0"/>
          <w:sz w:val="24"/>
          <w:szCs w:val="24"/>
          <w:lang w:eastAsia="en-IN" w:bidi="ml-IN"/>
          <w14:ligatures w14:val="none"/>
        </w:rPr>
        <w:t>.</w:t>
      </w:r>
    </w:p>
    <w:p w14:paraId="37127BDD" w14:textId="156ADBD6" w:rsidR="0023006F" w:rsidRPr="00F13523" w:rsidRDefault="001E7DA5" w:rsidP="001E7DA5">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A stable isotope is a form of an element that has the same number of protons but a different number of neutrons, making it non-radioactive and therefore not subject to radioactive decay over time </w:t>
      </w:r>
      <w:r w:rsidR="00C5790F" w:rsidRPr="00F13523">
        <w:rPr>
          <w:rFonts w:ascii="Times New Roman" w:eastAsia="Times New Roman" w:hAnsi="Times New Roman" w:cs="Times New Roman"/>
          <w:color w:val="000000" w:themeColor="text1"/>
          <w:kern w:val="0"/>
          <w:sz w:val="24"/>
          <w:szCs w:val="24"/>
          <w:lang w:eastAsia="en-IN" w:bidi="ml-IN"/>
          <w14:ligatures w14:val="none"/>
        </w:rPr>
        <w:t>(Criss</w:t>
      </w:r>
      <w:r w:rsidRPr="00F13523">
        <w:rPr>
          <w:rFonts w:ascii="Times New Roman" w:eastAsia="Times New Roman" w:hAnsi="Times New Roman" w:cs="Times New Roman"/>
          <w:color w:val="000000" w:themeColor="text1"/>
          <w:kern w:val="0"/>
          <w:sz w:val="24"/>
          <w:szCs w:val="24"/>
          <w:lang w:eastAsia="en-IN" w:bidi="ml-IN"/>
          <w14:ligatures w14:val="none"/>
        </w:rPr>
        <w:t>, 1999). In ecological studies, stable isotopes commonly used include ¹³C/¹²C, ¹⁵N/¹⁴N, ¹⁸O/¹⁶O, and ²H/¹H. These isotopes occur naturally and become incorporated into biological tissues through diet and environmental uptake. Because biochemical processes discriminate slightly between lighter and heavier isotopes (a process known as isotopic fractionation), the relative abundance of stable isotopes in an organism reflects information about its diet, trophic position, habitat use, and physiological processes. Stable</w:t>
      </w:r>
      <w:r w:rsidR="0023006F" w:rsidRPr="00F13523">
        <w:rPr>
          <w:rFonts w:ascii="Times New Roman" w:eastAsia="Times New Roman" w:hAnsi="Times New Roman" w:cs="Times New Roman"/>
          <w:color w:val="000000" w:themeColor="text1"/>
          <w:kern w:val="0"/>
          <w:sz w:val="24"/>
          <w:szCs w:val="24"/>
          <w:lang w:eastAsia="en-IN" w:bidi="ml-IN"/>
          <w14:ligatures w14:val="none"/>
        </w:rPr>
        <w:t xml:space="preserve"> isotope studies in ecology generally follow a set of standard steps. Tissues such as blood, hair, feathers, claws, </w:t>
      </w:r>
      <w:r w:rsidR="00141C7E" w:rsidRPr="00F13523">
        <w:rPr>
          <w:rFonts w:ascii="Times New Roman" w:eastAsia="Times New Roman" w:hAnsi="Times New Roman" w:cs="Times New Roman"/>
          <w:color w:val="000000" w:themeColor="text1"/>
          <w:kern w:val="0"/>
          <w:sz w:val="24"/>
          <w:szCs w:val="24"/>
          <w:lang w:eastAsia="en-IN" w:bidi="ml-IN"/>
          <w14:ligatures w14:val="none"/>
        </w:rPr>
        <w:t>muscle,</w:t>
      </w:r>
      <w:r w:rsidR="0023006F" w:rsidRPr="00F13523">
        <w:rPr>
          <w:rFonts w:ascii="Times New Roman" w:eastAsia="Times New Roman" w:hAnsi="Times New Roman" w:cs="Times New Roman"/>
          <w:color w:val="000000" w:themeColor="text1"/>
          <w:kern w:val="0"/>
          <w:sz w:val="24"/>
          <w:szCs w:val="24"/>
          <w:lang w:eastAsia="en-IN" w:bidi="ml-IN"/>
          <w14:ligatures w14:val="none"/>
        </w:rPr>
        <w:t xml:space="preserve"> or bone are collected depending on the study aim</w:t>
      </w:r>
      <w:r w:rsidR="00441774" w:rsidRPr="00F13523">
        <w:rPr>
          <w:color w:val="000000" w:themeColor="text1"/>
        </w:rPr>
        <w:t xml:space="preserve"> </w:t>
      </w:r>
      <w:r w:rsidR="00441774" w:rsidRPr="00F13523">
        <w:rPr>
          <w:rFonts w:ascii="Times New Roman" w:eastAsia="Times New Roman" w:hAnsi="Times New Roman" w:cs="Times New Roman"/>
          <w:color w:val="000000" w:themeColor="text1"/>
          <w:kern w:val="0"/>
          <w:sz w:val="24"/>
          <w:szCs w:val="24"/>
          <w:lang w:eastAsia="en-IN" w:bidi="ml-IN"/>
          <w14:ligatures w14:val="none"/>
        </w:rPr>
        <w:t>(Hobson &amp; Wassenaar, 2019)</w:t>
      </w:r>
      <w:r w:rsidR="0023006F" w:rsidRPr="00F13523">
        <w:rPr>
          <w:rFonts w:ascii="Times New Roman" w:eastAsia="Times New Roman" w:hAnsi="Times New Roman" w:cs="Times New Roman"/>
          <w:color w:val="000000" w:themeColor="text1"/>
          <w:kern w:val="0"/>
          <w:sz w:val="24"/>
          <w:szCs w:val="24"/>
          <w:lang w:eastAsia="en-IN" w:bidi="ml-IN"/>
          <w14:ligatures w14:val="none"/>
        </w:rPr>
        <w:t>. Samples are dried, ground, and pre-treated to remove lipids or contaminants before analysis (Muccio and Jackson 2009).</w:t>
      </w:r>
    </w:p>
    <w:p w14:paraId="1B4AE8EC" w14:textId="0E30931D" w:rsidR="001854D1" w:rsidRPr="00F13523" w:rsidRDefault="001854D1"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r w:rsidRPr="00F13523">
        <w:rPr>
          <w:rFonts w:ascii="Times New Roman" w:eastAsia="Times New Roman" w:hAnsi="Times New Roman" w:cs="Times New Roman"/>
          <w:b/>
          <w:bCs/>
          <w:color w:val="000000" w:themeColor="text1"/>
          <w:kern w:val="0"/>
          <w:sz w:val="27"/>
          <w:szCs w:val="27"/>
          <w:lang w:eastAsia="en-IN" w:bidi="ml-IN"/>
          <w14:ligatures w14:val="none"/>
        </w:rPr>
        <w:t>Tissue Turnover and Temporal Windows</w:t>
      </w:r>
    </w:p>
    <w:p w14:paraId="0D952AF2" w14:textId="618A8145" w:rsidR="00501879" w:rsidRPr="00F13523" w:rsidRDefault="00501879" w:rsidP="0057591C">
      <w:pPr>
        <w:pStyle w:val="NormalWeb"/>
        <w:jc w:val="both"/>
        <w:rPr>
          <w:color w:val="000000" w:themeColor="text1"/>
        </w:rPr>
      </w:pPr>
      <w:r w:rsidRPr="00F13523">
        <w:rPr>
          <w:color w:val="000000" w:themeColor="text1"/>
        </w:rPr>
        <w:t>A key strength of stable isotope analysis lies in the differential turnover rates of animal tissues, which provide ecological information across distinct temporal scales</w:t>
      </w:r>
      <w:r w:rsidR="00C07091" w:rsidRPr="00F13523">
        <w:rPr>
          <w:color w:val="000000" w:themeColor="text1"/>
        </w:rPr>
        <w:t xml:space="preserve"> (</w:t>
      </w:r>
      <w:proofErr w:type="spellStart"/>
      <w:r w:rsidR="00C07091" w:rsidRPr="00F13523">
        <w:rPr>
          <w:color w:val="000000" w:themeColor="text1"/>
        </w:rPr>
        <w:t>Tieszen</w:t>
      </w:r>
      <w:proofErr w:type="spellEnd"/>
      <w:r w:rsidR="00C07091" w:rsidRPr="00F13523">
        <w:rPr>
          <w:color w:val="000000" w:themeColor="text1"/>
        </w:rPr>
        <w:t xml:space="preserve"> et al., 1983; </w:t>
      </w:r>
      <w:proofErr w:type="spellStart"/>
      <w:r w:rsidR="00C07091" w:rsidRPr="00F13523">
        <w:rPr>
          <w:color w:val="000000" w:themeColor="text1"/>
        </w:rPr>
        <w:t>Dalerum</w:t>
      </w:r>
      <w:proofErr w:type="spellEnd"/>
      <w:r w:rsidR="00C07091" w:rsidRPr="00F13523">
        <w:rPr>
          <w:color w:val="000000" w:themeColor="text1"/>
        </w:rPr>
        <w:t xml:space="preserve"> &amp; </w:t>
      </w:r>
      <w:proofErr w:type="spellStart"/>
      <w:r w:rsidR="00C07091" w:rsidRPr="00F13523">
        <w:rPr>
          <w:color w:val="000000" w:themeColor="text1"/>
        </w:rPr>
        <w:t>Angerbjörn</w:t>
      </w:r>
      <w:proofErr w:type="spellEnd"/>
      <w:r w:rsidR="00C07091" w:rsidRPr="00F13523">
        <w:rPr>
          <w:color w:val="000000" w:themeColor="text1"/>
        </w:rPr>
        <w:t>, 2005)</w:t>
      </w:r>
      <w:r w:rsidRPr="00F13523">
        <w:rPr>
          <w:color w:val="000000" w:themeColor="text1"/>
        </w:rPr>
        <w:t>. Because each tissue incorporates isotopic signatures at rates determined by its metabolic activity and structural properties, researchers can reconstruct dietary and environmental histories ranging from days to entire lifespans</w:t>
      </w:r>
      <w:r w:rsidR="00C07091" w:rsidRPr="00F13523">
        <w:rPr>
          <w:color w:val="000000" w:themeColor="text1"/>
        </w:rPr>
        <w:t xml:space="preserve"> (Hobson &amp; Clark, 1992; Martínez del Rio et al., 2009).</w:t>
      </w:r>
    </w:p>
    <w:p w14:paraId="2E9D37AB" w14:textId="12175C73" w:rsidR="00501879" w:rsidRPr="00F13523" w:rsidRDefault="00501879" w:rsidP="0057591C">
      <w:pPr>
        <w:pStyle w:val="NormalWeb"/>
        <w:jc w:val="both"/>
        <w:rPr>
          <w:color w:val="000000" w:themeColor="text1"/>
        </w:rPr>
      </w:pPr>
      <w:r w:rsidRPr="00F13523">
        <w:rPr>
          <w:rStyle w:val="Strong"/>
          <w:rFonts w:eastAsiaTheme="majorEastAsia"/>
          <w:color w:val="000000" w:themeColor="text1"/>
        </w:rPr>
        <w:t>Short-term integration</w:t>
      </w:r>
      <w:r w:rsidRPr="00F13523">
        <w:rPr>
          <w:color w:val="000000" w:themeColor="text1"/>
        </w:rPr>
        <w:t xml:space="preserve"> is provided by rapidly metabolising tissues such as blood plasma, serum, and liver</w:t>
      </w:r>
      <w:r w:rsidR="00C07091" w:rsidRPr="00F13523">
        <w:rPr>
          <w:color w:val="000000" w:themeColor="text1"/>
        </w:rPr>
        <w:t xml:space="preserve"> (Hobson &amp; Clark, 1992; </w:t>
      </w:r>
      <w:proofErr w:type="spellStart"/>
      <w:r w:rsidR="00C07091" w:rsidRPr="00F13523">
        <w:rPr>
          <w:color w:val="000000" w:themeColor="text1"/>
        </w:rPr>
        <w:t>Bauchinger</w:t>
      </w:r>
      <w:proofErr w:type="spellEnd"/>
      <w:r w:rsidR="00C07091" w:rsidRPr="00F13523">
        <w:rPr>
          <w:color w:val="000000" w:themeColor="text1"/>
        </w:rPr>
        <w:t xml:space="preserve"> &amp; McWilliams, 2010).</w:t>
      </w:r>
      <w:r w:rsidRPr="00F13523">
        <w:rPr>
          <w:color w:val="000000" w:themeColor="text1"/>
        </w:rPr>
        <w:t xml:space="preserve"> These tissues reflect assimilated diet within days to weeks, making them ideal for capturing short-lived ecological events. For instance, δ¹³C and δ¹⁵N values in plasma have been used to detect dietary switches during migratory stopovers or to measure immediate responses to resource pulses</w:t>
      </w:r>
      <w:r w:rsidR="00C07091" w:rsidRPr="00F13523">
        <w:rPr>
          <w:color w:val="000000" w:themeColor="text1"/>
        </w:rPr>
        <w:t xml:space="preserve"> (</w:t>
      </w:r>
      <w:proofErr w:type="spellStart"/>
      <w:r w:rsidR="00C07091" w:rsidRPr="00F13523">
        <w:rPr>
          <w:color w:val="000000" w:themeColor="text1"/>
        </w:rPr>
        <w:t>Bearhop</w:t>
      </w:r>
      <w:proofErr w:type="spellEnd"/>
      <w:r w:rsidR="00C07091" w:rsidRPr="00F13523">
        <w:rPr>
          <w:color w:val="000000" w:themeColor="text1"/>
        </w:rPr>
        <w:t xml:space="preserve"> et al., 2002; Inger &amp; </w:t>
      </w:r>
      <w:proofErr w:type="spellStart"/>
      <w:r w:rsidR="00C07091" w:rsidRPr="00F13523">
        <w:rPr>
          <w:color w:val="000000" w:themeColor="text1"/>
        </w:rPr>
        <w:t>Bearhop</w:t>
      </w:r>
      <w:proofErr w:type="spellEnd"/>
      <w:r w:rsidR="00C07091" w:rsidRPr="00F13523">
        <w:rPr>
          <w:color w:val="000000" w:themeColor="text1"/>
        </w:rPr>
        <w:t>, 2008)</w:t>
      </w:r>
      <w:r w:rsidR="00E143FB" w:rsidRPr="00F13523">
        <w:rPr>
          <w:color w:val="000000" w:themeColor="text1"/>
        </w:rPr>
        <w:t>.</w:t>
      </w:r>
      <w:r w:rsidRPr="00F13523">
        <w:rPr>
          <w:color w:val="000000" w:themeColor="text1"/>
        </w:rPr>
        <w:t xml:space="preserve"> In experimental settings, liver isotopes in fish and rodents have documented the rapid assimilation of novel dietary inputs, offering fine-scale resolution of feeding dynamics</w:t>
      </w:r>
      <w:r w:rsidR="00C07091" w:rsidRPr="00F13523">
        <w:rPr>
          <w:color w:val="000000" w:themeColor="text1"/>
        </w:rPr>
        <w:t xml:space="preserve"> (</w:t>
      </w:r>
      <w:proofErr w:type="spellStart"/>
      <w:r w:rsidR="00C07091" w:rsidRPr="00F13523">
        <w:rPr>
          <w:color w:val="000000" w:themeColor="text1"/>
        </w:rPr>
        <w:t>MacAvoy</w:t>
      </w:r>
      <w:proofErr w:type="spellEnd"/>
      <w:r w:rsidR="00C07091" w:rsidRPr="00F13523">
        <w:rPr>
          <w:color w:val="000000" w:themeColor="text1"/>
        </w:rPr>
        <w:t xml:space="preserve"> et al., 2001; </w:t>
      </w:r>
      <w:proofErr w:type="spellStart"/>
      <w:r w:rsidR="00C07091" w:rsidRPr="00F13523">
        <w:rPr>
          <w:color w:val="000000" w:themeColor="text1"/>
        </w:rPr>
        <w:t>Buchheister</w:t>
      </w:r>
      <w:proofErr w:type="spellEnd"/>
      <w:r w:rsidR="00C07091" w:rsidRPr="00F13523">
        <w:rPr>
          <w:color w:val="000000" w:themeColor="text1"/>
        </w:rPr>
        <w:t xml:space="preserve"> &amp; Latour, 2010).</w:t>
      </w:r>
    </w:p>
    <w:p w14:paraId="606D65F9" w14:textId="4A6E0C9A" w:rsidR="00501879" w:rsidRPr="00F13523" w:rsidRDefault="00501879" w:rsidP="0057591C">
      <w:pPr>
        <w:pStyle w:val="NormalWeb"/>
        <w:jc w:val="both"/>
        <w:rPr>
          <w:color w:val="000000" w:themeColor="text1"/>
        </w:rPr>
      </w:pPr>
      <w:r w:rsidRPr="00F13523">
        <w:rPr>
          <w:rStyle w:val="Strong"/>
          <w:rFonts w:eastAsiaTheme="majorEastAsia"/>
          <w:color w:val="000000" w:themeColor="text1"/>
        </w:rPr>
        <w:t>Medium-term integration</w:t>
      </w:r>
      <w:r w:rsidRPr="00F13523">
        <w:rPr>
          <w:color w:val="000000" w:themeColor="text1"/>
        </w:rPr>
        <w:t xml:space="preserve"> occurs in tissues with slower turnover, such as red blood cells, muscle, and keratinous growth structures like hair segments. These tissues archive isotopic information over weeks to months, thereby revealing sustained ecological patterns </w:t>
      </w:r>
      <w:r w:rsidR="00C07091" w:rsidRPr="00F13523">
        <w:rPr>
          <w:color w:val="000000" w:themeColor="text1"/>
        </w:rPr>
        <w:t>(Hobson &amp; Clark, 199</w:t>
      </w:r>
      <w:r w:rsidR="00A22DE7" w:rsidRPr="00F13523">
        <w:rPr>
          <w:color w:val="000000" w:themeColor="text1"/>
        </w:rPr>
        <w:t>2</w:t>
      </w:r>
      <w:r w:rsidR="00C07091" w:rsidRPr="00F13523">
        <w:rPr>
          <w:color w:val="000000" w:themeColor="text1"/>
        </w:rPr>
        <w:t>; Martínez del Rio et al., 2009)</w:t>
      </w:r>
      <w:r w:rsidR="00E143FB" w:rsidRPr="00F13523">
        <w:rPr>
          <w:color w:val="000000" w:themeColor="text1"/>
        </w:rPr>
        <w:t>.</w:t>
      </w:r>
      <w:r w:rsidR="00C07091" w:rsidRPr="00F13523">
        <w:rPr>
          <w:color w:val="000000" w:themeColor="text1"/>
        </w:rPr>
        <w:t xml:space="preserve"> Sequential</w:t>
      </w:r>
      <w:r w:rsidRPr="00F13523">
        <w:rPr>
          <w:color w:val="000000" w:themeColor="text1"/>
        </w:rPr>
        <w:t xml:space="preserve"> analysis of hair has been widely employed in mammals to reconstruct seasonal dietary shifts and migration histories</w:t>
      </w:r>
      <w:r w:rsidR="0012115B" w:rsidRPr="00F13523">
        <w:rPr>
          <w:color w:val="000000" w:themeColor="text1"/>
        </w:rPr>
        <w:t xml:space="preserve"> (</w:t>
      </w:r>
      <w:proofErr w:type="spellStart"/>
      <w:r w:rsidR="0012115B" w:rsidRPr="00F13523">
        <w:rPr>
          <w:color w:val="000000" w:themeColor="text1"/>
        </w:rPr>
        <w:t>Cerling</w:t>
      </w:r>
      <w:proofErr w:type="spellEnd"/>
      <w:r w:rsidR="0012115B" w:rsidRPr="00F13523">
        <w:rPr>
          <w:color w:val="000000" w:themeColor="text1"/>
        </w:rPr>
        <w:t xml:space="preserve"> et al., 2009; </w:t>
      </w:r>
      <w:r w:rsidR="0082517D" w:rsidRPr="00F13523">
        <w:rPr>
          <w:color w:val="000000" w:themeColor="text1"/>
        </w:rPr>
        <w:t>Ben-David &amp; Flaherty, 2012</w:t>
      </w:r>
      <w:r w:rsidR="0012115B" w:rsidRPr="00F13523">
        <w:rPr>
          <w:color w:val="000000" w:themeColor="text1"/>
        </w:rPr>
        <w:t>)</w:t>
      </w:r>
      <w:r w:rsidR="00E143FB" w:rsidRPr="00F13523">
        <w:rPr>
          <w:color w:val="000000" w:themeColor="text1"/>
        </w:rPr>
        <w:t>,</w:t>
      </w:r>
      <w:r w:rsidRPr="00F13523">
        <w:rPr>
          <w:color w:val="000000" w:themeColor="text1"/>
        </w:rPr>
        <w:t xml:space="preserve"> while muscle tissue in fishes reflects average diet over a growth season</w:t>
      </w:r>
      <w:r w:rsidR="0012115B" w:rsidRPr="00F13523">
        <w:rPr>
          <w:rFonts w:asciiTheme="minorHAnsi" w:eastAsiaTheme="minorHAnsi" w:hAnsiTheme="minorHAnsi" w:cstheme="minorBidi"/>
          <w:color w:val="000000" w:themeColor="text1"/>
          <w:kern w:val="2"/>
          <w:sz w:val="22"/>
          <w:szCs w:val="22"/>
          <w:lang w:eastAsia="en-US" w:bidi="ar-SA"/>
          <w14:ligatures w14:val="standardContextual"/>
        </w:rPr>
        <w:t xml:space="preserve"> </w:t>
      </w:r>
      <w:r w:rsidR="0012115B" w:rsidRPr="00F13523">
        <w:rPr>
          <w:color w:val="000000" w:themeColor="text1"/>
        </w:rPr>
        <w:t>(Vander et al., 1997)</w:t>
      </w:r>
      <w:r w:rsidRPr="00F13523">
        <w:rPr>
          <w:color w:val="000000" w:themeColor="text1"/>
        </w:rPr>
        <w:t>. In carnivores such as jackals or civets, red blood cell isotopes could quantify the proportional reliance on anthropogenic versus wild resources across agricultural landscapes in India</w:t>
      </w:r>
      <w:r w:rsidR="0012115B" w:rsidRPr="00F13523">
        <w:rPr>
          <w:color w:val="000000" w:themeColor="text1"/>
        </w:rPr>
        <w:t xml:space="preserve"> (Newsome et al., 2015)</w:t>
      </w:r>
      <w:r w:rsidRPr="00F13523">
        <w:rPr>
          <w:color w:val="000000" w:themeColor="text1"/>
        </w:rPr>
        <w:t>.</w:t>
      </w:r>
    </w:p>
    <w:p w14:paraId="5FEDECE7" w14:textId="5961D71E" w:rsidR="00501879" w:rsidRPr="00F13523" w:rsidRDefault="00501879" w:rsidP="0057591C">
      <w:pPr>
        <w:pStyle w:val="NormalWeb"/>
        <w:jc w:val="both"/>
        <w:rPr>
          <w:color w:val="000000" w:themeColor="text1"/>
        </w:rPr>
      </w:pPr>
      <w:r w:rsidRPr="00F13523">
        <w:rPr>
          <w:rStyle w:val="Strong"/>
          <w:rFonts w:eastAsiaTheme="majorEastAsia"/>
          <w:color w:val="000000" w:themeColor="text1"/>
        </w:rPr>
        <w:t>Long-term integration</w:t>
      </w:r>
      <w:r w:rsidRPr="00F13523">
        <w:rPr>
          <w:color w:val="000000" w:themeColor="text1"/>
        </w:rPr>
        <w:t xml:space="preserve"> is provided by metabolically inert tissues such as bone collagen, tooth enamel, and fish otoliths. These tissues incorporate isotopic signatures during growth and subsequently preserve them without turnover, creating archives that span years to decades</w:t>
      </w:r>
      <w:r w:rsidR="0012115B" w:rsidRPr="00F13523">
        <w:rPr>
          <w:rFonts w:asciiTheme="minorHAnsi" w:eastAsiaTheme="minorHAnsi" w:hAnsiTheme="minorHAnsi" w:cstheme="minorBidi"/>
          <w:color w:val="000000" w:themeColor="text1"/>
          <w:kern w:val="2"/>
          <w:sz w:val="22"/>
          <w:szCs w:val="22"/>
          <w:lang w:eastAsia="en-US" w:bidi="ar-SA"/>
          <w14:ligatures w14:val="standardContextual"/>
        </w:rPr>
        <w:t xml:space="preserve"> </w:t>
      </w:r>
      <w:r w:rsidR="0012115B" w:rsidRPr="00F13523">
        <w:rPr>
          <w:color w:val="000000" w:themeColor="text1"/>
        </w:rPr>
        <w:t xml:space="preserve">(Ambrose &amp; </w:t>
      </w:r>
      <w:proofErr w:type="spellStart"/>
      <w:r w:rsidR="0012115B" w:rsidRPr="00F13523">
        <w:rPr>
          <w:color w:val="000000" w:themeColor="text1"/>
        </w:rPr>
        <w:t>Norr</w:t>
      </w:r>
      <w:proofErr w:type="spellEnd"/>
      <w:r w:rsidR="0012115B" w:rsidRPr="00F13523">
        <w:rPr>
          <w:color w:val="000000" w:themeColor="text1"/>
        </w:rPr>
        <w:t xml:space="preserve">, 1993; Hobson &amp; </w:t>
      </w:r>
      <w:proofErr w:type="spellStart"/>
      <w:r w:rsidR="0012115B" w:rsidRPr="00F13523">
        <w:rPr>
          <w:color w:val="000000" w:themeColor="text1"/>
        </w:rPr>
        <w:t>Sease</w:t>
      </w:r>
      <w:proofErr w:type="spellEnd"/>
      <w:r w:rsidR="0012115B" w:rsidRPr="00F13523">
        <w:rPr>
          <w:color w:val="000000" w:themeColor="text1"/>
        </w:rPr>
        <w:t>, 1998)</w:t>
      </w:r>
      <w:r w:rsidRPr="00F13523">
        <w:rPr>
          <w:color w:val="000000" w:themeColor="text1"/>
        </w:rPr>
        <w:t xml:space="preserve">. Bone collagen δ¹³C and δ¹⁵N have been instrumental in reconstructing long-term dietary histories of elephants, including shifts </w:t>
      </w:r>
      <w:r w:rsidRPr="00F13523">
        <w:rPr>
          <w:color w:val="000000" w:themeColor="text1"/>
        </w:rPr>
        <w:lastRenderedPageBreak/>
        <w:t>between C₃ and C₄ forages associated with seasonal or anthropogenic influences</w:t>
      </w:r>
      <w:r w:rsidR="0012115B" w:rsidRPr="00F13523">
        <w:rPr>
          <w:color w:val="000000" w:themeColor="text1"/>
        </w:rPr>
        <w:t xml:space="preserve"> (</w:t>
      </w:r>
      <w:proofErr w:type="spellStart"/>
      <w:r w:rsidR="0012115B" w:rsidRPr="00F13523">
        <w:rPr>
          <w:color w:val="000000" w:themeColor="text1"/>
        </w:rPr>
        <w:t>Cerling</w:t>
      </w:r>
      <w:proofErr w:type="spellEnd"/>
      <w:r w:rsidR="0012115B" w:rsidRPr="00F13523">
        <w:rPr>
          <w:color w:val="000000" w:themeColor="text1"/>
        </w:rPr>
        <w:t xml:space="preserve"> et al., 2006)</w:t>
      </w:r>
      <w:r w:rsidRPr="00F13523">
        <w:rPr>
          <w:color w:val="000000" w:themeColor="text1"/>
        </w:rPr>
        <w:t>. Similarly, strontium isotope ratios (⁸⁷Sr/⁸⁶Sr) in tooth enamel reflect the geological characteristics of the natal landscape, enabling provenance studies in both modern wildlife and archaeological contexts</w:t>
      </w:r>
      <w:r w:rsidR="0012115B" w:rsidRPr="00F13523">
        <w:rPr>
          <w:color w:val="000000" w:themeColor="text1"/>
        </w:rPr>
        <w:t xml:space="preserve"> (</w:t>
      </w:r>
      <w:r w:rsidR="00BC33BE">
        <w:rPr>
          <w:color w:val="000000" w:themeColor="text1"/>
        </w:rPr>
        <w:t>Alexander</w:t>
      </w:r>
      <w:r w:rsidR="0012115B" w:rsidRPr="00F13523">
        <w:rPr>
          <w:color w:val="000000" w:themeColor="text1"/>
        </w:rPr>
        <w:t xml:space="preserve">, 2006; </w:t>
      </w:r>
      <w:proofErr w:type="spellStart"/>
      <w:r w:rsidR="0012115B" w:rsidRPr="00F13523">
        <w:rPr>
          <w:color w:val="000000" w:themeColor="text1"/>
        </w:rPr>
        <w:t>Bataille</w:t>
      </w:r>
      <w:proofErr w:type="spellEnd"/>
      <w:r w:rsidR="0012115B" w:rsidRPr="00F13523">
        <w:rPr>
          <w:color w:val="000000" w:themeColor="text1"/>
        </w:rPr>
        <w:t xml:space="preserve"> et al., 2020)</w:t>
      </w:r>
      <w:r w:rsidRPr="00F13523">
        <w:rPr>
          <w:color w:val="000000" w:themeColor="text1"/>
        </w:rPr>
        <w:t>. Otolith microchemistry and isotope analysis, widely applied in hilsa (</w:t>
      </w:r>
      <w:proofErr w:type="spellStart"/>
      <w:r w:rsidRPr="00F13523">
        <w:rPr>
          <w:rStyle w:val="Emphasis"/>
          <w:rFonts w:eastAsiaTheme="majorEastAsia"/>
          <w:color w:val="000000" w:themeColor="text1"/>
        </w:rPr>
        <w:t>Tenualosa</w:t>
      </w:r>
      <w:proofErr w:type="spellEnd"/>
      <w:r w:rsidRPr="00F13523">
        <w:rPr>
          <w:rStyle w:val="Emphasis"/>
          <w:rFonts w:eastAsiaTheme="majorEastAsia"/>
          <w:color w:val="000000" w:themeColor="text1"/>
        </w:rPr>
        <w:t xml:space="preserve"> </w:t>
      </w:r>
      <w:proofErr w:type="spellStart"/>
      <w:r w:rsidRPr="00F13523">
        <w:rPr>
          <w:rStyle w:val="Emphasis"/>
          <w:rFonts w:eastAsiaTheme="majorEastAsia"/>
          <w:color w:val="000000" w:themeColor="text1"/>
        </w:rPr>
        <w:t>ilisha</w:t>
      </w:r>
      <w:proofErr w:type="spellEnd"/>
      <w:r w:rsidRPr="00F13523">
        <w:rPr>
          <w:color w:val="000000" w:themeColor="text1"/>
        </w:rPr>
        <w:t>) and salmonids, provide permanent chronological records of habitat transitions between freshwater and marine environments</w:t>
      </w:r>
      <w:r w:rsidR="0012115B" w:rsidRPr="00F13523">
        <w:rPr>
          <w:color w:val="000000" w:themeColor="text1"/>
        </w:rPr>
        <w:t xml:space="preserve"> (</w:t>
      </w:r>
      <w:proofErr w:type="spellStart"/>
      <w:r w:rsidR="0012115B" w:rsidRPr="00F13523">
        <w:rPr>
          <w:color w:val="000000" w:themeColor="text1"/>
        </w:rPr>
        <w:t>Secor</w:t>
      </w:r>
      <w:proofErr w:type="spellEnd"/>
      <w:r w:rsidR="0012115B" w:rsidRPr="00F13523">
        <w:rPr>
          <w:color w:val="000000" w:themeColor="text1"/>
        </w:rPr>
        <w:t xml:space="preserve"> &amp; </w:t>
      </w:r>
      <w:proofErr w:type="spellStart"/>
      <w:r w:rsidR="0012115B" w:rsidRPr="00F13523">
        <w:rPr>
          <w:color w:val="000000" w:themeColor="text1"/>
        </w:rPr>
        <w:t>Rooker</w:t>
      </w:r>
      <w:proofErr w:type="spellEnd"/>
      <w:r w:rsidR="0012115B" w:rsidRPr="00F13523">
        <w:rPr>
          <w:color w:val="000000" w:themeColor="text1"/>
        </w:rPr>
        <w:t>, 2000</w:t>
      </w:r>
      <w:r w:rsidR="003A6C1D" w:rsidRPr="00F13523">
        <w:rPr>
          <w:color w:val="000000" w:themeColor="text1"/>
        </w:rPr>
        <w:t xml:space="preserve">; Ghosh </w:t>
      </w:r>
      <w:r w:rsidR="003A6C1D" w:rsidRPr="00F13523">
        <w:rPr>
          <w:i/>
          <w:iCs/>
          <w:color w:val="000000" w:themeColor="text1"/>
        </w:rPr>
        <w:t>et al.</w:t>
      </w:r>
      <w:r w:rsidR="003A6C1D" w:rsidRPr="00F13523">
        <w:rPr>
          <w:color w:val="000000" w:themeColor="text1"/>
        </w:rPr>
        <w:t>, 2022</w:t>
      </w:r>
      <w:r w:rsidR="0012115B" w:rsidRPr="00F13523">
        <w:rPr>
          <w:color w:val="000000" w:themeColor="text1"/>
        </w:rPr>
        <w:t>)</w:t>
      </w:r>
      <w:r w:rsidRPr="00F13523">
        <w:rPr>
          <w:color w:val="000000" w:themeColor="text1"/>
        </w:rPr>
        <w:t>.</w:t>
      </w:r>
    </w:p>
    <w:p w14:paraId="65DC536E" w14:textId="7559065A" w:rsidR="00F914E2" w:rsidRPr="00F13523" w:rsidRDefault="00501879" w:rsidP="0057591C">
      <w:pPr>
        <w:pStyle w:val="NormalWeb"/>
        <w:jc w:val="both"/>
        <w:rPr>
          <w:color w:val="000000" w:themeColor="text1"/>
        </w:rPr>
      </w:pPr>
      <w:r w:rsidRPr="00F13523">
        <w:rPr>
          <w:color w:val="000000" w:themeColor="text1"/>
        </w:rPr>
        <w:t>This temporal dimension allows stable isotope studies to be precisely aligned with ecological questions. Short-term tissues can detect immediate feeding events, medium-term tissues integrate seasonal trends, and long-term tissues reveal lifetime strategies</w:t>
      </w:r>
      <w:r w:rsidR="00CB3A1C" w:rsidRPr="00F13523">
        <w:rPr>
          <w:color w:val="000000" w:themeColor="text1"/>
        </w:rPr>
        <w:t xml:space="preserve"> (Newsome et al., 2007; Ben-David &amp; Flaherty, 2012)</w:t>
      </w:r>
      <w:r w:rsidRPr="00F13523">
        <w:rPr>
          <w:color w:val="000000" w:themeColor="text1"/>
        </w:rPr>
        <w:t xml:space="preserve">. By strategically selecting tissues, ecologists can </w:t>
      </w:r>
      <w:r w:rsidR="003A6C1D" w:rsidRPr="00F13523">
        <w:rPr>
          <w:color w:val="000000" w:themeColor="text1"/>
        </w:rPr>
        <w:t xml:space="preserve">integrate </w:t>
      </w:r>
      <w:r w:rsidRPr="00F13523">
        <w:rPr>
          <w:color w:val="000000" w:themeColor="text1"/>
        </w:rPr>
        <w:t xml:space="preserve">behavioural ecology, population dynamics, and conservation biology, </w:t>
      </w:r>
      <w:r w:rsidR="003A6C1D" w:rsidRPr="00F13523">
        <w:rPr>
          <w:color w:val="000000" w:themeColor="text1"/>
        </w:rPr>
        <w:t>providing more robust and integrative insights than traditional observational approaches</w:t>
      </w:r>
      <w:r w:rsidR="00CB3A1C" w:rsidRPr="00F13523">
        <w:rPr>
          <w:color w:val="000000" w:themeColor="text1"/>
        </w:rPr>
        <w:t xml:space="preserve"> (Kelly, 2000; Hobson &amp; Wassenaar, 2019)</w:t>
      </w:r>
      <w:r w:rsidRPr="00F13523">
        <w:rPr>
          <w:color w:val="000000" w:themeColor="text1"/>
        </w:rPr>
        <w:t>.</w:t>
      </w:r>
    </w:p>
    <w:p w14:paraId="71FB14D8" w14:textId="67A36E44" w:rsidR="001854D1" w:rsidRPr="00F13523" w:rsidRDefault="001854D1"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r w:rsidRPr="00F13523">
        <w:rPr>
          <w:rFonts w:ascii="Times New Roman" w:eastAsia="Times New Roman" w:hAnsi="Times New Roman" w:cs="Times New Roman"/>
          <w:b/>
          <w:bCs/>
          <w:color w:val="000000" w:themeColor="text1"/>
          <w:kern w:val="0"/>
          <w:sz w:val="27"/>
          <w:szCs w:val="27"/>
          <w:lang w:eastAsia="en-IN" w:bidi="ml-IN"/>
          <w14:ligatures w14:val="none"/>
        </w:rPr>
        <w:t xml:space="preserve"> Isotopes and </w:t>
      </w:r>
      <w:r w:rsidR="001A7AE3" w:rsidRPr="00F13523">
        <w:rPr>
          <w:rFonts w:ascii="Times New Roman" w:eastAsia="Times New Roman" w:hAnsi="Times New Roman" w:cs="Times New Roman"/>
          <w:b/>
          <w:bCs/>
          <w:color w:val="000000" w:themeColor="text1"/>
          <w:kern w:val="0"/>
          <w:sz w:val="27"/>
          <w:szCs w:val="27"/>
          <w:lang w:eastAsia="en-IN" w:bidi="ml-IN"/>
          <w14:ligatures w14:val="none"/>
        </w:rPr>
        <w:t>their ecological roles</w:t>
      </w:r>
    </w:p>
    <w:p w14:paraId="5CBE84D9" w14:textId="0CD14613" w:rsidR="00501879" w:rsidRPr="00F13523" w:rsidRDefault="00501879" w:rsidP="0057591C">
      <w:pPr>
        <w:pStyle w:val="NormalWeb"/>
        <w:jc w:val="both"/>
        <w:rPr>
          <w:color w:val="000000" w:themeColor="text1"/>
        </w:rPr>
      </w:pPr>
      <w:r w:rsidRPr="00F13523">
        <w:rPr>
          <w:color w:val="000000" w:themeColor="text1"/>
        </w:rPr>
        <w:t>Stable isotopes behave in predictable ways as they cycle through ecosystems, and this reliability makes them powerful ecological tracers</w:t>
      </w:r>
      <w:r w:rsidR="00CB3A1C" w:rsidRPr="00F13523">
        <w:rPr>
          <w:color w:val="000000" w:themeColor="text1"/>
        </w:rPr>
        <w:t xml:space="preserve"> (Fry, 2006; West et al., 2010)</w:t>
      </w:r>
      <w:r w:rsidRPr="00F13523">
        <w:rPr>
          <w:color w:val="000000" w:themeColor="text1"/>
        </w:rPr>
        <w:t>. Each isotope system provides distinct insights, and when used together, they can unravel the complex interactions between organisms, their diets, and their environments</w:t>
      </w:r>
      <w:r w:rsidR="00CB3A1C" w:rsidRPr="00F13523">
        <w:rPr>
          <w:color w:val="000000" w:themeColor="text1"/>
        </w:rPr>
        <w:t xml:space="preserve"> (Peterson &amp; Fry, 1987; Newsome et al., 2007)</w:t>
      </w:r>
      <w:r w:rsidRPr="00F13523">
        <w:rPr>
          <w:color w:val="000000" w:themeColor="text1"/>
        </w:rPr>
        <w:t>.</w:t>
      </w:r>
    </w:p>
    <w:p w14:paraId="13FB5EF6" w14:textId="27C78568" w:rsidR="00501879" w:rsidRPr="00F13523" w:rsidRDefault="00501879" w:rsidP="0057591C">
      <w:pPr>
        <w:pStyle w:val="NormalWeb"/>
        <w:jc w:val="both"/>
        <w:rPr>
          <w:color w:val="000000" w:themeColor="text1"/>
        </w:rPr>
      </w:pPr>
      <w:r w:rsidRPr="00F13523">
        <w:rPr>
          <w:rStyle w:val="Strong"/>
          <w:rFonts w:eastAsiaTheme="majorEastAsia"/>
          <w:color w:val="000000" w:themeColor="text1"/>
        </w:rPr>
        <w:t>Carbon isotopes (δ¹³C)</w:t>
      </w:r>
      <w:r w:rsidRPr="00F13523">
        <w:rPr>
          <w:color w:val="000000" w:themeColor="text1"/>
        </w:rPr>
        <w:t xml:space="preserve"> are most often used to differentiate between plants with different photosynthetic pathways and, by extension, the animals that consume them</w:t>
      </w:r>
      <w:r w:rsidR="00705E00" w:rsidRPr="00F13523">
        <w:rPr>
          <w:color w:val="000000" w:themeColor="text1"/>
        </w:rPr>
        <w:t xml:space="preserve"> (Smith &amp; Epstein, 1971; O’Leary, 1988)</w:t>
      </w:r>
      <w:r w:rsidRPr="00F13523">
        <w:rPr>
          <w:color w:val="000000" w:themeColor="text1"/>
        </w:rPr>
        <w:t>. Plants that follow the C₃ pathway</w:t>
      </w:r>
      <w:r w:rsidR="00580840" w:rsidRPr="00F13523">
        <w:rPr>
          <w:color w:val="000000" w:themeColor="text1"/>
        </w:rPr>
        <w:t xml:space="preserve">, </w:t>
      </w:r>
      <w:r w:rsidRPr="00F13523">
        <w:rPr>
          <w:color w:val="000000" w:themeColor="text1"/>
        </w:rPr>
        <w:t>such as trees, shrubs, and many cool-season grasses</w:t>
      </w:r>
      <w:r w:rsidR="00580840" w:rsidRPr="00F13523">
        <w:rPr>
          <w:color w:val="000000" w:themeColor="text1"/>
        </w:rPr>
        <w:t xml:space="preserve">, </w:t>
      </w:r>
      <w:r w:rsidRPr="00F13523">
        <w:rPr>
          <w:color w:val="000000" w:themeColor="text1"/>
        </w:rPr>
        <w:t>tend to have more negative δ¹³C values, ranging from –33‰ to –24‰</w:t>
      </w:r>
      <w:r w:rsidR="00705E00" w:rsidRPr="00F13523">
        <w:rPr>
          <w:color w:val="000000" w:themeColor="text1"/>
        </w:rPr>
        <w:t xml:space="preserve"> (Farquhar et al., 1989; Marshall et al., 2007)</w:t>
      </w:r>
      <w:r w:rsidRPr="00F13523">
        <w:rPr>
          <w:color w:val="000000" w:themeColor="text1"/>
        </w:rPr>
        <w:t>. In contrast, C₄ plants such as tropical grasses, maize, and sugarcane discriminate less strongly against the heavier isotope, producing enriched values between –16‰ and –10‰</w:t>
      </w:r>
      <w:r w:rsidR="00705E00" w:rsidRPr="00F13523">
        <w:rPr>
          <w:color w:val="000000" w:themeColor="text1"/>
        </w:rPr>
        <w:t xml:space="preserve"> (</w:t>
      </w:r>
      <w:proofErr w:type="spellStart"/>
      <w:r w:rsidR="00705E00" w:rsidRPr="00F13523">
        <w:rPr>
          <w:color w:val="000000" w:themeColor="text1"/>
        </w:rPr>
        <w:t>Cerling</w:t>
      </w:r>
      <w:proofErr w:type="spellEnd"/>
      <w:r w:rsidR="00705E00" w:rsidRPr="00F13523">
        <w:rPr>
          <w:color w:val="000000" w:themeColor="text1"/>
        </w:rPr>
        <w:t xml:space="preserve"> et al., 1997)</w:t>
      </w:r>
      <w:r w:rsidRPr="00F13523">
        <w:rPr>
          <w:color w:val="000000" w:themeColor="text1"/>
        </w:rPr>
        <w:t>. This difference allows ecologists to reconstruct diets in ecosystems where both plant types coexist</w:t>
      </w:r>
      <w:r w:rsidR="00705E00" w:rsidRPr="00F13523">
        <w:rPr>
          <w:color w:val="000000" w:themeColor="text1"/>
        </w:rPr>
        <w:t xml:space="preserve"> (Kelly, 2000; </w:t>
      </w:r>
      <w:proofErr w:type="spellStart"/>
      <w:r w:rsidR="00705E00" w:rsidRPr="00F13523">
        <w:rPr>
          <w:color w:val="000000" w:themeColor="text1"/>
        </w:rPr>
        <w:t>Cerling</w:t>
      </w:r>
      <w:proofErr w:type="spellEnd"/>
      <w:r w:rsidR="00705E00" w:rsidRPr="00F13523">
        <w:rPr>
          <w:color w:val="000000" w:themeColor="text1"/>
        </w:rPr>
        <w:t xml:space="preserve"> &amp; Harris, 1999)</w:t>
      </w:r>
      <w:r w:rsidRPr="00F13523">
        <w:rPr>
          <w:color w:val="000000" w:themeColor="text1"/>
        </w:rPr>
        <w:t>. A classic application comes from East Africa, where isotopic analysis of fossil tooth enamel revealed a dietary shift in early hominins from C₃-dominated foods to greater reliance on C₄ grasses</w:t>
      </w:r>
      <w:r w:rsidR="00705E00" w:rsidRPr="00F13523">
        <w:rPr>
          <w:color w:val="000000" w:themeColor="text1"/>
        </w:rPr>
        <w:t xml:space="preserve"> (</w:t>
      </w:r>
      <w:proofErr w:type="spellStart"/>
      <w:r w:rsidR="00705E00" w:rsidRPr="00F13523">
        <w:rPr>
          <w:color w:val="000000" w:themeColor="text1"/>
        </w:rPr>
        <w:t>Cerling</w:t>
      </w:r>
      <w:proofErr w:type="spellEnd"/>
      <w:r w:rsidR="00705E00" w:rsidRPr="00F13523">
        <w:rPr>
          <w:color w:val="000000" w:themeColor="text1"/>
        </w:rPr>
        <w:t xml:space="preserve"> et al., 2011)</w:t>
      </w:r>
      <w:r w:rsidRPr="00F13523">
        <w:rPr>
          <w:color w:val="000000" w:themeColor="text1"/>
        </w:rPr>
        <w:t>. In India, similar principles have been applied to elephants, where isotopic analysis of dung and hair has shown seasonal shifts between browsing on C₃ resources in forests and grazing on C₄ crops in agricultural landscapes</w:t>
      </w:r>
      <w:r w:rsidR="00705E00" w:rsidRPr="00F13523">
        <w:rPr>
          <w:color w:val="000000" w:themeColor="text1"/>
        </w:rPr>
        <w:t xml:space="preserve"> (Sukumar et al., 1987; Vidya et al., 2003)</w:t>
      </w:r>
      <w:r w:rsidRPr="00F13523">
        <w:rPr>
          <w:color w:val="000000" w:themeColor="text1"/>
        </w:rPr>
        <w:t>. These results highlight the dual role of isotopes in both evolutionary research and contemporary conservation.</w:t>
      </w:r>
    </w:p>
    <w:p w14:paraId="2D76CCF3" w14:textId="3EEB8F93" w:rsidR="00501879" w:rsidRPr="00F13523" w:rsidRDefault="00501879" w:rsidP="0057591C">
      <w:pPr>
        <w:pStyle w:val="NormalWeb"/>
        <w:jc w:val="both"/>
        <w:rPr>
          <w:color w:val="000000" w:themeColor="text1"/>
        </w:rPr>
      </w:pPr>
      <w:r w:rsidRPr="00F13523">
        <w:rPr>
          <w:rStyle w:val="Strong"/>
          <w:rFonts w:eastAsiaTheme="majorEastAsia"/>
          <w:color w:val="000000" w:themeColor="text1"/>
        </w:rPr>
        <w:t>Nitrogen isotopes (δ¹⁵N)</w:t>
      </w:r>
      <w:r w:rsidRPr="00F13523">
        <w:rPr>
          <w:color w:val="000000" w:themeColor="text1"/>
        </w:rPr>
        <w:t xml:space="preserve"> are the principal tool for estimating trophic position. Consumers are typically enriched by 3–4‰ in δ¹⁵N relative to their diet, a predictable shift that allows food chain length and predator–prey relationships to be reconstructed</w:t>
      </w:r>
      <w:r w:rsidR="00705E00" w:rsidRPr="00F13523">
        <w:rPr>
          <w:color w:val="000000" w:themeColor="text1"/>
        </w:rPr>
        <w:t xml:space="preserve"> (Minagawa &amp; Wada, 1984; Post, 2002)</w:t>
      </w:r>
      <w:r w:rsidRPr="00F13523">
        <w:rPr>
          <w:color w:val="000000" w:themeColor="text1"/>
        </w:rPr>
        <w:t>. This has been crucial in demonstrating apex predator roles for species such as sharks and large seabirds, while also tracing biomagnification of contaminants like mercury</w:t>
      </w:r>
      <w:r w:rsidR="00705E00" w:rsidRPr="00F13523">
        <w:rPr>
          <w:color w:val="000000" w:themeColor="text1"/>
        </w:rPr>
        <w:t xml:space="preserve"> (Hobson et al., 1994; Estrada et al., 2003)</w:t>
      </w:r>
      <w:r w:rsidRPr="00F13523">
        <w:rPr>
          <w:color w:val="000000" w:themeColor="text1"/>
        </w:rPr>
        <w:t>. However, fractionation factors can vary depending on species, tissue type, and diet quality, underscoring the need for careful calibration in tropical systems such as India</w:t>
      </w:r>
      <w:r w:rsidR="00705E00" w:rsidRPr="00F13523">
        <w:rPr>
          <w:color w:val="000000" w:themeColor="text1"/>
        </w:rPr>
        <w:t xml:space="preserve"> (</w:t>
      </w:r>
      <w:proofErr w:type="spellStart"/>
      <w:r w:rsidR="00705E00" w:rsidRPr="00F13523">
        <w:rPr>
          <w:color w:val="000000" w:themeColor="text1"/>
        </w:rPr>
        <w:t>Caut</w:t>
      </w:r>
      <w:proofErr w:type="spellEnd"/>
      <w:r w:rsidR="00705E00" w:rsidRPr="00F13523">
        <w:rPr>
          <w:color w:val="000000" w:themeColor="text1"/>
        </w:rPr>
        <w:t xml:space="preserve"> et al., 2009)</w:t>
      </w:r>
      <w:r w:rsidRPr="00F13523">
        <w:rPr>
          <w:color w:val="000000" w:themeColor="text1"/>
        </w:rPr>
        <w:t>.</w:t>
      </w:r>
    </w:p>
    <w:p w14:paraId="41A147FD" w14:textId="7202AED3" w:rsidR="00501879" w:rsidRPr="00F13523" w:rsidRDefault="00501879" w:rsidP="0057591C">
      <w:pPr>
        <w:pStyle w:val="NormalWeb"/>
        <w:jc w:val="both"/>
        <w:rPr>
          <w:color w:val="000000" w:themeColor="text1"/>
        </w:rPr>
      </w:pPr>
      <w:r w:rsidRPr="00F13523">
        <w:rPr>
          <w:rStyle w:val="Strong"/>
          <w:rFonts w:eastAsiaTheme="majorEastAsia"/>
          <w:color w:val="000000" w:themeColor="text1"/>
        </w:rPr>
        <w:lastRenderedPageBreak/>
        <w:t>Hydrogen (δ²H) and oxygen (δ¹⁸O) isotopes</w:t>
      </w:r>
      <w:r w:rsidRPr="00F13523">
        <w:rPr>
          <w:color w:val="000000" w:themeColor="text1"/>
        </w:rPr>
        <w:t xml:space="preserve"> reflect the isotopic composition of precipitation and surface waters, which vary geographically due to rainfall patterns, evaporation, and altitude</w:t>
      </w:r>
      <w:r w:rsidR="00705E00" w:rsidRPr="00F13523">
        <w:rPr>
          <w:color w:val="000000" w:themeColor="text1"/>
        </w:rPr>
        <w:t xml:space="preserve"> (</w:t>
      </w:r>
      <w:proofErr w:type="spellStart"/>
      <w:r w:rsidR="00705E00" w:rsidRPr="00F13523">
        <w:rPr>
          <w:color w:val="000000" w:themeColor="text1"/>
        </w:rPr>
        <w:t>Dansgaard</w:t>
      </w:r>
      <w:proofErr w:type="spellEnd"/>
      <w:r w:rsidR="00705E00" w:rsidRPr="00F13523">
        <w:rPr>
          <w:color w:val="000000" w:themeColor="text1"/>
        </w:rPr>
        <w:t>, 1964; Bowen, 2010)</w:t>
      </w:r>
      <w:r w:rsidRPr="00F13523">
        <w:rPr>
          <w:color w:val="000000" w:themeColor="text1"/>
        </w:rPr>
        <w:t>. These patterns create “</w:t>
      </w:r>
      <w:proofErr w:type="spellStart"/>
      <w:r w:rsidRPr="00F13523">
        <w:rPr>
          <w:color w:val="000000" w:themeColor="text1"/>
        </w:rPr>
        <w:t>isoscapes</w:t>
      </w:r>
      <w:proofErr w:type="spellEnd"/>
      <w:r w:rsidRPr="00F13523">
        <w:rPr>
          <w:color w:val="000000" w:themeColor="text1"/>
        </w:rPr>
        <w:t>” that animals assimilate through drinking water and food, leaving geographic markers in metabolically inert tissues such as feathers, claws, or hair</w:t>
      </w:r>
      <w:r w:rsidR="00705E00" w:rsidRPr="00F13523">
        <w:rPr>
          <w:color w:val="000000" w:themeColor="text1"/>
        </w:rPr>
        <w:t xml:space="preserve"> (Hobson &amp; Wassenaar, 1997)</w:t>
      </w:r>
      <w:r w:rsidRPr="00F13523">
        <w:rPr>
          <w:color w:val="000000" w:themeColor="text1"/>
        </w:rPr>
        <w:t>. This has transformed avian migration studies, where feathers can now be linked to breeding or wintering grounds</w:t>
      </w:r>
      <w:r w:rsidR="00705E00" w:rsidRPr="00F13523">
        <w:rPr>
          <w:color w:val="000000" w:themeColor="text1"/>
        </w:rPr>
        <w:t xml:space="preserve"> (Hobson, 2005; </w:t>
      </w:r>
      <w:proofErr w:type="spellStart"/>
      <w:r w:rsidR="00705E00" w:rsidRPr="00F13523">
        <w:rPr>
          <w:color w:val="000000" w:themeColor="text1"/>
        </w:rPr>
        <w:t>Wunder</w:t>
      </w:r>
      <w:proofErr w:type="spellEnd"/>
      <w:r w:rsidR="00705E00" w:rsidRPr="00F13523">
        <w:rPr>
          <w:color w:val="000000" w:themeColor="text1"/>
        </w:rPr>
        <w:t>, 20</w:t>
      </w:r>
      <w:r w:rsidR="00076053" w:rsidRPr="00F13523">
        <w:rPr>
          <w:color w:val="000000" w:themeColor="text1"/>
        </w:rPr>
        <w:t>09</w:t>
      </w:r>
      <w:r w:rsidR="00705E00" w:rsidRPr="00F13523">
        <w:rPr>
          <w:color w:val="000000" w:themeColor="text1"/>
        </w:rPr>
        <w:t>)</w:t>
      </w:r>
      <w:r w:rsidRPr="00F13523">
        <w:rPr>
          <w:color w:val="000000" w:themeColor="text1"/>
        </w:rPr>
        <w:t xml:space="preserve">. For India, with its location along the Central Asian Flyway, developing hydrogen and oxygen </w:t>
      </w:r>
      <w:proofErr w:type="spellStart"/>
      <w:r w:rsidRPr="00F13523">
        <w:rPr>
          <w:color w:val="000000" w:themeColor="text1"/>
        </w:rPr>
        <w:t>isoscapes</w:t>
      </w:r>
      <w:proofErr w:type="spellEnd"/>
      <w:r w:rsidRPr="00F13523">
        <w:rPr>
          <w:color w:val="000000" w:themeColor="text1"/>
        </w:rPr>
        <w:t xml:space="preserve"> is essential for tracking migratory storks, sandpipers, and geese</w:t>
      </w:r>
      <w:r w:rsidR="00705E00" w:rsidRPr="00F13523">
        <w:rPr>
          <w:color w:val="000000" w:themeColor="text1"/>
        </w:rPr>
        <w:t xml:space="preserve"> (</w:t>
      </w:r>
      <w:proofErr w:type="spellStart"/>
      <w:r w:rsidR="00705E00" w:rsidRPr="00F13523">
        <w:rPr>
          <w:color w:val="000000" w:themeColor="text1"/>
        </w:rPr>
        <w:t>BirdLife</w:t>
      </w:r>
      <w:proofErr w:type="spellEnd"/>
      <w:r w:rsidR="00705E00" w:rsidRPr="00F13523">
        <w:rPr>
          <w:color w:val="000000" w:themeColor="text1"/>
        </w:rPr>
        <w:t xml:space="preserve"> International, 2021)</w:t>
      </w:r>
      <w:r w:rsidRPr="00F13523">
        <w:rPr>
          <w:color w:val="000000" w:themeColor="text1"/>
        </w:rPr>
        <w:t>.</w:t>
      </w:r>
    </w:p>
    <w:p w14:paraId="63539A36" w14:textId="7E0BBBF5" w:rsidR="00501879" w:rsidRPr="00F13523" w:rsidRDefault="00501879" w:rsidP="0057591C">
      <w:pPr>
        <w:pStyle w:val="NormalWeb"/>
        <w:jc w:val="both"/>
        <w:rPr>
          <w:color w:val="000000" w:themeColor="text1"/>
        </w:rPr>
      </w:pPr>
      <w:r w:rsidRPr="00F13523">
        <w:rPr>
          <w:rStyle w:val="Strong"/>
          <w:rFonts w:eastAsiaTheme="majorEastAsia"/>
          <w:color w:val="000000" w:themeColor="text1"/>
        </w:rPr>
        <w:t>Strontium isotopes (⁸⁷Sr/⁸⁶Sr)</w:t>
      </w:r>
      <w:r w:rsidRPr="00F13523">
        <w:rPr>
          <w:color w:val="000000" w:themeColor="text1"/>
        </w:rPr>
        <w:t xml:space="preserve"> provide a geological perspective, as their ratios reflect the age and composition of bedrock. Once incorporated into mineralised tissues such as tooth enamel or fish otoliths, strontium signatures act as lifetime markers of geographic origin</w:t>
      </w:r>
      <w:r w:rsidR="00705E00" w:rsidRPr="00F13523">
        <w:rPr>
          <w:color w:val="000000" w:themeColor="text1"/>
        </w:rPr>
        <w:t xml:space="preserve"> (Kennedy et al., 2000)</w:t>
      </w:r>
      <w:r w:rsidRPr="00F13523">
        <w:rPr>
          <w:color w:val="000000" w:themeColor="text1"/>
        </w:rPr>
        <w:t>. In India, this has been applied to hilsa shad (</w:t>
      </w:r>
      <w:proofErr w:type="spellStart"/>
      <w:r w:rsidRPr="00F13523">
        <w:rPr>
          <w:rStyle w:val="Emphasis"/>
          <w:rFonts w:eastAsiaTheme="majorEastAsia"/>
          <w:color w:val="000000" w:themeColor="text1"/>
        </w:rPr>
        <w:t>Tenualosa</w:t>
      </w:r>
      <w:proofErr w:type="spellEnd"/>
      <w:r w:rsidRPr="00F13523">
        <w:rPr>
          <w:rStyle w:val="Emphasis"/>
          <w:rFonts w:eastAsiaTheme="majorEastAsia"/>
          <w:color w:val="000000" w:themeColor="text1"/>
        </w:rPr>
        <w:t xml:space="preserve"> </w:t>
      </w:r>
      <w:proofErr w:type="spellStart"/>
      <w:r w:rsidRPr="00F13523">
        <w:rPr>
          <w:rStyle w:val="Emphasis"/>
          <w:rFonts w:eastAsiaTheme="majorEastAsia"/>
          <w:color w:val="000000" w:themeColor="text1"/>
        </w:rPr>
        <w:t>ilisha</w:t>
      </w:r>
      <w:proofErr w:type="spellEnd"/>
      <w:r w:rsidRPr="00F13523">
        <w:rPr>
          <w:color w:val="000000" w:themeColor="text1"/>
        </w:rPr>
        <w:t>), where strontium isotopes revealed distinct migratory and resident forms</w:t>
      </w:r>
      <w:r w:rsidR="00580840" w:rsidRPr="00F13523">
        <w:rPr>
          <w:color w:val="000000" w:themeColor="text1"/>
        </w:rPr>
        <w:t xml:space="preserve">, </w:t>
      </w:r>
      <w:r w:rsidRPr="00F13523">
        <w:rPr>
          <w:color w:val="000000" w:themeColor="text1"/>
        </w:rPr>
        <w:t>findings of direct value for fisheries management</w:t>
      </w:r>
      <w:r w:rsidR="00705E00" w:rsidRPr="00F13523">
        <w:rPr>
          <w:color w:val="000000" w:themeColor="text1"/>
        </w:rPr>
        <w:t xml:space="preserve"> (</w:t>
      </w:r>
      <w:proofErr w:type="spellStart"/>
      <w:r w:rsidR="00705E00" w:rsidRPr="00F13523">
        <w:rPr>
          <w:color w:val="000000" w:themeColor="text1"/>
        </w:rPr>
        <w:t>Mazumder</w:t>
      </w:r>
      <w:proofErr w:type="spellEnd"/>
      <w:r w:rsidR="00705E00" w:rsidRPr="00F13523">
        <w:rPr>
          <w:color w:val="000000" w:themeColor="text1"/>
        </w:rPr>
        <w:t xml:space="preserve"> et al., 2016)</w:t>
      </w:r>
      <w:r w:rsidRPr="00F13523">
        <w:rPr>
          <w:color w:val="000000" w:themeColor="text1"/>
        </w:rPr>
        <w:t>.</w:t>
      </w:r>
    </w:p>
    <w:p w14:paraId="26AAC2C3" w14:textId="525E8ECA" w:rsidR="006B67FF" w:rsidRPr="00F13523" w:rsidRDefault="006B67FF" w:rsidP="0057591C">
      <w:pPr>
        <w:pStyle w:val="NormalWeb"/>
        <w:jc w:val="both"/>
        <w:rPr>
          <w:color w:val="000000" w:themeColor="text1"/>
        </w:rPr>
      </w:pPr>
      <w:r w:rsidRPr="00F13523">
        <w:rPr>
          <w:rStyle w:val="Strong"/>
          <w:rFonts w:eastAsiaTheme="majorEastAsia"/>
          <w:color w:val="000000" w:themeColor="text1"/>
        </w:rPr>
        <w:t xml:space="preserve">Isotope Ratio Mass Spectrometry (IRMS) </w:t>
      </w:r>
      <w:r w:rsidR="001A7AE3" w:rsidRPr="00F13523">
        <w:rPr>
          <w:rStyle w:val="Strong"/>
          <w:rFonts w:eastAsiaTheme="majorEastAsia"/>
          <w:color w:val="000000" w:themeColor="text1"/>
        </w:rPr>
        <w:t>workflow and interpretation</w:t>
      </w:r>
    </w:p>
    <w:p w14:paraId="7FFE7EE3" w14:textId="3A1FD778" w:rsidR="006B67FF" w:rsidRPr="00F13523" w:rsidRDefault="006B67FF" w:rsidP="0057591C">
      <w:pPr>
        <w:pStyle w:val="NormalWeb"/>
        <w:jc w:val="both"/>
        <w:rPr>
          <w:color w:val="000000" w:themeColor="text1"/>
        </w:rPr>
      </w:pPr>
      <w:r w:rsidRPr="00F13523">
        <w:rPr>
          <w:color w:val="000000" w:themeColor="text1"/>
        </w:rPr>
        <w:t>Stable isotope analysis in ecological studies relies on precise measurement of isotope ratios, which is typically accomplished using an Isotope Ratio Mass Spectrometer (IRMS)</w:t>
      </w:r>
      <w:r w:rsidR="00705E00" w:rsidRPr="00F13523">
        <w:rPr>
          <w:color w:val="000000" w:themeColor="text1"/>
        </w:rPr>
        <w:t xml:space="preserve"> (Fry, 2006; Parnell et al., 2010)</w:t>
      </w:r>
      <w:r w:rsidRPr="00F13523">
        <w:rPr>
          <w:color w:val="000000" w:themeColor="text1"/>
        </w:rPr>
        <w:t>. In the IRMS workflow, organic materials are first subjected to combustion or pyrolysis to convert the sample into simple gases, such as CO₂, N₂, H₂, O₂, or SO₂, depending on the element of interest</w:t>
      </w:r>
      <w:r w:rsidR="00705E00" w:rsidRPr="00F13523">
        <w:rPr>
          <w:color w:val="000000" w:themeColor="text1"/>
        </w:rPr>
        <w:t xml:space="preserve"> (Hayes, 2001)</w:t>
      </w:r>
      <w:r w:rsidRPr="00F13523">
        <w:rPr>
          <w:color w:val="000000" w:themeColor="text1"/>
        </w:rPr>
        <w:t>. These gases are then separated chromatographically to isolate the target species before entering the mass spectrometer (Parnell et al., 2010). Within the IRMS, isotopes are separated based on their mass-to-charge ratio, allowing for highly accurate determination of the relative abundance of heavy versus light isotopes in the sample</w:t>
      </w:r>
      <w:r w:rsidR="00705E00" w:rsidRPr="00F13523">
        <w:rPr>
          <w:color w:val="000000" w:themeColor="text1"/>
        </w:rPr>
        <w:t xml:space="preserve"> (Michener &amp; </w:t>
      </w:r>
      <w:proofErr w:type="spellStart"/>
      <w:r w:rsidR="00705E00" w:rsidRPr="00F13523">
        <w:rPr>
          <w:color w:val="000000" w:themeColor="text1"/>
        </w:rPr>
        <w:t>Lajtha</w:t>
      </w:r>
      <w:proofErr w:type="spellEnd"/>
      <w:r w:rsidR="00705E00" w:rsidRPr="00F13523">
        <w:rPr>
          <w:color w:val="000000" w:themeColor="text1"/>
        </w:rPr>
        <w:t>, 200</w:t>
      </w:r>
      <w:r w:rsidR="006C30A8" w:rsidRPr="00F13523">
        <w:rPr>
          <w:color w:val="000000" w:themeColor="text1"/>
        </w:rPr>
        <w:t>8</w:t>
      </w:r>
      <w:r w:rsidR="00705E00" w:rsidRPr="00F13523">
        <w:rPr>
          <w:color w:val="000000" w:themeColor="text1"/>
        </w:rPr>
        <w:t>)</w:t>
      </w:r>
      <w:r w:rsidRPr="00F13523">
        <w:rPr>
          <w:color w:val="000000" w:themeColor="text1"/>
        </w:rPr>
        <w:t>.</w:t>
      </w:r>
    </w:p>
    <w:p w14:paraId="6156D8AD" w14:textId="77777777" w:rsidR="006B67FF" w:rsidRPr="00F13523" w:rsidRDefault="006B67FF" w:rsidP="0057591C">
      <w:pPr>
        <w:pStyle w:val="NormalWeb"/>
        <w:jc w:val="both"/>
        <w:rPr>
          <w:color w:val="000000" w:themeColor="text1"/>
        </w:rPr>
      </w:pPr>
      <w:r w:rsidRPr="00F13523">
        <w:rPr>
          <w:rStyle w:val="Strong"/>
          <w:rFonts w:eastAsiaTheme="majorEastAsia"/>
          <w:color w:val="000000" w:themeColor="text1"/>
        </w:rPr>
        <w:t>Isotopic Notation and Standards</w:t>
      </w:r>
    </w:p>
    <w:p w14:paraId="5BC35BC2" w14:textId="58C98212" w:rsidR="006B67FF" w:rsidRPr="00F13523" w:rsidRDefault="006B67FF" w:rsidP="0057591C">
      <w:pPr>
        <w:pStyle w:val="NormalWeb"/>
        <w:jc w:val="both"/>
        <w:rPr>
          <w:color w:val="000000" w:themeColor="text1"/>
        </w:rPr>
      </w:pPr>
      <w:r w:rsidRPr="00F13523">
        <w:rPr>
          <w:color w:val="000000" w:themeColor="text1"/>
        </w:rPr>
        <w:t>Isotopic compositions are conventionally expressed using delta (δ) notation, which quantifies the relative difference in the isotope ratio of a sample compared to an internationally recognized reference standard</w:t>
      </w:r>
      <w:r w:rsidR="00705E00" w:rsidRPr="00F13523">
        <w:rPr>
          <w:color w:val="000000" w:themeColor="text1"/>
        </w:rPr>
        <w:t xml:space="preserve"> (</w:t>
      </w:r>
      <w:proofErr w:type="spellStart"/>
      <w:r w:rsidR="00705E00" w:rsidRPr="00F13523">
        <w:rPr>
          <w:color w:val="000000" w:themeColor="text1"/>
        </w:rPr>
        <w:t>Coplen</w:t>
      </w:r>
      <w:proofErr w:type="spellEnd"/>
      <w:r w:rsidR="00705E00" w:rsidRPr="00F13523">
        <w:rPr>
          <w:color w:val="000000" w:themeColor="text1"/>
        </w:rPr>
        <w:t>, 2011)</w:t>
      </w:r>
      <w:r w:rsidRPr="00F13523">
        <w:rPr>
          <w:color w:val="000000" w:themeColor="text1"/>
        </w:rPr>
        <w:t>. The delta value is reported in parts per thousand (‰) and is calculated as:</w:t>
      </w:r>
    </w:p>
    <w:p w14:paraId="28E3516D" w14:textId="0C6BFAB0" w:rsidR="006B67FF" w:rsidRPr="00F13523" w:rsidRDefault="006B67FF" w:rsidP="0057591C">
      <w:pPr>
        <w:jc w:val="both"/>
        <w:rPr>
          <w:color w:val="000000" w:themeColor="text1"/>
        </w:rPr>
      </w:pPr>
      <m:oMathPara>
        <m:oMath>
          <m:r>
            <m:rPr>
              <m:sty m:val="p"/>
            </m:rPr>
            <w:rPr>
              <w:rStyle w:val="mord"/>
              <w:rFonts w:ascii="Cambria Math" w:hAnsi="Cambria Math"/>
              <w:color w:val="000000" w:themeColor="text1"/>
            </w:rPr>
            <m:t>δX</m:t>
          </m:r>
          <m:r>
            <w:rPr>
              <w:rStyle w:val="mopen"/>
              <w:rFonts w:ascii="Cambria Math" w:hAnsi="Cambria Math"/>
              <w:color w:val="000000" w:themeColor="text1"/>
            </w:rPr>
            <m:t>(</m:t>
          </m:r>
          <m:r>
            <m:rPr>
              <m:sty m:val="p"/>
            </m:rPr>
            <w:rPr>
              <w:rStyle w:val="mord"/>
              <w:rFonts w:ascii="Cambria Math" w:hAnsi="Cambria Math"/>
              <w:color w:val="000000" w:themeColor="text1"/>
            </w:rPr>
            <m:t>‰</m:t>
          </m:r>
          <m:r>
            <m:rPr>
              <m:sty m:val="p"/>
            </m:rPr>
            <w:rPr>
              <w:rStyle w:val="mclose"/>
              <w:rFonts w:ascii="Cambria Math" w:hAnsi="Cambria Math"/>
              <w:color w:val="000000" w:themeColor="text1"/>
            </w:rPr>
            <m:t>)</m:t>
          </m:r>
          <m:r>
            <m:rPr>
              <m:sty m:val="p"/>
            </m:rPr>
            <w:rPr>
              <w:rStyle w:val="mrel"/>
              <w:rFonts w:ascii="Cambria Math" w:hAnsi="Cambria Math"/>
              <w:color w:val="000000" w:themeColor="text1"/>
            </w:rPr>
            <m:t>=</m:t>
          </m:r>
          <m:r>
            <m:rPr>
              <m:sty m:val="p"/>
            </m:rPr>
            <w:rPr>
              <w:rStyle w:val="delimsizing"/>
              <w:rFonts w:ascii="Cambria Math" w:hAnsi="Cambria Math"/>
              <w:color w:val="000000" w:themeColor="text1"/>
            </w:rPr>
            <m:t>(</m:t>
          </m:r>
          <m:r>
            <m:rPr>
              <m:sty m:val="p"/>
            </m:rPr>
            <w:rPr>
              <w:rStyle w:val="mord"/>
              <w:rFonts w:ascii="Cambria Math" w:hAnsi="Cambria Math"/>
              <w:color w:val="000000" w:themeColor="text1"/>
            </w:rPr>
            <m:t>Rstandard/</m:t>
          </m:r>
          <m:r>
            <m:rPr>
              <m:sty m:val="p"/>
            </m:rPr>
            <w:rPr>
              <w:rStyle w:val="vlist-s"/>
              <w:rFonts w:ascii="Cambria Math" w:hAnsi="Cambria Math"/>
              <w:color w:val="000000" w:themeColor="text1"/>
            </w:rPr>
            <m:t>​</m:t>
          </m:r>
          <m:r>
            <m:rPr>
              <m:sty m:val="p"/>
            </m:rPr>
            <w:rPr>
              <w:rStyle w:val="mord"/>
              <w:rFonts w:ascii="Cambria Math" w:hAnsi="Cambria Math"/>
              <w:color w:val="000000" w:themeColor="text1"/>
            </w:rPr>
            <m:t>Rsample</m:t>
          </m:r>
          <m:r>
            <m:rPr>
              <m:sty m:val="p"/>
            </m:rPr>
            <w:rPr>
              <w:rStyle w:val="vlist-s"/>
              <w:rFonts w:ascii="Cambria Math" w:hAnsi="Cambria Math"/>
              <w:color w:val="000000" w:themeColor="text1"/>
            </w:rPr>
            <m:t>​​</m:t>
          </m:r>
          <m:r>
            <m:rPr>
              <m:sty m:val="b"/>
            </m:rPr>
            <w:rPr>
              <w:rStyle w:val="mbin"/>
              <w:rFonts w:ascii="Cambria Math" w:hAnsi="Cambria Math"/>
              <w:color w:val="000000" w:themeColor="text1"/>
            </w:rPr>
            <m:t>-</m:t>
          </m:r>
          <m:r>
            <m:rPr>
              <m:sty m:val="p"/>
            </m:rPr>
            <w:rPr>
              <w:rStyle w:val="mord"/>
              <w:rFonts w:ascii="Cambria Math" w:hAnsi="Cambria Math"/>
              <w:color w:val="000000" w:themeColor="text1"/>
            </w:rPr>
            <m:t>1</m:t>
          </m:r>
          <m:r>
            <m:rPr>
              <m:sty m:val="p"/>
            </m:rPr>
            <w:rPr>
              <w:rStyle w:val="delimsizing"/>
              <w:rFonts w:ascii="Cambria Math" w:hAnsi="Cambria Math"/>
              <w:color w:val="000000" w:themeColor="text1"/>
            </w:rPr>
            <m:t>)</m:t>
          </m:r>
          <m:r>
            <m:rPr>
              <m:sty m:val="b"/>
            </m:rPr>
            <w:rPr>
              <w:rStyle w:val="mbin"/>
              <w:rFonts w:ascii="Cambria Math" w:hAnsi="Cambria Math"/>
              <w:color w:val="000000" w:themeColor="text1"/>
            </w:rPr>
            <m:t>×</m:t>
          </m:r>
          <m:r>
            <m:rPr>
              <m:sty m:val="p"/>
            </m:rPr>
            <w:rPr>
              <w:rStyle w:val="mord"/>
              <w:rFonts w:ascii="Cambria Math" w:hAnsi="Cambria Math"/>
              <w:color w:val="000000" w:themeColor="text1"/>
            </w:rPr>
            <m:t>1000</m:t>
          </m:r>
        </m:oMath>
      </m:oMathPara>
    </w:p>
    <w:p w14:paraId="72910712" w14:textId="7CF5AF10" w:rsidR="00F733ED" w:rsidRPr="00F13523" w:rsidRDefault="00F733ED" w:rsidP="0057591C">
      <w:pPr>
        <w:pStyle w:val="NormalWeb"/>
        <w:jc w:val="both"/>
        <w:rPr>
          <w:color w:val="000000" w:themeColor="text1"/>
        </w:rPr>
      </w:pPr>
      <w:r w:rsidRPr="00F13523">
        <w:rPr>
          <w:color w:val="000000" w:themeColor="text1"/>
        </w:rPr>
        <w:t xml:space="preserve">where </w:t>
      </w:r>
      <w:r w:rsidRPr="00F13523">
        <w:rPr>
          <w:rStyle w:val="mord"/>
          <w:rFonts w:eastAsiaTheme="majorEastAsia"/>
          <w:color w:val="000000" w:themeColor="text1"/>
        </w:rPr>
        <w:t>X</w:t>
      </w:r>
      <w:r w:rsidRPr="00F13523">
        <w:rPr>
          <w:color w:val="000000" w:themeColor="text1"/>
        </w:rPr>
        <w:t xml:space="preserve"> represents the isotope of interest (e.g., ¹³C, ¹⁵N), and </w:t>
      </w:r>
      <w:proofErr w:type="spellStart"/>
      <w:r w:rsidRPr="00F13523">
        <w:rPr>
          <w:rStyle w:val="katex-mathml"/>
          <w:rFonts w:eastAsiaTheme="majorEastAsia"/>
          <w:color w:val="000000" w:themeColor="text1"/>
        </w:rPr>
        <w:t>R</w:t>
      </w:r>
      <w:r w:rsidRPr="00F13523">
        <w:rPr>
          <w:color w:val="000000" w:themeColor="text1"/>
        </w:rPr>
        <w:t>is</w:t>
      </w:r>
      <w:proofErr w:type="spellEnd"/>
      <w:r w:rsidRPr="00F13523">
        <w:rPr>
          <w:color w:val="000000" w:themeColor="text1"/>
        </w:rPr>
        <w:t xml:space="preserve"> the ratio of the heavy to light isotope (e.g., ¹³C/¹²C or ¹⁵N/¹⁴N) in the sample and standard</w:t>
      </w:r>
      <w:r w:rsidR="00705E00" w:rsidRPr="00F13523">
        <w:rPr>
          <w:color w:val="000000" w:themeColor="text1"/>
        </w:rPr>
        <w:t xml:space="preserve"> (Fry, 2006)</w:t>
      </w:r>
      <w:r w:rsidRPr="00F13523">
        <w:rPr>
          <w:color w:val="000000" w:themeColor="text1"/>
        </w:rPr>
        <w:t>. Common reference standards include Vienna Pee Dee Belemnite (VPDB) for δ¹³C, atmospheric air (AIR) for δ¹⁵N, Vienna Standard Mean Ocean Water (VSMOW) for δ²H and δ¹⁸O, and Canyon Diablo Troilite (CDT) for δ³⁴S (</w:t>
      </w:r>
      <w:proofErr w:type="spellStart"/>
      <w:r w:rsidRPr="00F13523">
        <w:rPr>
          <w:color w:val="000000" w:themeColor="text1"/>
        </w:rPr>
        <w:t>Coplen</w:t>
      </w:r>
      <w:proofErr w:type="spellEnd"/>
      <w:r w:rsidRPr="00F13523">
        <w:rPr>
          <w:color w:val="000000" w:themeColor="text1"/>
        </w:rPr>
        <w:t>, 2011).</w:t>
      </w:r>
    </w:p>
    <w:p w14:paraId="29DFF362" w14:textId="77777777" w:rsidR="00781A99" w:rsidRPr="00F13523" w:rsidRDefault="00F733ED" w:rsidP="0057591C">
      <w:pPr>
        <w:pStyle w:val="NormalWeb"/>
        <w:jc w:val="both"/>
        <w:rPr>
          <w:color w:val="000000" w:themeColor="text1"/>
        </w:rPr>
      </w:pPr>
      <w:r w:rsidRPr="00F13523">
        <w:rPr>
          <w:rStyle w:val="Strong"/>
          <w:rFonts w:eastAsiaTheme="majorEastAsia"/>
          <w:color w:val="000000" w:themeColor="text1"/>
        </w:rPr>
        <w:t>Interpretation of δ Values</w:t>
      </w:r>
    </w:p>
    <w:p w14:paraId="00B791C7" w14:textId="7CD2464D" w:rsidR="00F733ED" w:rsidRPr="00F13523" w:rsidRDefault="00F733ED" w:rsidP="0057591C">
      <w:pPr>
        <w:pStyle w:val="NormalWeb"/>
        <w:jc w:val="both"/>
        <w:rPr>
          <w:color w:val="000000" w:themeColor="text1"/>
        </w:rPr>
      </w:pPr>
      <w:r w:rsidRPr="00F13523">
        <w:rPr>
          <w:color w:val="000000" w:themeColor="text1"/>
        </w:rPr>
        <w:t>Delta values provide insights into biochemical pathways, dietary sources, and ecological interactions</w:t>
      </w:r>
      <w:r w:rsidR="00705E00" w:rsidRPr="00F13523">
        <w:rPr>
          <w:color w:val="000000" w:themeColor="text1"/>
        </w:rPr>
        <w:t xml:space="preserve"> (Peterson &amp; Fry, 1987; Fry, 2006)</w:t>
      </w:r>
      <w:r w:rsidRPr="00F13523">
        <w:rPr>
          <w:color w:val="000000" w:themeColor="text1"/>
        </w:rPr>
        <w:t>. Positive δ values indicate enrichment in the heavier isotope relative to the standard, whereas negative δ values reflect depletion</w:t>
      </w:r>
      <w:r w:rsidR="00D1015C" w:rsidRPr="00F13523">
        <w:rPr>
          <w:color w:val="000000" w:themeColor="text1"/>
        </w:rPr>
        <w:t xml:space="preserve"> (Michener &amp; </w:t>
      </w:r>
      <w:proofErr w:type="spellStart"/>
      <w:r w:rsidR="00D1015C" w:rsidRPr="00F13523">
        <w:rPr>
          <w:color w:val="000000" w:themeColor="text1"/>
        </w:rPr>
        <w:t>Lajtha</w:t>
      </w:r>
      <w:proofErr w:type="spellEnd"/>
      <w:r w:rsidR="00D1015C" w:rsidRPr="00F13523">
        <w:rPr>
          <w:color w:val="000000" w:themeColor="text1"/>
        </w:rPr>
        <w:t>, 2007)</w:t>
      </w:r>
      <w:r w:rsidRPr="00F13523">
        <w:rPr>
          <w:color w:val="000000" w:themeColor="text1"/>
        </w:rPr>
        <w:t xml:space="preserve">. Values approaching zero suggest isotopic compositions similar to the </w:t>
      </w:r>
      <w:r w:rsidRPr="00F13523">
        <w:rPr>
          <w:color w:val="000000" w:themeColor="text1"/>
        </w:rPr>
        <w:lastRenderedPageBreak/>
        <w:t>reference. For instance, δ¹³C values around –27‰ are typically indicative of C₃ plant-based diets, whereas δ¹³C values near –10‰ suggest either C₄ plant consumption or a marine-derived food source (Marshall et al., 2019). Similarly, δ¹⁵N values can provide information on trophic position, with higher δ¹⁵N values generally reflecting higher trophic levels due to progressive enrichment of ¹⁵N in consumer tissues</w:t>
      </w:r>
      <w:r w:rsidR="00D1015C" w:rsidRPr="00F13523">
        <w:rPr>
          <w:color w:val="000000" w:themeColor="text1"/>
        </w:rPr>
        <w:t xml:space="preserve"> (Marshall et al., 2019)</w:t>
      </w:r>
      <w:r w:rsidRPr="00F13523">
        <w:rPr>
          <w:color w:val="000000" w:themeColor="text1"/>
        </w:rPr>
        <w:t>.</w:t>
      </w:r>
    </w:p>
    <w:p w14:paraId="1D60364B" w14:textId="77777777" w:rsidR="00F733ED" w:rsidRPr="00F13523" w:rsidRDefault="00F733ED" w:rsidP="0057591C">
      <w:pPr>
        <w:pStyle w:val="NormalWeb"/>
        <w:jc w:val="both"/>
        <w:rPr>
          <w:color w:val="000000" w:themeColor="text1"/>
        </w:rPr>
      </w:pPr>
      <w:r w:rsidRPr="00F13523">
        <w:rPr>
          <w:color w:val="000000" w:themeColor="text1"/>
        </w:rPr>
        <w:t>This framework of IRMS analysis and δ value interpretation forms the foundation for stable isotope applications in ecological and wildlife studies, enabling reconstruction of diets, assessment of trophic interactions, and tracking of animal movements across landscapes.</w:t>
      </w:r>
    </w:p>
    <w:p w14:paraId="12F619B2" w14:textId="77777777" w:rsidR="00F914E2" w:rsidRPr="00F13523" w:rsidRDefault="00F914E2"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r w:rsidRPr="00F13523">
        <w:rPr>
          <w:rFonts w:ascii="Times New Roman" w:eastAsia="Times New Roman" w:hAnsi="Times New Roman" w:cs="Times New Roman"/>
          <w:b/>
          <w:bCs/>
          <w:color w:val="000000" w:themeColor="text1"/>
          <w:kern w:val="0"/>
          <w:sz w:val="27"/>
          <w:szCs w:val="27"/>
          <w:lang w:eastAsia="en-IN" w:bidi="ml-IN"/>
          <w14:ligatures w14:val="none"/>
        </w:rPr>
        <w:t>Advanced Analytical Approaches</w:t>
      </w:r>
    </w:p>
    <w:p w14:paraId="33A6FE1C" w14:textId="20D1C989" w:rsidR="0032760B" w:rsidRPr="00F13523" w:rsidRDefault="0032760B" w:rsidP="0057591C">
      <w:pPr>
        <w:pStyle w:val="NormalWeb"/>
        <w:jc w:val="both"/>
        <w:rPr>
          <w:color w:val="000000" w:themeColor="text1"/>
        </w:rPr>
      </w:pPr>
      <w:r w:rsidRPr="00F13523">
        <w:rPr>
          <w:color w:val="000000" w:themeColor="text1"/>
        </w:rPr>
        <w:t>While bulk stable isotope analysis has been the foundation of ecological applications for decades, it is not without limitations</w:t>
      </w:r>
      <w:r w:rsidR="00D1015C" w:rsidRPr="00F13523">
        <w:rPr>
          <w:color w:val="000000" w:themeColor="text1"/>
        </w:rPr>
        <w:t xml:space="preserve"> (Newsome et al., 2007)</w:t>
      </w:r>
      <w:r w:rsidRPr="00F13523">
        <w:rPr>
          <w:color w:val="000000" w:themeColor="text1"/>
        </w:rPr>
        <w:t>. Overlapping isotopic signatures among food sources, poorly characterised baselines, and variability in fractionation factors can all complicate interpretation</w:t>
      </w:r>
      <w:r w:rsidR="00D1015C" w:rsidRPr="00F13523">
        <w:rPr>
          <w:color w:val="000000" w:themeColor="text1"/>
        </w:rPr>
        <w:t xml:space="preserve"> (</w:t>
      </w:r>
      <w:proofErr w:type="spellStart"/>
      <w:r w:rsidR="00D1015C" w:rsidRPr="00F13523">
        <w:rPr>
          <w:color w:val="000000" w:themeColor="text1"/>
        </w:rPr>
        <w:t>Caut</w:t>
      </w:r>
      <w:proofErr w:type="spellEnd"/>
      <w:r w:rsidR="00D1015C" w:rsidRPr="00F13523">
        <w:rPr>
          <w:color w:val="000000" w:themeColor="text1"/>
        </w:rPr>
        <w:t xml:space="preserve"> et al., 2009)</w:t>
      </w:r>
      <w:r w:rsidRPr="00F13523">
        <w:rPr>
          <w:color w:val="000000" w:themeColor="text1"/>
        </w:rPr>
        <w:t>. To address these challenges, a suite of advanced analytical approaches has been developed, each pushing isotope ecology toward greater precision and reliability</w:t>
      </w:r>
      <w:r w:rsidR="00D1015C" w:rsidRPr="00F13523">
        <w:rPr>
          <w:color w:val="000000" w:themeColor="text1"/>
        </w:rPr>
        <w:t xml:space="preserve"> (Layman et al., 2012)</w:t>
      </w:r>
      <w:r w:rsidRPr="00F13523">
        <w:rPr>
          <w:color w:val="000000" w:themeColor="text1"/>
        </w:rPr>
        <w:t>.</w:t>
      </w:r>
    </w:p>
    <w:p w14:paraId="286F4520" w14:textId="6E30A4A1" w:rsidR="0032760B" w:rsidRPr="00F13523" w:rsidRDefault="0032760B" w:rsidP="0057591C">
      <w:pPr>
        <w:pStyle w:val="NormalWeb"/>
        <w:jc w:val="both"/>
        <w:rPr>
          <w:color w:val="000000" w:themeColor="text1"/>
        </w:rPr>
      </w:pPr>
      <w:r w:rsidRPr="00F13523">
        <w:rPr>
          <w:color w:val="000000" w:themeColor="text1"/>
        </w:rPr>
        <w:t xml:space="preserve">One of the most transformative innovations has been </w:t>
      </w:r>
      <w:r w:rsidRPr="00F13523">
        <w:rPr>
          <w:rStyle w:val="Strong"/>
          <w:rFonts w:eastAsiaTheme="majorEastAsia"/>
          <w:color w:val="000000" w:themeColor="text1"/>
        </w:rPr>
        <w:t>Compound-Specific Isotope Analysis (CSIA)</w:t>
      </w:r>
      <w:r w:rsidRPr="00F13523">
        <w:rPr>
          <w:color w:val="000000" w:themeColor="text1"/>
        </w:rPr>
        <w:t>, which measures the isotopic composition of individual compounds such as amino acids rather than bulk tissues</w:t>
      </w:r>
      <w:r w:rsidR="00D1015C" w:rsidRPr="00F13523">
        <w:rPr>
          <w:color w:val="000000" w:themeColor="text1"/>
        </w:rPr>
        <w:t xml:space="preserve"> (McClelland &amp; Montoya, 2002; Nielsen et al., 2015)</w:t>
      </w:r>
      <w:r w:rsidRPr="00F13523">
        <w:rPr>
          <w:color w:val="000000" w:themeColor="text1"/>
        </w:rPr>
        <w:t xml:space="preserve">. This approach allows researchers to distinguish between “source” amino </w:t>
      </w:r>
      <w:r w:rsidR="001E7DA5" w:rsidRPr="00F13523">
        <w:rPr>
          <w:color w:val="000000" w:themeColor="text1"/>
        </w:rPr>
        <w:t>acids, those</w:t>
      </w:r>
      <w:r w:rsidRPr="00F13523">
        <w:rPr>
          <w:color w:val="000000" w:themeColor="text1"/>
        </w:rPr>
        <w:t xml:space="preserve"> that pass from diet to consumer with minimal modification</w:t>
      </w:r>
      <w:r w:rsidR="0057591C" w:rsidRPr="00F13523">
        <w:rPr>
          <w:color w:val="000000" w:themeColor="text1"/>
        </w:rPr>
        <w:t xml:space="preserve">, </w:t>
      </w:r>
      <w:r w:rsidRPr="00F13523">
        <w:rPr>
          <w:color w:val="000000" w:themeColor="text1"/>
        </w:rPr>
        <w:t>and “trophic” amino acids, which undergo predictable isotopic fractionation during metabolism</w:t>
      </w:r>
      <w:r w:rsidR="00D1015C" w:rsidRPr="00F13523">
        <w:rPr>
          <w:color w:val="000000" w:themeColor="text1"/>
        </w:rPr>
        <w:t xml:space="preserve"> (</w:t>
      </w:r>
      <w:proofErr w:type="spellStart"/>
      <w:r w:rsidR="00D1015C" w:rsidRPr="00F13523">
        <w:rPr>
          <w:color w:val="000000" w:themeColor="text1"/>
        </w:rPr>
        <w:t>Chikaraishi</w:t>
      </w:r>
      <w:proofErr w:type="spellEnd"/>
      <w:r w:rsidR="00D1015C" w:rsidRPr="00F13523">
        <w:rPr>
          <w:color w:val="000000" w:themeColor="text1"/>
        </w:rPr>
        <w:t xml:space="preserve"> et al., 2009)</w:t>
      </w:r>
      <w:r w:rsidRPr="00F13523">
        <w:rPr>
          <w:color w:val="000000" w:themeColor="text1"/>
        </w:rPr>
        <w:t xml:space="preserve">. By comparing the two, CSIA provides baseline-independent estimates of trophic position, a major advantage in systems where primary producer isotopic values </w:t>
      </w:r>
      <w:r w:rsidR="00D1015C" w:rsidRPr="00F13523">
        <w:rPr>
          <w:color w:val="000000" w:themeColor="text1"/>
        </w:rPr>
        <w:t>is</w:t>
      </w:r>
      <w:r w:rsidRPr="00F13523">
        <w:rPr>
          <w:color w:val="000000" w:themeColor="text1"/>
        </w:rPr>
        <w:t xml:space="preserve"> poorly constrained</w:t>
      </w:r>
      <w:r w:rsidR="00D1015C" w:rsidRPr="00F13523">
        <w:rPr>
          <w:color w:val="000000" w:themeColor="text1"/>
        </w:rPr>
        <w:t xml:space="preserve"> (Larsen et al., 2013)</w:t>
      </w:r>
      <w:r w:rsidRPr="00F13523">
        <w:rPr>
          <w:color w:val="000000" w:themeColor="text1"/>
        </w:rPr>
        <w:t>. In addition, CSIA can reveal physiological stress and nutritional pathways, offering insights that bulk analysis cannot</w:t>
      </w:r>
      <w:r w:rsidR="00D1015C" w:rsidRPr="00F13523">
        <w:rPr>
          <w:color w:val="000000" w:themeColor="text1"/>
        </w:rPr>
        <w:t xml:space="preserve"> (</w:t>
      </w:r>
      <w:proofErr w:type="spellStart"/>
      <w:r w:rsidR="00D1015C" w:rsidRPr="00F13523">
        <w:rPr>
          <w:color w:val="000000" w:themeColor="text1"/>
        </w:rPr>
        <w:t>Ohkouchi</w:t>
      </w:r>
      <w:proofErr w:type="spellEnd"/>
      <w:r w:rsidR="00D1015C" w:rsidRPr="00F13523">
        <w:rPr>
          <w:color w:val="000000" w:themeColor="text1"/>
        </w:rPr>
        <w:t xml:space="preserve"> et al., 2017).</w:t>
      </w:r>
    </w:p>
    <w:p w14:paraId="78B5E6B0" w14:textId="77777777" w:rsidR="00781A99" w:rsidRPr="00F13523" w:rsidRDefault="0032760B" w:rsidP="0057591C">
      <w:pPr>
        <w:pStyle w:val="NormalWeb"/>
        <w:jc w:val="both"/>
        <w:rPr>
          <w:color w:val="000000" w:themeColor="text1"/>
        </w:rPr>
      </w:pPr>
      <w:r w:rsidRPr="00F13523">
        <w:rPr>
          <w:color w:val="000000" w:themeColor="text1"/>
        </w:rPr>
        <w:t xml:space="preserve">Equally significant has been the rise of </w:t>
      </w:r>
      <w:r w:rsidRPr="00F13523">
        <w:rPr>
          <w:rStyle w:val="Strong"/>
          <w:rFonts w:eastAsiaTheme="majorEastAsia"/>
          <w:b w:val="0"/>
          <w:bCs w:val="0"/>
          <w:color w:val="000000" w:themeColor="text1"/>
        </w:rPr>
        <w:t>Bayesian mixing models</w:t>
      </w:r>
      <w:r w:rsidRPr="00F13523">
        <w:rPr>
          <w:color w:val="000000" w:themeColor="text1"/>
        </w:rPr>
        <w:t xml:space="preserve">, such as </w:t>
      </w:r>
      <w:proofErr w:type="spellStart"/>
      <w:r w:rsidRPr="00F13523">
        <w:rPr>
          <w:color w:val="000000" w:themeColor="text1"/>
        </w:rPr>
        <w:t>MixSIAR</w:t>
      </w:r>
      <w:proofErr w:type="spellEnd"/>
      <w:r w:rsidRPr="00F13523">
        <w:rPr>
          <w:color w:val="000000" w:themeColor="text1"/>
        </w:rPr>
        <w:t xml:space="preserve"> and SIAR, which have replaced traditional linear models in dietary studies</w:t>
      </w:r>
      <w:r w:rsidR="00D1015C" w:rsidRPr="00F13523">
        <w:rPr>
          <w:color w:val="000000" w:themeColor="text1"/>
        </w:rPr>
        <w:t xml:space="preserve"> (Parnell et al., 2010; Stock et al., 2018)</w:t>
      </w:r>
      <w:r w:rsidRPr="00F13523">
        <w:rPr>
          <w:color w:val="000000" w:themeColor="text1"/>
        </w:rPr>
        <w:t>. These models explicitly account for uncertainty in both isotopic baselines and trophic discrimination factors, producing probabilistic estimates of dietary contributions rather than single fixed values</w:t>
      </w:r>
      <w:r w:rsidR="00D1015C" w:rsidRPr="00F13523">
        <w:rPr>
          <w:color w:val="000000" w:themeColor="text1"/>
        </w:rPr>
        <w:t xml:space="preserve"> (Moore &amp; Semmens, 2008)</w:t>
      </w:r>
      <w:r w:rsidRPr="00F13523">
        <w:rPr>
          <w:color w:val="000000" w:themeColor="text1"/>
        </w:rPr>
        <w:t>. This allows for more transparent, realistic interpretations, particularly in complex food webs where multiple prey types overlap isotopically</w:t>
      </w:r>
      <w:r w:rsidR="00D1015C" w:rsidRPr="00F13523">
        <w:rPr>
          <w:color w:val="000000" w:themeColor="text1"/>
        </w:rPr>
        <w:t xml:space="preserve"> (Phillips et al., 2014)</w:t>
      </w:r>
      <w:r w:rsidRPr="00F13523">
        <w:rPr>
          <w:color w:val="000000" w:themeColor="text1"/>
        </w:rPr>
        <w:t>. Bayesian approaches also integrate prior information from gut contents, behavioural studies, or telemetry, enabling a multi-tracer framework that is both statistically rigorous and ecologically meaningful</w:t>
      </w:r>
      <w:r w:rsidR="000C306F" w:rsidRPr="00F13523">
        <w:rPr>
          <w:color w:val="000000" w:themeColor="text1"/>
        </w:rPr>
        <w:t xml:space="preserve"> (Jackson et al., 2011)</w:t>
      </w:r>
      <w:r w:rsidRPr="00F13523">
        <w:rPr>
          <w:color w:val="000000" w:themeColor="text1"/>
        </w:rPr>
        <w:t>.</w:t>
      </w:r>
    </w:p>
    <w:p w14:paraId="7F096876" w14:textId="5855335C" w:rsidR="0023006F" w:rsidRPr="00F13523" w:rsidRDefault="0032760B"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hAnsi="Times New Roman" w:cs="Times New Roman"/>
          <w:color w:val="000000" w:themeColor="text1"/>
          <w:sz w:val="24"/>
          <w:szCs w:val="24"/>
        </w:rPr>
        <w:t xml:space="preserve">The development of </w:t>
      </w:r>
      <w:proofErr w:type="spellStart"/>
      <w:r w:rsidRPr="00F13523">
        <w:rPr>
          <w:rStyle w:val="Strong"/>
          <w:rFonts w:ascii="Times New Roman" w:eastAsiaTheme="majorEastAsia" w:hAnsi="Times New Roman" w:cs="Times New Roman"/>
          <w:b w:val="0"/>
          <w:bCs w:val="0"/>
          <w:color w:val="000000" w:themeColor="text1"/>
          <w:sz w:val="24"/>
          <w:szCs w:val="24"/>
        </w:rPr>
        <w:t>isoscapes</w:t>
      </w:r>
      <w:proofErr w:type="spellEnd"/>
      <w:r w:rsidR="0057591C" w:rsidRPr="00F13523">
        <w:rPr>
          <w:rFonts w:ascii="Times New Roman" w:hAnsi="Times New Roman" w:cs="Times New Roman"/>
          <w:color w:val="000000" w:themeColor="text1"/>
          <w:sz w:val="24"/>
          <w:szCs w:val="24"/>
        </w:rPr>
        <w:t xml:space="preserve">, </w:t>
      </w:r>
      <w:r w:rsidRPr="00F13523">
        <w:rPr>
          <w:rFonts w:ascii="Times New Roman" w:hAnsi="Times New Roman" w:cs="Times New Roman"/>
          <w:color w:val="000000" w:themeColor="text1"/>
          <w:sz w:val="24"/>
          <w:szCs w:val="24"/>
        </w:rPr>
        <w:t>spatially explicit maps of isotopic variation in precipitation, soils, and</w:t>
      </w:r>
      <w:r w:rsidRPr="00F13523">
        <w:rPr>
          <w:color w:val="000000" w:themeColor="text1"/>
        </w:rPr>
        <w:t xml:space="preserve"> </w:t>
      </w:r>
      <w:r w:rsidRPr="00F13523">
        <w:rPr>
          <w:rFonts w:ascii="Times New Roman" w:hAnsi="Times New Roman" w:cs="Times New Roman"/>
          <w:color w:val="000000" w:themeColor="text1"/>
          <w:sz w:val="24"/>
          <w:szCs w:val="24"/>
        </w:rPr>
        <w:t>vegetation</w:t>
      </w:r>
      <w:r w:rsidR="0057591C" w:rsidRPr="00F13523">
        <w:rPr>
          <w:rFonts w:ascii="Times New Roman" w:hAnsi="Times New Roman" w:cs="Times New Roman"/>
          <w:color w:val="000000" w:themeColor="text1"/>
          <w:sz w:val="24"/>
          <w:szCs w:val="24"/>
        </w:rPr>
        <w:t xml:space="preserve">, </w:t>
      </w:r>
      <w:r w:rsidRPr="00F13523">
        <w:rPr>
          <w:rFonts w:ascii="Times New Roman" w:hAnsi="Times New Roman" w:cs="Times New Roman"/>
          <w:color w:val="000000" w:themeColor="text1"/>
          <w:sz w:val="24"/>
          <w:szCs w:val="24"/>
        </w:rPr>
        <w:t>has further expanded the frontier of isotope ecology</w:t>
      </w:r>
      <w:r w:rsidR="000C306F" w:rsidRPr="00F13523">
        <w:rPr>
          <w:rFonts w:ascii="Times New Roman" w:hAnsi="Times New Roman" w:cs="Times New Roman"/>
          <w:color w:val="000000" w:themeColor="text1"/>
          <w:sz w:val="24"/>
          <w:szCs w:val="24"/>
        </w:rPr>
        <w:t xml:space="preserve"> (West et al., 2010; Bowen &amp; West, 2008)</w:t>
      </w:r>
      <w:r w:rsidRPr="00F13523">
        <w:rPr>
          <w:rFonts w:ascii="Times New Roman" w:hAnsi="Times New Roman" w:cs="Times New Roman"/>
          <w:color w:val="000000" w:themeColor="text1"/>
          <w:sz w:val="24"/>
          <w:szCs w:val="24"/>
        </w:rPr>
        <w:t xml:space="preserve">. These maps provide a geographic context for interpreting tissue isotopes, making it possible to assign the origins of migratory birds, fishes, and even mammals to particular </w:t>
      </w:r>
      <w:r w:rsidR="00823D24" w:rsidRPr="00F13523">
        <w:rPr>
          <w:rFonts w:ascii="Times New Roman" w:hAnsi="Times New Roman" w:cs="Times New Roman"/>
          <w:color w:val="000000" w:themeColor="text1"/>
          <w:sz w:val="24"/>
          <w:szCs w:val="24"/>
        </w:rPr>
        <w:t>regions (</w:t>
      </w:r>
      <w:proofErr w:type="spellStart"/>
      <w:r w:rsidR="000C306F" w:rsidRPr="00F13523">
        <w:rPr>
          <w:rFonts w:ascii="Times New Roman" w:hAnsi="Times New Roman" w:cs="Times New Roman"/>
          <w:color w:val="000000" w:themeColor="text1"/>
          <w:sz w:val="24"/>
          <w:szCs w:val="24"/>
        </w:rPr>
        <w:t>Wunder</w:t>
      </w:r>
      <w:proofErr w:type="spellEnd"/>
      <w:r w:rsidR="000C306F" w:rsidRPr="00F13523">
        <w:rPr>
          <w:rFonts w:ascii="Times New Roman" w:hAnsi="Times New Roman" w:cs="Times New Roman"/>
          <w:color w:val="000000" w:themeColor="text1"/>
          <w:sz w:val="24"/>
          <w:szCs w:val="24"/>
        </w:rPr>
        <w:t>, 20</w:t>
      </w:r>
      <w:r w:rsidR="00076053" w:rsidRPr="00F13523">
        <w:rPr>
          <w:rFonts w:ascii="Times New Roman" w:hAnsi="Times New Roman" w:cs="Times New Roman"/>
          <w:color w:val="000000" w:themeColor="text1"/>
          <w:sz w:val="24"/>
          <w:szCs w:val="24"/>
        </w:rPr>
        <w:t>09</w:t>
      </w:r>
      <w:r w:rsidR="000C306F" w:rsidRPr="00F13523">
        <w:rPr>
          <w:rFonts w:ascii="Times New Roman" w:hAnsi="Times New Roman" w:cs="Times New Roman"/>
          <w:color w:val="000000" w:themeColor="text1"/>
          <w:sz w:val="24"/>
          <w:szCs w:val="24"/>
        </w:rPr>
        <w:t>)</w:t>
      </w:r>
      <w:r w:rsidRPr="00F13523">
        <w:rPr>
          <w:rFonts w:ascii="Times New Roman" w:hAnsi="Times New Roman" w:cs="Times New Roman"/>
          <w:color w:val="000000" w:themeColor="text1"/>
          <w:sz w:val="24"/>
          <w:szCs w:val="24"/>
        </w:rPr>
        <w:t xml:space="preserve">. While </w:t>
      </w:r>
      <w:proofErr w:type="spellStart"/>
      <w:r w:rsidRPr="00F13523">
        <w:rPr>
          <w:rFonts w:ascii="Times New Roman" w:hAnsi="Times New Roman" w:cs="Times New Roman"/>
          <w:color w:val="000000" w:themeColor="text1"/>
          <w:sz w:val="24"/>
          <w:szCs w:val="24"/>
        </w:rPr>
        <w:t>isoscapes</w:t>
      </w:r>
      <w:proofErr w:type="spellEnd"/>
      <w:r w:rsidRPr="00F13523">
        <w:rPr>
          <w:rFonts w:ascii="Times New Roman" w:hAnsi="Times New Roman" w:cs="Times New Roman"/>
          <w:color w:val="000000" w:themeColor="text1"/>
          <w:sz w:val="24"/>
          <w:szCs w:val="24"/>
        </w:rPr>
        <w:t xml:space="preserve"> are well established in Europe and North America, their development in South Asia remains limited. In India, generating precipitation-based δ²H and δ¹⁸O </w:t>
      </w:r>
      <w:proofErr w:type="spellStart"/>
      <w:r w:rsidRPr="00F13523">
        <w:rPr>
          <w:rFonts w:ascii="Times New Roman" w:hAnsi="Times New Roman" w:cs="Times New Roman"/>
          <w:color w:val="000000" w:themeColor="text1"/>
          <w:sz w:val="24"/>
          <w:szCs w:val="24"/>
        </w:rPr>
        <w:t>isoscapes</w:t>
      </w:r>
      <w:proofErr w:type="spellEnd"/>
      <w:r w:rsidRPr="00F13523">
        <w:rPr>
          <w:rFonts w:ascii="Times New Roman" w:hAnsi="Times New Roman" w:cs="Times New Roman"/>
          <w:color w:val="000000" w:themeColor="text1"/>
          <w:sz w:val="24"/>
          <w:szCs w:val="24"/>
        </w:rPr>
        <w:t xml:space="preserve"> would significantly improve the capacity to track movements of migratory species along the Central Asian Flyway, while soil and vegetation </w:t>
      </w:r>
      <w:proofErr w:type="spellStart"/>
      <w:r w:rsidRPr="00F13523">
        <w:rPr>
          <w:rFonts w:ascii="Times New Roman" w:hAnsi="Times New Roman" w:cs="Times New Roman"/>
          <w:color w:val="000000" w:themeColor="text1"/>
          <w:sz w:val="24"/>
          <w:szCs w:val="24"/>
        </w:rPr>
        <w:t>isoscapes</w:t>
      </w:r>
      <w:proofErr w:type="spellEnd"/>
      <w:r w:rsidRPr="00F13523">
        <w:rPr>
          <w:rFonts w:ascii="Times New Roman" w:hAnsi="Times New Roman" w:cs="Times New Roman"/>
          <w:color w:val="000000" w:themeColor="text1"/>
          <w:sz w:val="24"/>
          <w:szCs w:val="24"/>
        </w:rPr>
        <w:t xml:space="preserve"> could support wildlife forensic applications</w:t>
      </w:r>
      <w:r w:rsidR="000C306F" w:rsidRPr="00F13523">
        <w:rPr>
          <w:rFonts w:ascii="Times New Roman" w:hAnsi="Times New Roman" w:cs="Times New Roman"/>
          <w:color w:val="000000" w:themeColor="text1"/>
          <w:sz w:val="24"/>
          <w:szCs w:val="24"/>
        </w:rPr>
        <w:t xml:space="preserve"> (</w:t>
      </w:r>
      <w:proofErr w:type="spellStart"/>
      <w:r w:rsidR="000C306F" w:rsidRPr="00F13523">
        <w:rPr>
          <w:rFonts w:ascii="Times New Roman" w:hAnsi="Times New Roman" w:cs="Times New Roman"/>
          <w:color w:val="000000" w:themeColor="text1"/>
          <w:sz w:val="24"/>
          <w:szCs w:val="24"/>
        </w:rPr>
        <w:t>BirdLife</w:t>
      </w:r>
      <w:proofErr w:type="spellEnd"/>
      <w:r w:rsidR="000C306F" w:rsidRPr="00F13523">
        <w:rPr>
          <w:rFonts w:ascii="Times New Roman" w:hAnsi="Times New Roman" w:cs="Times New Roman"/>
          <w:color w:val="000000" w:themeColor="text1"/>
          <w:sz w:val="24"/>
          <w:szCs w:val="24"/>
        </w:rPr>
        <w:t xml:space="preserve"> International, 2021; </w:t>
      </w:r>
      <w:bookmarkStart w:id="0" w:name="_Hlk220335399"/>
      <w:r w:rsidR="000C306F" w:rsidRPr="00F13523">
        <w:rPr>
          <w:rFonts w:ascii="Times New Roman" w:hAnsi="Times New Roman" w:cs="Times New Roman"/>
          <w:color w:val="000000" w:themeColor="text1"/>
          <w:sz w:val="24"/>
          <w:szCs w:val="24"/>
        </w:rPr>
        <w:t>Singh</w:t>
      </w:r>
      <w:bookmarkEnd w:id="0"/>
      <w:r w:rsidR="000C306F" w:rsidRPr="00F13523">
        <w:rPr>
          <w:rFonts w:ascii="Times New Roman" w:hAnsi="Times New Roman" w:cs="Times New Roman"/>
          <w:color w:val="000000" w:themeColor="text1"/>
          <w:sz w:val="24"/>
          <w:szCs w:val="24"/>
        </w:rPr>
        <w:t xml:space="preserve"> et al., 2020).</w:t>
      </w:r>
    </w:p>
    <w:p w14:paraId="1B3F4BFF" w14:textId="3C9BD2CD" w:rsidR="00B63452" w:rsidRPr="00F13523" w:rsidRDefault="00B63452" w:rsidP="0057591C">
      <w:pPr>
        <w:spacing w:after="0" w:line="240" w:lineRule="auto"/>
        <w:jc w:val="both"/>
        <w:rPr>
          <w:rFonts w:ascii="Times New Roman" w:eastAsia="Times New Roman" w:hAnsi="Times New Roman" w:cs="Times New Roman"/>
          <w:b/>
          <w:bCs/>
          <w:color w:val="000000" w:themeColor="text1"/>
          <w:kern w:val="0"/>
          <w:sz w:val="36"/>
          <w:szCs w:val="36"/>
          <w:lang w:eastAsia="en-IN" w:bidi="ml-IN"/>
          <w14:ligatures w14:val="none"/>
        </w:rPr>
      </w:pPr>
      <w:r w:rsidRPr="00F13523">
        <w:rPr>
          <w:rFonts w:ascii="Times New Roman" w:eastAsia="Times New Roman" w:hAnsi="Times New Roman" w:cs="Times New Roman"/>
          <w:b/>
          <w:bCs/>
          <w:color w:val="000000" w:themeColor="text1"/>
          <w:kern w:val="0"/>
          <w:sz w:val="36"/>
          <w:szCs w:val="36"/>
          <w:lang w:eastAsia="en-IN" w:bidi="ml-IN"/>
          <w14:ligatures w14:val="none"/>
        </w:rPr>
        <w:lastRenderedPageBreak/>
        <w:t>Results and Discussion</w:t>
      </w:r>
    </w:p>
    <w:p w14:paraId="19443089" w14:textId="77777777" w:rsidR="00B63452" w:rsidRPr="00F13523" w:rsidRDefault="00B63452" w:rsidP="0057591C">
      <w:pPr>
        <w:spacing w:after="0" w:line="240" w:lineRule="auto"/>
        <w:jc w:val="both"/>
        <w:rPr>
          <w:rFonts w:ascii="Times New Roman" w:eastAsia="Times New Roman" w:hAnsi="Times New Roman" w:cs="Times New Roman"/>
          <w:b/>
          <w:bCs/>
          <w:color w:val="000000" w:themeColor="text1"/>
          <w:kern w:val="0"/>
          <w:sz w:val="24"/>
          <w:szCs w:val="24"/>
          <w:lang w:eastAsia="en-IN" w:bidi="ml-IN"/>
          <w14:ligatures w14:val="none"/>
        </w:rPr>
      </w:pPr>
    </w:p>
    <w:p w14:paraId="6653443C" w14:textId="6FB95FC0" w:rsidR="00B63452" w:rsidRPr="00F13523" w:rsidRDefault="00B63452" w:rsidP="0057591C">
      <w:pPr>
        <w:spacing w:after="0" w:line="240" w:lineRule="auto"/>
        <w:jc w:val="both"/>
        <w:rPr>
          <w:rFonts w:ascii="Times New Roman" w:eastAsia="Times New Roman" w:hAnsi="Times New Roman" w:cs="Times New Roman"/>
          <w:b/>
          <w:bCs/>
          <w:color w:val="000000" w:themeColor="text1"/>
          <w:kern w:val="0"/>
          <w:sz w:val="24"/>
          <w:szCs w:val="24"/>
          <w:lang w:eastAsia="en-IN" w:bidi="ml-IN"/>
          <w14:ligatures w14:val="none"/>
        </w:rPr>
      </w:pPr>
      <w:r w:rsidRPr="00F13523">
        <w:rPr>
          <w:rFonts w:ascii="Times New Roman" w:eastAsia="Times New Roman" w:hAnsi="Times New Roman" w:cs="Times New Roman"/>
          <w:b/>
          <w:bCs/>
          <w:color w:val="000000" w:themeColor="text1"/>
          <w:kern w:val="0"/>
          <w:sz w:val="24"/>
          <w:szCs w:val="24"/>
          <w:lang w:eastAsia="en-IN" w:bidi="ml-IN"/>
          <w14:ligatures w14:val="none"/>
        </w:rPr>
        <w:t>Literature Screening and General Trends</w:t>
      </w:r>
    </w:p>
    <w:p w14:paraId="236DA065" w14:textId="77777777" w:rsidR="00B63452" w:rsidRPr="00F13523" w:rsidRDefault="00B63452"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3FAEFA10" w14:textId="5C7AC806" w:rsidR="00B63452" w:rsidRPr="00F13523" w:rsidRDefault="00B63452"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Publication trends show that the use of stable isotopes in ecology has expanded rapidly since the 2000s, coinciding with improvements in isotope ratio mass spectrometry and the adoption of statistical approaches such as Bayesian mixing models. Fish and birds together represented nearly 70% of the reviewed literature, reflecting the availability of tissues such as otoliths and feathers and long-standing interest in fisheries and avian migration. Mammals, reptiles, and amphibians remain comparatively understudied. Ecosystem representation was also uneven, with marine and freshwater systems dominating global research, while tropical wetlands and terrestrial ecosystems</w:t>
      </w:r>
      <w:r w:rsidR="0057591C"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color w:val="000000" w:themeColor="text1"/>
          <w:kern w:val="0"/>
          <w:sz w:val="24"/>
          <w:szCs w:val="24"/>
          <w:lang w:eastAsia="en-IN" w:bidi="ml-IN"/>
          <w14:ligatures w14:val="none"/>
        </w:rPr>
        <w:t>particularly those in Asia</w:t>
      </w:r>
      <w:r w:rsidR="0057591C"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color w:val="000000" w:themeColor="text1"/>
          <w:kern w:val="0"/>
          <w:sz w:val="24"/>
          <w:szCs w:val="24"/>
          <w:lang w:eastAsia="en-IN" w:bidi="ml-IN"/>
          <w14:ligatures w14:val="none"/>
        </w:rPr>
        <w:t>remain underexplored. India contributed only a small proportion of the studies, but the diversity of taxa and ecosystems examined suggests growing regional interest in isotope ecology.</w:t>
      </w:r>
    </w:p>
    <w:p w14:paraId="36BC1A92" w14:textId="77777777" w:rsidR="00B63452" w:rsidRPr="00F13523" w:rsidRDefault="00B63452"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695415F3" w14:textId="0AC5A668" w:rsidR="00B63452" w:rsidRPr="00F13523" w:rsidRDefault="00B63452" w:rsidP="0057591C">
      <w:pPr>
        <w:spacing w:after="0" w:line="240" w:lineRule="auto"/>
        <w:jc w:val="both"/>
        <w:rPr>
          <w:rFonts w:ascii="Times New Roman" w:eastAsia="Times New Roman" w:hAnsi="Times New Roman" w:cs="Times New Roman"/>
          <w:b/>
          <w:bCs/>
          <w:color w:val="000000" w:themeColor="text1"/>
          <w:kern w:val="0"/>
          <w:sz w:val="24"/>
          <w:szCs w:val="24"/>
          <w:lang w:eastAsia="en-IN" w:bidi="ml-IN"/>
          <w14:ligatures w14:val="none"/>
        </w:rPr>
      </w:pPr>
      <w:r w:rsidRPr="00F13523">
        <w:rPr>
          <w:rFonts w:ascii="Times New Roman" w:eastAsia="Times New Roman" w:hAnsi="Times New Roman" w:cs="Times New Roman"/>
          <w:b/>
          <w:bCs/>
          <w:color w:val="000000" w:themeColor="text1"/>
          <w:kern w:val="0"/>
          <w:sz w:val="24"/>
          <w:szCs w:val="24"/>
          <w:lang w:eastAsia="en-IN" w:bidi="ml-IN"/>
          <w14:ligatures w14:val="none"/>
        </w:rPr>
        <w:t>Diet Reconstruction</w:t>
      </w:r>
    </w:p>
    <w:p w14:paraId="440764E8" w14:textId="4F6D950D" w:rsidR="00D87838" w:rsidRPr="00F13523" w:rsidRDefault="00D87838" w:rsidP="0057591C">
      <w:pPr>
        <w:pStyle w:val="NormalWeb"/>
        <w:jc w:val="both"/>
        <w:rPr>
          <w:color w:val="000000" w:themeColor="text1"/>
        </w:rPr>
      </w:pPr>
      <w:r w:rsidRPr="00F13523">
        <w:rPr>
          <w:color w:val="000000" w:themeColor="text1"/>
        </w:rPr>
        <w:t xml:space="preserve">Dietary reconstruction remains the most common and influential application of stable isotope analysis, accounting for nearly half of the reviewed </w:t>
      </w:r>
      <w:r w:rsidR="00A84DE7" w:rsidRPr="00F13523">
        <w:rPr>
          <w:color w:val="000000" w:themeColor="text1"/>
        </w:rPr>
        <w:t>studies.</w:t>
      </w:r>
      <w:r w:rsidRPr="00F13523">
        <w:rPr>
          <w:color w:val="000000" w:themeColor="text1"/>
        </w:rPr>
        <w:t xml:space="preserve"> The strength of isotopic tracers, particularly carbon (δ¹³C) and nitrogen (δ¹⁵N), lies in their ability to reveal what resources are actually assimilated into an organism’s tissues, rather than simply documenting what has been ingested at a particular moment, as is the case with stomach content or scat analysis</w:t>
      </w:r>
      <w:r w:rsidR="00905817" w:rsidRPr="00F13523">
        <w:rPr>
          <w:color w:val="000000" w:themeColor="text1"/>
        </w:rPr>
        <w:t xml:space="preserve"> (DeNiro &amp; Epstein, 1981)</w:t>
      </w:r>
      <w:r w:rsidRPr="00F13523">
        <w:rPr>
          <w:color w:val="000000" w:themeColor="text1"/>
        </w:rPr>
        <w:t>. This temporal integration makes isotopes especially powerful for identifying seasonal shifts in diet, long-term feeding strategies, and the partitioning of food resources among coexisting species</w:t>
      </w:r>
      <w:r w:rsidR="00993B51" w:rsidRPr="00F13523">
        <w:rPr>
          <w:color w:val="000000" w:themeColor="text1"/>
        </w:rPr>
        <w:t xml:space="preserve"> (</w:t>
      </w:r>
      <w:proofErr w:type="spellStart"/>
      <w:r w:rsidR="00993B51" w:rsidRPr="00F13523">
        <w:rPr>
          <w:color w:val="000000" w:themeColor="text1"/>
        </w:rPr>
        <w:t>Bearhop</w:t>
      </w:r>
      <w:proofErr w:type="spellEnd"/>
      <w:r w:rsidR="00993B51" w:rsidRPr="00F13523">
        <w:rPr>
          <w:color w:val="000000" w:themeColor="text1"/>
        </w:rPr>
        <w:t xml:space="preserve"> et al., 2004)</w:t>
      </w:r>
      <w:r w:rsidRPr="00F13523">
        <w:rPr>
          <w:color w:val="000000" w:themeColor="text1"/>
        </w:rPr>
        <w:t>.</w:t>
      </w:r>
    </w:p>
    <w:p w14:paraId="68210353" w14:textId="77777777" w:rsidR="00993B51" w:rsidRPr="00F13523" w:rsidRDefault="00993B51" w:rsidP="0057591C">
      <w:pPr>
        <w:pStyle w:val="NormalWeb"/>
        <w:jc w:val="both"/>
        <w:rPr>
          <w:color w:val="000000" w:themeColor="text1"/>
        </w:rPr>
      </w:pPr>
      <w:r w:rsidRPr="00F13523">
        <w:rPr>
          <w:color w:val="000000" w:themeColor="text1"/>
        </w:rPr>
        <w:t xml:space="preserve">Globally, isotopic studies have transformed our understanding of dietary ecology. In the Amazon floodplain, analyses of the herbivorous fish </w:t>
      </w:r>
      <w:proofErr w:type="spellStart"/>
      <w:r w:rsidRPr="00F13523">
        <w:rPr>
          <w:i/>
          <w:iCs/>
          <w:color w:val="000000" w:themeColor="text1"/>
        </w:rPr>
        <w:t>Colossoma</w:t>
      </w:r>
      <w:proofErr w:type="spellEnd"/>
      <w:r w:rsidRPr="00F13523">
        <w:rPr>
          <w:i/>
          <w:iCs/>
          <w:color w:val="000000" w:themeColor="text1"/>
        </w:rPr>
        <w:t xml:space="preserve"> </w:t>
      </w:r>
      <w:proofErr w:type="spellStart"/>
      <w:r w:rsidRPr="00F13523">
        <w:rPr>
          <w:i/>
          <w:iCs/>
          <w:color w:val="000000" w:themeColor="text1"/>
        </w:rPr>
        <w:t>macropomum</w:t>
      </w:r>
      <w:proofErr w:type="spellEnd"/>
      <w:r w:rsidRPr="00F13523">
        <w:rPr>
          <w:color w:val="000000" w:themeColor="text1"/>
        </w:rPr>
        <w:t xml:space="preserve"> (</w:t>
      </w:r>
      <w:proofErr w:type="spellStart"/>
      <w:r w:rsidRPr="00F13523">
        <w:rPr>
          <w:color w:val="000000" w:themeColor="text1"/>
        </w:rPr>
        <w:t>tambaqui</w:t>
      </w:r>
      <w:proofErr w:type="spellEnd"/>
      <w:r w:rsidRPr="00F13523">
        <w:rPr>
          <w:color w:val="000000" w:themeColor="text1"/>
        </w:rPr>
        <w:t>) demonstrated clear seasonal dietary shifts, with fruits dominating during flood periods and aquatic vegetation forming the bulk of the diet during dry periods (Forsberg et al., 1993). Such findings highlight how animals adjust their feeding strategies in response to environmental cycles (Post, 2002). In crocodilians, isotopic data have revealed ontogenetic shifts from invertebrate prey in juveniles to vertebrate prey in adults, a pattern difficult to establish through gut content analysis alone (</w:t>
      </w:r>
      <w:proofErr w:type="spellStart"/>
      <w:r w:rsidRPr="00F13523">
        <w:rPr>
          <w:color w:val="000000" w:themeColor="text1"/>
        </w:rPr>
        <w:t>Radloff</w:t>
      </w:r>
      <w:proofErr w:type="spellEnd"/>
      <w:r w:rsidRPr="00F13523">
        <w:rPr>
          <w:color w:val="000000" w:themeColor="text1"/>
        </w:rPr>
        <w:t xml:space="preserve"> et al., 2012). Similarly, in marine and freshwater fishes, isotopes have identified subtle niche partitioning among sympatric species, providing evidence that resource sharing is structured to minimise competition (Jackson et al., 2011).</w:t>
      </w:r>
    </w:p>
    <w:p w14:paraId="05AA5580" w14:textId="3553480B" w:rsidR="00D87838" w:rsidRPr="00F13523" w:rsidRDefault="00D87838" w:rsidP="0057591C">
      <w:pPr>
        <w:pStyle w:val="NormalWeb"/>
        <w:jc w:val="both"/>
        <w:rPr>
          <w:color w:val="000000" w:themeColor="text1"/>
        </w:rPr>
      </w:pPr>
      <w:r w:rsidRPr="00F13523">
        <w:rPr>
          <w:color w:val="000000" w:themeColor="text1"/>
        </w:rPr>
        <w:t xml:space="preserve">In India, isotope-based dietary studies are still emerging but show considerable promise. Fisheries research on </w:t>
      </w:r>
      <w:proofErr w:type="spellStart"/>
      <w:r w:rsidRPr="00F13523">
        <w:rPr>
          <w:rStyle w:val="Emphasis"/>
          <w:rFonts w:eastAsiaTheme="majorEastAsia"/>
          <w:color w:val="000000" w:themeColor="text1"/>
        </w:rPr>
        <w:t>Tenualosa</w:t>
      </w:r>
      <w:proofErr w:type="spellEnd"/>
      <w:r w:rsidRPr="00F13523">
        <w:rPr>
          <w:rStyle w:val="Emphasis"/>
          <w:rFonts w:eastAsiaTheme="majorEastAsia"/>
          <w:color w:val="000000" w:themeColor="text1"/>
        </w:rPr>
        <w:t xml:space="preserve"> </w:t>
      </w:r>
      <w:proofErr w:type="spellStart"/>
      <w:r w:rsidRPr="00F13523">
        <w:rPr>
          <w:rStyle w:val="Emphasis"/>
          <w:rFonts w:eastAsiaTheme="majorEastAsia"/>
          <w:color w:val="000000" w:themeColor="text1"/>
        </w:rPr>
        <w:t>ilisha</w:t>
      </w:r>
      <w:proofErr w:type="spellEnd"/>
      <w:r w:rsidRPr="00F13523">
        <w:rPr>
          <w:color w:val="000000" w:themeColor="text1"/>
        </w:rPr>
        <w:t xml:space="preserve"> (hilsa shad) has demonstrated that isotopes can distinguish dietary differences between migratory and resident forms, with direct implications for resource management and </w:t>
      </w:r>
      <w:r w:rsidR="00993B51" w:rsidRPr="00F13523">
        <w:rPr>
          <w:color w:val="000000" w:themeColor="text1"/>
        </w:rPr>
        <w:t>conservation (Borrell et al., 2022)</w:t>
      </w:r>
      <w:r w:rsidRPr="00F13523">
        <w:rPr>
          <w:color w:val="000000" w:themeColor="text1"/>
        </w:rPr>
        <w:t xml:space="preserve">. Beyond fishes, preliminary work on </w:t>
      </w:r>
      <w:r w:rsidR="00903050" w:rsidRPr="00F13523">
        <w:rPr>
          <w:color w:val="000000" w:themeColor="text1"/>
        </w:rPr>
        <w:t xml:space="preserve">other animals </w:t>
      </w:r>
      <w:r w:rsidRPr="00F13523">
        <w:rPr>
          <w:color w:val="000000" w:themeColor="text1"/>
        </w:rPr>
        <w:t xml:space="preserve">has shown the ability of isotopes to detect shifts between C₃- and C₄-based diets, reflecting seasonal changes in forage and encroachment into agricultural </w:t>
      </w:r>
      <w:r w:rsidR="00993B51" w:rsidRPr="00F13523">
        <w:rPr>
          <w:color w:val="000000" w:themeColor="text1"/>
        </w:rPr>
        <w:t>landscapes (</w:t>
      </w:r>
      <w:bookmarkStart w:id="1" w:name="_Hlk219678410"/>
      <w:r w:rsidR="00993B51" w:rsidRPr="00F13523">
        <w:rPr>
          <w:color w:val="000000" w:themeColor="text1"/>
        </w:rPr>
        <w:t>Baskaran et al., 2011</w:t>
      </w:r>
      <w:bookmarkEnd w:id="1"/>
      <w:r w:rsidR="00993B51" w:rsidRPr="00F13523">
        <w:rPr>
          <w:color w:val="000000" w:themeColor="text1"/>
        </w:rPr>
        <w:t>)</w:t>
      </w:r>
      <w:r w:rsidRPr="00F13523">
        <w:rPr>
          <w:color w:val="000000" w:themeColor="text1"/>
        </w:rPr>
        <w:t>. Such findings are particularly significant in the context of human–wildlife conflict, as they provide an indirect method to quantify the degree to which elephants rely on crops compared to wild vegetation</w:t>
      </w:r>
      <w:r w:rsidR="00993B51" w:rsidRPr="00F13523">
        <w:rPr>
          <w:color w:val="000000" w:themeColor="text1"/>
        </w:rPr>
        <w:t xml:space="preserve"> (</w:t>
      </w:r>
      <w:proofErr w:type="spellStart"/>
      <w:r w:rsidR="00993B51" w:rsidRPr="00F13523">
        <w:rPr>
          <w:color w:val="000000" w:themeColor="text1"/>
        </w:rPr>
        <w:t>Codron</w:t>
      </w:r>
      <w:proofErr w:type="spellEnd"/>
      <w:r w:rsidR="00993B51" w:rsidRPr="00F13523">
        <w:rPr>
          <w:color w:val="000000" w:themeColor="text1"/>
        </w:rPr>
        <w:t xml:space="preserve"> et al., 2006)</w:t>
      </w:r>
      <w:r w:rsidRPr="00F13523">
        <w:rPr>
          <w:color w:val="000000" w:themeColor="text1"/>
        </w:rPr>
        <w:t>.</w:t>
      </w:r>
    </w:p>
    <w:p w14:paraId="401D05F3" w14:textId="4FE47B77" w:rsidR="00B63452" w:rsidRPr="00F13523" w:rsidRDefault="00993B51"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Despite this progress, challenges remain. Many Indian ecosystems present overlapping isotopic signatures among food sources, making dietary partitioning difficult to resolve without complementary methods (Phillips et al., 2014). Moreover, species-specific discrimination </w:t>
      </w:r>
      <w:r w:rsidRPr="00F13523">
        <w:rPr>
          <w:rFonts w:ascii="Times New Roman" w:eastAsia="Times New Roman" w:hAnsi="Times New Roman" w:cs="Times New Roman"/>
          <w:color w:val="000000" w:themeColor="text1"/>
          <w:kern w:val="0"/>
          <w:sz w:val="24"/>
          <w:szCs w:val="24"/>
          <w:lang w:eastAsia="en-IN" w:bidi="ml-IN"/>
          <w14:ligatures w14:val="none"/>
        </w:rPr>
        <w:lastRenderedPageBreak/>
        <w:t>factors values describing how much isotopic enrichment occurs as food is assimilated into tissues are poorly calibrated for tropical fauna (Wolf et al., 2009). Addressing these gaps will be essential for Indian isotope ecology to provide precise, policy-relevant insights into the feeding ecology of wildlife and its intersection with conservation and livelihoods (Newsome et al., 2007).</w:t>
      </w:r>
    </w:p>
    <w:p w14:paraId="33B88F50" w14:textId="77777777" w:rsidR="00993B51" w:rsidRPr="00F13523" w:rsidRDefault="00993B51"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347A0A7A" w14:textId="4C9D30D4" w:rsidR="00B63452" w:rsidRPr="00F13523" w:rsidRDefault="00B63452" w:rsidP="0057591C">
      <w:pPr>
        <w:spacing w:after="0" w:line="240" w:lineRule="auto"/>
        <w:jc w:val="both"/>
        <w:rPr>
          <w:rFonts w:ascii="Times New Roman" w:eastAsia="Times New Roman" w:hAnsi="Times New Roman" w:cs="Times New Roman"/>
          <w:b/>
          <w:bCs/>
          <w:color w:val="000000" w:themeColor="text1"/>
          <w:kern w:val="0"/>
          <w:sz w:val="24"/>
          <w:szCs w:val="24"/>
          <w:lang w:eastAsia="en-IN" w:bidi="ml-IN"/>
          <w14:ligatures w14:val="none"/>
        </w:rPr>
      </w:pPr>
      <w:r w:rsidRPr="00F13523">
        <w:rPr>
          <w:rFonts w:ascii="Times New Roman" w:eastAsia="Times New Roman" w:hAnsi="Times New Roman" w:cs="Times New Roman"/>
          <w:b/>
          <w:bCs/>
          <w:color w:val="000000" w:themeColor="text1"/>
          <w:kern w:val="0"/>
          <w:sz w:val="24"/>
          <w:szCs w:val="24"/>
          <w:lang w:eastAsia="en-IN" w:bidi="ml-IN"/>
          <w14:ligatures w14:val="none"/>
        </w:rPr>
        <w:t>Trophic Level Estimation</w:t>
      </w:r>
    </w:p>
    <w:p w14:paraId="56219B3D" w14:textId="0BE50628" w:rsidR="00D87838" w:rsidRPr="00F13523" w:rsidRDefault="00D87838" w:rsidP="0057591C">
      <w:pPr>
        <w:pStyle w:val="NormalWeb"/>
        <w:jc w:val="both"/>
        <w:rPr>
          <w:color w:val="000000" w:themeColor="text1"/>
        </w:rPr>
      </w:pPr>
      <w:r w:rsidRPr="00F13523">
        <w:rPr>
          <w:color w:val="000000" w:themeColor="text1"/>
        </w:rPr>
        <w:t>A substantial portion of isotope ecology has been devoted to understanding trophic dynamics, with nearly one-third of reviewed studies focusing on this theme</w:t>
      </w:r>
      <w:r w:rsidR="00043BD0" w:rsidRPr="00F13523">
        <w:rPr>
          <w:color w:val="000000" w:themeColor="text1"/>
        </w:rPr>
        <w:t xml:space="preserve"> (Post, 2002).</w:t>
      </w:r>
      <w:r w:rsidRPr="00F13523">
        <w:rPr>
          <w:color w:val="000000" w:themeColor="text1"/>
        </w:rPr>
        <w:t xml:space="preserve"> Among all isotopic tracers, nitrogen (δ¹⁵N) has proven to be the most consistent and reliable indicator of trophic position</w:t>
      </w:r>
      <w:r w:rsidR="00043BD0" w:rsidRPr="00F13523">
        <w:rPr>
          <w:color w:val="000000" w:themeColor="text1"/>
        </w:rPr>
        <w:t xml:space="preserve"> (Minagawa &amp; Wada, 1984)</w:t>
      </w:r>
      <w:r w:rsidRPr="00F13523">
        <w:rPr>
          <w:color w:val="000000" w:themeColor="text1"/>
        </w:rPr>
        <w:t>. The predictable enrichment of δ¹⁵N by approximately 3–5‰ at each step in the food chain provides a robust framework for quantifying food web structure across ecosystems</w:t>
      </w:r>
      <w:r w:rsidR="00043BD0" w:rsidRPr="00F13523">
        <w:rPr>
          <w:color w:val="000000" w:themeColor="text1"/>
        </w:rPr>
        <w:t xml:space="preserve"> (</w:t>
      </w:r>
      <w:proofErr w:type="spellStart"/>
      <w:r w:rsidR="00043BD0" w:rsidRPr="00F13523">
        <w:rPr>
          <w:color w:val="000000" w:themeColor="text1"/>
        </w:rPr>
        <w:t>McCutchan</w:t>
      </w:r>
      <w:proofErr w:type="spellEnd"/>
      <w:r w:rsidR="00043BD0" w:rsidRPr="00F13523">
        <w:rPr>
          <w:color w:val="000000" w:themeColor="text1"/>
        </w:rPr>
        <w:t xml:space="preserve"> et al., 2003)</w:t>
      </w:r>
      <w:r w:rsidRPr="00F13523">
        <w:rPr>
          <w:color w:val="000000" w:themeColor="text1"/>
        </w:rPr>
        <w:t>.</w:t>
      </w:r>
      <w:r w:rsidR="00043BD0" w:rsidRPr="00F13523">
        <w:rPr>
          <w:color w:val="000000" w:themeColor="text1"/>
        </w:rPr>
        <w:t xml:space="preserve"> </w:t>
      </w:r>
      <w:r w:rsidRPr="00F13523">
        <w:rPr>
          <w:color w:val="000000" w:themeColor="text1"/>
        </w:rPr>
        <w:t>This trophic fractionation pattern has been observed in terrestrial, freshwater, and marine systems, making it a cornerstone of ecological isotope studies</w:t>
      </w:r>
      <w:r w:rsidR="00043BD0" w:rsidRPr="00F13523">
        <w:rPr>
          <w:color w:val="000000" w:themeColor="text1"/>
        </w:rPr>
        <w:t xml:space="preserve"> (</w:t>
      </w:r>
      <w:proofErr w:type="spellStart"/>
      <w:r w:rsidR="00043BD0" w:rsidRPr="00F13523">
        <w:rPr>
          <w:color w:val="000000" w:themeColor="text1"/>
        </w:rPr>
        <w:t>Zanden</w:t>
      </w:r>
      <w:proofErr w:type="spellEnd"/>
      <w:r w:rsidR="00043BD0" w:rsidRPr="00F13523">
        <w:rPr>
          <w:color w:val="000000" w:themeColor="text1"/>
        </w:rPr>
        <w:t xml:space="preserve"> &amp; Rasmussen, 1999)</w:t>
      </w:r>
      <w:r w:rsidRPr="00F13523">
        <w:rPr>
          <w:color w:val="000000" w:themeColor="text1"/>
        </w:rPr>
        <w:t>.</w:t>
      </w:r>
    </w:p>
    <w:p w14:paraId="624D613A" w14:textId="1E4B6146" w:rsidR="00D87838" w:rsidRPr="00F13523" w:rsidRDefault="00D87838" w:rsidP="0057591C">
      <w:pPr>
        <w:pStyle w:val="NormalWeb"/>
        <w:jc w:val="both"/>
        <w:rPr>
          <w:color w:val="000000" w:themeColor="text1"/>
        </w:rPr>
      </w:pPr>
      <w:r w:rsidRPr="00F13523">
        <w:rPr>
          <w:color w:val="000000" w:themeColor="text1"/>
        </w:rPr>
        <w:t>Globally, stable isotope studies have revealed nuances in food web dynamics that extend beyond simple predator–prey relationships. For example, research on seabirds has uncovered sex-based differences in isotopic niches, suggesting that males and females exploit different foraging areas or prey types, thereby reducing intra-specific competition</w:t>
      </w:r>
      <w:r w:rsidR="00043BD0" w:rsidRPr="00F13523">
        <w:rPr>
          <w:color w:val="000000" w:themeColor="text1"/>
        </w:rPr>
        <w:t xml:space="preserve"> (Phillips et al., 2011)</w:t>
      </w:r>
      <w:r w:rsidRPr="00F13523">
        <w:rPr>
          <w:color w:val="000000" w:themeColor="text1"/>
        </w:rPr>
        <w:t>. In marine systems, analyses of sharks and other apex predators have confirmed their roles at the top of trophic hierarchies, while also documenting ontogenetic dietary shifts as individuals mature</w:t>
      </w:r>
      <w:r w:rsidR="00043BD0" w:rsidRPr="00F13523">
        <w:rPr>
          <w:color w:val="000000" w:themeColor="text1"/>
        </w:rPr>
        <w:t xml:space="preserve"> (Hussey et al., 2014)</w:t>
      </w:r>
      <w:r w:rsidRPr="00F13523">
        <w:rPr>
          <w:color w:val="000000" w:themeColor="text1"/>
        </w:rPr>
        <w:t xml:space="preserve">. Similarly, isotopic studies in amphibians and reptiles have shed light on seasonal changes in diet and the fine-scale partitioning of resources among coexisting </w:t>
      </w:r>
      <w:r w:rsidR="00043BD0" w:rsidRPr="00F13523">
        <w:rPr>
          <w:color w:val="000000" w:themeColor="text1"/>
        </w:rPr>
        <w:t>species (Fry, 2006).</w:t>
      </w:r>
    </w:p>
    <w:p w14:paraId="3C9DF1C7" w14:textId="633CE16A" w:rsidR="00043BD0" w:rsidRPr="00F13523" w:rsidRDefault="00043BD0" w:rsidP="0057591C">
      <w:pPr>
        <w:pStyle w:val="NormalWeb"/>
        <w:jc w:val="both"/>
        <w:rPr>
          <w:color w:val="000000" w:themeColor="text1"/>
        </w:rPr>
      </w:pPr>
      <w:r w:rsidRPr="00F13523">
        <w:rPr>
          <w:color w:val="000000" w:themeColor="text1"/>
        </w:rPr>
        <w:t xml:space="preserve">For India, however, the application of stable isotopes to trophic studies remains sparse. Much of the focus has been on fisheries, while terrestrial and freshwater systems are underexplored (Jha et al., 2020). Yet the potential is immense. Estuarine birds, which link aquatic and terrestrial food webs, could be studied isotopically to assess how seasonal resource availability shapes their diets. Mammalian </w:t>
      </w:r>
      <w:proofErr w:type="spellStart"/>
      <w:r w:rsidRPr="00F13523">
        <w:rPr>
          <w:color w:val="000000" w:themeColor="text1"/>
        </w:rPr>
        <w:t>mesopredators</w:t>
      </w:r>
      <w:proofErr w:type="spellEnd"/>
      <w:r w:rsidRPr="00F13523">
        <w:rPr>
          <w:color w:val="000000" w:themeColor="text1"/>
        </w:rPr>
        <w:t xml:space="preserve"> such as jackals, civets, and mongooses</w:t>
      </w:r>
      <w:r w:rsidR="008C0037" w:rsidRPr="00F13523">
        <w:rPr>
          <w:color w:val="000000" w:themeColor="text1"/>
        </w:rPr>
        <w:t xml:space="preserve">, </w:t>
      </w:r>
      <w:r w:rsidRPr="00F13523">
        <w:rPr>
          <w:color w:val="000000" w:themeColor="text1"/>
        </w:rPr>
        <w:t>species that thrive in agricultural mosaics</w:t>
      </w:r>
      <w:r w:rsidR="008C0037" w:rsidRPr="00F13523">
        <w:rPr>
          <w:color w:val="000000" w:themeColor="text1"/>
        </w:rPr>
        <w:t xml:space="preserve">, </w:t>
      </w:r>
      <w:r w:rsidRPr="00F13523">
        <w:rPr>
          <w:color w:val="000000" w:themeColor="text1"/>
        </w:rPr>
        <w:t>are also excellent candidates for trophic studies, as isotopes could quantify their dependence on crops, livestock carrion, or wild prey (Newsome et al., 2010). In the Western Ghats, where amphibian diversity is globally significant, isotopic analysis could reveal how seasonal rainfall patterns and stream productivity influence trophic partitioning among frogs and caecilians (</w:t>
      </w:r>
      <w:proofErr w:type="spellStart"/>
      <w:r w:rsidRPr="00F13523">
        <w:rPr>
          <w:color w:val="000000" w:themeColor="text1"/>
        </w:rPr>
        <w:t>Vences</w:t>
      </w:r>
      <w:proofErr w:type="spellEnd"/>
      <w:r w:rsidRPr="00F13523">
        <w:rPr>
          <w:color w:val="000000" w:themeColor="text1"/>
        </w:rPr>
        <w:t xml:space="preserve"> et al., 2016).</w:t>
      </w:r>
    </w:p>
    <w:p w14:paraId="38749865" w14:textId="1682D093" w:rsidR="00B63452" w:rsidRPr="00F13523" w:rsidRDefault="0058490F"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One persistent challenge, particularly in tropical systems, is baseline variability. Factors such as monsoonal rainfall, nutrient fluxes, and land-use change cause significant shifts in primary producer isotope values, complicating the interpretation of consumer data (Woodland et al., 2012). Addressing this requires systematic baseline characterisation and the use of Bayesian statistical frameworks that explicitly incorporate variability and uncertainty (Parnell et al., 2013). By doing so, Indian researchers can place trophic studies on a firmer footing, building food web insights that are both locally calibrated and globally comparable (Layman et al., 2012).</w:t>
      </w:r>
    </w:p>
    <w:p w14:paraId="60B3CBD1" w14:textId="77777777" w:rsidR="00903050" w:rsidRPr="00F13523" w:rsidRDefault="00903050"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6C0727CA" w14:textId="7057CE2D" w:rsidR="00B63452" w:rsidRPr="00F13523" w:rsidRDefault="00B63452" w:rsidP="0057591C">
      <w:pPr>
        <w:spacing w:after="0" w:line="240" w:lineRule="auto"/>
        <w:jc w:val="both"/>
        <w:rPr>
          <w:rFonts w:ascii="Times New Roman" w:eastAsia="Times New Roman" w:hAnsi="Times New Roman" w:cs="Times New Roman"/>
          <w:b/>
          <w:bCs/>
          <w:color w:val="000000" w:themeColor="text1"/>
          <w:kern w:val="0"/>
          <w:sz w:val="24"/>
          <w:szCs w:val="24"/>
          <w:lang w:eastAsia="en-IN" w:bidi="ml-IN"/>
          <w14:ligatures w14:val="none"/>
        </w:rPr>
      </w:pPr>
      <w:r w:rsidRPr="00F13523">
        <w:rPr>
          <w:rFonts w:ascii="Times New Roman" w:eastAsia="Times New Roman" w:hAnsi="Times New Roman" w:cs="Times New Roman"/>
          <w:b/>
          <w:bCs/>
          <w:color w:val="000000" w:themeColor="text1"/>
          <w:kern w:val="0"/>
          <w:sz w:val="24"/>
          <w:szCs w:val="24"/>
          <w:lang w:eastAsia="en-IN" w:bidi="ml-IN"/>
          <w14:ligatures w14:val="none"/>
        </w:rPr>
        <w:t>Migration and Habitat Use</w:t>
      </w:r>
    </w:p>
    <w:p w14:paraId="5F0D71E3" w14:textId="5642C6E6" w:rsidR="0019153A" w:rsidRPr="00F13523" w:rsidRDefault="0019153A" w:rsidP="0057591C">
      <w:pPr>
        <w:pStyle w:val="NormalWeb"/>
        <w:jc w:val="both"/>
        <w:rPr>
          <w:color w:val="000000" w:themeColor="text1"/>
        </w:rPr>
      </w:pPr>
      <w:r w:rsidRPr="00F13523">
        <w:rPr>
          <w:color w:val="000000" w:themeColor="text1"/>
        </w:rPr>
        <w:lastRenderedPageBreak/>
        <w:t>Migration and habitat connectivity have long fascinated ecologists because they reveal how species link ecosystems across vast spatial scales</w:t>
      </w:r>
      <w:r w:rsidR="0058490F" w:rsidRPr="00F13523">
        <w:rPr>
          <w:color w:val="000000" w:themeColor="text1"/>
        </w:rPr>
        <w:t xml:space="preserve"> (Webster et al., 2002)</w:t>
      </w:r>
      <w:r w:rsidRPr="00F13523">
        <w:rPr>
          <w:color w:val="000000" w:themeColor="text1"/>
        </w:rPr>
        <w:t>. Stable isotopes have emerged as a powerful tool in this area, with around one-fifth of global studies focusing on movement ecology</w:t>
      </w:r>
      <w:r w:rsidR="0058490F" w:rsidRPr="00F13523">
        <w:rPr>
          <w:color w:val="000000" w:themeColor="text1"/>
        </w:rPr>
        <w:t xml:space="preserve"> (Hobson, 1999</w:t>
      </w:r>
      <w:r w:rsidR="00041E6E" w:rsidRPr="00F13523">
        <w:rPr>
          <w:color w:val="000000" w:themeColor="text1"/>
        </w:rPr>
        <w:t>). Hydrogen</w:t>
      </w:r>
      <w:r w:rsidRPr="00F13523">
        <w:rPr>
          <w:color w:val="000000" w:themeColor="text1"/>
        </w:rPr>
        <w:t xml:space="preserve"> (δ²H) and oxygen (δ¹⁸O) isotopes, in particular, have revolutionised avian migration research</w:t>
      </w:r>
      <w:r w:rsidR="00041E6E" w:rsidRPr="00F13523">
        <w:rPr>
          <w:color w:val="000000" w:themeColor="text1"/>
        </w:rPr>
        <w:t xml:space="preserve"> (Hobson &amp; Wassenaar, 1997).</w:t>
      </w:r>
      <w:r w:rsidRPr="00F13523">
        <w:rPr>
          <w:color w:val="000000" w:themeColor="text1"/>
        </w:rPr>
        <w:t xml:space="preserve"> Because these isotopes in precipitation vary predictably with latitude, altitude, and monsoonal rainfall, they leave distinct signatures in animal tissues such as feathers and hair</w:t>
      </w:r>
      <w:r w:rsidR="00041E6E" w:rsidRPr="00F13523">
        <w:rPr>
          <w:color w:val="000000" w:themeColor="text1"/>
        </w:rPr>
        <w:t xml:space="preserve"> (Bowen et al., 2005)</w:t>
      </w:r>
      <w:r w:rsidRPr="00F13523">
        <w:rPr>
          <w:color w:val="000000" w:themeColor="text1"/>
        </w:rPr>
        <w:t>. Once metabolically fixed, these tissues provide a geographic archive that links individuals to their regions of origin</w:t>
      </w:r>
      <w:r w:rsidR="00041E6E" w:rsidRPr="00F13523">
        <w:rPr>
          <w:color w:val="000000" w:themeColor="text1"/>
        </w:rPr>
        <w:t xml:space="preserve"> (</w:t>
      </w:r>
      <w:bookmarkStart w:id="2" w:name="_Hlk220321446"/>
      <w:r w:rsidR="00041E6E" w:rsidRPr="00F13523">
        <w:rPr>
          <w:color w:val="000000" w:themeColor="text1"/>
        </w:rPr>
        <w:t xml:space="preserve">Rubenstein </w:t>
      </w:r>
      <w:bookmarkEnd w:id="2"/>
      <w:r w:rsidR="00041E6E" w:rsidRPr="00F13523">
        <w:rPr>
          <w:color w:val="000000" w:themeColor="text1"/>
        </w:rPr>
        <w:t>&amp; Hobson, 2004).</w:t>
      </w:r>
      <w:r w:rsidRPr="00F13523">
        <w:rPr>
          <w:color w:val="000000" w:themeColor="text1"/>
        </w:rPr>
        <w:t xml:space="preserve"> This approach has enabled researchers in Europe, Africa, and North America to assign breeding or stopover origins to raptors, passerines, and shorebirds with remarkable accuracy</w:t>
      </w:r>
      <w:r w:rsidR="00041E6E" w:rsidRPr="00F13523">
        <w:rPr>
          <w:color w:val="000000" w:themeColor="text1"/>
        </w:rPr>
        <w:t xml:space="preserve"> (Wassenaar &amp; Hobson, 2001).</w:t>
      </w:r>
    </w:p>
    <w:p w14:paraId="21D70143" w14:textId="2460EA72" w:rsidR="0019153A" w:rsidRPr="00F13523" w:rsidRDefault="0019153A" w:rsidP="0057591C">
      <w:pPr>
        <w:pStyle w:val="NormalWeb"/>
        <w:jc w:val="both"/>
        <w:rPr>
          <w:color w:val="000000" w:themeColor="text1"/>
        </w:rPr>
      </w:pPr>
      <w:r w:rsidRPr="00F13523">
        <w:rPr>
          <w:color w:val="000000" w:themeColor="text1"/>
        </w:rPr>
        <w:t>Beyond birds, strontium isotope ratios (⁸⁷Sr/⁸⁶Sr) in fish otoliths and mammalian teeth have proven equally valuable</w:t>
      </w:r>
      <w:r w:rsidR="003F2979" w:rsidRPr="00F13523">
        <w:rPr>
          <w:color w:val="000000" w:themeColor="text1"/>
        </w:rPr>
        <w:t xml:space="preserve"> (Hobson, 1999)</w:t>
      </w:r>
      <w:r w:rsidRPr="00F13523">
        <w:rPr>
          <w:color w:val="000000" w:themeColor="text1"/>
        </w:rPr>
        <w:t>. Strontium signatures, inherited from bedrock geology and incorporated into tissues during growth, allow researchers to trace movements between freshwater and marine environments or across geologically distinct regions</w:t>
      </w:r>
      <w:r w:rsidR="003F2979" w:rsidRPr="00F13523">
        <w:rPr>
          <w:color w:val="000000" w:themeColor="text1"/>
        </w:rPr>
        <w:t xml:space="preserve"> (Kennedy et al., 1997)</w:t>
      </w:r>
      <w:r w:rsidRPr="00F13523">
        <w:rPr>
          <w:color w:val="000000" w:themeColor="text1"/>
        </w:rPr>
        <w:t>. This has shed light on the life histories of salmon in North America and tilapia in Africa, where isotopic evidence has been critical for designing sustainable fisheries management strategies</w:t>
      </w:r>
      <w:r w:rsidR="003F2979" w:rsidRPr="00F13523">
        <w:rPr>
          <w:color w:val="000000" w:themeColor="text1"/>
        </w:rPr>
        <w:t xml:space="preserve"> (Walther &amp; Limburg, 2012).</w:t>
      </w:r>
    </w:p>
    <w:p w14:paraId="50581B1D" w14:textId="19AE12EF" w:rsidR="0019153A" w:rsidRPr="00F13523" w:rsidRDefault="0019153A" w:rsidP="0057591C">
      <w:pPr>
        <w:pStyle w:val="NormalWeb"/>
        <w:jc w:val="both"/>
        <w:rPr>
          <w:color w:val="000000" w:themeColor="text1"/>
        </w:rPr>
      </w:pPr>
      <w:r w:rsidRPr="00F13523">
        <w:rPr>
          <w:color w:val="000000" w:themeColor="text1"/>
        </w:rPr>
        <w:t xml:space="preserve">In India, the use of stable isotopes in migration studies remains nascent but promising. Research on </w:t>
      </w:r>
      <w:r w:rsidR="00823D24" w:rsidRPr="00F13523">
        <w:rPr>
          <w:color w:val="000000" w:themeColor="text1"/>
        </w:rPr>
        <w:t>H</w:t>
      </w:r>
      <w:r w:rsidRPr="00F13523">
        <w:rPr>
          <w:color w:val="000000" w:themeColor="text1"/>
        </w:rPr>
        <w:t>ilsa shad (</w:t>
      </w:r>
      <w:proofErr w:type="spellStart"/>
      <w:r w:rsidRPr="00F13523">
        <w:rPr>
          <w:i/>
          <w:iCs/>
          <w:color w:val="000000" w:themeColor="text1"/>
        </w:rPr>
        <w:t>Tenualosa</w:t>
      </w:r>
      <w:proofErr w:type="spellEnd"/>
      <w:r w:rsidRPr="00F13523">
        <w:rPr>
          <w:i/>
          <w:iCs/>
          <w:color w:val="000000" w:themeColor="text1"/>
        </w:rPr>
        <w:t xml:space="preserve"> </w:t>
      </w:r>
      <w:proofErr w:type="spellStart"/>
      <w:r w:rsidRPr="00F13523">
        <w:rPr>
          <w:i/>
          <w:iCs/>
          <w:color w:val="000000" w:themeColor="text1"/>
        </w:rPr>
        <w:t>ilisha</w:t>
      </w:r>
      <w:proofErr w:type="spellEnd"/>
      <w:r w:rsidRPr="00F13523">
        <w:rPr>
          <w:color w:val="000000" w:themeColor="text1"/>
        </w:rPr>
        <w:t>) has been particularly pioneering, confirming the coexistence of both migratory and resident forms in Indian rivers</w:t>
      </w:r>
      <w:r w:rsidR="003F2979" w:rsidRPr="00F13523">
        <w:rPr>
          <w:color w:val="000000" w:themeColor="text1"/>
        </w:rPr>
        <w:t xml:space="preserve"> (Borrell et al., 2022)</w:t>
      </w:r>
      <w:r w:rsidRPr="00F13523">
        <w:rPr>
          <w:color w:val="000000" w:themeColor="text1"/>
        </w:rPr>
        <w:t>. This finding has direct implications for fisheries management, as it highlights the need for strategies that safeguard both ecotypes</w:t>
      </w:r>
      <w:r w:rsidR="003F2979" w:rsidRPr="00F13523">
        <w:rPr>
          <w:color w:val="000000" w:themeColor="text1"/>
        </w:rPr>
        <w:t xml:space="preserve"> (</w:t>
      </w:r>
      <w:proofErr w:type="spellStart"/>
      <w:r w:rsidR="003F2979" w:rsidRPr="00F13523">
        <w:rPr>
          <w:color w:val="000000" w:themeColor="text1"/>
        </w:rPr>
        <w:t>Mittermayr</w:t>
      </w:r>
      <w:proofErr w:type="spellEnd"/>
      <w:r w:rsidR="003F2979" w:rsidRPr="00F13523">
        <w:rPr>
          <w:color w:val="000000" w:themeColor="text1"/>
        </w:rPr>
        <w:t xml:space="preserve"> et al., 2014)</w:t>
      </w:r>
      <w:r w:rsidRPr="00F13523">
        <w:rPr>
          <w:color w:val="000000" w:themeColor="text1"/>
        </w:rPr>
        <w:t xml:space="preserve">. Early avian applications have also shown potential: painted storks and bar-headed geese exhibited isotopic signatures in their feathers that reflected different breeding origins, </w:t>
      </w:r>
      <w:r w:rsidR="00DD38B9">
        <w:rPr>
          <w:color w:val="000000" w:themeColor="text1"/>
        </w:rPr>
        <w:t xml:space="preserve">shows </w:t>
      </w:r>
      <w:r w:rsidRPr="00F13523">
        <w:rPr>
          <w:color w:val="000000" w:themeColor="text1"/>
        </w:rPr>
        <w:t xml:space="preserve">the feasibility of tracing migratory connectivity along the Central Asian </w:t>
      </w:r>
      <w:r w:rsidR="003F2979" w:rsidRPr="00F13523">
        <w:rPr>
          <w:color w:val="000000" w:themeColor="text1"/>
        </w:rPr>
        <w:t>Flyway</w:t>
      </w:r>
      <w:r w:rsidRPr="00F13523">
        <w:rPr>
          <w:color w:val="000000" w:themeColor="text1"/>
        </w:rPr>
        <w:t>.</w:t>
      </w:r>
    </w:p>
    <w:p w14:paraId="0EC63FCA" w14:textId="0A0C353B" w:rsidR="00B63452" w:rsidRPr="00F13523" w:rsidRDefault="003F2979"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However, the lack of comprehensive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isoscapes</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for India, maps of hydrogen, oxygen, carbon, and sulphur isotope variation across precipitation, soils, and vegetation, remains a major constraint (Bowen, 2010). Without such baselines, precision in assigning migratory origins is limited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Wunder</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20</w:t>
      </w:r>
      <w:r w:rsidR="00076053" w:rsidRPr="00F13523">
        <w:rPr>
          <w:rFonts w:ascii="Times New Roman" w:eastAsia="Times New Roman" w:hAnsi="Times New Roman" w:cs="Times New Roman"/>
          <w:color w:val="000000" w:themeColor="text1"/>
          <w:kern w:val="0"/>
          <w:sz w:val="24"/>
          <w:szCs w:val="24"/>
          <w:lang w:eastAsia="en-IN" w:bidi="ml-IN"/>
          <w14:ligatures w14:val="none"/>
        </w:rPr>
        <w:t>09</w:t>
      </w:r>
      <w:r w:rsidRPr="00F13523">
        <w:rPr>
          <w:rFonts w:ascii="Times New Roman" w:eastAsia="Times New Roman" w:hAnsi="Times New Roman" w:cs="Times New Roman"/>
          <w:color w:val="000000" w:themeColor="text1"/>
          <w:kern w:val="0"/>
          <w:sz w:val="24"/>
          <w:szCs w:val="24"/>
          <w:lang w:eastAsia="en-IN" w:bidi="ml-IN"/>
          <w14:ligatures w14:val="none"/>
        </w:rPr>
        <w:t xml:space="preserve">). Developing national and regional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isoscapes</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calibrated against tropical species, is therefore an urgent research priority (West et al., 2010). Such efforts would allow India not only to track its migratory birds more effectively but also to contribute to global initiatives for conserving flyways that sustain biodiversity and cultural heritage across continents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Bairlein</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2016).</w:t>
      </w:r>
    </w:p>
    <w:p w14:paraId="427AC52C" w14:textId="77777777" w:rsidR="003F2979" w:rsidRPr="00F13523" w:rsidRDefault="003F2979"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6689E4FF" w14:textId="0CC88BDD" w:rsidR="00B63452" w:rsidRPr="00F13523" w:rsidRDefault="00B63452" w:rsidP="0057591C">
      <w:pPr>
        <w:spacing w:after="0" w:line="240" w:lineRule="auto"/>
        <w:jc w:val="both"/>
        <w:rPr>
          <w:rFonts w:ascii="Times New Roman" w:eastAsia="Times New Roman" w:hAnsi="Times New Roman" w:cs="Times New Roman"/>
          <w:b/>
          <w:bCs/>
          <w:color w:val="000000" w:themeColor="text1"/>
          <w:kern w:val="0"/>
          <w:sz w:val="24"/>
          <w:szCs w:val="24"/>
          <w:lang w:eastAsia="en-IN" w:bidi="ml-IN"/>
          <w14:ligatures w14:val="none"/>
        </w:rPr>
      </w:pPr>
      <w:r w:rsidRPr="00F13523">
        <w:rPr>
          <w:rFonts w:ascii="Times New Roman" w:eastAsia="Times New Roman" w:hAnsi="Times New Roman" w:cs="Times New Roman"/>
          <w:b/>
          <w:bCs/>
          <w:color w:val="000000" w:themeColor="text1"/>
          <w:kern w:val="0"/>
          <w:sz w:val="24"/>
          <w:szCs w:val="24"/>
          <w:lang w:eastAsia="en-IN" w:bidi="ml-IN"/>
          <w14:ligatures w14:val="none"/>
        </w:rPr>
        <w:t>Ecotoxicology</w:t>
      </w:r>
    </w:p>
    <w:p w14:paraId="2B754894" w14:textId="77777777" w:rsidR="003F2979" w:rsidRPr="00F13523" w:rsidRDefault="003F2979" w:rsidP="0057591C">
      <w:pPr>
        <w:pStyle w:val="NormalWeb"/>
        <w:jc w:val="both"/>
        <w:rPr>
          <w:color w:val="000000" w:themeColor="text1"/>
        </w:rPr>
      </w:pPr>
      <w:r w:rsidRPr="00F13523">
        <w:rPr>
          <w:color w:val="000000" w:themeColor="text1"/>
        </w:rPr>
        <w:t>Although ecotoxicological applications currently form one of the smaller branches of stable isotope research, representing less than 10% of the literature, they highlight some of the most promising and socially relevant uses of the technique (Jardine et al., 2006). By linking trophic ecology with contaminant dynamics, isotopes provide an integrated framework for understanding how pollutants move through ecosystems and ultimately affect wildlife and human health (Atwell et al., 1998).</w:t>
      </w:r>
    </w:p>
    <w:p w14:paraId="78A9BC91" w14:textId="73955EAE" w:rsidR="0019153A" w:rsidRPr="00F13523" w:rsidRDefault="0019153A" w:rsidP="0057591C">
      <w:pPr>
        <w:pStyle w:val="NormalWeb"/>
        <w:jc w:val="both"/>
        <w:rPr>
          <w:color w:val="000000" w:themeColor="text1"/>
        </w:rPr>
      </w:pPr>
      <w:r w:rsidRPr="00F13523">
        <w:rPr>
          <w:color w:val="000000" w:themeColor="text1"/>
        </w:rPr>
        <w:t>Globally, isotopes have been combined with assays of mercury, organochlorines, and other pollutants to clarify exposure pathways and patterns of biomagnification</w:t>
      </w:r>
      <w:r w:rsidR="003F2979" w:rsidRPr="00F13523">
        <w:rPr>
          <w:color w:val="000000" w:themeColor="text1"/>
        </w:rPr>
        <w:t xml:space="preserve"> (Kidd et al., 1995). </w:t>
      </w:r>
      <w:r w:rsidRPr="00F13523">
        <w:rPr>
          <w:color w:val="000000" w:themeColor="text1"/>
        </w:rPr>
        <w:t xml:space="preserve">Because nitrogen isotopes (δ¹⁵N) increase predictably with trophic level, they are particularly </w:t>
      </w:r>
      <w:r w:rsidRPr="00F13523">
        <w:rPr>
          <w:color w:val="000000" w:themeColor="text1"/>
        </w:rPr>
        <w:lastRenderedPageBreak/>
        <w:t>useful in quantifying contaminant accumulation across food webs</w:t>
      </w:r>
      <w:r w:rsidR="003F2979" w:rsidRPr="00F13523">
        <w:rPr>
          <w:color w:val="000000" w:themeColor="text1"/>
        </w:rPr>
        <w:t xml:space="preserve"> (Lavoie et al., 2013)</w:t>
      </w:r>
      <w:r w:rsidRPr="00F13523">
        <w:rPr>
          <w:color w:val="000000" w:themeColor="text1"/>
        </w:rPr>
        <w:t>. For example, studies in North America showed that nestling red-winged blackbirds exhibited lower-than-expected methylmercury levels, a result explained by stable isotope analysis that revealed their diets were primarily terrestrial rather than aquatic</w:t>
      </w:r>
      <w:r w:rsidR="003F2979" w:rsidRPr="00F13523">
        <w:rPr>
          <w:color w:val="000000" w:themeColor="text1"/>
        </w:rPr>
        <w:t xml:space="preserve"> (</w:t>
      </w:r>
      <w:proofErr w:type="spellStart"/>
      <w:r w:rsidR="008736A2" w:rsidRPr="008736A2">
        <w:rPr>
          <w:color w:val="000000" w:themeColor="text1"/>
        </w:rPr>
        <w:t>Thalhuber</w:t>
      </w:r>
      <w:proofErr w:type="spellEnd"/>
      <w:r w:rsidR="009E39D8" w:rsidRPr="00F13523" w:rsidDel="009E39D8">
        <w:rPr>
          <w:color w:val="000000" w:themeColor="text1"/>
        </w:rPr>
        <w:t xml:space="preserve"> </w:t>
      </w:r>
      <w:r w:rsidR="009E39D8" w:rsidRPr="00F13523">
        <w:rPr>
          <w:color w:val="000000" w:themeColor="text1"/>
        </w:rPr>
        <w:t>et al., 2024</w:t>
      </w:r>
      <w:r w:rsidR="003F2979" w:rsidRPr="00F13523">
        <w:rPr>
          <w:color w:val="000000" w:themeColor="text1"/>
        </w:rPr>
        <w:t>)</w:t>
      </w:r>
      <w:r w:rsidRPr="00F13523">
        <w:rPr>
          <w:color w:val="000000" w:themeColor="text1"/>
        </w:rPr>
        <w:t>. In marine systems, stable isotopes have been used to track mercury transfer in sharks, seabirds, and pinnipeds, demonstrating how top predators become critical sentinels of environmental contamination</w:t>
      </w:r>
      <w:r w:rsidR="003F2979" w:rsidRPr="00F13523">
        <w:rPr>
          <w:color w:val="000000" w:themeColor="text1"/>
        </w:rPr>
        <w:t xml:space="preserve"> (Ramos &amp; González-Solís, 2012). </w:t>
      </w:r>
      <w:r w:rsidRPr="00F13523">
        <w:rPr>
          <w:color w:val="000000" w:themeColor="text1"/>
        </w:rPr>
        <w:t>More recently, isotopes of mercury itself (δ²⁰²Hg) have been applied to trace the sources of contamination, distinguishing between atmospheric, industrial, and watershed inputs</w:t>
      </w:r>
      <w:r w:rsidR="003F2979" w:rsidRPr="00F13523">
        <w:rPr>
          <w:color w:val="000000" w:themeColor="text1"/>
        </w:rPr>
        <w:t xml:space="preserve"> (Blum et al., 20</w:t>
      </w:r>
      <w:r w:rsidR="001D503A">
        <w:rPr>
          <w:color w:val="000000" w:themeColor="text1"/>
        </w:rPr>
        <w:t>13</w:t>
      </w:r>
      <w:r w:rsidR="003F2979" w:rsidRPr="00F13523">
        <w:rPr>
          <w:color w:val="000000" w:themeColor="text1"/>
        </w:rPr>
        <w:t>).</w:t>
      </w:r>
    </w:p>
    <w:p w14:paraId="22B404A2" w14:textId="6299816B" w:rsidR="0019153A" w:rsidRPr="00F13523" w:rsidRDefault="0019153A" w:rsidP="0057591C">
      <w:pPr>
        <w:pStyle w:val="NormalWeb"/>
        <w:jc w:val="both"/>
        <w:rPr>
          <w:color w:val="000000" w:themeColor="text1"/>
        </w:rPr>
      </w:pPr>
      <w:r w:rsidRPr="00F13523">
        <w:rPr>
          <w:color w:val="000000" w:themeColor="text1"/>
        </w:rPr>
        <w:t>In the Indian context, ecotoxicology is an area where isotope applications are still in their infancy. Most studies to date have focused on measuring contaminant concentrations directly in fishes and other aquatic organisms, without integrating isotopic tracers to identify the pathways of exposure</w:t>
      </w:r>
      <w:r w:rsidR="003F2979" w:rsidRPr="00F13523">
        <w:rPr>
          <w:color w:val="000000" w:themeColor="text1"/>
        </w:rPr>
        <w:t xml:space="preserve"> (</w:t>
      </w:r>
      <w:proofErr w:type="spellStart"/>
      <w:r w:rsidR="003F2979" w:rsidRPr="00F13523">
        <w:rPr>
          <w:color w:val="000000" w:themeColor="text1"/>
        </w:rPr>
        <w:t>Sahu</w:t>
      </w:r>
      <w:proofErr w:type="spellEnd"/>
      <w:r w:rsidR="003F2979" w:rsidRPr="00F13523">
        <w:rPr>
          <w:color w:val="000000" w:themeColor="text1"/>
        </w:rPr>
        <w:t xml:space="preserve"> et al., 2014).</w:t>
      </w:r>
      <w:r w:rsidRPr="00F13523">
        <w:rPr>
          <w:color w:val="000000" w:themeColor="text1"/>
        </w:rPr>
        <w:t xml:space="preserve"> This is a missed opportunity, given the extensive use of pesticides, fertilisers, and industrial effluents in Indian wetlands, rivers, and farmlands</w:t>
      </w:r>
      <w:r w:rsidR="003F2979" w:rsidRPr="00F13523">
        <w:rPr>
          <w:color w:val="000000" w:themeColor="text1"/>
        </w:rPr>
        <w:t xml:space="preserve"> (Prasad et al., 2015). </w:t>
      </w:r>
      <w:r w:rsidRPr="00F13523">
        <w:rPr>
          <w:color w:val="000000" w:themeColor="text1"/>
        </w:rPr>
        <w:t>These pollutants not only threaten aquatic biodiversity but also accumulate in species that are directly consumed by people, linking ecological contamination to public health risks</w:t>
      </w:r>
      <w:r w:rsidR="003F2979" w:rsidRPr="00F13523">
        <w:rPr>
          <w:color w:val="000000" w:themeColor="text1"/>
        </w:rPr>
        <w:t xml:space="preserve"> (Vane et al., 2009).</w:t>
      </w:r>
    </w:p>
    <w:p w14:paraId="5251DE22" w14:textId="77777777" w:rsidR="009E556C" w:rsidRDefault="0019153A" w:rsidP="009E556C">
      <w:pPr>
        <w:pStyle w:val="NormalWeb"/>
        <w:jc w:val="both"/>
        <w:rPr>
          <w:color w:val="000000" w:themeColor="text1"/>
        </w:rPr>
      </w:pPr>
      <w:r w:rsidRPr="00F13523">
        <w:rPr>
          <w:color w:val="000000" w:themeColor="text1"/>
        </w:rPr>
        <w:t>Stable isotopes could play a transformative role here. By tracing the flow of contaminants across ecosystem boundaries</w:t>
      </w:r>
      <w:r w:rsidR="0057591C" w:rsidRPr="00F13523">
        <w:rPr>
          <w:color w:val="000000" w:themeColor="text1"/>
        </w:rPr>
        <w:t xml:space="preserve">, </w:t>
      </w:r>
      <w:r w:rsidRPr="00F13523">
        <w:rPr>
          <w:color w:val="000000" w:themeColor="text1"/>
        </w:rPr>
        <w:t>for example, from aquatic insects to terrestrial spiders, or from croplands into wetland food webs</w:t>
      </w:r>
      <w:r w:rsidR="0057591C" w:rsidRPr="00F13523">
        <w:rPr>
          <w:color w:val="000000" w:themeColor="text1"/>
        </w:rPr>
        <w:t xml:space="preserve">, </w:t>
      </w:r>
      <w:r w:rsidRPr="00F13523">
        <w:rPr>
          <w:color w:val="000000" w:themeColor="text1"/>
        </w:rPr>
        <w:t>SIA can reveal hidden connections that chemical assays alone cannot capture</w:t>
      </w:r>
      <w:r w:rsidR="003F2979" w:rsidRPr="00F13523">
        <w:rPr>
          <w:color w:val="000000" w:themeColor="text1"/>
        </w:rPr>
        <w:t xml:space="preserve"> (</w:t>
      </w:r>
      <w:proofErr w:type="spellStart"/>
      <w:r w:rsidR="003F2979" w:rsidRPr="00F13523">
        <w:rPr>
          <w:color w:val="000000" w:themeColor="text1"/>
        </w:rPr>
        <w:t>Cristol</w:t>
      </w:r>
      <w:proofErr w:type="spellEnd"/>
      <w:r w:rsidR="003F2979" w:rsidRPr="00F13523">
        <w:rPr>
          <w:color w:val="000000" w:themeColor="text1"/>
        </w:rPr>
        <w:t xml:space="preserve"> et al., 20</w:t>
      </w:r>
      <w:r w:rsidR="00AD0419">
        <w:rPr>
          <w:color w:val="000000" w:themeColor="text1"/>
        </w:rPr>
        <w:t>11</w:t>
      </w:r>
      <w:r w:rsidR="003F2979" w:rsidRPr="00F13523">
        <w:rPr>
          <w:color w:val="000000" w:themeColor="text1"/>
        </w:rPr>
        <w:t>).</w:t>
      </w:r>
      <w:r w:rsidRPr="00F13523">
        <w:rPr>
          <w:color w:val="000000" w:themeColor="text1"/>
        </w:rPr>
        <w:t xml:space="preserve"> Applying these tools in Indian wetlands such as </w:t>
      </w:r>
      <w:proofErr w:type="spellStart"/>
      <w:r w:rsidRPr="00F13523">
        <w:rPr>
          <w:color w:val="000000" w:themeColor="text1"/>
        </w:rPr>
        <w:t>Vembanad</w:t>
      </w:r>
      <w:proofErr w:type="spellEnd"/>
      <w:r w:rsidRPr="00F13523">
        <w:rPr>
          <w:color w:val="000000" w:themeColor="text1"/>
        </w:rPr>
        <w:t xml:space="preserve"> or the Sundarbans would provide valuable insight into how contaminants move between wildlife and human communities, offering a scientific foundation for both conservation and environmental health policy</w:t>
      </w:r>
      <w:r w:rsidR="003F2979" w:rsidRPr="00F13523">
        <w:rPr>
          <w:color w:val="000000" w:themeColor="text1"/>
        </w:rPr>
        <w:t xml:space="preserve"> (Ramesh et al., 201</w:t>
      </w:r>
      <w:r w:rsidR="008B2BCF" w:rsidRPr="00F13523">
        <w:rPr>
          <w:color w:val="000000" w:themeColor="text1"/>
        </w:rPr>
        <w:t>6</w:t>
      </w:r>
      <w:r w:rsidR="003F2979" w:rsidRPr="00F13523">
        <w:rPr>
          <w:color w:val="000000" w:themeColor="text1"/>
        </w:rPr>
        <w:t>)</w:t>
      </w:r>
      <w:r w:rsidRPr="00F13523">
        <w:rPr>
          <w:color w:val="000000" w:themeColor="text1"/>
        </w:rPr>
        <w:t>.</w:t>
      </w:r>
    </w:p>
    <w:p w14:paraId="48F07EB0" w14:textId="0C3E6FC0" w:rsidR="00F914E2" w:rsidRPr="009E556C" w:rsidRDefault="00F914E2" w:rsidP="009E556C">
      <w:pPr>
        <w:pStyle w:val="NormalWeb"/>
        <w:jc w:val="both"/>
        <w:rPr>
          <w:color w:val="000000" w:themeColor="text1"/>
        </w:rPr>
      </w:pPr>
      <w:r w:rsidRPr="00F13523">
        <w:rPr>
          <w:b/>
          <w:bCs/>
          <w:color w:val="000000" w:themeColor="text1"/>
        </w:rPr>
        <w:t xml:space="preserve"> Forensics and Wildlife Trade</w:t>
      </w:r>
    </w:p>
    <w:p w14:paraId="4D3905FF" w14:textId="77777777" w:rsidR="00F914E2" w:rsidRPr="00F13523" w:rsidRDefault="00F914E2"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085D5230" w14:textId="77777777" w:rsidR="003F2979" w:rsidRPr="00F13523" w:rsidRDefault="003F2979" w:rsidP="003F2979">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One of the fastest-growing applications of stable isotope ecology is in the field of wildlife forensics, where isotopic tools are being used to trace the geographic origins of animals and their derivatives (Bowen et al., 2005). Provenance determination has become central to the fight against illegal wildlife trade, a global enterprise that threatens thousands of species and undermines conservation efforts (Wasser et al., 2004). Stable isotopes provide natural chemical “fingerprints” that vary predictably with geography, climate, and food sources, making them highly effective in identifying the origin of trafficked wildlife products (Kelly et al., 2005).</w:t>
      </w:r>
    </w:p>
    <w:p w14:paraId="7F26B069" w14:textId="77777777" w:rsidR="003F2979" w:rsidRPr="00F13523" w:rsidRDefault="003F2979" w:rsidP="003F2979">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0A4A9619" w14:textId="77777777" w:rsidR="003F2979" w:rsidRPr="00F13523" w:rsidRDefault="003F2979" w:rsidP="003F2979">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Multivariate isotope analyses, drawing on combinations of carbon, nitrogen, hydrogen, oxygen, sulphur, and strontium, are particularly powerful. When used together, these isotope systems create unique ecological profiles that can distinguish between populations across regions with high resolution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Prigge</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2025). For example, isotopic profiles have been successfully applied to ivory, rhino horn, shark fins, and even bird feathers, often in combination with genetic analyses (Pauli &amp;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Curras</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2024). This integrated approach enhances reliability, ensuring that isotopic evidence can withstand scrutiny in both scientific and legal contexts (Ziegler et al., 2016).</w:t>
      </w:r>
    </w:p>
    <w:p w14:paraId="6A6CEA90" w14:textId="77777777" w:rsidR="003F2979" w:rsidRPr="00F13523" w:rsidRDefault="003F2979" w:rsidP="003F2979">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6F6F79F7" w14:textId="631FDB2F" w:rsidR="003F2979" w:rsidRPr="00F13523" w:rsidRDefault="003F2979" w:rsidP="003F2979">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Hatten et al. (2025) argue that isotopes should be considered part of a broader diagnostic toolkit, complementing genomics, trace elements, and remote sensing in conservation enforcement. A striking example comes from cheetah conservation, where isotopes in hair </w:t>
      </w:r>
      <w:r w:rsidRPr="00F13523">
        <w:rPr>
          <w:rFonts w:ascii="Times New Roman" w:eastAsia="Times New Roman" w:hAnsi="Times New Roman" w:cs="Times New Roman"/>
          <w:color w:val="000000" w:themeColor="text1"/>
          <w:kern w:val="0"/>
          <w:sz w:val="24"/>
          <w:szCs w:val="24"/>
          <w:lang w:eastAsia="en-IN" w:bidi="ml-IN"/>
          <w14:ligatures w14:val="none"/>
        </w:rPr>
        <w:lastRenderedPageBreak/>
        <w:t>samples have revealed whether animals originated locally in East Africa or were smuggled from distant regions (Chesson et al., 201</w:t>
      </w:r>
      <w:r w:rsidR="0090504E">
        <w:rPr>
          <w:rFonts w:ascii="Times New Roman" w:eastAsia="Times New Roman" w:hAnsi="Times New Roman" w:cs="Times New Roman"/>
          <w:color w:val="000000" w:themeColor="text1"/>
          <w:kern w:val="0"/>
          <w:sz w:val="24"/>
          <w:szCs w:val="24"/>
          <w:lang w:eastAsia="en-IN" w:bidi="ml-IN"/>
          <w14:ligatures w14:val="none"/>
        </w:rPr>
        <w:t>1</w:t>
      </w:r>
      <w:r w:rsidRPr="00F13523">
        <w:rPr>
          <w:rFonts w:ascii="Times New Roman" w:eastAsia="Times New Roman" w:hAnsi="Times New Roman" w:cs="Times New Roman"/>
          <w:color w:val="000000" w:themeColor="text1"/>
          <w:kern w:val="0"/>
          <w:sz w:val="24"/>
          <w:szCs w:val="24"/>
          <w:lang w:eastAsia="en-IN" w:bidi="ml-IN"/>
          <w14:ligatures w14:val="none"/>
        </w:rPr>
        <w:t xml:space="preserve">). This type of evidence not only strengthens prosecutions but also helps authorities identify poaching hotspots and trafficking routes (Pires &amp;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Moreto</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2011).</w:t>
      </w:r>
    </w:p>
    <w:p w14:paraId="22A6E8E6" w14:textId="77777777" w:rsidR="003F2979" w:rsidRPr="00F13523" w:rsidRDefault="003F2979" w:rsidP="003F2979">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747B1743" w14:textId="52D87232" w:rsidR="00CE03F4" w:rsidRPr="00F13523" w:rsidRDefault="003F2979" w:rsidP="003F2979">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For India, where wildlife crime remains a critical conservation challenge, stable isotopes hold enormous potential. Pangolins, star tortoises, freshwater turtles, and numerous bird species are heavily targeted for trade, while marine products such as shark fins also leave the country’s shores (Nijman, 2010). Establishing isotopic baselines for these taxa could provide admissible forensic evidence to identify source populations and disrupt trafficking networks (</w:t>
      </w:r>
      <w:bookmarkStart w:id="3" w:name="_Hlk220334498"/>
      <w:r w:rsidRPr="00F13523">
        <w:rPr>
          <w:rFonts w:ascii="Times New Roman" w:eastAsia="Times New Roman" w:hAnsi="Times New Roman" w:cs="Times New Roman"/>
          <w:color w:val="000000" w:themeColor="text1"/>
          <w:kern w:val="0"/>
          <w:sz w:val="24"/>
          <w:szCs w:val="24"/>
          <w:lang w:eastAsia="en-IN" w:bidi="ml-IN"/>
          <w14:ligatures w14:val="none"/>
        </w:rPr>
        <w:t>Aggarwal</w:t>
      </w:r>
      <w:bookmarkEnd w:id="3"/>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2015). Furthermore, India’s geographical and ecological diversity, shaped by monsoons, altitudinal gradients, and varied geology, offers a natural isotopic landscape that could be harnessed for provenance studies once sufficient baseline data are developed (Ramesh et al., 2010).</w:t>
      </w:r>
    </w:p>
    <w:p w14:paraId="52AD3044" w14:textId="77777777" w:rsidR="00CE03F4" w:rsidRPr="00F13523" w:rsidRDefault="00CE03F4" w:rsidP="003F2979">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007CF455" w14:textId="10BE41C8" w:rsidR="00B63452" w:rsidRPr="00F13523" w:rsidRDefault="00B63452" w:rsidP="0057591C">
      <w:pPr>
        <w:spacing w:after="0" w:line="240" w:lineRule="auto"/>
        <w:jc w:val="both"/>
        <w:rPr>
          <w:rFonts w:ascii="Times New Roman" w:eastAsia="Times New Roman" w:hAnsi="Times New Roman" w:cs="Times New Roman"/>
          <w:b/>
          <w:bCs/>
          <w:color w:val="000000" w:themeColor="text1"/>
          <w:kern w:val="0"/>
          <w:sz w:val="24"/>
          <w:szCs w:val="24"/>
          <w:lang w:eastAsia="en-IN" w:bidi="ml-IN"/>
          <w14:ligatures w14:val="none"/>
        </w:rPr>
      </w:pPr>
      <w:bookmarkStart w:id="4" w:name="_Hlk209005229"/>
      <w:r w:rsidRPr="00F13523">
        <w:rPr>
          <w:rFonts w:ascii="Times New Roman" w:eastAsia="Times New Roman" w:hAnsi="Times New Roman" w:cs="Times New Roman"/>
          <w:b/>
          <w:bCs/>
          <w:color w:val="000000" w:themeColor="text1"/>
          <w:kern w:val="0"/>
          <w:sz w:val="24"/>
          <w:szCs w:val="24"/>
          <w:lang w:eastAsia="en-IN" w:bidi="ml-IN"/>
          <w14:ligatures w14:val="none"/>
        </w:rPr>
        <w:t>Methodological Advances and Challenges</w:t>
      </w:r>
    </w:p>
    <w:p w14:paraId="54B60944" w14:textId="77777777" w:rsidR="00B63452" w:rsidRPr="00F13523" w:rsidRDefault="00B63452" w:rsidP="0057591C">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bookmarkEnd w:id="4"/>
    <w:p w14:paraId="4DC4F4A5" w14:textId="77777777" w:rsidR="00B12121" w:rsidRPr="00F13523" w:rsidRDefault="00B12121" w:rsidP="00B12121">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The last two decades have witnessed substantial methodological advances that have transformed stable isotope analysis (SIA) from a largely descriptive tracer technique into a rigorous, quantitative science applicable across ecological, environmental, and forensic disciplines (Fry, 2006;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Boecklen</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2011). Central to this transformation have been parallel developments in analytical instrumentation, compound-specific approaches, statistical modelling, and spatial frameworks, which together have greatly expanded the inferential power of isotope-based studies. At the same time, these advances have exposed persistent analytical, interpretative, and standardisation challenges that are particularly pronounced in complex marine and wildlife-related systems.</w:t>
      </w:r>
    </w:p>
    <w:p w14:paraId="17EA4CEA" w14:textId="47D6887B" w:rsidR="00B12121" w:rsidRPr="00F13523" w:rsidRDefault="00B12121" w:rsidP="00B12121">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Technological improvements in isotope ratio mass spectrometry (IRMS) have significantly enhanced analytical precision and sensitivity. Modern IRMS </w:t>
      </w:r>
      <w:proofErr w:type="spellStart"/>
      <w:proofErr w:type="gramStart"/>
      <w:r w:rsidRPr="00F13523">
        <w:rPr>
          <w:rFonts w:ascii="Times New Roman" w:eastAsia="Times New Roman" w:hAnsi="Times New Roman" w:cs="Times New Roman"/>
          <w:color w:val="000000" w:themeColor="text1"/>
          <w:kern w:val="0"/>
          <w:sz w:val="24"/>
          <w:szCs w:val="24"/>
          <w:lang w:eastAsia="en-IN" w:bidi="ml-IN"/>
          <w14:ligatures w14:val="none"/>
        </w:rPr>
        <w:t>interfaces</w:t>
      </w:r>
      <w:r w:rsidR="009E39D8" w:rsidRPr="00F13523">
        <w:rPr>
          <w:rFonts w:ascii="Times New Roman" w:eastAsia="Times New Roman" w:hAnsi="Times New Roman" w:cs="Times New Roman"/>
          <w:color w:val="000000" w:themeColor="text1"/>
          <w:kern w:val="0"/>
          <w:sz w:val="24"/>
          <w:szCs w:val="24"/>
          <w:lang w:eastAsia="en-IN" w:bidi="ml-IN"/>
          <w14:ligatures w14:val="none"/>
        </w:rPr>
        <w:t>,</w:t>
      </w:r>
      <w:r w:rsidRPr="00F13523">
        <w:rPr>
          <w:rFonts w:ascii="Times New Roman" w:eastAsia="Times New Roman" w:hAnsi="Times New Roman" w:cs="Times New Roman"/>
          <w:color w:val="000000" w:themeColor="text1"/>
          <w:kern w:val="0"/>
          <w:sz w:val="24"/>
          <w:szCs w:val="24"/>
          <w:lang w:eastAsia="en-IN" w:bidi="ml-IN"/>
          <w14:ligatures w14:val="none"/>
        </w:rPr>
        <w:t>including</w:t>
      </w:r>
      <w:proofErr w:type="spellEnd"/>
      <w:proofErr w:type="gramEnd"/>
      <w:r w:rsidRPr="00F13523">
        <w:rPr>
          <w:rFonts w:ascii="Times New Roman" w:eastAsia="Times New Roman" w:hAnsi="Times New Roman" w:cs="Times New Roman"/>
          <w:color w:val="000000" w:themeColor="text1"/>
          <w:kern w:val="0"/>
          <w:sz w:val="24"/>
          <w:szCs w:val="24"/>
          <w:lang w:eastAsia="en-IN" w:bidi="ml-IN"/>
          <w14:ligatures w14:val="none"/>
        </w:rPr>
        <w:t xml:space="preserve"> GC-C-IRMS, GC-</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Py</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-IRMS, EA-IRMS, and laser-based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spectrometers</w:t>
      </w:r>
      <w:r w:rsidR="009E39D8" w:rsidRPr="00F13523">
        <w:rPr>
          <w:rFonts w:ascii="Times New Roman" w:eastAsia="Times New Roman" w:hAnsi="Times New Roman" w:cs="Times New Roman"/>
          <w:color w:val="000000" w:themeColor="text1"/>
          <w:kern w:val="0"/>
          <w:sz w:val="24"/>
          <w:szCs w:val="24"/>
          <w:lang w:eastAsia="en-IN" w:bidi="ml-IN"/>
          <w14:ligatures w14:val="none"/>
        </w:rPr>
        <w:t>,</w:t>
      </w:r>
      <w:r w:rsidRPr="00F13523">
        <w:rPr>
          <w:rFonts w:ascii="Times New Roman" w:eastAsia="Times New Roman" w:hAnsi="Times New Roman" w:cs="Times New Roman"/>
          <w:color w:val="000000" w:themeColor="text1"/>
          <w:kern w:val="0"/>
          <w:sz w:val="24"/>
          <w:szCs w:val="24"/>
          <w:lang w:eastAsia="en-IN" w:bidi="ml-IN"/>
          <w14:ligatures w14:val="none"/>
        </w:rPr>
        <w:t>now</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permit reliable isotope measurements at trace concentrations, extending applications to emerging contaminants, microplastics, nitrates, and methylmercury in marine matrices (Kuznetsova, 2024). In parallel, the development of dual- and triple-isotope approaches (δ²H, δ¹⁸O, δ¹⁷O, Δ¹⁷O) has enabled more refined reconstructions of hydrological and biogeochemical processes, although these methods demand ultra-high analytical precision, rigorous calibration, and robust reference standards (Wassenaar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202</w:t>
      </w:r>
      <w:r w:rsidR="00C332CE">
        <w:rPr>
          <w:rFonts w:ascii="Times New Roman" w:eastAsia="Times New Roman" w:hAnsi="Times New Roman" w:cs="Times New Roman"/>
          <w:color w:val="000000" w:themeColor="text1"/>
          <w:kern w:val="0"/>
          <w:sz w:val="24"/>
          <w:szCs w:val="24"/>
          <w:lang w:eastAsia="en-IN" w:bidi="ml-IN"/>
          <w14:ligatures w14:val="none"/>
        </w:rPr>
        <w:t>3</w:t>
      </w:r>
      <w:r w:rsidRPr="00F13523">
        <w:rPr>
          <w:rFonts w:ascii="Times New Roman" w:eastAsia="Times New Roman" w:hAnsi="Times New Roman" w:cs="Times New Roman"/>
          <w:color w:val="000000" w:themeColor="text1"/>
          <w:kern w:val="0"/>
          <w:sz w:val="24"/>
          <w:szCs w:val="24"/>
          <w:lang w:eastAsia="en-IN" w:bidi="ml-IN"/>
          <w14:ligatures w14:val="none"/>
        </w:rPr>
        <w:t xml:space="preserve">). Inter-laboratory comparison exercises demonstrate that, while carbon and nitrogen isotope measurements are generally robust, hydrogen and oxygen isotope analyses remain vulnerable to memory effects, drift, and calibration inconsistencies, particularly in laser spectrometry (Wassenaar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202</w:t>
      </w:r>
      <w:r w:rsidR="00C332CE">
        <w:rPr>
          <w:rFonts w:ascii="Times New Roman" w:eastAsia="Times New Roman" w:hAnsi="Times New Roman" w:cs="Times New Roman"/>
          <w:color w:val="000000" w:themeColor="text1"/>
          <w:kern w:val="0"/>
          <w:sz w:val="24"/>
          <w:szCs w:val="24"/>
          <w:lang w:eastAsia="en-IN" w:bidi="ml-IN"/>
          <w14:ligatures w14:val="none"/>
        </w:rPr>
        <w:t>3</w:t>
      </w:r>
      <w:r w:rsidRPr="00F13523">
        <w:rPr>
          <w:rFonts w:ascii="Times New Roman" w:eastAsia="Times New Roman" w:hAnsi="Times New Roman" w:cs="Times New Roman"/>
          <w:color w:val="000000" w:themeColor="text1"/>
          <w:kern w:val="0"/>
          <w:sz w:val="24"/>
          <w:szCs w:val="24"/>
          <w:lang w:eastAsia="en-IN" w:bidi="ml-IN"/>
          <w14:ligatures w14:val="none"/>
        </w:rPr>
        <w:t>).</w:t>
      </w:r>
    </w:p>
    <w:p w14:paraId="129560DC" w14:textId="7AB41A83" w:rsidR="00B12121" w:rsidRPr="00F13523" w:rsidRDefault="00B12121" w:rsidP="00B12121">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Among the most influential methodological innovations is compound-specific isotope analysis (CSIA), which examines the isotopic composition of individual biochemical compounds rather than bulk tissues (McClelland &amp; Montoya, 2002; Popp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2007). In ecological applications, CSIA of amino acids distinguishes between “trophic” amino acids that undergo predictable fractionation during metabolism and “source” amino acids that retain baseline isotopic signatures. This distinction allows accurate estimation of trophic position while simultaneously correcting for baseline variability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Chikaraishi</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2009; Nielsen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2015). As a result, CSIA has substantially reduced ambiguity in food-web studies, particularly in ecosystems where baseline isotopic values fluctuate strongly across space and time, such as marine and estuarine environments (Post, 2002;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Zanden</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&amp; Rasmussen, 2001; Kuznetsova, 2024). Beyond ecology, CSIA has also enhanced contaminant source apportionment and degradation studies, especially where bulk isotope values overlap among potential sources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Prigge</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2024).</w:t>
      </w:r>
    </w:p>
    <w:p w14:paraId="07B1A613" w14:textId="77777777" w:rsidR="00B12121" w:rsidRPr="00F13523" w:rsidRDefault="00B12121" w:rsidP="00B12121">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lastRenderedPageBreak/>
        <w:t>Methodological progress has further been driven by the expansion of multivariate and multi-isotope frameworks that integrate multiple elements (e.g. C, N, S, H, O) and tissues to improve source discrimination and ecological inference. In wildlife trade and forensic investigations, multivariate stable isotope analyses have proven more powerful than single-isotope approaches for determining geographic provenance, distinguishing captive-bred from wild individuals, and strengthening evidentiary robustness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Prigge</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2024). In marine ecosystem studies, combining δ¹³C and δ¹⁵N with δ³⁴S or δ¹⁸O has improved resolution of habitat use, connectivity, and nutrient pathways (Skinner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2022; Teixeira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2022). Additionally, the use of tissues with contrasting turnover rates—such as blood components, skin, blubber, baleen, or dentine—has enabled dietary and ecological reconstructions across multiple temporal scales, representing a significant advance over traditional snapshot-based analyses (Teixeira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2022).</w:t>
      </w:r>
    </w:p>
    <w:p w14:paraId="453CEBB0" w14:textId="77777777" w:rsidR="00B12121" w:rsidRPr="00F13523" w:rsidRDefault="00B12121" w:rsidP="00B12121">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Statistical modelling has evolved alongside analytical techniques, further strengthening the quantitative foundations of stable isotope ecology. Early linear mixing models often oversimplified complex diets, particularly when multiple prey sources exhibited overlapping isotopic signatures (Phillips &amp; Gregg, 2003). Bayesian mixing models, such as SIAR and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MixSIAR</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now provide probabilistic estimates of dietary contributions while explicitly incorporating uncertainty in fractionation factors, source variability, and measurement error (Parnell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2010; Stock &amp; Semmens, 2016). These frameworks also allow the integration of prior ecological information, including gut-content data and behavioural observations, producing more realistic and defensible dietary reconstructions (Moore &amp; Semmens, 2008; Phillips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2014).</w:t>
      </w:r>
    </w:p>
    <w:p w14:paraId="4D2A8F09" w14:textId="77777777" w:rsidR="00B12121" w:rsidRPr="00F13523" w:rsidRDefault="00B12121" w:rsidP="00B12121">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Another major methodological advance has been the development of isotopic landscapes, or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isoscapes</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”—spatially explicit maps of hydrogen, oxygen, carbon, or sulphur isotope variation (West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2010).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Isoscapes</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have been transformative in migration studies, enabling the assignment of geographic origins to animal tissues and linking breeding and non-breeding habitats across vast spatial scales (Bowen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2005; Hobson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2012). In marine systems, they have been used to track the provenance of fish and marine mammals and to elucidate large-scale connectivity patterns (Hobson &amp; Wassenaar, 1997;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Trueman</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2019).</w:t>
      </w:r>
    </w:p>
    <w:p w14:paraId="74BE2CC6" w14:textId="77777777" w:rsidR="00B12121" w:rsidRPr="00F13523" w:rsidRDefault="00B12121" w:rsidP="00B12121">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Despite these advances, significant methodological challenges remain. Sampling and sample preparation are among the least standardised aspects of isotope studies, particularly in marine environments where low analyte concentrations, high salinity, and complex organic matrices increase the risk of isotope fractionation during extraction and derivatisation (Kuznetsova, 2024). In ecological applications, improper tissue preservation, lipid contamination, and poorly constrained tissue-specific discrimination factors can lead to misinterpretation of isotopic data (Teixeira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2022). These issues are especially problematic in forensic contexts, where analytical reproducibility and defensibility are critical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Prigge</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2024).</w:t>
      </w:r>
    </w:p>
    <w:p w14:paraId="3EC8A656" w14:textId="381C6F45" w:rsidR="00B12121" w:rsidRPr="00F13523" w:rsidRDefault="00B12121" w:rsidP="00B12121">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Interpretative challenges are further compounded in tropical regions, including South Asia, where baseline isotopic variability is poorly characterised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Hyodo</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2015). Monsoonal rainfall introduces strong seasonal variability in hydrogen and oxygen isotopes, complicating geographic assignments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Dansgaard</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1964; Bowen &amp;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Revenaugh</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2003), while the coexistence of C₃, C₄, and CAM plants creates complex carbon isotope baselines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Cerling</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1997; Still &amp; Powell, 20</w:t>
      </w:r>
      <w:r w:rsidR="00852858" w:rsidRPr="00F13523">
        <w:rPr>
          <w:rFonts w:ascii="Times New Roman" w:eastAsia="Times New Roman" w:hAnsi="Times New Roman" w:cs="Times New Roman"/>
          <w:color w:val="000000" w:themeColor="text1"/>
          <w:kern w:val="0"/>
          <w:sz w:val="24"/>
          <w:szCs w:val="24"/>
          <w:lang w:eastAsia="en-IN" w:bidi="ml-IN"/>
          <w14:ligatures w14:val="none"/>
        </w:rPr>
        <w:t>09</w:t>
      </w:r>
      <w:r w:rsidRPr="00F13523">
        <w:rPr>
          <w:rFonts w:ascii="Times New Roman" w:eastAsia="Times New Roman" w:hAnsi="Times New Roman" w:cs="Times New Roman"/>
          <w:color w:val="000000" w:themeColor="text1"/>
          <w:kern w:val="0"/>
          <w:sz w:val="24"/>
          <w:szCs w:val="24"/>
          <w:lang w:eastAsia="en-IN" w:bidi="ml-IN"/>
          <w14:ligatures w14:val="none"/>
        </w:rPr>
        <w:t>). Fractionation factors remain poorly established for many tropical taxa, limiting model transferability across systems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Caut</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2009; Robbins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2010). These challenges are exacerbated by limited laboratory infrastructure and uneven access to isotope facilities in the Global South.</w:t>
      </w:r>
    </w:p>
    <w:p w14:paraId="32A1F534" w14:textId="77777777" w:rsidR="00B12121" w:rsidRPr="00F13523" w:rsidRDefault="00B12121" w:rsidP="00B12121">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Addressing these constraints will require coordinated efforts to standardise protocols, expand reference isotope databases, conduct targeted calibration studies, and invest in regional analytical capacity. By integrating continued methodological innovation with local capacity building and long-term baseline monitoring, stable isotope ecology can fully realise its </w:t>
      </w:r>
      <w:r w:rsidRPr="00F13523">
        <w:rPr>
          <w:rFonts w:ascii="Times New Roman" w:eastAsia="Times New Roman" w:hAnsi="Times New Roman" w:cs="Times New Roman"/>
          <w:color w:val="000000" w:themeColor="text1"/>
          <w:kern w:val="0"/>
          <w:sz w:val="24"/>
          <w:szCs w:val="24"/>
          <w:lang w:eastAsia="en-IN" w:bidi="ml-IN"/>
          <w14:ligatures w14:val="none"/>
        </w:rPr>
        <w:lastRenderedPageBreak/>
        <w:t>potential in marine systems and tropical biodiversity hotspots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Boecklen</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2011; West </w:t>
      </w:r>
      <w:r w:rsidRPr="00F13523">
        <w:rPr>
          <w:rFonts w:ascii="Times New Roman" w:eastAsia="Times New Roman" w:hAnsi="Times New Roman" w:cs="Times New Roman"/>
          <w:i/>
          <w:iCs/>
          <w:color w:val="000000" w:themeColor="text1"/>
          <w:kern w:val="0"/>
          <w:sz w:val="24"/>
          <w:szCs w:val="24"/>
          <w:lang w:eastAsia="en-IN" w:bidi="ml-IN"/>
          <w14:ligatures w14:val="none"/>
        </w:rPr>
        <w:t>et al.</w:t>
      </w:r>
      <w:r w:rsidRPr="00F13523">
        <w:rPr>
          <w:rFonts w:ascii="Times New Roman" w:eastAsia="Times New Roman" w:hAnsi="Times New Roman" w:cs="Times New Roman"/>
          <w:color w:val="000000" w:themeColor="text1"/>
          <w:kern w:val="0"/>
          <w:sz w:val="24"/>
          <w:szCs w:val="24"/>
          <w:lang w:eastAsia="en-IN" w:bidi="ml-IN"/>
          <w14:ligatures w14:val="none"/>
        </w:rPr>
        <w:t xml:space="preserve">, 2010;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Hyodo</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2015).</w:t>
      </w:r>
    </w:p>
    <w:p w14:paraId="593AA74F" w14:textId="1898AF9A" w:rsidR="00C1698D" w:rsidRPr="00F13523" w:rsidRDefault="00C1698D"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r w:rsidRPr="00F13523">
        <w:rPr>
          <w:rFonts w:ascii="Times New Roman" w:eastAsia="Times New Roman" w:hAnsi="Times New Roman" w:cs="Times New Roman"/>
          <w:b/>
          <w:bCs/>
          <w:color w:val="000000" w:themeColor="text1"/>
          <w:kern w:val="0"/>
          <w:sz w:val="27"/>
          <w:szCs w:val="27"/>
          <w:lang w:eastAsia="en-IN" w:bidi="ml-IN"/>
          <w14:ligatures w14:val="none"/>
        </w:rPr>
        <w:t xml:space="preserve"> Global and Indian Perspectives</w:t>
      </w:r>
    </w:p>
    <w:p w14:paraId="3A316877" w14:textId="0BC09C84" w:rsidR="00C1698D" w:rsidRPr="00F13523" w:rsidRDefault="00C1698D"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A comparison of global and Indian isotope research highlights both remarkable opportunities and persistent gaps. Internationally, stable isotope ecology has advanced into a highly interdisciplinary field, seamlessly integrated with complementary approaches such as telemetry, genomics, trace-element chemistry, and remote sensing</w:t>
      </w:r>
      <w:r w:rsidR="007C151A" w:rsidRPr="00F13523">
        <w:rPr>
          <w:rFonts w:ascii="Times New Roman" w:eastAsia="Times New Roman" w:hAnsi="Times New Roman" w:cs="Times New Roman"/>
          <w:color w:val="000000" w:themeColor="text1"/>
          <w:kern w:val="0"/>
          <w:sz w:val="24"/>
          <w:szCs w:val="24"/>
          <w:lang w:eastAsia="en-IN" w:bidi="ml-IN"/>
          <w14:ligatures w14:val="none"/>
        </w:rPr>
        <w:t xml:space="preserve"> (Rubenstein &amp; Hobson, 2004; Hobson, 2010)</w:t>
      </w:r>
      <w:r w:rsidRPr="00F13523">
        <w:rPr>
          <w:rFonts w:ascii="Times New Roman" w:eastAsia="Times New Roman" w:hAnsi="Times New Roman" w:cs="Times New Roman"/>
          <w:color w:val="000000" w:themeColor="text1"/>
          <w:kern w:val="0"/>
          <w:sz w:val="24"/>
          <w:szCs w:val="24"/>
          <w:lang w:eastAsia="en-IN" w:bidi="ml-IN"/>
          <w14:ligatures w14:val="none"/>
        </w:rPr>
        <w:t>. This convergence of tools has enabled scientists to build multi-tracer frameworks that offer unprecedented resolution in understanding ecological processes</w:t>
      </w:r>
      <w:r w:rsidR="007C151A" w:rsidRPr="00F13523">
        <w:rPr>
          <w:rFonts w:ascii="Times New Roman" w:eastAsia="Times New Roman" w:hAnsi="Times New Roman" w:cs="Times New Roman"/>
          <w:color w:val="000000" w:themeColor="text1"/>
          <w:kern w:val="0"/>
          <w:sz w:val="24"/>
          <w:szCs w:val="24"/>
          <w:lang w:eastAsia="en-IN" w:bidi="ml-IN"/>
          <w14:ligatures w14:val="none"/>
        </w:rPr>
        <w:t xml:space="preserve"> (Webster et al., 2002)</w:t>
      </w:r>
      <w:r w:rsidRPr="00F13523">
        <w:rPr>
          <w:rFonts w:ascii="Times New Roman" w:eastAsia="Times New Roman" w:hAnsi="Times New Roman" w:cs="Times New Roman"/>
          <w:color w:val="000000" w:themeColor="text1"/>
          <w:kern w:val="0"/>
          <w:sz w:val="24"/>
          <w:szCs w:val="24"/>
          <w:lang w:eastAsia="en-IN" w:bidi="ml-IN"/>
          <w14:ligatures w14:val="none"/>
        </w:rPr>
        <w:t xml:space="preserve">. For example, migratory connectivity in birds has been mapped with extraordinary precision in North America and Europe by combining hydrogen isotope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isoscapes</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with geolocator data. Similarly, in marine systems, isotopes paired with satellite telemetry have revealed the foraging hotspots of large predators, information that feeds directly into conservation planning. In temperate and polar regions, long-term monitoring programs have used isotopes to track ecosystem change under shifting climates, creating powerful archives that link species biology with environmental variability.</w:t>
      </w:r>
    </w:p>
    <w:p w14:paraId="4EE81BA3" w14:textId="2757B475" w:rsidR="007C151A" w:rsidRPr="00F13523" w:rsidRDefault="007C151A" w:rsidP="007C151A">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In India, however, stable isotope ecology remains a field in its infancy. Applications are currently fragmented and concentrated mainly on fisheries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Sarma</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2012). Pioneering studies on hilsa shad and select marine fish species have provided important insights into stock structure and trophic interactions (Radhakrishnan et al., 2019;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Bhaumik</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202</w:t>
      </w:r>
      <w:r w:rsidR="009F1125" w:rsidRPr="00F13523">
        <w:rPr>
          <w:rFonts w:ascii="Times New Roman" w:eastAsia="Times New Roman" w:hAnsi="Times New Roman" w:cs="Times New Roman"/>
          <w:color w:val="000000" w:themeColor="text1"/>
          <w:kern w:val="0"/>
          <w:sz w:val="24"/>
          <w:szCs w:val="24"/>
          <w:lang w:eastAsia="en-IN" w:bidi="ml-IN"/>
          <w14:ligatures w14:val="none"/>
        </w:rPr>
        <w:t>4</w:t>
      </w:r>
      <w:r w:rsidRPr="00F13523">
        <w:rPr>
          <w:rFonts w:ascii="Times New Roman" w:eastAsia="Times New Roman" w:hAnsi="Times New Roman" w:cs="Times New Roman"/>
          <w:color w:val="000000" w:themeColor="text1"/>
          <w:kern w:val="0"/>
          <w:sz w:val="24"/>
          <w:szCs w:val="24"/>
          <w:lang w:eastAsia="en-IN" w:bidi="ml-IN"/>
          <w14:ligatures w14:val="none"/>
        </w:rPr>
        <w:t>). Beyond fisheries, the scope of isotope applications is still limited. Mammals, reptiles, amphibians, and migratory birds remain largely understudied. Despite India’s position on the Central Asian Flyway, isotope-based studies on migratory birds are rare (Kumar et al., 2020</w:t>
      </w:r>
      <w:r w:rsidR="00A930FD" w:rsidRPr="00F13523">
        <w:rPr>
          <w:rFonts w:ascii="Times New Roman" w:eastAsia="Times New Roman" w:hAnsi="Times New Roman" w:cs="Times New Roman"/>
          <w:color w:val="000000" w:themeColor="text1"/>
          <w:kern w:val="0"/>
          <w:sz w:val="24"/>
          <w:szCs w:val="24"/>
          <w:lang w:eastAsia="en-IN" w:bidi="ml-IN"/>
          <w14:ligatures w14:val="none"/>
        </w:rPr>
        <w:t>). Likewise</w:t>
      </w:r>
      <w:r w:rsidRPr="00F13523">
        <w:rPr>
          <w:rFonts w:ascii="Times New Roman" w:eastAsia="Times New Roman" w:hAnsi="Times New Roman" w:cs="Times New Roman"/>
          <w:color w:val="000000" w:themeColor="text1"/>
          <w:kern w:val="0"/>
          <w:sz w:val="24"/>
          <w:szCs w:val="24"/>
          <w:lang w:eastAsia="en-IN" w:bidi="ml-IN"/>
          <w14:ligatures w14:val="none"/>
        </w:rPr>
        <w:t xml:space="preserve">, isotope applications in terrestrial mammals such as elephants, jackals, and leopards are few (Sukumar et al., 2016;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Mondol</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202</w:t>
      </w:r>
      <w:r w:rsidR="00D366C7" w:rsidRPr="00F13523">
        <w:rPr>
          <w:rFonts w:ascii="Times New Roman" w:eastAsia="Times New Roman" w:hAnsi="Times New Roman" w:cs="Times New Roman"/>
          <w:color w:val="000000" w:themeColor="text1"/>
          <w:kern w:val="0"/>
          <w:sz w:val="24"/>
          <w:szCs w:val="24"/>
          <w:lang w:eastAsia="en-IN" w:bidi="ml-IN"/>
          <w14:ligatures w14:val="none"/>
        </w:rPr>
        <w:t>3</w:t>
      </w:r>
      <w:r w:rsidRPr="00F13523">
        <w:rPr>
          <w:rFonts w:ascii="Times New Roman" w:eastAsia="Times New Roman" w:hAnsi="Times New Roman" w:cs="Times New Roman"/>
          <w:color w:val="000000" w:themeColor="text1"/>
          <w:kern w:val="0"/>
          <w:sz w:val="24"/>
          <w:szCs w:val="24"/>
          <w:lang w:eastAsia="en-IN" w:bidi="ml-IN"/>
          <w14:ligatures w14:val="none"/>
        </w:rPr>
        <w:t>).</w:t>
      </w:r>
      <w:r w:rsidR="008F218B"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color w:val="000000" w:themeColor="text1"/>
          <w:kern w:val="0"/>
          <w:sz w:val="24"/>
          <w:szCs w:val="24"/>
          <w:lang w:eastAsia="en-IN" w:bidi="ml-IN"/>
          <w14:ligatures w14:val="none"/>
        </w:rPr>
        <w:t xml:space="preserve">A key barrier is the absence of comprehensive baseline datasets and national-scale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isoscapes</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(West et al., 2010). Without these reference maps, the power of isotopes to trace movements or geographic origins remains constrained (Bowen et al., 2005). Laboratory infrastructure and expertise, though improving, are still limited compared to global standards.</w:t>
      </w:r>
    </w:p>
    <w:p w14:paraId="77C28C90" w14:textId="77777777" w:rsidR="007C151A" w:rsidRPr="00F13523" w:rsidRDefault="007C151A" w:rsidP="007C151A">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4E806923" w14:textId="39792664" w:rsidR="007C151A" w:rsidRPr="00F13523" w:rsidRDefault="007C151A" w:rsidP="007C151A">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Yet India’s unique biodiversity, dramatic monsoonal gradients, and urgent conservation challenges make it an unparalleled natural laboratory for isotope ecology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Hyodo</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2015).</w:t>
      </w:r>
    </w:p>
    <w:p w14:paraId="35D3FF9F" w14:textId="2F4E43D9" w:rsidR="00B63452" w:rsidRPr="00F13523" w:rsidRDefault="007C151A" w:rsidP="007C151A">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With targeted investment in isotope facilities, systematic baseline mapping, and integration with other ecological tools, India has the potential to emerge as a leader in tropical isotope ecology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Boecklen</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2011).</w:t>
      </w:r>
    </w:p>
    <w:p w14:paraId="3175C323" w14:textId="491B3E31" w:rsidR="00C1698D" w:rsidRPr="00F13523" w:rsidRDefault="00C1698D" w:rsidP="0057591C">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7"/>
          <w:szCs w:val="27"/>
          <w:lang w:eastAsia="en-IN" w:bidi="ml-IN"/>
          <w14:ligatures w14:val="none"/>
        </w:rPr>
      </w:pPr>
      <w:r w:rsidRPr="00F13523">
        <w:rPr>
          <w:rFonts w:ascii="Times New Roman" w:eastAsia="Times New Roman" w:hAnsi="Times New Roman" w:cs="Times New Roman"/>
          <w:b/>
          <w:bCs/>
          <w:color w:val="000000" w:themeColor="text1"/>
          <w:kern w:val="0"/>
          <w:sz w:val="27"/>
          <w:szCs w:val="27"/>
          <w:lang w:eastAsia="en-IN" w:bidi="ml-IN"/>
          <w14:ligatures w14:val="none"/>
        </w:rPr>
        <w:t>Synthesis</w:t>
      </w:r>
    </w:p>
    <w:p w14:paraId="2B35CE13" w14:textId="65F279A8" w:rsidR="00A930FD" w:rsidRPr="00F13523" w:rsidRDefault="00A930FD" w:rsidP="00A930FD">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In particular, advances such as compound-specific isotope analysis and Bayesian modelling have enabled more precise interpretations, while the integration of isotopes with genetics, remote sensing, and telemetry has opened the door to multi-tracer ecological studies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Chikaraishi</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2009; Stock &amp; Semmens, 2016; Rubenstein &amp; Hobson, 2004).These developments underscore the value of isotopes not just as stand-alone tools, but as central components of interdisciplinary approaches to biodiversity science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Boecklen</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2011).</w:t>
      </w:r>
    </w:p>
    <w:p w14:paraId="4A2F6F0A" w14:textId="77777777" w:rsidR="00A930FD" w:rsidRPr="00F13523" w:rsidRDefault="00A930FD" w:rsidP="00A930FD">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21E96FFF" w14:textId="4553D1FF" w:rsidR="00A930FD" w:rsidRPr="00F13523" w:rsidRDefault="00A930FD" w:rsidP="00A930FD">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For India and South Asia, the promise of isotope ecology lies in its ability to link ecological research with urgent conservation priorities (Hyodo,2015). Fisheries management, exemplified </w:t>
      </w:r>
      <w:r w:rsidRPr="00F13523">
        <w:rPr>
          <w:rFonts w:ascii="Times New Roman" w:eastAsia="Times New Roman" w:hAnsi="Times New Roman" w:cs="Times New Roman"/>
          <w:color w:val="000000" w:themeColor="text1"/>
          <w:kern w:val="0"/>
          <w:sz w:val="24"/>
          <w:szCs w:val="24"/>
          <w:lang w:eastAsia="en-IN" w:bidi="ml-IN"/>
          <w14:ligatures w14:val="none"/>
        </w:rPr>
        <w:lastRenderedPageBreak/>
        <w:t xml:space="preserve">by studies on hilsa, demonstrates how isotopes can inform sustainable harvest strategies (Radhakrishnan et al., 2019;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Bhaumik</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202</w:t>
      </w:r>
      <w:r w:rsidR="009F1125" w:rsidRPr="00F13523">
        <w:rPr>
          <w:rFonts w:ascii="Times New Roman" w:eastAsia="Times New Roman" w:hAnsi="Times New Roman" w:cs="Times New Roman"/>
          <w:color w:val="000000" w:themeColor="text1"/>
          <w:kern w:val="0"/>
          <w:sz w:val="24"/>
          <w:szCs w:val="24"/>
          <w:lang w:eastAsia="en-IN" w:bidi="ml-IN"/>
          <w14:ligatures w14:val="none"/>
        </w:rPr>
        <w:t>4</w:t>
      </w:r>
      <w:r w:rsidRPr="00F13523">
        <w:rPr>
          <w:rFonts w:ascii="Times New Roman" w:eastAsia="Times New Roman" w:hAnsi="Times New Roman" w:cs="Times New Roman"/>
          <w:color w:val="000000" w:themeColor="text1"/>
          <w:kern w:val="0"/>
          <w:sz w:val="24"/>
          <w:szCs w:val="24"/>
          <w:lang w:eastAsia="en-IN" w:bidi="ml-IN"/>
          <w14:ligatures w14:val="none"/>
        </w:rPr>
        <w:t xml:space="preserve">). Wetland systems such as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Vembanad</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and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Chilika</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highlight the potential of isotopes to connect biodiversity monitoring with livelihood security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Sarma</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2012; Gopal, 2013). Applications in elephants and jackals reveal how isotopes can illuminate human–wildlife interactions, offering practical data for coexistence strategies (Sukumar et al., 2016;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Mondol</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202</w:t>
      </w:r>
      <w:r w:rsidR="00D366C7" w:rsidRPr="00F13523">
        <w:rPr>
          <w:rFonts w:ascii="Times New Roman" w:eastAsia="Times New Roman" w:hAnsi="Times New Roman" w:cs="Times New Roman"/>
          <w:color w:val="000000" w:themeColor="text1"/>
          <w:kern w:val="0"/>
          <w:sz w:val="24"/>
          <w:szCs w:val="24"/>
          <w:lang w:eastAsia="en-IN" w:bidi="ml-IN"/>
          <w14:ligatures w14:val="none"/>
        </w:rPr>
        <w:t>3</w:t>
      </w:r>
      <w:r w:rsidR="00781A99" w:rsidRPr="00F13523">
        <w:rPr>
          <w:rFonts w:ascii="Times New Roman" w:eastAsia="Times New Roman" w:hAnsi="Times New Roman" w:cs="Times New Roman"/>
          <w:color w:val="000000" w:themeColor="text1"/>
          <w:kern w:val="0"/>
          <w:sz w:val="24"/>
          <w:szCs w:val="24"/>
          <w:lang w:eastAsia="en-IN" w:bidi="ml-IN"/>
          <w14:ligatures w14:val="none"/>
        </w:rPr>
        <w:t>). In</w:t>
      </w:r>
      <w:r w:rsidRPr="00F13523">
        <w:rPr>
          <w:rFonts w:ascii="Times New Roman" w:eastAsia="Times New Roman" w:hAnsi="Times New Roman" w:cs="Times New Roman"/>
          <w:color w:val="000000" w:themeColor="text1"/>
          <w:kern w:val="0"/>
          <w:sz w:val="24"/>
          <w:szCs w:val="24"/>
          <w:lang w:eastAsia="en-IN" w:bidi="ml-IN"/>
          <w14:ligatures w14:val="none"/>
        </w:rPr>
        <w:t xml:space="preserve"> wildlife forensics, isotopes strengthen the capacity to trace the origins of trafficked species, an increasingly important tool in the region’s efforts to combat illegal trade (Meier-</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Augenstein</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2010; Wasser et al., 2015).</w:t>
      </w:r>
    </w:p>
    <w:p w14:paraId="137A4DD3" w14:textId="77777777" w:rsidR="00A930FD" w:rsidRPr="00F13523" w:rsidRDefault="00A930FD" w:rsidP="00A930FD">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p>
    <w:p w14:paraId="109650C9" w14:textId="16DF5517" w:rsidR="00781A99" w:rsidRPr="00F13523" w:rsidRDefault="00A930FD" w:rsidP="00781A99">
      <w:pPr>
        <w:spacing w:after="0"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Realising this potential, however, requires investment in national infrastructure .Building comprehensive baseline datasets, calibrating discrimination factors for  tropical species, and strengthening laboratory facilities should be immediate research priorities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Hyodo</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2015;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Caut</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2009).Equally important is fostering collaboration across disciplines and borders, ensuring that isotope ecology becomes not only a research tool but also a conservation instrument for addressing the complex challenges of biodiversity management in South Asia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Boecklen</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2011).</w:t>
      </w:r>
    </w:p>
    <w:p w14:paraId="7D070FC6" w14:textId="28F47F71" w:rsidR="008F218B" w:rsidRPr="00F13523" w:rsidRDefault="008F218B" w:rsidP="008F218B">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India and the wider South Asian region offer fertile ground for the growth of stable isotope ecology, owing to their extraordinary biodiversity, diverse landscapes, and pressing conservation challenges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Hyodo</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2015).</w:t>
      </w:r>
      <w:r w:rsidR="00BB7EFE"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color w:val="000000" w:themeColor="text1"/>
          <w:kern w:val="0"/>
          <w:sz w:val="24"/>
          <w:szCs w:val="24"/>
          <w:lang w:eastAsia="en-IN" w:bidi="ml-IN"/>
          <w14:ligatures w14:val="none"/>
        </w:rPr>
        <w:t>Although the number of isotope-based studies in this region remains limited compared to global trends, the applications that have emerged already highlight the transformative potential of the approach.</w:t>
      </w:r>
      <w:r w:rsidR="00BB7EFE"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color w:val="000000" w:themeColor="text1"/>
          <w:kern w:val="0"/>
          <w:sz w:val="24"/>
          <w:szCs w:val="24"/>
          <w:lang w:eastAsia="en-IN" w:bidi="ml-IN"/>
          <w14:ligatures w14:val="none"/>
        </w:rPr>
        <w:t>Fisheries have provided some of the earliest and most impactful applications of stable isotope analysis in South Asia Studies on hilsa (</w:t>
      </w:r>
      <w:proofErr w:type="spellStart"/>
      <w:r w:rsidRPr="00F13523">
        <w:rPr>
          <w:rFonts w:ascii="Times New Roman" w:eastAsia="Times New Roman" w:hAnsi="Times New Roman" w:cs="Times New Roman"/>
          <w:i/>
          <w:iCs/>
          <w:color w:val="000000" w:themeColor="text1"/>
          <w:kern w:val="0"/>
          <w:sz w:val="24"/>
          <w:szCs w:val="24"/>
          <w:lang w:eastAsia="en-IN" w:bidi="ml-IN"/>
          <w14:ligatures w14:val="none"/>
        </w:rPr>
        <w:t>Tenualosa</w:t>
      </w:r>
      <w:proofErr w:type="spellEnd"/>
      <w:r w:rsidRPr="00F13523">
        <w:rPr>
          <w:rFonts w:ascii="Times New Roman" w:eastAsia="Times New Roman" w:hAnsi="Times New Roman" w:cs="Times New Roman"/>
          <w:i/>
          <w:iCs/>
          <w:color w:val="000000" w:themeColor="text1"/>
          <w:kern w:val="0"/>
          <w:sz w:val="24"/>
          <w:szCs w:val="24"/>
          <w:lang w:eastAsia="en-IN" w:bidi="ml-IN"/>
          <w14:ligatures w14:val="none"/>
        </w:rPr>
        <w:t xml:space="preserve"> </w:t>
      </w:r>
      <w:proofErr w:type="spellStart"/>
      <w:r w:rsidRPr="00F13523">
        <w:rPr>
          <w:rFonts w:ascii="Times New Roman" w:eastAsia="Times New Roman" w:hAnsi="Times New Roman" w:cs="Times New Roman"/>
          <w:i/>
          <w:iCs/>
          <w:color w:val="000000" w:themeColor="text1"/>
          <w:kern w:val="0"/>
          <w:sz w:val="24"/>
          <w:szCs w:val="24"/>
          <w:lang w:eastAsia="en-IN" w:bidi="ml-IN"/>
          <w14:ligatures w14:val="none"/>
        </w:rPr>
        <w:t>ilisha</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a culturally and economically important species in eastern India and Bangladesh, have shown that stable isotopes can differentiate between migratory and resident stocks (Radhakrishnan et al., 2019;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Bhaumik</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202</w:t>
      </w:r>
      <w:r w:rsidR="009F1125" w:rsidRPr="00F13523">
        <w:rPr>
          <w:rFonts w:ascii="Times New Roman" w:eastAsia="Times New Roman" w:hAnsi="Times New Roman" w:cs="Times New Roman"/>
          <w:color w:val="000000" w:themeColor="text1"/>
          <w:kern w:val="0"/>
          <w:sz w:val="24"/>
          <w:szCs w:val="24"/>
          <w:lang w:eastAsia="en-IN" w:bidi="ml-IN"/>
          <w14:ligatures w14:val="none"/>
        </w:rPr>
        <w:t>4</w:t>
      </w:r>
      <w:r w:rsidRPr="00F13523">
        <w:rPr>
          <w:rFonts w:ascii="Times New Roman" w:eastAsia="Times New Roman" w:hAnsi="Times New Roman" w:cs="Times New Roman"/>
          <w:color w:val="000000" w:themeColor="text1"/>
          <w:kern w:val="0"/>
          <w:sz w:val="24"/>
          <w:szCs w:val="24"/>
          <w:lang w:eastAsia="en-IN" w:bidi="ml-IN"/>
          <w14:ligatures w14:val="none"/>
        </w:rPr>
        <w:t>).This has immediate relevance for sustainable management, as hilsa populations are under severe pressure from overfishing and habitat degradation (Islam et al., 2018).Similar isotope applications in marine systems, particularly along the Arabian Sea and Bay of Bengal coasts, have helped clarify trophic partitioning among fish species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Vivekanandan</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201</w:t>
      </w:r>
      <w:r w:rsidR="00BB7EFE" w:rsidRPr="00F13523">
        <w:rPr>
          <w:rFonts w:ascii="Times New Roman" w:eastAsia="Times New Roman" w:hAnsi="Times New Roman" w:cs="Times New Roman"/>
          <w:color w:val="000000" w:themeColor="text1"/>
          <w:kern w:val="0"/>
          <w:sz w:val="24"/>
          <w:szCs w:val="24"/>
          <w:lang w:eastAsia="en-IN" w:bidi="ml-IN"/>
          <w14:ligatures w14:val="none"/>
        </w:rPr>
        <w:t>0</w:t>
      </w:r>
      <w:r w:rsidRPr="00F13523">
        <w:rPr>
          <w:rFonts w:ascii="Times New Roman" w:eastAsia="Times New Roman" w:hAnsi="Times New Roman" w:cs="Times New Roman"/>
          <w:color w:val="000000" w:themeColor="text1"/>
          <w:kern w:val="0"/>
          <w:sz w:val="24"/>
          <w:szCs w:val="24"/>
          <w:lang w:eastAsia="en-IN" w:bidi="ml-IN"/>
          <w14:ligatures w14:val="none"/>
        </w:rPr>
        <w:t>).These insights are valuable both for biodiversity conservation and for the fishing communities that depend on these resources (Pauly et al., 2002).Avian research in South Asia is also beginning to harness the potential of isotopes (Kumar et al., 2020).</w:t>
      </w:r>
    </w:p>
    <w:p w14:paraId="440D98CE" w14:textId="72724A45" w:rsidR="008F218B" w:rsidRPr="00F13523" w:rsidRDefault="008F218B" w:rsidP="008F218B">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Preliminary work on painted storks, common sandpipers, and bar-headed geese suggests that hydrogen and oxygen isotopes in feathers can be powerful tools for tracing migratory connectivity along the Central Asian Flyway (Hobson et al., 2012; Singh et al., 2021).With India serving as a critical stopover and wintering ground for millions of migratory birds, isotopes could help clarify population linkages, identify key habitats, and strengthen flyway-scale conservation efforts (Newton, 2008; Kumar et al., 2020).Among mammals, isotopic approaches remain sparse but promising in the Indian context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Mondol</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202</w:t>
      </w:r>
      <w:r w:rsidR="00D366C7" w:rsidRPr="00F13523">
        <w:rPr>
          <w:rFonts w:ascii="Times New Roman" w:eastAsia="Times New Roman" w:hAnsi="Times New Roman" w:cs="Times New Roman"/>
          <w:color w:val="000000" w:themeColor="text1"/>
          <w:kern w:val="0"/>
          <w:sz w:val="24"/>
          <w:szCs w:val="24"/>
          <w:lang w:eastAsia="en-IN" w:bidi="ml-IN"/>
          <w14:ligatures w14:val="none"/>
        </w:rPr>
        <w:t>3</w:t>
      </w:r>
      <w:r w:rsidRPr="00F13523">
        <w:rPr>
          <w:rFonts w:ascii="Times New Roman" w:eastAsia="Times New Roman" w:hAnsi="Times New Roman" w:cs="Times New Roman"/>
          <w:color w:val="000000" w:themeColor="text1"/>
          <w:kern w:val="0"/>
          <w:sz w:val="24"/>
          <w:szCs w:val="24"/>
          <w:lang w:eastAsia="en-IN" w:bidi="ml-IN"/>
          <w14:ligatures w14:val="none"/>
        </w:rPr>
        <w:t xml:space="preserve">).Research on elephants has demonstrated dietary shifts between C₃ forest browse and C₄ crops, a finding directly relevant to understanding and mitigating human–elephant conflict (Sukumar et al., 2016;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Cerling</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2009).Such studies illustrate how isotopes can be applied to species at the interface of wilderness and human landscapes, a theme highly relevant for South Asia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Athreya</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et al., 2013).These ecosystems support rich biodiversity while also underpinning rural livelihoods, making them excellent systems for linking ecological insights with human well-being (Millennium Ecosystem Assessment, 2005).</w:t>
      </w:r>
    </w:p>
    <w:p w14:paraId="2D81B203" w14:textId="58ABF5D8" w:rsidR="00CE43CE" w:rsidRPr="00F13523" w:rsidRDefault="008F218B" w:rsidP="008F218B">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lastRenderedPageBreak/>
        <w:t xml:space="preserve">Developing national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isoscapes</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for δ²H, δ¹⁸O, and δ³⁴S, alongside strengthening isotope laboratories and reference collections, will be critical to bridging the current gap between global advances and regional applications (West et al., 2010; Bowen et al., 2005).</w:t>
      </w:r>
    </w:p>
    <w:p w14:paraId="158E368F" w14:textId="77777777" w:rsidR="0057591C" w:rsidRPr="00F13523" w:rsidRDefault="00F914E2" w:rsidP="0057591C">
      <w:pPr>
        <w:spacing w:before="100" w:beforeAutospacing="1" w:after="100" w:afterAutospacing="1" w:line="240" w:lineRule="auto"/>
        <w:jc w:val="both"/>
        <w:outlineLvl w:val="1"/>
        <w:rPr>
          <w:rFonts w:ascii="Times New Roman" w:eastAsia="Times New Roman" w:hAnsi="Times New Roman" w:cs="Times New Roman"/>
          <w:b/>
          <w:bCs/>
          <w:color w:val="000000" w:themeColor="text1"/>
          <w:kern w:val="0"/>
          <w:sz w:val="36"/>
          <w:szCs w:val="36"/>
          <w:lang w:eastAsia="en-IN" w:bidi="ml-IN"/>
          <w14:ligatures w14:val="none"/>
        </w:rPr>
      </w:pPr>
      <w:r w:rsidRPr="00F13523">
        <w:rPr>
          <w:rFonts w:ascii="Times New Roman" w:eastAsia="Times New Roman" w:hAnsi="Times New Roman" w:cs="Times New Roman"/>
          <w:b/>
          <w:bCs/>
          <w:color w:val="000000" w:themeColor="text1"/>
          <w:kern w:val="0"/>
          <w:sz w:val="36"/>
          <w:szCs w:val="36"/>
          <w:lang w:eastAsia="en-IN" w:bidi="ml-IN"/>
          <w14:ligatures w14:val="none"/>
        </w:rPr>
        <w:t>Policy and Conservation Implications</w:t>
      </w:r>
    </w:p>
    <w:p w14:paraId="6D45FBA9" w14:textId="031854D4" w:rsidR="001E2487" w:rsidRPr="00F13523" w:rsidRDefault="001E2487" w:rsidP="0057591C">
      <w:pPr>
        <w:spacing w:before="100" w:beforeAutospacing="1" w:after="100" w:afterAutospacing="1" w:line="240" w:lineRule="auto"/>
        <w:jc w:val="both"/>
        <w:outlineLvl w:val="1"/>
        <w:rPr>
          <w:rFonts w:ascii="Times New Roman" w:eastAsia="Times New Roman" w:hAnsi="Times New Roman" w:cs="Times New Roman"/>
          <w:b/>
          <w:bCs/>
          <w:color w:val="000000" w:themeColor="text1"/>
          <w:kern w:val="0"/>
          <w:sz w:val="36"/>
          <w:szCs w:val="36"/>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Modern wildlife management increasingly requires practical and evidence-based approaches that can guide conservation decisions while also addressing the needs of people who share landscapes with wildlife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Liordos</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2024). Stable isotope studies are proving especially valuable in this regard because they generate insights that are not only ecological but also directly applicable to law enforcement, fisheries management, conflict mitigation, and environmental </w:t>
      </w:r>
      <w:r w:rsidR="0057591C" w:rsidRPr="00F13523">
        <w:rPr>
          <w:rFonts w:ascii="Times New Roman" w:eastAsia="Times New Roman" w:hAnsi="Times New Roman" w:cs="Times New Roman"/>
          <w:color w:val="000000" w:themeColor="text1"/>
          <w:kern w:val="0"/>
          <w:sz w:val="24"/>
          <w:szCs w:val="24"/>
          <w:lang w:eastAsia="en-IN" w:bidi="ml-IN"/>
          <w14:ligatures w14:val="none"/>
        </w:rPr>
        <w:t>health. One</w:t>
      </w:r>
      <w:r w:rsidRPr="00F13523">
        <w:rPr>
          <w:rFonts w:ascii="Times New Roman" w:eastAsia="Times New Roman" w:hAnsi="Times New Roman" w:cs="Times New Roman"/>
          <w:color w:val="000000" w:themeColor="text1"/>
          <w:kern w:val="0"/>
          <w:sz w:val="24"/>
          <w:szCs w:val="24"/>
          <w:lang w:eastAsia="en-IN" w:bidi="ml-IN"/>
          <w14:ligatures w14:val="none"/>
        </w:rPr>
        <w:t xml:space="preserve"> of the most powerful applications has been in tackling the illegal wildlife trade. Isotopic signatures can act as geographic fingerprints, helping authorities determine where products such as ivory, rhino horn, shark fins, or pangolin scales originated. This strengthens enforcement of international conventions like CITES and provides courts with scientifically reliable evidence to prosecute wildlife </w:t>
      </w:r>
      <w:r w:rsidR="0057591C" w:rsidRPr="00F13523">
        <w:rPr>
          <w:rFonts w:ascii="Times New Roman" w:eastAsia="Times New Roman" w:hAnsi="Times New Roman" w:cs="Times New Roman"/>
          <w:color w:val="000000" w:themeColor="text1"/>
          <w:kern w:val="0"/>
          <w:sz w:val="24"/>
          <w:szCs w:val="24"/>
          <w:lang w:eastAsia="en-IN" w:bidi="ml-IN"/>
          <w14:ligatures w14:val="none"/>
        </w:rPr>
        <w:t>crimes. In</w:t>
      </w:r>
      <w:r w:rsidRPr="00F13523">
        <w:rPr>
          <w:rFonts w:ascii="Times New Roman" w:eastAsia="Times New Roman" w:hAnsi="Times New Roman" w:cs="Times New Roman"/>
          <w:color w:val="000000" w:themeColor="text1"/>
          <w:kern w:val="0"/>
          <w:sz w:val="24"/>
          <w:szCs w:val="24"/>
          <w:lang w:eastAsia="en-IN" w:bidi="ml-IN"/>
          <w14:ligatures w14:val="none"/>
        </w:rPr>
        <w:t xml:space="preserve"> the field of natural resource management, isotopes have been particularly useful in fisheries. For example, research on hilsa has shown that migratory and resident stocks can be distinguished isotopically, allowing managers to design harvest strategies that protect vulnerable populations while ensuring continued availability for local communities. Such approaches could easily be extended to other important fish species across India and South Asia.</w:t>
      </w:r>
    </w:p>
    <w:p w14:paraId="02C60B49" w14:textId="63E9272B" w:rsidR="001E2487" w:rsidRPr="00F13523" w:rsidRDefault="001E2487"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Isotopes also offer important insights into human–wildlife conflict, which has become one of the most pressing conservation issues in India. By identifying the proportion of crops in elephant diets or clarifying the feeding behaviour of jackals, isotopic evidence helps explain why and how animals interact with human-dominated landscapes. This knowledge is critical for designing coexistence strategies that reduce losses for people while safeguarding wildlife.</w:t>
      </w:r>
      <w:r w:rsidR="008F218B"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color w:val="000000" w:themeColor="text1"/>
          <w:kern w:val="0"/>
          <w:sz w:val="24"/>
          <w:szCs w:val="24"/>
          <w:lang w:eastAsia="en-IN" w:bidi="ml-IN"/>
          <w14:ligatures w14:val="none"/>
        </w:rPr>
        <w:t>Another growing field is ecotoxicology, where isotopes are used to trace contaminants such as mercury and pesticides through food webs. These findings are highly relevant not only for protecting biodiversity but also for the health of rural communities that depend heavily on fish and other natural resources.</w:t>
      </w:r>
      <w:r w:rsidR="008F218B" w:rsidRPr="00F13523">
        <w:rPr>
          <w:rFonts w:ascii="Times New Roman" w:eastAsia="Times New Roman" w:hAnsi="Times New Roman" w:cs="Times New Roman"/>
          <w:color w:val="000000" w:themeColor="text1"/>
          <w:kern w:val="0"/>
          <w:sz w:val="24"/>
          <w:szCs w:val="24"/>
          <w:lang w:eastAsia="en-IN" w:bidi="ml-IN"/>
          <w14:ligatures w14:val="none"/>
        </w:rPr>
        <w:t xml:space="preserve"> </w:t>
      </w:r>
      <w:r w:rsidRPr="00F13523">
        <w:rPr>
          <w:rFonts w:ascii="Times New Roman" w:eastAsia="Times New Roman" w:hAnsi="Times New Roman" w:cs="Times New Roman"/>
          <w:color w:val="000000" w:themeColor="text1"/>
          <w:kern w:val="0"/>
          <w:sz w:val="24"/>
          <w:szCs w:val="24"/>
          <w:lang w:eastAsia="en-IN" w:bidi="ml-IN"/>
          <w14:ligatures w14:val="none"/>
        </w:rPr>
        <w:t>By connecting ecological research with law enforcement, livelihood security, and public health, stable isotope work shows how science can be applied to real-world conservation challenges. It demonstrates that protecting biodiversity is not an isolated goal but part of a broader effort to achieve sustainability and coexistence in shared landscapes.</w:t>
      </w:r>
    </w:p>
    <w:p w14:paraId="4A4304CF" w14:textId="77777777" w:rsidR="0023006F" w:rsidRPr="00F13523" w:rsidRDefault="0023006F" w:rsidP="0057591C">
      <w:pPr>
        <w:spacing w:before="100" w:beforeAutospacing="1" w:after="100" w:afterAutospacing="1" w:line="240" w:lineRule="auto"/>
        <w:jc w:val="both"/>
        <w:outlineLvl w:val="1"/>
        <w:rPr>
          <w:rFonts w:ascii="Times New Roman" w:eastAsia="Times New Roman" w:hAnsi="Times New Roman" w:cs="Times New Roman"/>
          <w:b/>
          <w:bCs/>
          <w:color w:val="000000" w:themeColor="text1"/>
          <w:kern w:val="0"/>
          <w:sz w:val="36"/>
          <w:szCs w:val="36"/>
          <w:lang w:eastAsia="en-IN" w:bidi="ml-IN"/>
          <w14:ligatures w14:val="none"/>
        </w:rPr>
      </w:pPr>
      <w:r w:rsidRPr="00F13523">
        <w:rPr>
          <w:rFonts w:ascii="Times New Roman" w:eastAsia="Times New Roman" w:hAnsi="Times New Roman" w:cs="Times New Roman"/>
          <w:b/>
          <w:bCs/>
          <w:color w:val="000000" w:themeColor="text1"/>
          <w:kern w:val="0"/>
          <w:sz w:val="36"/>
          <w:szCs w:val="36"/>
          <w:lang w:eastAsia="en-IN" w:bidi="ml-IN"/>
          <w14:ligatures w14:val="none"/>
        </w:rPr>
        <w:t>Conclusion</w:t>
      </w:r>
    </w:p>
    <w:p w14:paraId="3BF45729" w14:textId="25426D76" w:rsidR="003C4FDF" w:rsidRPr="00F13523" w:rsidRDefault="00C731B2" w:rsidP="00C5790F">
      <w:pPr>
        <w:pStyle w:val="NormalWeb"/>
        <w:spacing w:after="0" w:afterAutospacing="0"/>
        <w:jc w:val="both"/>
        <w:rPr>
          <w:color w:val="000000" w:themeColor="text1"/>
        </w:rPr>
      </w:pPr>
      <w:r w:rsidRPr="00F13523">
        <w:rPr>
          <w:color w:val="000000" w:themeColor="text1"/>
        </w:rPr>
        <w:t xml:space="preserve">Stable isotope analysis (SIA) has matured into one of the most powerful and versatile approaches in wildlife ecology, bridging the gap between hidden ecological processes and tangible conservation outcomes. </w:t>
      </w:r>
      <w:r w:rsidR="003C4FDF" w:rsidRPr="00F13523">
        <w:rPr>
          <w:color w:val="000000" w:themeColor="text1"/>
        </w:rPr>
        <w:t>The future of stable isotope ecology lies in its capacity to become more precise, more interdisciplinary, and more widely accessible. Technological innovation is rapidly moving the field beyond laboratory-bound analyses, with the emergence of portable isotope analysers enabling near real-time, field-based measurements of diets, water sources, and habitat use. Such developments have the potential to reduce analytical costs, democratise access, and substantially expand isotope applications in regions such as India, where laboratory infrastructure remains limited.</w:t>
      </w:r>
    </w:p>
    <w:p w14:paraId="2063EF2A" w14:textId="006E1EDD" w:rsidR="003C4FDF" w:rsidRPr="00F13523" w:rsidRDefault="003C4FDF" w:rsidP="003613B1">
      <w:pPr>
        <w:pStyle w:val="NormalWeb"/>
        <w:spacing w:before="0" w:beforeAutospacing="0" w:after="0" w:afterAutospacing="0"/>
        <w:jc w:val="both"/>
        <w:rPr>
          <w:color w:val="000000" w:themeColor="text1"/>
        </w:rPr>
      </w:pPr>
      <w:r w:rsidRPr="00F13523">
        <w:rPr>
          <w:color w:val="000000" w:themeColor="text1"/>
        </w:rPr>
        <w:t xml:space="preserve">Methodological refinement will continue to drive progress. Compound-specific isotope analysis (CSIA), particularly of amino acids and fatty acids, is redefining trophic ecology by </w:t>
      </w:r>
      <w:r w:rsidRPr="00F13523">
        <w:rPr>
          <w:color w:val="000000" w:themeColor="text1"/>
        </w:rPr>
        <w:lastRenderedPageBreak/>
        <w:t>decoupling consumer signatures from baseline variability and enabling baseline-independent estimates of trophic position and metabolic routing. Alongside this, Bayesian statistical frameworks provide transparent, probabilistic dietary reconstructions that explicitly incorporate uncertainty and can be integrated with complementary data sources such as telemetry, camera trapping, and behavioural observations. The next phase of isotope ecology is likely to be characterised by multi-tracer and multi-platform approaches that combine isotopes with genetics, trace elements, metabolomics, Earth system models, and remote sensing, offering unprecedented resolution in tracking energy flow, animal movement, and ecosystem connectivity.</w:t>
      </w:r>
    </w:p>
    <w:p w14:paraId="34DAE152" w14:textId="27F9CF9C" w:rsidR="003C4FDF" w:rsidRDefault="003C4FDF" w:rsidP="00C5790F">
      <w:pPr>
        <w:pStyle w:val="NormalWeb"/>
        <w:spacing w:before="0" w:beforeAutospacing="0" w:after="0" w:afterAutospacing="0"/>
        <w:jc w:val="both"/>
        <w:rPr>
          <w:color w:val="000000" w:themeColor="text1"/>
        </w:rPr>
      </w:pPr>
      <w:r w:rsidRPr="00F13523">
        <w:rPr>
          <w:color w:val="000000" w:themeColor="text1"/>
        </w:rPr>
        <w:t xml:space="preserve">Stable isotope applications are also becoming increasingly interdisciplinary. In archaeology and </w:t>
      </w:r>
      <w:proofErr w:type="spellStart"/>
      <w:r w:rsidRPr="00F13523">
        <w:rPr>
          <w:color w:val="000000" w:themeColor="text1"/>
        </w:rPr>
        <w:t>palaeoecology</w:t>
      </w:r>
      <w:proofErr w:type="spellEnd"/>
      <w:r w:rsidRPr="00F13523">
        <w:rPr>
          <w:color w:val="000000" w:themeColor="text1"/>
        </w:rPr>
        <w:t xml:space="preserve">, isotopic records reconstruct ancient diets, agricultural transitions, and past climates, providing long-term context for contemporary environmental change. In forensics and wildlife trade investigations, isotopes are emerging as powerful tools for determining geographic origin and provenance, strengthening conservation enforcement and policy relevance. Non-invasive sampling </w:t>
      </w:r>
      <w:r w:rsidR="00CB169C" w:rsidRPr="00F13523">
        <w:rPr>
          <w:color w:val="000000" w:themeColor="text1"/>
        </w:rPr>
        <w:t>strategies, using</w:t>
      </w:r>
      <w:r w:rsidRPr="00F13523">
        <w:rPr>
          <w:color w:val="000000" w:themeColor="text1"/>
        </w:rPr>
        <w:t xml:space="preserve"> faeces, hair, feathers, baleen, and archived </w:t>
      </w:r>
      <w:r w:rsidR="00CB169C" w:rsidRPr="00F13523">
        <w:rPr>
          <w:color w:val="000000" w:themeColor="text1"/>
        </w:rPr>
        <w:t>materials, are</w:t>
      </w:r>
      <w:r w:rsidRPr="00F13523">
        <w:rPr>
          <w:color w:val="000000" w:themeColor="text1"/>
        </w:rPr>
        <w:t xml:space="preserve"> further expanding the ethical and practical reach of isotope studies, particularly for threatened species.</w:t>
      </w:r>
    </w:p>
    <w:p w14:paraId="4C02D012" w14:textId="77777777" w:rsidR="003C4FDF" w:rsidRPr="00F13523" w:rsidRDefault="003C4FDF" w:rsidP="00C5790F">
      <w:pPr>
        <w:pStyle w:val="NormalWeb"/>
        <w:spacing w:before="0" w:beforeAutospacing="0" w:after="0" w:afterAutospacing="0"/>
        <w:jc w:val="both"/>
        <w:rPr>
          <w:color w:val="000000" w:themeColor="text1"/>
        </w:rPr>
      </w:pPr>
    </w:p>
    <w:p w14:paraId="2E435E73" w14:textId="1BA2B358" w:rsidR="003C4FDF" w:rsidRPr="00F13523" w:rsidRDefault="003C4FDF" w:rsidP="003613B1">
      <w:pPr>
        <w:pStyle w:val="NormalWeb"/>
        <w:spacing w:before="0" w:beforeAutospacing="0" w:after="0" w:afterAutospacing="0"/>
        <w:jc w:val="both"/>
        <w:rPr>
          <w:color w:val="000000" w:themeColor="text1"/>
        </w:rPr>
      </w:pPr>
      <w:r w:rsidRPr="00F13523">
        <w:rPr>
          <w:color w:val="000000" w:themeColor="text1"/>
        </w:rPr>
        <w:t xml:space="preserve">For India, future opportunities are especially significant. The development of fine-scale national </w:t>
      </w:r>
      <w:proofErr w:type="spellStart"/>
      <w:r w:rsidRPr="00F13523">
        <w:rPr>
          <w:color w:val="000000" w:themeColor="text1"/>
        </w:rPr>
        <w:t>isoscapes</w:t>
      </w:r>
      <w:proofErr w:type="spellEnd"/>
      <w:r w:rsidRPr="00F13523">
        <w:rPr>
          <w:color w:val="000000" w:themeColor="text1"/>
        </w:rPr>
        <w:t xml:space="preserve"> for hydrogen, oxygen, sulphur, and related tracers would greatly enhance migration, habitat-use, and provenance studies. Mobilising museum collections, long-term ecological datasets, and citizen science initiatives could generate baseline data at spatial and temporal scales unattainable through new sampling alone.</w:t>
      </w:r>
      <w:r w:rsidR="00C85A53">
        <w:rPr>
          <w:color w:val="000000" w:themeColor="text1"/>
        </w:rPr>
        <w:t xml:space="preserve"> </w:t>
      </w:r>
      <w:r w:rsidRPr="00F13523">
        <w:rPr>
          <w:color w:val="000000" w:themeColor="text1"/>
        </w:rPr>
        <w:t>Applications in fisheries management, wetland conservation, human–wildlife conflict mitigation, and migratory bird monitoring offer direct links between isotope ecology, livelihoods, and sustainability.</w:t>
      </w:r>
    </w:p>
    <w:p w14:paraId="698B29EE" w14:textId="77777777" w:rsidR="003C4FDF" w:rsidRPr="00F13523" w:rsidRDefault="003C4FDF" w:rsidP="003613B1">
      <w:pPr>
        <w:pStyle w:val="NormalWeb"/>
        <w:spacing w:before="0" w:beforeAutospacing="0" w:after="0" w:afterAutospacing="0"/>
        <w:jc w:val="both"/>
        <w:rPr>
          <w:color w:val="000000" w:themeColor="text1"/>
        </w:rPr>
      </w:pPr>
      <w:r w:rsidRPr="00F13523">
        <w:rPr>
          <w:color w:val="000000" w:themeColor="text1"/>
        </w:rPr>
        <w:t xml:space="preserve">Stable isotope analysis has matured into one of the most powerful and versatile approaches in wildlife ecology, uniquely capable of revealing hidden ecological processes and translating them into tangible conservation outcomes. By transforming biological tissues into integrated records of diet, movement, and environmental exposure, isotopes provide insights that extend far beyond the momentary snapshots offered by many traditional methods. Continued advances in CSIA, Bayesian modelling, multivariate isotope frameworks, and </w:t>
      </w:r>
      <w:proofErr w:type="spellStart"/>
      <w:r w:rsidRPr="00F13523">
        <w:rPr>
          <w:color w:val="000000" w:themeColor="text1"/>
        </w:rPr>
        <w:t>isoscape</w:t>
      </w:r>
      <w:proofErr w:type="spellEnd"/>
      <w:r w:rsidRPr="00F13523">
        <w:rPr>
          <w:color w:val="000000" w:themeColor="text1"/>
        </w:rPr>
        <w:t xml:space="preserve"> development have substantially reduced earlier limitations related to baseline variability and interpretative ambiguity.</w:t>
      </w:r>
    </w:p>
    <w:p w14:paraId="64B92CF4" w14:textId="06DF6554" w:rsidR="00AD3B8C" w:rsidRDefault="003C4FDF" w:rsidP="00C5790F">
      <w:pPr>
        <w:pStyle w:val="NormalWeb"/>
        <w:spacing w:after="0" w:afterAutospacing="0"/>
        <w:jc w:val="both"/>
        <w:rPr>
          <w:color w:val="000000" w:themeColor="text1"/>
        </w:rPr>
      </w:pPr>
      <w:r w:rsidRPr="00F13523">
        <w:rPr>
          <w:color w:val="000000" w:themeColor="text1"/>
        </w:rPr>
        <w:t>As biodiversity faces escalating pressures from climate change, land-use transformation, pollution, and illegal trade, stable isotope ecology offers invisible but indispensable clues for understanding and managing ecological change. By combining methodological innovation with interdisciplinary integration and regional capacity building, stable isotope analysis is poised to remain a cornerstone of ecological research and conservation practice globally—and, with sustained investment, to play a transformative role in advancing wildlife science and management in India in the decades to come.</w:t>
      </w:r>
    </w:p>
    <w:p w14:paraId="6120F9AD" w14:textId="7E79A141" w:rsidR="00B6596D" w:rsidRPr="00B6596D" w:rsidRDefault="0023006F" w:rsidP="00B6596D">
      <w:pPr>
        <w:spacing w:before="100" w:beforeAutospacing="1" w:after="100" w:afterAutospacing="1" w:line="240" w:lineRule="auto"/>
        <w:jc w:val="both"/>
        <w:outlineLvl w:val="1"/>
        <w:rPr>
          <w:rFonts w:ascii="Times New Roman" w:eastAsia="Times New Roman" w:hAnsi="Times New Roman" w:cs="Times New Roman"/>
          <w:b/>
          <w:bCs/>
          <w:color w:val="000000" w:themeColor="text1"/>
          <w:kern w:val="0"/>
          <w:sz w:val="36"/>
          <w:szCs w:val="36"/>
          <w:lang w:eastAsia="en-IN" w:bidi="ml-IN"/>
          <w14:ligatures w14:val="none"/>
        </w:rPr>
      </w:pPr>
      <w:r w:rsidRPr="00F13523">
        <w:rPr>
          <w:rFonts w:ascii="Times New Roman" w:eastAsia="Times New Roman" w:hAnsi="Times New Roman" w:cs="Times New Roman"/>
          <w:b/>
          <w:bCs/>
          <w:color w:val="000000" w:themeColor="text1"/>
          <w:kern w:val="0"/>
          <w:sz w:val="36"/>
          <w:szCs w:val="36"/>
          <w:lang w:eastAsia="en-IN" w:bidi="ml-IN"/>
          <w14:ligatures w14:val="none"/>
        </w:rPr>
        <w:t>References</w:t>
      </w:r>
    </w:p>
    <w:p w14:paraId="75B85ED5" w14:textId="77777777" w:rsidR="008B6A6B" w:rsidRDefault="008B6A6B" w:rsidP="0057591C">
      <w:pPr>
        <w:jc w:val="both"/>
        <w:rPr>
          <w:rFonts w:ascii="Times New Roman" w:hAnsi="Times New Roman" w:cs="Times New Roman"/>
          <w:color w:val="000000" w:themeColor="text1"/>
          <w:sz w:val="24"/>
          <w:szCs w:val="24"/>
        </w:rPr>
      </w:pPr>
      <w:r w:rsidRPr="008B6A6B">
        <w:rPr>
          <w:rFonts w:ascii="Times New Roman" w:hAnsi="Times New Roman" w:cs="Times New Roman"/>
          <w:color w:val="000000" w:themeColor="text1"/>
          <w:sz w:val="24"/>
          <w:szCs w:val="24"/>
        </w:rPr>
        <w:t>Aggarwal, S.K. and You, C.F., 2017. A review on the determination of isotope ratios of boron with mass spectrometry. Mass Spectrometry Reviews, 36(4), pp.499-519.</w:t>
      </w:r>
    </w:p>
    <w:p w14:paraId="6DFAB84C" w14:textId="61116AC5" w:rsidR="00B6596D" w:rsidRPr="00034E2A" w:rsidRDefault="008B6A6B" w:rsidP="00034E2A">
      <w:pPr>
        <w:pStyle w:val="NormalWeb"/>
        <w:jc w:val="both"/>
        <w:rPr>
          <w:color w:val="000000" w:themeColor="text1"/>
        </w:rPr>
      </w:pPr>
      <w:r w:rsidRPr="008B6A6B">
        <w:rPr>
          <w:rFonts w:eastAsiaTheme="minorHAnsi"/>
          <w:color w:val="000000" w:themeColor="text1"/>
          <w:kern w:val="2"/>
          <w:lang w:eastAsia="en-US" w:bidi="ar-SA"/>
          <w14:ligatures w14:val="standardContextual"/>
        </w:rPr>
        <w:t xml:space="preserve">Ambrose, S.H. and </w:t>
      </w:r>
      <w:proofErr w:type="spellStart"/>
      <w:r w:rsidRPr="008B6A6B">
        <w:rPr>
          <w:rFonts w:eastAsiaTheme="minorHAnsi"/>
          <w:color w:val="000000" w:themeColor="text1"/>
          <w:kern w:val="2"/>
          <w:lang w:eastAsia="en-US" w:bidi="ar-SA"/>
          <w14:ligatures w14:val="standardContextual"/>
        </w:rPr>
        <w:t>Norr</w:t>
      </w:r>
      <w:proofErr w:type="spellEnd"/>
      <w:r w:rsidRPr="008B6A6B">
        <w:rPr>
          <w:rFonts w:eastAsiaTheme="minorHAnsi"/>
          <w:color w:val="000000" w:themeColor="text1"/>
          <w:kern w:val="2"/>
          <w:lang w:eastAsia="en-US" w:bidi="ar-SA"/>
          <w14:ligatures w14:val="standardContextual"/>
        </w:rPr>
        <w:t xml:space="preserve">, L., 1993. Experimental evidence for the relationship of the carbon isotope ratios of whole diet and dietary protein to those of bone collagen and carbonate. </w:t>
      </w:r>
      <w:r w:rsidRPr="008B6A6B">
        <w:rPr>
          <w:rFonts w:eastAsiaTheme="minorHAnsi"/>
          <w:color w:val="000000" w:themeColor="text1"/>
          <w:kern w:val="2"/>
          <w:lang w:eastAsia="en-US" w:bidi="ar-SA"/>
          <w14:ligatures w14:val="standardContextual"/>
        </w:rPr>
        <w:lastRenderedPageBreak/>
        <w:t>In </w:t>
      </w:r>
      <w:r w:rsidRPr="008B6A6B">
        <w:rPr>
          <w:rFonts w:eastAsiaTheme="minorHAnsi"/>
          <w:i/>
          <w:iCs/>
          <w:color w:val="000000" w:themeColor="text1"/>
          <w:kern w:val="2"/>
          <w:lang w:eastAsia="en-US" w:bidi="ar-SA"/>
          <w14:ligatures w14:val="standardContextual"/>
        </w:rPr>
        <w:t>Prehistoric human bone: archaeology at the molecular level</w:t>
      </w:r>
      <w:r w:rsidRPr="008B6A6B">
        <w:rPr>
          <w:rFonts w:eastAsiaTheme="minorHAnsi"/>
          <w:color w:val="000000" w:themeColor="text1"/>
          <w:kern w:val="2"/>
          <w:lang w:eastAsia="en-US" w:bidi="ar-SA"/>
          <w14:ligatures w14:val="standardContextual"/>
        </w:rPr>
        <w:t xml:space="preserve"> (pp. 1-37). Berlin, Heidelberg: Springer Berlin </w:t>
      </w:r>
      <w:proofErr w:type="spellStart"/>
      <w:r w:rsidRPr="008B6A6B">
        <w:rPr>
          <w:rFonts w:eastAsiaTheme="minorHAnsi"/>
          <w:color w:val="000000" w:themeColor="text1"/>
          <w:kern w:val="2"/>
          <w:lang w:eastAsia="en-US" w:bidi="ar-SA"/>
          <w14:ligatures w14:val="standardContextual"/>
        </w:rPr>
        <w:t>Heidelberg.</w:t>
      </w:r>
      <w:r w:rsidR="00B6596D" w:rsidRPr="00034E2A">
        <w:rPr>
          <w:color w:val="000000" w:themeColor="text1"/>
        </w:rPr>
        <w:t>Assessment</w:t>
      </w:r>
      <w:proofErr w:type="spellEnd"/>
      <w:r w:rsidR="00B6596D" w:rsidRPr="00034E2A">
        <w:rPr>
          <w:color w:val="000000" w:themeColor="text1"/>
        </w:rPr>
        <w:t>, M.E., 2005. Ecosystems and human well-being: our human planet-summary for decision-makers.</w:t>
      </w:r>
    </w:p>
    <w:p w14:paraId="788C8BCE" w14:textId="77777777" w:rsidR="008B6A6B" w:rsidRDefault="008B6A6B"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8B6A6B">
        <w:rPr>
          <w:rFonts w:ascii="Times New Roman" w:eastAsia="Times New Roman" w:hAnsi="Times New Roman" w:cs="Times New Roman"/>
          <w:color w:val="000000" w:themeColor="text1"/>
          <w:kern w:val="0"/>
          <w:sz w:val="24"/>
          <w:szCs w:val="24"/>
          <w:lang w:eastAsia="en-IN" w:bidi="ml-IN"/>
          <w14:ligatures w14:val="none"/>
        </w:rPr>
        <w:t>Athreya</w:t>
      </w:r>
      <w:proofErr w:type="spellEnd"/>
      <w:r w:rsidRPr="008B6A6B">
        <w:rPr>
          <w:rFonts w:ascii="Times New Roman" w:eastAsia="Times New Roman" w:hAnsi="Times New Roman" w:cs="Times New Roman"/>
          <w:color w:val="000000" w:themeColor="text1"/>
          <w:kern w:val="0"/>
          <w:sz w:val="24"/>
          <w:szCs w:val="24"/>
          <w:lang w:eastAsia="en-IN" w:bidi="ml-IN"/>
          <w14:ligatures w14:val="none"/>
        </w:rPr>
        <w:t xml:space="preserve">, V., </w:t>
      </w:r>
      <w:proofErr w:type="spellStart"/>
      <w:r w:rsidRPr="008B6A6B">
        <w:rPr>
          <w:rFonts w:ascii="Times New Roman" w:eastAsia="Times New Roman" w:hAnsi="Times New Roman" w:cs="Times New Roman"/>
          <w:color w:val="000000" w:themeColor="text1"/>
          <w:kern w:val="0"/>
          <w:sz w:val="24"/>
          <w:szCs w:val="24"/>
          <w:lang w:eastAsia="en-IN" w:bidi="ml-IN"/>
          <w14:ligatures w14:val="none"/>
        </w:rPr>
        <w:t>Odden</w:t>
      </w:r>
      <w:proofErr w:type="spellEnd"/>
      <w:r w:rsidRPr="008B6A6B">
        <w:rPr>
          <w:rFonts w:ascii="Times New Roman" w:eastAsia="Times New Roman" w:hAnsi="Times New Roman" w:cs="Times New Roman"/>
          <w:color w:val="000000" w:themeColor="text1"/>
          <w:kern w:val="0"/>
          <w:sz w:val="24"/>
          <w:szCs w:val="24"/>
          <w:lang w:eastAsia="en-IN" w:bidi="ml-IN"/>
          <w14:ligatures w14:val="none"/>
        </w:rPr>
        <w:t xml:space="preserve">, M., Linnell, J.D., Krishnaswamy, J. and </w:t>
      </w:r>
      <w:proofErr w:type="spellStart"/>
      <w:r w:rsidRPr="008B6A6B">
        <w:rPr>
          <w:rFonts w:ascii="Times New Roman" w:eastAsia="Times New Roman" w:hAnsi="Times New Roman" w:cs="Times New Roman"/>
          <w:color w:val="000000" w:themeColor="text1"/>
          <w:kern w:val="0"/>
          <w:sz w:val="24"/>
          <w:szCs w:val="24"/>
          <w:lang w:eastAsia="en-IN" w:bidi="ml-IN"/>
          <w14:ligatures w14:val="none"/>
        </w:rPr>
        <w:t>Karanth</w:t>
      </w:r>
      <w:proofErr w:type="spellEnd"/>
      <w:r w:rsidRPr="008B6A6B">
        <w:rPr>
          <w:rFonts w:ascii="Times New Roman" w:eastAsia="Times New Roman" w:hAnsi="Times New Roman" w:cs="Times New Roman"/>
          <w:color w:val="000000" w:themeColor="text1"/>
          <w:kern w:val="0"/>
          <w:sz w:val="24"/>
          <w:szCs w:val="24"/>
          <w:lang w:eastAsia="en-IN" w:bidi="ml-IN"/>
          <w14:ligatures w14:val="none"/>
        </w:rPr>
        <w:t>, U., 2013. Big cats in our backyards: persistence of large carnivores in a human dominated landscape in India. </w:t>
      </w:r>
      <w:proofErr w:type="spellStart"/>
      <w:r w:rsidRPr="008B6A6B">
        <w:rPr>
          <w:rFonts w:ascii="Times New Roman" w:eastAsia="Times New Roman" w:hAnsi="Times New Roman" w:cs="Times New Roman"/>
          <w:i/>
          <w:iCs/>
          <w:color w:val="000000" w:themeColor="text1"/>
          <w:kern w:val="0"/>
          <w:sz w:val="24"/>
          <w:szCs w:val="24"/>
          <w:lang w:eastAsia="en-IN" w:bidi="ml-IN"/>
          <w14:ligatures w14:val="none"/>
        </w:rPr>
        <w:t>PloS</w:t>
      </w:r>
      <w:proofErr w:type="spellEnd"/>
      <w:r w:rsidRPr="008B6A6B">
        <w:rPr>
          <w:rFonts w:ascii="Times New Roman" w:eastAsia="Times New Roman" w:hAnsi="Times New Roman" w:cs="Times New Roman"/>
          <w:i/>
          <w:iCs/>
          <w:color w:val="000000" w:themeColor="text1"/>
          <w:kern w:val="0"/>
          <w:sz w:val="24"/>
          <w:szCs w:val="24"/>
          <w:lang w:eastAsia="en-IN" w:bidi="ml-IN"/>
          <w14:ligatures w14:val="none"/>
        </w:rPr>
        <w:t xml:space="preserve"> one</w:t>
      </w:r>
      <w:r w:rsidRPr="008B6A6B">
        <w:rPr>
          <w:rFonts w:ascii="Times New Roman" w:eastAsia="Times New Roman" w:hAnsi="Times New Roman" w:cs="Times New Roman"/>
          <w:color w:val="000000" w:themeColor="text1"/>
          <w:kern w:val="0"/>
          <w:sz w:val="24"/>
          <w:szCs w:val="24"/>
          <w:lang w:eastAsia="en-IN" w:bidi="ml-IN"/>
          <w14:ligatures w14:val="none"/>
        </w:rPr>
        <w:t>, </w:t>
      </w:r>
      <w:r w:rsidRPr="008B6A6B">
        <w:rPr>
          <w:rFonts w:ascii="Times New Roman" w:eastAsia="Times New Roman" w:hAnsi="Times New Roman" w:cs="Times New Roman"/>
          <w:i/>
          <w:iCs/>
          <w:color w:val="000000" w:themeColor="text1"/>
          <w:kern w:val="0"/>
          <w:sz w:val="24"/>
          <w:szCs w:val="24"/>
          <w:lang w:eastAsia="en-IN" w:bidi="ml-IN"/>
          <w14:ligatures w14:val="none"/>
        </w:rPr>
        <w:t>8</w:t>
      </w:r>
      <w:r w:rsidRPr="008B6A6B">
        <w:rPr>
          <w:rFonts w:ascii="Times New Roman" w:eastAsia="Times New Roman" w:hAnsi="Times New Roman" w:cs="Times New Roman"/>
          <w:color w:val="000000" w:themeColor="text1"/>
          <w:kern w:val="0"/>
          <w:sz w:val="24"/>
          <w:szCs w:val="24"/>
          <w:lang w:eastAsia="en-IN" w:bidi="ml-IN"/>
          <w14:ligatures w14:val="none"/>
        </w:rPr>
        <w:t>(3), p.e57872.</w:t>
      </w:r>
    </w:p>
    <w:p w14:paraId="429F15E6" w14:textId="77777777" w:rsidR="00071673" w:rsidRDefault="00071673"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071673">
        <w:rPr>
          <w:rFonts w:ascii="Times New Roman" w:eastAsia="Times New Roman" w:hAnsi="Times New Roman" w:cs="Times New Roman"/>
          <w:color w:val="000000" w:themeColor="text1"/>
          <w:kern w:val="0"/>
          <w:sz w:val="24"/>
          <w:szCs w:val="24"/>
          <w:lang w:eastAsia="en-IN" w:bidi="ml-IN"/>
          <w14:ligatures w14:val="none"/>
        </w:rPr>
        <w:t>Atwell, L., Hobson, K.A. and Welch, H.E., 1998. Biomagnification and bioaccumulation of mercury in an arctic marine food web: insights from stable nitrogen isotope analysis. Canadian Journal of Fisheries and Aquatic Sciences, 55(5), pp.1114-1121.</w:t>
      </w:r>
    </w:p>
    <w:p w14:paraId="6A4DAA97" w14:textId="5FACC864" w:rsidR="00071673" w:rsidRDefault="00071673"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bookmarkStart w:id="5" w:name="_Hlk219810246"/>
      <w:proofErr w:type="spellStart"/>
      <w:r w:rsidRPr="00071673">
        <w:rPr>
          <w:rFonts w:ascii="Times New Roman" w:eastAsia="Times New Roman" w:hAnsi="Times New Roman" w:cs="Times New Roman"/>
          <w:color w:val="000000" w:themeColor="text1"/>
          <w:kern w:val="0"/>
          <w:sz w:val="24"/>
          <w:szCs w:val="24"/>
          <w:lang w:eastAsia="en-IN" w:bidi="ml-IN"/>
          <w14:ligatures w14:val="none"/>
        </w:rPr>
        <w:t>Bairlein</w:t>
      </w:r>
      <w:proofErr w:type="spellEnd"/>
      <w:r w:rsidRPr="00071673">
        <w:rPr>
          <w:rFonts w:ascii="Times New Roman" w:eastAsia="Times New Roman" w:hAnsi="Times New Roman" w:cs="Times New Roman"/>
          <w:color w:val="000000" w:themeColor="text1"/>
          <w:kern w:val="0"/>
          <w:sz w:val="24"/>
          <w:szCs w:val="24"/>
          <w:lang w:eastAsia="en-IN" w:bidi="ml-IN"/>
          <w14:ligatures w14:val="none"/>
        </w:rPr>
        <w:t>, F., 2016. Migratory birds under threat. Science, 354(6312), pp.547-548.</w:t>
      </w:r>
    </w:p>
    <w:p w14:paraId="26766A34" w14:textId="77777777" w:rsidR="008736A2" w:rsidRDefault="008736A2" w:rsidP="0057591C">
      <w:pPr>
        <w:jc w:val="both"/>
        <w:rPr>
          <w:rFonts w:ascii="Times New Roman" w:eastAsia="Times New Roman" w:hAnsi="Times New Roman" w:cs="Times New Roman"/>
          <w:color w:val="000000" w:themeColor="text1"/>
          <w:kern w:val="0"/>
          <w:sz w:val="24"/>
          <w:szCs w:val="24"/>
          <w:lang w:eastAsia="en-IN" w:bidi="ml-IN"/>
          <w14:ligatures w14:val="none"/>
        </w:rPr>
      </w:pPr>
      <w:bookmarkStart w:id="6" w:name="_Hlk220672207"/>
      <w:bookmarkEnd w:id="5"/>
      <w:proofErr w:type="spellStart"/>
      <w:r w:rsidRPr="008736A2">
        <w:rPr>
          <w:rFonts w:ascii="Times New Roman" w:eastAsia="Times New Roman" w:hAnsi="Times New Roman" w:cs="Times New Roman"/>
          <w:color w:val="000000" w:themeColor="text1"/>
          <w:kern w:val="0"/>
          <w:sz w:val="24"/>
          <w:szCs w:val="24"/>
          <w:lang w:eastAsia="en-IN" w:bidi="ml-IN"/>
          <w14:ligatures w14:val="none"/>
        </w:rPr>
        <w:t>Thalhuber</w:t>
      </w:r>
      <w:bookmarkEnd w:id="6"/>
      <w:proofErr w:type="spellEnd"/>
      <w:r w:rsidRPr="008736A2">
        <w:rPr>
          <w:rFonts w:ascii="Times New Roman" w:eastAsia="Times New Roman" w:hAnsi="Times New Roman" w:cs="Times New Roman"/>
          <w:color w:val="000000" w:themeColor="text1"/>
          <w:kern w:val="0"/>
          <w:sz w:val="24"/>
          <w:szCs w:val="24"/>
          <w:lang w:eastAsia="en-IN" w:bidi="ml-IN"/>
          <w14:ligatures w14:val="none"/>
        </w:rPr>
        <w:t xml:space="preserve">, T.J., </w:t>
      </w:r>
      <w:proofErr w:type="spellStart"/>
      <w:r w:rsidRPr="008736A2">
        <w:rPr>
          <w:rFonts w:ascii="Times New Roman" w:eastAsia="Times New Roman" w:hAnsi="Times New Roman" w:cs="Times New Roman"/>
          <w:color w:val="000000" w:themeColor="text1"/>
          <w:kern w:val="0"/>
          <w:sz w:val="24"/>
          <w:szCs w:val="24"/>
          <w:lang w:eastAsia="en-IN" w:bidi="ml-IN"/>
          <w14:ligatures w14:val="none"/>
        </w:rPr>
        <w:t>Chumchal</w:t>
      </w:r>
      <w:proofErr w:type="spellEnd"/>
      <w:r w:rsidRPr="008736A2">
        <w:rPr>
          <w:rFonts w:ascii="Times New Roman" w:eastAsia="Times New Roman" w:hAnsi="Times New Roman" w:cs="Times New Roman"/>
          <w:color w:val="000000" w:themeColor="text1"/>
          <w:kern w:val="0"/>
          <w:sz w:val="24"/>
          <w:szCs w:val="24"/>
          <w:lang w:eastAsia="en-IN" w:bidi="ml-IN"/>
          <w14:ligatures w14:val="none"/>
        </w:rPr>
        <w:t xml:space="preserve">, M.M., </w:t>
      </w:r>
      <w:proofErr w:type="spellStart"/>
      <w:r w:rsidRPr="008736A2">
        <w:rPr>
          <w:rFonts w:ascii="Times New Roman" w:eastAsia="Times New Roman" w:hAnsi="Times New Roman" w:cs="Times New Roman"/>
          <w:color w:val="000000" w:themeColor="text1"/>
          <w:kern w:val="0"/>
          <w:sz w:val="24"/>
          <w:szCs w:val="24"/>
          <w:lang w:eastAsia="en-IN" w:bidi="ml-IN"/>
          <w14:ligatures w14:val="none"/>
        </w:rPr>
        <w:t>Drenner</w:t>
      </w:r>
      <w:proofErr w:type="spellEnd"/>
      <w:r w:rsidRPr="008736A2">
        <w:rPr>
          <w:rFonts w:ascii="Times New Roman" w:eastAsia="Times New Roman" w:hAnsi="Times New Roman" w:cs="Times New Roman"/>
          <w:color w:val="000000" w:themeColor="text1"/>
          <w:kern w:val="0"/>
          <w:sz w:val="24"/>
          <w:szCs w:val="24"/>
          <w:lang w:eastAsia="en-IN" w:bidi="ml-IN"/>
          <w14:ligatures w14:val="none"/>
        </w:rPr>
        <w:t xml:space="preserve">, R.W., Nowlin, W.H., Williams, D.A., </w:t>
      </w:r>
      <w:proofErr w:type="spellStart"/>
      <w:r w:rsidRPr="008736A2">
        <w:rPr>
          <w:rFonts w:ascii="Times New Roman" w:eastAsia="Times New Roman" w:hAnsi="Times New Roman" w:cs="Times New Roman"/>
          <w:color w:val="000000" w:themeColor="text1"/>
          <w:kern w:val="0"/>
          <w:sz w:val="24"/>
          <w:szCs w:val="24"/>
          <w:lang w:eastAsia="en-IN" w:bidi="ml-IN"/>
          <w14:ligatures w14:val="none"/>
        </w:rPr>
        <w:t>Barst</w:t>
      </w:r>
      <w:proofErr w:type="spellEnd"/>
      <w:r w:rsidRPr="008736A2">
        <w:rPr>
          <w:rFonts w:ascii="Times New Roman" w:eastAsia="Times New Roman" w:hAnsi="Times New Roman" w:cs="Times New Roman"/>
          <w:color w:val="000000" w:themeColor="text1"/>
          <w:kern w:val="0"/>
          <w:sz w:val="24"/>
          <w:szCs w:val="24"/>
          <w:lang w:eastAsia="en-IN" w:bidi="ml-IN"/>
          <w14:ligatures w14:val="none"/>
        </w:rPr>
        <w:t xml:space="preserve">, B.D., Kennedy, J.H., Mitchell, W.A., Self, M., Willoughby, F.M. and </w:t>
      </w:r>
      <w:proofErr w:type="spellStart"/>
      <w:r w:rsidRPr="008736A2">
        <w:rPr>
          <w:rFonts w:ascii="Times New Roman" w:eastAsia="Times New Roman" w:hAnsi="Times New Roman" w:cs="Times New Roman"/>
          <w:color w:val="000000" w:themeColor="text1"/>
          <w:kern w:val="0"/>
          <w:sz w:val="24"/>
          <w:szCs w:val="24"/>
          <w:lang w:eastAsia="en-IN" w:bidi="ml-IN"/>
          <w14:ligatures w14:val="none"/>
        </w:rPr>
        <w:t>Zudock</w:t>
      </w:r>
      <w:proofErr w:type="spellEnd"/>
      <w:r w:rsidRPr="008736A2">
        <w:rPr>
          <w:rFonts w:ascii="Times New Roman" w:eastAsia="Times New Roman" w:hAnsi="Times New Roman" w:cs="Times New Roman"/>
          <w:color w:val="000000" w:themeColor="text1"/>
          <w:kern w:val="0"/>
          <w:sz w:val="24"/>
          <w:szCs w:val="24"/>
          <w:lang w:eastAsia="en-IN" w:bidi="ml-IN"/>
          <w14:ligatures w14:val="none"/>
        </w:rPr>
        <w:t xml:space="preserve">, W., 2025. Diet and methyl mercury contamination of nestling red-winged blackbirds. Environmental Toxicology and Chemistry, 44(1), pp.59-67. </w:t>
      </w:r>
    </w:p>
    <w:p w14:paraId="2DCD1F38" w14:textId="77777777" w:rsidR="008736A2" w:rsidRDefault="008736A2"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8736A2">
        <w:rPr>
          <w:rFonts w:ascii="Times New Roman" w:eastAsia="Times New Roman" w:hAnsi="Times New Roman" w:cs="Times New Roman"/>
          <w:color w:val="000000" w:themeColor="text1"/>
          <w:kern w:val="0"/>
          <w:sz w:val="24"/>
          <w:szCs w:val="24"/>
          <w:lang w:eastAsia="en-IN" w:bidi="ml-IN"/>
          <w14:ligatures w14:val="none"/>
        </w:rPr>
        <w:t>Baskaran, N., Varma, S., Sar, C.K. and Sukumar, R., 2011. Current status of Asian elephants in India. Gajah, 35(1–2), pp.47-54.</w:t>
      </w:r>
    </w:p>
    <w:p w14:paraId="4DCE057A" w14:textId="77777777" w:rsidR="008736A2" w:rsidRDefault="008736A2" w:rsidP="0057591C">
      <w:pPr>
        <w:jc w:val="both"/>
        <w:rPr>
          <w:rFonts w:ascii="Times New Roman" w:hAnsi="Times New Roman" w:cs="Times New Roman"/>
          <w:color w:val="000000" w:themeColor="text1"/>
          <w:sz w:val="24"/>
          <w:szCs w:val="24"/>
        </w:rPr>
      </w:pPr>
      <w:proofErr w:type="spellStart"/>
      <w:r w:rsidRPr="008736A2">
        <w:rPr>
          <w:rFonts w:ascii="Times New Roman" w:hAnsi="Times New Roman" w:cs="Times New Roman"/>
          <w:color w:val="000000" w:themeColor="text1"/>
          <w:sz w:val="24"/>
          <w:szCs w:val="24"/>
        </w:rPr>
        <w:t>Bataille</w:t>
      </w:r>
      <w:proofErr w:type="spellEnd"/>
      <w:r w:rsidRPr="008736A2">
        <w:rPr>
          <w:rFonts w:ascii="Times New Roman" w:hAnsi="Times New Roman" w:cs="Times New Roman"/>
          <w:color w:val="000000" w:themeColor="text1"/>
          <w:sz w:val="24"/>
          <w:szCs w:val="24"/>
        </w:rPr>
        <w:t xml:space="preserve">, C.P., Crowley, B.E., </w:t>
      </w:r>
      <w:proofErr w:type="spellStart"/>
      <w:r w:rsidRPr="008736A2">
        <w:rPr>
          <w:rFonts w:ascii="Times New Roman" w:hAnsi="Times New Roman" w:cs="Times New Roman"/>
          <w:color w:val="000000" w:themeColor="text1"/>
          <w:sz w:val="24"/>
          <w:szCs w:val="24"/>
        </w:rPr>
        <w:t>Wooller</w:t>
      </w:r>
      <w:proofErr w:type="spellEnd"/>
      <w:r w:rsidRPr="008736A2">
        <w:rPr>
          <w:rFonts w:ascii="Times New Roman" w:hAnsi="Times New Roman" w:cs="Times New Roman"/>
          <w:color w:val="000000" w:themeColor="text1"/>
          <w:sz w:val="24"/>
          <w:szCs w:val="24"/>
        </w:rPr>
        <w:t xml:space="preserve">, M.J. and Bowen, G.J., 2020. Advances in global bioavailable strontium </w:t>
      </w:r>
      <w:proofErr w:type="spellStart"/>
      <w:r w:rsidRPr="008736A2">
        <w:rPr>
          <w:rFonts w:ascii="Times New Roman" w:hAnsi="Times New Roman" w:cs="Times New Roman"/>
          <w:color w:val="000000" w:themeColor="text1"/>
          <w:sz w:val="24"/>
          <w:szCs w:val="24"/>
        </w:rPr>
        <w:t>isoscapes</w:t>
      </w:r>
      <w:proofErr w:type="spellEnd"/>
      <w:r w:rsidRPr="008736A2">
        <w:rPr>
          <w:rFonts w:ascii="Times New Roman" w:hAnsi="Times New Roman" w:cs="Times New Roman"/>
          <w:color w:val="000000" w:themeColor="text1"/>
          <w:sz w:val="24"/>
          <w:szCs w:val="24"/>
        </w:rPr>
        <w:t xml:space="preserve">. </w:t>
      </w:r>
      <w:proofErr w:type="spellStart"/>
      <w:r w:rsidRPr="008736A2">
        <w:rPr>
          <w:rFonts w:ascii="Times New Roman" w:hAnsi="Times New Roman" w:cs="Times New Roman"/>
          <w:color w:val="000000" w:themeColor="text1"/>
          <w:sz w:val="24"/>
          <w:szCs w:val="24"/>
        </w:rPr>
        <w:t>Palaeogeography</w:t>
      </w:r>
      <w:proofErr w:type="spellEnd"/>
      <w:r w:rsidRPr="008736A2">
        <w:rPr>
          <w:rFonts w:ascii="Times New Roman" w:hAnsi="Times New Roman" w:cs="Times New Roman"/>
          <w:color w:val="000000" w:themeColor="text1"/>
          <w:sz w:val="24"/>
          <w:szCs w:val="24"/>
        </w:rPr>
        <w:t xml:space="preserve">, </w:t>
      </w:r>
      <w:proofErr w:type="spellStart"/>
      <w:r w:rsidRPr="008736A2">
        <w:rPr>
          <w:rFonts w:ascii="Times New Roman" w:hAnsi="Times New Roman" w:cs="Times New Roman"/>
          <w:color w:val="000000" w:themeColor="text1"/>
          <w:sz w:val="24"/>
          <w:szCs w:val="24"/>
        </w:rPr>
        <w:t>Palaeoclimatology</w:t>
      </w:r>
      <w:proofErr w:type="spellEnd"/>
      <w:r w:rsidRPr="008736A2">
        <w:rPr>
          <w:rFonts w:ascii="Times New Roman" w:hAnsi="Times New Roman" w:cs="Times New Roman"/>
          <w:color w:val="000000" w:themeColor="text1"/>
          <w:sz w:val="24"/>
          <w:szCs w:val="24"/>
        </w:rPr>
        <w:t xml:space="preserve">, </w:t>
      </w:r>
      <w:proofErr w:type="spellStart"/>
      <w:r w:rsidRPr="008736A2">
        <w:rPr>
          <w:rFonts w:ascii="Times New Roman" w:hAnsi="Times New Roman" w:cs="Times New Roman"/>
          <w:color w:val="000000" w:themeColor="text1"/>
          <w:sz w:val="24"/>
          <w:szCs w:val="24"/>
        </w:rPr>
        <w:t>Palaeoecology</w:t>
      </w:r>
      <w:proofErr w:type="spellEnd"/>
      <w:r w:rsidRPr="008736A2">
        <w:rPr>
          <w:rFonts w:ascii="Times New Roman" w:hAnsi="Times New Roman" w:cs="Times New Roman"/>
          <w:color w:val="000000" w:themeColor="text1"/>
          <w:sz w:val="24"/>
          <w:szCs w:val="24"/>
        </w:rPr>
        <w:t>, 555, p.109849.</w:t>
      </w:r>
    </w:p>
    <w:p w14:paraId="0B592E56" w14:textId="77777777" w:rsidR="00BC33BE" w:rsidRDefault="008736A2" w:rsidP="0057591C">
      <w:pPr>
        <w:jc w:val="both"/>
        <w:rPr>
          <w:rFonts w:ascii="Times New Roman" w:hAnsi="Times New Roman" w:cs="Times New Roman"/>
          <w:color w:val="000000" w:themeColor="text1"/>
          <w:sz w:val="24"/>
          <w:szCs w:val="24"/>
        </w:rPr>
      </w:pPr>
      <w:proofErr w:type="spellStart"/>
      <w:r w:rsidRPr="008736A2">
        <w:rPr>
          <w:rFonts w:ascii="Times New Roman" w:hAnsi="Times New Roman" w:cs="Times New Roman"/>
          <w:color w:val="000000" w:themeColor="text1"/>
          <w:sz w:val="24"/>
          <w:szCs w:val="24"/>
        </w:rPr>
        <w:t>Bauchinger</w:t>
      </w:r>
      <w:proofErr w:type="spellEnd"/>
      <w:r w:rsidRPr="008736A2">
        <w:rPr>
          <w:rFonts w:ascii="Times New Roman" w:hAnsi="Times New Roman" w:cs="Times New Roman"/>
          <w:color w:val="000000" w:themeColor="text1"/>
          <w:sz w:val="24"/>
          <w:szCs w:val="24"/>
        </w:rPr>
        <w:t>, U. and McWilliams, S.R., 2010. Extent of phenotypic flexibility during long‐distance flight is determined by tissue‐specific turnover rates: a new hypothesis. Journal of Avian Biology, 41(6), pp.603-608.</w:t>
      </w:r>
    </w:p>
    <w:p w14:paraId="06640E1E" w14:textId="43C583AC" w:rsidR="00B6596D" w:rsidRPr="00F13523" w:rsidRDefault="00B6596D" w:rsidP="0057591C">
      <w:pPr>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Bearhop</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S., Adams, C.E., Waldron, S., Fuller, R.A. and Macleod, H., 2004. Determining trophic niche width: a novel approach using stable isotope analysis. Journal of animal ecology, 73(5), pp.1007-1012.</w:t>
      </w:r>
    </w:p>
    <w:p w14:paraId="04BF0EE1" w14:textId="77777777" w:rsidR="00BC33BE" w:rsidRDefault="00BC33BE" w:rsidP="0057591C">
      <w:pPr>
        <w:pStyle w:val="NormalWeb"/>
        <w:jc w:val="both"/>
        <w:rPr>
          <w:rFonts w:eastAsiaTheme="minorHAnsi"/>
          <w:color w:val="000000" w:themeColor="text1"/>
          <w:kern w:val="2"/>
          <w:lang w:eastAsia="en-US" w:bidi="ar-SA"/>
          <w14:ligatures w14:val="standardContextual"/>
        </w:rPr>
      </w:pPr>
      <w:proofErr w:type="spellStart"/>
      <w:r w:rsidRPr="00BC33BE">
        <w:rPr>
          <w:rFonts w:eastAsiaTheme="minorHAnsi"/>
          <w:color w:val="000000" w:themeColor="text1"/>
          <w:kern w:val="2"/>
          <w:lang w:eastAsia="en-US" w:bidi="ar-SA"/>
          <w14:ligatures w14:val="standardContextual"/>
        </w:rPr>
        <w:t>Bearhop</w:t>
      </w:r>
      <w:proofErr w:type="spellEnd"/>
      <w:r w:rsidRPr="00BC33BE">
        <w:rPr>
          <w:rFonts w:eastAsiaTheme="minorHAnsi"/>
          <w:color w:val="000000" w:themeColor="text1"/>
          <w:kern w:val="2"/>
          <w:lang w:eastAsia="en-US" w:bidi="ar-SA"/>
          <w14:ligatures w14:val="standardContextual"/>
        </w:rPr>
        <w:t xml:space="preserve">, S., Waldron, S., </w:t>
      </w:r>
      <w:proofErr w:type="spellStart"/>
      <w:r w:rsidRPr="00BC33BE">
        <w:rPr>
          <w:rFonts w:eastAsiaTheme="minorHAnsi"/>
          <w:color w:val="000000" w:themeColor="text1"/>
          <w:kern w:val="2"/>
          <w:lang w:eastAsia="en-US" w:bidi="ar-SA"/>
          <w14:ligatures w14:val="standardContextual"/>
        </w:rPr>
        <w:t>Votier</w:t>
      </w:r>
      <w:proofErr w:type="spellEnd"/>
      <w:r w:rsidRPr="00BC33BE">
        <w:rPr>
          <w:rFonts w:eastAsiaTheme="minorHAnsi"/>
          <w:color w:val="000000" w:themeColor="text1"/>
          <w:kern w:val="2"/>
          <w:lang w:eastAsia="en-US" w:bidi="ar-SA"/>
          <w14:ligatures w14:val="standardContextual"/>
        </w:rPr>
        <w:t>, S.C. and Furness, R.W., 2002. Factors that influence assimilation rates and fractionation of nitrogen and carbon stable isotopes in avian blood and feathers. Physiological and biochemical zoology, 75(5), pp.451-458.</w:t>
      </w:r>
    </w:p>
    <w:p w14:paraId="7FFC787D" w14:textId="77777777" w:rsidR="00BC33BE" w:rsidRDefault="00BC33BE"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BC33BE">
        <w:rPr>
          <w:rFonts w:ascii="Times New Roman" w:eastAsia="Times New Roman" w:hAnsi="Times New Roman" w:cs="Times New Roman"/>
          <w:color w:val="000000" w:themeColor="text1"/>
          <w:kern w:val="0"/>
          <w:sz w:val="24"/>
          <w:szCs w:val="24"/>
          <w:lang w:eastAsia="en-IN" w:bidi="ml-IN"/>
          <w14:ligatures w14:val="none"/>
        </w:rPr>
        <w:t>Ben-David, M. and Flaherty, E.A., 2012. Stable isotopes in mammalian research: a beginner's guide. Journal of mammalogy, 93(2), pp.312-328.</w:t>
      </w:r>
    </w:p>
    <w:p w14:paraId="3CA28012" w14:textId="77777777" w:rsidR="00BC33BE" w:rsidRDefault="00BC33BE" w:rsidP="0057591C">
      <w:pPr>
        <w:pStyle w:val="NormalWeb"/>
        <w:jc w:val="both"/>
        <w:rPr>
          <w:rFonts w:eastAsiaTheme="minorHAnsi"/>
          <w:color w:val="000000" w:themeColor="text1"/>
          <w:kern w:val="2"/>
          <w:lang w:eastAsia="en-US" w:bidi="ar-SA"/>
          <w14:ligatures w14:val="standardContextual"/>
        </w:rPr>
      </w:pPr>
      <w:r w:rsidRPr="00BC33BE">
        <w:rPr>
          <w:rFonts w:eastAsiaTheme="minorHAnsi"/>
          <w:color w:val="000000" w:themeColor="text1"/>
          <w:kern w:val="2"/>
          <w:lang w:eastAsia="en-US" w:bidi="ar-SA"/>
          <w14:ligatures w14:val="standardContextual"/>
        </w:rPr>
        <w:t>Alexander Bentley, R., 2006. Strontium isotopes from the earth to the archaeological skeleton: a review. Journal of archaeological method and theory, 13(3), pp.135-187.</w:t>
      </w:r>
    </w:p>
    <w:p w14:paraId="654D0DF3" w14:textId="77777777" w:rsidR="00BC33BE" w:rsidRDefault="00BC33BE" w:rsidP="0057591C">
      <w:pPr>
        <w:pStyle w:val="NormalWeb"/>
        <w:jc w:val="both"/>
        <w:rPr>
          <w:rFonts w:eastAsiaTheme="minorHAnsi"/>
          <w:color w:val="000000" w:themeColor="text1"/>
          <w:kern w:val="2"/>
          <w:lang w:eastAsia="en-US" w:bidi="ar-SA"/>
          <w14:ligatures w14:val="standardContextual"/>
        </w:rPr>
      </w:pPr>
      <w:proofErr w:type="spellStart"/>
      <w:r w:rsidRPr="00BC33BE">
        <w:rPr>
          <w:rFonts w:eastAsiaTheme="minorHAnsi"/>
          <w:color w:val="000000" w:themeColor="text1"/>
          <w:kern w:val="2"/>
          <w:lang w:eastAsia="en-US" w:bidi="ar-SA"/>
          <w14:ligatures w14:val="standardContextual"/>
        </w:rPr>
        <w:t>Bhaumik</w:t>
      </w:r>
      <w:proofErr w:type="spellEnd"/>
      <w:r w:rsidRPr="00BC33BE">
        <w:rPr>
          <w:rFonts w:eastAsiaTheme="minorHAnsi"/>
          <w:color w:val="000000" w:themeColor="text1"/>
          <w:kern w:val="2"/>
          <w:lang w:eastAsia="en-US" w:bidi="ar-SA"/>
          <w14:ligatures w14:val="standardContextual"/>
        </w:rPr>
        <w:t xml:space="preserve">, A.K., Kumar, S., Chaudhuri, S., Mohanty, S., Mukherjee, M.K., </w:t>
      </w:r>
      <w:proofErr w:type="spellStart"/>
      <w:r w:rsidRPr="00BC33BE">
        <w:rPr>
          <w:rFonts w:eastAsiaTheme="minorHAnsi"/>
          <w:color w:val="000000" w:themeColor="text1"/>
          <w:kern w:val="2"/>
          <w:lang w:eastAsia="en-US" w:bidi="ar-SA"/>
          <w14:ligatures w14:val="standardContextual"/>
        </w:rPr>
        <w:t>Sain</w:t>
      </w:r>
      <w:proofErr w:type="spellEnd"/>
      <w:r w:rsidRPr="00BC33BE">
        <w:rPr>
          <w:rFonts w:eastAsiaTheme="minorHAnsi"/>
          <w:color w:val="000000" w:themeColor="text1"/>
          <w:kern w:val="2"/>
          <w:lang w:eastAsia="en-US" w:bidi="ar-SA"/>
          <w14:ligatures w14:val="standardContextual"/>
        </w:rPr>
        <w:t>, K., Gupta, A.K. and Kumar, P., 2024. Accumulation of gas hydrates in mass transport deposits at Krishna-Godavari Basin, Bay of Bengal: Foraminiferal, sedimentologic, and seismic evidence. AAPG Bulletin, 108(9), pp.1687-1703.</w:t>
      </w:r>
    </w:p>
    <w:p w14:paraId="60988BAC" w14:textId="314954F5" w:rsidR="00B6596D" w:rsidRPr="00F13523" w:rsidRDefault="00B6596D" w:rsidP="0057591C">
      <w:pPr>
        <w:pStyle w:val="NormalWeb"/>
        <w:jc w:val="both"/>
        <w:rPr>
          <w:color w:val="000000" w:themeColor="text1"/>
        </w:rPr>
      </w:pPr>
      <w:proofErr w:type="spellStart"/>
      <w:r w:rsidRPr="00F13523">
        <w:rPr>
          <w:color w:val="000000" w:themeColor="text1"/>
        </w:rPr>
        <w:lastRenderedPageBreak/>
        <w:t>BirdLife</w:t>
      </w:r>
      <w:proofErr w:type="spellEnd"/>
      <w:r w:rsidRPr="00F13523">
        <w:rPr>
          <w:color w:val="000000" w:themeColor="text1"/>
        </w:rPr>
        <w:t xml:space="preserve"> International, 2021. Central Asian Flyway Action Plan. Cambridge: </w:t>
      </w:r>
      <w:proofErr w:type="spellStart"/>
      <w:r w:rsidRPr="00F13523">
        <w:rPr>
          <w:color w:val="000000" w:themeColor="text1"/>
        </w:rPr>
        <w:t>BirdLife</w:t>
      </w:r>
      <w:proofErr w:type="spellEnd"/>
      <w:r w:rsidRPr="00F13523">
        <w:rPr>
          <w:color w:val="000000" w:themeColor="text1"/>
        </w:rPr>
        <w:t xml:space="preserve"> International.</w:t>
      </w:r>
    </w:p>
    <w:p w14:paraId="6E06207C" w14:textId="77777777" w:rsidR="001D503A" w:rsidRDefault="001D503A"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1D503A">
        <w:rPr>
          <w:rFonts w:ascii="Times New Roman" w:eastAsia="Times New Roman" w:hAnsi="Times New Roman" w:cs="Times New Roman"/>
          <w:color w:val="000000" w:themeColor="text1"/>
          <w:kern w:val="0"/>
          <w:sz w:val="24"/>
          <w:szCs w:val="24"/>
          <w:lang w:eastAsia="en-IN" w:bidi="ml-IN"/>
          <w14:ligatures w14:val="none"/>
        </w:rPr>
        <w:t xml:space="preserve">Blum, J.D., Popp, B.N., </w:t>
      </w:r>
      <w:proofErr w:type="spellStart"/>
      <w:r w:rsidRPr="001D503A">
        <w:rPr>
          <w:rFonts w:ascii="Times New Roman" w:eastAsia="Times New Roman" w:hAnsi="Times New Roman" w:cs="Times New Roman"/>
          <w:color w:val="000000" w:themeColor="text1"/>
          <w:kern w:val="0"/>
          <w:sz w:val="24"/>
          <w:szCs w:val="24"/>
          <w:lang w:eastAsia="en-IN" w:bidi="ml-IN"/>
          <w14:ligatures w14:val="none"/>
        </w:rPr>
        <w:t>Drazen</w:t>
      </w:r>
      <w:proofErr w:type="spellEnd"/>
      <w:r w:rsidRPr="001D503A">
        <w:rPr>
          <w:rFonts w:ascii="Times New Roman" w:eastAsia="Times New Roman" w:hAnsi="Times New Roman" w:cs="Times New Roman"/>
          <w:color w:val="000000" w:themeColor="text1"/>
          <w:kern w:val="0"/>
          <w:sz w:val="24"/>
          <w:szCs w:val="24"/>
          <w:lang w:eastAsia="en-IN" w:bidi="ml-IN"/>
          <w14:ligatures w14:val="none"/>
        </w:rPr>
        <w:t xml:space="preserve">, J.C., </w:t>
      </w:r>
      <w:proofErr w:type="spellStart"/>
      <w:r w:rsidRPr="001D503A">
        <w:rPr>
          <w:rFonts w:ascii="Times New Roman" w:eastAsia="Times New Roman" w:hAnsi="Times New Roman" w:cs="Times New Roman"/>
          <w:color w:val="000000" w:themeColor="text1"/>
          <w:kern w:val="0"/>
          <w:sz w:val="24"/>
          <w:szCs w:val="24"/>
          <w:lang w:eastAsia="en-IN" w:bidi="ml-IN"/>
          <w14:ligatures w14:val="none"/>
        </w:rPr>
        <w:t>Anela</w:t>
      </w:r>
      <w:proofErr w:type="spellEnd"/>
      <w:r w:rsidRPr="001D503A">
        <w:rPr>
          <w:rFonts w:ascii="Times New Roman" w:eastAsia="Times New Roman" w:hAnsi="Times New Roman" w:cs="Times New Roman"/>
          <w:color w:val="000000" w:themeColor="text1"/>
          <w:kern w:val="0"/>
          <w:sz w:val="24"/>
          <w:szCs w:val="24"/>
          <w:lang w:eastAsia="en-IN" w:bidi="ml-IN"/>
          <w14:ligatures w14:val="none"/>
        </w:rPr>
        <w:t xml:space="preserve"> Choy, C. and Johnson, M.W., 2013. Methylmercury production below the mixed layer in the North Pacific Ocean. Nature geoscience, 6(10), pp.879-884.</w:t>
      </w:r>
    </w:p>
    <w:p w14:paraId="4E750064" w14:textId="77777777" w:rsidR="002F3E7A" w:rsidRDefault="002F3E7A" w:rsidP="00940828">
      <w:pPr>
        <w:spacing w:before="100" w:beforeAutospacing="1" w:after="100" w:afterAutospacing="1" w:line="240" w:lineRule="auto"/>
        <w:jc w:val="both"/>
        <w:rPr>
          <w:rFonts w:ascii="Times New Roman" w:hAnsi="Times New Roman" w:cs="Times New Roman"/>
          <w:color w:val="000000" w:themeColor="text1"/>
          <w:sz w:val="24"/>
          <w:szCs w:val="24"/>
        </w:rPr>
      </w:pPr>
      <w:proofErr w:type="spellStart"/>
      <w:r w:rsidRPr="002F3E7A">
        <w:rPr>
          <w:rFonts w:ascii="Times New Roman" w:hAnsi="Times New Roman" w:cs="Times New Roman"/>
          <w:color w:val="000000" w:themeColor="text1"/>
          <w:sz w:val="24"/>
          <w:szCs w:val="24"/>
        </w:rPr>
        <w:t>Boecklen</w:t>
      </w:r>
      <w:proofErr w:type="spellEnd"/>
      <w:r w:rsidRPr="002F3E7A">
        <w:rPr>
          <w:rFonts w:ascii="Times New Roman" w:hAnsi="Times New Roman" w:cs="Times New Roman"/>
          <w:color w:val="000000" w:themeColor="text1"/>
          <w:sz w:val="24"/>
          <w:szCs w:val="24"/>
        </w:rPr>
        <w:t xml:space="preserve">, W.J., </w:t>
      </w:r>
      <w:proofErr w:type="spellStart"/>
      <w:r w:rsidRPr="002F3E7A">
        <w:rPr>
          <w:rFonts w:ascii="Times New Roman" w:hAnsi="Times New Roman" w:cs="Times New Roman"/>
          <w:color w:val="000000" w:themeColor="text1"/>
          <w:sz w:val="24"/>
          <w:szCs w:val="24"/>
        </w:rPr>
        <w:t>Yarnes</w:t>
      </w:r>
      <w:proofErr w:type="spellEnd"/>
      <w:r w:rsidRPr="002F3E7A">
        <w:rPr>
          <w:rFonts w:ascii="Times New Roman" w:hAnsi="Times New Roman" w:cs="Times New Roman"/>
          <w:color w:val="000000" w:themeColor="text1"/>
          <w:sz w:val="24"/>
          <w:szCs w:val="24"/>
        </w:rPr>
        <w:t>, C.T., Cook, B.A. and James, A.C., 2011. On the use of stable isotopes in trophic ecology. Annual review of ecology, evolution, and systematics, 42(1), pp.411-440.</w:t>
      </w:r>
    </w:p>
    <w:p w14:paraId="634B62AA" w14:textId="77777777" w:rsidR="00587A59" w:rsidRDefault="00587A59" w:rsidP="0057591C">
      <w:pPr>
        <w:pStyle w:val="NormalWeb"/>
        <w:jc w:val="both"/>
        <w:rPr>
          <w:color w:val="000000" w:themeColor="text1"/>
        </w:rPr>
      </w:pPr>
      <w:r w:rsidRPr="00587A59">
        <w:rPr>
          <w:color w:val="000000" w:themeColor="text1"/>
        </w:rPr>
        <w:t xml:space="preserve">Bowen, G.J. and </w:t>
      </w:r>
      <w:proofErr w:type="spellStart"/>
      <w:r w:rsidRPr="00587A59">
        <w:rPr>
          <w:color w:val="000000" w:themeColor="text1"/>
        </w:rPr>
        <w:t>Revenaugh</w:t>
      </w:r>
      <w:proofErr w:type="spellEnd"/>
      <w:r w:rsidRPr="00587A59">
        <w:rPr>
          <w:color w:val="000000" w:themeColor="text1"/>
        </w:rPr>
        <w:t>, J., 2003. Interpolating the isotopic composition of modern meteoric precipitation. Water resources research, 39(10).</w:t>
      </w:r>
    </w:p>
    <w:p w14:paraId="3B516A60" w14:textId="77777777" w:rsidR="00587A59" w:rsidRDefault="00587A59"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587A59">
        <w:rPr>
          <w:rFonts w:ascii="Times New Roman" w:eastAsia="Times New Roman" w:hAnsi="Times New Roman" w:cs="Times New Roman"/>
          <w:color w:val="000000" w:themeColor="text1"/>
          <w:kern w:val="0"/>
          <w:sz w:val="24"/>
          <w:szCs w:val="24"/>
          <w:lang w:eastAsia="en-IN" w:bidi="ml-IN"/>
          <w14:ligatures w14:val="none"/>
        </w:rPr>
        <w:t xml:space="preserve">Bowen, G.J. and West, J.B., 2019. </w:t>
      </w:r>
      <w:proofErr w:type="spellStart"/>
      <w:r w:rsidRPr="00587A59">
        <w:rPr>
          <w:rFonts w:ascii="Times New Roman" w:eastAsia="Times New Roman" w:hAnsi="Times New Roman" w:cs="Times New Roman"/>
          <w:color w:val="000000" w:themeColor="text1"/>
          <w:kern w:val="0"/>
          <w:sz w:val="24"/>
          <w:szCs w:val="24"/>
          <w:lang w:eastAsia="en-IN" w:bidi="ml-IN"/>
          <w14:ligatures w14:val="none"/>
        </w:rPr>
        <w:t>Isoscapes</w:t>
      </w:r>
      <w:proofErr w:type="spellEnd"/>
      <w:r w:rsidRPr="00587A59">
        <w:rPr>
          <w:rFonts w:ascii="Times New Roman" w:eastAsia="Times New Roman" w:hAnsi="Times New Roman" w:cs="Times New Roman"/>
          <w:color w:val="000000" w:themeColor="text1"/>
          <w:kern w:val="0"/>
          <w:sz w:val="24"/>
          <w:szCs w:val="24"/>
          <w:lang w:eastAsia="en-IN" w:bidi="ml-IN"/>
          <w14:ligatures w14:val="none"/>
        </w:rPr>
        <w:t xml:space="preserve"> for terrestrial migration research. In Tracking animal migration with stable isotopes (pp. 53-84). Academic Press.</w:t>
      </w:r>
    </w:p>
    <w:p w14:paraId="6801F401" w14:textId="3DF00089" w:rsidR="00B6596D" w:rsidRPr="00F13523" w:rsidRDefault="00B6596D" w:rsidP="0057591C">
      <w:pPr>
        <w:jc w:val="both"/>
        <w:rPr>
          <w:rFonts w:ascii="Times New Roman" w:hAnsi="Times New Roman" w:cs="Times New Roman"/>
          <w:color w:val="000000" w:themeColor="text1"/>
          <w:sz w:val="24"/>
          <w:szCs w:val="24"/>
        </w:rPr>
      </w:pPr>
      <w:r w:rsidRPr="00F13523">
        <w:rPr>
          <w:rFonts w:ascii="Times New Roman" w:hAnsi="Times New Roman" w:cs="Times New Roman"/>
          <w:color w:val="000000" w:themeColor="text1"/>
          <w:sz w:val="24"/>
          <w:szCs w:val="24"/>
        </w:rPr>
        <w:t xml:space="preserve">Bowen, G.J., 2010. </w:t>
      </w:r>
      <w:proofErr w:type="spellStart"/>
      <w:r w:rsidRPr="00F13523">
        <w:rPr>
          <w:rFonts w:ascii="Times New Roman" w:hAnsi="Times New Roman" w:cs="Times New Roman"/>
          <w:color w:val="000000" w:themeColor="text1"/>
          <w:sz w:val="24"/>
          <w:szCs w:val="24"/>
        </w:rPr>
        <w:t>Isoscapes</w:t>
      </w:r>
      <w:proofErr w:type="spellEnd"/>
      <w:r w:rsidRPr="00F13523">
        <w:rPr>
          <w:rFonts w:ascii="Times New Roman" w:hAnsi="Times New Roman" w:cs="Times New Roman"/>
          <w:color w:val="000000" w:themeColor="text1"/>
          <w:sz w:val="24"/>
          <w:szCs w:val="24"/>
        </w:rPr>
        <w:t>: spatial pattern in isotopic biogeochemistry. </w:t>
      </w:r>
      <w:r w:rsidRPr="00F13523">
        <w:rPr>
          <w:rFonts w:ascii="Times New Roman" w:hAnsi="Times New Roman" w:cs="Times New Roman"/>
          <w:i/>
          <w:iCs/>
          <w:color w:val="000000" w:themeColor="text1"/>
          <w:sz w:val="24"/>
          <w:szCs w:val="24"/>
        </w:rPr>
        <w:t>Annual review of earth and planetary sciences</w:t>
      </w:r>
      <w:r w:rsidRPr="00F13523">
        <w:rPr>
          <w:rFonts w:ascii="Times New Roman" w:hAnsi="Times New Roman" w:cs="Times New Roman"/>
          <w:color w:val="000000" w:themeColor="text1"/>
          <w:sz w:val="24"/>
          <w:szCs w:val="24"/>
        </w:rPr>
        <w:t>, </w:t>
      </w:r>
      <w:r w:rsidRPr="00F13523">
        <w:rPr>
          <w:rFonts w:ascii="Times New Roman" w:hAnsi="Times New Roman" w:cs="Times New Roman"/>
          <w:i/>
          <w:iCs/>
          <w:color w:val="000000" w:themeColor="text1"/>
          <w:sz w:val="24"/>
          <w:szCs w:val="24"/>
        </w:rPr>
        <w:t>38</w:t>
      </w:r>
      <w:r w:rsidRPr="00F13523">
        <w:rPr>
          <w:rFonts w:ascii="Times New Roman" w:hAnsi="Times New Roman" w:cs="Times New Roman"/>
          <w:color w:val="000000" w:themeColor="text1"/>
          <w:sz w:val="24"/>
          <w:szCs w:val="24"/>
        </w:rPr>
        <w:t>(1), pp.161-187.</w:t>
      </w:r>
    </w:p>
    <w:p w14:paraId="46C3DEEF" w14:textId="10AC03A9" w:rsidR="00587A59" w:rsidRDefault="00FF094F"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FF094F">
        <w:rPr>
          <w:rFonts w:ascii="Times New Roman" w:eastAsia="Times New Roman" w:hAnsi="Times New Roman" w:cs="Times New Roman"/>
          <w:color w:val="000000" w:themeColor="text1"/>
          <w:kern w:val="0"/>
          <w:sz w:val="24"/>
          <w:szCs w:val="24"/>
          <w:lang w:eastAsia="en-IN" w:bidi="ml-IN"/>
          <w14:ligatures w14:val="none"/>
        </w:rPr>
        <w:t xml:space="preserve">Bowen, G.J., Wassenaar, L.I. and Hobson, K.A., 2005. Global application of stable hydrogen and oxygen isotopes to wildlife forensics. </w:t>
      </w:r>
      <w:proofErr w:type="spellStart"/>
      <w:r w:rsidRPr="00FF094F">
        <w:rPr>
          <w:rFonts w:ascii="Times New Roman" w:eastAsia="Times New Roman" w:hAnsi="Times New Roman" w:cs="Times New Roman"/>
          <w:color w:val="000000" w:themeColor="text1"/>
          <w:kern w:val="0"/>
          <w:sz w:val="24"/>
          <w:szCs w:val="24"/>
          <w:lang w:eastAsia="en-IN" w:bidi="ml-IN"/>
          <w14:ligatures w14:val="none"/>
        </w:rPr>
        <w:t>Oecologia</w:t>
      </w:r>
      <w:proofErr w:type="spellEnd"/>
      <w:r w:rsidRPr="00FF094F">
        <w:rPr>
          <w:rFonts w:ascii="Times New Roman" w:eastAsia="Times New Roman" w:hAnsi="Times New Roman" w:cs="Times New Roman"/>
          <w:color w:val="000000" w:themeColor="text1"/>
          <w:kern w:val="0"/>
          <w:sz w:val="24"/>
          <w:szCs w:val="24"/>
          <w:lang w:eastAsia="en-IN" w:bidi="ml-IN"/>
          <w14:ligatures w14:val="none"/>
        </w:rPr>
        <w:t>, 143(3), pp.337-348.</w:t>
      </w:r>
    </w:p>
    <w:p w14:paraId="742D55D5" w14:textId="77777777" w:rsidR="00FF094F" w:rsidRDefault="00FF094F" w:rsidP="0057591C">
      <w:pPr>
        <w:jc w:val="both"/>
        <w:rPr>
          <w:rFonts w:ascii="Times New Roman" w:hAnsi="Times New Roman" w:cs="Times New Roman"/>
          <w:color w:val="000000" w:themeColor="text1"/>
          <w:sz w:val="24"/>
          <w:szCs w:val="24"/>
        </w:rPr>
      </w:pPr>
      <w:proofErr w:type="spellStart"/>
      <w:r w:rsidRPr="00FF094F">
        <w:rPr>
          <w:rFonts w:ascii="Times New Roman" w:hAnsi="Times New Roman" w:cs="Times New Roman"/>
          <w:color w:val="000000" w:themeColor="text1"/>
          <w:sz w:val="24"/>
          <w:szCs w:val="24"/>
        </w:rPr>
        <w:t>Buchheister</w:t>
      </w:r>
      <w:proofErr w:type="spellEnd"/>
      <w:r w:rsidRPr="00FF094F">
        <w:rPr>
          <w:rFonts w:ascii="Times New Roman" w:hAnsi="Times New Roman" w:cs="Times New Roman"/>
          <w:color w:val="000000" w:themeColor="text1"/>
          <w:sz w:val="24"/>
          <w:szCs w:val="24"/>
        </w:rPr>
        <w:t>, A. and Latour, R.J., 2010. Turnover and fractionation of carbon and nitrogen stable isotopes in tissues of a migratory coastal predator, summer flounder (</w:t>
      </w:r>
      <w:proofErr w:type="spellStart"/>
      <w:r w:rsidRPr="00FF094F">
        <w:rPr>
          <w:rFonts w:ascii="Times New Roman" w:hAnsi="Times New Roman" w:cs="Times New Roman"/>
          <w:color w:val="000000" w:themeColor="text1"/>
          <w:sz w:val="24"/>
          <w:szCs w:val="24"/>
        </w:rPr>
        <w:t>Paralichthys</w:t>
      </w:r>
      <w:proofErr w:type="spellEnd"/>
      <w:r w:rsidRPr="00FF094F">
        <w:rPr>
          <w:rFonts w:ascii="Times New Roman" w:hAnsi="Times New Roman" w:cs="Times New Roman"/>
          <w:color w:val="000000" w:themeColor="text1"/>
          <w:sz w:val="24"/>
          <w:szCs w:val="24"/>
        </w:rPr>
        <w:t xml:space="preserve"> </w:t>
      </w:r>
      <w:proofErr w:type="spellStart"/>
      <w:r w:rsidRPr="00FF094F">
        <w:rPr>
          <w:rFonts w:ascii="Times New Roman" w:hAnsi="Times New Roman" w:cs="Times New Roman"/>
          <w:color w:val="000000" w:themeColor="text1"/>
          <w:sz w:val="24"/>
          <w:szCs w:val="24"/>
        </w:rPr>
        <w:t>dentatus</w:t>
      </w:r>
      <w:proofErr w:type="spellEnd"/>
      <w:r w:rsidRPr="00FF094F">
        <w:rPr>
          <w:rFonts w:ascii="Times New Roman" w:hAnsi="Times New Roman" w:cs="Times New Roman"/>
          <w:color w:val="000000" w:themeColor="text1"/>
          <w:sz w:val="24"/>
          <w:szCs w:val="24"/>
        </w:rPr>
        <w:t>). Canadian Journal of Fisheries and Aquatic Sciences, 67(3), pp.445-461.</w:t>
      </w:r>
    </w:p>
    <w:p w14:paraId="2DA1B677" w14:textId="77777777" w:rsidR="00FF094F" w:rsidRDefault="00FF094F" w:rsidP="0057591C">
      <w:pPr>
        <w:pStyle w:val="NormalWeb"/>
        <w:jc w:val="both"/>
        <w:rPr>
          <w:rFonts w:eastAsiaTheme="minorHAnsi"/>
          <w:color w:val="000000" w:themeColor="text1"/>
          <w:kern w:val="2"/>
          <w:lang w:eastAsia="en-US" w:bidi="ar-SA"/>
          <w14:ligatures w14:val="standardContextual"/>
        </w:rPr>
      </w:pPr>
      <w:r w:rsidRPr="00FF094F">
        <w:rPr>
          <w:rFonts w:eastAsiaTheme="minorHAnsi"/>
          <w:color w:val="000000" w:themeColor="text1"/>
          <w:kern w:val="2"/>
          <w:lang w:eastAsia="en-US" w:bidi="ar-SA"/>
          <w14:ligatures w14:val="standardContextual"/>
        </w:rPr>
        <w:t>Carter, N.H. and Linnell, J.D., 2016. Mainstreaming coexistence with wildlife: Reply to Gallagher. </w:t>
      </w:r>
      <w:r w:rsidRPr="00FF094F">
        <w:rPr>
          <w:rFonts w:eastAsiaTheme="minorHAnsi"/>
          <w:i/>
          <w:iCs/>
          <w:color w:val="000000" w:themeColor="text1"/>
          <w:kern w:val="2"/>
          <w:lang w:eastAsia="en-US" w:bidi="ar-SA"/>
          <w14:ligatures w14:val="standardContextual"/>
        </w:rPr>
        <w:t>Trends in Ecology &amp; Evolution</w:t>
      </w:r>
      <w:r w:rsidRPr="00FF094F">
        <w:rPr>
          <w:rFonts w:eastAsiaTheme="minorHAnsi"/>
          <w:color w:val="000000" w:themeColor="text1"/>
          <w:kern w:val="2"/>
          <w:lang w:eastAsia="en-US" w:bidi="ar-SA"/>
          <w14:ligatures w14:val="standardContextual"/>
        </w:rPr>
        <w:t>, </w:t>
      </w:r>
      <w:r w:rsidRPr="00FF094F">
        <w:rPr>
          <w:rFonts w:eastAsiaTheme="minorHAnsi"/>
          <w:i/>
          <w:iCs/>
          <w:color w:val="000000" w:themeColor="text1"/>
          <w:kern w:val="2"/>
          <w:lang w:eastAsia="en-US" w:bidi="ar-SA"/>
          <w14:ligatures w14:val="standardContextual"/>
        </w:rPr>
        <w:t>31</w:t>
      </w:r>
      <w:r w:rsidRPr="00FF094F">
        <w:rPr>
          <w:rFonts w:eastAsiaTheme="minorHAnsi"/>
          <w:color w:val="000000" w:themeColor="text1"/>
          <w:kern w:val="2"/>
          <w:lang w:eastAsia="en-US" w:bidi="ar-SA"/>
          <w14:ligatures w14:val="standardContextual"/>
        </w:rPr>
        <w:t>(11), pp.818-819.</w:t>
      </w:r>
    </w:p>
    <w:p w14:paraId="6255D583" w14:textId="77777777" w:rsidR="00FF094F" w:rsidRDefault="00FF094F" w:rsidP="0057591C">
      <w:pPr>
        <w:pStyle w:val="NormalWeb"/>
        <w:jc w:val="both"/>
        <w:rPr>
          <w:rFonts w:eastAsiaTheme="minorHAnsi"/>
          <w:color w:val="000000" w:themeColor="text1"/>
          <w:kern w:val="2"/>
          <w:lang w:eastAsia="en-US" w:bidi="ar-SA"/>
          <w14:ligatures w14:val="standardContextual"/>
        </w:rPr>
      </w:pPr>
      <w:proofErr w:type="spellStart"/>
      <w:r w:rsidRPr="00FF094F">
        <w:rPr>
          <w:rFonts w:eastAsiaTheme="minorHAnsi"/>
          <w:color w:val="000000" w:themeColor="text1"/>
          <w:kern w:val="2"/>
          <w:lang w:eastAsia="en-US" w:bidi="ar-SA"/>
          <w14:ligatures w14:val="standardContextual"/>
        </w:rPr>
        <w:t>Caut</w:t>
      </w:r>
      <w:proofErr w:type="spellEnd"/>
      <w:r w:rsidRPr="00FF094F">
        <w:rPr>
          <w:rFonts w:eastAsiaTheme="minorHAnsi"/>
          <w:color w:val="000000" w:themeColor="text1"/>
          <w:kern w:val="2"/>
          <w:lang w:eastAsia="en-US" w:bidi="ar-SA"/>
          <w14:ligatures w14:val="standardContextual"/>
        </w:rPr>
        <w:t xml:space="preserve">, S., Angulo, E. and </w:t>
      </w:r>
      <w:proofErr w:type="spellStart"/>
      <w:r w:rsidRPr="00FF094F">
        <w:rPr>
          <w:rFonts w:eastAsiaTheme="minorHAnsi"/>
          <w:color w:val="000000" w:themeColor="text1"/>
          <w:kern w:val="2"/>
          <w:lang w:eastAsia="en-US" w:bidi="ar-SA"/>
          <w14:ligatures w14:val="standardContextual"/>
        </w:rPr>
        <w:t>Courchamp</w:t>
      </w:r>
      <w:proofErr w:type="spellEnd"/>
      <w:r w:rsidRPr="00FF094F">
        <w:rPr>
          <w:rFonts w:eastAsiaTheme="minorHAnsi"/>
          <w:color w:val="000000" w:themeColor="text1"/>
          <w:kern w:val="2"/>
          <w:lang w:eastAsia="en-US" w:bidi="ar-SA"/>
          <w14:ligatures w14:val="standardContextual"/>
        </w:rPr>
        <w:t>, F., 2009. Variation in discrimination factors (Δ15N and Δ13C): the effect of diet isotopic values and applications for diet reconstruction. Journal of Applied Ecology, 46(2), pp.443-453.</w:t>
      </w:r>
    </w:p>
    <w:p w14:paraId="79B01C1E" w14:textId="77777777" w:rsidR="00FF094F" w:rsidRDefault="00FF094F" w:rsidP="0057591C">
      <w:pPr>
        <w:pStyle w:val="NormalWeb"/>
        <w:jc w:val="both"/>
        <w:rPr>
          <w:color w:val="000000" w:themeColor="text1"/>
        </w:rPr>
      </w:pPr>
      <w:proofErr w:type="spellStart"/>
      <w:r w:rsidRPr="00FF094F">
        <w:rPr>
          <w:color w:val="000000" w:themeColor="text1"/>
        </w:rPr>
        <w:t>Cerling</w:t>
      </w:r>
      <w:proofErr w:type="spellEnd"/>
      <w:r w:rsidRPr="00FF094F">
        <w:rPr>
          <w:color w:val="000000" w:themeColor="text1"/>
        </w:rPr>
        <w:t xml:space="preserve">, T.E. and Harris, J.M., 1999. Carbon isotope fractionation between diet and bioapatite in ungulate mammals and implications for ecological and </w:t>
      </w:r>
      <w:proofErr w:type="spellStart"/>
      <w:r w:rsidRPr="00FF094F">
        <w:rPr>
          <w:color w:val="000000" w:themeColor="text1"/>
        </w:rPr>
        <w:t>paleoecological</w:t>
      </w:r>
      <w:proofErr w:type="spellEnd"/>
      <w:r w:rsidRPr="00FF094F">
        <w:rPr>
          <w:color w:val="000000" w:themeColor="text1"/>
        </w:rPr>
        <w:t xml:space="preserve"> studies. </w:t>
      </w:r>
      <w:proofErr w:type="spellStart"/>
      <w:r w:rsidRPr="00FF094F">
        <w:rPr>
          <w:color w:val="000000" w:themeColor="text1"/>
        </w:rPr>
        <w:t>Oecologia</w:t>
      </w:r>
      <w:proofErr w:type="spellEnd"/>
      <w:r w:rsidRPr="00FF094F">
        <w:rPr>
          <w:color w:val="000000" w:themeColor="text1"/>
        </w:rPr>
        <w:t>, 120(3), pp.347-363.</w:t>
      </w:r>
    </w:p>
    <w:p w14:paraId="74815990" w14:textId="77777777" w:rsidR="00FF094F" w:rsidRDefault="00FF094F" w:rsidP="0057591C">
      <w:pPr>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FF094F">
        <w:rPr>
          <w:rFonts w:ascii="Times New Roman" w:eastAsia="Times New Roman" w:hAnsi="Times New Roman" w:cs="Times New Roman"/>
          <w:color w:val="000000" w:themeColor="text1"/>
          <w:kern w:val="0"/>
          <w:sz w:val="24"/>
          <w:szCs w:val="24"/>
          <w:lang w:eastAsia="en-IN" w:bidi="ml-IN"/>
          <w14:ligatures w14:val="none"/>
        </w:rPr>
        <w:t>Cerling</w:t>
      </w:r>
      <w:proofErr w:type="spellEnd"/>
      <w:r w:rsidRPr="00FF094F">
        <w:rPr>
          <w:rFonts w:ascii="Times New Roman" w:eastAsia="Times New Roman" w:hAnsi="Times New Roman" w:cs="Times New Roman"/>
          <w:color w:val="000000" w:themeColor="text1"/>
          <w:kern w:val="0"/>
          <w:sz w:val="24"/>
          <w:szCs w:val="24"/>
          <w:lang w:eastAsia="en-IN" w:bidi="ml-IN"/>
          <w14:ligatures w14:val="none"/>
        </w:rPr>
        <w:t xml:space="preserve">, T.E., Levin, N.E. and </w:t>
      </w:r>
      <w:proofErr w:type="spellStart"/>
      <w:r w:rsidRPr="00FF094F">
        <w:rPr>
          <w:rFonts w:ascii="Times New Roman" w:eastAsia="Times New Roman" w:hAnsi="Times New Roman" w:cs="Times New Roman"/>
          <w:color w:val="000000" w:themeColor="text1"/>
          <w:kern w:val="0"/>
          <w:sz w:val="24"/>
          <w:szCs w:val="24"/>
          <w:lang w:eastAsia="en-IN" w:bidi="ml-IN"/>
          <w14:ligatures w14:val="none"/>
        </w:rPr>
        <w:t>Passey</w:t>
      </w:r>
      <w:proofErr w:type="spellEnd"/>
      <w:r w:rsidRPr="00FF094F">
        <w:rPr>
          <w:rFonts w:ascii="Times New Roman" w:eastAsia="Times New Roman" w:hAnsi="Times New Roman" w:cs="Times New Roman"/>
          <w:color w:val="000000" w:themeColor="text1"/>
          <w:kern w:val="0"/>
          <w:sz w:val="24"/>
          <w:szCs w:val="24"/>
          <w:lang w:eastAsia="en-IN" w:bidi="ml-IN"/>
          <w14:ligatures w14:val="none"/>
        </w:rPr>
        <w:t>, B.H., 2011. Stable isotope ecology in the Omo‐Turkana Basin. Evolutionary Anthropology: Issues, News, and Reviews, 20(6), pp.228-237.</w:t>
      </w:r>
    </w:p>
    <w:p w14:paraId="36BF0E4F" w14:textId="77777777" w:rsidR="00FF094F" w:rsidRDefault="00FF094F" w:rsidP="0057591C">
      <w:pPr>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FF094F">
        <w:rPr>
          <w:rFonts w:ascii="Times New Roman" w:eastAsia="Times New Roman" w:hAnsi="Times New Roman" w:cs="Times New Roman"/>
          <w:color w:val="000000" w:themeColor="text1"/>
          <w:kern w:val="0"/>
          <w:sz w:val="24"/>
          <w:szCs w:val="24"/>
          <w:lang w:eastAsia="en-IN" w:bidi="ml-IN"/>
          <w14:ligatures w14:val="none"/>
        </w:rPr>
        <w:t>Cerling</w:t>
      </w:r>
      <w:proofErr w:type="spellEnd"/>
      <w:r w:rsidRPr="00FF094F">
        <w:rPr>
          <w:rFonts w:ascii="Times New Roman" w:eastAsia="Times New Roman" w:hAnsi="Times New Roman" w:cs="Times New Roman"/>
          <w:color w:val="000000" w:themeColor="text1"/>
          <w:kern w:val="0"/>
          <w:sz w:val="24"/>
          <w:szCs w:val="24"/>
          <w:lang w:eastAsia="en-IN" w:bidi="ml-IN"/>
          <w14:ligatures w14:val="none"/>
        </w:rPr>
        <w:t xml:space="preserve">, T.E., Solomon, D.K., Quade, J.A.Y. and Bowman, J.R., 1991. On the isotopic composition of carbon in soil carbon dioxide. </w:t>
      </w:r>
      <w:proofErr w:type="spellStart"/>
      <w:r w:rsidRPr="00FF094F">
        <w:rPr>
          <w:rFonts w:ascii="Times New Roman" w:eastAsia="Times New Roman" w:hAnsi="Times New Roman" w:cs="Times New Roman"/>
          <w:color w:val="000000" w:themeColor="text1"/>
          <w:kern w:val="0"/>
          <w:sz w:val="24"/>
          <w:szCs w:val="24"/>
          <w:lang w:eastAsia="en-IN" w:bidi="ml-IN"/>
          <w14:ligatures w14:val="none"/>
        </w:rPr>
        <w:t>Geochimica</w:t>
      </w:r>
      <w:proofErr w:type="spellEnd"/>
      <w:r w:rsidRPr="00FF094F">
        <w:rPr>
          <w:rFonts w:ascii="Times New Roman" w:eastAsia="Times New Roman" w:hAnsi="Times New Roman" w:cs="Times New Roman"/>
          <w:color w:val="000000" w:themeColor="text1"/>
          <w:kern w:val="0"/>
          <w:sz w:val="24"/>
          <w:szCs w:val="24"/>
          <w:lang w:eastAsia="en-IN" w:bidi="ml-IN"/>
          <w14:ligatures w14:val="none"/>
        </w:rPr>
        <w:t xml:space="preserve"> et </w:t>
      </w:r>
      <w:proofErr w:type="spellStart"/>
      <w:r w:rsidRPr="00FF094F">
        <w:rPr>
          <w:rFonts w:ascii="Times New Roman" w:eastAsia="Times New Roman" w:hAnsi="Times New Roman" w:cs="Times New Roman"/>
          <w:color w:val="000000" w:themeColor="text1"/>
          <w:kern w:val="0"/>
          <w:sz w:val="24"/>
          <w:szCs w:val="24"/>
          <w:lang w:eastAsia="en-IN" w:bidi="ml-IN"/>
          <w14:ligatures w14:val="none"/>
        </w:rPr>
        <w:t>Cosmochimica</w:t>
      </w:r>
      <w:proofErr w:type="spellEnd"/>
      <w:r w:rsidRPr="00FF094F">
        <w:rPr>
          <w:rFonts w:ascii="Times New Roman" w:eastAsia="Times New Roman" w:hAnsi="Times New Roman" w:cs="Times New Roman"/>
          <w:color w:val="000000" w:themeColor="text1"/>
          <w:kern w:val="0"/>
          <w:sz w:val="24"/>
          <w:szCs w:val="24"/>
          <w:lang w:eastAsia="en-IN" w:bidi="ml-IN"/>
          <w14:ligatures w14:val="none"/>
        </w:rPr>
        <w:t xml:space="preserve"> Acta, 55(11), pp.3403-3405.</w:t>
      </w:r>
    </w:p>
    <w:p w14:paraId="354A5B1C" w14:textId="180277B1" w:rsidR="00F125A7" w:rsidRDefault="00FF094F" w:rsidP="0057591C">
      <w:pPr>
        <w:jc w:val="both"/>
        <w:rPr>
          <w:rFonts w:ascii="Times New Roman" w:hAnsi="Times New Roman" w:cs="Times New Roman"/>
          <w:color w:val="000000" w:themeColor="text1"/>
          <w:sz w:val="24"/>
          <w:szCs w:val="24"/>
        </w:rPr>
      </w:pPr>
      <w:proofErr w:type="spellStart"/>
      <w:r w:rsidRPr="00FF094F">
        <w:rPr>
          <w:rFonts w:ascii="Times New Roman" w:hAnsi="Times New Roman" w:cs="Times New Roman"/>
          <w:color w:val="000000" w:themeColor="text1"/>
          <w:sz w:val="24"/>
          <w:szCs w:val="24"/>
        </w:rPr>
        <w:t>Cerling</w:t>
      </w:r>
      <w:proofErr w:type="spellEnd"/>
      <w:r w:rsidRPr="00FF094F">
        <w:rPr>
          <w:rFonts w:ascii="Times New Roman" w:hAnsi="Times New Roman" w:cs="Times New Roman"/>
          <w:color w:val="000000" w:themeColor="text1"/>
          <w:sz w:val="24"/>
          <w:szCs w:val="24"/>
        </w:rPr>
        <w:t xml:space="preserve">, T.E., </w:t>
      </w:r>
      <w:proofErr w:type="spellStart"/>
      <w:r w:rsidRPr="00FF094F">
        <w:rPr>
          <w:rFonts w:ascii="Times New Roman" w:hAnsi="Times New Roman" w:cs="Times New Roman"/>
          <w:color w:val="000000" w:themeColor="text1"/>
          <w:sz w:val="24"/>
          <w:szCs w:val="24"/>
        </w:rPr>
        <w:t>Wittemyer</w:t>
      </w:r>
      <w:proofErr w:type="spellEnd"/>
      <w:r w:rsidRPr="00FF094F">
        <w:rPr>
          <w:rFonts w:ascii="Times New Roman" w:hAnsi="Times New Roman" w:cs="Times New Roman"/>
          <w:color w:val="000000" w:themeColor="text1"/>
          <w:sz w:val="24"/>
          <w:szCs w:val="24"/>
        </w:rPr>
        <w:t xml:space="preserve">, G., </w:t>
      </w:r>
      <w:proofErr w:type="spellStart"/>
      <w:r w:rsidRPr="00FF094F">
        <w:rPr>
          <w:rFonts w:ascii="Times New Roman" w:hAnsi="Times New Roman" w:cs="Times New Roman"/>
          <w:color w:val="000000" w:themeColor="text1"/>
          <w:sz w:val="24"/>
          <w:szCs w:val="24"/>
        </w:rPr>
        <w:t>Ehleringer</w:t>
      </w:r>
      <w:proofErr w:type="spellEnd"/>
      <w:r w:rsidRPr="00FF094F">
        <w:rPr>
          <w:rFonts w:ascii="Times New Roman" w:hAnsi="Times New Roman" w:cs="Times New Roman"/>
          <w:color w:val="000000" w:themeColor="text1"/>
          <w:sz w:val="24"/>
          <w:szCs w:val="24"/>
        </w:rPr>
        <w:t xml:space="preserve">, J.R., </w:t>
      </w:r>
      <w:proofErr w:type="spellStart"/>
      <w:r w:rsidRPr="00FF094F">
        <w:rPr>
          <w:rFonts w:ascii="Times New Roman" w:hAnsi="Times New Roman" w:cs="Times New Roman"/>
          <w:color w:val="000000" w:themeColor="text1"/>
          <w:sz w:val="24"/>
          <w:szCs w:val="24"/>
        </w:rPr>
        <w:t>Remien</w:t>
      </w:r>
      <w:proofErr w:type="spellEnd"/>
      <w:r w:rsidRPr="00FF094F">
        <w:rPr>
          <w:rFonts w:ascii="Times New Roman" w:hAnsi="Times New Roman" w:cs="Times New Roman"/>
          <w:color w:val="000000" w:themeColor="text1"/>
          <w:sz w:val="24"/>
          <w:szCs w:val="24"/>
        </w:rPr>
        <w:t>, C.H. and Douglas-Hamilton, I., 2009. History of animals using isotope records (HAIR): a 6-year dietary history of one family of African elephants. </w:t>
      </w:r>
      <w:r w:rsidRPr="00FF094F">
        <w:rPr>
          <w:rFonts w:ascii="Times New Roman" w:hAnsi="Times New Roman" w:cs="Times New Roman"/>
          <w:i/>
          <w:iCs/>
          <w:color w:val="000000" w:themeColor="text1"/>
          <w:sz w:val="24"/>
          <w:szCs w:val="24"/>
        </w:rPr>
        <w:t>Proceedings of the National Academy of Sciences</w:t>
      </w:r>
      <w:r w:rsidRPr="00FF094F">
        <w:rPr>
          <w:rFonts w:ascii="Times New Roman" w:hAnsi="Times New Roman" w:cs="Times New Roman"/>
          <w:color w:val="000000" w:themeColor="text1"/>
          <w:sz w:val="24"/>
          <w:szCs w:val="24"/>
        </w:rPr>
        <w:t>, </w:t>
      </w:r>
      <w:r w:rsidRPr="00FF094F">
        <w:rPr>
          <w:rFonts w:ascii="Times New Roman" w:hAnsi="Times New Roman" w:cs="Times New Roman"/>
          <w:i/>
          <w:iCs/>
          <w:color w:val="000000" w:themeColor="text1"/>
          <w:sz w:val="24"/>
          <w:szCs w:val="24"/>
        </w:rPr>
        <w:t>106</w:t>
      </w:r>
      <w:r w:rsidRPr="00FF094F">
        <w:rPr>
          <w:rFonts w:ascii="Times New Roman" w:hAnsi="Times New Roman" w:cs="Times New Roman"/>
          <w:color w:val="000000" w:themeColor="text1"/>
          <w:sz w:val="24"/>
          <w:szCs w:val="24"/>
        </w:rPr>
        <w:t>(20), pp.8093-8100.</w:t>
      </w:r>
    </w:p>
    <w:p w14:paraId="391FB7B3" w14:textId="77777777" w:rsidR="00FF094F" w:rsidRDefault="00FF094F" w:rsidP="00940828">
      <w:pPr>
        <w:spacing w:before="100" w:beforeAutospacing="1" w:after="100" w:afterAutospacing="1" w:line="240" w:lineRule="auto"/>
        <w:jc w:val="both"/>
        <w:rPr>
          <w:rFonts w:ascii="Times New Roman" w:hAnsi="Times New Roman" w:cs="Times New Roman"/>
          <w:color w:val="000000" w:themeColor="text1"/>
          <w:sz w:val="24"/>
          <w:szCs w:val="24"/>
        </w:rPr>
      </w:pPr>
      <w:proofErr w:type="spellStart"/>
      <w:r w:rsidRPr="00FF094F">
        <w:rPr>
          <w:rFonts w:ascii="Times New Roman" w:hAnsi="Times New Roman" w:cs="Times New Roman"/>
          <w:color w:val="000000" w:themeColor="text1"/>
          <w:sz w:val="24"/>
          <w:szCs w:val="24"/>
        </w:rPr>
        <w:lastRenderedPageBreak/>
        <w:t>Cerling</w:t>
      </w:r>
      <w:proofErr w:type="spellEnd"/>
      <w:r w:rsidRPr="00FF094F">
        <w:rPr>
          <w:rFonts w:ascii="Times New Roman" w:hAnsi="Times New Roman" w:cs="Times New Roman"/>
          <w:color w:val="000000" w:themeColor="text1"/>
          <w:sz w:val="24"/>
          <w:szCs w:val="24"/>
        </w:rPr>
        <w:t xml:space="preserve">, T.E., </w:t>
      </w:r>
      <w:proofErr w:type="spellStart"/>
      <w:r w:rsidRPr="00FF094F">
        <w:rPr>
          <w:rFonts w:ascii="Times New Roman" w:hAnsi="Times New Roman" w:cs="Times New Roman"/>
          <w:color w:val="000000" w:themeColor="text1"/>
          <w:sz w:val="24"/>
          <w:szCs w:val="24"/>
        </w:rPr>
        <w:t>Wittemyer</w:t>
      </w:r>
      <w:proofErr w:type="spellEnd"/>
      <w:r w:rsidRPr="00FF094F">
        <w:rPr>
          <w:rFonts w:ascii="Times New Roman" w:hAnsi="Times New Roman" w:cs="Times New Roman"/>
          <w:color w:val="000000" w:themeColor="text1"/>
          <w:sz w:val="24"/>
          <w:szCs w:val="24"/>
        </w:rPr>
        <w:t xml:space="preserve">, G., Rasmussen, H.B., Vollrath, F., </w:t>
      </w:r>
      <w:proofErr w:type="spellStart"/>
      <w:r w:rsidRPr="00FF094F">
        <w:rPr>
          <w:rFonts w:ascii="Times New Roman" w:hAnsi="Times New Roman" w:cs="Times New Roman"/>
          <w:color w:val="000000" w:themeColor="text1"/>
          <w:sz w:val="24"/>
          <w:szCs w:val="24"/>
        </w:rPr>
        <w:t>Cerling</w:t>
      </w:r>
      <w:proofErr w:type="spellEnd"/>
      <w:r w:rsidRPr="00FF094F">
        <w:rPr>
          <w:rFonts w:ascii="Times New Roman" w:hAnsi="Times New Roman" w:cs="Times New Roman"/>
          <w:color w:val="000000" w:themeColor="text1"/>
          <w:sz w:val="24"/>
          <w:szCs w:val="24"/>
        </w:rPr>
        <w:t>, C.E., Robinson, T.J. and Douglas-Hamilton, I., 2006. Stable isotopes in elephant hair document migration patterns and diet changes. Proceedings of the National Academy of Sciences, 103(2), pp.371-373.</w:t>
      </w:r>
    </w:p>
    <w:p w14:paraId="11DC00E8" w14:textId="77777777" w:rsidR="00FF094F" w:rsidRDefault="00FF094F" w:rsidP="00940828">
      <w:pPr>
        <w:spacing w:before="100" w:beforeAutospacing="1" w:after="100" w:afterAutospacing="1" w:line="240" w:lineRule="auto"/>
        <w:jc w:val="both"/>
        <w:rPr>
          <w:rFonts w:ascii="Times New Roman" w:hAnsi="Times New Roman" w:cs="Times New Roman"/>
          <w:color w:val="000000" w:themeColor="text1"/>
          <w:sz w:val="24"/>
          <w:szCs w:val="24"/>
        </w:rPr>
      </w:pPr>
      <w:proofErr w:type="spellStart"/>
      <w:r w:rsidRPr="00FF094F">
        <w:rPr>
          <w:rFonts w:ascii="Times New Roman" w:hAnsi="Times New Roman" w:cs="Times New Roman"/>
          <w:color w:val="000000" w:themeColor="text1"/>
          <w:sz w:val="24"/>
          <w:szCs w:val="24"/>
        </w:rPr>
        <w:t>Cerling</w:t>
      </w:r>
      <w:proofErr w:type="spellEnd"/>
      <w:r w:rsidRPr="00FF094F">
        <w:rPr>
          <w:rFonts w:ascii="Times New Roman" w:hAnsi="Times New Roman" w:cs="Times New Roman"/>
          <w:color w:val="000000" w:themeColor="text1"/>
          <w:sz w:val="24"/>
          <w:szCs w:val="24"/>
        </w:rPr>
        <w:t xml:space="preserve">, T.E., Wynn, J.G., </w:t>
      </w:r>
      <w:proofErr w:type="spellStart"/>
      <w:r w:rsidRPr="00FF094F">
        <w:rPr>
          <w:rFonts w:ascii="Times New Roman" w:hAnsi="Times New Roman" w:cs="Times New Roman"/>
          <w:color w:val="000000" w:themeColor="text1"/>
          <w:sz w:val="24"/>
          <w:szCs w:val="24"/>
        </w:rPr>
        <w:t>Andanje</w:t>
      </w:r>
      <w:proofErr w:type="spellEnd"/>
      <w:r w:rsidRPr="00FF094F">
        <w:rPr>
          <w:rFonts w:ascii="Times New Roman" w:hAnsi="Times New Roman" w:cs="Times New Roman"/>
          <w:color w:val="000000" w:themeColor="text1"/>
          <w:sz w:val="24"/>
          <w:szCs w:val="24"/>
        </w:rPr>
        <w:t xml:space="preserve">, S.A., Bird, M.I., </w:t>
      </w:r>
      <w:proofErr w:type="spellStart"/>
      <w:r w:rsidRPr="00FF094F">
        <w:rPr>
          <w:rFonts w:ascii="Times New Roman" w:hAnsi="Times New Roman" w:cs="Times New Roman"/>
          <w:color w:val="000000" w:themeColor="text1"/>
          <w:sz w:val="24"/>
          <w:szCs w:val="24"/>
        </w:rPr>
        <w:t>Korir</w:t>
      </w:r>
      <w:proofErr w:type="spellEnd"/>
      <w:r w:rsidRPr="00FF094F">
        <w:rPr>
          <w:rFonts w:ascii="Times New Roman" w:hAnsi="Times New Roman" w:cs="Times New Roman"/>
          <w:color w:val="000000" w:themeColor="text1"/>
          <w:sz w:val="24"/>
          <w:szCs w:val="24"/>
        </w:rPr>
        <w:t xml:space="preserve">, D.K., Levin, N.E., Mace, W., Macharia, A.N., Quade, J. and </w:t>
      </w:r>
      <w:proofErr w:type="spellStart"/>
      <w:r w:rsidRPr="00FF094F">
        <w:rPr>
          <w:rFonts w:ascii="Times New Roman" w:hAnsi="Times New Roman" w:cs="Times New Roman"/>
          <w:color w:val="000000" w:themeColor="text1"/>
          <w:sz w:val="24"/>
          <w:szCs w:val="24"/>
        </w:rPr>
        <w:t>Remien</w:t>
      </w:r>
      <w:proofErr w:type="spellEnd"/>
      <w:r w:rsidRPr="00FF094F">
        <w:rPr>
          <w:rFonts w:ascii="Times New Roman" w:hAnsi="Times New Roman" w:cs="Times New Roman"/>
          <w:color w:val="000000" w:themeColor="text1"/>
          <w:sz w:val="24"/>
          <w:szCs w:val="24"/>
        </w:rPr>
        <w:t>, C.H., 2011. Woody cover and hominin environments in the past 6 million years. nature, 476(7358), pp.51-56.</w:t>
      </w:r>
    </w:p>
    <w:p w14:paraId="58120347" w14:textId="77777777" w:rsidR="0090504E" w:rsidRDefault="0090504E" w:rsidP="009F1125">
      <w:pPr>
        <w:jc w:val="both"/>
        <w:rPr>
          <w:rFonts w:ascii="Times New Roman" w:eastAsia="Times New Roman" w:hAnsi="Times New Roman" w:cs="Times New Roman"/>
          <w:color w:val="000000" w:themeColor="text1"/>
          <w:kern w:val="0"/>
          <w:sz w:val="24"/>
          <w:szCs w:val="24"/>
          <w:lang w:eastAsia="en-IN" w:bidi="ml-IN"/>
          <w14:ligatures w14:val="none"/>
        </w:rPr>
      </w:pPr>
      <w:r w:rsidRPr="0090504E">
        <w:rPr>
          <w:rFonts w:ascii="Times New Roman" w:eastAsia="Times New Roman" w:hAnsi="Times New Roman" w:cs="Times New Roman"/>
          <w:color w:val="000000" w:themeColor="text1"/>
          <w:kern w:val="0"/>
          <w:sz w:val="24"/>
          <w:szCs w:val="24"/>
          <w:lang w:eastAsia="en-IN" w:bidi="ml-IN"/>
          <w14:ligatures w14:val="none"/>
        </w:rPr>
        <w:t xml:space="preserve">Chesson, L.A., Tipple, B.J., </w:t>
      </w:r>
      <w:proofErr w:type="spellStart"/>
      <w:r w:rsidRPr="0090504E">
        <w:rPr>
          <w:rFonts w:ascii="Times New Roman" w:eastAsia="Times New Roman" w:hAnsi="Times New Roman" w:cs="Times New Roman"/>
          <w:color w:val="000000" w:themeColor="text1"/>
          <w:kern w:val="0"/>
          <w:sz w:val="24"/>
          <w:szCs w:val="24"/>
          <w:lang w:eastAsia="en-IN" w:bidi="ml-IN"/>
          <w14:ligatures w14:val="none"/>
        </w:rPr>
        <w:t>Erkkila</w:t>
      </w:r>
      <w:proofErr w:type="spellEnd"/>
      <w:r w:rsidRPr="0090504E">
        <w:rPr>
          <w:rFonts w:ascii="Times New Roman" w:eastAsia="Times New Roman" w:hAnsi="Times New Roman" w:cs="Times New Roman"/>
          <w:color w:val="000000" w:themeColor="text1"/>
          <w:kern w:val="0"/>
          <w:sz w:val="24"/>
          <w:szCs w:val="24"/>
          <w:lang w:eastAsia="en-IN" w:bidi="ml-IN"/>
          <w14:ligatures w14:val="none"/>
        </w:rPr>
        <w:t xml:space="preserve">, B.R., </w:t>
      </w:r>
      <w:proofErr w:type="spellStart"/>
      <w:r w:rsidRPr="0090504E">
        <w:rPr>
          <w:rFonts w:ascii="Times New Roman" w:eastAsia="Times New Roman" w:hAnsi="Times New Roman" w:cs="Times New Roman"/>
          <w:color w:val="000000" w:themeColor="text1"/>
          <w:kern w:val="0"/>
          <w:sz w:val="24"/>
          <w:szCs w:val="24"/>
          <w:lang w:eastAsia="en-IN" w:bidi="ml-IN"/>
          <w14:ligatures w14:val="none"/>
        </w:rPr>
        <w:t>Cerling</w:t>
      </w:r>
      <w:proofErr w:type="spellEnd"/>
      <w:r w:rsidRPr="0090504E">
        <w:rPr>
          <w:rFonts w:ascii="Times New Roman" w:eastAsia="Times New Roman" w:hAnsi="Times New Roman" w:cs="Times New Roman"/>
          <w:color w:val="000000" w:themeColor="text1"/>
          <w:kern w:val="0"/>
          <w:sz w:val="24"/>
          <w:szCs w:val="24"/>
          <w:lang w:eastAsia="en-IN" w:bidi="ml-IN"/>
          <w14:ligatures w14:val="none"/>
        </w:rPr>
        <w:t xml:space="preserve">, T.E. and </w:t>
      </w:r>
      <w:proofErr w:type="spellStart"/>
      <w:r w:rsidRPr="0090504E">
        <w:rPr>
          <w:rFonts w:ascii="Times New Roman" w:eastAsia="Times New Roman" w:hAnsi="Times New Roman" w:cs="Times New Roman"/>
          <w:color w:val="000000" w:themeColor="text1"/>
          <w:kern w:val="0"/>
          <w:sz w:val="24"/>
          <w:szCs w:val="24"/>
          <w:lang w:eastAsia="en-IN" w:bidi="ml-IN"/>
          <w14:ligatures w14:val="none"/>
        </w:rPr>
        <w:t>Ehleringer</w:t>
      </w:r>
      <w:proofErr w:type="spellEnd"/>
      <w:r w:rsidRPr="0090504E">
        <w:rPr>
          <w:rFonts w:ascii="Times New Roman" w:eastAsia="Times New Roman" w:hAnsi="Times New Roman" w:cs="Times New Roman"/>
          <w:color w:val="000000" w:themeColor="text1"/>
          <w:kern w:val="0"/>
          <w:sz w:val="24"/>
          <w:szCs w:val="24"/>
          <w:lang w:eastAsia="en-IN" w:bidi="ml-IN"/>
          <w14:ligatures w14:val="none"/>
        </w:rPr>
        <w:t>, J.R., 2011. B-HIVE: Beeswax hydrogen isotopes as validation of environment. Part I: Bulk honey and honeycomb stable isotope analysis. Food Chemistry, 125(2), pp.576-581.</w:t>
      </w:r>
    </w:p>
    <w:p w14:paraId="1EFCC53D" w14:textId="77777777" w:rsidR="0090504E" w:rsidRDefault="0090504E" w:rsidP="00940828">
      <w:pPr>
        <w:spacing w:before="100" w:beforeAutospacing="1" w:after="100" w:afterAutospacing="1" w:line="240" w:lineRule="auto"/>
        <w:jc w:val="both"/>
        <w:rPr>
          <w:rFonts w:ascii="Times New Roman" w:hAnsi="Times New Roman" w:cs="Times New Roman"/>
          <w:color w:val="000000" w:themeColor="text1"/>
          <w:sz w:val="24"/>
          <w:szCs w:val="24"/>
        </w:rPr>
      </w:pPr>
      <w:proofErr w:type="spellStart"/>
      <w:r w:rsidRPr="0090504E">
        <w:rPr>
          <w:rFonts w:ascii="Times New Roman" w:hAnsi="Times New Roman" w:cs="Times New Roman"/>
          <w:color w:val="000000" w:themeColor="text1"/>
          <w:sz w:val="24"/>
          <w:szCs w:val="24"/>
        </w:rPr>
        <w:t>Chikaraishi</w:t>
      </w:r>
      <w:proofErr w:type="spellEnd"/>
      <w:r w:rsidRPr="0090504E">
        <w:rPr>
          <w:rFonts w:ascii="Times New Roman" w:hAnsi="Times New Roman" w:cs="Times New Roman"/>
          <w:color w:val="000000" w:themeColor="text1"/>
          <w:sz w:val="24"/>
          <w:szCs w:val="24"/>
        </w:rPr>
        <w:t xml:space="preserve">, Y., Ogawa, N.O., Kashiyama, Y., Takano, Y., Suga, H., </w:t>
      </w:r>
      <w:proofErr w:type="spellStart"/>
      <w:r w:rsidRPr="0090504E">
        <w:rPr>
          <w:rFonts w:ascii="Times New Roman" w:hAnsi="Times New Roman" w:cs="Times New Roman"/>
          <w:color w:val="000000" w:themeColor="text1"/>
          <w:sz w:val="24"/>
          <w:szCs w:val="24"/>
        </w:rPr>
        <w:t>Tomitani</w:t>
      </w:r>
      <w:proofErr w:type="spellEnd"/>
      <w:r w:rsidRPr="0090504E">
        <w:rPr>
          <w:rFonts w:ascii="Times New Roman" w:hAnsi="Times New Roman" w:cs="Times New Roman"/>
          <w:color w:val="000000" w:themeColor="text1"/>
          <w:sz w:val="24"/>
          <w:szCs w:val="24"/>
        </w:rPr>
        <w:t xml:space="preserve">, A., Miyashita, H., </w:t>
      </w:r>
      <w:proofErr w:type="spellStart"/>
      <w:r w:rsidRPr="0090504E">
        <w:rPr>
          <w:rFonts w:ascii="Times New Roman" w:hAnsi="Times New Roman" w:cs="Times New Roman"/>
          <w:color w:val="000000" w:themeColor="text1"/>
          <w:sz w:val="24"/>
          <w:szCs w:val="24"/>
        </w:rPr>
        <w:t>Kitazato</w:t>
      </w:r>
      <w:proofErr w:type="spellEnd"/>
      <w:r w:rsidRPr="0090504E">
        <w:rPr>
          <w:rFonts w:ascii="Times New Roman" w:hAnsi="Times New Roman" w:cs="Times New Roman"/>
          <w:color w:val="000000" w:themeColor="text1"/>
          <w:sz w:val="24"/>
          <w:szCs w:val="24"/>
        </w:rPr>
        <w:t xml:space="preserve">, H. and </w:t>
      </w:r>
      <w:proofErr w:type="spellStart"/>
      <w:r w:rsidRPr="0090504E">
        <w:rPr>
          <w:rFonts w:ascii="Times New Roman" w:hAnsi="Times New Roman" w:cs="Times New Roman"/>
          <w:color w:val="000000" w:themeColor="text1"/>
          <w:sz w:val="24"/>
          <w:szCs w:val="24"/>
        </w:rPr>
        <w:t>Ohkouchi</w:t>
      </w:r>
      <w:proofErr w:type="spellEnd"/>
      <w:r w:rsidRPr="0090504E">
        <w:rPr>
          <w:rFonts w:ascii="Times New Roman" w:hAnsi="Times New Roman" w:cs="Times New Roman"/>
          <w:color w:val="000000" w:themeColor="text1"/>
          <w:sz w:val="24"/>
          <w:szCs w:val="24"/>
        </w:rPr>
        <w:t>, N., 2009. Determination of aquatic food‐web structure based on compound‐specific nitrogen isotopic composition of amino acids. Limnology and Oceanography: methods, 7(11), pp.740-750.</w:t>
      </w:r>
    </w:p>
    <w:p w14:paraId="014AB1CA" w14:textId="77777777" w:rsidR="0090504E" w:rsidRDefault="0090504E" w:rsidP="0057591C">
      <w:pPr>
        <w:pStyle w:val="NormalWeb"/>
        <w:jc w:val="both"/>
        <w:rPr>
          <w:color w:val="000000" w:themeColor="text1"/>
        </w:rPr>
      </w:pPr>
      <w:proofErr w:type="spellStart"/>
      <w:r w:rsidRPr="0090504E">
        <w:rPr>
          <w:color w:val="000000" w:themeColor="text1"/>
        </w:rPr>
        <w:t>Codron</w:t>
      </w:r>
      <w:proofErr w:type="spellEnd"/>
      <w:r w:rsidRPr="0090504E">
        <w:rPr>
          <w:color w:val="000000" w:themeColor="text1"/>
        </w:rPr>
        <w:t xml:space="preserve">, J., Lee-Thorp, J.A., </w:t>
      </w:r>
      <w:proofErr w:type="spellStart"/>
      <w:r w:rsidRPr="0090504E">
        <w:rPr>
          <w:color w:val="000000" w:themeColor="text1"/>
        </w:rPr>
        <w:t>Sponheimer</w:t>
      </w:r>
      <w:proofErr w:type="spellEnd"/>
      <w:r w:rsidRPr="0090504E">
        <w:rPr>
          <w:color w:val="000000" w:themeColor="text1"/>
        </w:rPr>
        <w:t xml:space="preserve">, M., </w:t>
      </w:r>
      <w:proofErr w:type="spellStart"/>
      <w:r w:rsidRPr="0090504E">
        <w:rPr>
          <w:color w:val="000000" w:themeColor="text1"/>
        </w:rPr>
        <w:t>Codron</w:t>
      </w:r>
      <w:proofErr w:type="spellEnd"/>
      <w:r w:rsidRPr="0090504E">
        <w:rPr>
          <w:color w:val="000000" w:themeColor="text1"/>
        </w:rPr>
        <w:t xml:space="preserve">, D., Grant, R.C. and de Ruiter, D.J., 2006. Elephant (Loxodonta </w:t>
      </w:r>
      <w:proofErr w:type="spellStart"/>
      <w:r w:rsidRPr="0090504E">
        <w:rPr>
          <w:color w:val="000000" w:themeColor="text1"/>
        </w:rPr>
        <w:t>africana</w:t>
      </w:r>
      <w:proofErr w:type="spellEnd"/>
      <w:r w:rsidRPr="0090504E">
        <w:rPr>
          <w:color w:val="000000" w:themeColor="text1"/>
        </w:rPr>
        <w:t>) diets in Kruger National Park, South Africa: spatial and landscape differences. Journal of mammalogy, 87(1), pp.27-34.</w:t>
      </w:r>
    </w:p>
    <w:p w14:paraId="4CDEAB5F" w14:textId="77777777" w:rsidR="0090504E" w:rsidRDefault="0090504E" w:rsidP="0057591C">
      <w:pPr>
        <w:pStyle w:val="NormalWeb"/>
        <w:jc w:val="both"/>
        <w:rPr>
          <w:color w:val="000000" w:themeColor="text1"/>
        </w:rPr>
      </w:pPr>
      <w:proofErr w:type="spellStart"/>
      <w:r w:rsidRPr="0090504E">
        <w:rPr>
          <w:color w:val="000000" w:themeColor="text1"/>
        </w:rPr>
        <w:t>Coplen</w:t>
      </w:r>
      <w:proofErr w:type="spellEnd"/>
      <w:r w:rsidRPr="0090504E">
        <w:rPr>
          <w:color w:val="000000" w:themeColor="text1"/>
        </w:rPr>
        <w:t>, T.B., 2011. Guidelines and recommended terms for expression of stable‐isotope‐ratio and gas‐ratio measurement results. Rapid communications in mass spectrometry, 25(17), pp.2538-2560.</w:t>
      </w:r>
    </w:p>
    <w:p w14:paraId="583969E0" w14:textId="77777777" w:rsidR="00AD0419" w:rsidRDefault="00AD0419"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AD0419">
        <w:rPr>
          <w:rFonts w:ascii="Times New Roman" w:eastAsia="Times New Roman" w:hAnsi="Times New Roman" w:cs="Times New Roman"/>
          <w:color w:val="000000" w:themeColor="text1"/>
          <w:kern w:val="0"/>
          <w:sz w:val="24"/>
          <w:szCs w:val="24"/>
          <w:lang w:eastAsia="en-IN" w:bidi="ml-IN"/>
          <w14:ligatures w14:val="none"/>
        </w:rPr>
        <w:t>Criss, R.E., 1999. Principles of stable isotope distribution. Oxford University Press.</w:t>
      </w:r>
    </w:p>
    <w:p w14:paraId="58C07EC8" w14:textId="77777777" w:rsidR="00AD0419" w:rsidRDefault="00AD0419" w:rsidP="0057591C">
      <w:pPr>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AD0419">
        <w:rPr>
          <w:rFonts w:ascii="Times New Roman" w:eastAsia="Times New Roman" w:hAnsi="Times New Roman" w:cs="Times New Roman"/>
          <w:color w:val="000000" w:themeColor="text1"/>
          <w:kern w:val="0"/>
          <w:sz w:val="24"/>
          <w:szCs w:val="24"/>
          <w:lang w:eastAsia="en-IN" w:bidi="ml-IN"/>
          <w14:ligatures w14:val="none"/>
        </w:rPr>
        <w:t>Cristol</w:t>
      </w:r>
      <w:proofErr w:type="spellEnd"/>
      <w:r w:rsidRPr="00AD0419">
        <w:rPr>
          <w:rFonts w:ascii="Times New Roman" w:eastAsia="Times New Roman" w:hAnsi="Times New Roman" w:cs="Times New Roman"/>
          <w:color w:val="000000" w:themeColor="text1"/>
          <w:kern w:val="0"/>
          <w:sz w:val="24"/>
          <w:szCs w:val="24"/>
          <w:lang w:eastAsia="en-IN" w:bidi="ml-IN"/>
          <w14:ligatures w14:val="none"/>
        </w:rPr>
        <w:t>, D.A., Smith, F.M., Varian-Ramos, C.W. and Watts, B.D., 2011. Mercury levels of Nelson’s and saltmarsh sparrows at wintering grounds in Virginia, USA. Ecotoxicology, 20(8), pp.1773-1779.</w:t>
      </w:r>
    </w:p>
    <w:p w14:paraId="54FA5B63" w14:textId="0B8F8A27" w:rsidR="00B6596D" w:rsidRPr="00F13523" w:rsidRDefault="00AD0419" w:rsidP="0057591C">
      <w:pPr>
        <w:jc w:val="both"/>
        <w:rPr>
          <w:rFonts w:ascii="Times New Roman" w:hAnsi="Times New Roman" w:cs="Times New Roman"/>
          <w:color w:val="000000" w:themeColor="text1"/>
          <w:sz w:val="24"/>
          <w:szCs w:val="24"/>
        </w:rPr>
      </w:pPr>
      <w:proofErr w:type="spellStart"/>
      <w:r w:rsidRPr="00AD0419">
        <w:rPr>
          <w:rFonts w:ascii="Times New Roman" w:hAnsi="Times New Roman" w:cs="Times New Roman"/>
          <w:color w:val="000000" w:themeColor="text1"/>
          <w:sz w:val="24"/>
          <w:szCs w:val="24"/>
        </w:rPr>
        <w:t>Dalerum</w:t>
      </w:r>
      <w:proofErr w:type="spellEnd"/>
      <w:r w:rsidRPr="00AD0419">
        <w:rPr>
          <w:rFonts w:ascii="Times New Roman" w:hAnsi="Times New Roman" w:cs="Times New Roman"/>
          <w:color w:val="000000" w:themeColor="text1"/>
          <w:sz w:val="24"/>
          <w:szCs w:val="24"/>
        </w:rPr>
        <w:t xml:space="preserve">, F. and </w:t>
      </w:r>
      <w:proofErr w:type="spellStart"/>
      <w:r w:rsidRPr="00AD0419">
        <w:rPr>
          <w:rFonts w:ascii="Times New Roman" w:hAnsi="Times New Roman" w:cs="Times New Roman"/>
          <w:color w:val="000000" w:themeColor="text1"/>
          <w:sz w:val="24"/>
          <w:szCs w:val="24"/>
        </w:rPr>
        <w:t>Angerbjörn</w:t>
      </w:r>
      <w:proofErr w:type="spellEnd"/>
      <w:r w:rsidRPr="00AD0419">
        <w:rPr>
          <w:rFonts w:ascii="Times New Roman" w:hAnsi="Times New Roman" w:cs="Times New Roman"/>
          <w:color w:val="000000" w:themeColor="text1"/>
          <w:sz w:val="24"/>
          <w:szCs w:val="24"/>
        </w:rPr>
        <w:t>, A., 2005. Resolving temporal variation in vertebrate diets using naturally occurring stable isotopes. </w:t>
      </w:r>
      <w:proofErr w:type="spellStart"/>
      <w:r w:rsidRPr="00AD0419">
        <w:rPr>
          <w:rFonts w:ascii="Times New Roman" w:hAnsi="Times New Roman" w:cs="Times New Roman"/>
          <w:i/>
          <w:iCs/>
          <w:color w:val="000000" w:themeColor="text1"/>
          <w:sz w:val="24"/>
          <w:szCs w:val="24"/>
        </w:rPr>
        <w:t>Oecologia</w:t>
      </w:r>
      <w:proofErr w:type="spellEnd"/>
      <w:r w:rsidRPr="00AD0419">
        <w:rPr>
          <w:rFonts w:ascii="Times New Roman" w:hAnsi="Times New Roman" w:cs="Times New Roman"/>
          <w:color w:val="000000" w:themeColor="text1"/>
          <w:sz w:val="24"/>
          <w:szCs w:val="24"/>
        </w:rPr>
        <w:t>, </w:t>
      </w:r>
      <w:r w:rsidRPr="00AD0419">
        <w:rPr>
          <w:rFonts w:ascii="Times New Roman" w:hAnsi="Times New Roman" w:cs="Times New Roman"/>
          <w:i/>
          <w:iCs/>
          <w:color w:val="000000" w:themeColor="text1"/>
          <w:sz w:val="24"/>
          <w:szCs w:val="24"/>
        </w:rPr>
        <w:t>144</w:t>
      </w:r>
      <w:r w:rsidRPr="00AD0419">
        <w:rPr>
          <w:rFonts w:ascii="Times New Roman" w:hAnsi="Times New Roman" w:cs="Times New Roman"/>
          <w:color w:val="000000" w:themeColor="text1"/>
          <w:sz w:val="24"/>
          <w:szCs w:val="24"/>
        </w:rPr>
        <w:t>(4), pp.647-658.</w:t>
      </w:r>
      <w:r w:rsidR="00B6596D" w:rsidRPr="00F13523">
        <w:rPr>
          <w:rFonts w:ascii="Times New Roman" w:hAnsi="Times New Roman" w:cs="Times New Roman"/>
          <w:color w:val="000000" w:themeColor="text1"/>
          <w:sz w:val="24"/>
          <w:szCs w:val="24"/>
        </w:rPr>
        <w:t>, 144(4), pp.647-658.</w:t>
      </w:r>
    </w:p>
    <w:p w14:paraId="19A0CB72" w14:textId="77777777" w:rsidR="00AD0419" w:rsidRDefault="00AD0419"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AD0419">
        <w:rPr>
          <w:rFonts w:ascii="Times New Roman" w:eastAsia="Times New Roman" w:hAnsi="Times New Roman" w:cs="Times New Roman"/>
          <w:color w:val="000000" w:themeColor="text1"/>
          <w:kern w:val="0"/>
          <w:sz w:val="24"/>
          <w:szCs w:val="24"/>
          <w:lang w:eastAsia="en-IN" w:bidi="ml-IN"/>
          <w14:ligatures w14:val="none"/>
        </w:rPr>
        <w:t>Dansgaard</w:t>
      </w:r>
      <w:proofErr w:type="spellEnd"/>
      <w:r w:rsidRPr="00AD0419">
        <w:rPr>
          <w:rFonts w:ascii="Times New Roman" w:eastAsia="Times New Roman" w:hAnsi="Times New Roman" w:cs="Times New Roman"/>
          <w:color w:val="000000" w:themeColor="text1"/>
          <w:kern w:val="0"/>
          <w:sz w:val="24"/>
          <w:szCs w:val="24"/>
          <w:lang w:eastAsia="en-IN" w:bidi="ml-IN"/>
          <w14:ligatures w14:val="none"/>
        </w:rPr>
        <w:t xml:space="preserve">, W., 1964. Stable isotopes in precipitation. </w:t>
      </w:r>
      <w:proofErr w:type="spellStart"/>
      <w:r w:rsidRPr="00AD0419">
        <w:rPr>
          <w:rFonts w:ascii="Times New Roman" w:eastAsia="Times New Roman" w:hAnsi="Times New Roman" w:cs="Times New Roman"/>
          <w:color w:val="000000" w:themeColor="text1"/>
          <w:kern w:val="0"/>
          <w:sz w:val="24"/>
          <w:szCs w:val="24"/>
          <w:lang w:eastAsia="en-IN" w:bidi="ml-IN"/>
          <w14:ligatures w14:val="none"/>
        </w:rPr>
        <w:t>tellus</w:t>
      </w:r>
      <w:proofErr w:type="spellEnd"/>
      <w:r w:rsidRPr="00AD0419">
        <w:rPr>
          <w:rFonts w:ascii="Times New Roman" w:eastAsia="Times New Roman" w:hAnsi="Times New Roman" w:cs="Times New Roman"/>
          <w:color w:val="000000" w:themeColor="text1"/>
          <w:kern w:val="0"/>
          <w:sz w:val="24"/>
          <w:szCs w:val="24"/>
          <w:lang w:eastAsia="en-IN" w:bidi="ml-IN"/>
          <w14:ligatures w14:val="none"/>
        </w:rPr>
        <w:t>, 16(4), pp.436-468.</w:t>
      </w:r>
    </w:p>
    <w:p w14:paraId="7D5C3E6A" w14:textId="77777777" w:rsidR="00AD0419" w:rsidRDefault="00AD0419"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AD0419">
        <w:rPr>
          <w:rFonts w:ascii="Times New Roman" w:eastAsia="Times New Roman" w:hAnsi="Times New Roman" w:cs="Times New Roman"/>
          <w:color w:val="000000" w:themeColor="text1"/>
          <w:kern w:val="0"/>
          <w:sz w:val="24"/>
          <w:szCs w:val="24"/>
          <w:lang w:eastAsia="en-IN" w:bidi="ml-IN"/>
          <w14:ligatures w14:val="none"/>
        </w:rPr>
        <w:t xml:space="preserve">DeNiro, M.J. and Epstein, S., 1978. Influence of diet on the distribution of carbon isotopes in animals. </w:t>
      </w:r>
      <w:proofErr w:type="spellStart"/>
      <w:r w:rsidRPr="00AD0419">
        <w:rPr>
          <w:rFonts w:ascii="Times New Roman" w:eastAsia="Times New Roman" w:hAnsi="Times New Roman" w:cs="Times New Roman"/>
          <w:color w:val="000000" w:themeColor="text1"/>
          <w:kern w:val="0"/>
          <w:sz w:val="24"/>
          <w:szCs w:val="24"/>
          <w:lang w:eastAsia="en-IN" w:bidi="ml-IN"/>
          <w14:ligatures w14:val="none"/>
        </w:rPr>
        <w:t>Geochimica</w:t>
      </w:r>
      <w:proofErr w:type="spellEnd"/>
      <w:r w:rsidRPr="00AD0419">
        <w:rPr>
          <w:rFonts w:ascii="Times New Roman" w:eastAsia="Times New Roman" w:hAnsi="Times New Roman" w:cs="Times New Roman"/>
          <w:color w:val="000000" w:themeColor="text1"/>
          <w:kern w:val="0"/>
          <w:sz w:val="24"/>
          <w:szCs w:val="24"/>
          <w:lang w:eastAsia="en-IN" w:bidi="ml-IN"/>
          <w14:ligatures w14:val="none"/>
        </w:rPr>
        <w:t xml:space="preserve"> et </w:t>
      </w:r>
      <w:proofErr w:type="spellStart"/>
      <w:r w:rsidRPr="00AD0419">
        <w:rPr>
          <w:rFonts w:ascii="Times New Roman" w:eastAsia="Times New Roman" w:hAnsi="Times New Roman" w:cs="Times New Roman"/>
          <w:color w:val="000000" w:themeColor="text1"/>
          <w:kern w:val="0"/>
          <w:sz w:val="24"/>
          <w:szCs w:val="24"/>
          <w:lang w:eastAsia="en-IN" w:bidi="ml-IN"/>
          <w14:ligatures w14:val="none"/>
        </w:rPr>
        <w:t>cosmochimica</w:t>
      </w:r>
      <w:proofErr w:type="spellEnd"/>
      <w:r w:rsidRPr="00AD0419">
        <w:rPr>
          <w:rFonts w:ascii="Times New Roman" w:eastAsia="Times New Roman" w:hAnsi="Times New Roman" w:cs="Times New Roman"/>
          <w:color w:val="000000" w:themeColor="text1"/>
          <w:kern w:val="0"/>
          <w:sz w:val="24"/>
          <w:szCs w:val="24"/>
          <w:lang w:eastAsia="en-IN" w:bidi="ml-IN"/>
          <w14:ligatures w14:val="none"/>
        </w:rPr>
        <w:t xml:space="preserve"> acta, 42(5), pp.495-506.</w:t>
      </w:r>
    </w:p>
    <w:p w14:paraId="65C0E262" w14:textId="77777777" w:rsidR="00AD0419" w:rsidRDefault="00AD0419" w:rsidP="0057591C">
      <w:pPr>
        <w:pStyle w:val="NormalWeb"/>
        <w:jc w:val="both"/>
        <w:rPr>
          <w:color w:val="000000" w:themeColor="text1"/>
        </w:rPr>
      </w:pPr>
      <w:r w:rsidRPr="00AD0419">
        <w:rPr>
          <w:color w:val="000000" w:themeColor="text1"/>
        </w:rPr>
        <w:t>DeNiro, M.J. and Epstein, S., 1981. Influence of diet on the distribution of nitrogen isotopes in animals. </w:t>
      </w:r>
      <w:proofErr w:type="spellStart"/>
      <w:r w:rsidRPr="00AD0419">
        <w:rPr>
          <w:i/>
          <w:iCs/>
          <w:color w:val="000000" w:themeColor="text1"/>
        </w:rPr>
        <w:t>Geochimica</w:t>
      </w:r>
      <w:proofErr w:type="spellEnd"/>
      <w:r w:rsidRPr="00AD0419">
        <w:rPr>
          <w:i/>
          <w:iCs/>
          <w:color w:val="000000" w:themeColor="text1"/>
        </w:rPr>
        <w:t xml:space="preserve"> et </w:t>
      </w:r>
      <w:proofErr w:type="spellStart"/>
      <w:r w:rsidRPr="00AD0419">
        <w:rPr>
          <w:i/>
          <w:iCs/>
          <w:color w:val="000000" w:themeColor="text1"/>
        </w:rPr>
        <w:t>cosmochimica</w:t>
      </w:r>
      <w:proofErr w:type="spellEnd"/>
      <w:r w:rsidRPr="00AD0419">
        <w:rPr>
          <w:i/>
          <w:iCs/>
          <w:color w:val="000000" w:themeColor="text1"/>
        </w:rPr>
        <w:t xml:space="preserve"> acta</w:t>
      </w:r>
      <w:r w:rsidRPr="00AD0419">
        <w:rPr>
          <w:color w:val="000000" w:themeColor="text1"/>
        </w:rPr>
        <w:t>, </w:t>
      </w:r>
      <w:r w:rsidRPr="00AD0419">
        <w:rPr>
          <w:i/>
          <w:iCs/>
          <w:color w:val="000000" w:themeColor="text1"/>
        </w:rPr>
        <w:t>45</w:t>
      </w:r>
      <w:r w:rsidRPr="00AD0419">
        <w:rPr>
          <w:color w:val="000000" w:themeColor="text1"/>
        </w:rPr>
        <w:t>(3), pp.341-351.</w:t>
      </w:r>
    </w:p>
    <w:p w14:paraId="0BE68DCA" w14:textId="77777777" w:rsidR="00AD0419" w:rsidRDefault="00AD0419"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AD0419">
        <w:rPr>
          <w:rFonts w:ascii="Times New Roman" w:eastAsia="Times New Roman" w:hAnsi="Times New Roman" w:cs="Times New Roman"/>
          <w:color w:val="000000" w:themeColor="text1"/>
          <w:kern w:val="0"/>
          <w:sz w:val="24"/>
          <w:szCs w:val="24"/>
          <w:lang w:eastAsia="en-IN" w:bidi="ml-IN"/>
          <w14:ligatures w14:val="none"/>
        </w:rPr>
        <w:t xml:space="preserve">Estrada, J.A., Rice, A.N., </w:t>
      </w:r>
      <w:proofErr w:type="spellStart"/>
      <w:r w:rsidRPr="00AD0419">
        <w:rPr>
          <w:rFonts w:ascii="Times New Roman" w:eastAsia="Times New Roman" w:hAnsi="Times New Roman" w:cs="Times New Roman"/>
          <w:color w:val="000000" w:themeColor="text1"/>
          <w:kern w:val="0"/>
          <w:sz w:val="24"/>
          <w:szCs w:val="24"/>
          <w:lang w:eastAsia="en-IN" w:bidi="ml-IN"/>
          <w14:ligatures w14:val="none"/>
        </w:rPr>
        <w:t>Lutcavage</w:t>
      </w:r>
      <w:proofErr w:type="spellEnd"/>
      <w:r w:rsidRPr="00AD0419">
        <w:rPr>
          <w:rFonts w:ascii="Times New Roman" w:eastAsia="Times New Roman" w:hAnsi="Times New Roman" w:cs="Times New Roman"/>
          <w:color w:val="000000" w:themeColor="text1"/>
          <w:kern w:val="0"/>
          <w:sz w:val="24"/>
          <w:szCs w:val="24"/>
          <w:lang w:eastAsia="en-IN" w:bidi="ml-IN"/>
          <w14:ligatures w14:val="none"/>
        </w:rPr>
        <w:t xml:space="preserve">, M.E. and </w:t>
      </w:r>
      <w:proofErr w:type="spellStart"/>
      <w:r w:rsidRPr="00AD0419">
        <w:rPr>
          <w:rFonts w:ascii="Times New Roman" w:eastAsia="Times New Roman" w:hAnsi="Times New Roman" w:cs="Times New Roman"/>
          <w:color w:val="000000" w:themeColor="text1"/>
          <w:kern w:val="0"/>
          <w:sz w:val="24"/>
          <w:szCs w:val="24"/>
          <w:lang w:eastAsia="en-IN" w:bidi="ml-IN"/>
          <w14:ligatures w14:val="none"/>
        </w:rPr>
        <w:t>Skomal</w:t>
      </w:r>
      <w:proofErr w:type="spellEnd"/>
      <w:r w:rsidRPr="00AD0419">
        <w:rPr>
          <w:rFonts w:ascii="Times New Roman" w:eastAsia="Times New Roman" w:hAnsi="Times New Roman" w:cs="Times New Roman"/>
          <w:color w:val="000000" w:themeColor="text1"/>
          <w:kern w:val="0"/>
          <w:sz w:val="24"/>
          <w:szCs w:val="24"/>
          <w:lang w:eastAsia="en-IN" w:bidi="ml-IN"/>
          <w14:ligatures w14:val="none"/>
        </w:rPr>
        <w:t>, G.B., 2003. Predicting trophic position in sharks of the north-west Atlantic Ocean using stable isotope analysis. Journal of the Marine biological Association of the United Kingdom, 83(6), pp.1347-1350.</w:t>
      </w:r>
    </w:p>
    <w:p w14:paraId="217B38F7" w14:textId="77777777" w:rsidR="00AD0419" w:rsidRDefault="00AD0419" w:rsidP="00940828">
      <w:pPr>
        <w:spacing w:before="100" w:beforeAutospacing="1" w:after="100" w:afterAutospacing="1" w:line="240" w:lineRule="auto"/>
        <w:jc w:val="both"/>
        <w:rPr>
          <w:rFonts w:ascii="Times New Roman" w:hAnsi="Times New Roman" w:cs="Times New Roman"/>
          <w:color w:val="000000" w:themeColor="text1"/>
          <w:sz w:val="24"/>
          <w:szCs w:val="24"/>
        </w:rPr>
      </w:pPr>
      <w:r w:rsidRPr="00AD0419">
        <w:rPr>
          <w:rFonts w:ascii="Times New Roman" w:hAnsi="Times New Roman" w:cs="Times New Roman"/>
          <w:color w:val="000000" w:themeColor="text1"/>
          <w:sz w:val="24"/>
          <w:szCs w:val="24"/>
        </w:rPr>
        <w:t xml:space="preserve">Farquhar, G.D., </w:t>
      </w:r>
      <w:proofErr w:type="spellStart"/>
      <w:r w:rsidRPr="00AD0419">
        <w:rPr>
          <w:rFonts w:ascii="Times New Roman" w:hAnsi="Times New Roman" w:cs="Times New Roman"/>
          <w:color w:val="000000" w:themeColor="text1"/>
          <w:sz w:val="24"/>
          <w:szCs w:val="24"/>
        </w:rPr>
        <w:t>Hubick</w:t>
      </w:r>
      <w:proofErr w:type="spellEnd"/>
      <w:r w:rsidRPr="00AD0419">
        <w:rPr>
          <w:rFonts w:ascii="Times New Roman" w:hAnsi="Times New Roman" w:cs="Times New Roman"/>
          <w:color w:val="000000" w:themeColor="text1"/>
          <w:sz w:val="24"/>
          <w:szCs w:val="24"/>
        </w:rPr>
        <w:t>, K.T., Condon, A.G. and Richards, R.A., 1989. Carbon isotope fractionation and plant water-use efficiency. In Stable isotopes in ecological research (pp. 21-40). New York, NY: Springer New York.</w:t>
      </w:r>
    </w:p>
    <w:p w14:paraId="0C758A6D" w14:textId="77777777" w:rsidR="00CF74E2" w:rsidRDefault="00CF74E2"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CF74E2">
        <w:rPr>
          <w:rFonts w:ascii="Times New Roman" w:eastAsia="Times New Roman" w:hAnsi="Times New Roman" w:cs="Times New Roman"/>
          <w:color w:val="000000" w:themeColor="text1"/>
          <w:kern w:val="0"/>
          <w:sz w:val="24"/>
          <w:szCs w:val="24"/>
          <w:lang w:eastAsia="en-IN" w:bidi="ml-IN"/>
          <w14:ligatures w14:val="none"/>
        </w:rPr>
        <w:lastRenderedPageBreak/>
        <w:t xml:space="preserve">Forsberg, B.R., Araújo-Lima, C.A.R.M., Martinelli, L.A., </w:t>
      </w:r>
      <w:proofErr w:type="spellStart"/>
      <w:r w:rsidRPr="00CF74E2">
        <w:rPr>
          <w:rFonts w:ascii="Times New Roman" w:eastAsia="Times New Roman" w:hAnsi="Times New Roman" w:cs="Times New Roman"/>
          <w:color w:val="000000" w:themeColor="text1"/>
          <w:kern w:val="0"/>
          <w:sz w:val="24"/>
          <w:szCs w:val="24"/>
          <w:lang w:eastAsia="en-IN" w:bidi="ml-IN"/>
          <w14:ligatures w14:val="none"/>
        </w:rPr>
        <w:t>Victória</w:t>
      </w:r>
      <w:proofErr w:type="spellEnd"/>
      <w:r w:rsidRPr="00CF74E2">
        <w:rPr>
          <w:rFonts w:ascii="Times New Roman" w:eastAsia="Times New Roman" w:hAnsi="Times New Roman" w:cs="Times New Roman"/>
          <w:color w:val="000000" w:themeColor="text1"/>
          <w:kern w:val="0"/>
          <w:sz w:val="24"/>
          <w:szCs w:val="24"/>
          <w:lang w:eastAsia="en-IN" w:bidi="ml-IN"/>
          <w14:ligatures w14:val="none"/>
        </w:rPr>
        <w:t xml:space="preserve">, R.L. and </w:t>
      </w:r>
      <w:proofErr w:type="spellStart"/>
      <w:r w:rsidRPr="00CF74E2">
        <w:rPr>
          <w:rFonts w:ascii="Times New Roman" w:eastAsia="Times New Roman" w:hAnsi="Times New Roman" w:cs="Times New Roman"/>
          <w:color w:val="000000" w:themeColor="text1"/>
          <w:kern w:val="0"/>
          <w:sz w:val="24"/>
          <w:szCs w:val="24"/>
          <w:lang w:eastAsia="en-IN" w:bidi="ml-IN"/>
          <w14:ligatures w14:val="none"/>
        </w:rPr>
        <w:t>Bonassi</w:t>
      </w:r>
      <w:proofErr w:type="spellEnd"/>
      <w:r w:rsidRPr="00CF74E2">
        <w:rPr>
          <w:rFonts w:ascii="Times New Roman" w:eastAsia="Times New Roman" w:hAnsi="Times New Roman" w:cs="Times New Roman"/>
          <w:color w:val="000000" w:themeColor="text1"/>
          <w:kern w:val="0"/>
          <w:sz w:val="24"/>
          <w:szCs w:val="24"/>
          <w:lang w:eastAsia="en-IN" w:bidi="ml-IN"/>
          <w14:ligatures w14:val="none"/>
        </w:rPr>
        <w:t>, J.A., 1993. Autotrophic carbon sources for fish of the central Amazon. Ecology, 74(3), pp.643-652.</w:t>
      </w:r>
    </w:p>
    <w:p w14:paraId="73D4C96B" w14:textId="26415B51" w:rsidR="00B6596D" w:rsidRPr="00F13523" w:rsidRDefault="00CF74E2"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CF74E2">
        <w:rPr>
          <w:rFonts w:ascii="Times New Roman" w:eastAsia="Times New Roman" w:hAnsi="Times New Roman" w:cs="Times New Roman"/>
          <w:color w:val="000000" w:themeColor="text1"/>
          <w:kern w:val="0"/>
          <w:sz w:val="24"/>
          <w:szCs w:val="24"/>
          <w:lang w:eastAsia="en-IN" w:bidi="ml-IN"/>
          <w14:ligatures w14:val="none"/>
        </w:rPr>
        <w:t>Fry, B., 2006. </w:t>
      </w:r>
      <w:r w:rsidRPr="00CF74E2">
        <w:rPr>
          <w:rFonts w:ascii="Times New Roman" w:eastAsia="Times New Roman" w:hAnsi="Times New Roman" w:cs="Times New Roman"/>
          <w:i/>
          <w:iCs/>
          <w:color w:val="000000" w:themeColor="text1"/>
          <w:kern w:val="0"/>
          <w:sz w:val="24"/>
          <w:szCs w:val="24"/>
          <w:lang w:eastAsia="en-IN" w:bidi="ml-IN"/>
          <w14:ligatures w14:val="none"/>
        </w:rPr>
        <w:t>Stable isotope ecology</w:t>
      </w:r>
      <w:r w:rsidRPr="00CF74E2">
        <w:rPr>
          <w:rFonts w:ascii="Times New Roman" w:eastAsia="Times New Roman" w:hAnsi="Times New Roman" w:cs="Times New Roman"/>
          <w:color w:val="000000" w:themeColor="text1"/>
          <w:kern w:val="0"/>
          <w:sz w:val="24"/>
          <w:szCs w:val="24"/>
          <w:lang w:eastAsia="en-IN" w:bidi="ml-IN"/>
          <w14:ligatures w14:val="none"/>
        </w:rPr>
        <w:t> (Vol. 521, p. 308). New York: Springer</w:t>
      </w:r>
      <w:r w:rsidR="00B6596D" w:rsidRPr="00F13523">
        <w:rPr>
          <w:rFonts w:ascii="Times New Roman" w:eastAsia="Times New Roman" w:hAnsi="Times New Roman" w:cs="Times New Roman"/>
          <w:color w:val="000000" w:themeColor="text1"/>
          <w:kern w:val="0"/>
          <w:sz w:val="24"/>
          <w:szCs w:val="24"/>
          <w:lang w:eastAsia="en-IN" w:bidi="ml-IN"/>
          <w14:ligatures w14:val="none"/>
        </w:rPr>
        <w:t>.</w:t>
      </w:r>
    </w:p>
    <w:p w14:paraId="45BC1CD3" w14:textId="094D7A98" w:rsidR="00B6596D" w:rsidRPr="00F13523" w:rsidRDefault="00CF74E2"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CF74E2">
        <w:rPr>
          <w:rFonts w:ascii="Times New Roman" w:eastAsia="Times New Roman" w:hAnsi="Times New Roman" w:cs="Times New Roman"/>
          <w:color w:val="000000" w:themeColor="text1"/>
          <w:kern w:val="0"/>
          <w:sz w:val="24"/>
          <w:szCs w:val="24"/>
          <w:lang w:eastAsia="en-IN" w:bidi="ml-IN"/>
          <w14:ligatures w14:val="none"/>
        </w:rPr>
        <w:t xml:space="preserve">Ghosh, P., </w:t>
      </w:r>
      <w:proofErr w:type="spellStart"/>
      <w:r w:rsidRPr="00CF74E2">
        <w:rPr>
          <w:rFonts w:ascii="Times New Roman" w:eastAsia="Times New Roman" w:hAnsi="Times New Roman" w:cs="Times New Roman"/>
          <w:color w:val="000000" w:themeColor="text1"/>
          <w:kern w:val="0"/>
          <w:sz w:val="24"/>
          <w:szCs w:val="24"/>
          <w:lang w:eastAsia="en-IN" w:bidi="ml-IN"/>
          <w14:ligatures w14:val="none"/>
        </w:rPr>
        <w:t>Rajawat</w:t>
      </w:r>
      <w:proofErr w:type="spellEnd"/>
      <w:r w:rsidRPr="00CF74E2">
        <w:rPr>
          <w:rFonts w:ascii="Times New Roman" w:eastAsia="Times New Roman" w:hAnsi="Times New Roman" w:cs="Times New Roman"/>
          <w:color w:val="000000" w:themeColor="text1"/>
          <w:kern w:val="0"/>
          <w:sz w:val="24"/>
          <w:szCs w:val="24"/>
          <w:lang w:eastAsia="en-IN" w:bidi="ml-IN"/>
          <w14:ligatures w14:val="none"/>
        </w:rPr>
        <w:t>, V.S., Nazir, A., Banerjee, Y., Nath, A.K. and Sakthivel, T., 2022. Stable isotope on hilsa shad (</w:t>
      </w:r>
      <w:proofErr w:type="spellStart"/>
      <w:r w:rsidRPr="00CF74E2">
        <w:rPr>
          <w:rFonts w:ascii="Times New Roman" w:eastAsia="Times New Roman" w:hAnsi="Times New Roman" w:cs="Times New Roman"/>
          <w:i/>
          <w:iCs/>
          <w:color w:val="000000" w:themeColor="text1"/>
          <w:kern w:val="0"/>
          <w:sz w:val="24"/>
          <w:szCs w:val="24"/>
          <w:lang w:eastAsia="en-IN" w:bidi="ml-IN"/>
          <w14:ligatures w14:val="none"/>
        </w:rPr>
        <w:t>Tenualosa</w:t>
      </w:r>
      <w:proofErr w:type="spellEnd"/>
      <w:r w:rsidRPr="00CF74E2">
        <w:rPr>
          <w:rFonts w:ascii="Times New Roman" w:eastAsia="Times New Roman" w:hAnsi="Times New Roman" w:cs="Times New Roman"/>
          <w:i/>
          <w:iCs/>
          <w:color w:val="000000" w:themeColor="text1"/>
          <w:kern w:val="0"/>
          <w:sz w:val="24"/>
          <w:szCs w:val="24"/>
          <w:lang w:eastAsia="en-IN" w:bidi="ml-IN"/>
          <w14:ligatures w14:val="none"/>
        </w:rPr>
        <w:t xml:space="preserve"> </w:t>
      </w:r>
      <w:proofErr w:type="spellStart"/>
      <w:r w:rsidRPr="00CF74E2">
        <w:rPr>
          <w:rFonts w:ascii="Times New Roman" w:eastAsia="Times New Roman" w:hAnsi="Times New Roman" w:cs="Times New Roman"/>
          <w:i/>
          <w:iCs/>
          <w:color w:val="000000" w:themeColor="text1"/>
          <w:kern w:val="0"/>
          <w:sz w:val="24"/>
          <w:szCs w:val="24"/>
          <w:lang w:eastAsia="en-IN" w:bidi="ml-IN"/>
          <w14:ligatures w14:val="none"/>
        </w:rPr>
        <w:t>ilisha</w:t>
      </w:r>
      <w:proofErr w:type="spellEnd"/>
      <w:r w:rsidRPr="00CF74E2">
        <w:rPr>
          <w:rFonts w:ascii="Times New Roman" w:eastAsia="Times New Roman" w:hAnsi="Times New Roman" w:cs="Times New Roman"/>
          <w:color w:val="000000" w:themeColor="text1"/>
          <w:kern w:val="0"/>
          <w:sz w:val="24"/>
          <w:szCs w:val="24"/>
          <w:lang w:eastAsia="en-IN" w:bidi="ml-IN"/>
          <w14:ligatures w14:val="none"/>
        </w:rPr>
        <w:t xml:space="preserve">) otoliths revealed migratory </w:t>
      </w:r>
      <w:proofErr w:type="spellStart"/>
      <w:r w:rsidRPr="00CF74E2">
        <w:rPr>
          <w:rFonts w:ascii="Times New Roman" w:eastAsia="Times New Roman" w:hAnsi="Times New Roman" w:cs="Times New Roman"/>
          <w:color w:val="000000" w:themeColor="text1"/>
          <w:kern w:val="0"/>
          <w:sz w:val="24"/>
          <w:szCs w:val="24"/>
          <w:lang w:eastAsia="en-IN" w:bidi="ml-IN"/>
          <w14:ligatures w14:val="none"/>
        </w:rPr>
        <w:t>behavior</w:t>
      </w:r>
      <w:proofErr w:type="spellEnd"/>
      <w:r w:rsidRPr="00CF74E2">
        <w:rPr>
          <w:rFonts w:ascii="Times New Roman" w:eastAsia="Times New Roman" w:hAnsi="Times New Roman" w:cs="Times New Roman"/>
          <w:color w:val="000000" w:themeColor="text1"/>
          <w:kern w:val="0"/>
          <w:sz w:val="24"/>
          <w:szCs w:val="24"/>
          <w:lang w:eastAsia="en-IN" w:bidi="ml-IN"/>
          <w14:ligatures w14:val="none"/>
        </w:rPr>
        <w:t xml:space="preserve"> of a population found in Hooghly River, West Bengal, India. </w:t>
      </w:r>
      <w:r w:rsidRPr="00CF74E2">
        <w:rPr>
          <w:rFonts w:ascii="Times New Roman" w:eastAsia="Times New Roman" w:hAnsi="Times New Roman" w:cs="Times New Roman"/>
          <w:i/>
          <w:iCs/>
          <w:color w:val="000000" w:themeColor="text1"/>
          <w:kern w:val="0"/>
          <w:sz w:val="24"/>
          <w:szCs w:val="24"/>
          <w:lang w:eastAsia="en-IN" w:bidi="ml-IN"/>
          <w14:ligatures w14:val="none"/>
        </w:rPr>
        <w:t>Environmental Biology of Fishes</w:t>
      </w:r>
      <w:r w:rsidRPr="00CF74E2">
        <w:rPr>
          <w:rFonts w:ascii="Times New Roman" w:eastAsia="Times New Roman" w:hAnsi="Times New Roman" w:cs="Times New Roman"/>
          <w:color w:val="000000" w:themeColor="text1"/>
          <w:kern w:val="0"/>
          <w:sz w:val="24"/>
          <w:szCs w:val="24"/>
          <w:lang w:eastAsia="en-IN" w:bidi="ml-IN"/>
          <w14:ligatures w14:val="none"/>
        </w:rPr>
        <w:t>, </w:t>
      </w:r>
      <w:r w:rsidRPr="00CF74E2">
        <w:rPr>
          <w:rFonts w:ascii="Times New Roman" w:eastAsia="Times New Roman" w:hAnsi="Times New Roman" w:cs="Times New Roman"/>
          <w:i/>
          <w:iCs/>
          <w:color w:val="000000" w:themeColor="text1"/>
          <w:kern w:val="0"/>
          <w:sz w:val="24"/>
          <w:szCs w:val="24"/>
          <w:lang w:eastAsia="en-IN" w:bidi="ml-IN"/>
          <w14:ligatures w14:val="none"/>
        </w:rPr>
        <w:t>105</w:t>
      </w:r>
      <w:r w:rsidRPr="00CF74E2">
        <w:rPr>
          <w:rFonts w:ascii="Times New Roman" w:eastAsia="Times New Roman" w:hAnsi="Times New Roman" w:cs="Times New Roman"/>
          <w:color w:val="000000" w:themeColor="text1"/>
          <w:kern w:val="0"/>
          <w:sz w:val="24"/>
          <w:szCs w:val="24"/>
          <w:lang w:eastAsia="en-IN" w:bidi="ml-IN"/>
          <w14:ligatures w14:val="none"/>
        </w:rPr>
        <w:t>(12), pp.1909-1918.</w:t>
      </w:r>
      <w:r w:rsidR="00B6596D" w:rsidRPr="00F13523">
        <w:rPr>
          <w:rFonts w:ascii="Times New Roman" w:eastAsia="Times New Roman" w:hAnsi="Times New Roman" w:cs="Times New Roman"/>
          <w:color w:val="000000" w:themeColor="text1"/>
          <w:kern w:val="0"/>
          <w:sz w:val="24"/>
          <w:szCs w:val="24"/>
          <w:lang w:eastAsia="en-IN" w:bidi="ml-IN"/>
          <w14:ligatures w14:val="none"/>
        </w:rPr>
        <w:t>Gopal, B., 2013. Future of wetlands in tropical and subtropical Asia, especially in the face of climate change. Aquatic sciences, 75(1), pp.39-61.</w:t>
      </w:r>
    </w:p>
    <w:p w14:paraId="5F47CA87" w14:textId="77777777" w:rsidR="00CF74E2" w:rsidRDefault="00CF74E2"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CF74E2">
        <w:rPr>
          <w:rFonts w:ascii="Times New Roman" w:eastAsia="Times New Roman" w:hAnsi="Times New Roman" w:cs="Times New Roman"/>
          <w:color w:val="000000" w:themeColor="text1"/>
          <w:kern w:val="0"/>
          <w:sz w:val="24"/>
          <w:szCs w:val="24"/>
          <w:lang w:eastAsia="en-IN" w:bidi="ml-IN"/>
          <w14:ligatures w14:val="none"/>
        </w:rPr>
        <w:t xml:space="preserve">Hatten, C.E., Ewart, K.M., Ndiaye, A., Andersson, A.A. and </w:t>
      </w:r>
      <w:proofErr w:type="spellStart"/>
      <w:r w:rsidRPr="00CF74E2">
        <w:rPr>
          <w:rFonts w:ascii="Times New Roman" w:eastAsia="Times New Roman" w:hAnsi="Times New Roman" w:cs="Times New Roman"/>
          <w:color w:val="000000" w:themeColor="text1"/>
          <w:kern w:val="0"/>
          <w:sz w:val="24"/>
          <w:szCs w:val="24"/>
          <w:lang w:eastAsia="en-IN" w:bidi="ml-IN"/>
          <w14:ligatures w14:val="none"/>
        </w:rPr>
        <w:t>Merilä</w:t>
      </w:r>
      <w:proofErr w:type="spellEnd"/>
      <w:r w:rsidRPr="00CF74E2">
        <w:rPr>
          <w:rFonts w:ascii="Times New Roman" w:eastAsia="Times New Roman" w:hAnsi="Times New Roman" w:cs="Times New Roman"/>
          <w:color w:val="000000" w:themeColor="text1"/>
          <w:kern w:val="0"/>
          <w:sz w:val="24"/>
          <w:szCs w:val="24"/>
          <w:lang w:eastAsia="en-IN" w:bidi="ml-IN"/>
          <w14:ligatures w14:val="none"/>
        </w:rPr>
        <w:t>, J., 2025. Diagnostic tools and research applications to combat wildlife trade issues. </w:t>
      </w:r>
      <w:r w:rsidRPr="00CF74E2">
        <w:rPr>
          <w:rFonts w:ascii="Times New Roman" w:eastAsia="Times New Roman" w:hAnsi="Times New Roman" w:cs="Times New Roman"/>
          <w:i/>
          <w:iCs/>
          <w:color w:val="000000" w:themeColor="text1"/>
          <w:kern w:val="0"/>
          <w:sz w:val="24"/>
          <w:szCs w:val="24"/>
          <w:lang w:eastAsia="en-IN" w:bidi="ml-IN"/>
          <w14:ligatures w14:val="none"/>
        </w:rPr>
        <w:t>Frontiers in Ecology and Evolution</w:t>
      </w:r>
      <w:r w:rsidRPr="00CF74E2">
        <w:rPr>
          <w:rFonts w:ascii="Times New Roman" w:eastAsia="Times New Roman" w:hAnsi="Times New Roman" w:cs="Times New Roman"/>
          <w:color w:val="000000" w:themeColor="text1"/>
          <w:kern w:val="0"/>
          <w:sz w:val="24"/>
          <w:szCs w:val="24"/>
          <w:lang w:eastAsia="en-IN" w:bidi="ml-IN"/>
          <w14:ligatures w14:val="none"/>
        </w:rPr>
        <w:t>, </w:t>
      </w:r>
      <w:r w:rsidRPr="00CF74E2">
        <w:rPr>
          <w:rFonts w:ascii="Times New Roman" w:eastAsia="Times New Roman" w:hAnsi="Times New Roman" w:cs="Times New Roman"/>
          <w:i/>
          <w:iCs/>
          <w:color w:val="000000" w:themeColor="text1"/>
          <w:kern w:val="0"/>
          <w:sz w:val="24"/>
          <w:szCs w:val="24"/>
          <w:lang w:eastAsia="en-IN" w:bidi="ml-IN"/>
          <w14:ligatures w14:val="none"/>
        </w:rPr>
        <w:t>13</w:t>
      </w:r>
      <w:r w:rsidRPr="00CF74E2">
        <w:rPr>
          <w:rFonts w:ascii="Times New Roman" w:eastAsia="Times New Roman" w:hAnsi="Times New Roman" w:cs="Times New Roman"/>
          <w:color w:val="000000" w:themeColor="text1"/>
          <w:kern w:val="0"/>
          <w:sz w:val="24"/>
          <w:szCs w:val="24"/>
          <w:lang w:eastAsia="en-IN" w:bidi="ml-IN"/>
          <w14:ligatures w14:val="none"/>
        </w:rPr>
        <w:t>, p.1656403.</w:t>
      </w:r>
    </w:p>
    <w:p w14:paraId="6E76B96B" w14:textId="77777777" w:rsidR="00CF74E2" w:rsidRDefault="00CF74E2" w:rsidP="0057591C">
      <w:pPr>
        <w:jc w:val="both"/>
        <w:rPr>
          <w:rFonts w:ascii="Times New Roman" w:hAnsi="Times New Roman" w:cs="Times New Roman"/>
          <w:color w:val="000000" w:themeColor="text1"/>
          <w:sz w:val="24"/>
          <w:szCs w:val="24"/>
        </w:rPr>
      </w:pPr>
      <w:r w:rsidRPr="00CF74E2">
        <w:rPr>
          <w:rFonts w:ascii="Times New Roman" w:hAnsi="Times New Roman" w:cs="Times New Roman"/>
          <w:color w:val="000000" w:themeColor="text1"/>
          <w:sz w:val="24"/>
          <w:szCs w:val="24"/>
        </w:rPr>
        <w:t xml:space="preserve">Hayes, J.M., 2001. Fractionation of the Isotopes of the Isotopes of the Isotopes of Carbon and Hy Carbon and Hy Carbon and Hydrogen in Biosynthetic </w:t>
      </w:r>
      <w:proofErr w:type="spellStart"/>
      <w:r w:rsidRPr="00CF74E2">
        <w:rPr>
          <w:rFonts w:ascii="Times New Roman" w:hAnsi="Times New Roman" w:cs="Times New Roman"/>
          <w:color w:val="000000" w:themeColor="text1"/>
          <w:sz w:val="24"/>
          <w:szCs w:val="24"/>
        </w:rPr>
        <w:t>Pr</w:t>
      </w:r>
      <w:proofErr w:type="spellEnd"/>
      <w:r w:rsidRPr="00CF74E2">
        <w:rPr>
          <w:rFonts w:ascii="Times New Roman" w:hAnsi="Times New Roman" w:cs="Times New Roman"/>
          <w:color w:val="000000" w:themeColor="text1"/>
          <w:sz w:val="24"/>
          <w:szCs w:val="24"/>
        </w:rPr>
        <w:t xml:space="preserve"> in Biosynthetic Processes. Mineralogical Society of America.</w:t>
      </w:r>
    </w:p>
    <w:p w14:paraId="29472EA7" w14:textId="77777777" w:rsidR="00CF74E2" w:rsidRDefault="00CF74E2" w:rsidP="00940828">
      <w:pPr>
        <w:spacing w:before="100" w:beforeAutospacing="1" w:after="100" w:afterAutospacing="1" w:line="240" w:lineRule="auto"/>
        <w:jc w:val="both"/>
        <w:rPr>
          <w:rFonts w:ascii="Times New Roman" w:hAnsi="Times New Roman" w:cs="Times New Roman"/>
          <w:color w:val="000000" w:themeColor="text1"/>
          <w:sz w:val="24"/>
          <w:szCs w:val="24"/>
        </w:rPr>
      </w:pPr>
      <w:r w:rsidRPr="00CF74E2">
        <w:rPr>
          <w:rFonts w:ascii="Times New Roman" w:hAnsi="Times New Roman" w:cs="Times New Roman"/>
          <w:color w:val="000000" w:themeColor="text1"/>
          <w:sz w:val="24"/>
          <w:szCs w:val="24"/>
        </w:rPr>
        <w:t xml:space="preserve">Hayes, J.M., 2001. Fractionation of the Isotopes of the Isotopes of the Isotopes of Carbon and Hy Carbon and Hy Carbon and Hydrogen in Biosynthetic </w:t>
      </w:r>
      <w:proofErr w:type="spellStart"/>
      <w:r w:rsidRPr="00CF74E2">
        <w:rPr>
          <w:rFonts w:ascii="Times New Roman" w:hAnsi="Times New Roman" w:cs="Times New Roman"/>
          <w:color w:val="000000" w:themeColor="text1"/>
          <w:sz w:val="24"/>
          <w:szCs w:val="24"/>
        </w:rPr>
        <w:t>Pr</w:t>
      </w:r>
      <w:proofErr w:type="spellEnd"/>
      <w:r w:rsidRPr="00CF74E2">
        <w:rPr>
          <w:rFonts w:ascii="Times New Roman" w:hAnsi="Times New Roman" w:cs="Times New Roman"/>
          <w:color w:val="000000" w:themeColor="text1"/>
          <w:sz w:val="24"/>
          <w:szCs w:val="24"/>
        </w:rPr>
        <w:t xml:space="preserve"> in Biosynthetic Processes. Mineralogical Society of America.</w:t>
      </w:r>
    </w:p>
    <w:p w14:paraId="59660E28" w14:textId="77777777" w:rsidR="005B43C8" w:rsidRDefault="005B43C8" w:rsidP="0057591C">
      <w:pPr>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5B43C8">
        <w:rPr>
          <w:rFonts w:ascii="Times New Roman" w:eastAsia="Times New Roman" w:hAnsi="Times New Roman" w:cs="Times New Roman"/>
          <w:color w:val="000000" w:themeColor="text1"/>
          <w:kern w:val="0"/>
          <w:sz w:val="24"/>
          <w:szCs w:val="24"/>
          <w:lang w:eastAsia="en-IN" w:bidi="ml-IN"/>
          <w14:ligatures w14:val="none"/>
        </w:rPr>
        <w:t>Hebblewhite</w:t>
      </w:r>
      <w:proofErr w:type="spellEnd"/>
      <w:r w:rsidRPr="005B43C8">
        <w:rPr>
          <w:rFonts w:ascii="Times New Roman" w:eastAsia="Times New Roman" w:hAnsi="Times New Roman" w:cs="Times New Roman"/>
          <w:color w:val="000000" w:themeColor="text1"/>
          <w:kern w:val="0"/>
          <w:sz w:val="24"/>
          <w:szCs w:val="24"/>
          <w:lang w:eastAsia="en-IN" w:bidi="ml-IN"/>
          <w14:ligatures w14:val="none"/>
        </w:rPr>
        <w:t>, M. and Haydon, D.T., 2010. Distinguishing technology from biology: a critical review of the use of GPS telemetry data in ecology. Philosophical Transactions of the Royal Society B: Biological Sciences, 365(1550), pp.2303-2312.</w:t>
      </w:r>
    </w:p>
    <w:p w14:paraId="345BB928" w14:textId="77777777" w:rsidR="005B43C8" w:rsidRDefault="005B43C8" w:rsidP="0057591C">
      <w:pPr>
        <w:jc w:val="both"/>
        <w:rPr>
          <w:rFonts w:ascii="Times New Roman" w:hAnsi="Times New Roman" w:cs="Times New Roman"/>
          <w:color w:val="000000" w:themeColor="text1"/>
          <w:sz w:val="24"/>
          <w:szCs w:val="24"/>
        </w:rPr>
      </w:pPr>
      <w:r w:rsidRPr="005B43C8">
        <w:rPr>
          <w:rFonts w:ascii="Times New Roman" w:hAnsi="Times New Roman" w:cs="Times New Roman"/>
          <w:color w:val="000000" w:themeColor="text1"/>
          <w:sz w:val="24"/>
          <w:szCs w:val="24"/>
        </w:rPr>
        <w:t>Hobson, K.A. and Clark, R.G., 1992. Assessing avian diets using stable isotopes I: turnover of 13C in tissues. </w:t>
      </w:r>
      <w:r w:rsidRPr="005B43C8">
        <w:rPr>
          <w:rFonts w:ascii="Times New Roman" w:hAnsi="Times New Roman" w:cs="Times New Roman"/>
          <w:i/>
          <w:iCs/>
          <w:color w:val="000000" w:themeColor="text1"/>
          <w:sz w:val="24"/>
          <w:szCs w:val="24"/>
        </w:rPr>
        <w:t>The Condor</w:t>
      </w:r>
      <w:r w:rsidRPr="005B43C8">
        <w:rPr>
          <w:rFonts w:ascii="Times New Roman" w:hAnsi="Times New Roman" w:cs="Times New Roman"/>
          <w:color w:val="000000" w:themeColor="text1"/>
          <w:sz w:val="24"/>
          <w:szCs w:val="24"/>
        </w:rPr>
        <w:t>, </w:t>
      </w:r>
      <w:r w:rsidRPr="005B43C8">
        <w:rPr>
          <w:rFonts w:ascii="Times New Roman" w:hAnsi="Times New Roman" w:cs="Times New Roman"/>
          <w:i/>
          <w:iCs/>
          <w:color w:val="000000" w:themeColor="text1"/>
          <w:sz w:val="24"/>
          <w:szCs w:val="24"/>
        </w:rPr>
        <w:t>94</w:t>
      </w:r>
      <w:r w:rsidRPr="005B43C8">
        <w:rPr>
          <w:rFonts w:ascii="Times New Roman" w:hAnsi="Times New Roman" w:cs="Times New Roman"/>
          <w:color w:val="000000" w:themeColor="text1"/>
          <w:sz w:val="24"/>
          <w:szCs w:val="24"/>
        </w:rPr>
        <w:t>(1), pp.181-188.</w:t>
      </w:r>
    </w:p>
    <w:p w14:paraId="740448EA" w14:textId="77777777" w:rsidR="005B43C8" w:rsidRDefault="005B43C8" w:rsidP="00940828">
      <w:pPr>
        <w:spacing w:before="100" w:beforeAutospacing="1" w:after="100" w:afterAutospacing="1" w:line="240" w:lineRule="auto"/>
        <w:jc w:val="both"/>
        <w:rPr>
          <w:rFonts w:ascii="Times New Roman" w:hAnsi="Times New Roman" w:cs="Times New Roman"/>
          <w:color w:val="000000" w:themeColor="text1"/>
          <w:sz w:val="24"/>
          <w:szCs w:val="24"/>
        </w:rPr>
      </w:pPr>
      <w:r w:rsidRPr="005B43C8">
        <w:rPr>
          <w:rFonts w:ascii="Times New Roman" w:hAnsi="Times New Roman" w:cs="Times New Roman"/>
          <w:color w:val="000000" w:themeColor="text1"/>
          <w:sz w:val="24"/>
          <w:szCs w:val="24"/>
        </w:rPr>
        <w:t xml:space="preserve">Hobson, K.A. and </w:t>
      </w:r>
      <w:proofErr w:type="spellStart"/>
      <w:r w:rsidRPr="005B43C8">
        <w:rPr>
          <w:rFonts w:ascii="Times New Roman" w:hAnsi="Times New Roman" w:cs="Times New Roman"/>
          <w:color w:val="000000" w:themeColor="text1"/>
          <w:sz w:val="24"/>
          <w:szCs w:val="24"/>
        </w:rPr>
        <w:t>Sease</w:t>
      </w:r>
      <w:proofErr w:type="spellEnd"/>
      <w:r w:rsidRPr="005B43C8">
        <w:rPr>
          <w:rFonts w:ascii="Times New Roman" w:hAnsi="Times New Roman" w:cs="Times New Roman"/>
          <w:color w:val="000000" w:themeColor="text1"/>
          <w:sz w:val="24"/>
          <w:szCs w:val="24"/>
        </w:rPr>
        <w:t>, J.L., 1998. Stable isotope analyses of tooth annuli reveal temporal dietary records: an example using Steller sea lions. </w:t>
      </w:r>
      <w:r w:rsidRPr="005B43C8">
        <w:rPr>
          <w:rFonts w:ascii="Times New Roman" w:hAnsi="Times New Roman" w:cs="Times New Roman"/>
          <w:i/>
          <w:iCs/>
          <w:color w:val="000000" w:themeColor="text1"/>
          <w:sz w:val="24"/>
          <w:szCs w:val="24"/>
        </w:rPr>
        <w:t>Marine Mammal Science</w:t>
      </w:r>
      <w:r w:rsidRPr="005B43C8">
        <w:rPr>
          <w:rFonts w:ascii="Times New Roman" w:hAnsi="Times New Roman" w:cs="Times New Roman"/>
          <w:color w:val="000000" w:themeColor="text1"/>
          <w:sz w:val="24"/>
          <w:szCs w:val="24"/>
        </w:rPr>
        <w:t>, </w:t>
      </w:r>
      <w:r w:rsidRPr="005B43C8">
        <w:rPr>
          <w:rFonts w:ascii="Times New Roman" w:hAnsi="Times New Roman" w:cs="Times New Roman"/>
          <w:i/>
          <w:iCs/>
          <w:color w:val="000000" w:themeColor="text1"/>
          <w:sz w:val="24"/>
          <w:szCs w:val="24"/>
        </w:rPr>
        <w:t>14</w:t>
      </w:r>
      <w:r w:rsidRPr="005B43C8">
        <w:rPr>
          <w:rFonts w:ascii="Times New Roman" w:hAnsi="Times New Roman" w:cs="Times New Roman"/>
          <w:color w:val="000000" w:themeColor="text1"/>
          <w:sz w:val="24"/>
          <w:szCs w:val="24"/>
        </w:rPr>
        <w:t>(1), pp.116-129.</w:t>
      </w:r>
    </w:p>
    <w:p w14:paraId="34D92911" w14:textId="77777777" w:rsidR="005B43C8" w:rsidRDefault="005B43C8"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5B43C8">
        <w:rPr>
          <w:rFonts w:ascii="Times New Roman" w:eastAsia="Times New Roman" w:hAnsi="Times New Roman" w:cs="Times New Roman"/>
          <w:color w:val="000000" w:themeColor="text1"/>
          <w:kern w:val="0"/>
          <w:sz w:val="24"/>
          <w:szCs w:val="24"/>
          <w:lang w:eastAsia="en-IN" w:bidi="ml-IN"/>
          <w14:ligatures w14:val="none"/>
        </w:rPr>
        <w:t xml:space="preserve">Hobson, K.A. and Wassenaar, L.I., 1996. Linking breeding and wintering grounds of neotropical migrant songbirds using stable hydrogen isotopic analysis of feathers. </w:t>
      </w:r>
      <w:proofErr w:type="spellStart"/>
      <w:r w:rsidRPr="005B43C8">
        <w:rPr>
          <w:rFonts w:ascii="Times New Roman" w:eastAsia="Times New Roman" w:hAnsi="Times New Roman" w:cs="Times New Roman"/>
          <w:color w:val="000000" w:themeColor="text1"/>
          <w:kern w:val="0"/>
          <w:sz w:val="24"/>
          <w:szCs w:val="24"/>
          <w:lang w:eastAsia="en-IN" w:bidi="ml-IN"/>
          <w14:ligatures w14:val="none"/>
        </w:rPr>
        <w:t>Oecologia</w:t>
      </w:r>
      <w:proofErr w:type="spellEnd"/>
      <w:r w:rsidRPr="005B43C8">
        <w:rPr>
          <w:rFonts w:ascii="Times New Roman" w:eastAsia="Times New Roman" w:hAnsi="Times New Roman" w:cs="Times New Roman"/>
          <w:color w:val="000000" w:themeColor="text1"/>
          <w:kern w:val="0"/>
          <w:sz w:val="24"/>
          <w:szCs w:val="24"/>
          <w:lang w:eastAsia="en-IN" w:bidi="ml-IN"/>
          <w14:ligatures w14:val="none"/>
        </w:rPr>
        <w:t>, 109(1), pp.142-148.</w:t>
      </w:r>
    </w:p>
    <w:p w14:paraId="365A2727" w14:textId="77777777" w:rsidR="005B43C8" w:rsidRDefault="005B43C8" w:rsidP="0057591C">
      <w:pPr>
        <w:pStyle w:val="NormalWeb"/>
        <w:jc w:val="both"/>
        <w:rPr>
          <w:rFonts w:eastAsiaTheme="minorHAnsi"/>
          <w:color w:val="000000" w:themeColor="text1"/>
          <w:kern w:val="2"/>
          <w:lang w:eastAsia="en-US" w:bidi="ar-SA"/>
          <w14:ligatures w14:val="standardContextual"/>
        </w:rPr>
      </w:pPr>
      <w:r w:rsidRPr="005B43C8">
        <w:rPr>
          <w:rFonts w:eastAsiaTheme="minorHAnsi"/>
          <w:color w:val="000000" w:themeColor="text1"/>
          <w:kern w:val="2"/>
          <w:lang w:eastAsia="en-US" w:bidi="ar-SA"/>
          <w14:ligatures w14:val="standardContextual"/>
        </w:rPr>
        <w:t>Hobson, K.A. and Wassenaar, L.I. eds., 2018. </w:t>
      </w:r>
      <w:r w:rsidRPr="005B43C8">
        <w:rPr>
          <w:rFonts w:eastAsiaTheme="minorHAnsi"/>
          <w:i/>
          <w:iCs/>
          <w:color w:val="000000" w:themeColor="text1"/>
          <w:kern w:val="2"/>
          <w:lang w:eastAsia="en-US" w:bidi="ar-SA"/>
          <w14:ligatures w14:val="standardContextual"/>
        </w:rPr>
        <w:t>Tracking animal migration with stable isotopes</w:t>
      </w:r>
      <w:r w:rsidRPr="005B43C8">
        <w:rPr>
          <w:rFonts w:eastAsiaTheme="minorHAnsi"/>
          <w:color w:val="000000" w:themeColor="text1"/>
          <w:kern w:val="2"/>
          <w:lang w:eastAsia="en-US" w:bidi="ar-SA"/>
          <w14:ligatures w14:val="standardContextual"/>
        </w:rPr>
        <w:t>. Academic Press.</w:t>
      </w:r>
    </w:p>
    <w:p w14:paraId="5D3E61F7" w14:textId="77777777" w:rsidR="005B43C8" w:rsidRDefault="005B43C8"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5B43C8">
        <w:rPr>
          <w:rFonts w:ascii="Times New Roman" w:eastAsia="Times New Roman" w:hAnsi="Times New Roman" w:cs="Times New Roman"/>
          <w:color w:val="000000" w:themeColor="text1"/>
          <w:kern w:val="0"/>
          <w:sz w:val="24"/>
          <w:szCs w:val="24"/>
          <w:lang w:eastAsia="en-IN" w:bidi="ml-IN"/>
          <w14:ligatures w14:val="none"/>
        </w:rPr>
        <w:t>Hobson, K.A. and Wassenaar, L.I., 1996. Linking breeding and wintering grounds of neotropical migrant songbirds using stable hydrogen isotopic analysis of feathers. </w:t>
      </w:r>
      <w:proofErr w:type="spellStart"/>
      <w:r w:rsidRPr="005B43C8">
        <w:rPr>
          <w:rFonts w:ascii="Times New Roman" w:eastAsia="Times New Roman" w:hAnsi="Times New Roman" w:cs="Times New Roman"/>
          <w:i/>
          <w:iCs/>
          <w:color w:val="000000" w:themeColor="text1"/>
          <w:kern w:val="0"/>
          <w:sz w:val="24"/>
          <w:szCs w:val="24"/>
          <w:lang w:eastAsia="en-IN" w:bidi="ml-IN"/>
          <w14:ligatures w14:val="none"/>
        </w:rPr>
        <w:t>Oecologia</w:t>
      </w:r>
      <w:proofErr w:type="spellEnd"/>
      <w:r w:rsidRPr="005B43C8">
        <w:rPr>
          <w:rFonts w:ascii="Times New Roman" w:eastAsia="Times New Roman" w:hAnsi="Times New Roman" w:cs="Times New Roman"/>
          <w:color w:val="000000" w:themeColor="text1"/>
          <w:kern w:val="0"/>
          <w:sz w:val="24"/>
          <w:szCs w:val="24"/>
          <w:lang w:eastAsia="en-IN" w:bidi="ml-IN"/>
          <w14:ligatures w14:val="none"/>
        </w:rPr>
        <w:t>, </w:t>
      </w:r>
      <w:r w:rsidRPr="005B43C8">
        <w:rPr>
          <w:rFonts w:ascii="Times New Roman" w:eastAsia="Times New Roman" w:hAnsi="Times New Roman" w:cs="Times New Roman"/>
          <w:i/>
          <w:iCs/>
          <w:color w:val="000000" w:themeColor="text1"/>
          <w:kern w:val="0"/>
          <w:sz w:val="24"/>
          <w:szCs w:val="24"/>
          <w:lang w:eastAsia="en-IN" w:bidi="ml-IN"/>
          <w14:ligatures w14:val="none"/>
        </w:rPr>
        <w:t>109</w:t>
      </w:r>
      <w:r w:rsidRPr="005B43C8">
        <w:rPr>
          <w:rFonts w:ascii="Times New Roman" w:eastAsia="Times New Roman" w:hAnsi="Times New Roman" w:cs="Times New Roman"/>
          <w:color w:val="000000" w:themeColor="text1"/>
          <w:kern w:val="0"/>
          <w:sz w:val="24"/>
          <w:szCs w:val="24"/>
          <w:lang w:eastAsia="en-IN" w:bidi="ml-IN"/>
          <w14:ligatures w14:val="none"/>
        </w:rPr>
        <w:t>(1), pp.142-148.</w:t>
      </w:r>
    </w:p>
    <w:p w14:paraId="2E3339FE" w14:textId="77777777" w:rsidR="005B43C8" w:rsidRDefault="005B43C8" w:rsidP="0057591C">
      <w:pPr>
        <w:pStyle w:val="NormalWeb"/>
        <w:jc w:val="both"/>
        <w:rPr>
          <w:rFonts w:eastAsiaTheme="minorHAnsi"/>
          <w:color w:val="000000" w:themeColor="text1"/>
          <w:kern w:val="2"/>
          <w:lang w:eastAsia="en-US" w:bidi="ar-SA"/>
          <w14:ligatures w14:val="standardContextual"/>
        </w:rPr>
      </w:pPr>
      <w:r w:rsidRPr="005B43C8">
        <w:rPr>
          <w:rFonts w:eastAsiaTheme="minorHAnsi"/>
          <w:color w:val="000000" w:themeColor="text1"/>
          <w:kern w:val="2"/>
          <w:lang w:eastAsia="en-US" w:bidi="ar-SA"/>
          <w14:ligatures w14:val="standardContextual"/>
        </w:rPr>
        <w:t>Hobson, K.A., 2005. Using stable isotopes to trace long‐distance dispersal in birds and other taxa. </w:t>
      </w:r>
      <w:r w:rsidRPr="005B43C8">
        <w:rPr>
          <w:rFonts w:eastAsiaTheme="minorHAnsi"/>
          <w:i/>
          <w:iCs/>
          <w:color w:val="000000" w:themeColor="text1"/>
          <w:kern w:val="2"/>
          <w:lang w:eastAsia="en-US" w:bidi="ar-SA"/>
          <w14:ligatures w14:val="standardContextual"/>
        </w:rPr>
        <w:t>Diversity and Distributions</w:t>
      </w:r>
      <w:r w:rsidRPr="005B43C8">
        <w:rPr>
          <w:rFonts w:eastAsiaTheme="minorHAnsi"/>
          <w:color w:val="000000" w:themeColor="text1"/>
          <w:kern w:val="2"/>
          <w:lang w:eastAsia="en-US" w:bidi="ar-SA"/>
          <w14:ligatures w14:val="standardContextual"/>
        </w:rPr>
        <w:t>, </w:t>
      </w:r>
      <w:r w:rsidRPr="005B43C8">
        <w:rPr>
          <w:rFonts w:eastAsiaTheme="minorHAnsi"/>
          <w:i/>
          <w:iCs/>
          <w:color w:val="000000" w:themeColor="text1"/>
          <w:kern w:val="2"/>
          <w:lang w:eastAsia="en-US" w:bidi="ar-SA"/>
          <w14:ligatures w14:val="standardContextual"/>
        </w:rPr>
        <w:t>11</w:t>
      </w:r>
      <w:r w:rsidRPr="005B43C8">
        <w:rPr>
          <w:rFonts w:eastAsiaTheme="minorHAnsi"/>
          <w:color w:val="000000" w:themeColor="text1"/>
          <w:kern w:val="2"/>
          <w:lang w:eastAsia="en-US" w:bidi="ar-SA"/>
          <w14:ligatures w14:val="standardContextual"/>
        </w:rPr>
        <w:t>(2), pp.157-164.</w:t>
      </w:r>
    </w:p>
    <w:p w14:paraId="0FD40CF5" w14:textId="64E98971" w:rsidR="00B6596D" w:rsidRPr="00AB58A9" w:rsidRDefault="005B43C8" w:rsidP="0057591C">
      <w:pPr>
        <w:pStyle w:val="NormalWeb"/>
        <w:jc w:val="both"/>
      </w:pPr>
      <w:r w:rsidRPr="005B43C8">
        <w:lastRenderedPageBreak/>
        <w:t xml:space="preserve">Hobson, K.A., </w:t>
      </w:r>
      <w:proofErr w:type="spellStart"/>
      <w:r w:rsidRPr="005B43C8">
        <w:t>Piatt</w:t>
      </w:r>
      <w:proofErr w:type="spellEnd"/>
      <w:r w:rsidRPr="005B43C8">
        <w:t xml:space="preserve">, J.F. and </w:t>
      </w:r>
      <w:proofErr w:type="spellStart"/>
      <w:r w:rsidRPr="005B43C8">
        <w:t>Pitocchelli</w:t>
      </w:r>
      <w:proofErr w:type="spellEnd"/>
      <w:r w:rsidRPr="005B43C8">
        <w:t>, J., 1994. Using stable isotopes to determine seabird trophic relationships. </w:t>
      </w:r>
      <w:r w:rsidRPr="005B43C8">
        <w:rPr>
          <w:i/>
          <w:iCs/>
        </w:rPr>
        <w:t>Journal of animal ecology</w:t>
      </w:r>
      <w:r w:rsidRPr="005B43C8">
        <w:t>, pp.786-798.</w:t>
      </w:r>
    </w:p>
    <w:p w14:paraId="37F0D815" w14:textId="77777777" w:rsidR="00E60E89" w:rsidRDefault="00E60E89" w:rsidP="0057591C">
      <w:pPr>
        <w:jc w:val="both"/>
        <w:rPr>
          <w:rFonts w:ascii="Times New Roman" w:hAnsi="Times New Roman" w:cs="Times New Roman"/>
          <w:color w:val="000000" w:themeColor="text1"/>
          <w:sz w:val="24"/>
          <w:szCs w:val="24"/>
        </w:rPr>
      </w:pPr>
      <w:r w:rsidRPr="00E60E89">
        <w:rPr>
          <w:rFonts w:ascii="Times New Roman" w:hAnsi="Times New Roman" w:cs="Times New Roman"/>
          <w:color w:val="000000" w:themeColor="text1"/>
          <w:sz w:val="24"/>
          <w:szCs w:val="24"/>
        </w:rPr>
        <w:t xml:space="preserve">Hobson, K.A., Van </w:t>
      </w:r>
      <w:proofErr w:type="spellStart"/>
      <w:r w:rsidRPr="00E60E89">
        <w:rPr>
          <w:rFonts w:ascii="Times New Roman" w:hAnsi="Times New Roman" w:cs="Times New Roman"/>
          <w:color w:val="000000" w:themeColor="text1"/>
          <w:sz w:val="24"/>
          <w:szCs w:val="24"/>
        </w:rPr>
        <w:t>Wilgenburg</w:t>
      </w:r>
      <w:proofErr w:type="spellEnd"/>
      <w:r w:rsidRPr="00E60E89">
        <w:rPr>
          <w:rFonts w:ascii="Times New Roman" w:hAnsi="Times New Roman" w:cs="Times New Roman"/>
          <w:color w:val="000000" w:themeColor="text1"/>
          <w:sz w:val="24"/>
          <w:szCs w:val="24"/>
        </w:rPr>
        <w:t xml:space="preserve">, S.L., Wassenaar, L.I. and Larson, K., 2012. Linking hydrogen (δ 2H) isotopes in feathers and precipitation: sources of variance and consequences for assignment to </w:t>
      </w:r>
      <w:proofErr w:type="spellStart"/>
      <w:r w:rsidRPr="00E60E89">
        <w:rPr>
          <w:rFonts w:ascii="Times New Roman" w:hAnsi="Times New Roman" w:cs="Times New Roman"/>
          <w:color w:val="000000" w:themeColor="text1"/>
          <w:sz w:val="24"/>
          <w:szCs w:val="24"/>
        </w:rPr>
        <w:t>isoscapes</w:t>
      </w:r>
      <w:proofErr w:type="spellEnd"/>
      <w:r w:rsidRPr="00E60E89">
        <w:rPr>
          <w:rFonts w:ascii="Times New Roman" w:hAnsi="Times New Roman" w:cs="Times New Roman"/>
          <w:color w:val="000000" w:themeColor="text1"/>
          <w:sz w:val="24"/>
          <w:szCs w:val="24"/>
        </w:rPr>
        <w:t>. </w:t>
      </w:r>
      <w:proofErr w:type="spellStart"/>
      <w:r w:rsidRPr="00E60E89">
        <w:rPr>
          <w:rFonts w:ascii="Times New Roman" w:hAnsi="Times New Roman" w:cs="Times New Roman"/>
          <w:i/>
          <w:iCs/>
          <w:color w:val="000000" w:themeColor="text1"/>
          <w:sz w:val="24"/>
          <w:szCs w:val="24"/>
        </w:rPr>
        <w:t>PloS</w:t>
      </w:r>
      <w:proofErr w:type="spellEnd"/>
      <w:r w:rsidRPr="00E60E89">
        <w:rPr>
          <w:rFonts w:ascii="Times New Roman" w:hAnsi="Times New Roman" w:cs="Times New Roman"/>
          <w:i/>
          <w:iCs/>
          <w:color w:val="000000" w:themeColor="text1"/>
          <w:sz w:val="24"/>
          <w:szCs w:val="24"/>
        </w:rPr>
        <w:t xml:space="preserve"> one</w:t>
      </w:r>
      <w:r w:rsidRPr="00E60E89">
        <w:rPr>
          <w:rFonts w:ascii="Times New Roman" w:hAnsi="Times New Roman" w:cs="Times New Roman"/>
          <w:color w:val="000000" w:themeColor="text1"/>
          <w:sz w:val="24"/>
          <w:szCs w:val="24"/>
        </w:rPr>
        <w:t>, </w:t>
      </w:r>
      <w:r w:rsidRPr="00E60E89">
        <w:rPr>
          <w:rFonts w:ascii="Times New Roman" w:hAnsi="Times New Roman" w:cs="Times New Roman"/>
          <w:i/>
          <w:iCs/>
          <w:color w:val="000000" w:themeColor="text1"/>
          <w:sz w:val="24"/>
          <w:szCs w:val="24"/>
        </w:rPr>
        <w:t>7</w:t>
      </w:r>
      <w:r w:rsidRPr="00E60E89">
        <w:rPr>
          <w:rFonts w:ascii="Times New Roman" w:hAnsi="Times New Roman" w:cs="Times New Roman"/>
          <w:color w:val="000000" w:themeColor="text1"/>
          <w:sz w:val="24"/>
          <w:szCs w:val="24"/>
        </w:rPr>
        <w:t>(4), p.e35137.</w:t>
      </w:r>
    </w:p>
    <w:p w14:paraId="47EE7575" w14:textId="77777777" w:rsidR="00E60E89" w:rsidRDefault="00E60E89" w:rsidP="0057591C">
      <w:pPr>
        <w:jc w:val="both"/>
        <w:rPr>
          <w:rFonts w:ascii="Times New Roman" w:hAnsi="Times New Roman" w:cs="Times New Roman"/>
          <w:color w:val="000000" w:themeColor="text1"/>
          <w:sz w:val="24"/>
          <w:szCs w:val="24"/>
        </w:rPr>
      </w:pPr>
      <w:r w:rsidRPr="00E60E89">
        <w:rPr>
          <w:rFonts w:ascii="Times New Roman" w:hAnsi="Times New Roman" w:cs="Times New Roman"/>
          <w:color w:val="000000" w:themeColor="text1"/>
          <w:sz w:val="24"/>
          <w:szCs w:val="24"/>
        </w:rPr>
        <w:t>Hobson, M.P. ed., 2010. </w:t>
      </w:r>
      <w:r w:rsidRPr="00E60E89">
        <w:rPr>
          <w:rFonts w:ascii="Times New Roman" w:hAnsi="Times New Roman" w:cs="Times New Roman"/>
          <w:i/>
          <w:iCs/>
          <w:color w:val="000000" w:themeColor="text1"/>
          <w:sz w:val="24"/>
          <w:szCs w:val="24"/>
        </w:rPr>
        <w:t>Bayesian methods in cosmology</w:t>
      </w:r>
      <w:r w:rsidRPr="00E60E89">
        <w:rPr>
          <w:rFonts w:ascii="Times New Roman" w:hAnsi="Times New Roman" w:cs="Times New Roman"/>
          <w:color w:val="000000" w:themeColor="text1"/>
          <w:sz w:val="24"/>
          <w:szCs w:val="24"/>
        </w:rPr>
        <w:t>. Cambridge University Press.</w:t>
      </w:r>
    </w:p>
    <w:p w14:paraId="4CA5BC9E" w14:textId="77777777" w:rsidR="00E60E89" w:rsidRDefault="00E60E89" w:rsidP="00940828">
      <w:pPr>
        <w:spacing w:before="100" w:beforeAutospacing="1" w:after="100" w:afterAutospacing="1" w:line="240" w:lineRule="auto"/>
        <w:jc w:val="both"/>
        <w:rPr>
          <w:rFonts w:ascii="Times New Roman" w:hAnsi="Times New Roman" w:cs="Times New Roman"/>
          <w:color w:val="000000" w:themeColor="text1"/>
          <w:sz w:val="24"/>
          <w:szCs w:val="24"/>
        </w:rPr>
      </w:pPr>
      <w:proofErr w:type="spellStart"/>
      <w:r w:rsidRPr="00E60E89">
        <w:rPr>
          <w:rFonts w:ascii="Times New Roman" w:hAnsi="Times New Roman" w:cs="Times New Roman"/>
          <w:color w:val="000000" w:themeColor="text1"/>
          <w:sz w:val="24"/>
          <w:szCs w:val="24"/>
        </w:rPr>
        <w:t>Hoefs</w:t>
      </w:r>
      <w:proofErr w:type="spellEnd"/>
      <w:r w:rsidRPr="00E60E89">
        <w:rPr>
          <w:rFonts w:ascii="Times New Roman" w:hAnsi="Times New Roman" w:cs="Times New Roman"/>
          <w:color w:val="000000" w:themeColor="text1"/>
          <w:sz w:val="24"/>
          <w:szCs w:val="24"/>
        </w:rPr>
        <w:t>, J., 2018. Theoretical and Experiment Principles. In </w:t>
      </w:r>
      <w:r w:rsidRPr="00E60E89">
        <w:rPr>
          <w:rFonts w:ascii="Times New Roman" w:hAnsi="Times New Roman" w:cs="Times New Roman"/>
          <w:i/>
          <w:iCs/>
          <w:color w:val="000000" w:themeColor="text1"/>
          <w:sz w:val="24"/>
          <w:szCs w:val="24"/>
        </w:rPr>
        <w:t>Stable Isotope Geochemistry</w:t>
      </w:r>
      <w:r w:rsidRPr="00E60E89">
        <w:rPr>
          <w:rFonts w:ascii="Times New Roman" w:hAnsi="Times New Roman" w:cs="Times New Roman"/>
          <w:color w:val="000000" w:themeColor="text1"/>
          <w:sz w:val="24"/>
          <w:szCs w:val="24"/>
        </w:rPr>
        <w:t> (pp. 1-51). Cham: Springer International Publishing.</w:t>
      </w:r>
    </w:p>
    <w:p w14:paraId="17381EB6" w14:textId="77777777" w:rsidR="00E60E89" w:rsidRDefault="00E60E89"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E60E89">
        <w:rPr>
          <w:rFonts w:ascii="Times New Roman" w:eastAsia="Times New Roman" w:hAnsi="Times New Roman" w:cs="Times New Roman"/>
          <w:color w:val="000000" w:themeColor="text1"/>
          <w:kern w:val="0"/>
          <w:sz w:val="24"/>
          <w:szCs w:val="24"/>
          <w:lang w:eastAsia="en-IN" w:bidi="ml-IN"/>
          <w14:ligatures w14:val="none"/>
        </w:rPr>
        <w:t xml:space="preserve">Hussey, N.E., MacNeil, M.A., McMeans, B.C., Olin, J.A., Dudley, S.F., Cliff, G., </w:t>
      </w:r>
      <w:proofErr w:type="spellStart"/>
      <w:r w:rsidRPr="00E60E89">
        <w:rPr>
          <w:rFonts w:ascii="Times New Roman" w:eastAsia="Times New Roman" w:hAnsi="Times New Roman" w:cs="Times New Roman"/>
          <w:color w:val="000000" w:themeColor="text1"/>
          <w:kern w:val="0"/>
          <w:sz w:val="24"/>
          <w:szCs w:val="24"/>
          <w:lang w:eastAsia="en-IN" w:bidi="ml-IN"/>
          <w14:ligatures w14:val="none"/>
        </w:rPr>
        <w:t>Wintner</w:t>
      </w:r>
      <w:proofErr w:type="spellEnd"/>
      <w:r w:rsidRPr="00E60E89">
        <w:rPr>
          <w:rFonts w:ascii="Times New Roman" w:eastAsia="Times New Roman" w:hAnsi="Times New Roman" w:cs="Times New Roman"/>
          <w:color w:val="000000" w:themeColor="text1"/>
          <w:kern w:val="0"/>
          <w:sz w:val="24"/>
          <w:szCs w:val="24"/>
          <w:lang w:eastAsia="en-IN" w:bidi="ml-IN"/>
          <w14:ligatures w14:val="none"/>
        </w:rPr>
        <w:t xml:space="preserve">, S.P., </w:t>
      </w:r>
      <w:proofErr w:type="spellStart"/>
      <w:r w:rsidRPr="00E60E89">
        <w:rPr>
          <w:rFonts w:ascii="Times New Roman" w:eastAsia="Times New Roman" w:hAnsi="Times New Roman" w:cs="Times New Roman"/>
          <w:color w:val="000000" w:themeColor="text1"/>
          <w:kern w:val="0"/>
          <w:sz w:val="24"/>
          <w:szCs w:val="24"/>
          <w:lang w:eastAsia="en-IN" w:bidi="ml-IN"/>
          <w14:ligatures w14:val="none"/>
        </w:rPr>
        <w:t>Fennessy</w:t>
      </w:r>
      <w:proofErr w:type="spellEnd"/>
      <w:r w:rsidRPr="00E60E89">
        <w:rPr>
          <w:rFonts w:ascii="Times New Roman" w:eastAsia="Times New Roman" w:hAnsi="Times New Roman" w:cs="Times New Roman"/>
          <w:color w:val="000000" w:themeColor="text1"/>
          <w:kern w:val="0"/>
          <w:sz w:val="24"/>
          <w:szCs w:val="24"/>
          <w:lang w:eastAsia="en-IN" w:bidi="ml-IN"/>
          <w14:ligatures w14:val="none"/>
        </w:rPr>
        <w:t>, S.T. and Fisk, A.T., 2014. Rescaling the trophic structure of marine food webs. </w:t>
      </w:r>
      <w:r w:rsidRPr="00E60E89">
        <w:rPr>
          <w:rFonts w:ascii="Times New Roman" w:eastAsia="Times New Roman" w:hAnsi="Times New Roman" w:cs="Times New Roman"/>
          <w:i/>
          <w:iCs/>
          <w:color w:val="000000" w:themeColor="text1"/>
          <w:kern w:val="0"/>
          <w:sz w:val="24"/>
          <w:szCs w:val="24"/>
          <w:lang w:eastAsia="en-IN" w:bidi="ml-IN"/>
          <w14:ligatures w14:val="none"/>
        </w:rPr>
        <w:t>Ecology letters</w:t>
      </w:r>
      <w:r w:rsidRPr="00E60E89">
        <w:rPr>
          <w:rFonts w:ascii="Times New Roman" w:eastAsia="Times New Roman" w:hAnsi="Times New Roman" w:cs="Times New Roman"/>
          <w:color w:val="000000" w:themeColor="text1"/>
          <w:kern w:val="0"/>
          <w:sz w:val="24"/>
          <w:szCs w:val="24"/>
          <w:lang w:eastAsia="en-IN" w:bidi="ml-IN"/>
          <w14:ligatures w14:val="none"/>
        </w:rPr>
        <w:t>, </w:t>
      </w:r>
      <w:r w:rsidRPr="00E60E89">
        <w:rPr>
          <w:rFonts w:ascii="Times New Roman" w:eastAsia="Times New Roman" w:hAnsi="Times New Roman" w:cs="Times New Roman"/>
          <w:i/>
          <w:iCs/>
          <w:color w:val="000000" w:themeColor="text1"/>
          <w:kern w:val="0"/>
          <w:sz w:val="24"/>
          <w:szCs w:val="24"/>
          <w:lang w:eastAsia="en-IN" w:bidi="ml-IN"/>
          <w14:ligatures w14:val="none"/>
        </w:rPr>
        <w:t>17</w:t>
      </w:r>
      <w:r w:rsidRPr="00E60E89">
        <w:rPr>
          <w:rFonts w:ascii="Times New Roman" w:eastAsia="Times New Roman" w:hAnsi="Times New Roman" w:cs="Times New Roman"/>
          <w:color w:val="000000" w:themeColor="text1"/>
          <w:kern w:val="0"/>
          <w:sz w:val="24"/>
          <w:szCs w:val="24"/>
          <w:lang w:eastAsia="en-IN" w:bidi="ml-IN"/>
          <w14:ligatures w14:val="none"/>
        </w:rPr>
        <w:t>(2), pp.239-250.</w:t>
      </w:r>
    </w:p>
    <w:p w14:paraId="1B41B630" w14:textId="77777777" w:rsidR="00E60E89" w:rsidRDefault="00E60E89" w:rsidP="00CE03F4">
      <w:pPr>
        <w:jc w:val="both"/>
        <w:rPr>
          <w:rFonts w:ascii="Times New Roman" w:hAnsi="Times New Roman" w:cs="Times New Roman"/>
          <w:color w:val="000000" w:themeColor="text1"/>
          <w:sz w:val="24"/>
          <w:szCs w:val="24"/>
        </w:rPr>
      </w:pPr>
      <w:proofErr w:type="spellStart"/>
      <w:r w:rsidRPr="00E60E89">
        <w:rPr>
          <w:rFonts w:ascii="Times New Roman" w:hAnsi="Times New Roman" w:cs="Times New Roman"/>
          <w:color w:val="000000" w:themeColor="text1"/>
          <w:sz w:val="24"/>
          <w:szCs w:val="24"/>
        </w:rPr>
        <w:t>Hyodo</w:t>
      </w:r>
      <w:proofErr w:type="spellEnd"/>
      <w:r w:rsidRPr="00E60E89">
        <w:rPr>
          <w:rFonts w:ascii="Times New Roman" w:hAnsi="Times New Roman" w:cs="Times New Roman"/>
          <w:color w:val="000000" w:themeColor="text1"/>
          <w:sz w:val="24"/>
          <w:szCs w:val="24"/>
        </w:rPr>
        <w:t>, F., 2015. Use of stable carbon and nitrogen isotopes in insect trophic ecology. </w:t>
      </w:r>
      <w:r w:rsidRPr="00E60E89">
        <w:rPr>
          <w:rFonts w:ascii="Times New Roman" w:hAnsi="Times New Roman" w:cs="Times New Roman"/>
          <w:i/>
          <w:iCs/>
          <w:color w:val="000000" w:themeColor="text1"/>
          <w:sz w:val="24"/>
          <w:szCs w:val="24"/>
        </w:rPr>
        <w:t>Entomological Science</w:t>
      </w:r>
      <w:r w:rsidRPr="00E60E89">
        <w:rPr>
          <w:rFonts w:ascii="Times New Roman" w:hAnsi="Times New Roman" w:cs="Times New Roman"/>
          <w:color w:val="000000" w:themeColor="text1"/>
          <w:sz w:val="24"/>
          <w:szCs w:val="24"/>
        </w:rPr>
        <w:t>, </w:t>
      </w:r>
      <w:r w:rsidRPr="00E60E89">
        <w:rPr>
          <w:rFonts w:ascii="Times New Roman" w:hAnsi="Times New Roman" w:cs="Times New Roman"/>
          <w:i/>
          <w:iCs/>
          <w:color w:val="000000" w:themeColor="text1"/>
          <w:sz w:val="24"/>
          <w:szCs w:val="24"/>
        </w:rPr>
        <w:t>18</w:t>
      </w:r>
      <w:r w:rsidRPr="00E60E89">
        <w:rPr>
          <w:rFonts w:ascii="Times New Roman" w:hAnsi="Times New Roman" w:cs="Times New Roman"/>
          <w:color w:val="000000" w:themeColor="text1"/>
          <w:sz w:val="24"/>
          <w:szCs w:val="24"/>
        </w:rPr>
        <w:t>(3), pp.295-312.</w:t>
      </w:r>
    </w:p>
    <w:p w14:paraId="1A888879" w14:textId="77777777" w:rsidR="00E60E89" w:rsidRDefault="00E60E89" w:rsidP="00CE03F4">
      <w:pPr>
        <w:jc w:val="both"/>
        <w:rPr>
          <w:rFonts w:ascii="Times New Roman" w:hAnsi="Times New Roman" w:cs="Times New Roman"/>
          <w:color w:val="000000" w:themeColor="text1"/>
          <w:sz w:val="24"/>
          <w:szCs w:val="24"/>
        </w:rPr>
      </w:pPr>
      <w:r w:rsidRPr="00E60E89">
        <w:rPr>
          <w:rFonts w:ascii="Times New Roman" w:hAnsi="Times New Roman" w:cs="Times New Roman"/>
          <w:color w:val="000000" w:themeColor="text1"/>
          <w:sz w:val="24"/>
          <w:szCs w:val="24"/>
        </w:rPr>
        <w:t xml:space="preserve">Inger, R. and </w:t>
      </w:r>
      <w:proofErr w:type="spellStart"/>
      <w:r w:rsidRPr="00E60E89">
        <w:rPr>
          <w:rFonts w:ascii="Times New Roman" w:hAnsi="Times New Roman" w:cs="Times New Roman"/>
          <w:color w:val="000000" w:themeColor="text1"/>
          <w:sz w:val="24"/>
          <w:szCs w:val="24"/>
        </w:rPr>
        <w:t>Bearhop</w:t>
      </w:r>
      <w:proofErr w:type="spellEnd"/>
      <w:r w:rsidRPr="00E60E89">
        <w:rPr>
          <w:rFonts w:ascii="Times New Roman" w:hAnsi="Times New Roman" w:cs="Times New Roman"/>
          <w:color w:val="000000" w:themeColor="text1"/>
          <w:sz w:val="24"/>
          <w:szCs w:val="24"/>
        </w:rPr>
        <w:t>, S., 2008. Applications of stable isotope analyses to avian ecology. </w:t>
      </w:r>
      <w:r w:rsidRPr="00E60E89">
        <w:rPr>
          <w:rFonts w:ascii="Times New Roman" w:hAnsi="Times New Roman" w:cs="Times New Roman"/>
          <w:i/>
          <w:iCs/>
          <w:color w:val="000000" w:themeColor="text1"/>
          <w:sz w:val="24"/>
          <w:szCs w:val="24"/>
        </w:rPr>
        <w:t>Ibis</w:t>
      </w:r>
      <w:r w:rsidRPr="00E60E89">
        <w:rPr>
          <w:rFonts w:ascii="Times New Roman" w:hAnsi="Times New Roman" w:cs="Times New Roman"/>
          <w:color w:val="000000" w:themeColor="text1"/>
          <w:sz w:val="24"/>
          <w:szCs w:val="24"/>
        </w:rPr>
        <w:t>, </w:t>
      </w:r>
      <w:r w:rsidRPr="00E60E89">
        <w:rPr>
          <w:rFonts w:ascii="Times New Roman" w:hAnsi="Times New Roman" w:cs="Times New Roman"/>
          <w:i/>
          <w:iCs/>
          <w:color w:val="000000" w:themeColor="text1"/>
          <w:sz w:val="24"/>
          <w:szCs w:val="24"/>
        </w:rPr>
        <w:t>150</w:t>
      </w:r>
      <w:r w:rsidRPr="00E60E89">
        <w:rPr>
          <w:rFonts w:ascii="Times New Roman" w:hAnsi="Times New Roman" w:cs="Times New Roman"/>
          <w:color w:val="000000" w:themeColor="text1"/>
          <w:sz w:val="24"/>
          <w:szCs w:val="24"/>
        </w:rPr>
        <w:t>(3), pp.447-461.</w:t>
      </w:r>
    </w:p>
    <w:p w14:paraId="78BC9D20" w14:textId="77777777" w:rsidR="00E60E89" w:rsidRDefault="00E60E89" w:rsidP="0057591C">
      <w:pPr>
        <w:pStyle w:val="NormalWeb"/>
        <w:jc w:val="both"/>
        <w:rPr>
          <w:rFonts w:eastAsiaTheme="minorHAnsi"/>
          <w:color w:val="000000" w:themeColor="text1"/>
          <w:kern w:val="2"/>
          <w:lang w:eastAsia="en-US" w:bidi="ar-SA"/>
          <w14:ligatures w14:val="standardContextual"/>
        </w:rPr>
      </w:pPr>
      <w:r w:rsidRPr="00E60E89">
        <w:rPr>
          <w:rFonts w:eastAsiaTheme="minorHAnsi"/>
          <w:color w:val="000000" w:themeColor="text1"/>
          <w:kern w:val="2"/>
          <w:lang w:eastAsia="en-US" w:bidi="ar-SA"/>
          <w14:ligatures w14:val="standardContextual"/>
        </w:rPr>
        <w:t>Islam, M.M., Karim, M.R., Zheng, X. and Li, X., 2018. Heavy metal and metalloid pollution of soil, water and foods in Bangladesh: a critical review. </w:t>
      </w:r>
      <w:r w:rsidRPr="00E60E89">
        <w:rPr>
          <w:rFonts w:eastAsiaTheme="minorHAnsi"/>
          <w:i/>
          <w:iCs/>
          <w:color w:val="000000" w:themeColor="text1"/>
          <w:kern w:val="2"/>
          <w:lang w:eastAsia="en-US" w:bidi="ar-SA"/>
          <w14:ligatures w14:val="standardContextual"/>
        </w:rPr>
        <w:t>International journal of environmental research and public health</w:t>
      </w:r>
      <w:r w:rsidRPr="00E60E89">
        <w:rPr>
          <w:rFonts w:eastAsiaTheme="minorHAnsi"/>
          <w:color w:val="000000" w:themeColor="text1"/>
          <w:kern w:val="2"/>
          <w:lang w:eastAsia="en-US" w:bidi="ar-SA"/>
          <w14:ligatures w14:val="standardContextual"/>
        </w:rPr>
        <w:t>, </w:t>
      </w:r>
      <w:r w:rsidRPr="00E60E89">
        <w:rPr>
          <w:rFonts w:eastAsiaTheme="minorHAnsi"/>
          <w:i/>
          <w:iCs/>
          <w:color w:val="000000" w:themeColor="text1"/>
          <w:kern w:val="2"/>
          <w:lang w:eastAsia="en-US" w:bidi="ar-SA"/>
          <w14:ligatures w14:val="standardContextual"/>
        </w:rPr>
        <w:t>15</w:t>
      </w:r>
      <w:r w:rsidRPr="00E60E89">
        <w:rPr>
          <w:rFonts w:eastAsiaTheme="minorHAnsi"/>
          <w:color w:val="000000" w:themeColor="text1"/>
          <w:kern w:val="2"/>
          <w:lang w:eastAsia="en-US" w:bidi="ar-SA"/>
          <w14:ligatures w14:val="standardContextual"/>
        </w:rPr>
        <w:t>(12), p.2825.</w:t>
      </w:r>
    </w:p>
    <w:p w14:paraId="74980F27" w14:textId="77777777" w:rsidR="00E60E89" w:rsidRDefault="00E60E89"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E60E89">
        <w:rPr>
          <w:rFonts w:ascii="Times New Roman" w:eastAsia="Times New Roman" w:hAnsi="Times New Roman" w:cs="Times New Roman"/>
          <w:color w:val="000000" w:themeColor="text1"/>
          <w:kern w:val="0"/>
          <w:sz w:val="24"/>
          <w:szCs w:val="24"/>
          <w:lang w:eastAsia="en-IN" w:bidi="ml-IN"/>
          <w14:ligatures w14:val="none"/>
        </w:rPr>
        <w:t xml:space="preserve">Jackson, A.L., Inger, R., Parnell, A.C. and </w:t>
      </w:r>
      <w:proofErr w:type="spellStart"/>
      <w:r w:rsidRPr="00E60E89">
        <w:rPr>
          <w:rFonts w:ascii="Times New Roman" w:eastAsia="Times New Roman" w:hAnsi="Times New Roman" w:cs="Times New Roman"/>
          <w:color w:val="000000" w:themeColor="text1"/>
          <w:kern w:val="0"/>
          <w:sz w:val="24"/>
          <w:szCs w:val="24"/>
          <w:lang w:eastAsia="en-IN" w:bidi="ml-IN"/>
          <w14:ligatures w14:val="none"/>
        </w:rPr>
        <w:t>Bearhop</w:t>
      </w:r>
      <w:proofErr w:type="spellEnd"/>
      <w:r w:rsidRPr="00E60E89">
        <w:rPr>
          <w:rFonts w:ascii="Times New Roman" w:eastAsia="Times New Roman" w:hAnsi="Times New Roman" w:cs="Times New Roman"/>
          <w:color w:val="000000" w:themeColor="text1"/>
          <w:kern w:val="0"/>
          <w:sz w:val="24"/>
          <w:szCs w:val="24"/>
          <w:lang w:eastAsia="en-IN" w:bidi="ml-IN"/>
          <w14:ligatures w14:val="none"/>
        </w:rPr>
        <w:t>, S., 2011. Comparing isotopic niche widths among and within communities: SIBER–Stable Isotope Bayesian Ellipses in R. </w:t>
      </w:r>
      <w:r w:rsidRPr="00E60E89">
        <w:rPr>
          <w:rFonts w:ascii="Times New Roman" w:eastAsia="Times New Roman" w:hAnsi="Times New Roman" w:cs="Times New Roman"/>
          <w:i/>
          <w:iCs/>
          <w:color w:val="000000" w:themeColor="text1"/>
          <w:kern w:val="0"/>
          <w:sz w:val="24"/>
          <w:szCs w:val="24"/>
          <w:lang w:eastAsia="en-IN" w:bidi="ml-IN"/>
          <w14:ligatures w14:val="none"/>
        </w:rPr>
        <w:t>Journal of Animal Ecology</w:t>
      </w:r>
      <w:r w:rsidRPr="00E60E89">
        <w:rPr>
          <w:rFonts w:ascii="Times New Roman" w:eastAsia="Times New Roman" w:hAnsi="Times New Roman" w:cs="Times New Roman"/>
          <w:color w:val="000000" w:themeColor="text1"/>
          <w:kern w:val="0"/>
          <w:sz w:val="24"/>
          <w:szCs w:val="24"/>
          <w:lang w:eastAsia="en-IN" w:bidi="ml-IN"/>
          <w14:ligatures w14:val="none"/>
        </w:rPr>
        <w:t>, </w:t>
      </w:r>
      <w:r w:rsidRPr="00E60E89">
        <w:rPr>
          <w:rFonts w:ascii="Times New Roman" w:eastAsia="Times New Roman" w:hAnsi="Times New Roman" w:cs="Times New Roman"/>
          <w:i/>
          <w:iCs/>
          <w:color w:val="000000" w:themeColor="text1"/>
          <w:kern w:val="0"/>
          <w:sz w:val="24"/>
          <w:szCs w:val="24"/>
          <w:lang w:eastAsia="en-IN" w:bidi="ml-IN"/>
          <w14:ligatures w14:val="none"/>
        </w:rPr>
        <w:t>80</w:t>
      </w:r>
      <w:r w:rsidRPr="00E60E89">
        <w:rPr>
          <w:rFonts w:ascii="Times New Roman" w:eastAsia="Times New Roman" w:hAnsi="Times New Roman" w:cs="Times New Roman"/>
          <w:color w:val="000000" w:themeColor="text1"/>
          <w:kern w:val="0"/>
          <w:sz w:val="24"/>
          <w:szCs w:val="24"/>
          <w:lang w:eastAsia="en-IN" w:bidi="ml-IN"/>
          <w14:ligatures w14:val="none"/>
        </w:rPr>
        <w:t>(3), pp.595-602.</w:t>
      </w:r>
    </w:p>
    <w:p w14:paraId="114E5BF1" w14:textId="77777777" w:rsidR="00E60E89" w:rsidRDefault="00E60E89"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E60E89">
        <w:rPr>
          <w:rFonts w:ascii="Times New Roman" w:eastAsia="Times New Roman" w:hAnsi="Times New Roman" w:cs="Times New Roman"/>
          <w:color w:val="000000" w:themeColor="text1"/>
          <w:kern w:val="0"/>
          <w:sz w:val="24"/>
          <w:szCs w:val="24"/>
          <w:lang w:eastAsia="en-IN" w:bidi="ml-IN"/>
          <w14:ligatures w14:val="none"/>
        </w:rPr>
        <w:t>Jardine, T.D., Kidd, K.A. and Fisk, A.T., 2006. Applications, considerations, and sources of uncertainty when using stable isotope analysis in ecotoxicology. </w:t>
      </w:r>
      <w:r w:rsidRPr="00E60E89">
        <w:rPr>
          <w:rFonts w:ascii="Times New Roman" w:eastAsia="Times New Roman" w:hAnsi="Times New Roman" w:cs="Times New Roman"/>
          <w:i/>
          <w:iCs/>
          <w:color w:val="000000" w:themeColor="text1"/>
          <w:kern w:val="0"/>
          <w:sz w:val="24"/>
          <w:szCs w:val="24"/>
          <w:lang w:eastAsia="en-IN" w:bidi="ml-IN"/>
          <w14:ligatures w14:val="none"/>
        </w:rPr>
        <w:t>Environmental Science &amp; Technology</w:t>
      </w:r>
      <w:r w:rsidRPr="00E60E89">
        <w:rPr>
          <w:rFonts w:ascii="Times New Roman" w:eastAsia="Times New Roman" w:hAnsi="Times New Roman" w:cs="Times New Roman"/>
          <w:color w:val="000000" w:themeColor="text1"/>
          <w:kern w:val="0"/>
          <w:sz w:val="24"/>
          <w:szCs w:val="24"/>
          <w:lang w:eastAsia="en-IN" w:bidi="ml-IN"/>
          <w14:ligatures w14:val="none"/>
        </w:rPr>
        <w:t>, </w:t>
      </w:r>
      <w:r w:rsidRPr="00E60E89">
        <w:rPr>
          <w:rFonts w:ascii="Times New Roman" w:eastAsia="Times New Roman" w:hAnsi="Times New Roman" w:cs="Times New Roman"/>
          <w:i/>
          <w:iCs/>
          <w:color w:val="000000" w:themeColor="text1"/>
          <w:kern w:val="0"/>
          <w:sz w:val="24"/>
          <w:szCs w:val="24"/>
          <w:lang w:eastAsia="en-IN" w:bidi="ml-IN"/>
          <w14:ligatures w14:val="none"/>
        </w:rPr>
        <w:t>40</w:t>
      </w:r>
      <w:r w:rsidRPr="00E60E89">
        <w:rPr>
          <w:rFonts w:ascii="Times New Roman" w:eastAsia="Times New Roman" w:hAnsi="Times New Roman" w:cs="Times New Roman"/>
          <w:color w:val="000000" w:themeColor="text1"/>
          <w:kern w:val="0"/>
          <w:sz w:val="24"/>
          <w:szCs w:val="24"/>
          <w:lang w:eastAsia="en-IN" w:bidi="ml-IN"/>
          <w14:ligatures w14:val="none"/>
        </w:rPr>
        <w:t>(24), pp.7501-7511.</w:t>
      </w:r>
    </w:p>
    <w:p w14:paraId="0345B0F4" w14:textId="77777777" w:rsidR="00E60E89" w:rsidRDefault="00E60E89"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E60E89">
        <w:rPr>
          <w:rFonts w:ascii="Times New Roman" w:eastAsia="Times New Roman" w:hAnsi="Times New Roman" w:cs="Times New Roman"/>
          <w:color w:val="000000" w:themeColor="text1"/>
          <w:kern w:val="0"/>
          <w:sz w:val="24"/>
          <w:szCs w:val="24"/>
          <w:lang w:eastAsia="en-IN" w:bidi="ml-IN"/>
          <w14:ligatures w14:val="none"/>
        </w:rPr>
        <w:t>Jha, R. and Mizuguchi, Y., 2020. Unconventional isotope effect on transition temperature in BiS2-based superconductor Bi4O4S3. </w:t>
      </w:r>
      <w:r w:rsidRPr="00E60E89">
        <w:rPr>
          <w:rFonts w:ascii="Times New Roman" w:eastAsia="Times New Roman" w:hAnsi="Times New Roman" w:cs="Times New Roman"/>
          <w:i/>
          <w:iCs/>
          <w:color w:val="000000" w:themeColor="text1"/>
          <w:kern w:val="0"/>
          <w:sz w:val="24"/>
          <w:szCs w:val="24"/>
          <w:lang w:eastAsia="en-IN" w:bidi="ml-IN"/>
          <w14:ligatures w14:val="none"/>
        </w:rPr>
        <w:t>Applied Physics Express</w:t>
      </w:r>
      <w:r w:rsidRPr="00E60E89">
        <w:rPr>
          <w:rFonts w:ascii="Times New Roman" w:eastAsia="Times New Roman" w:hAnsi="Times New Roman" w:cs="Times New Roman"/>
          <w:color w:val="000000" w:themeColor="text1"/>
          <w:kern w:val="0"/>
          <w:sz w:val="24"/>
          <w:szCs w:val="24"/>
          <w:lang w:eastAsia="en-IN" w:bidi="ml-IN"/>
          <w14:ligatures w14:val="none"/>
        </w:rPr>
        <w:t>, </w:t>
      </w:r>
      <w:r w:rsidRPr="00E60E89">
        <w:rPr>
          <w:rFonts w:ascii="Times New Roman" w:eastAsia="Times New Roman" w:hAnsi="Times New Roman" w:cs="Times New Roman"/>
          <w:i/>
          <w:iCs/>
          <w:color w:val="000000" w:themeColor="text1"/>
          <w:kern w:val="0"/>
          <w:sz w:val="24"/>
          <w:szCs w:val="24"/>
          <w:lang w:eastAsia="en-IN" w:bidi="ml-IN"/>
          <w14:ligatures w14:val="none"/>
        </w:rPr>
        <w:t>13</w:t>
      </w:r>
      <w:r w:rsidRPr="00E60E89">
        <w:rPr>
          <w:rFonts w:ascii="Times New Roman" w:eastAsia="Times New Roman" w:hAnsi="Times New Roman" w:cs="Times New Roman"/>
          <w:color w:val="000000" w:themeColor="text1"/>
          <w:kern w:val="0"/>
          <w:sz w:val="24"/>
          <w:szCs w:val="24"/>
          <w:lang w:eastAsia="en-IN" w:bidi="ml-IN"/>
          <w14:ligatures w14:val="none"/>
        </w:rPr>
        <w:t>(9), p.093001.</w:t>
      </w:r>
    </w:p>
    <w:p w14:paraId="24F70986" w14:textId="77777777" w:rsidR="00DD38B9" w:rsidRDefault="00DD38B9" w:rsidP="0057591C">
      <w:pPr>
        <w:pStyle w:val="NormalWeb"/>
        <w:jc w:val="both"/>
        <w:rPr>
          <w:rFonts w:eastAsiaTheme="minorHAnsi"/>
          <w:color w:val="000000" w:themeColor="text1"/>
          <w:kern w:val="2"/>
          <w:lang w:eastAsia="en-US" w:bidi="ar-SA"/>
          <w14:ligatures w14:val="standardContextual"/>
        </w:rPr>
      </w:pPr>
      <w:r w:rsidRPr="00DD38B9">
        <w:rPr>
          <w:rFonts w:eastAsiaTheme="minorHAnsi"/>
          <w:color w:val="000000" w:themeColor="text1"/>
          <w:kern w:val="2"/>
          <w:lang w:eastAsia="en-US" w:bidi="ar-SA"/>
          <w14:ligatures w14:val="standardContextual"/>
        </w:rPr>
        <w:t xml:space="preserve">Kays, R., </w:t>
      </w:r>
      <w:proofErr w:type="spellStart"/>
      <w:r w:rsidRPr="00DD38B9">
        <w:rPr>
          <w:rFonts w:eastAsiaTheme="minorHAnsi"/>
          <w:color w:val="000000" w:themeColor="text1"/>
          <w:kern w:val="2"/>
          <w:lang w:eastAsia="en-US" w:bidi="ar-SA"/>
          <w14:ligatures w14:val="standardContextual"/>
        </w:rPr>
        <w:t>Crofoot</w:t>
      </w:r>
      <w:proofErr w:type="spellEnd"/>
      <w:r w:rsidRPr="00DD38B9">
        <w:rPr>
          <w:rFonts w:eastAsiaTheme="minorHAnsi"/>
          <w:color w:val="000000" w:themeColor="text1"/>
          <w:kern w:val="2"/>
          <w:lang w:eastAsia="en-US" w:bidi="ar-SA"/>
          <w14:ligatures w14:val="standardContextual"/>
        </w:rPr>
        <w:t xml:space="preserve">, M.C., </w:t>
      </w:r>
      <w:proofErr w:type="spellStart"/>
      <w:r w:rsidRPr="00DD38B9">
        <w:rPr>
          <w:rFonts w:eastAsiaTheme="minorHAnsi"/>
          <w:color w:val="000000" w:themeColor="text1"/>
          <w:kern w:val="2"/>
          <w:lang w:eastAsia="en-US" w:bidi="ar-SA"/>
          <w14:ligatures w14:val="standardContextual"/>
        </w:rPr>
        <w:t>Jetz</w:t>
      </w:r>
      <w:proofErr w:type="spellEnd"/>
      <w:r w:rsidRPr="00DD38B9">
        <w:rPr>
          <w:rFonts w:eastAsiaTheme="minorHAnsi"/>
          <w:color w:val="000000" w:themeColor="text1"/>
          <w:kern w:val="2"/>
          <w:lang w:eastAsia="en-US" w:bidi="ar-SA"/>
          <w14:ligatures w14:val="standardContextual"/>
        </w:rPr>
        <w:t xml:space="preserve">, W. and </w:t>
      </w:r>
      <w:proofErr w:type="spellStart"/>
      <w:r w:rsidRPr="00DD38B9">
        <w:rPr>
          <w:rFonts w:eastAsiaTheme="minorHAnsi"/>
          <w:color w:val="000000" w:themeColor="text1"/>
          <w:kern w:val="2"/>
          <w:lang w:eastAsia="en-US" w:bidi="ar-SA"/>
          <w14:ligatures w14:val="standardContextual"/>
        </w:rPr>
        <w:t>Wikelski</w:t>
      </w:r>
      <w:proofErr w:type="spellEnd"/>
      <w:r w:rsidRPr="00DD38B9">
        <w:rPr>
          <w:rFonts w:eastAsiaTheme="minorHAnsi"/>
          <w:color w:val="000000" w:themeColor="text1"/>
          <w:kern w:val="2"/>
          <w:lang w:eastAsia="en-US" w:bidi="ar-SA"/>
          <w14:ligatures w14:val="standardContextual"/>
        </w:rPr>
        <w:t>, M., 2015. Terrestrial animal tracking as an eye on life and planet. </w:t>
      </w:r>
      <w:r w:rsidRPr="00DD38B9">
        <w:rPr>
          <w:rFonts w:eastAsiaTheme="minorHAnsi"/>
          <w:i/>
          <w:iCs/>
          <w:color w:val="000000" w:themeColor="text1"/>
          <w:kern w:val="2"/>
          <w:lang w:eastAsia="en-US" w:bidi="ar-SA"/>
          <w14:ligatures w14:val="standardContextual"/>
        </w:rPr>
        <w:t>Science</w:t>
      </w:r>
      <w:r w:rsidRPr="00DD38B9">
        <w:rPr>
          <w:rFonts w:eastAsiaTheme="minorHAnsi"/>
          <w:color w:val="000000" w:themeColor="text1"/>
          <w:kern w:val="2"/>
          <w:lang w:eastAsia="en-US" w:bidi="ar-SA"/>
          <w14:ligatures w14:val="standardContextual"/>
        </w:rPr>
        <w:t>, </w:t>
      </w:r>
      <w:r w:rsidRPr="00DD38B9">
        <w:rPr>
          <w:rFonts w:eastAsiaTheme="minorHAnsi"/>
          <w:i/>
          <w:iCs/>
          <w:color w:val="000000" w:themeColor="text1"/>
          <w:kern w:val="2"/>
          <w:lang w:eastAsia="en-US" w:bidi="ar-SA"/>
          <w14:ligatures w14:val="standardContextual"/>
        </w:rPr>
        <w:t>348</w:t>
      </w:r>
      <w:r w:rsidRPr="00DD38B9">
        <w:rPr>
          <w:rFonts w:eastAsiaTheme="minorHAnsi"/>
          <w:color w:val="000000" w:themeColor="text1"/>
          <w:kern w:val="2"/>
          <w:lang w:eastAsia="en-US" w:bidi="ar-SA"/>
          <w14:ligatures w14:val="standardContextual"/>
        </w:rPr>
        <w:t>(6240), p.aaa2478.</w:t>
      </w:r>
    </w:p>
    <w:p w14:paraId="36D32351" w14:textId="77777777" w:rsidR="00DD38B9" w:rsidRDefault="00DD38B9"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DD38B9">
        <w:rPr>
          <w:rFonts w:ascii="Times New Roman" w:eastAsia="Times New Roman" w:hAnsi="Times New Roman" w:cs="Times New Roman"/>
          <w:color w:val="000000" w:themeColor="text1"/>
          <w:kern w:val="0"/>
          <w:sz w:val="24"/>
          <w:szCs w:val="24"/>
          <w:lang w:eastAsia="en-IN" w:bidi="ml-IN"/>
          <w14:ligatures w14:val="none"/>
        </w:rPr>
        <w:t>Kelly, J.F., 2000. Stable isotopes of carbon and nitrogen in the study of avian and mammalian trophic ecology. </w:t>
      </w:r>
      <w:r w:rsidRPr="00DD38B9">
        <w:rPr>
          <w:rFonts w:ascii="Times New Roman" w:eastAsia="Times New Roman" w:hAnsi="Times New Roman" w:cs="Times New Roman"/>
          <w:i/>
          <w:iCs/>
          <w:color w:val="000000" w:themeColor="text1"/>
          <w:kern w:val="0"/>
          <w:sz w:val="24"/>
          <w:szCs w:val="24"/>
          <w:lang w:eastAsia="en-IN" w:bidi="ml-IN"/>
          <w14:ligatures w14:val="none"/>
        </w:rPr>
        <w:t>Canadian journal of zoology</w:t>
      </w:r>
      <w:r w:rsidRPr="00DD38B9">
        <w:rPr>
          <w:rFonts w:ascii="Times New Roman" w:eastAsia="Times New Roman" w:hAnsi="Times New Roman" w:cs="Times New Roman"/>
          <w:color w:val="000000" w:themeColor="text1"/>
          <w:kern w:val="0"/>
          <w:sz w:val="24"/>
          <w:szCs w:val="24"/>
          <w:lang w:eastAsia="en-IN" w:bidi="ml-IN"/>
          <w14:ligatures w14:val="none"/>
        </w:rPr>
        <w:t>, </w:t>
      </w:r>
      <w:r w:rsidRPr="00DD38B9">
        <w:rPr>
          <w:rFonts w:ascii="Times New Roman" w:eastAsia="Times New Roman" w:hAnsi="Times New Roman" w:cs="Times New Roman"/>
          <w:i/>
          <w:iCs/>
          <w:color w:val="000000" w:themeColor="text1"/>
          <w:kern w:val="0"/>
          <w:sz w:val="24"/>
          <w:szCs w:val="24"/>
          <w:lang w:eastAsia="en-IN" w:bidi="ml-IN"/>
          <w14:ligatures w14:val="none"/>
        </w:rPr>
        <w:t>78</w:t>
      </w:r>
      <w:r w:rsidRPr="00DD38B9">
        <w:rPr>
          <w:rFonts w:ascii="Times New Roman" w:eastAsia="Times New Roman" w:hAnsi="Times New Roman" w:cs="Times New Roman"/>
          <w:color w:val="000000" w:themeColor="text1"/>
          <w:kern w:val="0"/>
          <w:sz w:val="24"/>
          <w:szCs w:val="24"/>
          <w:lang w:eastAsia="en-IN" w:bidi="ml-IN"/>
          <w14:ligatures w14:val="none"/>
        </w:rPr>
        <w:t>(1), pp.1-27.</w:t>
      </w:r>
    </w:p>
    <w:p w14:paraId="32F6979D" w14:textId="77777777" w:rsidR="00DD38B9" w:rsidRDefault="00DD38B9"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DD38B9">
        <w:rPr>
          <w:rFonts w:ascii="Times New Roman" w:eastAsia="Times New Roman" w:hAnsi="Times New Roman" w:cs="Times New Roman"/>
          <w:color w:val="000000" w:themeColor="text1"/>
          <w:kern w:val="0"/>
          <w:sz w:val="24"/>
          <w:szCs w:val="24"/>
          <w:lang w:eastAsia="en-IN" w:bidi="ml-IN"/>
          <w14:ligatures w14:val="none"/>
        </w:rPr>
        <w:t xml:space="preserve">Kelly, S., Heaton, K. and </w:t>
      </w:r>
      <w:proofErr w:type="spellStart"/>
      <w:r w:rsidRPr="00DD38B9">
        <w:rPr>
          <w:rFonts w:ascii="Times New Roman" w:eastAsia="Times New Roman" w:hAnsi="Times New Roman" w:cs="Times New Roman"/>
          <w:color w:val="000000" w:themeColor="text1"/>
          <w:kern w:val="0"/>
          <w:sz w:val="24"/>
          <w:szCs w:val="24"/>
          <w:lang w:eastAsia="en-IN" w:bidi="ml-IN"/>
          <w14:ligatures w14:val="none"/>
        </w:rPr>
        <w:t>Hoogewerff</w:t>
      </w:r>
      <w:proofErr w:type="spellEnd"/>
      <w:r w:rsidRPr="00DD38B9">
        <w:rPr>
          <w:rFonts w:ascii="Times New Roman" w:eastAsia="Times New Roman" w:hAnsi="Times New Roman" w:cs="Times New Roman"/>
          <w:color w:val="000000" w:themeColor="text1"/>
          <w:kern w:val="0"/>
          <w:sz w:val="24"/>
          <w:szCs w:val="24"/>
          <w:lang w:eastAsia="en-IN" w:bidi="ml-IN"/>
          <w14:ligatures w14:val="none"/>
        </w:rPr>
        <w:t>, J., 2005. Tracing the geographical origin of food: The application of multi-element and multi-isotope analysis. </w:t>
      </w:r>
      <w:r w:rsidRPr="00DD38B9">
        <w:rPr>
          <w:rFonts w:ascii="Times New Roman" w:eastAsia="Times New Roman" w:hAnsi="Times New Roman" w:cs="Times New Roman"/>
          <w:i/>
          <w:iCs/>
          <w:color w:val="000000" w:themeColor="text1"/>
          <w:kern w:val="0"/>
          <w:sz w:val="24"/>
          <w:szCs w:val="24"/>
          <w:lang w:eastAsia="en-IN" w:bidi="ml-IN"/>
          <w14:ligatures w14:val="none"/>
        </w:rPr>
        <w:t>Trends in Food Science &amp; Technology</w:t>
      </w:r>
      <w:r w:rsidRPr="00DD38B9">
        <w:rPr>
          <w:rFonts w:ascii="Times New Roman" w:eastAsia="Times New Roman" w:hAnsi="Times New Roman" w:cs="Times New Roman"/>
          <w:color w:val="000000" w:themeColor="text1"/>
          <w:kern w:val="0"/>
          <w:sz w:val="24"/>
          <w:szCs w:val="24"/>
          <w:lang w:eastAsia="en-IN" w:bidi="ml-IN"/>
          <w14:ligatures w14:val="none"/>
        </w:rPr>
        <w:t>, </w:t>
      </w:r>
      <w:r w:rsidRPr="00DD38B9">
        <w:rPr>
          <w:rFonts w:ascii="Times New Roman" w:eastAsia="Times New Roman" w:hAnsi="Times New Roman" w:cs="Times New Roman"/>
          <w:i/>
          <w:iCs/>
          <w:color w:val="000000" w:themeColor="text1"/>
          <w:kern w:val="0"/>
          <w:sz w:val="24"/>
          <w:szCs w:val="24"/>
          <w:lang w:eastAsia="en-IN" w:bidi="ml-IN"/>
          <w14:ligatures w14:val="none"/>
        </w:rPr>
        <w:t>16</w:t>
      </w:r>
      <w:r w:rsidRPr="00DD38B9">
        <w:rPr>
          <w:rFonts w:ascii="Times New Roman" w:eastAsia="Times New Roman" w:hAnsi="Times New Roman" w:cs="Times New Roman"/>
          <w:color w:val="000000" w:themeColor="text1"/>
          <w:kern w:val="0"/>
          <w:sz w:val="24"/>
          <w:szCs w:val="24"/>
          <w:lang w:eastAsia="en-IN" w:bidi="ml-IN"/>
          <w14:ligatures w14:val="none"/>
        </w:rPr>
        <w:t>(12), pp.555-567.</w:t>
      </w:r>
    </w:p>
    <w:p w14:paraId="5DA3279B" w14:textId="77777777" w:rsidR="00DD38B9" w:rsidRDefault="00DD38B9" w:rsidP="00940828">
      <w:pPr>
        <w:spacing w:before="100" w:beforeAutospacing="1" w:after="100" w:afterAutospacing="1" w:line="240" w:lineRule="auto"/>
        <w:jc w:val="both"/>
        <w:rPr>
          <w:rFonts w:ascii="Times New Roman" w:hAnsi="Times New Roman" w:cs="Times New Roman"/>
          <w:color w:val="000000" w:themeColor="text1"/>
          <w:sz w:val="24"/>
          <w:szCs w:val="24"/>
        </w:rPr>
      </w:pPr>
      <w:r w:rsidRPr="00DD38B9">
        <w:rPr>
          <w:rFonts w:ascii="Times New Roman" w:hAnsi="Times New Roman" w:cs="Times New Roman"/>
          <w:color w:val="000000" w:themeColor="text1"/>
          <w:sz w:val="24"/>
          <w:szCs w:val="24"/>
        </w:rPr>
        <w:t xml:space="preserve">Kennedy, B.P., Blum, J.D., </w:t>
      </w:r>
      <w:proofErr w:type="spellStart"/>
      <w:r w:rsidRPr="00DD38B9">
        <w:rPr>
          <w:rFonts w:ascii="Times New Roman" w:hAnsi="Times New Roman" w:cs="Times New Roman"/>
          <w:color w:val="000000" w:themeColor="text1"/>
          <w:sz w:val="24"/>
          <w:szCs w:val="24"/>
        </w:rPr>
        <w:t>Folt</w:t>
      </w:r>
      <w:proofErr w:type="spellEnd"/>
      <w:r w:rsidRPr="00DD38B9">
        <w:rPr>
          <w:rFonts w:ascii="Times New Roman" w:hAnsi="Times New Roman" w:cs="Times New Roman"/>
          <w:color w:val="000000" w:themeColor="text1"/>
          <w:sz w:val="24"/>
          <w:szCs w:val="24"/>
        </w:rPr>
        <w:t xml:space="preserve">, C.L. and </w:t>
      </w:r>
      <w:proofErr w:type="spellStart"/>
      <w:r w:rsidRPr="00DD38B9">
        <w:rPr>
          <w:rFonts w:ascii="Times New Roman" w:hAnsi="Times New Roman" w:cs="Times New Roman"/>
          <w:color w:val="000000" w:themeColor="text1"/>
          <w:sz w:val="24"/>
          <w:szCs w:val="24"/>
        </w:rPr>
        <w:t>Nislow</w:t>
      </w:r>
      <w:proofErr w:type="spellEnd"/>
      <w:r w:rsidRPr="00DD38B9">
        <w:rPr>
          <w:rFonts w:ascii="Times New Roman" w:hAnsi="Times New Roman" w:cs="Times New Roman"/>
          <w:color w:val="000000" w:themeColor="text1"/>
          <w:sz w:val="24"/>
          <w:szCs w:val="24"/>
        </w:rPr>
        <w:t>, K.H., 2000. Using natural strontium isotopic signatures as fish markers: methodology and application. </w:t>
      </w:r>
      <w:r w:rsidRPr="00DD38B9">
        <w:rPr>
          <w:rFonts w:ascii="Times New Roman" w:hAnsi="Times New Roman" w:cs="Times New Roman"/>
          <w:i/>
          <w:iCs/>
          <w:color w:val="000000" w:themeColor="text1"/>
          <w:sz w:val="24"/>
          <w:szCs w:val="24"/>
        </w:rPr>
        <w:t>Canadian Journal of Fisheries and Aquatic Sciences</w:t>
      </w:r>
      <w:r w:rsidRPr="00DD38B9">
        <w:rPr>
          <w:rFonts w:ascii="Times New Roman" w:hAnsi="Times New Roman" w:cs="Times New Roman"/>
          <w:color w:val="000000" w:themeColor="text1"/>
          <w:sz w:val="24"/>
          <w:szCs w:val="24"/>
        </w:rPr>
        <w:t>, </w:t>
      </w:r>
      <w:r w:rsidRPr="00DD38B9">
        <w:rPr>
          <w:rFonts w:ascii="Times New Roman" w:hAnsi="Times New Roman" w:cs="Times New Roman"/>
          <w:i/>
          <w:iCs/>
          <w:color w:val="000000" w:themeColor="text1"/>
          <w:sz w:val="24"/>
          <w:szCs w:val="24"/>
        </w:rPr>
        <w:t>57</w:t>
      </w:r>
      <w:r w:rsidRPr="00DD38B9">
        <w:rPr>
          <w:rFonts w:ascii="Times New Roman" w:hAnsi="Times New Roman" w:cs="Times New Roman"/>
          <w:color w:val="000000" w:themeColor="text1"/>
          <w:sz w:val="24"/>
          <w:szCs w:val="24"/>
        </w:rPr>
        <w:t>(11), pp.2280-2292.</w:t>
      </w:r>
    </w:p>
    <w:p w14:paraId="62CF87A1" w14:textId="77777777" w:rsidR="00DD38B9" w:rsidRDefault="00DD38B9"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DD38B9">
        <w:rPr>
          <w:rFonts w:ascii="Times New Roman" w:eastAsia="Times New Roman" w:hAnsi="Times New Roman" w:cs="Times New Roman"/>
          <w:color w:val="000000" w:themeColor="text1"/>
          <w:kern w:val="0"/>
          <w:sz w:val="24"/>
          <w:szCs w:val="24"/>
          <w:lang w:eastAsia="en-IN" w:bidi="ml-IN"/>
          <w14:ligatures w14:val="none"/>
        </w:rPr>
        <w:lastRenderedPageBreak/>
        <w:t xml:space="preserve">Kennedy, B.P., </w:t>
      </w:r>
      <w:proofErr w:type="spellStart"/>
      <w:r w:rsidRPr="00DD38B9">
        <w:rPr>
          <w:rFonts w:ascii="Times New Roman" w:eastAsia="Times New Roman" w:hAnsi="Times New Roman" w:cs="Times New Roman"/>
          <w:color w:val="000000" w:themeColor="text1"/>
          <w:kern w:val="0"/>
          <w:sz w:val="24"/>
          <w:szCs w:val="24"/>
          <w:lang w:eastAsia="en-IN" w:bidi="ml-IN"/>
          <w14:ligatures w14:val="none"/>
        </w:rPr>
        <w:t>Folt</w:t>
      </w:r>
      <w:proofErr w:type="spellEnd"/>
      <w:r w:rsidRPr="00DD38B9">
        <w:rPr>
          <w:rFonts w:ascii="Times New Roman" w:eastAsia="Times New Roman" w:hAnsi="Times New Roman" w:cs="Times New Roman"/>
          <w:color w:val="000000" w:themeColor="text1"/>
          <w:kern w:val="0"/>
          <w:sz w:val="24"/>
          <w:szCs w:val="24"/>
          <w:lang w:eastAsia="en-IN" w:bidi="ml-IN"/>
          <w14:ligatures w14:val="none"/>
        </w:rPr>
        <w:t>, C.L., Blum, J.D. and Chamberlain, C.P., 1997. Natural isotope markers in salmon. </w:t>
      </w:r>
      <w:r w:rsidRPr="00DD38B9">
        <w:rPr>
          <w:rFonts w:ascii="Times New Roman" w:eastAsia="Times New Roman" w:hAnsi="Times New Roman" w:cs="Times New Roman"/>
          <w:i/>
          <w:iCs/>
          <w:color w:val="000000" w:themeColor="text1"/>
          <w:kern w:val="0"/>
          <w:sz w:val="24"/>
          <w:szCs w:val="24"/>
          <w:lang w:eastAsia="en-IN" w:bidi="ml-IN"/>
          <w14:ligatures w14:val="none"/>
        </w:rPr>
        <w:t>Nature</w:t>
      </w:r>
      <w:r w:rsidRPr="00DD38B9">
        <w:rPr>
          <w:rFonts w:ascii="Times New Roman" w:eastAsia="Times New Roman" w:hAnsi="Times New Roman" w:cs="Times New Roman"/>
          <w:color w:val="000000" w:themeColor="text1"/>
          <w:kern w:val="0"/>
          <w:sz w:val="24"/>
          <w:szCs w:val="24"/>
          <w:lang w:eastAsia="en-IN" w:bidi="ml-IN"/>
          <w14:ligatures w14:val="none"/>
        </w:rPr>
        <w:t>, </w:t>
      </w:r>
      <w:r w:rsidRPr="00DD38B9">
        <w:rPr>
          <w:rFonts w:ascii="Times New Roman" w:eastAsia="Times New Roman" w:hAnsi="Times New Roman" w:cs="Times New Roman"/>
          <w:i/>
          <w:iCs/>
          <w:color w:val="000000" w:themeColor="text1"/>
          <w:kern w:val="0"/>
          <w:sz w:val="24"/>
          <w:szCs w:val="24"/>
          <w:lang w:eastAsia="en-IN" w:bidi="ml-IN"/>
          <w14:ligatures w14:val="none"/>
        </w:rPr>
        <w:t>387</w:t>
      </w:r>
      <w:r w:rsidRPr="00DD38B9">
        <w:rPr>
          <w:rFonts w:ascii="Times New Roman" w:eastAsia="Times New Roman" w:hAnsi="Times New Roman" w:cs="Times New Roman"/>
          <w:color w:val="000000" w:themeColor="text1"/>
          <w:kern w:val="0"/>
          <w:sz w:val="24"/>
          <w:szCs w:val="24"/>
          <w:lang w:eastAsia="en-IN" w:bidi="ml-IN"/>
          <w14:ligatures w14:val="none"/>
        </w:rPr>
        <w:t>(6635), pp.766-767.</w:t>
      </w:r>
    </w:p>
    <w:p w14:paraId="4BCEF444" w14:textId="77777777" w:rsidR="009A01AF" w:rsidRDefault="009A01AF"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9A01AF">
        <w:rPr>
          <w:rFonts w:ascii="Times New Roman" w:eastAsia="Times New Roman" w:hAnsi="Times New Roman" w:cs="Times New Roman"/>
          <w:color w:val="000000" w:themeColor="text1"/>
          <w:kern w:val="0"/>
          <w:sz w:val="24"/>
          <w:szCs w:val="24"/>
          <w:lang w:eastAsia="en-IN" w:bidi="ml-IN"/>
          <w14:ligatures w14:val="none"/>
        </w:rPr>
        <w:t xml:space="preserve">Kidd, K.A., Schindler, D.W., Muir, D.C., Lockhart, W.L. and </w:t>
      </w:r>
      <w:proofErr w:type="spellStart"/>
      <w:r w:rsidRPr="009A01AF">
        <w:rPr>
          <w:rFonts w:ascii="Times New Roman" w:eastAsia="Times New Roman" w:hAnsi="Times New Roman" w:cs="Times New Roman"/>
          <w:color w:val="000000" w:themeColor="text1"/>
          <w:kern w:val="0"/>
          <w:sz w:val="24"/>
          <w:szCs w:val="24"/>
          <w:lang w:eastAsia="en-IN" w:bidi="ml-IN"/>
          <w14:ligatures w14:val="none"/>
        </w:rPr>
        <w:t>Hesslein</w:t>
      </w:r>
      <w:proofErr w:type="spellEnd"/>
      <w:r w:rsidRPr="009A01AF">
        <w:rPr>
          <w:rFonts w:ascii="Times New Roman" w:eastAsia="Times New Roman" w:hAnsi="Times New Roman" w:cs="Times New Roman"/>
          <w:color w:val="000000" w:themeColor="text1"/>
          <w:kern w:val="0"/>
          <w:sz w:val="24"/>
          <w:szCs w:val="24"/>
          <w:lang w:eastAsia="en-IN" w:bidi="ml-IN"/>
          <w14:ligatures w14:val="none"/>
        </w:rPr>
        <w:t xml:space="preserve">, R.H., 1995. High concentrations of </w:t>
      </w:r>
      <w:proofErr w:type="spellStart"/>
      <w:r w:rsidRPr="009A01AF">
        <w:rPr>
          <w:rFonts w:ascii="Times New Roman" w:eastAsia="Times New Roman" w:hAnsi="Times New Roman" w:cs="Times New Roman"/>
          <w:color w:val="000000" w:themeColor="text1"/>
          <w:kern w:val="0"/>
          <w:sz w:val="24"/>
          <w:szCs w:val="24"/>
          <w:lang w:eastAsia="en-IN" w:bidi="ml-IN"/>
          <w14:ligatures w14:val="none"/>
        </w:rPr>
        <w:t>toxaphene</w:t>
      </w:r>
      <w:proofErr w:type="spellEnd"/>
      <w:r w:rsidRPr="009A01AF">
        <w:rPr>
          <w:rFonts w:ascii="Times New Roman" w:eastAsia="Times New Roman" w:hAnsi="Times New Roman" w:cs="Times New Roman"/>
          <w:color w:val="000000" w:themeColor="text1"/>
          <w:kern w:val="0"/>
          <w:sz w:val="24"/>
          <w:szCs w:val="24"/>
          <w:lang w:eastAsia="en-IN" w:bidi="ml-IN"/>
          <w14:ligatures w14:val="none"/>
        </w:rPr>
        <w:t xml:space="preserve"> in fishes from a subarctic lake. </w:t>
      </w:r>
      <w:r w:rsidRPr="009A01AF">
        <w:rPr>
          <w:rFonts w:ascii="Times New Roman" w:eastAsia="Times New Roman" w:hAnsi="Times New Roman" w:cs="Times New Roman"/>
          <w:i/>
          <w:iCs/>
          <w:color w:val="000000" w:themeColor="text1"/>
          <w:kern w:val="0"/>
          <w:sz w:val="24"/>
          <w:szCs w:val="24"/>
          <w:lang w:eastAsia="en-IN" w:bidi="ml-IN"/>
          <w14:ligatures w14:val="none"/>
        </w:rPr>
        <w:t>Science</w:t>
      </w:r>
      <w:r w:rsidRPr="009A01AF">
        <w:rPr>
          <w:rFonts w:ascii="Times New Roman" w:eastAsia="Times New Roman" w:hAnsi="Times New Roman" w:cs="Times New Roman"/>
          <w:color w:val="000000" w:themeColor="text1"/>
          <w:kern w:val="0"/>
          <w:sz w:val="24"/>
          <w:szCs w:val="24"/>
          <w:lang w:eastAsia="en-IN" w:bidi="ml-IN"/>
          <w14:ligatures w14:val="none"/>
        </w:rPr>
        <w:t>, </w:t>
      </w:r>
      <w:r w:rsidRPr="009A01AF">
        <w:rPr>
          <w:rFonts w:ascii="Times New Roman" w:eastAsia="Times New Roman" w:hAnsi="Times New Roman" w:cs="Times New Roman"/>
          <w:i/>
          <w:iCs/>
          <w:color w:val="000000" w:themeColor="text1"/>
          <w:kern w:val="0"/>
          <w:sz w:val="24"/>
          <w:szCs w:val="24"/>
          <w:lang w:eastAsia="en-IN" w:bidi="ml-IN"/>
          <w14:ligatures w14:val="none"/>
        </w:rPr>
        <w:t>269</w:t>
      </w:r>
      <w:r w:rsidRPr="009A01AF">
        <w:rPr>
          <w:rFonts w:ascii="Times New Roman" w:eastAsia="Times New Roman" w:hAnsi="Times New Roman" w:cs="Times New Roman"/>
          <w:color w:val="000000" w:themeColor="text1"/>
          <w:kern w:val="0"/>
          <w:sz w:val="24"/>
          <w:szCs w:val="24"/>
          <w:lang w:eastAsia="en-IN" w:bidi="ml-IN"/>
          <w14:ligatures w14:val="none"/>
        </w:rPr>
        <w:t>(5221), pp.240-242.</w:t>
      </w:r>
    </w:p>
    <w:p w14:paraId="7877E679" w14:textId="77777777" w:rsidR="009A01AF" w:rsidRDefault="009A01AF"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9A01AF">
        <w:rPr>
          <w:rFonts w:ascii="Times New Roman" w:eastAsia="Times New Roman" w:hAnsi="Times New Roman" w:cs="Times New Roman"/>
          <w:color w:val="000000" w:themeColor="text1"/>
          <w:kern w:val="0"/>
          <w:sz w:val="24"/>
          <w:szCs w:val="24"/>
          <w:lang w:eastAsia="en-IN" w:bidi="ml-IN"/>
          <w14:ligatures w14:val="none"/>
        </w:rPr>
        <w:t xml:space="preserve">Kumar, O., Ramanathan, A.L., Bakke, J., </w:t>
      </w:r>
      <w:proofErr w:type="spellStart"/>
      <w:r w:rsidRPr="009A01AF">
        <w:rPr>
          <w:rFonts w:ascii="Times New Roman" w:eastAsia="Times New Roman" w:hAnsi="Times New Roman" w:cs="Times New Roman"/>
          <w:color w:val="000000" w:themeColor="text1"/>
          <w:kern w:val="0"/>
          <w:sz w:val="24"/>
          <w:szCs w:val="24"/>
          <w:lang w:eastAsia="en-IN" w:bidi="ml-IN"/>
          <w14:ligatures w14:val="none"/>
        </w:rPr>
        <w:t>Kotlia</w:t>
      </w:r>
      <w:proofErr w:type="spellEnd"/>
      <w:r w:rsidRPr="009A01AF">
        <w:rPr>
          <w:rFonts w:ascii="Times New Roman" w:eastAsia="Times New Roman" w:hAnsi="Times New Roman" w:cs="Times New Roman"/>
          <w:color w:val="000000" w:themeColor="text1"/>
          <w:kern w:val="0"/>
          <w:sz w:val="24"/>
          <w:szCs w:val="24"/>
          <w:lang w:eastAsia="en-IN" w:bidi="ml-IN"/>
          <w14:ligatures w14:val="none"/>
        </w:rPr>
        <w:t>, B.S. and Shrivastava, J.P., 2020. Disentangling source of moisture driving glacier dynamics and identification of 8.2 ka event: evidence from pore water isotopes, Western Himalaya. </w:t>
      </w:r>
      <w:r w:rsidRPr="009A01AF">
        <w:rPr>
          <w:rFonts w:ascii="Times New Roman" w:eastAsia="Times New Roman" w:hAnsi="Times New Roman" w:cs="Times New Roman"/>
          <w:i/>
          <w:iCs/>
          <w:color w:val="000000" w:themeColor="text1"/>
          <w:kern w:val="0"/>
          <w:sz w:val="24"/>
          <w:szCs w:val="24"/>
          <w:lang w:eastAsia="en-IN" w:bidi="ml-IN"/>
          <w14:ligatures w14:val="none"/>
        </w:rPr>
        <w:t>Scientific reports</w:t>
      </w:r>
      <w:r w:rsidRPr="009A01AF">
        <w:rPr>
          <w:rFonts w:ascii="Times New Roman" w:eastAsia="Times New Roman" w:hAnsi="Times New Roman" w:cs="Times New Roman"/>
          <w:color w:val="000000" w:themeColor="text1"/>
          <w:kern w:val="0"/>
          <w:sz w:val="24"/>
          <w:szCs w:val="24"/>
          <w:lang w:eastAsia="en-IN" w:bidi="ml-IN"/>
          <w14:ligatures w14:val="none"/>
        </w:rPr>
        <w:t>, </w:t>
      </w:r>
      <w:r w:rsidRPr="009A01AF">
        <w:rPr>
          <w:rFonts w:ascii="Times New Roman" w:eastAsia="Times New Roman" w:hAnsi="Times New Roman" w:cs="Times New Roman"/>
          <w:i/>
          <w:iCs/>
          <w:color w:val="000000" w:themeColor="text1"/>
          <w:kern w:val="0"/>
          <w:sz w:val="24"/>
          <w:szCs w:val="24"/>
          <w:lang w:eastAsia="en-IN" w:bidi="ml-IN"/>
          <w14:ligatures w14:val="none"/>
        </w:rPr>
        <w:t>10</w:t>
      </w:r>
      <w:r w:rsidRPr="009A01AF">
        <w:rPr>
          <w:rFonts w:ascii="Times New Roman" w:eastAsia="Times New Roman" w:hAnsi="Times New Roman" w:cs="Times New Roman"/>
          <w:color w:val="000000" w:themeColor="text1"/>
          <w:kern w:val="0"/>
          <w:sz w:val="24"/>
          <w:szCs w:val="24"/>
          <w:lang w:eastAsia="en-IN" w:bidi="ml-IN"/>
          <w14:ligatures w14:val="none"/>
        </w:rPr>
        <w:t>(1), p.15324.</w:t>
      </w:r>
    </w:p>
    <w:p w14:paraId="639462F7" w14:textId="77777777" w:rsidR="009A01AF" w:rsidRDefault="009A01AF" w:rsidP="0057591C">
      <w:pPr>
        <w:pStyle w:val="NormalWeb"/>
        <w:jc w:val="both"/>
        <w:rPr>
          <w:color w:val="000000" w:themeColor="text1"/>
        </w:rPr>
      </w:pPr>
      <w:r w:rsidRPr="009A01AF">
        <w:rPr>
          <w:color w:val="000000" w:themeColor="text1"/>
        </w:rPr>
        <w:t>Kuznetsova, O.V., 2024. Current trends and challenges in the analysis of marine environmental contaminants by isotope ratio mass spectrometry. </w:t>
      </w:r>
      <w:r w:rsidRPr="009A01AF">
        <w:rPr>
          <w:i/>
          <w:iCs/>
          <w:color w:val="000000" w:themeColor="text1"/>
        </w:rPr>
        <w:t>Analytical and bioanalytical chemistry</w:t>
      </w:r>
      <w:r w:rsidRPr="009A01AF">
        <w:rPr>
          <w:color w:val="000000" w:themeColor="text1"/>
        </w:rPr>
        <w:t>, </w:t>
      </w:r>
      <w:r w:rsidRPr="009A01AF">
        <w:rPr>
          <w:i/>
          <w:iCs/>
          <w:color w:val="000000" w:themeColor="text1"/>
        </w:rPr>
        <w:t>416</w:t>
      </w:r>
      <w:r w:rsidRPr="009A01AF">
        <w:rPr>
          <w:color w:val="000000" w:themeColor="text1"/>
        </w:rPr>
        <w:t>(1), pp.71-85.</w:t>
      </w:r>
    </w:p>
    <w:p w14:paraId="7B86D122" w14:textId="77777777" w:rsidR="009A01AF" w:rsidRDefault="009A01AF"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9A01AF">
        <w:rPr>
          <w:rFonts w:ascii="Times New Roman" w:eastAsia="Times New Roman" w:hAnsi="Times New Roman" w:cs="Times New Roman"/>
          <w:color w:val="000000" w:themeColor="text1"/>
          <w:kern w:val="0"/>
          <w:sz w:val="24"/>
          <w:szCs w:val="24"/>
          <w:lang w:eastAsia="en-IN" w:bidi="ml-IN"/>
          <w14:ligatures w14:val="none"/>
        </w:rPr>
        <w:t>Larsen, T., Taylor, D.L., Leigh, M.B. and O'Brien, D.M., 2009. Stable isotope fingerprinting: a novel method for identifying plant, fungal, or bacterial origins of amino acids. </w:t>
      </w:r>
      <w:r w:rsidRPr="009A01AF">
        <w:rPr>
          <w:rFonts w:ascii="Times New Roman" w:eastAsia="Times New Roman" w:hAnsi="Times New Roman" w:cs="Times New Roman"/>
          <w:i/>
          <w:iCs/>
          <w:color w:val="000000" w:themeColor="text1"/>
          <w:kern w:val="0"/>
          <w:sz w:val="24"/>
          <w:szCs w:val="24"/>
          <w:lang w:eastAsia="en-IN" w:bidi="ml-IN"/>
          <w14:ligatures w14:val="none"/>
        </w:rPr>
        <w:t>Ecology</w:t>
      </w:r>
      <w:r w:rsidRPr="009A01AF">
        <w:rPr>
          <w:rFonts w:ascii="Times New Roman" w:eastAsia="Times New Roman" w:hAnsi="Times New Roman" w:cs="Times New Roman"/>
          <w:color w:val="000000" w:themeColor="text1"/>
          <w:kern w:val="0"/>
          <w:sz w:val="24"/>
          <w:szCs w:val="24"/>
          <w:lang w:eastAsia="en-IN" w:bidi="ml-IN"/>
          <w14:ligatures w14:val="none"/>
        </w:rPr>
        <w:t>, </w:t>
      </w:r>
      <w:r w:rsidRPr="009A01AF">
        <w:rPr>
          <w:rFonts w:ascii="Times New Roman" w:eastAsia="Times New Roman" w:hAnsi="Times New Roman" w:cs="Times New Roman"/>
          <w:i/>
          <w:iCs/>
          <w:color w:val="000000" w:themeColor="text1"/>
          <w:kern w:val="0"/>
          <w:sz w:val="24"/>
          <w:szCs w:val="24"/>
          <w:lang w:eastAsia="en-IN" w:bidi="ml-IN"/>
          <w14:ligatures w14:val="none"/>
        </w:rPr>
        <w:t>90</w:t>
      </w:r>
      <w:r w:rsidRPr="009A01AF">
        <w:rPr>
          <w:rFonts w:ascii="Times New Roman" w:eastAsia="Times New Roman" w:hAnsi="Times New Roman" w:cs="Times New Roman"/>
          <w:color w:val="000000" w:themeColor="text1"/>
          <w:kern w:val="0"/>
          <w:sz w:val="24"/>
          <w:szCs w:val="24"/>
          <w:lang w:eastAsia="en-IN" w:bidi="ml-IN"/>
          <w14:ligatures w14:val="none"/>
        </w:rPr>
        <w:t>(12), pp.3526-3535.</w:t>
      </w:r>
    </w:p>
    <w:p w14:paraId="31C98669" w14:textId="77777777" w:rsidR="009A01AF" w:rsidRDefault="009A01AF" w:rsidP="00940828">
      <w:pPr>
        <w:spacing w:before="100" w:beforeAutospacing="1" w:after="100" w:afterAutospacing="1" w:line="240" w:lineRule="auto"/>
        <w:jc w:val="both"/>
        <w:rPr>
          <w:rFonts w:ascii="Times New Roman" w:hAnsi="Times New Roman" w:cs="Times New Roman"/>
          <w:color w:val="000000" w:themeColor="text1"/>
          <w:sz w:val="24"/>
          <w:szCs w:val="24"/>
        </w:rPr>
      </w:pPr>
      <w:r w:rsidRPr="009A01AF">
        <w:rPr>
          <w:rFonts w:ascii="Times New Roman" w:hAnsi="Times New Roman" w:cs="Times New Roman"/>
          <w:color w:val="000000" w:themeColor="text1"/>
          <w:sz w:val="24"/>
          <w:szCs w:val="24"/>
        </w:rPr>
        <w:t>Larsen, T., Ventura, M., Andersen, N., O’Brien, D.M., Piatkowski, U. and McCarthy, M.D., 2013. Tracing carbon sources through aquatic and terrestrial food webs using amino acid stable isotope fingerprinting. </w:t>
      </w:r>
      <w:proofErr w:type="spellStart"/>
      <w:r w:rsidRPr="009A01AF">
        <w:rPr>
          <w:rFonts w:ascii="Times New Roman" w:hAnsi="Times New Roman" w:cs="Times New Roman"/>
          <w:i/>
          <w:iCs/>
          <w:color w:val="000000" w:themeColor="text1"/>
          <w:sz w:val="24"/>
          <w:szCs w:val="24"/>
        </w:rPr>
        <w:t>PloS</w:t>
      </w:r>
      <w:proofErr w:type="spellEnd"/>
      <w:r w:rsidRPr="009A01AF">
        <w:rPr>
          <w:rFonts w:ascii="Times New Roman" w:hAnsi="Times New Roman" w:cs="Times New Roman"/>
          <w:i/>
          <w:iCs/>
          <w:color w:val="000000" w:themeColor="text1"/>
          <w:sz w:val="24"/>
          <w:szCs w:val="24"/>
        </w:rPr>
        <w:t xml:space="preserve"> one</w:t>
      </w:r>
      <w:r w:rsidRPr="009A01AF">
        <w:rPr>
          <w:rFonts w:ascii="Times New Roman" w:hAnsi="Times New Roman" w:cs="Times New Roman"/>
          <w:color w:val="000000" w:themeColor="text1"/>
          <w:sz w:val="24"/>
          <w:szCs w:val="24"/>
        </w:rPr>
        <w:t>, </w:t>
      </w:r>
      <w:r w:rsidRPr="009A01AF">
        <w:rPr>
          <w:rFonts w:ascii="Times New Roman" w:hAnsi="Times New Roman" w:cs="Times New Roman"/>
          <w:i/>
          <w:iCs/>
          <w:color w:val="000000" w:themeColor="text1"/>
          <w:sz w:val="24"/>
          <w:szCs w:val="24"/>
        </w:rPr>
        <w:t>8</w:t>
      </w:r>
      <w:r w:rsidRPr="009A01AF">
        <w:rPr>
          <w:rFonts w:ascii="Times New Roman" w:hAnsi="Times New Roman" w:cs="Times New Roman"/>
          <w:color w:val="000000" w:themeColor="text1"/>
          <w:sz w:val="24"/>
          <w:szCs w:val="24"/>
        </w:rPr>
        <w:t>(9), p.e73441.</w:t>
      </w:r>
    </w:p>
    <w:p w14:paraId="23372646" w14:textId="77777777" w:rsidR="009A01AF" w:rsidRDefault="009A01AF"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9A01AF">
        <w:rPr>
          <w:rFonts w:ascii="Times New Roman" w:eastAsia="Times New Roman" w:hAnsi="Times New Roman" w:cs="Times New Roman"/>
          <w:color w:val="000000" w:themeColor="text1"/>
          <w:kern w:val="0"/>
          <w:sz w:val="24"/>
          <w:szCs w:val="24"/>
          <w:lang w:eastAsia="en-IN" w:bidi="ml-IN"/>
          <w14:ligatures w14:val="none"/>
        </w:rPr>
        <w:t xml:space="preserve">Lavoie, R.A., Jardine, T.D., </w:t>
      </w:r>
      <w:proofErr w:type="spellStart"/>
      <w:r w:rsidRPr="009A01AF">
        <w:rPr>
          <w:rFonts w:ascii="Times New Roman" w:eastAsia="Times New Roman" w:hAnsi="Times New Roman" w:cs="Times New Roman"/>
          <w:color w:val="000000" w:themeColor="text1"/>
          <w:kern w:val="0"/>
          <w:sz w:val="24"/>
          <w:szCs w:val="24"/>
          <w:lang w:eastAsia="en-IN" w:bidi="ml-IN"/>
          <w14:ligatures w14:val="none"/>
        </w:rPr>
        <w:t>Chumchal</w:t>
      </w:r>
      <w:proofErr w:type="spellEnd"/>
      <w:r w:rsidRPr="009A01AF">
        <w:rPr>
          <w:rFonts w:ascii="Times New Roman" w:eastAsia="Times New Roman" w:hAnsi="Times New Roman" w:cs="Times New Roman"/>
          <w:color w:val="000000" w:themeColor="text1"/>
          <w:kern w:val="0"/>
          <w:sz w:val="24"/>
          <w:szCs w:val="24"/>
          <w:lang w:eastAsia="en-IN" w:bidi="ml-IN"/>
          <w14:ligatures w14:val="none"/>
        </w:rPr>
        <w:t>, M.M., Kidd, K.A. and Campbell, L.M., 2013. Biomagnification of mercury in aquatic food webs: a worldwide meta-analysis. </w:t>
      </w:r>
      <w:r w:rsidRPr="009A01AF">
        <w:rPr>
          <w:rFonts w:ascii="Times New Roman" w:eastAsia="Times New Roman" w:hAnsi="Times New Roman" w:cs="Times New Roman"/>
          <w:i/>
          <w:iCs/>
          <w:color w:val="000000" w:themeColor="text1"/>
          <w:kern w:val="0"/>
          <w:sz w:val="24"/>
          <w:szCs w:val="24"/>
          <w:lang w:eastAsia="en-IN" w:bidi="ml-IN"/>
          <w14:ligatures w14:val="none"/>
        </w:rPr>
        <w:t>Environmental science &amp; technology</w:t>
      </w:r>
      <w:r w:rsidRPr="009A01AF">
        <w:rPr>
          <w:rFonts w:ascii="Times New Roman" w:eastAsia="Times New Roman" w:hAnsi="Times New Roman" w:cs="Times New Roman"/>
          <w:color w:val="000000" w:themeColor="text1"/>
          <w:kern w:val="0"/>
          <w:sz w:val="24"/>
          <w:szCs w:val="24"/>
          <w:lang w:eastAsia="en-IN" w:bidi="ml-IN"/>
          <w14:ligatures w14:val="none"/>
        </w:rPr>
        <w:t>, </w:t>
      </w:r>
      <w:r w:rsidRPr="009A01AF">
        <w:rPr>
          <w:rFonts w:ascii="Times New Roman" w:eastAsia="Times New Roman" w:hAnsi="Times New Roman" w:cs="Times New Roman"/>
          <w:i/>
          <w:iCs/>
          <w:color w:val="000000" w:themeColor="text1"/>
          <w:kern w:val="0"/>
          <w:sz w:val="24"/>
          <w:szCs w:val="24"/>
          <w:lang w:eastAsia="en-IN" w:bidi="ml-IN"/>
          <w14:ligatures w14:val="none"/>
        </w:rPr>
        <w:t>47</w:t>
      </w:r>
      <w:r w:rsidRPr="009A01AF">
        <w:rPr>
          <w:rFonts w:ascii="Times New Roman" w:eastAsia="Times New Roman" w:hAnsi="Times New Roman" w:cs="Times New Roman"/>
          <w:color w:val="000000" w:themeColor="text1"/>
          <w:kern w:val="0"/>
          <w:sz w:val="24"/>
          <w:szCs w:val="24"/>
          <w:lang w:eastAsia="en-IN" w:bidi="ml-IN"/>
          <w14:ligatures w14:val="none"/>
        </w:rPr>
        <w:t>(23), pp.13385-13394.</w:t>
      </w:r>
    </w:p>
    <w:p w14:paraId="3F8B51CF" w14:textId="77777777" w:rsidR="009A01AF" w:rsidRDefault="009A01AF" w:rsidP="0057591C">
      <w:pPr>
        <w:pStyle w:val="NormalWeb"/>
        <w:jc w:val="both"/>
        <w:rPr>
          <w:color w:val="000000" w:themeColor="text1"/>
        </w:rPr>
      </w:pPr>
      <w:r w:rsidRPr="009A01AF">
        <w:rPr>
          <w:color w:val="000000" w:themeColor="text1"/>
        </w:rPr>
        <w:t xml:space="preserve">Layman, C.A., Araujo, M.S., </w:t>
      </w:r>
      <w:proofErr w:type="spellStart"/>
      <w:r w:rsidRPr="009A01AF">
        <w:rPr>
          <w:color w:val="000000" w:themeColor="text1"/>
        </w:rPr>
        <w:t>Boucek</w:t>
      </w:r>
      <w:proofErr w:type="spellEnd"/>
      <w:r w:rsidRPr="009A01AF">
        <w:rPr>
          <w:color w:val="000000" w:themeColor="text1"/>
        </w:rPr>
        <w:t xml:space="preserve">, R., </w:t>
      </w:r>
      <w:proofErr w:type="spellStart"/>
      <w:r w:rsidRPr="009A01AF">
        <w:rPr>
          <w:color w:val="000000" w:themeColor="text1"/>
        </w:rPr>
        <w:t>Hammerschlag</w:t>
      </w:r>
      <w:proofErr w:type="spellEnd"/>
      <w:r w:rsidRPr="009A01AF">
        <w:rPr>
          <w:color w:val="000000" w:themeColor="text1"/>
        </w:rPr>
        <w:t xml:space="preserve">‐Peyer, C.M., Harrison, E., Jud, Z.R., Matich, P., Rosenblatt, A.E., </w:t>
      </w:r>
      <w:proofErr w:type="spellStart"/>
      <w:r w:rsidRPr="009A01AF">
        <w:rPr>
          <w:color w:val="000000" w:themeColor="text1"/>
        </w:rPr>
        <w:t>Vaudo</w:t>
      </w:r>
      <w:proofErr w:type="spellEnd"/>
      <w:r w:rsidRPr="009A01AF">
        <w:rPr>
          <w:color w:val="000000" w:themeColor="text1"/>
        </w:rPr>
        <w:t>, J.J., Yeager, L.A. and Post, D.M., 2012. Applying stable isotopes to examine food‐web structure: an overview of analytical tools. </w:t>
      </w:r>
      <w:r w:rsidRPr="009A01AF">
        <w:rPr>
          <w:i/>
          <w:iCs/>
          <w:color w:val="000000" w:themeColor="text1"/>
        </w:rPr>
        <w:t>Biological reviews</w:t>
      </w:r>
      <w:r w:rsidRPr="009A01AF">
        <w:rPr>
          <w:color w:val="000000" w:themeColor="text1"/>
        </w:rPr>
        <w:t>, </w:t>
      </w:r>
      <w:r w:rsidRPr="009A01AF">
        <w:rPr>
          <w:i/>
          <w:iCs/>
          <w:color w:val="000000" w:themeColor="text1"/>
        </w:rPr>
        <w:t>87</w:t>
      </w:r>
      <w:r w:rsidRPr="009A01AF">
        <w:rPr>
          <w:color w:val="000000" w:themeColor="text1"/>
        </w:rPr>
        <w:t>(3), pp.545-562.</w:t>
      </w:r>
    </w:p>
    <w:p w14:paraId="7AEC7F37" w14:textId="77777777" w:rsidR="009A01AF" w:rsidRDefault="009A01AF" w:rsidP="0057591C">
      <w:pPr>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9A01AF">
        <w:rPr>
          <w:rFonts w:ascii="Times New Roman" w:eastAsia="Times New Roman" w:hAnsi="Times New Roman" w:cs="Times New Roman"/>
          <w:color w:val="000000" w:themeColor="text1"/>
          <w:kern w:val="0"/>
          <w:sz w:val="24"/>
          <w:szCs w:val="24"/>
          <w:lang w:eastAsia="en-IN" w:bidi="ml-IN"/>
          <w14:ligatures w14:val="none"/>
        </w:rPr>
        <w:t>Liordos</w:t>
      </w:r>
      <w:proofErr w:type="spellEnd"/>
      <w:r w:rsidRPr="009A01AF">
        <w:rPr>
          <w:rFonts w:ascii="Times New Roman" w:eastAsia="Times New Roman" w:hAnsi="Times New Roman" w:cs="Times New Roman"/>
          <w:color w:val="000000" w:themeColor="text1"/>
          <w:kern w:val="0"/>
          <w:sz w:val="24"/>
          <w:szCs w:val="24"/>
          <w:lang w:eastAsia="en-IN" w:bidi="ml-IN"/>
          <w14:ligatures w14:val="none"/>
        </w:rPr>
        <w:t>, V., 2024. Conservation, sustainability, conflict and coexistence: Key themes in wildlife management. </w:t>
      </w:r>
      <w:r w:rsidRPr="009A01AF">
        <w:rPr>
          <w:rFonts w:ascii="Times New Roman" w:eastAsia="Times New Roman" w:hAnsi="Times New Roman" w:cs="Times New Roman"/>
          <w:i/>
          <w:iCs/>
          <w:color w:val="000000" w:themeColor="text1"/>
          <w:kern w:val="0"/>
          <w:sz w:val="24"/>
          <w:szCs w:val="24"/>
          <w:lang w:eastAsia="en-IN" w:bidi="ml-IN"/>
          <w14:ligatures w14:val="none"/>
        </w:rPr>
        <w:t>Sustainability</w:t>
      </w:r>
      <w:r w:rsidRPr="009A01AF">
        <w:rPr>
          <w:rFonts w:ascii="Times New Roman" w:eastAsia="Times New Roman" w:hAnsi="Times New Roman" w:cs="Times New Roman"/>
          <w:color w:val="000000" w:themeColor="text1"/>
          <w:kern w:val="0"/>
          <w:sz w:val="24"/>
          <w:szCs w:val="24"/>
          <w:lang w:eastAsia="en-IN" w:bidi="ml-IN"/>
          <w14:ligatures w14:val="none"/>
        </w:rPr>
        <w:t>, </w:t>
      </w:r>
      <w:r w:rsidRPr="009A01AF">
        <w:rPr>
          <w:rFonts w:ascii="Times New Roman" w:eastAsia="Times New Roman" w:hAnsi="Times New Roman" w:cs="Times New Roman"/>
          <w:i/>
          <w:iCs/>
          <w:color w:val="000000" w:themeColor="text1"/>
          <w:kern w:val="0"/>
          <w:sz w:val="24"/>
          <w:szCs w:val="24"/>
          <w:lang w:eastAsia="en-IN" w:bidi="ml-IN"/>
          <w14:ligatures w14:val="none"/>
        </w:rPr>
        <w:t>16</w:t>
      </w:r>
      <w:r w:rsidRPr="009A01AF">
        <w:rPr>
          <w:rFonts w:ascii="Times New Roman" w:eastAsia="Times New Roman" w:hAnsi="Times New Roman" w:cs="Times New Roman"/>
          <w:color w:val="000000" w:themeColor="text1"/>
          <w:kern w:val="0"/>
          <w:sz w:val="24"/>
          <w:szCs w:val="24"/>
          <w:lang w:eastAsia="en-IN" w:bidi="ml-IN"/>
          <w14:ligatures w14:val="none"/>
        </w:rPr>
        <w:t>(8), p.3271.</w:t>
      </w:r>
    </w:p>
    <w:p w14:paraId="6D34ACB5" w14:textId="77777777" w:rsidR="009A01AF" w:rsidRDefault="009A01AF" w:rsidP="0057591C">
      <w:pPr>
        <w:jc w:val="both"/>
        <w:rPr>
          <w:rFonts w:ascii="Times New Roman" w:hAnsi="Times New Roman" w:cs="Times New Roman"/>
          <w:color w:val="000000" w:themeColor="text1"/>
          <w:sz w:val="24"/>
          <w:szCs w:val="24"/>
        </w:rPr>
      </w:pPr>
      <w:proofErr w:type="spellStart"/>
      <w:r w:rsidRPr="009A01AF">
        <w:rPr>
          <w:rFonts w:ascii="Times New Roman" w:hAnsi="Times New Roman" w:cs="Times New Roman"/>
          <w:color w:val="000000" w:themeColor="text1"/>
          <w:sz w:val="24"/>
          <w:szCs w:val="24"/>
        </w:rPr>
        <w:t>MacAvoy</w:t>
      </w:r>
      <w:proofErr w:type="spellEnd"/>
      <w:r w:rsidRPr="009A01AF">
        <w:rPr>
          <w:rFonts w:ascii="Times New Roman" w:hAnsi="Times New Roman" w:cs="Times New Roman"/>
          <w:color w:val="000000" w:themeColor="text1"/>
          <w:sz w:val="24"/>
          <w:szCs w:val="24"/>
        </w:rPr>
        <w:t xml:space="preserve">, S.E., </w:t>
      </w:r>
      <w:proofErr w:type="spellStart"/>
      <w:r w:rsidRPr="009A01AF">
        <w:rPr>
          <w:rFonts w:ascii="Times New Roman" w:hAnsi="Times New Roman" w:cs="Times New Roman"/>
          <w:color w:val="000000" w:themeColor="text1"/>
          <w:sz w:val="24"/>
          <w:szCs w:val="24"/>
        </w:rPr>
        <w:t>Macko</w:t>
      </w:r>
      <w:proofErr w:type="spellEnd"/>
      <w:r w:rsidRPr="009A01AF">
        <w:rPr>
          <w:rFonts w:ascii="Times New Roman" w:hAnsi="Times New Roman" w:cs="Times New Roman"/>
          <w:color w:val="000000" w:themeColor="text1"/>
          <w:sz w:val="24"/>
          <w:szCs w:val="24"/>
        </w:rPr>
        <w:t>, S.A. and Garman, G.C., 2001. Isotopic turnover in aquatic predators: quantifying the exploitation of migratory prey. </w:t>
      </w:r>
      <w:r w:rsidRPr="009A01AF">
        <w:rPr>
          <w:rFonts w:ascii="Times New Roman" w:hAnsi="Times New Roman" w:cs="Times New Roman"/>
          <w:i/>
          <w:iCs/>
          <w:color w:val="000000" w:themeColor="text1"/>
          <w:sz w:val="24"/>
          <w:szCs w:val="24"/>
        </w:rPr>
        <w:t>Canadian Journal of Fisheries and Aquatic Sciences</w:t>
      </w:r>
      <w:r w:rsidRPr="009A01AF">
        <w:rPr>
          <w:rFonts w:ascii="Times New Roman" w:hAnsi="Times New Roman" w:cs="Times New Roman"/>
          <w:color w:val="000000" w:themeColor="text1"/>
          <w:sz w:val="24"/>
          <w:szCs w:val="24"/>
        </w:rPr>
        <w:t>, </w:t>
      </w:r>
      <w:r w:rsidRPr="009A01AF">
        <w:rPr>
          <w:rFonts w:ascii="Times New Roman" w:hAnsi="Times New Roman" w:cs="Times New Roman"/>
          <w:i/>
          <w:iCs/>
          <w:color w:val="000000" w:themeColor="text1"/>
          <w:sz w:val="24"/>
          <w:szCs w:val="24"/>
        </w:rPr>
        <w:t>58</w:t>
      </w:r>
      <w:r w:rsidRPr="009A01AF">
        <w:rPr>
          <w:rFonts w:ascii="Times New Roman" w:hAnsi="Times New Roman" w:cs="Times New Roman"/>
          <w:color w:val="000000" w:themeColor="text1"/>
          <w:sz w:val="24"/>
          <w:szCs w:val="24"/>
        </w:rPr>
        <w:t>(5), pp.923-932.</w:t>
      </w:r>
    </w:p>
    <w:p w14:paraId="1C69C9CA" w14:textId="77777777" w:rsidR="00E527D4" w:rsidRDefault="00E527D4" w:rsidP="0057591C">
      <w:pPr>
        <w:jc w:val="both"/>
        <w:rPr>
          <w:rFonts w:ascii="Times New Roman" w:hAnsi="Times New Roman" w:cs="Times New Roman"/>
          <w:color w:val="000000" w:themeColor="text1"/>
          <w:sz w:val="24"/>
          <w:szCs w:val="24"/>
        </w:rPr>
      </w:pPr>
      <w:r w:rsidRPr="00E527D4">
        <w:rPr>
          <w:rFonts w:ascii="Times New Roman" w:hAnsi="Times New Roman" w:cs="Times New Roman"/>
          <w:color w:val="000000" w:themeColor="text1"/>
          <w:sz w:val="24"/>
          <w:szCs w:val="24"/>
        </w:rPr>
        <w:t xml:space="preserve">Marshall, J.D., Brooks, J.R. and </w:t>
      </w:r>
      <w:proofErr w:type="spellStart"/>
      <w:r w:rsidRPr="00E527D4">
        <w:rPr>
          <w:rFonts w:ascii="Times New Roman" w:hAnsi="Times New Roman" w:cs="Times New Roman"/>
          <w:color w:val="000000" w:themeColor="text1"/>
          <w:sz w:val="24"/>
          <w:szCs w:val="24"/>
        </w:rPr>
        <w:t>Lajtha</w:t>
      </w:r>
      <w:proofErr w:type="spellEnd"/>
      <w:r w:rsidRPr="00E527D4">
        <w:rPr>
          <w:rFonts w:ascii="Times New Roman" w:hAnsi="Times New Roman" w:cs="Times New Roman"/>
          <w:color w:val="000000" w:themeColor="text1"/>
          <w:sz w:val="24"/>
          <w:szCs w:val="24"/>
        </w:rPr>
        <w:t>, K., 2007. Sources of variation in the stable isotopic composition of plants. </w:t>
      </w:r>
      <w:r w:rsidRPr="00E527D4">
        <w:rPr>
          <w:rFonts w:ascii="Times New Roman" w:hAnsi="Times New Roman" w:cs="Times New Roman"/>
          <w:i/>
          <w:iCs/>
          <w:color w:val="000000" w:themeColor="text1"/>
          <w:sz w:val="24"/>
          <w:szCs w:val="24"/>
        </w:rPr>
        <w:t>Stable isotopes in ecology and environmental science</w:t>
      </w:r>
      <w:r w:rsidRPr="00E527D4">
        <w:rPr>
          <w:rFonts w:ascii="Times New Roman" w:hAnsi="Times New Roman" w:cs="Times New Roman"/>
          <w:color w:val="000000" w:themeColor="text1"/>
          <w:sz w:val="24"/>
          <w:szCs w:val="24"/>
        </w:rPr>
        <w:t>, pp.22-60.</w:t>
      </w:r>
    </w:p>
    <w:p w14:paraId="78C7ABC6" w14:textId="547EB81B" w:rsidR="00E22465" w:rsidRDefault="00E22465"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E22465">
        <w:rPr>
          <w:rFonts w:ascii="Times New Roman" w:eastAsia="Times New Roman" w:hAnsi="Times New Roman" w:cs="Times New Roman"/>
          <w:color w:val="000000" w:themeColor="text1"/>
          <w:kern w:val="0"/>
          <w:sz w:val="24"/>
          <w:szCs w:val="24"/>
          <w:lang w:eastAsia="en-IN" w:bidi="ml-IN"/>
          <w14:ligatures w14:val="none"/>
        </w:rPr>
        <w:t xml:space="preserve">Marshall, H.H., Inger, R., Jackson, A.L., McDonald, R.A., Thompson, F.J. and </w:t>
      </w:r>
      <w:proofErr w:type="gramStart"/>
      <w:r w:rsidRPr="00E22465">
        <w:rPr>
          <w:rFonts w:ascii="Times New Roman" w:eastAsia="Times New Roman" w:hAnsi="Times New Roman" w:cs="Times New Roman"/>
          <w:color w:val="000000" w:themeColor="text1"/>
          <w:kern w:val="0"/>
          <w:sz w:val="24"/>
          <w:szCs w:val="24"/>
          <w:lang w:eastAsia="en-IN" w:bidi="ml-IN"/>
          <w14:ligatures w14:val="none"/>
        </w:rPr>
        <w:t>Cant</w:t>
      </w:r>
      <w:proofErr w:type="gramEnd"/>
      <w:r w:rsidRPr="00E22465">
        <w:rPr>
          <w:rFonts w:ascii="Times New Roman" w:eastAsia="Times New Roman" w:hAnsi="Times New Roman" w:cs="Times New Roman"/>
          <w:color w:val="000000" w:themeColor="text1"/>
          <w:kern w:val="0"/>
          <w:sz w:val="24"/>
          <w:szCs w:val="24"/>
          <w:lang w:eastAsia="en-IN" w:bidi="ml-IN"/>
          <w14:ligatures w14:val="none"/>
        </w:rPr>
        <w:t>, M.A., 2019. Stable isotopes are quantitative indicators of trophic niche. </w:t>
      </w:r>
      <w:r w:rsidRPr="00E22465">
        <w:rPr>
          <w:rFonts w:ascii="Times New Roman" w:eastAsia="Times New Roman" w:hAnsi="Times New Roman" w:cs="Times New Roman"/>
          <w:i/>
          <w:iCs/>
          <w:color w:val="000000" w:themeColor="text1"/>
          <w:kern w:val="0"/>
          <w:sz w:val="24"/>
          <w:szCs w:val="24"/>
          <w:lang w:eastAsia="en-IN" w:bidi="ml-IN"/>
          <w14:ligatures w14:val="none"/>
        </w:rPr>
        <w:t>Ecology Letters</w:t>
      </w:r>
      <w:r w:rsidRPr="00E22465">
        <w:rPr>
          <w:rFonts w:ascii="Times New Roman" w:eastAsia="Times New Roman" w:hAnsi="Times New Roman" w:cs="Times New Roman"/>
          <w:color w:val="000000" w:themeColor="text1"/>
          <w:kern w:val="0"/>
          <w:sz w:val="24"/>
          <w:szCs w:val="24"/>
          <w:lang w:eastAsia="en-IN" w:bidi="ml-IN"/>
          <w14:ligatures w14:val="none"/>
        </w:rPr>
        <w:t>, </w:t>
      </w:r>
      <w:r w:rsidRPr="00E22465">
        <w:rPr>
          <w:rFonts w:ascii="Times New Roman" w:eastAsia="Times New Roman" w:hAnsi="Times New Roman" w:cs="Times New Roman"/>
          <w:i/>
          <w:iCs/>
          <w:color w:val="000000" w:themeColor="text1"/>
          <w:kern w:val="0"/>
          <w:sz w:val="24"/>
          <w:szCs w:val="24"/>
          <w:lang w:eastAsia="en-IN" w:bidi="ml-IN"/>
          <w14:ligatures w14:val="none"/>
        </w:rPr>
        <w:t>22</w:t>
      </w:r>
      <w:r w:rsidRPr="00E22465">
        <w:rPr>
          <w:rFonts w:ascii="Times New Roman" w:eastAsia="Times New Roman" w:hAnsi="Times New Roman" w:cs="Times New Roman"/>
          <w:color w:val="000000" w:themeColor="text1"/>
          <w:kern w:val="0"/>
          <w:sz w:val="24"/>
          <w:szCs w:val="24"/>
          <w:lang w:eastAsia="en-IN" w:bidi="ml-IN"/>
          <w14:ligatures w14:val="none"/>
        </w:rPr>
        <w:t>(11), pp.1990-1992.</w:t>
      </w:r>
    </w:p>
    <w:p w14:paraId="43DC2D57" w14:textId="77777777" w:rsidR="00E22465" w:rsidRDefault="00E22465" w:rsidP="0057591C">
      <w:pPr>
        <w:jc w:val="both"/>
        <w:rPr>
          <w:rFonts w:ascii="Times New Roman" w:hAnsi="Times New Roman" w:cs="Times New Roman"/>
          <w:color w:val="000000" w:themeColor="text1"/>
          <w:sz w:val="24"/>
          <w:szCs w:val="24"/>
        </w:rPr>
      </w:pPr>
      <w:r w:rsidRPr="00E22465">
        <w:rPr>
          <w:rFonts w:ascii="Times New Roman" w:hAnsi="Times New Roman" w:cs="Times New Roman"/>
          <w:color w:val="000000" w:themeColor="text1"/>
          <w:sz w:val="24"/>
          <w:szCs w:val="24"/>
        </w:rPr>
        <w:t xml:space="preserve">Martínez del Rio, C., Wolf, N., Carleton, S.A. and </w:t>
      </w:r>
      <w:proofErr w:type="spellStart"/>
      <w:r w:rsidRPr="00E22465">
        <w:rPr>
          <w:rFonts w:ascii="Times New Roman" w:hAnsi="Times New Roman" w:cs="Times New Roman"/>
          <w:color w:val="000000" w:themeColor="text1"/>
          <w:sz w:val="24"/>
          <w:szCs w:val="24"/>
        </w:rPr>
        <w:t>Gannes</w:t>
      </w:r>
      <w:proofErr w:type="spellEnd"/>
      <w:r w:rsidRPr="00E22465">
        <w:rPr>
          <w:rFonts w:ascii="Times New Roman" w:hAnsi="Times New Roman" w:cs="Times New Roman"/>
          <w:color w:val="000000" w:themeColor="text1"/>
          <w:sz w:val="24"/>
          <w:szCs w:val="24"/>
        </w:rPr>
        <w:t>, L.Z., 2009. Isotopic ecology ten years after a call for more laboratory experiments. </w:t>
      </w:r>
      <w:r w:rsidRPr="00E22465">
        <w:rPr>
          <w:rFonts w:ascii="Times New Roman" w:hAnsi="Times New Roman" w:cs="Times New Roman"/>
          <w:i/>
          <w:iCs/>
          <w:color w:val="000000" w:themeColor="text1"/>
          <w:sz w:val="24"/>
          <w:szCs w:val="24"/>
        </w:rPr>
        <w:t>Biological Reviews</w:t>
      </w:r>
      <w:r w:rsidRPr="00E22465">
        <w:rPr>
          <w:rFonts w:ascii="Times New Roman" w:hAnsi="Times New Roman" w:cs="Times New Roman"/>
          <w:color w:val="000000" w:themeColor="text1"/>
          <w:sz w:val="24"/>
          <w:szCs w:val="24"/>
        </w:rPr>
        <w:t>, </w:t>
      </w:r>
      <w:r w:rsidRPr="00E22465">
        <w:rPr>
          <w:rFonts w:ascii="Times New Roman" w:hAnsi="Times New Roman" w:cs="Times New Roman"/>
          <w:i/>
          <w:iCs/>
          <w:color w:val="000000" w:themeColor="text1"/>
          <w:sz w:val="24"/>
          <w:szCs w:val="24"/>
        </w:rPr>
        <w:t>84</w:t>
      </w:r>
      <w:r w:rsidRPr="00E22465">
        <w:rPr>
          <w:rFonts w:ascii="Times New Roman" w:hAnsi="Times New Roman" w:cs="Times New Roman"/>
          <w:color w:val="000000" w:themeColor="text1"/>
          <w:sz w:val="24"/>
          <w:szCs w:val="24"/>
        </w:rPr>
        <w:t>(1), pp.91-111.</w:t>
      </w:r>
    </w:p>
    <w:p w14:paraId="7B253892" w14:textId="77777777" w:rsidR="00E22465" w:rsidRDefault="00E22465" w:rsidP="0057591C">
      <w:pPr>
        <w:jc w:val="both"/>
        <w:rPr>
          <w:rFonts w:ascii="Times New Roman" w:hAnsi="Times New Roman" w:cs="Times New Roman"/>
          <w:color w:val="000000" w:themeColor="text1"/>
          <w:sz w:val="24"/>
          <w:szCs w:val="24"/>
        </w:rPr>
      </w:pPr>
      <w:proofErr w:type="spellStart"/>
      <w:r w:rsidRPr="00E22465">
        <w:rPr>
          <w:rFonts w:ascii="Times New Roman" w:hAnsi="Times New Roman" w:cs="Times New Roman"/>
          <w:color w:val="000000" w:themeColor="text1"/>
          <w:sz w:val="24"/>
          <w:szCs w:val="24"/>
        </w:rPr>
        <w:t>Mazumder</w:t>
      </w:r>
      <w:proofErr w:type="spellEnd"/>
      <w:r w:rsidRPr="00E22465">
        <w:rPr>
          <w:rFonts w:ascii="Times New Roman" w:hAnsi="Times New Roman" w:cs="Times New Roman"/>
          <w:color w:val="000000" w:themeColor="text1"/>
          <w:sz w:val="24"/>
          <w:szCs w:val="24"/>
        </w:rPr>
        <w:t xml:space="preserve">, D., Wen, L., Johansen, M.P., Kobayashi, T. and </w:t>
      </w:r>
      <w:proofErr w:type="spellStart"/>
      <w:r w:rsidRPr="00E22465">
        <w:rPr>
          <w:rFonts w:ascii="Times New Roman" w:hAnsi="Times New Roman" w:cs="Times New Roman"/>
          <w:color w:val="000000" w:themeColor="text1"/>
          <w:sz w:val="24"/>
          <w:szCs w:val="24"/>
        </w:rPr>
        <w:t>Saintilan</w:t>
      </w:r>
      <w:proofErr w:type="spellEnd"/>
      <w:r w:rsidRPr="00E22465">
        <w:rPr>
          <w:rFonts w:ascii="Times New Roman" w:hAnsi="Times New Roman" w:cs="Times New Roman"/>
          <w:color w:val="000000" w:themeColor="text1"/>
          <w:sz w:val="24"/>
          <w:szCs w:val="24"/>
        </w:rPr>
        <w:t xml:space="preserve">, N., 2016. Inherent variation in carbon and nitrogen isotopic assimilation in the freshwater macro-invertebrate </w:t>
      </w:r>
      <w:proofErr w:type="spellStart"/>
      <w:r w:rsidRPr="00E22465">
        <w:rPr>
          <w:rFonts w:ascii="Times New Roman" w:hAnsi="Times New Roman" w:cs="Times New Roman"/>
          <w:color w:val="000000" w:themeColor="text1"/>
          <w:sz w:val="24"/>
          <w:szCs w:val="24"/>
        </w:rPr>
        <w:t>Cherax</w:t>
      </w:r>
      <w:proofErr w:type="spellEnd"/>
      <w:r w:rsidRPr="00E22465">
        <w:rPr>
          <w:rFonts w:ascii="Times New Roman" w:hAnsi="Times New Roman" w:cs="Times New Roman"/>
          <w:color w:val="000000" w:themeColor="text1"/>
          <w:sz w:val="24"/>
          <w:szCs w:val="24"/>
        </w:rPr>
        <w:t xml:space="preserve"> destructor. </w:t>
      </w:r>
      <w:r w:rsidRPr="00E22465">
        <w:rPr>
          <w:rFonts w:ascii="Times New Roman" w:hAnsi="Times New Roman" w:cs="Times New Roman"/>
          <w:i/>
          <w:iCs/>
          <w:color w:val="000000" w:themeColor="text1"/>
          <w:sz w:val="24"/>
          <w:szCs w:val="24"/>
        </w:rPr>
        <w:t>Marine and Freshwater Research</w:t>
      </w:r>
      <w:r w:rsidRPr="00E22465">
        <w:rPr>
          <w:rFonts w:ascii="Times New Roman" w:hAnsi="Times New Roman" w:cs="Times New Roman"/>
          <w:color w:val="000000" w:themeColor="text1"/>
          <w:sz w:val="24"/>
          <w:szCs w:val="24"/>
        </w:rPr>
        <w:t>, </w:t>
      </w:r>
      <w:r w:rsidRPr="00E22465">
        <w:rPr>
          <w:rFonts w:ascii="Times New Roman" w:hAnsi="Times New Roman" w:cs="Times New Roman"/>
          <w:i/>
          <w:iCs/>
          <w:color w:val="000000" w:themeColor="text1"/>
          <w:sz w:val="24"/>
          <w:szCs w:val="24"/>
        </w:rPr>
        <w:t>67</w:t>
      </w:r>
      <w:r w:rsidRPr="00E22465">
        <w:rPr>
          <w:rFonts w:ascii="Times New Roman" w:hAnsi="Times New Roman" w:cs="Times New Roman"/>
          <w:color w:val="000000" w:themeColor="text1"/>
          <w:sz w:val="24"/>
          <w:szCs w:val="24"/>
        </w:rPr>
        <w:t>(12), pp.1928-1937.</w:t>
      </w:r>
    </w:p>
    <w:p w14:paraId="28A60BFF" w14:textId="77777777" w:rsidR="00E22465" w:rsidRDefault="00E22465" w:rsidP="00940828">
      <w:pPr>
        <w:spacing w:before="100" w:beforeAutospacing="1" w:after="100" w:afterAutospacing="1" w:line="240" w:lineRule="auto"/>
        <w:jc w:val="both"/>
        <w:rPr>
          <w:rFonts w:ascii="Times New Roman" w:hAnsi="Times New Roman" w:cs="Times New Roman"/>
          <w:color w:val="000000" w:themeColor="text1"/>
          <w:sz w:val="24"/>
          <w:szCs w:val="24"/>
        </w:rPr>
      </w:pPr>
      <w:r w:rsidRPr="00E22465">
        <w:rPr>
          <w:rFonts w:ascii="Times New Roman" w:hAnsi="Times New Roman" w:cs="Times New Roman"/>
          <w:color w:val="000000" w:themeColor="text1"/>
          <w:sz w:val="24"/>
          <w:szCs w:val="24"/>
        </w:rPr>
        <w:lastRenderedPageBreak/>
        <w:t>McClelland, J.W. and Montoya, J.P., 2002. Trophic relationships and the nitrogen isotopic composition of amino acids in plankton. </w:t>
      </w:r>
      <w:r w:rsidRPr="00E22465">
        <w:rPr>
          <w:rFonts w:ascii="Times New Roman" w:hAnsi="Times New Roman" w:cs="Times New Roman"/>
          <w:i/>
          <w:iCs/>
          <w:color w:val="000000" w:themeColor="text1"/>
          <w:sz w:val="24"/>
          <w:szCs w:val="24"/>
        </w:rPr>
        <w:t>Ecology</w:t>
      </w:r>
      <w:r w:rsidRPr="00E22465">
        <w:rPr>
          <w:rFonts w:ascii="Times New Roman" w:hAnsi="Times New Roman" w:cs="Times New Roman"/>
          <w:color w:val="000000" w:themeColor="text1"/>
          <w:sz w:val="24"/>
          <w:szCs w:val="24"/>
        </w:rPr>
        <w:t>, </w:t>
      </w:r>
      <w:r w:rsidRPr="00E22465">
        <w:rPr>
          <w:rFonts w:ascii="Times New Roman" w:hAnsi="Times New Roman" w:cs="Times New Roman"/>
          <w:i/>
          <w:iCs/>
          <w:color w:val="000000" w:themeColor="text1"/>
          <w:sz w:val="24"/>
          <w:szCs w:val="24"/>
        </w:rPr>
        <w:t>83</w:t>
      </w:r>
      <w:r w:rsidRPr="00E22465">
        <w:rPr>
          <w:rFonts w:ascii="Times New Roman" w:hAnsi="Times New Roman" w:cs="Times New Roman"/>
          <w:color w:val="000000" w:themeColor="text1"/>
          <w:sz w:val="24"/>
          <w:szCs w:val="24"/>
        </w:rPr>
        <w:t>(8), pp.2173-2180.</w:t>
      </w:r>
    </w:p>
    <w:p w14:paraId="1E1E3F8D" w14:textId="77777777" w:rsidR="00E22465" w:rsidRDefault="00E22465" w:rsidP="0057591C">
      <w:pPr>
        <w:pStyle w:val="NormalWeb"/>
        <w:jc w:val="both"/>
        <w:rPr>
          <w:color w:val="000000" w:themeColor="text1"/>
        </w:rPr>
      </w:pPr>
      <w:proofErr w:type="spellStart"/>
      <w:r w:rsidRPr="00E22465">
        <w:rPr>
          <w:color w:val="000000" w:themeColor="text1"/>
        </w:rPr>
        <w:t>McCutchan</w:t>
      </w:r>
      <w:proofErr w:type="spellEnd"/>
      <w:r w:rsidRPr="00E22465">
        <w:rPr>
          <w:color w:val="000000" w:themeColor="text1"/>
        </w:rPr>
        <w:t xml:space="preserve"> Jr, James H., William M. Lewis Jr, Carol Kendall, and Claire C. McGrath. "Variation in trophic shift for stable isotope ratios of carbon, nitrogen, and </w:t>
      </w:r>
      <w:proofErr w:type="spellStart"/>
      <w:r w:rsidRPr="00E22465">
        <w:rPr>
          <w:color w:val="000000" w:themeColor="text1"/>
        </w:rPr>
        <w:t>sulfur</w:t>
      </w:r>
      <w:proofErr w:type="spellEnd"/>
      <w:r w:rsidRPr="00E22465">
        <w:rPr>
          <w:color w:val="000000" w:themeColor="text1"/>
        </w:rPr>
        <w:t>." </w:t>
      </w:r>
      <w:r w:rsidRPr="00E22465">
        <w:rPr>
          <w:i/>
          <w:iCs/>
          <w:color w:val="000000" w:themeColor="text1"/>
        </w:rPr>
        <w:t>Oikos</w:t>
      </w:r>
      <w:r w:rsidRPr="00E22465">
        <w:rPr>
          <w:color w:val="000000" w:themeColor="text1"/>
        </w:rPr>
        <w:t> 102, no. 2 (2003): 378-390.</w:t>
      </w:r>
    </w:p>
    <w:p w14:paraId="076AFC81" w14:textId="7689C382" w:rsidR="00E22465" w:rsidRDefault="00E22465" w:rsidP="0057591C">
      <w:pPr>
        <w:pStyle w:val="NormalWeb"/>
        <w:jc w:val="both"/>
        <w:rPr>
          <w:color w:val="000000" w:themeColor="text1"/>
        </w:rPr>
      </w:pPr>
      <w:proofErr w:type="spellStart"/>
      <w:r w:rsidRPr="00E22465">
        <w:rPr>
          <w:color w:val="000000" w:themeColor="text1"/>
        </w:rPr>
        <w:t>McCutchan</w:t>
      </w:r>
      <w:proofErr w:type="spellEnd"/>
      <w:r w:rsidRPr="00E22465">
        <w:rPr>
          <w:color w:val="000000" w:themeColor="text1"/>
        </w:rPr>
        <w:t xml:space="preserve"> Jr, J.H., Lewis Jr, W.M., Kendall, C. and McGrath, C.C., 2003. Variation in trophic shift for stable isotope ratios of carbon, nitrogen, and </w:t>
      </w:r>
      <w:proofErr w:type="spellStart"/>
      <w:r w:rsidRPr="00E22465">
        <w:rPr>
          <w:color w:val="000000" w:themeColor="text1"/>
        </w:rPr>
        <w:t>sulfur</w:t>
      </w:r>
      <w:proofErr w:type="spellEnd"/>
      <w:r w:rsidRPr="00E22465">
        <w:rPr>
          <w:color w:val="000000" w:themeColor="text1"/>
        </w:rPr>
        <w:t>. </w:t>
      </w:r>
      <w:r w:rsidRPr="00E22465">
        <w:rPr>
          <w:i/>
          <w:iCs/>
          <w:color w:val="000000" w:themeColor="text1"/>
        </w:rPr>
        <w:t>Oikos</w:t>
      </w:r>
      <w:r w:rsidRPr="00E22465">
        <w:rPr>
          <w:color w:val="000000" w:themeColor="text1"/>
        </w:rPr>
        <w:t>, </w:t>
      </w:r>
      <w:r w:rsidRPr="00E22465">
        <w:rPr>
          <w:i/>
          <w:iCs/>
          <w:color w:val="000000" w:themeColor="text1"/>
        </w:rPr>
        <w:t>102</w:t>
      </w:r>
      <w:r w:rsidRPr="00E22465">
        <w:rPr>
          <w:color w:val="000000" w:themeColor="text1"/>
        </w:rPr>
        <w:t>(2), pp.378-390.</w:t>
      </w:r>
    </w:p>
    <w:p w14:paraId="3A16E471" w14:textId="7931D2A5" w:rsidR="00B6596D" w:rsidRDefault="00B6596D" w:rsidP="0057591C">
      <w:pPr>
        <w:pStyle w:val="NormalWeb"/>
        <w:jc w:val="both"/>
        <w:rPr>
          <w:color w:val="000000" w:themeColor="text1"/>
        </w:rPr>
      </w:pPr>
      <w:r w:rsidRPr="002E180E">
        <w:rPr>
          <w:color w:val="000000" w:themeColor="text1"/>
        </w:rPr>
        <w:t xml:space="preserve">Michener, R. and </w:t>
      </w:r>
      <w:proofErr w:type="spellStart"/>
      <w:r w:rsidRPr="002E180E">
        <w:rPr>
          <w:color w:val="000000" w:themeColor="text1"/>
        </w:rPr>
        <w:t>Lajtha</w:t>
      </w:r>
      <w:proofErr w:type="spellEnd"/>
      <w:r w:rsidRPr="002E180E">
        <w:rPr>
          <w:color w:val="000000" w:themeColor="text1"/>
        </w:rPr>
        <w:t>, K. eds., 2008. </w:t>
      </w:r>
      <w:r w:rsidRPr="002E180E">
        <w:rPr>
          <w:i/>
          <w:iCs/>
          <w:color w:val="000000" w:themeColor="text1"/>
        </w:rPr>
        <w:t>Stable isotopes in ecology and environmental science</w:t>
      </w:r>
      <w:r w:rsidRPr="002E180E">
        <w:rPr>
          <w:color w:val="000000" w:themeColor="text1"/>
        </w:rPr>
        <w:t>. John Wiley &amp; Sons.</w:t>
      </w:r>
    </w:p>
    <w:p w14:paraId="1B468D4F" w14:textId="77777777" w:rsidR="00B6596D" w:rsidRDefault="00B6596D" w:rsidP="0057591C">
      <w:pPr>
        <w:pStyle w:val="NormalWeb"/>
        <w:jc w:val="both"/>
        <w:rPr>
          <w:color w:val="000000" w:themeColor="text1"/>
        </w:rPr>
      </w:pPr>
      <w:r w:rsidRPr="00F13523">
        <w:rPr>
          <w:color w:val="000000" w:themeColor="text1"/>
        </w:rPr>
        <w:t xml:space="preserve">Michener, R. and </w:t>
      </w:r>
      <w:proofErr w:type="spellStart"/>
      <w:r w:rsidRPr="00F13523">
        <w:rPr>
          <w:color w:val="000000" w:themeColor="text1"/>
        </w:rPr>
        <w:t>Lajtha</w:t>
      </w:r>
      <w:proofErr w:type="spellEnd"/>
      <w:r w:rsidRPr="00F13523">
        <w:rPr>
          <w:color w:val="000000" w:themeColor="text1"/>
        </w:rPr>
        <w:t xml:space="preserve">, K., 2007. </w:t>
      </w:r>
      <w:r w:rsidRPr="00F13523">
        <w:rPr>
          <w:rStyle w:val="Emphasis"/>
          <w:rFonts w:eastAsiaTheme="majorEastAsia"/>
          <w:color w:val="000000" w:themeColor="text1"/>
        </w:rPr>
        <w:t>Stable Isotopes in Ecology and Environmental Science</w:t>
      </w:r>
      <w:r w:rsidRPr="00F13523">
        <w:rPr>
          <w:color w:val="000000" w:themeColor="text1"/>
        </w:rPr>
        <w:t xml:space="preserve">. 2nd </w:t>
      </w:r>
      <w:proofErr w:type="spellStart"/>
      <w:r w:rsidRPr="00F13523">
        <w:rPr>
          <w:color w:val="000000" w:themeColor="text1"/>
        </w:rPr>
        <w:t>edn</w:t>
      </w:r>
      <w:proofErr w:type="spellEnd"/>
      <w:r w:rsidRPr="00F13523">
        <w:rPr>
          <w:color w:val="000000" w:themeColor="text1"/>
        </w:rPr>
        <w:t>. Oxford: Blackwell Publishing.</w:t>
      </w:r>
    </w:p>
    <w:p w14:paraId="7CA7C365" w14:textId="77777777" w:rsidR="00B6596D" w:rsidRDefault="00B6596D" w:rsidP="00D366C7">
      <w:pPr>
        <w:jc w:val="both"/>
        <w:rPr>
          <w:rFonts w:ascii="Times New Roman" w:hAnsi="Times New Roman" w:cs="Times New Roman"/>
          <w:color w:val="000000" w:themeColor="text1"/>
          <w:sz w:val="24"/>
          <w:szCs w:val="24"/>
        </w:rPr>
      </w:pPr>
      <w:r w:rsidRPr="00F13523">
        <w:rPr>
          <w:rFonts w:ascii="Times New Roman" w:hAnsi="Times New Roman" w:cs="Times New Roman"/>
          <w:color w:val="000000" w:themeColor="text1"/>
          <w:sz w:val="24"/>
          <w:szCs w:val="24"/>
        </w:rPr>
        <w:t>Minagawa, M. and Wada, E., 1984. Stepwise enrichment of 15N along food chains: further evidence and the relation between δ15N and animal age. </w:t>
      </w:r>
      <w:proofErr w:type="spellStart"/>
      <w:r w:rsidRPr="00F13523">
        <w:rPr>
          <w:rFonts w:ascii="Times New Roman" w:hAnsi="Times New Roman" w:cs="Times New Roman"/>
          <w:i/>
          <w:iCs/>
          <w:color w:val="000000" w:themeColor="text1"/>
          <w:sz w:val="24"/>
          <w:szCs w:val="24"/>
        </w:rPr>
        <w:t>Geochimica</w:t>
      </w:r>
      <w:proofErr w:type="spellEnd"/>
      <w:r w:rsidRPr="00F13523">
        <w:rPr>
          <w:rFonts w:ascii="Times New Roman" w:hAnsi="Times New Roman" w:cs="Times New Roman"/>
          <w:i/>
          <w:iCs/>
          <w:color w:val="000000" w:themeColor="text1"/>
          <w:sz w:val="24"/>
          <w:szCs w:val="24"/>
        </w:rPr>
        <w:t xml:space="preserve"> et </w:t>
      </w:r>
      <w:proofErr w:type="spellStart"/>
      <w:r w:rsidRPr="00F13523">
        <w:rPr>
          <w:rFonts w:ascii="Times New Roman" w:hAnsi="Times New Roman" w:cs="Times New Roman"/>
          <w:i/>
          <w:iCs/>
          <w:color w:val="000000" w:themeColor="text1"/>
          <w:sz w:val="24"/>
          <w:szCs w:val="24"/>
        </w:rPr>
        <w:t>cosmochimica</w:t>
      </w:r>
      <w:proofErr w:type="spellEnd"/>
      <w:r w:rsidRPr="00F13523">
        <w:rPr>
          <w:rFonts w:ascii="Times New Roman" w:hAnsi="Times New Roman" w:cs="Times New Roman"/>
          <w:i/>
          <w:iCs/>
          <w:color w:val="000000" w:themeColor="text1"/>
          <w:sz w:val="24"/>
          <w:szCs w:val="24"/>
        </w:rPr>
        <w:t xml:space="preserve"> acta</w:t>
      </w:r>
      <w:r w:rsidRPr="00F13523">
        <w:rPr>
          <w:rFonts w:ascii="Times New Roman" w:hAnsi="Times New Roman" w:cs="Times New Roman"/>
          <w:color w:val="000000" w:themeColor="text1"/>
          <w:sz w:val="24"/>
          <w:szCs w:val="24"/>
        </w:rPr>
        <w:t>, </w:t>
      </w:r>
      <w:r w:rsidRPr="00F13523">
        <w:rPr>
          <w:rFonts w:ascii="Times New Roman" w:hAnsi="Times New Roman" w:cs="Times New Roman"/>
          <w:i/>
          <w:iCs/>
          <w:color w:val="000000" w:themeColor="text1"/>
          <w:sz w:val="24"/>
          <w:szCs w:val="24"/>
        </w:rPr>
        <w:t>48</w:t>
      </w:r>
      <w:r w:rsidRPr="00F13523">
        <w:rPr>
          <w:rFonts w:ascii="Times New Roman" w:hAnsi="Times New Roman" w:cs="Times New Roman"/>
          <w:color w:val="000000" w:themeColor="text1"/>
          <w:sz w:val="24"/>
          <w:szCs w:val="24"/>
        </w:rPr>
        <w:t>(5), pp.1135-1140.</w:t>
      </w:r>
    </w:p>
    <w:p w14:paraId="51C400DA" w14:textId="77777777" w:rsidR="007E6583" w:rsidRDefault="007E6583" w:rsidP="0057591C">
      <w:pPr>
        <w:pStyle w:val="NormalWeb"/>
        <w:jc w:val="both"/>
        <w:rPr>
          <w:color w:val="000000" w:themeColor="text1"/>
        </w:rPr>
      </w:pPr>
      <w:proofErr w:type="spellStart"/>
      <w:r w:rsidRPr="007E6583">
        <w:rPr>
          <w:color w:val="000000" w:themeColor="text1"/>
        </w:rPr>
        <w:t>Mittermayr</w:t>
      </w:r>
      <w:proofErr w:type="spellEnd"/>
      <w:r w:rsidRPr="007E6583">
        <w:rPr>
          <w:color w:val="000000" w:themeColor="text1"/>
        </w:rPr>
        <w:t>, A., 2014. </w:t>
      </w:r>
      <w:r w:rsidRPr="007E6583">
        <w:rPr>
          <w:i/>
          <w:iCs/>
          <w:color w:val="000000" w:themeColor="text1"/>
        </w:rPr>
        <w:t xml:space="preserve">Eelgrass </w:t>
      </w:r>
      <w:proofErr w:type="spellStart"/>
      <w:r w:rsidRPr="007E6583">
        <w:rPr>
          <w:i/>
          <w:iCs/>
          <w:color w:val="000000" w:themeColor="text1"/>
        </w:rPr>
        <w:t>Foodwebs</w:t>
      </w:r>
      <w:proofErr w:type="spellEnd"/>
      <w:r w:rsidRPr="007E6583">
        <w:rPr>
          <w:i/>
          <w:iCs/>
          <w:color w:val="000000" w:themeColor="text1"/>
        </w:rPr>
        <w:t>–A comprehensive study employing∂ 13</w:t>
      </w:r>
      <w:proofErr w:type="gramStart"/>
      <w:r w:rsidRPr="007E6583">
        <w:rPr>
          <w:i/>
          <w:iCs/>
          <w:color w:val="000000" w:themeColor="text1"/>
        </w:rPr>
        <w:t>C,∂</w:t>
      </w:r>
      <w:proofErr w:type="gramEnd"/>
      <w:r w:rsidRPr="007E6583">
        <w:rPr>
          <w:i/>
          <w:iCs/>
          <w:color w:val="000000" w:themeColor="text1"/>
        </w:rPr>
        <w:t xml:space="preserve"> 15N and∂ 34S stable isotopes</w:t>
      </w:r>
      <w:r w:rsidRPr="007E6583">
        <w:rPr>
          <w:color w:val="000000" w:themeColor="text1"/>
        </w:rPr>
        <w:t> (Doctoral dissertation, Christian-</w:t>
      </w:r>
      <w:proofErr w:type="spellStart"/>
      <w:r w:rsidRPr="007E6583">
        <w:rPr>
          <w:color w:val="000000" w:themeColor="text1"/>
        </w:rPr>
        <w:t>Albrechts</w:t>
      </w:r>
      <w:proofErr w:type="spellEnd"/>
      <w:r w:rsidRPr="007E6583">
        <w:rPr>
          <w:color w:val="000000" w:themeColor="text1"/>
        </w:rPr>
        <w:t>-Universität Kiel).</w:t>
      </w:r>
    </w:p>
    <w:p w14:paraId="3D55F934" w14:textId="77777777" w:rsidR="00E527D4" w:rsidRDefault="00E527D4" w:rsidP="0057591C">
      <w:pPr>
        <w:pStyle w:val="NormalWeb"/>
        <w:jc w:val="both"/>
        <w:rPr>
          <w:color w:val="000000" w:themeColor="text1"/>
        </w:rPr>
      </w:pPr>
      <w:r w:rsidRPr="00E527D4">
        <w:rPr>
          <w:color w:val="000000" w:themeColor="text1"/>
        </w:rPr>
        <w:t xml:space="preserve">Moher, D., </w:t>
      </w:r>
      <w:proofErr w:type="spellStart"/>
      <w:r w:rsidRPr="00E527D4">
        <w:rPr>
          <w:color w:val="000000" w:themeColor="text1"/>
        </w:rPr>
        <w:t>Liberati</w:t>
      </w:r>
      <w:proofErr w:type="spellEnd"/>
      <w:r w:rsidRPr="00E527D4">
        <w:rPr>
          <w:color w:val="000000" w:themeColor="text1"/>
        </w:rPr>
        <w:t xml:space="preserve">, A., </w:t>
      </w:r>
      <w:proofErr w:type="spellStart"/>
      <w:r w:rsidRPr="00E527D4">
        <w:rPr>
          <w:color w:val="000000" w:themeColor="text1"/>
        </w:rPr>
        <w:t>Tetzlaff</w:t>
      </w:r>
      <w:proofErr w:type="spellEnd"/>
      <w:r w:rsidRPr="00E527D4">
        <w:rPr>
          <w:color w:val="000000" w:themeColor="text1"/>
        </w:rPr>
        <w:t>, J. and Altman, D.G., 2009. Preferred reporting items for systematic reviews and meta-analyses: the PRISMA statement. </w:t>
      </w:r>
      <w:proofErr w:type="spellStart"/>
      <w:r w:rsidRPr="00E527D4">
        <w:rPr>
          <w:i/>
          <w:iCs/>
          <w:color w:val="000000" w:themeColor="text1"/>
        </w:rPr>
        <w:t>Bmj</w:t>
      </w:r>
      <w:proofErr w:type="spellEnd"/>
      <w:r w:rsidRPr="00E527D4">
        <w:rPr>
          <w:color w:val="000000" w:themeColor="text1"/>
        </w:rPr>
        <w:t>, </w:t>
      </w:r>
      <w:r w:rsidRPr="00E527D4">
        <w:rPr>
          <w:i/>
          <w:iCs/>
          <w:color w:val="000000" w:themeColor="text1"/>
        </w:rPr>
        <w:t>339</w:t>
      </w:r>
      <w:r w:rsidRPr="00E527D4">
        <w:rPr>
          <w:color w:val="000000" w:themeColor="text1"/>
        </w:rPr>
        <w:t>.</w:t>
      </w:r>
    </w:p>
    <w:p w14:paraId="0D4D6B02" w14:textId="77777777" w:rsidR="00E527D4" w:rsidRDefault="00E527D4" w:rsidP="0057591C">
      <w:pPr>
        <w:pStyle w:val="NormalWeb"/>
        <w:jc w:val="both"/>
        <w:rPr>
          <w:color w:val="000000" w:themeColor="text1"/>
        </w:rPr>
      </w:pPr>
      <w:proofErr w:type="spellStart"/>
      <w:r w:rsidRPr="00E527D4">
        <w:rPr>
          <w:color w:val="000000" w:themeColor="text1"/>
        </w:rPr>
        <w:t>Mondol</w:t>
      </w:r>
      <w:proofErr w:type="spellEnd"/>
      <w:r w:rsidRPr="00E527D4">
        <w:rPr>
          <w:color w:val="000000" w:themeColor="text1"/>
        </w:rPr>
        <w:t xml:space="preserve">, P., </w:t>
      </w:r>
      <w:proofErr w:type="spellStart"/>
      <w:r w:rsidRPr="00E527D4">
        <w:rPr>
          <w:color w:val="000000" w:themeColor="text1"/>
        </w:rPr>
        <w:t>Hassani</w:t>
      </w:r>
      <w:proofErr w:type="spellEnd"/>
      <w:r w:rsidRPr="00E527D4">
        <w:rPr>
          <w:color w:val="000000" w:themeColor="text1"/>
        </w:rPr>
        <w:t>, M., Tucker, M.J. and Barile, C.J., 2023. Electrocatalytic oxygen reduction by Cu complexes of tripeptide derivatives of glutathione. </w:t>
      </w:r>
      <w:r w:rsidRPr="00E527D4">
        <w:rPr>
          <w:i/>
          <w:iCs/>
          <w:color w:val="000000" w:themeColor="text1"/>
        </w:rPr>
        <w:t>The Journal of Physical Chemistry C</w:t>
      </w:r>
      <w:r w:rsidRPr="00E527D4">
        <w:rPr>
          <w:color w:val="000000" w:themeColor="text1"/>
        </w:rPr>
        <w:t>, </w:t>
      </w:r>
      <w:r w:rsidRPr="00E527D4">
        <w:rPr>
          <w:i/>
          <w:iCs/>
          <w:color w:val="000000" w:themeColor="text1"/>
        </w:rPr>
        <w:t>127</w:t>
      </w:r>
      <w:r w:rsidRPr="00E527D4">
        <w:rPr>
          <w:color w:val="000000" w:themeColor="text1"/>
        </w:rPr>
        <w:t>(28), pp.13518-13528.</w:t>
      </w:r>
    </w:p>
    <w:p w14:paraId="1B1AB170" w14:textId="30E2F13C" w:rsidR="00B6596D" w:rsidRPr="00F13523" w:rsidRDefault="00B6596D" w:rsidP="0057591C">
      <w:pPr>
        <w:pStyle w:val="NormalWeb"/>
        <w:jc w:val="both"/>
        <w:rPr>
          <w:color w:val="000000" w:themeColor="text1"/>
        </w:rPr>
      </w:pPr>
      <w:r w:rsidRPr="00F13523">
        <w:rPr>
          <w:color w:val="000000" w:themeColor="text1"/>
        </w:rPr>
        <w:t>Moore, J.W. and Semmens, B.X., 2008. Incorporating uncertainty and prior information into stable isotope mixing models. Ecology letters, 11(5), pp.470-480.</w:t>
      </w:r>
    </w:p>
    <w:p w14:paraId="6A15CA96" w14:textId="77777777" w:rsidR="00B6596D" w:rsidRPr="00F13523" w:rsidRDefault="00B6596D" w:rsidP="0057591C">
      <w:pPr>
        <w:jc w:val="both"/>
        <w:rPr>
          <w:rFonts w:ascii="Times New Roman" w:hAnsi="Times New Roman" w:cs="Times New Roman"/>
          <w:color w:val="000000" w:themeColor="text1"/>
          <w:sz w:val="24"/>
          <w:szCs w:val="24"/>
        </w:rPr>
      </w:pPr>
      <w:r w:rsidRPr="00F13523">
        <w:rPr>
          <w:rFonts w:ascii="Times New Roman" w:hAnsi="Times New Roman" w:cs="Times New Roman"/>
          <w:color w:val="000000" w:themeColor="text1"/>
          <w:sz w:val="24"/>
          <w:szCs w:val="24"/>
        </w:rPr>
        <w:t>Muccio, Z. and Jackson, G.P., 2009. Isotope ratio mass spectrometry. </w:t>
      </w:r>
      <w:r w:rsidRPr="00F13523">
        <w:rPr>
          <w:rFonts w:ascii="Times New Roman" w:hAnsi="Times New Roman" w:cs="Times New Roman"/>
          <w:i/>
          <w:iCs/>
          <w:color w:val="000000" w:themeColor="text1"/>
          <w:sz w:val="24"/>
          <w:szCs w:val="24"/>
        </w:rPr>
        <w:t>Analyst</w:t>
      </w:r>
      <w:r w:rsidRPr="00F13523">
        <w:rPr>
          <w:rFonts w:ascii="Times New Roman" w:hAnsi="Times New Roman" w:cs="Times New Roman"/>
          <w:color w:val="000000" w:themeColor="text1"/>
          <w:sz w:val="24"/>
          <w:szCs w:val="24"/>
        </w:rPr>
        <w:t>, </w:t>
      </w:r>
      <w:r w:rsidRPr="00F13523">
        <w:rPr>
          <w:rFonts w:ascii="Times New Roman" w:hAnsi="Times New Roman" w:cs="Times New Roman"/>
          <w:i/>
          <w:iCs/>
          <w:color w:val="000000" w:themeColor="text1"/>
          <w:sz w:val="24"/>
          <w:szCs w:val="24"/>
        </w:rPr>
        <w:t>134</w:t>
      </w:r>
      <w:r w:rsidRPr="00F13523">
        <w:rPr>
          <w:rFonts w:ascii="Times New Roman" w:hAnsi="Times New Roman" w:cs="Times New Roman"/>
          <w:color w:val="000000" w:themeColor="text1"/>
          <w:sz w:val="24"/>
          <w:szCs w:val="24"/>
        </w:rPr>
        <w:t>(2), pp.213-222.</w:t>
      </w:r>
    </w:p>
    <w:p w14:paraId="7605D198" w14:textId="77777777" w:rsidR="007E6583" w:rsidRDefault="007E6583"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7E6583">
        <w:rPr>
          <w:rFonts w:ascii="Times New Roman" w:eastAsia="Times New Roman" w:hAnsi="Times New Roman" w:cs="Times New Roman"/>
          <w:color w:val="000000" w:themeColor="text1"/>
          <w:kern w:val="0"/>
          <w:sz w:val="24"/>
          <w:szCs w:val="24"/>
          <w:lang w:eastAsia="en-IN" w:bidi="ml-IN"/>
          <w14:ligatures w14:val="none"/>
        </w:rPr>
        <w:t xml:space="preserve">Newsome, S.D., </w:t>
      </w:r>
      <w:proofErr w:type="spellStart"/>
      <w:r w:rsidRPr="007E6583">
        <w:rPr>
          <w:rFonts w:ascii="Times New Roman" w:eastAsia="Times New Roman" w:hAnsi="Times New Roman" w:cs="Times New Roman"/>
          <w:color w:val="000000" w:themeColor="text1"/>
          <w:kern w:val="0"/>
          <w:sz w:val="24"/>
          <w:szCs w:val="24"/>
          <w:lang w:eastAsia="en-IN" w:bidi="ml-IN"/>
          <w14:ligatures w14:val="none"/>
        </w:rPr>
        <w:t>Clementz</w:t>
      </w:r>
      <w:proofErr w:type="spellEnd"/>
      <w:r w:rsidRPr="007E6583">
        <w:rPr>
          <w:rFonts w:ascii="Times New Roman" w:eastAsia="Times New Roman" w:hAnsi="Times New Roman" w:cs="Times New Roman"/>
          <w:color w:val="000000" w:themeColor="text1"/>
          <w:kern w:val="0"/>
          <w:sz w:val="24"/>
          <w:szCs w:val="24"/>
          <w:lang w:eastAsia="en-IN" w:bidi="ml-IN"/>
          <w14:ligatures w14:val="none"/>
        </w:rPr>
        <w:t>, M.T. and Koch, P.L., 2010. Using stable isotope biogeochemistry to study marine mammal ecology. </w:t>
      </w:r>
      <w:r w:rsidRPr="007E6583">
        <w:rPr>
          <w:rFonts w:ascii="Times New Roman" w:eastAsia="Times New Roman" w:hAnsi="Times New Roman" w:cs="Times New Roman"/>
          <w:i/>
          <w:iCs/>
          <w:color w:val="000000" w:themeColor="text1"/>
          <w:kern w:val="0"/>
          <w:sz w:val="24"/>
          <w:szCs w:val="24"/>
          <w:lang w:eastAsia="en-IN" w:bidi="ml-IN"/>
          <w14:ligatures w14:val="none"/>
        </w:rPr>
        <w:t>Marine Mammal Science</w:t>
      </w:r>
      <w:r w:rsidRPr="007E6583">
        <w:rPr>
          <w:rFonts w:ascii="Times New Roman" w:eastAsia="Times New Roman" w:hAnsi="Times New Roman" w:cs="Times New Roman"/>
          <w:color w:val="000000" w:themeColor="text1"/>
          <w:kern w:val="0"/>
          <w:sz w:val="24"/>
          <w:szCs w:val="24"/>
          <w:lang w:eastAsia="en-IN" w:bidi="ml-IN"/>
          <w14:ligatures w14:val="none"/>
        </w:rPr>
        <w:t>, </w:t>
      </w:r>
      <w:r w:rsidRPr="007E6583">
        <w:rPr>
          <w:rFonts w:ascii="Times New Roman" w:eastAsia="Times New Roman" w:hAnsi="Times New Roman" w:cs="Times New Roman"/>
          <w:i/>
          <w:iCs/>
          <w:color w:val="000000" w:themeColor="text1"/>
          <w:kern w:val="0"/>
          <w:sz w:val="24"/>
          <w:szCs w:val="24"/>
          <w:lang w:eastAsia="en-IN" w:bidi="ml-IN"/>
          <w14:ligatures w14:val="none"/>
        </w:rPr>
        <w:t>26</w:t>
      </w:r>
      <w:r w:rsidRPr="007E6583">
        <w:rPr>
          <w:rFonts w:ascii="Times New Roman" w:eastAsia="Times New Roman" w:hAnsi="Times New Roman" w:cs="Times New Roman"/>
          <w:color w:val="000000" w:themeColor="text1"/>
          <w:kern w:val="0"/>
          <w:sz w:val="24"/>
          <w:szCs w:val="24"/>
          <w:lang w:eastAsia="en-IN" w:bidi="ml-IN"/>
          <w14:ligatures w14:val="none"/>
        </w:rPr>
        <w:t>(3), pp.509-572.</w:t>
      </w:r>
    </w:p>
    <w:p w14:paraId="645D0183" w14:textId="77777777" w:rsidR="007E6583" w:rsidRDefault="007E6583"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7E6583">
        <w:rPr>
          <w:rFonts w:ascii="Times New Roman" w:eastAsia="Times New Roman" w:hAnsi="Times New Roman" w:cs="Times New Roman"/>
          <w:color w:val="000000" w:themeColor="text1"/>
          <w:kern w:val="0"/>
          <w:sz w:val="24"/>
          <w:szCs w:val="24"/>
          <w:lang w:eastAsia="en-IN" w:bidi="ml-IN"/>
          <w14:ligatures w14:val="none"/>
        </w:rPr>
        <w:t xml:space="preserve">Newsome, S.D., Martinez del Rio, C., </w:t>
      </w:r>
      <w:proofErr w:type="spellStart"/>
      <w:r w:rsidRPr="007E6583">
        <w:rPr>
          <w:rFonts w:ascii="Times New Roman" w:eastAsia="Times New Roman" w:hAnsi="Times New Roman" w:cs="Times New Roman"/>
          <w:color w:val="000000" w:themeColor="text1"/>
          <w:kern w:val="0"/>
          <w:sz w:val="24"/>
          <w:szCs w:val="24"/>
          <w:lang w:eastAsia="en-IN" w:bidi="ml-IN"/>
          <w14:ligatures w14:val="none"/>
        </w:rPr>
        <w:t>Bearhop</w:t>
      </w:r>
      <w:proofErr w:type="spellEnd"/>
      <w:r w:rsidRPr="007E6583">
        <w:rPr>
          <w:rFonts w:ascii="Times New Roman" w:eastAsia="Times New Roman" w:hAnsi="Times New Roman" w:cs="Times New Roman"/>
          <w:color w:val="000000" w:themeColor="text1"/>
          <w:kern w:val="0"/>
          <w:sz w:val="24"/>
          <w:szCs w:val="24"/>
          <w:lang w:eastAsia="en-IN" w:bidi="ml-IN"/>
          <w14:ligatures w14:val="none"/>
        </w:rPr>
        <w:t>, S. and Phillips, D.L., 2007. A niche for isotopic ecology. </w:t>
      </w:r>
      <w:r w:rsidRPr="007E6583">
        <w:rPr>
          <w:rFonts w:ascii="Times New Roman" w:eastAsia="Times New Roman" w:hAnsi="Times New Roman" w:cs="Times New Roman"/>
          <w:i/>
          <w:iCs/>
          <w:color w:val="000000" w:themeColor="text1"/>
          <w:kern w:val="0"/>
          <w:sz w:val="24"/>
          <w:szCs w:val="24"/>
          <w:lang w:eastAsia="en-IN" w:bidi="ml-IN"/>
          <w14:ligatures w14:val="none"/>
        </w:rPr>
        <w:t>Frontiers in Ecology and the Environment</w:t>
      </w:r>
      <w:r w:rsidRPr="007E6583">
        <w:rPr>
          <w:rFonts w:ascii="Times New Roman" w:eastAsia="Times New Roman" w:hAnsi="Times New Roman" w:cs="Times New Roman"/>
          <w:color w:val="000000" w:themeColor="text1"/>
          <w:kern w:val="0"/>
          <w:sz w:val="24"/>
          <w:szCs w:val="24"/>
          <w:lang w:eastAsia="en-IN" w:bidi="ml-IN"/>
          <w14:ligatures w14:val="none"/>
        </w:rPr>
        <w:t>, </w:t>
      </w:r>
      <w:r w:rsidRPr="007E6583">
        <w:rPr>
          <w:rFonts w:ascii="Times New Roman" w:eastAsia="Times New Roman" w:hAnsi="Times New Roman" w:cs="Times New Roman"/>
          <w:i/>
          <w:iCs/>
          <w:color w:val="000000" w:themeColor="text1"/>
          <w:kern w:val="0"/>
          <w:sz w:val="24"/>
          <w:szCs w:val="24"/>
          <w:lang w:eastAsia="en-IN" w:bidi="ml-IN"/>
          <w14:ligatures w14:val="none"/>
        </w:rPr>
        <w:t>5</w:t>
      </w:r>
      <w:r w:rsidRPr="007E6583">
        <w:rPr>
          <w:rFonts w:ascii="Times New Roman" w:eastAsia="Times New Roman" w:hAnsi="Times New Roman" w:cs="Times New Roman"/>
          <w:color w:val="000000" w:themeColor="text1"/>
          <w:kern w:val="0"/>
          <w:sz w:val="24"/>
          <w:szCs w:val="24"/>
          <w:lang w:eastAsia="en-IN" w:bidi="ml-IN"/>
          <w14:ligatures w14:val="none"/>
        </w:rPr>
        <w:t>(8), pp.429-436.</w:t>
      </w:r>
    </w:p>
    <w:p w14:paraId="720AED45" w14:textId="174244FB" w:rsidR="00B6596D" w:rsidRPr="00F13523" w:rsidRDefault="00B6596D" w:rsidP="0057591C">
      <w:pPr>
        <w:jc w:val="both"/>
        <w:rPr>
          <w:rFonts w:ascii="Times New Roman" w:hAnsi="Times New Roman" w:cs="Times New Roman"/>
          <w:color w:val="000000" w:themeColor="text1"/>
          <w:sz w:val="24"/>
          <w:szCs w:val="24"/>
        </w:rPr>
      </w:pPr>
      <w:r w:rsidRPr="00F13523">
        <w:rPr>
          <w:rFonts w:ascii="Times New Roman" w:hAnsi="Times New Roman" w:cs="Times New Roman"/>
          <w:color w:val="000000" w:themeColor="text1"/>
          <w:sz w:val="24"/>
          <w:szCs w:val="24"/>
        </w:rPr>
        <w:t xml:space="preserve">Newsome, T.M., Dellinger, J.A., Pavey, C.R., Ripple, W.J., Shores, C.R., </w:t>
      </w:r>
      <w:proofErr w:type="spellStart"/>
      <w:r w:rsidRPr="00F13523">
        <w:rPr>
          <w:rFonts w:ascii="Times New Roman" w:hAnsi="Times New Roman" w:cs="Times New Roman"/>
          <w:color w:val="000000" w:themeColor="text1"/>
          <w:sz w:val="24"/>
          <w:szCs w:val="24"/>
        </w:rPr>
        <w:t>Wirsing</w:t>
      </w:r>
      <w:proofErr w:type="spellEnd"/>
      <w:r w:rsidRPr="00F13523">
        <w:rPr>
          <w:rFonts w:ascii="Times New Roman" w:hAnsi="Times New Roman" w:cs="Times New Roman"/>
          <w:color w:val="000000" w:themeColor="text1"/>
          <w:sz w:val="24"/>
          <w:szCs w:val="24"/>
        </w:rPr>
        <w:t>, A.J. and Dickman, C.R., 2015. The ecological effects of providing resource subsidies to predators. </w:t>
      </w:r>
      <w:r w:rsidRPr="00F13523">
        <w:rPr>
          <w:rFonts w:ascii="Times New Roman" w:hAnsi="Times New Roman" w:cs="Times New Roman"/>
          <w:i/>
          <w:iCs/>
          <w:color w:val="000000" w:themeColor="text1"/>
          <w:sz w:val="24"/>
          <w:szCs w:val="24"/>
        </w:rPr>
        <w:t>Global Ecology and Biogeography</w:t>
      </w:r>
      <w:r w:rsidRPr="00F13523">
        <w:rPr>
          <w:rFonts w:ascii="Times New Roman" w:hAnsi="Times New Roman" w:cs="Times New Roman"/>
          <w:color w:val="000000" w:themeColor="text1"/>
          <w:sz w:val="24"/>
          <w:szCs w:val="24"/>
        </w:rPr>
        <w:t>, </w:t>
      </w:r>
      <w:r w:rsidRPr="00F13523">
        <w:rPr>
          <w:rFonts w:ascii="Times New Roman" w:hAnsi="Times New Roman" w:cs="Times New Roman"/>
          <w:i/>
          <w:iCs/>
          <w:color w:val="000000" w:themeColor="text1"/>
          <w:sz w:val="24"/>
          <w:szCs w:val="24"/>
        </w:rPr>
        <w:t>24</w:t>
      </w:r>
      <w:r w:rsidRPr="00F13523">
        <w:rPr>
          <w:rFonts w:ascii="Times New Roman" w:hAnsi="Times New Roman" w:cs="Times New Roman"/>
          <w:color w:val="000000" w:themeColor="text1"/>
          <w:sz w:val="24"/>
          <w:szCs w:val="24"/>
        </w:rPr>
        <w:t>(1), pp.1-11.</w:t>
      </w:r>
    </w:p>
    <w:p w14:paraId="283D6C00" w14:textId="77777777" w:rsidR="00B6596D" w:rsidRPr="00F13523" w:rsidRDefault="00B6596D" w:rsidP="0057591C">
      <w:pPr>
        <w:jc w:val="both"/>
        <w:rPr>
          <w:rFonts w:ascii="Times New Roman" w:hAnsi="Times New Roman" w:cs="Times New Roman"/>
          <w:color w:val="000000" w:themeColor="text1"/>
          <w:sz w:val="24"/>
          <w:szCs w:val="24"/>
        </w:rPr>
      </w:pPr>
      <w:r w:rsidRPr="00F13523">
        <w:rPr>
          <w:rFonts w:ascii="Times New Roman" w:hAnsi="Times New Roman" w:cs="Times New Roman"/>
          <w:color w:val="000000" w:themeColor="text1"/>
          <w:sz w:val="24"/>
          <w:szCs w:val="24"/>
        </w:rPr>
        <w:t xml:space="preserve">Newton, L., 2008. Illegal, alien, or immigrant: The politics of immigration reform. </w:t>
      </w:r>
      <w:proofErr w:type="spellStart"/>
      <w:r w:rsidRPr="00F13523">
        <w:rPr>
          <w:rFonts w:ascii="Times New Roman" w:hAnsi="Times New Roman" w:cs="Times New Roman"/>
          <w:color w:val="000000" w:themeColor="text1"/>
          <w:sz w:val="24"/>
          <w:szCs w:val="24"/>
        </w:rPr>
        <w:t>nyu</w:t>
      </w:r>
      <w:proofErr w:type="spellEnd"/>
      <w:r w:rsidRPr="00F13523">
        <w:rPr>
          <w:rFonts w:ascii="Times New Roman" w:hAnsi="Times New Roman" w:cs="Times New Roman"/>
          <w:color w:val="000000" w:themeColor="text1"/>
          <w:sz w:val="24"/>
          <w:szCs w:val="24"/>
        </w:rPr>
        <w:t xml:space="preserve"> Press.</w:t>
      </w:r>
    </w:p>
    <w:p w14:paraId="57650042" w14:textId="77777777" w:rsidR="00B6596D" w:rsidRPr="00F13523" w:rsidRDefault="00B6596D" w:rsidP="0057591C">
      <w:pPr>
        <w:pStyle w:val="NormalWeb"/>
        <w:jc w:val="both"/>
        <w:rPr>
          <w:color w:val="000000" w:themeColor="text1"/>
        </w:rPr>
      </w:pPr>
      <w:r w:rsidRPr="00F13523">
        <w:rPr>
          <w:color w:val="000000" w:themeColor="text1"/>
        </w:rPr>
        <w:lastRenderedPageBreak/>
        <w:t xml:space="preserve">Nielsen, J.M., Popp, B.N. and Winder, M., 2015. Meta-analysis of amino acid stable nitrogen isotope ratios for estimating trophic position in marine organisms. </w:t>
      </w:r>
      <w:proofErr w:type="spellStart"/>
      <w:r w:rsidRPr="00F13523">
        <w:rPr>
          <w:rStyle w:val="Emphasis"/>
          <w:rFonts w:eastAsiaTheme="majorEastAsia"/>
          <w:color w:val="000000" w:themeColor="text1"/>
        </w:rPr>
        <w:t>Oecologia</w:t>
      </w:r>
      <w:proofErr w:type="spellEnd"/>
      <w:r w:rsidRPr="00F13523">
        <w:rPr>
          <w:color w:val="000000" w:themeColor="text1"/>
        </w:rPr>
        <w:t>, 178(3), pp.631–642.</w:t>
      </w:r>
    </w:p>
    <w:p w14:paraId="1AD09C5A" w14:textId="77777777" w:rsidR="007E6583" w:rsidRDefault="007E6583" w:rsidP="0057591C">
      <w:pPr>
        <w:pStyle w:val="NormalWeb"/>
        <w:jc w:val="both"/>
        <w:rPr>
          <w:color w:val="000000" w:themeColor="text1"/>
        </w:rPr>
      </w:pPr>
      <w:r w:rsidRPr="007E6583">
        <w:rPr>
          <w:color w:val="000000" w:themeColor="text1"/>
        </w:rPr>
        <w:t>Nijman, V., 2010. An overview of international wildlife trade from Southeast Asia. </w:t>
      </w:r>
      <w:r w:rsidRPr="007E6583">
        <w:rPr>
          <w:i/>
          <w:iCs/>
          <w:color w:val="000000" w:themeColor="text1"/>
        </w:rPr>
        <w:t>Biodiversity and conservation</w:t>
      </w:r>
      <w:r w:rsidRPr="007E6583">
        <w:rPr>
          <w:color w:val="000000" w:themeColor="text1"/>
        </w:rPr>
        <w:t>, </w:t>
      </w:r>
      <w:r w:rsidRPr="007E6583">
        <w:rPr>
          <w:i/>
          <w:iCs/>
          <w:color w:val="000000" w:themeColor="text1"/>
        </w:rPr>
        <w:t>19</w:t>
      </w:r>
      <w:r w:rsidRPr="007E6583">
        <w:rPr>
          <w:color w:val="000000" w:themeColor="text1"/>
        </w:rPr>
        <w:t>(4), pp.1101-1114.</w:t>
      </w:r>
    </w:p>
    <w:p w14:paraId="04844D2D" w14:textId="48D47D1D" w:rsidR="00B6596D" w:rsidRPr="00F13523" w:rsidRDefault="00B6596D" w:rsidP="0057591C">
      <w:pPr>
        <w:pStyle w:val="NormalWeb"/>
        <w:jc w:val="both"/>
        <w:rPr>
          <w:color w:val="000000" w:themeColor="text1"/>
        </w:rPr>
      </w:pPr>
      <w:r w:rsidRPr="00F13523">
        <w:rPr>
          <w:color w:val="000000" w:themeColor="text1"/>
        </w:rPr>
        <w:t xml:space="preserve">O’Leary, M.H., 1988. Carbon isotopes in photosynthesis. </w:t>
      </w:r>
      <w:proofErr w:type="spellStart"/>
      <w:r w:rsidRPr="00F13523">
        <w:rPr>
          <w:rStyle w:val="Emphasis"/>
          <w:rFonts w:eastAsiaTheme="majorEastAsia"/>
          <w:color w:val="000000" w:themeColor="text1"/>
        </w:rPr>
        <w:t>BioScience</w:t>
      </w:r>
      <w:proofErr w:type="spellEnd"/>
      <w:r w:rsidRPr="00F13523">
        <w:rPr>
          <w:color w:val="000000" w:themeColor="text1"/>
        </w:rPr>
        <w:t>, 38(5), pp.328–336.</w:t>
      </w:r>
    </w:p>
    <w:p w14:paraId="62916667" w14:textId="77777777" w:rsidR="00B6596D" w:rsidRPr="00F13523" w:rsidRDefault="00B6596D" w:rsidP="0057591C">
      <w:pPr>
        <w:pStyle w:val="NormalWeb"/>
        <w:jc w:val="both"/>
        <w:rPr>
          <w:color w:val="000000" w:themeColor="text1"/>
        </w:rPr>
      </w:pPr>
      <w:proofErr w:type="spellStart"/>
      <w:r w:rsidRPr="00F13523">
        <w:rPr>
          <w:color w:val="000000" w:themeColor="text1"/>
        </w:rPr>
        <w:t>Ohkouchi</w:t>
      </w:r>
      <w:proofErr w:type="spellEnd"/>
      <w:r w:rsidRPr="00F13523">
        <w:rPr>
          <w:color w:val="000000" w:themeColor="text1"/>
        </w:rPr>
        <w:t xml:space="preserve">, N., </w:t>
      </w:r>
      <w:proofErr w:type="spellStart"/>
      <w:r w:rsidRPr="00F13523">
        <w:rPr>
          <w:color w:val="000000" w:themeColor="text1"/>
        </w:rPr>
        <w:t>Chikaraishi</w:t>
      </w:r>
      <w:proofErr w:type="spellEnd"/>
      <w:r w:rsidRPr="00F13523">
        <w:rPr>
          <w:color w:val="000000" w:themeColor="text1"/>
        </w:rPr>
        <w:t xml:space="preserve">, Y., Close, H.G., Fry, B., Larsen, T., Madigan, D.J., McCarthy, M.D., McMahon, K.W., Nagata, T., Naito, Y.I., Ogawa, N.O., Popp, B.N., </w:t>
      </w:r>
      <w:proofErr w:type="spellStart"/>
      <w:r w:rsidRPr="00F13523">
        <w:rPr>
          <w:color w:val="000000" w:themeColor="text1"/>
        </w:rPr>
        <w:t>Steffan</w:t>
      </w:r>
      <w:proofErr w:type="spellEnd"/>
      <w:r w:rsidRPr="00F13523">
        <w:rPr>
          <w:color w:val="000000" w:themeColor="text1"/>
        </w:rPr>
        <w:t xml:space="preserve">, S.A., Takano, Y., </w:t>
      </w:r>
      <w:proofErr w:type="spellStart"/>
      <w:r w:rsidRPr="00F13523">
        <w:rPr>
          <w:color w:val="000000" w:themeColor="text1"/>
        </w:rPr>
        <w:t>Tayasu</w:t>
      </w:r>
      <w:proofErr w:type="spellEnd"/>
      <w:r w:rsidRPr="00F13523">
        <w:rPr>
          <w:color w:val="000000" w:themeColor="text1"/>
        </w:rPr>
        <w:t xml:space="preserve">, I. and Larsen, T., 2017. Advances in the application of amino acid nitrogen isotopic analysis in ecological and biogeochemical studies. </w:t>
      </w:r>
      <w:r w:rsidRPr="00F13523">
        <w:rPr>
          <w:rStyle w:val="Emphasis"/>
          <w:rFonts w:eastAsiaTheme="majorEastAsia"/>
          <w:color w:val="000000" w:themeColor="text1"/>
        </w:rPr>
        <w:t>Organic Geochemistry</w:t>
      </w:r>
      <w:r w:rsidRPr="00F13523">
        <w:rPr>
          <w:color w:val="000000" w:themeColor="text1"/>
        </w:rPr>
        <w:t>, 113, pp.150–174.</w:t>
      </w:r>
    </w:p>
    <w:p w14:paraId="7F1259F3" w14:textId="77777777" w:rsidR="00B6596D" w:rsidRPr="00F13523" w:rsidRDefault="00B6596D"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Page, M.J., McKenzie, J.E.,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Bossuyt</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P.M.,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Boutron</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I., Hoffmann, T.C., Mulrow, C.D.,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Shamseer</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L.,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Tetzlaff</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J.M.,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Akl</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E.A., Brennan, S.E. and Chou, R., 2021. The PRISMA 2020 statement: an updated guideline for reporting systematic reviews. </w:t>
      </w:r>
      <w:proofErr w:type="spellStart"/>
      <w:r w:rsidRPr="00F13523">
        <w:rPr>
          <w:rFonts w:ascii="Times New Roman" w:eastAsia="Times New Roman" w:hAnsi="Times New Roman" w:cs="Times New Roman"/>
          <w:i/>
          <w:iCs/>
          <w:color w:val="000000" w:themeColor="text1"/>
          <w:kern w:val="0"/>
          <w:sz w:val="24"/>
          <w:szCs w:val="24"/>
          <w:lang w:eastAsia="en-IN" w:bidi="ml-IN"/>
          <w14:ligatures w14:val="none"/>
        </w:rPr>
        <w:t>bmj</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w:t>
      </w:r>
      <w:r w:rsidRPr="00F13523">
        <w:rPr>
          <w:rFonts w:ascii="Times New Roman" w:eastAsia="Times New Roman" w:hAnsi="Times New Roman" w:cs="Times New Roman"/>
          <w:i/>
          <w:iCs/>
          <w:color w:val="000000" w:themeColor="text1"/>
          <w:kern w:val="0"/>
          <w:sz w:val="24"/>
          <w:szCs w:val="24"/>
          <w:lang w:eastAsia="en-IN" w:bidi="ml-IN"/>
          <w14:ligatures w14:val="none"/>
        </w:rPr>
        <w:t>372</w:t>
      </w:r>
      <w:r w:rsidRPr="00F13523">
        <w:rPr>
          <w:rFonts w:ascii="Times New Roman" w:eastAsia="Times New Roman" w:hAnsi="Times New Roman" w:cs="Times New Roman"/>
          <w:color w:val="000000" w:themeColor="text1"/>
          <w:kern w:val="0"/>
          <w:sz w:val="24"/>
          <w:szCs w:val="24"/>
          <w:lang w:eastAsia="en-IN" w:bidi="ml-IN"/>
          <w14:ligatures w14:val="none"/>
        </w:rPr>
        <w:t>.</w:t>
      </w:r>
    </w:p>
    <w:p w14:paraId="7E11CBFD" w14:textId="77777777" w:rsidR="00B6596D" w:rsidRPr="00F13523" w:rsidRDefault="00B6596D"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Parnell, A.C., Inger, R.,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Bearhop</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S. and Jackson, A.L., 2010. Source partitioning using stable isotopes: coping with too much variation.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PloS</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one, 5(3), p.e9672.</w:t>
      </w:r>
    </w:p>
    <w:p w14:paraId="0BCBADE9" w14:textId="77777777" w:rsidR="00B6596D" w:rsidRPr="00F13523" w:rsidRDefault="00B6596D"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Parnell, A.C., Phillips, D.L.,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Bearhop</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S., Semmens, B.X., Ward, E.J., Moore, J.W., Inger, R., Parnell, A. and Jackson, A.L. (2013) ‘Bayesian stable isotope mixing models’, </w:t>
      </w:r>
      <w:proofErr w:type="spellStart"/>
      <w:r w:rsidRPr="00F13523">
        <w:rPr>
          <w:rFonts w:ascii="Times New Roman" w:eastAsia="Times New Roman" w:hAnsi="Times New Roman" w:cs="Times New Roman"/>
          <w:i/>
          <w:iCs/>
          <w:color w:val="000000" w:themeColor="text1"/>
          <w:kern w:val="0"/>
          <w:sz w:val="24"/>
          <w:szCs w:val="24"/>
          <w:lang w:eastAsia="en-IN" w:bidi="ml-IN"/>
          <w14:ligatures w14:val="none"/>
        </w:rPr>
        <w:t>Environmetrics</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24(6), pp. 387–399.</w:t>
      </w:r>
    </w:p>
    <w:p w14:paraId="3AF5FB9D" w14:textId="77777777" w:rsidR="007E6583" w:rsidRDefault="007E6583"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7E6583">
        <w:rPr>
          <w:rFonts w:ascii="Times New Roman" w:eastAsia="Times New Roman" w:hAnsi="Times New Roman" w:cs="Times New Roman"/>
          <w:color w:val="000000" w:themeColor="text1"/>
          <w:kern w:val="0"/>
          <w:sz w:val="24"/>
          <w:szCs w:val="24"/>
          <w:lang w:eastAsia="en-IN" w:bidi="ml-IN"/>
          <w14:ligatures w14:val="none"/>
        </w:rPr>
        <w:t xml:space="preserve">Pauli, J.N. and </w:t>
      </w:r>
      <w:proofErr w:type="spellStart"/>
      <w:r w:rsidRPr="007E6583">
        <w:rPr>
          <w:rFonts w:ascii="Times New Roman" w:eastAsia="Times New Roman" w:hAnsi="Times New Roman" w:cs="Times New Roman"/>
          <w:color w:val="000000" w:themeColor="text1"/>
          <w:kern w:val="0"/>
          <w:sz w:val="24"/>
          <w:szCs w:val="24"/>
          <w:lang w:eastAsia="en-IN" w:bidi="ml-IN"/>
          <w14:ligatures w14:val="none"/>
        </w:rPr>
        <w:t>Curras</w:t>
      </w:r>
      <w:proofErr w:type="spellEnd"/>
      <w:r w:rsidRPr="007E6583">
        <w:rPr>
          <w:rFonts w:ascii="Times New Roman" w:eastAsia="Times New Roman" w:hAnsi="Times New Roman" w:cs="Times New Roman"/>
          <w:color w:val="000000" w:themeColor="text1"/>
          <w:kern w:val="0"/>
          <w:sz w:val="24"/>
          <w:szCs w:val="24"/>
          <w:lang w:eastAsia="en-IN" w:bidi="ml-IN"/>
          <w14:ligatures w14:val="none"/>
        </w:rPr>
        <w:t>, M.R., 2024. Strange brew: Genetic and isotopic analyses to identify the provenance for wildlife forensics and food safety. </w:t>
      </w:r>
      <w:r w:rsidRPr="007E6583">
        <w:rPr>
          <w:rFonts w:ascii="Times New Roman" w:eastAsia="Times New Roman" w:hAnsi="Times New Roman" w:cs="Times New Roman"/>
          <w:i/>
          <w:iCs/>
          <w:color w:val="000000" w:themeColor="text1"/>
          <w:kern w:val="0"/>
          <w:sz w:val="24"/>
          <w:szCs w:val="24"/>
          <w:lang w:eastAsia="en-IN" w:bidi="ml-IN"/>
          <w14:ligatures w14:val="none"/>
        </w:rPr>
        <w:t>Forensic Science International: Animals and Environments</w:t>
      </w:r>
      <w:r w:rsidRPr="007E6583">
        <w:rPr>
          <w:rFonts w:ascii="Times New Roman" w:eastAsia="Times New Roman" w:hAnsi="Times New Roman" w:cs="Times New Roman"/>
          <w:color w:val="000000" w:themeColor="text1"/>
          <w:kern w:val="0"/>
          <w:sz w:val="24"/>
          <w:szCs w:val="24"/>
          <w:lang w:eastAsia="en-IN" w:bidi="ml-IN"/>
          <w14:ligatures w14:val="none"/>
        </w:rPr>
        <w:t>, </w:t>
      </w:r>
      <w:r w:rsidRPr="007E6583">
        <w:rPr>
          <w:rFonts w:ascii="Times New Roman" w:eastAsia="Times New Roman" w:hAnsi="Times New Roman" w:cs="Times New Roman"/>
          <w:i/>
          <w:iCs/>
          <w:color w:val="000000" w:themeColor="text1"/>
          <w:kern w:val="0"/>
          <w:sz w:val="24"/>
          <w:szCs w:val="24"/>
          <w:lang w:eastAsia="en-IN" w:bidi="ml-IN"/>
          <w14:ligatures w14:val="none"/>
        </w:rPr>
        <w:t>5</w:t>
      </w:r>
      <w:r w:rsidRPr="007E6583">
        <w:rPr>
          <w:rFonts w:ascii="Times New Roman" w:eastAsia="Times New Roman" w:hAnsi="Times New Roman" w:cs="Times New Roman"/>
          <w:color w:val="000000" w:themeColor="text1"/>
          <w:kern w:val="0"/>
          <w:sz w:val="24"/>
          <w:szCs w:val="24"/>
          <w:lang w:eastAsia="en-IN" w:bidi="ml-IN"/>
          <w14:ligatures w14:val="none"/>
        </w:rPr>
        <w:t>, p.100081.</w:t>
      </w:r>
    </w:p>
    <w:p w14:paraId="43D71684" w14:textId="5FD2F460" w:rsidR="00B6596D" w:rsidRPr="00F13523" w:rsidRDefault="00B6596D"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Pauly, D., Christensen, V.,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Guénette</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xml:space="preserve">, S., Pitcher, T.J.,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Sumaila</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U.R., Walters, C.J., Watson, R. and Zeller, D., 2002. Towards sustainability in world fisheries. Nature, 418(6898), pp.689-695.</w:t>
      </w:r>
    </w:p>
    <w:p w14:paraId="2D87A809" w14:textId="77777777" w:rsidR="00B6596D" w:rsidRPr="00F13523" w:rsidRDefault="00B6596D" w:rsidP="0057591C">
      <w:pPr>
        <w:jc w:val="both"/>
        <w:rPr>
          <w:rFonts w:ascii="Times New Roman" w:hAnsi="Times New Roman" w:cs="Times New Roman"/>
          <w:color w:val="000000" w:themeColor="text1"/>
          <w:sz w:val="24"/>
          <w:szCs w:val="24"/>
        </w:rPr>
      </w:pPr>
      <w:r w:rsidRPr="00F13523">
        <w:rPr>
          <w:rFonts w:ascii="Times New Roman" w:hAnsi="Times New Roman" w:cs="Times New Roman"/>
          <w:color w:val="000000" w:themeColor="text1"/>
          <w:sz w:val="24"/>
          <w:szCs w:val="24"/>
        </w:rPr>
        <w:t>Peterson, B.J. and Fry, B., 1987. Stable isotopes in ecosystem studies. </w:t>
      </w:r>
      <w:r w:rsidRPr="00F13523">
        <w:rPr>
          <w:rFonts w:ascii="Times New Roman" w:hAnsi="Times New Roman" w:cs="Times New Roman"/>
          <w:i/>
          <w:iCs/>
          <w:color w:val="000000" w:themeColor="text1"/>
          <w:sz w:val="24"/>
          <w:szCs w:val="24"/>
        </w:rPr>
        <w:t>Annual review of ecology and systematics</w:t>
      </w:r>
      <w:r w:rsidRPr="00F13523">
        <w:rPr>
          <w:rFonts w:ascii="Times New Roman" w:hAnsi="Times New Roman" w:cs="Times New Roman"/>
          <w:color w:val="000000" w:themeColor="text1"/>
          <w:sz w:val="24"/>
          <w:szCs w:val="24"/>
        </w:rPr>
        <w:t>, pp.293-320.</w:t>
      </w:r>
    </w:p>
    <w:p w14:paraId="48463231" w14:textId="77777777" w:rsidR="00B6596D" w:rsidRPr="00F13523" w:rsidRDefault="00B6596D"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Phillips, D.L. and Gregg, J.W., 2003. Source partitioning using stable isotopes: coping with too many sources.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Oecologia</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136(2), pp.261-269.</w:t>
      </w:r>
    </w:p>
    <w:p w14:paraId="4800623C" w14:textId="77777777" w:rsidR="00B6596D" w:rsidRPr="00F13523" w:rsidRDefault="00B6596D"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13523">
        <w:rPr>
          <w:rFonts w:ascii="Times New Roman" w:eastAsia="Times New Roman" w:hAnsi="Times New Roman" w:cs="Times New Roman"/>
          <w:color w:val="000000" w:themeColor="text1"/>
          <w:kern w:val="0"/>
          <w:sz w:val="24"/>
          <w:szCs w:val="24"/>
          <w:lang w:eastAsia="en-IN" w:bidi="ml-IN"/>
          <w14:ligatures w14:val="none"/>
        </w:rPr>
        <w:t xml:space="preserve">Phillips, D.L., Inger, R., </w:t>
      </w:r>
      <w:proofErr w:type="spellStart"/>
      <w:r w:rsidRPr="00F13523">
        <w:rPr>
          <w:rFonts w:ascii="Times New Roman" w:eastAsia="Times New Roman" w:hAnsi="Times New Roman" w:cs="Times New Roman"/>
          <w:color w:val="000000" w:themeColor="text1"/>
          <w:kern w:val="0"/>
          <w:sz w:val="24"/>
          <w:szCs w:val="24"/>
          <w:lang w:eastAsia="en-IN" w:bidi="ml-IN"/>
          <w14:ligatures w14:val="none"/>
        </w:rPr>
        <w:t>Bearhop</w:t>
      </w:r>
      <w:proofErr w:type="spellEnd"/>
      <w:r w:rsidRPr="00F13523">
        <w:rPr>
          <w:rFonts w:ascii="Times New Roman" w:eastAsia="Times New Roman" w:hAnsi="Times New Roman" w:cs="Times New Roman"/>
          <w:color w:val="000000" w:themeColor="text1"/>
          <w:kern w:val="0"/>
          <w:sz w:val="24"/>
          <w:szCs w:val="24"/>
          <w:lang w:eastAsia="en-IN" w:bidi="ml-IN"/>
          <w14:ligatures w14:val="none"/>
        </w:rPr>
        <w:t>, S., Jackson, A.L., Moore, J.W., Parnell, A.C., Semmens, B.X. and Ward, E.J., 2014. Best practices for use of stable isotope mixing models in food-web studies. Canadian Journal of Zoology, 92(10), pp.823-835.</w:t>
      </w:r>
    </w:p>
    <w:p w14:paraId="478DC68F" w14:textId="77777777" w:rsidR="007E6583" w:rsidRDefault="007E6583" w:rsidP="00940828">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7E6583">
        <w:rPr>
          <w:rFonts w:ascii="Times New Roman" w:eastAsia="Times New Roman" w:hAnsi="Times New Roman" w:cs="Times New Roman"/>
          <w:color w:val="000000" w:themeColor="text1"/>
          <w:kern w:val="0"/>
          <w:sz w:val="24"/>
          <w:szCs w:val="24"/>
          <w:lang w:eastAsia="en-IN" w:bidi="ml-IN"/>
          <w14:ligatures w14:val="none"/>
        </w:rPr>
        <w:t xml:space="preserve">Phillips, R.A., </w:t>
      </w:r>
      <w:proofErr w:type="spellStart"/>
      <w:r w:rsidRPr="007E6583">
        <w:rPr>
          <w:rFonts w:ascii="Times New Roman" w:eastAsia="Times New Roman" w:hAnsi="Times New Roman" w:cs="Times New Roman"/>
          <w:color w:val="000000" w:themeColor="text1"/>
          <w:kern w:val="0"/>
          <w:sz w:val="24"/>
          <w:szCs w:val="24"/>
          <w:lang w:eastAsia="en-IN" w:bidi="ml-IN"/>
          <w14:ligatures w14:val="none"/>
        </w:rPr>
        <w:t>Bearhop</w:t>
      </w:r>
      <w:proofErr w:type="spellEnd"/>
      <w:r w:rsidRPr="007E6583">
        <w:rPr>
          <w:rFonts w:ascii="Times New Roman" w:eastAsia="Times New Roman" w:hAnsi="Times New Roman" w:cs="Times New Roman"/>
          <w:color w:val="000000" w:themeColor="text1"/>
          <w:kern w:val="0"/>
          <w:sz w:val="24"/>
          <w:szCs w:val="24"/>
          <w:lang w:eastAsia="en-IN" w:bidi="ml-IN"/>
          <w14:ligatures w14:val="none"/>
        </w:rPr>
        <w:t xml:space="preserve">, S., </w:t>
      </w:r>
      <w:proofErr w:type="spellStart"/>
      <w:r w:rsidRPr="007E6583">
        <w:rPr>
          <w:rFonts w:ascii="Times New Roman" w:eastAsia="Times New Roman" w:hAnsi="Times New Roman" w:cs="Times New Roman"/>
          <w:color w:val="000000" w:themeColor="text1"/>
          <w:kern w:val="0"/>
          <w:sz w:val="24"/>
          <w:szCs w:val="24"/>
          <w:lang w:eastAsia="en-IN" w:bidi="ml-IN"/>
          <w14:ligatures w14:val="none"/>
        </w:rPr>
        <w:t>Mcgill</w:t>
      </w:r>
      <w:proofErr w:type="spellEnd"/>
      <w:r w:rsidRPr="007E6583">
        <w:rPr>
          <w:rFonts w:ascii="Times New Roman" w:eastAsia="Times New Roman" w:hAnsi="Times New Roman" w:cs="Times New Roman"/>
          <w:color w:val="000000" w:themeColor="text1"/>
          <w:kern w:val="0"/>
          <w:sz w:val="24"/>
          <w:szCs w:val="24"/>
          <w:lang w:eastAsia="en-IN" w:bidi="ml-IN"/>
          <w14:ligatures w14:val="none"/>
        </w:rPr>
        <w:t>, R.A. and Dawson, D.A., 2009. Stable isotopes reveal individual variation in migration strategies and habitat preferences in a suite of seabirds during the nonbreeding period. </w:t>
      </w:r>
      <w:proofErr w:type="spellStart"/>
      <w:r w:rsidRPr="007E6583">
        <w:rPr>
          <w:rFonts w:ascii="Times New Roman" w:eastAsia="Times New Roman" w:hAnsi="Times New Roman" w:cs="Times New Roman"/>
          <w:i/>
          <w:iCs/>
          <w:color w:val="000000" w:themeColor="text1"/>
          <w:kern w:val="0"/>
          <w:sz w:val="24"/>
          <w:szCs w:val="24"/>
          <w:lang w:eastAsia="en-IN" w:bidi="ml-IN"/>
          <w14:ligatures w14:val="none"/>
        </w:rPr>
        <w:t>Oecologia</w:t>
      </w:r>
      <w:proofErr w:type="spellEnd"/>
      <w:r w:rsidRPr="007E6583">
        <w:rPr>
          <w:rFonts w:ascii="Times New Roman" w:eastAsia="Times New Roman" w:hAnsi="Times New Roman" w:cs="Times New Roman"/>
          <w:color w:val="000000" w:themeColor="text1"/>
          <w:kern w:val="0"/>
          <w:sz w:val="24"/>
          <w:szCs w:val="24"/>
          <w:lang w:eastAsia="en-IN" w:bidi="ml-IN"/>
          <w14:ligatures w14:val="none"/>
        </w:rPr>
        <w:t>, </w:t>
      </w:r>
      <w:r w:rsidRPr="007E6583">
        <w:rPr>
          <w:rFonts w:ascii="Times New Roman" w:eastAsia="Times New Roman" w:hAnsi="Times New Roman" w:cs="Times New Roman"/>
          <w:i/>
          <w:iCs/>
          <w:color w:val="000000" w:themeColor="text1"/>
          <w:kern w:val="0"/>
          <w:sz w:val="24"/>
          <w:szCs w:val="24"/>
          <w:lang w:eastAsia="en-IN" w:bidi="ml-IN"/>
          <w14:ligatures w14:val="none"/>
        </w:rPr>
        <w:t>160</w:t>
      </w:r>
      <w:r w:rsidRPr="007E6583">
        <w:rPr>
          <w:rFonts w:ascii="Times New Roman" w:eastAsia="Times New Roman" w:hAnsi="Times New Roman" w:cs="Times New Roman"/>
          <w:color w:val="000000" w:themeColor="text1"/>
          <w:kern w:val="0"/>
          <w:sz w:val="24"/>
          <w:szCs w:val="24"/>
          <w:lang w:eastAsia="en-IN" w:bidi="ml-IN"/>
          <w14:ligatures w14:val="none"/>
        </w:rPr>
        <w:t>(4), pp.795-806.</w:t>
      </w:r>
    </w:p>
    <w:p w14:paraId="714EA231" w14:textId="77777777" w:rsidR="00396D51" w:rsidRDefault="00396D51"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396D51">
        <w:rPr>
          <w:rFonts w:ascii="Times New Roman" w:eastAsia="Times New Roman" w:hAnsi="Times New Roman" w:cs="Times New Roman"/>
          <w:color w:val="000000" w:themeColor="text1"/>
          <w:kern w:val="0"/>
          <w:sz w:val="24"/>
          <w:szCs w:val="24"/>
          <w:lang w:eastAsia="en-IN" w:bidi="ml-IN"/>
          <w14:ligatures w14:val="none"/>
        </w:rPr>
        <w:t xml:space="preserve">Pires, S.F. and </w:t>
      </w:r>
      <w:proofErr w:type="spellStart"/>
      <w:r w:rsidRPr="00396D51">
        <w:rPr>
          <w:rFonts w:ascii="Times New Roman" w:eastAsia="Times New Roman" w:hAnsi="Times New Roman" w:cs="Times New Roman"/>
          <w:color w:val="000000" w:themeColor="text1"/>
          <w:kern w:val="0"/>
          <w:sz w:val="24"/>
          <w:szCs w:val="24"/>
          <w:lang w:eastAsia="en-IN" w:bidi="ml-IN"/>
          <w14:ligatures w14:val="none"/>
        </w:rPr>
        <w:t>Moreto</w:t>
      </w:r>
      <w:proofErr w:type="spellEnd"/>
      <w:r w:rsidRPr="00396D51">
        <w:rPr>
          <w:rFonts w:ascii="Times New Roman" w:eastAsia="Times New Roman" w:hAnsi="Times New Roman" w:cs="Times New Roman"/>
          <w:color w:val="000000" w:themeColor="text1"/>
          <w:kern w:val="0"/>
          <w:sz w:val="24"/>
          <w:szCs w:val="24"/>
          <w:lang w:eastAsia="en-IN" w:bidi="ml-IN"/>
          <w14:ligatures w14:val="none"/>
        </w:rPr>
        <w:t>, W.D., 2017. Preventing wildlife crimes: Solutions that can overcome the ‘Tragedy of the Commons’. </w:t>
      </w:r>
      <w:r w:rsidRPr="00396D51">
        <w:rPr>
          <w:rFonts w:ascii="Times New Roman" w:eastAsia="Times New Roman" w:hAnsi="Times New Roman" w:cs="Times New Roman"/>
          <w:i/>
          <w:iCs/>
          <w:color w:val="000000" w:themeColor="text1"/>
          <w:kern w:val="0"/>
          <w:sz w:val="24"/>
          <w:szCs w:val="24"/>
          <w:lang w:eastAsia="en-IN" w:bidi="ml-IN"/>
          <w14:ligatures w14:val="none"/>
        </w:rPr>
        <w:t>Transnational environmental crime</w:t>
      </w:r>
      <w:r w:rsidRPr="00396D51">
        <w:rPr>
          <w:rFonts w:ascii="Times New Roman" w:eastAsia="Times New Roman" w:hAnsi="Times New Roman" w:cs="Times New Roman"/>
          <w:color w:val="000000" w:themeColor="text1"/>
          <w:kern w:val="0"/>
          <w:sz w:val="24"/>
          <w:szCs w:val="24"/>
          <w:lang w:eastAsia="en-IN" w:bidi="ml-IN"/>
          <w14:ligatures w14:val="none"/>
        </w:rPr>
        <w:t>, pp.419-442.</w:t>
      </w:r>
    </w:p>
    <w:p w14:paraId="602EB7A5" w14:textId="00B66BB5" w:rsidR="00B6596D" w:rsidRPr="00F13523" w:rsidRDefault="00B6596D" w:rsidP="0057591C">
      <w:pPr>
        <w:jc w:val="both"/>
        <w:rPr>
          <w:rFonts w:ascii="Times New Roman" w:hAnsi="Times New Roman" w:cs="Times New Roman"/>
          <w:color w:val="000000" w:themeColor="text1"/>
          <w:sz w:val="24"/>
          <w:szCs w:val="24"/>
        </w:rPr>
      </w:pPr>
      <w:r w:rsidRPr="00F13523">
        <w:rPr>
          <w:rFonts w:ascii="Times New Roman" w:hAnsi="Times New Roman" w:cs="Times New Roman"/>
          <w:color w:val="000000" w:themeColor="text1"/>
          <w:sz w:val="24"/>
          <w:szCs w:val="24"/>
        </w:rPr>
        <w:lastRenderedPageBreak/>
        <w:t xml:space="preserve">Popp, B.N., Graham, B.S., Olson, R.J., </w:t>
      </w:r>
      <w:proofErr w:type="spellStart"/>
      <w:r w:rsidRPr="00F13523">
        <w:rPr>
          <w:rFonts w:ascii="Times New Roman" w:hAnsi="Times New Roman" w:cs="Times New Roman"/>
          <w:color w:val="000000" w:themeColor="text1"/>
          <w:sz w:val="24"/>
          <w:szCs w:val="24"/>
        </w:rPr>
        <w:t>Hannides</w:t>
      </w:r>
      <w:proofErr w:type="spellEnd"/>
      <w:r w:rsidRPr="00F13523">
        <w:rPr>
          <w:rFonts w:ascii="Times New Roman" w:hAnsi="Times New Roman" w:cs="Times New Roman"/>
          <w:color w:val="000000" w:themeColor="text1"/>
          <w:sz w:val="24"/>
          <w:szCs w:val="24"/>
        </w:rPr>
        <w:t xml:space="preserve">, C.C., Lott, M.J., López‐Ibarra, G.A., </w:t>
      </w:r>
      <w:proofErr w:type="spellStart"/>
      <w:r w:rsidRPr="00F13523">
        <w:rPr>
          <w:rFonts w:ascii="Times New Roman" w:hAnsi="Times New Roman" w:cs="Times New Roman"/>
          <w:color w:val="000000" w:themeColor="text1"/>
          <w:sz w:val="24"/>
          <w:szCs w:val="24"/>
        </w:rPr>
        <w:t>Galván‐Magaña</w:t>
      </w:r>
      <w:proofErr w:type="spellEnd"/>
      <w:r w:rsidRPr="00F13523">
        <w:rPr>
          <w:rFonts w:ascii="Times New Roman" w:hAnsi="Times New Roman" w:cs="Times New Roman"/>
          <w:color w:val="000000" w:themeColor="text1"/>
          <w:sz w:val="24"/>
          <w:szCs w:val="24"/>
        </w:rPr>
        <w:t xml:space="preserve">, F. and Fry, B., 2007. Insight into the trophic ecology of yellowfin tuna, </w:t>
      </w:r>
      <w:proofErr w:type="spellStart"/>
      <w:r w:rsidRPr="00F13523">
        <w:rPr>
          <w:rFonts w:ascii="Times New Roman" w:hAnsi="Times New Roman" w:cs="Times New Roman"/>
          <w:color w:val="000000" w:themeColor="text1"/>
          <w:sz w:val="24"/>
          <w:szCs w:val="24"/>
        </w:rPr>
        <w:t>Thunnus</w:t>
      </w:r>
      <w:proofErr w:type="spellEnd"/>
      <w:r w:rsidRPr="00F13523">
        <w:rPr>
          <w:rFonts w:ascii="Times New Roman" w:hAnsi="Times New Roman" w:cs="Times New Roman"/>
          <w:color w:val="000000" w:themeColor="text1"/>
          <w:sz w:val="24"/>
          <w:szCs w:val="24"/>
        </w:rPr>
        <w:t xml:space="preserve"> </w:t>
      </w:r>
      <w:proofErr w:type="spellStart"/>
      <w:r w:rsidRPr="00F13523">
        <w:rPr>
          <w:rFonts w:ascii="Times New Roman" w:hAnsi="Times New Roman" w:cs="Times New Roman"/>
          <w:color w:val="000000" w:themeColor="text1"/>
          <w:sz w:val="24"/>
          <w:szCs w:val="24"/>
        </w:rPr>
        <w:t>albacares</w:t>
      </w:r>
      <w:proofErr w:type="spellEnd"/>
      <w:r w:rsidRPr="00F13523">
        <w:rPr>
          <w:rFonts w:ascii="Times New Roman" w:hAnsi="Times New Roman" w:cs="Times New Roman"/>
          <w:color w:val="000000" w:themeColor="text1"/>
          <w:sz w:val="24"/>
          <w:szCs w:val="24"/>
        </w:rPr>
        <w:t>, from compound‐specific nitrogen isotope analysis of proteinaceous amino acids. Terrestrial ecology, 1, pp.173-190.</w:t>
      </w:r>
    </w:p>
    <w:p w14:paraId="7B48240F" w14:textId="77777777" w:rsidR="00B6596D" w:rsidRPr="00F13523" w:rsidRDefault="00B6596D" w:rsidP="0057591C">
      <w:pPr>
        <w:jc w:val="both"/>
        <w:rPr>
          <w:rFonts w:ascii="Times New Roman" w:hAnsi="Times New Roman" w:cs="Times New Roman"/>
          <w:color w:val="000000" w:themeColor="text1"/>
          <w:sz w:val="24"/>
          <w:szCs w:val="24"/>
        </w:rPr>
      </w:pPr>
      <w:r w:rsidRPr="00F13523">
        <w:rPr>
          <w:rFonts w:ascii="Times New Roman" w:hAnsi="Times New Roman" w:cs="Times New Roman"/>
          <w:color w:val="000000" w:themeColor="text1"/>
          <w:sz w:val="24"/>
          <w:szCs w:val="24"/>
        </w:rPr>
        <w:t>Post, D.M., 2002. Using stable isotopes to estimate trophic position: models, methods, and assumptions. </w:t>
      </w:r>
      <w:r w:rsidRPr="00F13523">
        <w:rPr>
          <w:rFonts w:ascii="Times New Roman" w:hAnsi="Times New Roman" w:cs="Times New Roman"/>
          <w:i/>
          <w:iCs/>
          <w:color w:val="000000" w:themeColor="text1"/>
          <w:sz w:val="24"/>
          <w:szCs w:val="24"/>
        </w:rPr>
        <w:t>Ecology</w:t>
      </w:r>
      <w:r w:rsidRPr="00F13523">
        <w:rPr>
          <w:rFonts w:ascii="Times New Roman" w:hAnsi="Times New Roman" w:cs="Times New Roman"/>
          <w:color w:val="000000" w:themeColor="text1"/>
          <w:sz w:val="24"/>
          <w:szCs w:val="24"/>
        </w:rPr>
        <w:t>, </w:t>
      </w:r>
      <w:r w:rsidRPr="00F13523">
        <w:rPr>
          <w:rFonts w:ascii="Times New Roman" w:hAnsi="Times New Roman" w:cs="Times New Roman"/>
          <w:i/>
          <w:iCs/>
          <w:color w:val="000000" w:themeColor="text1"/>
          <w:sz w:val="24"/>
          <w:szCs w:val="24"/>
        </w:rPr>
        <w:t>83</w:t>
      </w:r>
      <w:r w:rsidRPr="00F13523">
        <w:rPr>
          <w:rFonts w:ascii="Times New Roman" w:hAnsi="Times New Roman" w:cs="Times New Roman"/>
          <w:color w:val="000000" w:themeColor="text1"/>
          <w:sz w:val="24"/>
          <w:szCs w:val="24"/>
        </w:rPr>
        <w:t>(3), pp.703-718.</w:t>
      </w:r>
    </w:p>
    <w:p w14:paraId="712626DC" w14:textId="77777777" w:rsidR="00396D51" w:rsidRDefault="00396D51" w:rsidP="0057591C">
      <w:pPr>
        <w:pStyle w:val="NormalWeb"/>
        <w:jc w:val="both"/>
        <w:rPr>
          <w:color w:val="000000" w:themeColor="text1"/>
        </w:rPr>
      </w:pPr>
      <w:r w:rsidRPr="00396D51">
        <w:rPr>
          <w:color w:val="000000" w:themeColor="text1"/>
        </w:rPr>
        <w:t xml:space="preserve">Prasad, Y.V.R.K., Rao, K.P. and </w:t>
      </w:r>
      <w:proofErr w:type="spellStart"/>
      <w:r w:rsidRPr="00396D51">
        <w:rPr>
          <w:color w:val="000000" w:themeColor="text1"/>
        </w:rPr>
        <w:t>Sasidhar</w:t>
      </w:r>
      <w:proofErr w:type="spellEnd"/>
      <w:r w:rsidRPr="00396D51">
        <w:rPr>
          <w:color w:val="000000" w:themeColor="text1"/>
        </w:rPr>
        <w:t>, S. eds., 2015. </w:t>
      </w:r>
      <w:r w:rsidRPr="00396D51">
        <w:rPr>
          <w:i/>
          <w:iCs/>
          <w:color w:val="000000" w:themeColor="text1"/>
        </w:rPr>
        <w:t>Hot working guide: a compendium of processing maps</w:t>
      </w:r>
      <w:r w:rsidRPr="00396D51">
        <w:rPr>
          <w:color w:val="000000" w:themeColor="text1"/>
        </w:rPr>
        <w:t>. ASM international.</w:t>
      </w:r>
    </w:p>
    <w:p w14:paraId="19A74902" w14:textId="55532102" w:rsidR="00B6596D" w:rsidRPr="00F13523" w:rsidDel="00AC5838" w:rsidRDefault="00B6596D" w:rsidP="0057591C">
      <w:pPr>
        <w:pStyle w:val="NormalWeb"/>
        <w:jc w:val="both"/>
        <w:rPr>
          <w:color w:val="000000" w:themeColor="text1"/>
        </w:rPr>
      </w:pPr>
      <w:proofErr w:type="spellStart"/>
      <w:r w:rsidRPr="00F13523">
        <w:rPr>
          <w:color w:val="000000" w:themeColor="text1"/>
        </w:rPr>
        <w:t>Prigge</w:t>
      </w:r>
      <w:proofErr w:type="spellEnd"/>
      <w:r w:rsidRPr="00F13523">
        <w:rPr>
          <w:color w:val="000000" w:themeColor="text1"/>
        </w:rPr>
        <w:t xml:space="preserve">, J.L., </w:t>
      </w:r>
      <w:proofErr w:type="spellStart"/>
      <w:r w:rsidRPr="00F13523">
        <w:rPr>
          <w:color w:val="000000" w:themeColor="text1"/>
        </w:rPr>
        <w:t>Bisangwa</w:t>
      </w:r>
      <w:proofErr w:type="spellEnd"/>
      <w:r w:rsidRPr="00F13523">
        <w:rPr>
          <w:color w:val="000000" w:themeColor="text1"/>
        </w:rPr>
        <w:t xml:space="preserve">, E., </w:t>
      </w:r>
      <w:proofErr w:type="spellStart"/>
      <w:r w:rsidRPr="00F13523">
        <w:rPr>
          <w:color w:val="000000" w:themeColor="text1"/>
        </w:rPr>
        <w:t>Richwine</w:t>
      </w:r>
      <w:proofErr w:type="spellEnd"/>
      <w:r w:rsidRPr="00F13523">
        <w:rPr>
          <w:color w:val="000000" w:themeColor="text1"/>
        </w:rPr>
        <w:t>, J.D., Sykes, V.R., Ivey, J.L. and Keyser, P.D., 2024. Native forbs provide pollinator resources and improve forage nutrient composition, animal performance, and pasture productivity. Agronomy, 14(10), p.2184.</w:t>
      </w:r>
    </w:p>
    <w:p w14:paraId="51639C92" w14:textId="77777777" w:rsidR="00396D51" w:rsidRDefault="00396D51" w:rsidP="0057591C">
      <w:pPr>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396D51">
        <w:rPr>
          <w:rFonts w:ascii="Times New Roman" w:eastAsia="Times New Roman" w:hAnsi="Times New Roman" w:cs="Times New Roman"/>
          <w:color w:val="000000" w:themeColor="text1"/>
          <w:kern w:val="0"/>
          <w:sz w:val="24"/>
          <w:szCs w:val="24"/>
          <w:lang w:eastAsia="en-IN" w:bidi="ml-IN"/>
          <w14:ligatures w14:val="none"/>
        </w:rPr>
        <w:t>Prigge</w:t>
      </w:r>
      <w:proofErr w:type="spellEnd"/>
      <w:r w:rsidRPr="00396D51">
        <w:rPr>
          <w:rFonts w:ascii="Times New Roman" w:eastAsia="Times New Roman" w:hAnsi="Times New Roman" w:cs="Times New Roman"/>
          <w:color w:val="000000" w:themeColor="text1"/>
          <w:kern w:val="0"/>
          <w:sz w:val="24"/>
          <w:szCs w:val="24"/>
          <w:lang w:eastAsia="en-IN" w:bidi="ml-IN"/>
          <w14:ligatures w14:val="none"/>
        </w:rPr>
        <w:t xml:space="preserve">, T.L., Andersson, A.A., Hatten, C.E., Leung, E.Y., Baker, D.M., </w:t>
      </w:r>
      <w:proofErr w:type="spellStart"/>
      <w:r w:rsidRPr="00396D51">
        <w:rPr>
          <w:rFonts w:ascii="Times New Roman" w:eastAsia="Times New Roman" w:hAnsi="Times New Roman" w:cs="Times New Roman"/>
          <w:color w:val="000000" w:themeColor="text1"/>
          <w:kern w:val="0"/>
          <w:sz w:val="24"/>
          <w:szCs w:val="24"/>
          <w:lang w:eastAsia="en-IN" w:bidi="ml-IN"/>
          <w14:ligatures w14:val="none"/>
        </w:rPr>
        <w:t>Bonebrake</w:t>
      </w:r>
      <w:proofErr w:type="spellEnd"/>
      <w:r w:rsidRPr="00396D51">
        <w:rPr>
          <w:rFonts w:ascii="Times New Roman" w:eastAsia="Times New Roman" w:hAnsi="Times New Roman" w:cs="Times New Roman"/>
          <w:color w:val="000000" w:themeColor="text1"/>
          <w:kern w:val="0"/>
          <w:sz w:val="24"/>
          <w:szCs w:val="24"/>
          <w:lang w:eastAsia="en-IN" w:bidi="ml-IN"/>
          <w14:ligatures w14:val="none"/>
        </w:rPr>
        <w:t>, T.C. and Dingle, C., 2025. Wildlife trade investigations benefit from multivariate stable isotope analyses. </w:t>
      </w:r>
      <w:r w:rsidRPr="00396D51">
        <w:rPr>
          <w:rFonts w:ascii="Times New Roman" w:eastAsia="Times New Roman" w:hAnsi="Times New Roman" w:cs="Times New Roman"/>
          <w:i/>
          <w:iCs/>
          <w:color w:val="000000" w:themeColor="text1"/>
          <w:kern w:val="0"/>
          <w:sz w:val="24"/>
          <w:szCs w:val="24"/>
          <w:lang w:eastAsia="en-IN" w:bidi="ml-IN"/>
          <w14:ligatures w14:val="none"/>
        </w:rPr>
        <w:t>Biological Reviews</w:t>
      </w:r>
      <w:r w:rsidRPr="00396D51">
        <w:rPr>
          <w:rFonts w:ascii="Times New Roman" w:eastAsia="Times New Roman" w:hAnsi="Times New Roman" w:cs="Times New Roman"/>
          <w:color w:val="000000" w:themeColor="text1"/>
          <w:kern w:val="0"/>
          <w:sz w:val="24"/>
          <w:szCs w:val="24"/>
          <w:lang w:eastAsia="en-IN" w:bidi="ml-IN"/>
          <w14:ligatures w14:val="none"/>
        </w:rPr>
        <w:t>, </w:t>
      </w:r>
      <w:r w:rsidRPr="00396D51">
        <w:rPr>
          <w:rFonts w:ascii="Times New Roman" w:eastAsia="Times New Roman" w:hAnsi="Times New Roman" w:cs="Times New Roman"/>
          <w:i/>
          <w:iCs/>
          <w:color w:val="000000" w:themeColor="text1"/>
          <w:kern w:val="0"/>
          <w:sz w:val="24"/>
          <w:szCs w:val="24"/>
          <w:lang w:eastAsia="en-IN" w:bidi="ml-IN"/>
          <w14:ligatures w14:val="none"/>
        </w:rPr>
        <w:t>100</w:t>
      </w:r>
      <w:r w:rsidRPr="00396D51">
        <w:rPr>
          <w:rFonts w:ascii="Times New Roman" w:eastAsia="Times New Roman" w:hAnsi="Times New Roman" w:cs="Times New Roman"/>
          <w:color w:val="000000" w:themeColor="text1"/>
          <w:kern w:val="0"/>
          <w:sz w:val="24"/>
          <w:szCs w:val="24"/>
          <w:lang w:eastAsia="en-IN" w:bidi="ml-IN"/>
          <w14:ligatures w14:val="none"/>
        </w:rPr>
        <w:t>(3), pp.1083-1104.</w:t>
      </w:r>
    </w:p>
    <w:p w14:paraId="66F44F17" w14:textId="14E93359" w:rsidR="00916365" w:rsidRDefault="00916365" w:rsidP="0057591C">
      <w:pPr>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916365">
        <w:rPr>
          <w:rFonts w:ascii="Times New Roman" w:eastAsia="Times New Roman" w:hAnsi="Times New Roman" w:cs="Times New Roman"/>
          <w:color w:val="000000" w:themeColor="text1"/>
          <w:kern w:val="0"/>
          <w:sz w:val="24"/>
          <w:szCs w:val="24"/>
          <w:lang w:eastAsia="en-IN" w:bidi="ml-IN"/>
          <w14:ligatures w14:val="none"/>
        </w:rPr>
        <w:t>Prigge</w:t>
      </w:r>
      <w:proofErr w:type="spellEnd"/>
      <w:r w:rsidRPr="00916365">
        <w:rPr>
          <w:rFonts w:ascii="Times New Roman" w:eastAsia="Times New Roman" w:hAnsi="Times New Roman" w:cs="Times New Roman"/>
          <w:color w:val="000000" w:themeColor="text1"/>
          <w:kern w:val="0"/>
          <w:sz w:val="24"/>
          <w:szCs w:val="24"/>
          <w:lang w:eastAsia="en-IN" w:bidi="ml-IN"/>
          <w14:ligatures w14:val="none"/>
        </w:rPr>
        <w:t xml:space="preserve">, T.L., Andersson, A.A., Hatten, C.E., Leung, E.Y., Baker, D.M., </w:t>
      </w:r>
      <w:proofErr w:type="spellStart"/>
      <w:r w:rsidRPr="00916365">
        <w:rPr>
          <w:rFonts w:ascii="Times New Roman" w:eastAsia="Times New Roman" w:hAnsi="Times New Roman" w:cs="Times New Roman"/>
          <w:color w:val="000000" w:themeColor="text1"/>
          <w:kern w:val="0"/>
          <w:sz w:val="24"/>
          <w:szCs w:val="24"/>
          <w:lang w:eastAsia="en-IN" w:bidi="ml-IN"/>
          <w14:ligatures w14:val="none"/>
        </w:rPr>
        <w:t>Bonebrake</w:t>
      </w:r>
      <w:proofErr w:type="spellEnd"/>
      <w:r w:rsidRPr="00916365">
        <w:rPr>
          <w:rFonts w:ascii="Times New Roman" w:eastAsia="Times New Roman" w:hAnsi="Times New Roman" w:cs="Times New Roman"/>
          <w:color w:val="000000" w:themeColor="text1"/>
          <w:kern w:val="0"/>
          <w:sz w:val="24"/>
          <w:szCs w:val="24"/>
          <w:lang w:eastAsia="en-IN" w:bidi="ml-IN"/>
          <w14:ligatures w14:val="none"/>
        </w:rPr>
        <w:t>, T.C. and Dingle, C., 2025. Wildlife trade investigations benefit from multivariate stable isotope analyses. </w:t>
      </w:r>
      <w:r w:rsidRPr="00916365">
        <w:rPr>
          <w:rFonts w:ascii="Times New Roman" w:eastAsia="Times New Roman" w:hAnsi="Times New Roman" w:cs="Times New Roman"/>
          <w:i/>
          <w:iCs/>
          <w:color w:val="000000" w:themeColor="text1"/>
          <w:kern w:val="0"/>
          <w:sz w:val="24"/>
          <w:szCs w:val="24"/>
          <w:lang w:eastAsia="en-IN" w:bidi="ml-IN"/>
          <w14:ligatures w14:val="none"/>
        </w:rPr>
        <w:t>Biological Reviews</w:t>
      </w:r>
      <w:r w:rsidRPr="00916365">
        <w:rPr>
          <w:rFonts w:ascii="Times New Roman" w:eastAsia="Times New Roman" w:hAnsi="Times New Roman" w:cs="Times New Roman"/>
          <w:color w:val="000000" w:themeColor="text1"/>
          <w:kern w:val="0"/>
          <w:sz w:val="24"/>
          <w:szCs w:val="24"/>
          <w:lang w:eastAsia="en-IN" w:bidi="ml-IN"/>
          <w14:ligatures w14:val="none"/>
        </w:rPr>
        <w:t>, </w:t>
      </w:r>
      <w:r w:rsidRPr="00916365">
        <w:rPr>
          <w:rFonts w:ascii="Times New Roman" w:eastAsia="Times New Roman" w:hAnsi="Times New Roman" w:cs="Times New Roman"/>
          <w:i/>
          <w:iCs/>
          <w:color w:val="000000" w:themeColor="text1"/>
          <w:kern w:val="0"/>
          <w:sz w:val="24"/>
          <w:szCs w:val="24"/>
          <w:lang w:eastAsia="en-IN" w:bidi="ml-IN"/>
          <w14:ligatures w14:val="none"/>
        </w:rPr>
        <w:t>100</w:t>
      </w:r>
      <w:r w:rsidRPr="00916365">
        <w:rPr>
          <w:rFonts w:ascii="Times New Roman" w:eastAsia="Times New Roman" w:hAnsi="Times New Roman" w:cs="Times New Roman"/>
          <w:color w:val="000000" w:themeColor="text1"/>
          <w:kern w:val="0"/>
          <w:sz w:val="24"/>
          <w:szCs w:val="24"/>
          <w:lang w:eastAsia="en-IN" w:bidi="ml-IN"/>
          <w14:ligatures w14:val="none"/>
        </w:rPr>
        <w:t>(3), pp.1083-1104.</w:t>
      </w:r>
    </w:p>
    <w:p w14:paraId="587694FD" w14:textId="3668A0F9" w:rsidR="00916365" w:rsidRDefault="00916365"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916365">
        <w:rPr>
          <w:rFonts w:ascii="Times New Roman" w:eastAsia="Times New Roman" w:hAnsi="Times New Roman" w:cs="Times New Roman"/>
          <w:color w:val="000000" w:themeColor="text1"/>
          <w:kern w:val="0"/>
          <w:sz w:val="24"/>
          <w:szCs w:val="24"/>
          <w:lang w:eastAsia="en-IN" w:bidi="ml-IN"/>
          <w14:ligatures w14:val="none"/>
        </w:rPr>
        <w:t>Radhakrishna, T., Bansal, B.K. and Ramakrishna, C., 2021. Geodynamic events leading to formation of passive western continental margin of India. </w:t>
      </w:r>
      <w:r w:rsidRPr="00916365">
        <w:rPr>
          <w:rFonts w:ascii="Times New Roman" w:eastAsia="Times New Roman" w:hAnsi="Times New Roman" w:cs="Times New Roman"/>
          <w:i/>
          <w:iCs/>
          <w:color w:val="000000" w:themeColor="text1"/>
          <w:kern w:val="0"/>
          <w:sz w:val="24"/>
          <w:szCs w:val="24"/>
          <w:lang w:eastAsia="en-IN" w:bidi="ml-IN"/>
          <w14:ligatures w14:val="none"/>
        </w:rPr>
        <w:t>Journal of Geodynamics</w:t>
      </w:r>
      <w:r w:rsidRPr="00916365">
        <w:rPr>
          <w:rFonts w:ascii="Times New Roman" w:eastAsia="Times New Roman" w:hAnsi="Times New Roman" w:cs="Times New Roman"/>
          <w:color w:val="000000" w:themeColor="text1"/>
          <w:kern w:val="0"/>
          <w:sz w:val="24"/>
          <w:szCs w:val="24"/>
          <w:lang w:eastAsia="en-IN" w:bidi="ml-IN"/>
          <w14:ligatures w14:val="none"/>
        </w:rPr>
        <w:t>, </w:t>
      </w:r>
      <w:r w:rsidRPr="00916365">
        <w:rPr>
          <w:rFonts w:ascii="Times New Roman" w:eastAsia="Times New Roman" w:hAnsi="Times New Roman" w:cs="Times New Roman"/>
          <w:i/>
          <w:iCs/>
          <w:color w:val="000000" w:themeColor="text1"/>
          <w:kern w:val="0"/>
          <w:sz w:val="24"/>
          <w:szCs w:val="24"/>
          <w:lang w:eastAsia="en-IN" w:bidi="ml-IN"/>
          <w14:ligatures w14:val="none"/>
        </w:rPr>
        <w:t>148</w:t>
      </w:r>
      <w:r w:rsidRPr="00916365">
        <w:rPr>
          <w:rFonts w:ascii="Times New Roman" w:eastAsia="Times New Roman" w:hAnsi="Times New Roman" w:cs="Times New Roman"/>
          <w:color w:val="000000" w:themeColor="text1"/>
          <w:kern w:val="0"/>
          <w:sz w:val="24"/>
          <w:szCs w:val="24"/>
          <w:lang w:eastAsia="en-IN" w:bidi="ml-IN"/>
          <w14:ligatures w14:val="none"/>
        </w:rPr>
        <w:t>, p.101878.</w:t>
      </w:r>
    </w:p>
    <w:p w14:paraId="08CD8946" w14:textId="4C9703B8" w:rsidR="00916365" w:rsidRDefault="00916365" w:rsidP="0057591C">
      <w:pPr>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916365">
        <w:rPr>
          <w:rFonts w:ascii="Times New Roman" w:eastAsia="Times New Roman" w:hAnsi="Times New Roman" w:cs="Times New Roman"/>
          <w:color w:val="000000" w:themeColor="text1"/>
          <w:kern w:val="0"/>
          <w:sz w:val="24"/>
          <w:szCs w:val="24"/>
          <w:lang w:eastAsia="en-IN" w:bidi="ml-IN"/>
          <w14:ligatures w14:val="none"/>
        </w:rPr>
        <w:t>Radloff</w:t>
      </w:r>
      <w:proofErr w:type="spellEnd"/>
      <w:r w:rsidRPr="00916365">
        <w:rPr>
          <w:rFonts w:ascii="Times New Roman" w:eastAsia="Times New Roman" w:hAnsi="Times New Roman" w:cs="Times New Roman"/>
          <w:color w:val="000000" w:themeColor="text1"/>
          <w:kern w:val="0"/>
          <w:sz w:val="24"/>
          <w:szCs w:val="24"/>
          <w:lang w:eastAsia="en-IN" w:bidi="ml-IN"/>
          <w14:ligatures w14:val="none"/>
        </w:rPr>
        <w:t xml:space="preserve">, F.G., Hobson, K.A. and Leslie, A.J., 2012. Characterising ontogenetic niche shifts in Nile crocodile using stable isotope (δ13C, δ15N) analyses of </w:t>
      </w:r>
      <w:proofErr w:type="spellStart"/>
      <w:r w:rsidRPr="00916365">
        <w:rPr>
          <w:rFonts w:ascii="Times New Roman" w:eastAsia="Times New Roman" w:hAnsi="Times New Roman" w:cs="Times New Roman"/>
          <w:color w:val="000000" w:themeColor="text1"/>
          <w:kern w:val="0"/>
          <w:sz w:val="24"/>
          <w:szCs w:val="24"/>
          <w:lang w:eastAsia="en-IN" w:bidi="ml-IN"/>
          <w14:ligatures w14:val="none"/>
        </w:rPr>
        <w:t>scute</w:t>
      </w:r>
      <w:proofErr w:type="spellEnd"/>
      <w:r w:rsidRPr="00916365">
        <w:rPr>
          <w:rFonts w:ascii="Times New Roman" w:eastAsia="Times New Roman" w:hAnsi="Times New Roman" w:cs="Times New Roman"/>
          <w:color w:val="000000" w:themeColor="text1"/>
          <w:kern w:val="0"/>
          <w:sz w:val="24"/>
          <w:szCs w:val="24"/>
          <w:lang w:eastAsia="en-IN" w:bidi="ml-IN"/>
          <w14:ligatures w14:val="none"/>
        </w:rPr>
        <w:t xml:space="preserve"> keratin. </w:t>
      </w:r>
      <w:r w:rsidRPr="00916365">
        <w:rPr>
          <w:rFonts w:ascii="Times New Roman" w:eastAsia="Times New Roman" w:hAnsi="Times New Roman" w:cs="Times New Roman"/>
          <w:i/>
          <w:iCs/>
          <w:color w:val="000000" w:themeColor="text1"/>
          <w:kern w:val="0"/>
          <w:sz w:val="24"/>
          <w:szCs w:val="24"/>
          <w:lang w:eastAsia="en-IN" w:bidi="ml-IN"/>
          <w14:ligatures w14:val="none"/>
        </w:rPr>
        <w:t>Isotopes in environmental and health studies</w:t>
      </w:r>
      <w:r w:rsidRPr="00916365">
        <w:rPr>
          <w:rFonts w:ascii="Times New Roman" w:eastAsia="Times New Roman" w:hAnsi="Times New Roman" w:cs="Times New Roman"/>
          <w:color w:val="000000" w:themeColor="text1"/>
          <w:kern w:val="0"/>
          <w:sz w:val="24"/>
          <w:szCs w:val="24"/>
          <w:lang w:eastAsia="en-IN" w:bidi="ml-IN"/>
          <w14:ligatures w14:val="none"/>
        </w:rPr>
        <w:t>, </w:t>
      </w:r>
      <w:r w:rsidRPr="00916365">
        <w:rPr>
          <w:rFonts w:ascii="Times New Roman" w:eastAsia="Times New Roman" w:hAnsi="Times New Roman" w:cs="Times New Roman"/>
          <w:i/>
          <w:iCs/>
          <w:color w:val="000000" w:themeColor="text1"/>
          <w:kern w:val="0"/>
          <w:sz w:val="24"/>
          <w:szCs w:val="24"/>
          <w:lang w:eastAsia="en-IN" w:bidi="ml-IN"/>
          <w14:ligatures w14:val="none"/>
        </w:rPr>
        <w:t>48</w:t>
      </w:r>
      <w:r w:rsidRPr="00916365">
        <w:rPr>
          <w:rFonts w:ascii="Times New Roman" w:eastAsia="Times New Roman" w:hAnsi="Times New Roman" w:cs="Times New Roman"/>
          <w:color w:val="000000" w:themeColor="text1"/>
          <w:kern w:val="0"/>
          <w:sz w:val="24"/>
          <w:szCs w:val="24"/>
          <w:lang w:eastAsia="en-IN" w:bidi="ml-IN"/>
          <w14:ligatures w14:val="none"/>
        </w:rPr>
        <w:t>(3), pp.439-456.</w:t>
      </w:r>
    </w:p>
    <w:p w14:paraId="5080D9A3" w14:textId="331D5EE0" w:rsidR="00916365" w:rsidRDefault="00916365"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916365">
        <w:rPr>
          <w:rFonts w:ascii="Times New Roman" w:eastAsia="Times New Roman" w:hAnsi="Times New Roman" w:cs="Times New Roman"/>
          <w:color w:val="000000" w:themeColor="text1"/>
          <w:kern w:val="0"/>
          <w:sz w:val="24"/>
          <w:szCs w:val="24"/>
          <w:lang w:eastAsia="en-IN" w:bidi="ml-IN"/>
          <w14:ligatures w14:val="none"/>
        </w:rPr>
        <w:t xml:space="preserve">Ramesh, R., Krishnan, P., Ramachandran, P., Senthil </w:t>
      </w:r>
      <w:proofErr w:type="spellStart"/>
      <w:r w:rsidRPr="00916365">
        <w:rPr>
          <w:rFonts w:ascii="Times New Roman" w:eastAsia="Times New Roman" w:hAnsi="Times New Roman" w:cs="Times New Roman"/>
          <w:color w:val="000000" w:themeColor="text1"/>
          <w:kern w:val="0"/>
          <w:sz w:val="24"/>
          <w:szCs w:val="24"/>
          <w:lang w:eastAsia="en-IN" w:bidi="ml-IN"/>
          <w14:ligatures w14:val="none"/>
        </w:rPr>
        <w:t>Vel</w:t>
      </w:r>
      <w:proofErr w:type="spellEnd"/>
      <w:r w:rsidRPr="00916365">
        <w:rPr>
          <w:rFonts w:ascii="Times New Roman" w:eastAsia="Times New Roman" w:hAnsi="Times New Roman" w:cs="Times New Roman"/>
          <w:color w:val="000000" w:themeColor="text1"/>
          <w:kern w:val="0"/>
          <w:sz w:val="24"/>
          <w:szCs w:val="24"/>
          <w:lang w:eastAsia="en-IN" w:bidi="ml-IN"/>
          <w14:ligatures w14:val="none"/>
        </w:rPr>
        <w:t xml:space="preserve">, A., </w:t>
      </w:r>
      <w:proofErr w:type="spellStart"/>
      <w:r w:rsidRPr="00916365">
        <w:rPr>
          <w:rFonts w:ascii="Times New Roman" w:eastAsia="Times New Roman" w:hAnsi="Times New Roman" w:cs="Times New Roman"/>
          <w:color w:val="000000" w:themeColor="text1"/>
          <w:kern w:val="0"/>
          <w:sz w:val="24"/>
          <w:szCs w:val="24"/>
          <w:lang w:eastAsia="en-IN" w:bidi="ml-IN"/>
          <w14:ligatures w14:val="none"/>
        </w:rPr>
        <w:t>Rajakumari</w:t>
      </w:r>
      <w:proofErr w:type="spellEnd"/>
      <w:r w:rsidRPr="00916365">
        <w:rPr>
          <w:rFonts w:ascii="Times New Roman" w:eastAsia="Times New Roman" w:hAnsi="Times New Roman" w:cs="Times New Roman"/>
          <w:color w:val="000000" w:themeColor="text1"/>
          <w:kern w:val="0"/>
          <w:sz w:val="24"/>
          <w:szCs w:val="24"/>
          <w:lang w:eastAsia="en-IN" w:bidi="ml-IN"/>
          <w14:ligatures w14:val="none"/>
        </w:rPr>
        <w:t xml:space="preserve">, S. and </w:t>
      </w:r>
      <w:proofErr w:type="spellStart"/>
      <w:r w:rsidRPr="00916365">
        <w:rPr>
          <w:rFonts w:ascii="Times New Roman" w:eastAsia="Times New Roman" w:hAnsi="Times New Roman" w:cs="Times New Roman"/>
          <w:color w:val="000000" w:themeColor="text1"/>
          <w:kern w:val="0"/>
          <w:sz w:val="24"/>
          <w:szCs w:val="24"/>
          <w:lang w:eastAsia="en-IN" w:bidi="ml-IN"/>
          <w14:ligatures w14:val="none"/>
        </w:rPr>
        <w:t>Shyam</w:t>
      </w:r>
      <w:proofErr w:type="spellEnd"/>
      <w:r w:rsidRPr="00916365">
        <w:rPr>
          <w:rFonts w:ascii="Times New Roman" w:eastAsia="Times New Roman" w:hAnsi="Times New Roman" w:cs="Times New Roman"/>
          <w:color w:val="000000" w:themeColor="text1"/>
          <w:kern w:val="0"/>
          <w:sz w:val="24"/>
          <w:szCs w:val="24"/>
          <w:lang w:eastAsia="en-IN" w:bidi="ml-IN"/>
          <w14:ligatures w14:val="none"/>
        </w:rPr>
        <w:t xml:space="preserve">, S.S., 2016. Critically Vulnerable Coastal Areas-A Framework for Community Based Resource Management: </w:t>
      </w:r>
      <w:proofErr w:type="spellStart"/>
      <w:r w:rsidRPr="00916365">
        <w:rPr>
          <w:rFonts w:ascii="Times New Roman" w:eastAsia="Times New Roman" w:hAnsi="Times New Roman" w:cs="Times New Roman"/>
          <w:color w:val="000000" w:themeColor="text1"/>
          <w:kern w:val="0"/>
          <w:sz w:val="24"/>
          <w:szCs w:val="24"/>
          <w:lang w:eastAsia="en-IN" w:bidi="ml-IN"/>
          <w14:ligatures w14:val="none"/>
        </w:rPr>
        <w:t>Vembanad</w:t>
      </w:r>
      <w:proofErr w:type="spellEnd"/>
      <w:r w:rsidRPr="00916365">
        <w:rPr>
          <w:rFonts w:ascii="Times New Roman" w:eastAsia="Times New Roman" w:hAnsi="Times New Roman" w:cs="Times New Roman"/>
          <w:color w:val="000000" w:themeColor="text1"/>
          <w:kern w:val="0"/>
          <w:sz w:val="24"/>
          <w:szCs w:val="24"/>
          <w:lang w:eastAsia="en-IN" w:bidi="ml-IN"/>
          <w14:ligatures w14:val="none"/>
        </w:rPr>
        <w:t>, Kerala 2016.</w:t>
      </w:r>
    </w:p>
    <w:p w14:paraId="5E0CCDA5" w14:textId="78EA530C" w:rsidR="00916365" w:rsidRDefault="00916365"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916365">
        <w:rPr>
          <w:rFonts w:ascii="Times New Roman" w:eastAsia="Times New Roman" w:hAnsi="Times New Roman" w:cs="Times New Roman"/>
          <w:color w:val="000000" w:themeColor="text1"/>
          <w:kern w:val="0"/>
          <w:sz w:val="24"/>
          <w:szCs w:val="24"/>
          <w:lang w:eastAsia="en-IN" w:bidi="ml-IN"/>
          <w14:ligatures w14:val="none"/>
        </w:rPr>
        <w:t>Ramesh, T., Prakash, R. and Shukla, K.K., 2010. Life cycle energy analysis of buildings: An overview. </w:t>
      </w:r>
      <w:r w:rsidRPr="00916365">
        <w:rPr>
          <w:rFonts w:ascii="Times New Roman" w:eastAsia="Times New Roman" w:hAnsi="Times New Roman" w:cs="Times New Roman"/>
          <w:i/>
          <w:iCs/>
          <w:color w:val="000000" w:themeColor="text1"/>
          <w:kern w:val="0"/>
          <w:sz w:val="24"/>
          <w:szCs w:val="24"/>
          <w:lang w:eastAsia="en-IN" w:bidi="ml-IN"/>
          <w14:ligatures w14:val="none"/>
        </w:rPr>
        <w:t>Energy and buildings</w:t>
      </w:r>
      <w:r w:rsidRPr="00916365">
        <w:rPr>
          <w:rFonts w:ascii="Times New Roman" w:eastAsia="Times New Roman" w:hAnsi="Times New Roman" w:cs="Times New Roman"/>
          <w:color w:val="000000" w:themeColor="text1"/>
          <w:kern w:val="0"/>
          <w:sz w:val="24"/>
          <w:szCs w:val="24"/>
          <w:lang w:eastAsia="en-IN" w:bidi="ml-IN"/>
          <w14:ligatures w14:val="none"/>
        </w:rPr>
        <w:t>, </w:t>
      </w:r>
      <w:r w:rsidRPr="00916365">
        <w:rPr>
          <w:rFonts w:ascii="Times New Roman" w:eastAsia="Times New Roman" w:hAnsi="Times New Roman" w:cs="Times New Roman"/>
          <w:i/>
          <w:iCs/>
          <w:color w:val="000000" w:themeColor="text1"/>
          <w:kern w:val="0"/>
          <w:sz w:val="24"/>
          <w:szCs w:val="24"/>
          <w:lang w:eastAsia="en-IN" w:bidi="ml-IN"/>
          <w14:ligatures w14:val="none"/>
        </w:rPr>
        <w:t>42</w:t>
      </w:r>
      <w:r w:rsidRPr="00916365">
        <w:rPr>
          <w:rFonts w:ascii="Times New Roman" w:eastAsia="Times New Roman" w:hAnsi="Times New Roman" w:cs="Times New Roman"/>
          <w:color w:val="000000" w:themeColor="text1"/>
          <w:kern w:val="0"/>
          <w:sz w:val="24"/>
          <w:szCs w:val="24"/>
          <w:lang w:eastAsia="en-IN" w:bidi="ml-IN"/>
          <w14:ligatures w14:val="none"/>
        </w:rPr>
        <w:t>(10), pp.1592-1600.</w:t>
      </w:r>
    </w:p>
    <w:p w14:paraId="6DA58548" w14:textId="77777777" w:rsidR="00BE53F1" w:rsidRDefault="00BE53F1"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BE53F1">
        <w:rPr>
          <w:rFonts w:ascii="Times New Roman" w:eastAsia="Times New Roman" w:hAnsi="Times New Roman" w:cs="Times New Roman"/>
          <w:color w:val="000000" w:themeColor="text1"/>
          <w:kern w:val="0"/>
          <w:sz w:val="24"/>
          <w:szCs w:val="24"/>
          <w:lang w:eastAsia="en-IN" w:bidi="ml-IN"/>
          <w14:ligatures w14:val="none"/>
        </w:rPr>
        <w:t>Ramos, R. and González-Solís, J., 2012. Trace me if you can: the use of intrinsic biogeochemical markers in marine top predators. </w:t>
      </w:r>
      <w:r w:rsidRPr="00BE53F1">
        <w:rPr>
          <w:rFonts w:ascii="Times New Roman" w:eastAsia="Times New Roman" w:hAnsi="Times New Roman" w:cs="Times New Roman"/>
          <w:i/>
          <w:iCs/>
          <w:color w:val="000000" w:themeColor="text1"/>
          <w:kern w:val="0"/>
          <w:sz w:val="24"/>
          <w:szCs w:val="24"/>
          <w:lang w:eastAsia="en-IN" w:bidi="ml-IN"/>
          <w14:ligatures w14:val="none"/>
        </w:rPr>
        <w:t>Frontiers in Ecology and the Environment</w:t>
      </w:r>
      <w:r w:rsidRPr="00BE53F1">
        <w:rPr>
          <w:rFonts w:ascii="Times New Roman" w:eastAsia="Times New Roman" w:hAnsi="Times New Roman" w:cs="Times New Roman"/>
          <w:color w:val="000000" w:themeColor="text1"/>
          <w:kern w:val="0"/>
          <w:sz w:val="24"/>
          <w:szCs w:val="24"/>
          <w:lang w:eastAsia="en-IN" w:bidi="ml-IN"/>
          <w14:ligatures w14:val="none"/>
        </w:rPr>
        <w:t>, </w:t>
      </w:r>
      <w:r w:rsidRPr="00BE53F1">
        <w:rPr>
          <w:rFonts w:ascii="Times New Roman" w:eastAsia="Times New Roman" w:hAnsi="Times New Roman" w:cs="Times New Roman"/>
          <w:i/>
          <w:iCs/>
          <w:color w:val="000000" w:themeColor="text1"/>
          <w:kern w:val="0"/>
          <w:sz w:val="24"/>
          <w:szCs w:val="24"/>
          <w:lang w:eastAsia="en-IN" w:bidi="ml-IN"/>
          <w14:ligatures w14:val="none"/>
        </w:rPr>
        <w:t>10</w:t>
      </w:r>
      <w:r w:rsidRPr="00BE53F1">
        <w:rPr>
          <w:rFonts w:ascii="Times New Roman" w:eastAsia="Times New Roman" w:hAnsi="Times New Roman" w:cs="Times New Roman"/>
          <w:color w:val="000000" w:themeColor="text1"/>
          <w:kern w:val="0"/>
          <w:sz w:val="24"/>
          <w:szCs w:val="24"/>
          <w:lang w:eastAsia="en-IN" w:bidi="ml-IN"/>
          <w14:ligatures w14:val="none"/>
        </w:rPr>
        <w:t>(5), pp.258-266.</w:t>
      </w:r>
    </w:p>
    <w:p w14:paraId="6B28C8CE" w14:textId="77777777" w:rsidR="00BE53F1" w:rsidRDefault="00BE53F1" w:rsidP="0057591C">
      <w:pPr>
        <w:jc w:val="both"/>
        <w:rPr>
          <w:rFonts w:ascii="Times New Roman" w:hAnsi="Times New Roman" w:cs="Times New Roman"/>
          <w:color w:val="000000" w:themeColor="text1"/>
          <w:sz w:val="24"/>
          <w:szCs w:val="24"/>
        </w:rPr>
      </w:pPr>
      <w:r w:rsidRPr="00BE53F1">
        <w:rPr>
          <w:rFonts w:ascii="Times New Roman" w:hAnsi="Times New Roman" w:cs="Times New Roman"/>
          <w:color w:val="000000" w:themeColor="text1"/>
          <w:sz w:val="24"/>
          <w:szCs w:val="24"/>
        </w:rPr>
        <w:t xml:space="preserve">Redpath, S.M., Young, J., </w:t>
      </w:r>
      <w:proofErr w:type="spellStart"/>
      <w:r w:rsidRPr="00BE53F1">
        <w:rPr>
          <w:rFonts w:ascii="Times New Roman" w:hAnsi="Times New Roman" w:cs="Times New Roman"/>
          <w:color w:val="000000" w:themeColor="text1"/>
          <w:sz w:val="24"/>
          <w:szCs w:val="24"/>
        </w:rPr>
        <w:t>Evely</w:t>
      </w:r>
      <w:proofErr w:type="spellEnd"/>
      <w:r w:rsidRPr="00BE53F1">
        <w:rPr>
          <w:rFonts w:ascii="Times New Roman" w:hAnsi="Times New Roman" w:cs="Times New Roman"/>
          <w:color w:val="000000" w:themeColor="text1"/>
          <w:sz w:val="24"/>
          <w:szCs w:val="24"/>
        </w:rPr>
        <w:t>, A., Adams, W.M., Sutherland, W.J., Whitehouse, A., Amar, A., Lambert, R.A., Linnell, J.D., Watt, A. and Gutierrez, R.J., 2013. Understanding and managing conservation conflicts. </w:t>
      </w:r>
      <w:r w:rsidRPr="00BE53F1">
        <w:rPr>
          <w:rFonts w:ascii="Times New Roman" w:hAnsi="Times New Roman" w:cs="Times New Roman"/>
          <w:i/>
          <w:iCs/>
          <w:color w:val="000000" w:themeColor="text1"/>
          <w:sz w:val="24"/>
          <w:szCs w:val="24"/>
        </w:rPr>
        <w:t>Trends in ecology &amp; evolution</w:t>
      </w:r>
      <w:r w:rsidRPr="00BE53F1">
        <w:rPr>
          <w:rFonts w:ascii="Times New Roman" w:hAnsi="Times New Roman" w:cs="Times New Roman"/>
          <w:color w:val="000000" w:themeColor="text1"/>
          <w:sz w:val="24"/>
          <w:szCs w:val="24"/>
        </w:rPr>
        <w:t>, </w:t>
      </w:r>
      <w:r w:rsidRPr="00BE53F1">
        <w:rPr>
          <w:rFonts w:ascii="Times New Roman" w:hAnsi="Times New Roman" w:cs="Times New Roman"/>
          <w:i/>
          <w:iCs/>
          <w:color w:val="000000" w:themeColor="text1"/>
          <w:sz w:val="24"/>
          <w:szCs w:val="24"/>
        </w:rPr>
        <w:t>28</w:t>
      </w:r>
      <w:r w:rsidRPr="00BE53F1">
        <w:rPr>
          <w:rFonts w:ascii="Times New Roman" w:hAnsi="Times New Roman" w:cs="Times New Roman"/>
          <w:color w:val="000000" w:themeColor="text1"/>
          <w:sz w:val="24"/>
          <w:szCs w:val="24"/>
        </w:rPr>
        <w:t>(2), pp.100-109.</w:t>
      </w:r>
    </w:p>
    <w:p w14:paraId="5B7FAFDE" w14:textId="77777777" w:rsidR="00BE53F1" w:rsidRDefault="00BE53F1" w:rsidP="0057591C">
      <w:pPr>
        <w:jc w:val="both"/>
        <w:rPr>
          <w:rFonts w:ascii="Times New Roman" w:hAnsi="Times New Roman" w:cs="Times New Roman"/>
          <w:color w:val="000000" w:themeColor="text1"/>
          <w:sz w:val="24"/>
          <w:szCs w:val="24"/>
        </w:rPr>
      </w:pPr>
      <w:r w:rsidRPr="00BE53F1">
        <w:rPr>
          <w:rFonts w:ascii="Times New Roman" w:hAnsi="Times New Roman" w:cs="Times New Roman"/>
          <w:color w:val="000000" w:themeColor="text1"/>
          <w:sz w:val="24"/>
          <w:szCs w:val="24"/>
        </w:rPr>
        <w:t xml:space="preserve">Robbins, C.T., </w:t>
      </w:r>
      <w:proofErr w:type="spellStart"/>
      <w:r w:rsidRPr="00BE53F1">
        <w:rPr>
          <w:rFonts w:ascii="Times New Roman" w:hAnsi="Times New Roman" w:cs="Times New Roman"/>
          <w:color w:val="000000" w:themeColor="text1"/>
          <w:sz w:val="24"/>
          <w:szCs w:val="24"/>
        </w:rPr>
        <w:t>Felicetti</w:t>
      </w:r>
      <w:proofErr w:type="spellEnd"/>
      <w:r w:rsidRPr="00BE53F1">
        <w:rPr>
          <w:rFonts w:ascii="Times New Roman" w:hAnsi="Times New Roman" w:cs="Times New Roman"/>
          <w:color w:val="000000" w:themeColor="text1"/>
          <w:sz w:val="24"/>
          <w:szCs w:val="24"/>
        </w:rPr>
        <w:t>, L.A. and Florin, S.T., 2010. The impact of protein quality on stable nitrogen isotope ratio discrimination and assimilated diet estimation. </w:t>
      </w:r>
      <w:proofErr w:type="spellStart"/>
      <w:r w:rsidRPr="00BE53F1">
        <w:rPr>
          <w:rFonts w:ascii="Times New Roman" w:hAnsi="Times New Roman" w:cs="Times New Roman"/>
          <w:i/>
          <w:iCs/>
          <w:color w:val="000000" w:themeColor="text1"/>
          <w:sz w:val="24"/>
          <w:szCs w:val="24"/>
        </w:rPr>
        <w:t>Oecologia</w:t>
      </w:r>
      <w:proofErr w:type="spellEnd"/>
      <w:r w:rsidRPr="00BE53F1">
        <w:rPr>
          <w:rFonts w:ascii="Times New Roman" w:hAnsi="Times New Roman" w:cs="Times New Roman"/>
          <w:color w:val="000000" w:themeColor="text1"/>
          <w:sz w:val="24"/>
          <w:szCs w:val="24"/>
        </w:rPr>
        <w:t>, </w:t>
      </w:r>
      <w:r w:rsidRPr="00BE53F1">
        <w:rPr>
          <w:rFonts w:ascii="Times New Roman" w:hAnsi="Times New Roman" w:cs="Times New Roman"/>
          <w:i/>
          <w:iCs/>
          <w:color w:val="000000" w:themeColor="text1"/>
          <w:sz w:val="24"/>
          <w:szCs w:val="24"/>
        </w:rPr>
        <w:t>162</w:t>
      </w:r>
      <w:r w:rsidRPr="00BE53F1">
        <w:rPr>
          <w:rFonts w:ascii="Times New Roman" w:hAnsi="Times New Roman" w:cs="Times New Roman"/>
          <w:color w:val="000000" w:themeColor="text1"/>
          <w:sz w:val="24"/>
          <w:szCs w:val="24"/>
        </w:rPr>
        <w:t>(3), pp.571-579.</w:t>
      </w:r>
    </w:p>
    <w:p w14:paraId="2E7CD1FD" w14:textId="77777777" w:rsidR="00BE53F1" w:rsidRDefault="00BE53F1"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BE53F1">
        <w:rPr>
          <w:rFonts w:ascii="Times New Roman" w:eastAsia="Times New Roman" w:hAnsi="Times New Roman" w:cs="Times New Roman"/>
          <w:color w:val="000000" w:themeColor="text1"/>
          <w:kern w:val="0"/>
          <w:sz w:val="24"/>
          <w:szCs w:val="24"/>
          <w:lang w:eastAsia="en-IN" w:bidi="ml-IN"/>
          <w14:ligatures w14:val="none"/>
        </w:rPr>
        <w:t>Rubenstein, D.R. and Hobson, K.A., 2004. From birds to butterflies: animal movement patterns and stable isotopes. </w:t>
      </w:r>
      <w:r w:rsidRPr="00BE53F1">
        <w:rPr>
          <w:rFonts w:ascii="Times New Roman" w:eastAsia="Times New Roman" w:hAnsi="Times New Roman" w:cs="Times New Roman"/>
          <w:i/>
          <w:iCs/>
          <w:color w:val="000000" w:themeColor="text1"/>
          <w:kern w:val="0"/>
          <w:sz w:val="24"/>
          <w:szCs w:val="24"/>
          <w:lang w:eastAsia="en-IN" w:bidi="ml-IN"/>
          <w14:ligatures w14:val="none"/>
        </w:rPr>
        <w:t>Trends in ecology &amp; evolution</w:t>
      </w:r>
      <w:r w:rsidRPr="00BE53F1">
        <w:rPr>
          <w:rFonts w:ascii="Times New Roman" w:eastAsia="Times New Roman" w:hAnsi="Times New Roman" w:cs="Times New Roman"/>
          <w:color w:val="000000" w:themeColor="text1"/>
          <w:kern w:val="0"/>
          <w:sz w:val="24"/>
          <w:szCs w:val="24"/>
          <w:lang w:eastAsia="en-IN" w:bidi="ml-IN"/>
          <w14:ligatures w14:val="none"/>
        </w:rPr>
        <w:t>, </w:t>
      </w:r>
      <w:r w:rsidRPr="00BE53F1">
        <w:rPr>
          <w:rFonts w:ascii="Times New Roman" w:eastAsia="Times New Roman" w:hAnsi="Times New Roman" w:cs="Times New Roman"/>
          <w:i/>
          <w:iCs/>
          <w:color w:val="000000" w:themeColor="text1"/>
          <w:kern w:val="0"/>
          <w:sz w:val="24"/>
          <w:szCs w:val="24"/>
          <w:lang w:eastAsia="en-IN" w:bidi="ml-IN"/>
          <w14:ligatures w14:val="none"/>
        </w:rPr>
        <w:t>19</w:t>
      </w:r>
      <w:r w:rsidRPr="00BE53F1">
        <w:rPr>
          <w:rFonts w:ascii="Times New Roman" w:eastAsia="Times New Roman" w:hAnsi="Times New Roman" w:cs="Times New Roman"/>
          <w:color w:val="000000" w:themeColor="text1"/>
          <w:kern w:val="0"/>
          <w:sz w:val="24"/>
          <w:szCs w:val="24"/>
          <w:lang w:eastAsia="en-IN" w:bidi="ml-IN"/>
          <w14:ligatures w14:val="none"/>
        </w:rPr>
        <w:t>(5), pp.256-263.</w:t>
      </w:r>
    </w:p>
    <w:p w14:paraId="2C137FFD" w14:textId="424D6732" w:rsidR="00916365" w:rsidRDefault="00916365" w:rsidP="0057591C">
      <w:pPr>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916365">
        <w:rPr>
          <w:rFonts w:ascii="Times New Roman" w:eastAsia="Times New Roman" w:hAnsi="Times New Roman" w:cs="Times New Roman"/>
          <w:color w:val="000000" w:themeColor="text1"/>
          <w:kern w:val="0"/>
          <w:sz w:val="24"/>
          <w:szCs w:val="24"/>
          <w:lang w:eastAsia="en-IN" w:bidi="ml-IN"/>
          <w14:ligatures w14:val="none"/>
        </w:rPr>
        <w:lastRenderedPageBreak/>
        <w:t>Sahu</w:t>
      </w:r>
      <w:proofErr w:type="spellEnd"/>
      <w:r w:rsidRPr="00916365">
        <w:rPr>
          <w:rFonts w:ascii="Times New Roman" w:eastAsia="Times New Roman" w:hAnsi="Times New Roman" w:cs="Times New Roman"/>
          <w:color w:val="000000" w:themeColor="text1"/>
          <w:kern w:val="0"/>
          <w:sz w:val="24"/>
          <w:szCs w:val="24"/>
          <w:lang w:eastAsia="en-IN" w:bidi="ml-IN"/>
          <w14:ligatures w14:val="none"/>
        </w:rPr>
        <w:t>, L.N. and Maurya, A.S., Application of Stable Water Isotope Enrichment Model to Estimate Evaporation from Running Water Body: Insights from Northern India. </w:t>
      </w:r>
      <w:r w:rsidRPr="00916365">
        <w:rPr>
          <w:rFonts w:ascii="Times New Roman" w:eastAsia="Times New Roman" w:hAnsi="Times New Roman" w:cs="Times New Roman"/>
          <w:i/>
          <w:iCs/>
          <w:color w:val="000000" w:themeColor="text1"/>
          <w:kern w:val="0"/>
          <w:sz w:val="24"/>
          <w:szCs w:val="24"/>
          <w:lang w:eastAsia="en-IN" w:bidi="ml-IN"/>
          <w14:ligatures w14:val="none"/>
        </w:rPr>
        <w:t>Available at SSRN 5766171</w:t>
      </w:r>
      <w:r w:rsidRPr="00916365">
        <w:rPr>
          <w:rFonts w:ascii="Times New Roman" w:eastAsia="Times New Roman" w:hAnsi="Times New Roman" w:cs="Times New Roman"/>
          <w:color w:val="000000" w:themeColor="text1"/>
          <w:kern w:val="0"/>
          <w:sz w:val="24"/>
          <w:szCs w:val="24"/>
          <w:lang w:eastAsia="en-IN" w:bidi="ml-IN"/>
          <w14:ligatures w14:val="none"/>
        </w:rPr>
        <w:t xml:space="preserve">. </w:t>
      </w:r>
    </w:p>
    <w:p w14:paraId="48D1F937" w14:textId="5302C384" w:rsidR="0004162B" w:rsidRDefault="0004162B" w:rsidP="0057591C">
      <w:pPr>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04162B">
        <w:rPr>
          <w:rFonts w:ascii="Times New Roman" w:eastAsia="Times New Roman" w:hAnsi="Times New Roman" w:cs="Times New Roman"/>
          <w:color w:val="000000" w:themeColor="text1"/>
          <w:kern w:val="0"/>
          <w:sz w:val="24"/>
          <w:szCs w:val="24"/>
          <w:lang w:eastAsia="en-IN" w:bidi="ml-IN"/>
          <w14:ligatures w14:val="none"/>
        </w:rPr>
        <w:t>Sarma</w:t>
      </w:r>
      <w:proofErr w:type="spellEnd"/>
      <w:r w:rsidRPr="0004162B">
        <w:rPr>
          <w:rFonts w:ascii="Times New Roman" w:eastAsia="Times New Roman" w:hAnsi="Times New Roman" w:cs="Times New Roman"/>
          <w:color w:val="000000" w:themeColor="text1"/>
          <w:kern w:val="0"/>
          <w:sz w:val="24"/>
          <w:szCs w:val="24"/>
          <w:lang w:eastAsia="en-IN" w:bidi="ml-IN"/>
          <w14:ligatures w14:val="none"/>
        </w:rPr>
        <w:t xml:space="preserve">, D.S., McNaughton, N.J., </w:t>
      </w:r>
      <w:proofErr w:type="spellStart"/>
      <w:r w:rsidRPr="0004162B">
        <w:rPr>
          <w:rFonts w:ascii="Times New Roman" w:eastAsia="Times New Roman" w:hAnsi="Times New Roman" w:cs="Times New Roman"/>
          <w:color w:val="000000" w:themeColor="text1"/>
          <w:kern w:val="0"/>
          <w:sz w:val="24"/>
          <w:szCs w:val="24"/>
          <w:lang w:eastAsia="en-IN" w:bidi="ml-IN"/>
          <w14:ligatures w14:val="none"/>
        </w:rPr>
        <w:t>Belusova</w:t>
      </w:r>
      <w:proofErr w:type="spellEnd"/>
      <w:r w:rsidRPr="0004162B">
        <w:rPr>
          <w:rFonts w:ascii="Times New Roman" w:eastAsia="Times New Roman" w:hAnsi="Times New Roman" w:cs="Times New Roman"/>
          <w:color w:val="000000" w:themeColor="text1"/>
          <w:kern w:val="0"/>
          <w:sz w:val="24"/>
          <w:szCs w:val="24"/>
          <w:lang w:eastAsia="en-IN" w:bidi="ml-IN"/>
          <w14:ligatures w14:val="none"/>
        </w:rPr>
        <w:t xml:space="preserve">, E., Mohan, M.R. and Fletcher, I.R., 2012. Detrital zircon U–Pb ages and Hf-isotope systematics from the </w:t>
      </w:r>
      <w:proofErr w:type="spellStart"/>
      <w:r w:rsidRPr="0004162B">
        <w:rPr>
          <w:rFonts w:ascii="Times New Roman" w:eastAsia="Times New Roman" w:hAnsi="Times New Roman" w:cs="Times New Roman"/>
          <w:color w:val="000000" w:themeColor="text1"/>
          <w:kern w:val="0"/>
          <w:sz w:val="24"/>
          <w:szCs w:val="24"/>
          <w:lang w:eastAsia="en-IN" w:bidi="ml-IN"/>
          <w14:ligatures w14:val="none"/>
        </w:rPr>
        <w:t>Gadag</w:t>
      </w:r>
      <w:proofErr w:type="spellEnd"/>
      <w:r w:rsidRPr="0004162B">
        <w:rPr>
          <w:rFonts w:ascii="Times New Roman" w:eastAsia="Times New Roman" w:hAnsi="Times New Roman" w:cs="Times New Roman"/>
          <w:color w:val="000000" w:themeColor="text1"/>
          <w:kern w:val="0"/>
          <w:sz w:val="24"/>
          <w:szCs w:val="24"/>
          <w:lang w:eastAsia="en-IN" w:bidi="ml-IN"/>
          <w14:ligatures w14:val="none"/>
        </w:rPr>
        <w:t xml:space="preserve"> Greenstone Belt: Archean crustal growth in the western </w:t>
      </w:r>
      <w:proofErr w:type="spellStart"/>
      <w:r w:rsidRPr="0004162B">
        <w:rPr>
          <w:rFonts w:ascii="Times New Roman" w:eastAsia="Times New Roman" w:hAnsi="Times New Roman" w:cs="Times New Roman"/>
          <w:color w:val="000000" w:themeColor="text1"/>
          <w:kern w:val="0"/>
          <w:sz w:val="24"/>
          <w:szCs w:val="24"/>
          <w:lang w:eastAsia="en-IN" w:bidi="ml-IN"/>
          <w14:ligatures w14:val="none"/>
        </w:rPr>
        <w:t>Dharwar</w:t>
      </w:r>
      <w:proofErr w:type="spellEnd"/>
      <w:r w:rsidRPr="0004162B">
        <w:rPr>
          <w:rFonts w:ascii="Times New Roman" w:eastAsia="Times New Roman" w:hAnsi="Times New Roman" w:cs="Times New Roman"/>
          <w:color w:val="000000" w:themeColor="text1"/>
          <w:kern w:val="0"/>
          <w:sz w:val="24"/>
          <w:szCs w:val="24"/>
          <w:lang w:eastAsia="en-IN" w:bidi="ml-IN"/>
          <w14:ligatures w14:val="none"/>
        </w:rPr>
        <w:t xml:space="preserve"> Craton, India. </w:t>
      </w:r>
      <w:r w:rsidRPr="0004162B">
        <w:rPr>
          <w:rFonts w:ascii="Times New Roman" w:eastAsia="Times New Roman" w:hAnsi="Times New Roman" w:cs="Times New Roman"/>
          <w:i/>
          <w:iCs/>
          <w:color w:val="000000" w:themeColor="text1"/>
          <w:kern w:val="0"/>
          <w:sz w:val="24"/>
          <w:szCs w:val="24"/>
          <w:lang w:eastAsia="en-IN" w:bidi="ml-IN"/>
          <w14:ligatures w14:val="none"/>
        </w:rPr>
        <w:t>Gondwana Research</w:t>
      </w:r>
      <w:r w:rsidRPr="0004162B">
        <w:rPr>
          <w:rFonts w:ascii="Times New Roman" w:eastAsia="Times New Roman" w:hAnsi="Times New Roman" w:cs="Times New Roman"/>
          <w:color w:val="000000" w:themeColor="text1"/>
          <w:kern w:val="0"/>
          <w:sz w:val="24"/>
          <w:szCs w:val="24"/>
          <w:lang w:eastAsia="en-IN" w:bidi="ml-IN"/>
          <w14:ligatures w14:val="none"/>
        </w:rPr>
        <w:t>, </w:t>
      </w:r>
      <w:r w:rsidRPr="0004162B">
        <w:rPr>
          <w:rFonts w:ascii="Times New Roman" w:eastAsia="Times New Roman" w:hAnsi="Times New Roman" w:cs="Times New Roman"/>
          <w:i/>
          <w:iCs/>
          <w:color w:val="000000" w:themeColor="text1"/>
          <w:kern w:val="0"/>
          <w:sz w:val="24"/>
          <w:szCs w:val="24"/>
          <w:lang w:eastAsia="en-IN" w:bidi="ml-IN"/>
          <w14:ligatures w14:val="none"/>
        </w:rPr>
        <w:t>22</w:t>
      </w:r>
      <w:r w:rsidRPr="0004162B">
        <w:rPr>
          <w:rFonts w:ascii="Times New Roman" w:eastAsia="Times New Roman" w:hAnsi="Times New Roman" w:cs="Times New Roman"/>
          <w:color w:val="000000" w:themeColor="text1"/>
          <w:kern w:val="0"/>
          <w:sz w:val="24"/>
          <w:szCs w:val="24"/>
          <w:lang w:eastAsia="en-IN" w:bidi="ml-IN"/>
          <w14:ligatures w14:val="none"/>
        </w:rPr>
        <w:t>(3-4), pp.843-854.</w:t>
      </w:r>
    </w:p>
    <w:p w14:paraId="48726513" w14:textId="56F67ACD" w:rsidR="00B6596D" w:rsidRPr="00F13523" w:rsidRDefault="00B6596D" w:rsidP="0057591C">
      <w:pPr>
        <w:jc w:val="both"/>
        <w:rPr>
          <w:rFonts w:ascii="Times New Roman" w:hAnsi="Times New Roman" w:cs="Times New Roman"/>
          <w:color w:val="000000" w:themeColor="text1"/>
          <w:sz w:val="24"/>
          <w:szCs w:val="24"/>
        </w:rPr>
      </w:pPr>
      <w:proofErr w:type="spellStart"/>
      <w:r w:rsidRPr="00F13523">
        <w:rPr>
          <w:rFonts w:ascii="Times New Roman" w:hAnsi="Times New Roman" w:cs="Times New Roman"/>
          <w:color w:val="000000" w:themeColor="text1"/>
          <w:sz w:val="24"/>
          <w:szCs w:val="24"/>
        </w:rPr>
        <w:t>Secor</w:t>
      </w:r>
      <w:proofErr w:type="spellEnd"/>
      <w:r w:rsidRPr="00F13523">
        <w:rPr>
          <w:rFonts w:ascii="Times New Roman" w:hAnsi="Times New Roman" w:cs="Times New Roman"/>
          <w:color w:val="000000" w:themeColor="text1"/>
          <w:sz w:val="24"/>
          <w:szCs w:val="24"/>
        </w:rPr>
        <w:t xml:space="preserve">, D.H. and </w:t>
      </w:r>
      <w:proofErr w:type="spellStart"/>
      <w:r w:rsidRPr="00F13523">
        <w:rPr>
          <w:rFonts w:ascii="Times New Roman" w:hAnsi="Times New Roman" w:cs="Times New Roman"/>
          <w:color w:val="000000" w:themeColor="text1"/>
          <w:sz w:val="24"/>
          <w:szCs w:val="24"/>
        </w:rPr>
        <w:t>Rooker</w:t>
      </w:r>
      <w:proofErr w:type="spellEnd"/>
      <w:r w:rsidRPr="00F13523">
        <w:rPr>
          <w:rFonts w:ascii="Times New Roman" w:hAnsi="Times New Roman" w:cs="Times New Roman"/>
          <w:color w:val="000000" w:themeColor="text1"/>
          <w:sz w:val="24"/>
          <w:szCs w:val="24"/>
        </w:rPr>
        <w:t>, J.R., 2000. Is otolith strontium a useful scalar of life cycles in estuarine fishes? </w:t>
      </w:r>
      <w:r w:rsidRPr="00F13523">
        <w:rPr>
          <w:rFonts w:ascii="Times New Roman" w:hAnsi="Times New Roman" w:cs="Times New Roman"/>
          <w:i/>
          <w:iCs/>
          <w:color w:val="000000" w:themeColor="text1"/>
          <w:sz w:val="24"/>
          <w:szCs w:val="24"/>
        </w:rPr>
        <w:t>Fisheries Research</w:t>
      </w:r>
      <w:r w:rsidRPr="00F13523">
        <w:rPr>
          <w:rFonts w:ascii="Times New Roman" w:hAnsi="Times New Roman" w:cs="Times New Roman"/>
          <w:color w:val="000000" w:themeColor="text1"/>
          <w:sz w:val="24"/>
          <w:szCs w:val="24"/>
        </w:rPr>
        <w:t>, </w:t>
      </w:r>
      <w:r w:rsidRPr="00F13523">
        <w:rPr>
          <w:rFonts w:ascii="Times New Roman" w:hAnsi="Times New Roman" w:cs="Times New Roman"/>
          <w:i/>
          <w:iCs/>
          <w:color w:val="000000" w:themeColor="text1"/>
          <w:sz w:val="24"/>
          <w:szCs w:val="24"/>
        </w:rPr>
        <w:t>46</w:t>
      </w:r>
      <w:r w:rsidRPr="00F13523">
        <w:rPr>
          <w:rFonts w:ascii="Times New Roman" w:hAnsi="Times New Roman" w:cs="Times New Roman"/>
          <w:color w:val="000000" w:themeColor="text1"/>
          <w:sz w:val="24"/>
          <w:szCs w:val="24"/>
        </w:rPr>
        <w:t>(1-3), pp.359-371.</w:t>
      </w:r>
    </w:p>
    <w:p w14:paraId="1D0973D4" w14:textId="77777777" w:rsidR="00BE53F1" w:rsidRDefault="00BE53F1" w:rsidP="0057591C">
      <w:pPr>
        <w:pStyle w:val="NormalWeb"/>
        <w:jc w:val="both"/>
        <w:rPr>
          <w:rFonts w:eastAsiaTheme="minorHAnsi"/>
          <w:color w:val="000000" w:themeColor="text1"/>
          <w:kern w:val="2"/>
          <w:lang w:eastAsia="en-US" w:bidi="ar-SA"/>
          <w14:ligatures w14:val="standardContextual"/>
        </w:rPr>
      </w:pPr>
      <w:r w:rsidRPr="00BE53F1">
        <w:rPr>
          <w:rFonts w:eastAsiaTheme="minorHAnsi"/>
          <w:color w:val="000000" w:themeColor="text1"/>
          <w:kern w:val="2"/>
          <w:lang w:eastAsia="en-US" w:bidi="ar-SA"/>
          <w14:ligatures w14:val="standardContextual"/>
        </w:rPr>
        <w:t xml:space="preserve">Singh, N., Shekhar, M., Singh, J., Gupta, A.K., </w:t>
      </w:r>
      <w:proofErr w:type="spellStart"/>
      <w:r w:rsidRPr="00BE53F1">
        <w:rPr>
          <w:rFonts w:eastAsiaTheme="minorHAnsi"/>
          <w:color w:val="000000" w:themeColor="text1"/>
          <w:kern w:val="2"/>
          <w:lang w:eastAsia="en-US" w:bidi="ar-SA"/>
          <w14:ligatures w14:val="standardContextual"/>
        </w:rPr>
        <w:t>Bräuning</w:t>
      </w:r>
      <w:proofErr w:type="spellEnd"/>
      <w:r w:rsidRPr="00BE53F1">
        <w:rPr>
          <w:rFonts w:eastAsiaTheme="minorHAnsi"/>
          <w:color w:val="000000" w:themeColor="text1"/>
          <w:kern w:val="2"/>
          <w:lang w:eastAsia="en-US" w:bidi="ar-SA"/>
          <w14:ligatures w14:val="standardContextual"/>
        </w:rPr>
        <w:t>, A., Mayr, C. and Singhal, M., 2021. Central Himalayan tree-ring isotopes reveal increasing regional heterogeneity and enhancement in ice mass loss since the 1960s. </w:t>
      </w:r>
      <w:r w:rsidRPr="00BE53F1">
        <w:rPr>
          <w:rFonts w:eastAsiaTheme="minorHAnsi"/>
          <w:i/>
          <w:iCs/>
          <w:color w:val="000000" w:themeColor="text1"/>
          <w:kern w:val="2"/>
          <w:lang w:eastAsia="en-US" w:bidi="ar-SA"/>
          <w14:ligatures w14:val="standardContextual"/>
        </w:rPr>
        <w:t>The Cryosphere</w:t>
      </w:r>
      <w:r w:rsidRPr="00BE53F1">
        <w:rPr>
          <w:rFonts w:eastAsiaTheme="minorHAnsi"/>
          <w:color w:val="000000" w:themeColor="text1"/>
          <w:kern w:val="2"/>
          <w:lang w:eastAsia="en-US" w:bidi="ar-SA"/>
          <w14:ligatures w14:val="standardContextual"/>
        </w:rPr>
        <w:t>, </w:t>
      </w:r>
      <w:r w:rsidRPr="00BE53F1">
        <w:rPr>
          <w:rFonts w:eastAsiaTheme="minorHAnsi"/>
          <w:i/>
          <w:iCs/>
          <w:color w:val="000000" w:themeColor="text1"/>
          <w:kern w:val="2"/>
          <w:lang w:eastAsia="en-US" w:bidi="ar-SA"/>
          <w14:ligatures w14:val="standardContextual"/>
        </w:rPr>
        <w:t>15</w:t>
      </w:r>
      <w:r w:rsidRPr="00BE53F1">
        <w:rPr>
          <w:rFonts w:eastAsiaTheme="minorHAnsi"/>
          <w:color w:val="000000" w:themeColor="text1"/>
          <w:kern w:val="2"/>
          <w:lang w:eastAsia="en-US" w:bidi="ar-SA"/>
          <w14:ligatures w14:val="standardContextual"/>
        </w:rPr>
        <w:t>(1), pp.95-112.</w:t>
      </w:r>
    </w:p>
    <w:p w14:paraId="1CF9ED62" w14:textId="77777777" w:rsidR="0004162B" w:rsidRDefault="0004162B"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04162B">
        <w:rPr>
          <w:rFonts w:ascii="Times New Roman" w:eastAsia="Times New Roman" w:hAnsi="Times New Roman" w:cs="Times New Roman"/>
          <w:color w:val="000000" w:themeColor="text1"/>
          <w:kern w:val="0"/>
          <w:sz w:val="24"/>
          <w:szCs w:val="24"/>
          <w:lang w:eastAsia="en-IN" w:bidi="ml-IN"/>
          <w14:ligatures w14:val="none"/>
        </w:rPr>
        <w:t>Skinner, C., Cobain, M.R.D., Zhu, Y., Wyatt, A.S.J. and Polunin, N.V.C., 2022. Progress and direction in the use of stable isotopes to understand complex coral reef ecosystems: A review. </w:t>
      </w:r>
      <w:r w:rsidRPr="0004162B">
        <w:rPr>
          <w:rFonts w:ascii="Times New Roman" w:eastAsia="Times New Roman" w:hAnsi="Times New Roman" w:cs="Times New Roman"/>
          <w:i/>
          <w:iCs/>
          <w:color w:val="000000" w:themeColor="text1"/>
          <w:kern w:val="0"/>
          <w:sz w:val="24"/>
          <w:szCs w:val="24"/>
          <w:lang w:eastAsia="en-IN" w:bidi="ml-IN"/>
          <w14:ligatures w14:val="none"/>
        </w:rPr>
        <w:t>Oceanography and marine biology</w:t>
      </w:r>
      <w:r w:rsidRPr="0004162B">
        <w:rPr>
          <w:rFonts w:ascii="Times New Roman" w:eastAsia="Times New Roman" w:hAnsi="Times New Roman" w:cs="Times New Roman"/>
          <w:color w:val="000000" w:themeColor="text1"/>
          <w:kern w:val="0"/>
          <w:sz w:val="24"/>
          <w:szCs w:val="24"/>
          <w:lang w:eastAsia="en-IN" w:bidi="ml-IN"/>
          <w14:ligatures w14:val="none"/>
        </w:rPr>
        <w:t>, pp.373-432.</w:t>
      </w:r>
    </w:p>
    <w:p w14:paraId="30787CFC" w14:textId="77777777" w:rsidR="00BE53F1" w:rsidRDefault="00BE53F1" w:rsidP="0057591C">
      <w:pPr>
        <w:jc w:val="both"/>
        <w:rPr>
          <w:rFonts w:ascii="Times New Roman" w:hAnsi="Times New Roman" w:cs="Times New Roman"/>
          <w:color w:val="000000" w:themeColor="text1"/>
          <w:sz w:val="24"/>
          <w:szCs w:val="24"/>
        </w:rPr>
      </w:pPr>
      <w:r w:rsidRPr="00BE53F1">
        <w:rPr>
          <w:rFonts w:ascii="Times New Roman" w:hAnsi="Times New Roman" w:cs="Times New Roman"/>
          <w:color w:val="000000" w:themeColor="text1"/>
          <w:sz w:val="24"/>
          <w:szCs w:val="24"/>
        </w:rPr>
        <w:t>Smith, B.N. and Epstein, S., 1971. Two categories of 13C/12C ratios for higher plants. </w:t>
      </w:r>
      <w:r w:rsidRPr="00BE53F1">
        <w:rPr>
          <w:rFonts w:ascii="Times New Roman" w:hAnsi="Times New Roman" w:cs="Times New Roman"/>
          <w:i/>
          <w:iCs/>
          <w:color w:val="000000" w:themeColor="text1"/>
          <w:sz w:val="24"/>
          <w:szCs w:val="24"/>
        </w:rPr>
        <w:t>Plant physiology</w:t>
      </w:r>
      <w:r w:rsidRPr="00BE53F1">
        <w:rPr>
          <w:rFonts w:ascii="Times New Roman" w:hAnsi="Times New Roman" w:cs="Times New Roman"/>
          <w:color w:val="000000" w:themeColor="text1"/>
          <w:sz w:val="24"/>
          <w:szCs w:val="24"/>
        </w:rPr>
        <w:t>, </w:t>
      </w:r>
      <w:r w:rsidRPr="00BE53F1">
        <w:rPr>
          <w:rFonts w:ascii="Times New Roman" w:hAnsi="Times New Roman" w:cs="Times New Roman"/>
          <w:i/>
          <w:iCs/>
          <w:color w:val="000000" w:themeColor="text1"/>
          <w:sz w:val="24"/>
          <w:szCs w:val="24"/>
        </w:rPr>
        <w:t>47</w:t>
      </w:r>
      <w:r w:rsidRPr="00BE53F1">
        <w:rPr>
          <w:rFonts w:ascii="Times New Roman" w:hAnsi="Times New Roman" w:cs="Times New Roman"/>
          <w:color w:val="000000" w:themeColor="text1"/>
          <w:sz w:val="24"/>
          <w:szCs w:val="24"/>
        </w:rPr>
        <w:t>(3), pp.380-384.</w:t>
      </w:r>
    </w:p>
    <w:p w14:paraId="5B5DBAD9" w14:textId="2B7B33A1" w:rsidR="0004162B" w:rsidRDefault="0004162B"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04162B">
        <w:rPr>
          <w:rFonts w:ascii="Times New Roman" w:eastAsia="Times New Roman" w:hAnsi="Times New Roman" w:cs="Times New Roman"/>
          <w:color w:val="000000" w:themeColor="text1"/>
          <w:kern w:val="0"/>
          <w:sz w:val="24"/>
          <w:szCs w:val="24"/>
          <w:lang w:eastAsia="en-IN" w:bidi="ml-IN"/>
          <w14:ligatures w14:val="none"/>
        </w:rPr>
        <w:t>Still, C.J. and Powell, R.L., 2009. Continental-scale distributions of vegetation stable carbon isotope ratios. In </w:t>
      </w:r>
      <w:proofErr w:type="spellStart"/>
      <w:r w:rsidRPr="0004162B">
        <w:rPr>
          <w:rFonts w:ascii="Times New Roman" w:eastAsia="Times New Roman" w:hAnsi="Times New Roman" w:cs="Times New Roman"/>
          <w:i/>
          <w:iCs/>
          <w:color w:val="000000" w:themeColor="text1"/>
          <w:kern w:val="0"/>
          <w:sz w:val="24"/>
          <w:szCs w:val="24"/>
          <w:lang w:eastAsia="en-IN" w:bidi="ml-IN"/>
          <w14:ligatures w14:val="none"/>
        </w:rPr>
        <w:t>Isoscapes</w:t>
      </w:r>
      <w:proofErr w:type="spellEnd"/>
      <w:r w:rsidRPr="0004162B">
        <w:rPr>
          <w:rFonts w:ascii="Times New Roman" w:eastAsia="Times New Roman" w:hAnsi="Times New Roman" w:cs="Times New Roman"/>
          <w:i/>
          <w:iCs/>
          <w:color w:val="000000" w:themeColor="text1"/>
          <w:kern w:val="0"/>
          <w:sz w:val="24"/>
          <w:szCs w:val="24"/>
          <w:lang w:eastAsia="en-IN" w:bidi="ml-IN"/>
          <w14:ligatures w14:val="none"/>
        </w:rPr>
        <w:t>: Understanding movement, pattern, and process on Earth through isotope mapping</w:t>
      </w:r>
      <w:r w:rsidRPr="0004162B">
        <w:rPr>
          <w:rFonts w:ascii="Times New Roman" w:eastAsia="Times New Roman" w:hAnsi="Times New Roman" w:cs="Times New Roman"/>
          <w:color w:val="000000" w:themeColor="text1"/>
          <w:kern w:val="0"/>
          <w:sz w:val="24"/>
          <w:szCs w:val="24"/>
          <w:lang w:eastAsia="en-IN" w:bidi="ml-IN"/>
          <w14:ligatures w14:val="none"/>
        </w:rPr>
        <w:t> (pp. 179-193). Dordrecht: Springer Netherlands.</w:t>
      </w:r>
    </w:p>
    <w:p w14:paraId="1F1D3000" w14:textId="2BD667ED" w:rsidR="0004162B" w:rsidRDefault="0004162B"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04162B">
        <w:rPr>
          <w:rFonts w:ascii="Times New Roman" w:eastAsia="Times New Roman" w:hAnsi="Times New Roman" w:cs="Times New Roman"/>
          <w:color w:val="000000" w:themeColor="text1"/>
          <w:kern w:val="0"/>
          <w:sz w:val="24"/>
          <w:szCs w:val="24"/>
          <w:lang w:eastAsia="en-IN" w:bidi="ml-IN"/>
          <w14:ligatures w14:val="none"/>
        </w:rPr>
        <w:t xml:space="preserve">Stock, B.C. and Semmens, B.X., 2016. Unifying error structures in commonly used </w:t>
      </w:r>
      <w:proofErr w:type="spellStart"/>
      <w:r w:rsidRPr="0004162B">
        <w:rPr>
          <w:rFonts w:ascii="Times New Roman" w:eastAsia="Times New Roman" w:hAnsi="Times New Roman" w:cs="Times New Roman"/>
          <w:color w:val="000000" w:themeColor="text1"/>
          <w:kern w:val="0"/>
          <w:sz w:val="24"/>
          <w:szCs w:val="24"/>
          <w:lang w:eastAsia="en-IN" w:bidi="ml-IN"/>
          <w14:ligatures w14:val="none"/>
        </w:rPr>
        <w:t>biotracer</w:t>
      </w:r>
      <w:proofErr w:type="spellEnd"/>
      <w:r w:rsidRPr="0004162B">
        <w:rPr>
          <w:rFonts w:ascii="Times New Roman" w:eastAsia="Times New Roman" w:hAnsi="Times New Roman" w:cs="Times New Roman"/>
          <w:color w:val="000000" w:themeColor="text1"/>
          <w:kern w:val="0"/>
          <w:sz w:val="24"/>
          <w:szCs w:val="24"/>
          <w:lang w:eastAsia="en-IN" w:bidi="ml-IN"/>
          <w14:ligatures w14:val="none"/>
        </w:rPr>
        <w:t xml:space="preserve"> mixing models. </w:t>
      </w:r>
      <w:r w:rsidRPr="0004162B">
        <w:rPr>
          <w:rFonts w:ascii="Times New Roman" w:eastAsia="Times New Roman" w:hAnsi="Times New Roman" w:cs="Times New Roman"/>
          <w:i/>
          <w:iCs/>
          <w:color w:val="000000" w:themeColor="text1"/>
          <w:kern w:val="0"/>
          <w:sz w:val="24"/>
          <w:szCs w:val="24"/>
          <w:lang w:eastAsia="en-IN" w:bidi="ml-IN"/>
          <w14:ligatures w14:val="none"/>
        </w:rPr>
        <w:t>Ecology</w:t>
      </w:r>
      <w:r w:rsidRPr="0004162B">
        <w:rPr>
          <w:rFonts w:ascii="Times New Roman" w:eastAsia="Times New Roman" w:hAnsi="Times New Roman" w:cs="Times New Roman"/>
          <w:color w:val="000000" w:themeColor="text1"/>
          <w:kern w:val="0"/>
          <w:sz w:val="24"/>
          <w:szCs w:val="24"/>
          <w:lang w:eastAsia="en-IN" w:bidi="ml-IN"/>
          <w14:ligatures w14:val="none"/>
        </w:rPr>
        <w:t>, </w:t>
      </w:r>
      <w:r w:rsidRPr="0004162B">
        <w:rPr>
          <w:rFonts w:ascii="Times New Roman" w:eastAsia="Times New Roman" w:hAnsi="Times New Roman" w:cs="Times New Roman"/>
          <w:i/>
          <w:iCs/>
          <w:color w:val="000000" w:themeColor="text1"/>
          <w:kern w:val="0"/>
          <w:sz w:val="24"/>
          <w:szCs w:val="24"/>
          <w:lang w:eastAsia="en-IN" w:bidi="ml-IN"/>
          <w14:ligatures w14:val="none"/>
        </w:rPr>
        <w:t>97</w:t>
      </w:r>
      <w:r w:rsidRPr="0004162B">
        <w:rPr>
          <w:rFonts w:ascii="Times New Roman" w:eastAsia="Times New Roman" w:hAnsi="Times New Roman" w:cs="Times New Roman"/>
          <w:color w:val="000000" w:themeColor="text1"/>
          <w:kern w:val="0"/>
          <w:sz w:val="24"/>
          <w:szCs w:val="24"/>
          <w:lang w:eastAsia="en-IN" w:bidi="ml-IN"/>
          <w14:ligatures w14:val="none"/>
        </w:rPr>
        <w:t>(10), pp.2562-2569.</w:t>
      </w:r>
    </w:p>
    <w:p w14:paraId="365FC938" w14:textId="01E090BC" w:rsidR="00BB705C" w:rsidRDefault="00BB705C"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BB705C">
        <w:rPr>
          <w:rFonts w:ascii="Times New Roman" w:eastAsia="Times New Roman" w:hAnsi="Times New Roman" w:cs="Times New Roman"/>
          <w:color w:val="000000" w:themeColor="text1"/>
          <w:kern w:val="0"/>
          <w:sz w:val="24"/>
          <w:szCs w:val="24"/>
          <w:lang w:eastAsia="en-IN" w:bidi="ml-IN"/>
          <w14:ligatures w14:val="none"/>
        </w:rPr>
        <w:t xml:space="preserve">Stock, B.C., Jackson, A.L., Ward, E.J., Parnell, A.C., Phillips, D.L. and Semmens, B.X., 2018. </w:t>
      </w:r>
      <w:proofErr w:type="spellStart"/>
      <w:r w:rsidRPr="00BB705C">
        <w:rPr>
          <w:rFonts w:ascii="Times New Roman" w:eastAsia="Times New Roman" w:hAnsi="Times New Roman" w:cs="Times New Roman"/>
          <w:color w:val="000000" w:themeColor="text1"/>
          <w:kern w:val="0"/>
          <w:sz w:val="24"/>
          <w:szCs w:val="24"/>
          <w:lang w:eastAsia="en-IN" w:bidi="ml-IN"/>
          <w14:ligatures w14:val="none"/>
        </w:rPr>
        <w:t>Analyzing</w:t>
      </w:r>
      <w:proofErr w:type="spellEnd"/>
      <w:r w:rsidRPr="00BB705C">
        <w:rPr>
          <w:rFonts w:ascii="Times New Roman" w:eastAsia="Times New Roman" w:hAnsi="Times New Roman" w:cs="Times New Roman"/>
          <w:color w:val="000000" w:themeColor="text1"/>
          <w:kern w:val="0"/>
          <w:sz w:val="24"/>
          <w:szCs w:val="24"/>
          <w:lang w:eastAsia="en-IN" w:bidi="ml-IN"/>
          <w14:ligatures w14:val="none"/>
        </w:rPr>
        <w:t xml:space="preserve"> mixing systems using a new generation of Bayesian tracer mixing models. </w:t>
      </w:r>
      <w:proofErr w:type="spellStart"/>
      <w:r w:rsidRPr="00BB705C">
        <w:rPr>
          <w:rFonts w:ascii="Times New Roman" w:eastAsia="Times New Roman" w:hAnsi="Times New Roman" w:cs="Times New Roman"/>
          <w:i/>
          <w:iCs/>
          <w:color w:val="000000" w:themeColor="text1"/>
          <w:kern w:val="0"/>
          <w:sz w:val="24"/>
          <w:szCs w:val="24"/>
          <w:lang w:eastAsia="en-IN" w:bidi="ml-IN"/>
          <w14:ligatures w14:val="none"/>
        </w:rPr>
        <w:t>PeerJ</w:t>
      </w:r>
      <w:proofErr w:type="spellEnd"/>
      <w:r w:rsidRPr="00BB705C">
        <w:rPr>
          <w:rFonts w:ascii="Times New Roman" w:eastAsia="Times New Roman" w:hAnsi="Times New Roman" w:cs="Times New Roman"/>
          <w:color w:val="000000" w:themeColor="text1"/>
          <w:kern w:val="0"/>
          <w:sz w:val="24"/>
          <w:szCs w:val="24"/>
          <w:lang w:eastAsia="en-IN" w:bidi="ml-IN"/>
          <w14:ligatures w14:val="none"/>
        </w:rPr>
        <w:t>, </w:t>
      </w:r>
      <w:r w:rsidRPr="00BB705C">
        <w:rPr>
          <w:rFonts w:ascii="Times New Roman" w:eastAsia="Times New Roman" w:hAnsi="Times New Roman" w:cs="Times New Roman"/>
          <w:i/>
          <w:iCs/>
          <w:color w:val="000000" w:themeColor="text1"/>
          <w:kern w:val="0"/>
          <w:sz w:val="24"/>
          <w:szCs w:val="24"/>
          <w:lang w:eastAsia="en-IN" w:bidi="ml-IN"/>
          <w14:ligatures w14:val="none"/>
        </w:rPr>
        <w:t>6</w:t>
      </w:r>
      <w:r w:rsidRPr="00BB705C">
        <w:rPr>
          <w:rFonts w:ascii="Times New Roman" w:eastAsia="Times New Roman" w:hAnsi="Times New Roman" w:cs="Times New Roman"/>
          <w:color w:val="000000" w:themeColor="text1"/>
          <w:kern w:val="0"/>
          <w:sz w:val="24"/>
          <w:szCs w:val="24"/>
          <w:lang w:eastAsia="en-IN" w:bidi="ml-IN"/>
          <w14:ligatures w14:val="none"/>
        </w:rPr>
        <w:t>, p.e5096.</w:t>
      </w:r>
    </w:p>
    <w:p w14:paraId="7F7F0EA1" w14:textId="6D998A69" w:rsidR="00BB705C" w:rsidRDefault="00BB705C" w:rsidP="0057591C">
      <w:pPr>
        <w:jc w:val="both"/>
        <w:rPr>
          <w:rFonts w:ascii="Times New Roman" w:eastAsia="Times New Roman" w:hAnsi="Times New Roman" w:cs="Times New Roman"/>
          <w:color w:val="000000" w:themeColor="text1"/>
          <w:kern w:val="0"/>
          <w:sz w:val="24"/>
          <w:szCs w:val="24"/>
          <w:lang w:eastAsia="en-IN" w:bidi="ml-IN"/>
          <w14:ligatures w14:val="none"/>
        </w:rPr>
      </w:pPr>
      <w:r w:rsidRPr="00BB705C">
        <w:rPr>
          <w:rFonts w:ascii="Times New Roman" w:eastAsia="Times New Roman" w:hAnsi="Times New Roman" w:cs="Times New Roman"/>
          <w:color w:val="000000" w:themeColor="text1"/>
          <w:kern w:val="0"/>
          <w:sz w:val="24"/>
          <w:szCs w:val="24"/>
          <w:lang w:eastAsia="en-IN" w:bidi="ml-IN"/>
          <w14:ligatures w14:val="none"/>
        </w:rPr>
        <w:t>Sukumar, R., Ramesh, R., Pant, R.K. and Rajagopalan, G., 1993. A δ13C record of late Quaternary climate change from tropical peats in southern India. </w:t>
      </w:r>
      <w:r w:rsidRPr="00BB705C">
        <w:rPr>
          <w:rFonts w:ascii="Times New Roman" w:eastAsia="Times New Roman" w:hAnsi="Times New Roman" w:cs="Times New Roman"/>
          <w:i/>
          <w:iCs/>
          <w:color w:val="000000" w:themeColor="text1"/>
          <w:kern w:val="0"/>
          <w:sz w:val="24"/>
          <w:szCs w:val="24"/>
          <w:lang w:eastAsia="en-IN" w:bidi="ml-IN"/>
          <w14:ligatures w14:val="none"/>
        </w:rPr>
        <w:t>Nature</w:t>
      </w:r>
      <w:r w:rsidRPr="00BB705C">
        <w:rPr>
          <w:rFonts w:ascii="Times New Roman" w:eastAsia="Times New Roman" w:hAnsi="Times New Roman" w:cs="Times New Roman"/>
          <w:color w:val="000000" w:themeColor="text1"/>
          <w:kern w:val="0"/>
          <w:sz w:val="24"/>
          <w:szCs w:val="24"/>
          <w:lang w:eastAsia="en-IN" w:bidi="ml-IN"/>
          <w14:ligatures w14:val="none"/>
        </w:rPr>
        <w:t>, </w:t>
      </w:r>
      <w:r w:rsidRPr="00BB705C">
        <w:rPr>
          <w:rFonts w:ascii="Times New Roman" w:eastAsia="Times New Roman" w:hAnsi="Times New Roman" w:cs="Times New Roman"/>
          <w:i/>
          <w:iCs/>
          <w:color w:val="000000" w:themeColor="text1"/>
          <w:kern w:val="0"/>
          <w:sz w:val="24"/>
          <w:szCs w:val="24"/>
          <w:lang w:eastAsia="en-IN" w:bidi="ml-IN"/>
          <w14:ligatures w14:val="none"/>
        </w:rPr>
        <w:t>364</w:t>
      </w:r>
      <w:r w:rsidRPr="00BB705C">
        <w:rPr>
          <w:rFonts w:ascii="Times New Roman" w:eastAsia="Times New Roman" w:hAnsi="Times New Roman" w:cs="Times New Roman"/>
          <w:color w:val="000000" w:themeColor="text1"/>
          <w:kern w:val="0"/>
          <w:sz w:val="24"/>
          <w:szCs w:val="24"/>
          <w:lang w:eastAsia="en-IN" w:bidi="ml-IN"/>
          <w14:ligatures w14:val="none"/>
        </w:rPr>
        <w:t>(6439), pp.703-706.</w:t>
      </w:r>
    </w:p>
    <w:p w14:paraId="1B6575AA" w14:textId="56E3E2C2" w:rsidR="00B6596D" w:rsidRPr="00F13523" w:rsidRDefault="004B6ED7" w:rsidP="0057591C">
      <w:pPr>
        <w:jc w:val="both"/>
        <w:rPr>
          <w:rFonts w:ascii="Times New Roman" w:hAnsi="Times New Roman" w:cs="Times New Roman"/>
          <w:color w:val="000000" w:themeColor="text1"/>
          <w:sz w:val="24"/>
          <w:szCs w:val="24"/>
        </w:rPr>
      </w:pPr>
      <w:r w:rsidRPr="004B6ED7">
        <w:rPr>
          <w:rFonts w:ascii="Times New Roman" w:hAnsi="Times New Roman" w:cs="Times New Roman"/>
          <w:color w:val="000000" w:themeColor="text1"/>
          <w:sz w:val="24"/>
          <w:szCs w:val="24"/>
        </w:rPr>
        <w:t xml:space="preserve">Teixeira, C.R., </w:t>
      </w:r>
      <w:proofErr w:type="spellStart"/>
      <w:r w:rsidRPr="004B6ED7">
        <w:rPr>
          <w:rFonts w:ascii="Times New Roman" w:hAnsi="Times New Roman" w:cs="Times New Roman"/>
          <w:color w:val="000000" w:themeColor="text1"/>
          <w:sz w:val="24"/>
          <w:szCs w:val="24"/>
        </w:rPr>
        <w:t>Troina</w:t>
      </w:r>
      <w:proofErr w:type="spellEnd"/>
      <w:r w:rsidRPr="004B6ED7">
        <w:rPr>
          <w:rFonts w:ascii="Times New Roman" w:hAnsi="Times New Roman" w:cs="Times New Roman"/>
          <w:color w:val="000000" w:themeColor="text1"/>
          <w:sz w:val="24"/>
          <w:szCs w:val="24"/>
        </w:rPr>
        <w:t xml:space="preserve">, G.C., Daura‐Jorge, F.G., </w:t>
      </w:r>
      <w:proofErr w:type="spellStart"/>
      <w:r w:rsidRPr="004B6ED7">
        <w:rPr>
          <w:rFonts w:ascii="Times New Roman" w:hAnsi="Times New Roman" w:cs="Times New Roman"/>
          <w:color w:val="000000" w:themeColor="text1"/>
          <w:sz w:val="24"/>
          <w:szCs w:val="24"/>
        </w:rPr>
        <w:t>Simões</w:t>
      </w:r>
      <w:proofErr w:type="spellEnd"/>
      <w:r w:rsidRPr="004B6ED7">
        <w:rPr>
          <w:rFonts w:ascii="Times New Roman" w:hAnsi="Times New Roman" w:cs="Times New Roman"/>
          <w:color w:val="000000" w:themeColor="text1"/>
          <w:sz w:val="24"/>
          <w:szCs w:val="24"/>
        </w:rPr>
        <w:t xml:space="preserve">‐Lopes, P.C. and </w:t>
      </w:r>
      <w:proofErr w:type="spellStart"/>
      <w:r w:rsidRPr="004B6ED7">
        <w:rPr>
          <w:rFonts w:ascii="Times New Roman" w:hAnsi="Times New Roman" w:cs="Times New Roman"/>
          <w:color w:val="000000" w:themeColor="text1"/>
          <w:sz w:val="24"/>
          <w:szCs w:val="24"/>
        </w:rPr>
        <w:t>Botta</w:t>
      </w:r>
      <w:proofErr w:type="spellEnd"/>
      <w:r w:rsidRPr="004B6ED7">
        <w:rPr>
          <w:rFonts w:ascii="Times New Roman" w:hAnsi="Times New Roman" w:cs="Times New Roman"/>
          <w:color w:val="000000" w:themeColor="text1"/>
          <w:sz w:val="24"/>
          <w:szCs w:val="24"/>
        </w:rPr>
        <w:t>, S., 2022. A practical guide on stable isotope analysis for cetacean research. </w:t>
      </w:r>
      <w:r w:rsidRPr="004B6ED7">
        <w:rPr>
          <w:rFonts w:ascii="Times New Roman" w:hAnsi="Times New Roman" w:cs="Times New Roman"/>
          <w:i/>
          <w:iCs/>
          <w:color w:val="000000" w:themeColor="text1"/>
          <w:sz w:val="24"/>
          <w:szCs w:val="24"/>
        </w:rPr>
        <w:t>Marine Mammal Science</w:t>
      </w:r>
      <w:r w:rsidRPr="004B6ED7">
        <w:rPr>
          <w:rFonts w:ascii="Times New Roman" w:hAnsi="Times New Roman" w:cs="Times New Roman"/>
          <w:color w:val="000000" w:themeColor="text1"/>
          <w:sz w:val="24"/>
          <w:szCs w:val="24"/>
        </w:rPr>
        <w:t>, </w:t>
      </w:r>
      <w:r w:rsidRPr="004B6ED7">
        <w:rPr>
          <w:rFonts w:ascii="Times New Roman" w:hAnsi="Times New Roman" w:cs="Times New Roman"/>
          <w:i/>
          <w:iCs/>
          <w:color w:val="000000" w:themeColor="text1"/>
          <w:sz w:val="24"/>
          <w:szCs w:val="24"/>
        </w:rPr>
        <w:t>38</w:t>
      </w:r>
      <w:r w:rsidRPr="004B6ED7">
        <w:rPr>
          <w:rFonts w:ascii="Times New Roman" w:hAnsi="Times New Roman" w:cs="Times New Roman"/>
          <w:color w:val="000000" w:themeColor="text1"/>
          <w:sz w:val="24"/>
          <w:szCs w:val="24"/>
        </w:rPr>
        <w:t>(3), pp.1200-1228</w:t>
      </w:r>
      <w:r w:rsidR="00B6596D" w:rsidRPr="00F13523">
        <w:rPr>
          <w:rFonts w:ascii="Times New Roman" w:hAnsi="Times New Roman" w:cs="Times New Roman"/>
          <w:color w:val="000000" w:themeColor="text1"/>
          <w:sz w:val="24"/>
          <w:szCs w:val="24"/>
        </w:rPr>
        <w:t>.</w:t>
      </w:r>
    </w:p>
    <w:p w14:paraId="15FD1456" w14:textId="77777777" w:rsidR="004B6ED7" w:rsidRDefault="004B6ED7" w:rsidP="0057591C">
      <w:pPr>
        <w:jc w:val="both"/>
        <w:rPr>
          <w:rFonts w:ascii="Times New Roman" w:hAnsi="Times New Roman" w:cs="Times New Roman"/>
          <w:color w:val="000000" w:themeColor="text1"/>
          <w:sz w:val="24"/>
          <w:szCs w:val="24"/>
        </w:rPr>
      </w:pPr>
      <w:proofErr w:type="spellStart"/>
      <w:r w:rsidRPr="004B6ED7">
        <w:rPr>
          <w:rFonts w:ascii="Times New Roman" w:hAnsi="Times New Roman" w:cs="Times New Roman"/>
          <w:color w:val="000000" w:themeColor="text1"/>
          <w:sz w:val="24"/>
          <w:szCs w:val="24"/>
        </w:rPr>
        <w:t>Tieszen</w:t>
      </w:r>
      <w:proofErr w:type="spellEnd"/>
      <w:r w:rsidRPr="004B6ED7">
        <w:rPr>
          <w:rFonts w:ascii="Times New Roman" w:hAnsi="Times New Roman" w:cs="Times New Roman"/>
          <w:color w:val="000000" w:themeColor="text1"/>
          <w:sz w:val="24"/>
          <w:szCs w:val="24"/>
        </w:rPr>
        <w:t xml:space="preserve">, L.L., </w:t>
      </w:r>
      <w:proofErr w:type="spellStart"/>
      <w:r w:rsidRPr="004B6ED7">
        <w:rPr>
          <w:rFonts w:ascii="Times New Roman" w:hAnsi="Times New Roman" w:cs="Times New Roman"/>
          <w:color w:val="000000" w:themeColor="text1"/>
          <w:sz w:val="24"/>
          <w:szCs w:val="24"/>
        </w:rPr>
        <w:t>Boutton</w:t>
      </w:r>
      <w:proofErr w:type="spellEnd"/>
      <w:r w:rsidRPr="004B6ED7">
        <w:rPr>
          <w:rFonts w:ascii="Times New Roman" w:hAnsi="Times New Roman" w:cs="Times New Roman"/>
          <w:color w:val="000000" w:themeColor="text1"/>
          <w:sz w:val="24"/>
          <w:szCs w:val="24"/>
        </w:rPr>
        <w:t xml:space="preserve">, T.W., </w:t>
      </w:r>
      <w:proofErr w:type="spellStart"/>
      <w:r w:rsidRPr="004B6ED7">
        <w:rPr>
          <w:rFonts w:ascii="Times New Roman" w:hAnsi="Times New Roman" w:cs="Times New Roman"/>
          <w:color w:val="000000" w:themeColor="text1"/>
          <w:sz w:val="24"/>
          <w:szCs w:val="24"/>
        </w:rPr>
        <w:t>Tesdahl</w:t>
      </w:r>
      <w:proofErr w:type="spellEnd"/>
      <w:r w:rsidRPr="004B6ED7">
        <w:rPr>
          <w:rFonts w:ascii="Times New Roman" w:hAnsi="Times New Roman" w:cs="Times New Roman"/>
          <w:color w:val="000000" w:themeColor="text1"/>
          <w:sz w:val="24"/>
          <w:szCs w:val="24"/>
        </w:rPr>
        <w:t>, K.G. and Slade, N.A., 1983. Fractionation and turnover of stable carbon isotopes in animal tissues: implications for δ13C analysis of diet. </w:t>
      </w:r>
      <w:proofErr w:type="spellStart"/>
      <w:r w:rsidRPr="004B6ED7">
        <w:rPr>
          <w:rFonts w:ascii="Times New Roman" w:hAnsi="Times New Roman" w:cs="Times New Roman"/>
          <w:i/>
          <w:iCs/>
          <w:color w:val="000000" w:themeColor="text1"/>
          <w:sz w:val="24"/>
          <w:szCs w:val="24"/>
        </w:rPr>
        <w:t>Oecologia</w:t>
      </w:r>
      <w:proofErr w:type="spellEnd"/>
      <w:r w:rsidRPr="004B6ED7">
        <w:rPr>
          <w:rFonts w:ascii="Times New Roman" w:hAnsi="Times New Roman" w:cs="Times New Roman"/>
          <w:color w:val="000000" w:themeColor="text1"/>
          <w:sz w:val="24"/>
          <w:szCs w:val="24"/>
        </w:rPr>
        <w:t>, </w:t>
      </w:r>
      <w:r w:rsidRPr="004B6ED7">
        <w:rPr>
          <w:rFonts w:ascii="Times New Roman" w:hAnsi="Times New Roman" w:cs="Times New Roman"/>
          <w:i/>
          <w:iCs/>
          <w:color w:val="000000" w:themeColor="text1"/>
          <w:sz w:val="24"/>
          <w:szCs w:val="24"/>
        </w:rPr>
        <w:t>57</w:t>
      </w:r>
      <w:r w:rsidRPr="004B6ED7">
        <w:rPr>
          <w:rFonts w:ascii="Times New Roman" w:hAnsi="Times New Roman" w:cs="Times New Roman"/>
          <w:color w:val="000000" w:themeColor="text1"/>
          <w:sz w:val="24"/>
          <w:szCs w:val="24"/>
        </w:rPr>
        <w:t>(1), pp.32-37.</w:t>
      </w:r>
    </w:p>
    <w:p w14:paraId="3394ECDD" w14:textId="14D3A211" w:rsidR="004B6ED7" w:rsidRDefault="004B6ED7" w:rsidP="0057591C">
      <w:pPr>
        <w:jc w:val="both"/>
        <w:rPr>
          <w:rFonts w:ascii="Times New Roman" w:hAnsi="Times New Roman" w:cs="Times New Roman"/>
          <w:color w:val="000000" w:themeColor="text1"/>
          <w:sz w:val="24"/>
          <w:szCs w:val="24"/>
        </w:rPr>
      </w:pPr>
      <w:proofErr w:type="spellStart"/>
      <w:r w:rsidRPr="004B6ED7">
        <w:rPr>
          <w:rFonts w:ascii="Times New Roman" w:hAnsi="Times New Roman" w:cs="Times New Roman"/>
          <w:color w:val="000000" w:themeColor="text1"/>
          <w:sz w:val="24"/>
          <w:szCs w:val="24"/>
        </w:rPr>
        <w:t>Trueman</w:t>
      </w:r>
      <w:proofErr w:type="spellEnd"/>
      <w:r w:rsidRPr="004B6ED7">
        <w:rPr>
          <w:rFonts w:ascii="Times New Roman" w:hAnsi="Times New Roman" w:cs="Times New Roman"/>
          <w:color w:val="000000" w:themeColor="text1"/>
          <w:sz w:val="24"/>
          <w:szCs w:val="24"/>
        </w:rPr>
        <w:t xml:space="preserve">, C.N., Jackson, A.L., Chadwick, K.S., Coombs, E.J., </w:t>
      </w:r>
      <w:proofErr w:type="spellStart"/>
      <w:r w:rsidRPr="004B6ED7">
        <w:rPr>
          <w:rFonts w:ascii="Times New Roman" w:hAnsi="Times New Roman" w:cs="Times New Roman"/>
          <w:color w:val="000000" w:themeColor="text1"/>
          <w:sz w:val="24"/>
          <w:szCs w:val="24"/>
        </w:rPr>
        <w:t>Feyrer</w:t>
      </w:r>
      <w:proofErr w:type="spellEnd"/>
      <w:r w:rsidRPr="004B6ED7">
        <w:rPr>
          <w:rFonts w:ascii="Times New Roman" w:hAnsi="Times New Roman" w:cs="Times New Roman"/>
          <w:color w:val="000000" w:themeColor="text1"/>
          <w:sz w:val="24"/>
          <w:szCs w:val="24"/>
        </w:rPr>
        <w:t xml:space="preserve">, L.J., </w:t>
      </w:r>
      <w:proofErr w:type="spellStart"/>
      <w:r w:rsidRPr="004B6ED7">
        <w:rPr>
          <w:rFonts w:ascii="Times New Roman" w:hAnsi="Times New Roman" w:cs="Times New Roman"/>
          <w:color w:val="000000" w:themeColor="text1"/>
          <w:sz w:val="24"/>
          <w:szCs w:val="24"/>
        </w:rPr>
        <w:t>Magozzi</w:t>
      </w:r>
      <w:proofErr w:type="spellEnd"/>
      <w:r w:rsidRPr="004B6ED7">
        <w:rPr>
          <w:rFonts w:ascii="Times New Roman" w:hAnsi="Times New Roman" w:cs="Times New Roman"/>
          <w:color w:val="000000" w:themeColor="text1"/>
          <w:sz w:val="24"/>
          <w:szCs w:val="24"/>
        </w:rPr>
        <w:t xml:space="preserve">, S., Sabin, R.C. and Cooper, N., 2019. Combining simulation </w:t>
      </w:r>
      <w:proofErr w:type="spellStart"/>
      <w:r w:rsidRPr="004B6ED7">
        <w:rPr>
          <w:rFonts w:ascii="Times New Roman" w:hAnsi="Times New Roman" w:cs="Times New Roman"/>
          <w:color w:val="000000" w:themeColor="text1"/>
          <w:sz w:val="24"/>
          <w:szCs w:val="24"/>
        </w:rPr>
        <w:t>modeling</w:t>
      </w:r>
      <w:proofErr w:type="spellEnd"/>
      <w:r w:rsidRPr="004B6ED7">
        <w:rPr>
          <w:rFonts w:ascii="Times New Roman" w:hAnsi="Times New Roman" w:cs="Times New Roman"/>
          <w:color w:val="000000" w:themeColor="text1"/>
          <w:sz w:val="24"/>
          <w:szCs w:val="24"/>
        </w:rPr>
        <w:t xml:space="preserve"> and stable isotope analyses to reconstruct the last known movements of one of Nature’s giants. </w:t>
      </w:r>
      <w:proofErr w:type="spellStart"/>
      <w:r w:rsidRPr="004B6ED7">
        <w:rPr>
          <w:rFonts w:ascii="Times New Roman" w:hAnsi="Times New Roman" w:cs="Times New Roman"/>
          <w:i/>
          <w:iCs/>
          <w:color w:val="000000" w:themeColor="text1"/>
          <w:sz w:val="24"/>
          <w:szCs w:val="24"/>
        </w:rPr>
        <w:t>PeerJ</w:t>
      </w:r>
      <w:proofErr w:type="spellEnd"/>
      <w:r w:rsidRPr="004B6ED7">
        <w:rPr>
          <w:rFonts w:ascii="Times New Roman" w:hAnsi="Times New Roman" w:cs="Times New Roman"/>
          <w:color w:val="000000" w:themeColor="text1"/>
          <w:sz w:val="24"/>
          <w:szCs w:val="24"/>
        </w:rPr>
        <w:t>, </w:t>
      </w:r>
      <w:r w:rsidRPr="004B6ED7">
        <w:rPr>
          <w:rFonts w:ascii="Times New Roman" w:hAnsi="Times New Roman" w:cs="Times New Roman"/>
          <w:i/>
          <w:iCs/>
          <w:color w:val="000000" w:themeColor="text1"/>
          <w:sz w:val="24"/>
          <w:szCs w:val="24"/>
        </w:rPr>
        <w:t>7</w:t>
      </w:r>
      <w:r w:rsidRPr="004B6ED7">
        <w:rPr>
          <w:rFonts w:ascii="Times New Roman" w:hAnsi="Times New Roman" w:cs="Times New Roman"/>
          <w:color w:val="000000" w:themeColor="text1"/>
          <w:sz w:val="24"/>
          <w:szCs w:val="24"/>
        </w:rPr>
        <w:t>, p.e7912.</w:t>
      </w:r>
    </w:p>
    <w:p w14:paraId="6163ECE9" w14:textId="173A5328" w:rsidR="00B6596D" w:rsidRPr="00F13523" w:rsidRDefault="00B6596D" w:rsidP="0057591C">
      <w:pPr>
        <w:jc w:val="both"/>
        <w:rPr>
          <w:rFonts w:ascii="Times New Roman" w:hAnsi="Times New Roman" w:cs="Times New Roman"/>
          <w:color w:val="000000" w:themeColor="text1"/>
          <w:sz w:val="24"/>
          <w:szCs w:val="24"/>
        </w:rPr>
      </w:pPr>
      <w:r w:rsidRPr="00F13523">
        <w:rPr>
          <w:rFonts w:ascii="Times New Roman" w:hAnsi="Times New Roman" w:cs="Times New Roman"/>
          <w:color w:val="000000" w:themeColor="text1"/>
          <w:sz w:val="24"/>
          <w:szCs w:val="24"/>
        </w:rPr>
        <w:t xml:space="preserve">Vander </w:t>
      </w:r>
      <w:proofErr w:type="spellStart"/>
      <w:r w:rsidRPr="00F13523">
        <w:rPr>
          <w:rFonts w:ascii="Times New Roman" w:hAnsi="Times New Roman" w:cs="Times New Roman"/>
          <w:color w:val="000000" w:themeColor="text1"/>
          <w:sz w:val="24"/>
          <w:szCs w:val="24"/>
        </w:rPr>
        <w:t>Zanden</w:t>
      </w:r>
      <w:proofErr w:type="spellEnd"/>
      <w:r w:rsidRPr="00F13523">
        <w:rPr>
          <w:rFonts w:ascii="Times New Roman" w:hAnsi="Times New Roman" w:cs="Times New Roman"/>
          <w:color w:val="000000" w:themeColor="text1"/>
          <w:sz w:val="24"/>
          <w:szCs w:val="24"/>
        </w:rPr>
        <w:t>, M.J., Cabana, G. and Rasmussen, J.B., 1997. Comparing trophic position of freshwater fish calculated using stable nitrogen isotope ratios (δ15N) and literature dietary data. </w:t>
      </w:r>
      <w:r w:rsidRPr="00F13523">
        <w:rPr>
          <w:rFonts w:ascii="Times New Roman" w:hAnsi="Times New Roman" w:cs="Times New Roman"/>
          <w:i/>
          <w:iCs/>
          <w:color w:val="000000" w:themeColor="text1"/>
          <w:sz w:val="24"/>
          <w:szCs w:val="24"/>
        </w:rPr>
        <w:t>Canadian Journal of Fisheries and Aquatic Sciences</w:t>
      </w:r>
      <w:r w:rsidRPr="00F13523">
        <w:rPr>
          <w:rFonts w:ascii="Times New Roman" w:hAnsi="Times New Roman" w:cs="Times New Roman"/>
          <w:color w:val="000000" w:themeColor="text1"/>
          <w:sz w:val="24"/>
          <w:szCs w:val="24"/>
        </w:rPr>
        <w:t>, </w:t>
      </w:r>
      <w:r w:rsidRPr="00F13523">
        <w:rPr>
          <w:rFonts w:ascii="Times New Roman" w:hAnsi="Times New Roman" w:cs="Times New Roman"/>
          <w:i/>
          <w:iCs/>
          <w:color w:val="000000" w:themeColor="text1"/>
          <w:sz w:val="24"/>
          <w:szCs w:val="24"/>
        </w:rPr>
        <w:t>54</w:t>
      </w:r>
      <w:r w:rsidRPr="00F13523">
        <w:rPr>
          <w:rFonts w:ascii="Times New Roman" w:hAnsi="Times New Roman" w:cs="Times New Roman"/>
          <w:color w:val="000000" w:themeColor="text1"/>
          <w:sz w:val="24"/>
          <w:szCs w:val="24"/>
        </w:rPr>
        <w:t>(5), pp.1142-1158.</w:t>
      </w:r>
    </w:p>
    <w:p w14:paraId="03E65259" w14:textId="77777777" w:rsidR="004B6ED7" w:rsidRDefault="004B6ED7" w:rsidP="0057591C">
      <w:pPr>
        <w:pStyle w:val="NormalWeb"/>
        <w:jc w:val="both"/>
        <w:rPr>
          <w:color w:val="000000" w:themeColor="text1"/>
        </w:rPr>
      </w:pPr>
      <w:r w:rsidRPr="004B6ED7">
        <w:rPr>
          <w:color w:val="000000" w:themeColor="text1"/>
        </w:rPr>
        <w:lastRenderedPageBreak/>
        <w:t>Vane, C.H., Harrison, I. and Kim, A.W., 2007. Polycyclic aromatic hydrocarbons (PAHs) and polychlorinated biphenyls (PCBs) in sediments from the Mersey Estuary, UK. </w:t>
      </w:r>
      <w:r w:rsidRPr="004B6ED7">
        <w:rPr>
          <w:i/>
          <w:iCs/>
          <w:color w:val="000000" w:themeColor="text1"/>
        </w:rPr>
        <w:t>Science of the Total Environment</w:t>
      </w:r>
      <w:r w:rsidRPr="004B6ED7">
        <w:rPr>
          <w:color w:val="000000" w:themeColor="text1"/>
        </w:rPr>
        <w:t>, </w:t>
      </w:r>
      <w:r w:rsidRPr="004B6ED7">
        <w:rPr>
          <w:i/>
          <w:iCs/>
          <w:color w:val="000000" w:themeColor="text1"/>
        </w:rPr>
        <w:t>374</w:t>
      </w:r>
      <w:r w:rsidRPr="004B6ED7">
        <w:rPr>
          <w:color w:val="000000" w:themeColor="text1"/>
        </w:rPr>
        <w:t>(1), pp.112-126.</w:t>
      </w:r>
    </w:p>
    <w:p w14:paraId="6BDF228E" w14:textId="7FD0AF69" w:rsidR="004B6ED7" w:rsidRDefault="004B6ED7" w:rsidP="0057591C">
      <w:pPr>
        <w:pStyle w:val="NormalWeb"/>
        <w:jc w:val="both"/>
        <w:rPr>
          <w:color w:val="000000" w:themeColor="text1"/>
        </w:rPr>
      </w:pPr>
      <w:proofErr w:type="spellStart"/>
      <w:r w:rsidRPr="004B6ED7">
        <w:rPr>
          <w:color w:val="000000" w:themeColor="text1"/>
        </w:rPr>
        <w:t>Vences</w:t>
      </w:r>
      <w:proofErr w:type="spellEnd"/>
      <w:r w:rsidRPr="004B6ED7">
        <w:rPr>
          <w:color w:val="000000" w:themeColor="text1"/>
        </w:rPr>
        <w:t xml:space="preserve">, M., Lyra, M.L., </w:t>
      </w:r>
      <w:proofErr w:type="spellStart"/>
      <w:r w:rsidRPr="004B6ED7">
        <w:rPr>
          <w:color w:val="000000" w:themeColor="text1"/>
        </w:rPr>
        <w:t>Kueneman</w:t>
      </w:r>
      <w:proofErr w:type="spellEnd"/>
      <w:r w:rsidRPr="004B6ED7">
        <w:rPr>
          <w:color w:val="000000" w:themeColor="text1"/>
        </w:rPr>
        <w:t xml:space="preserve">, J.G., </w:t>
      </w:r>
      <w:proofErr w:type="spellStart"/>
      <w:r w:rsidRPr="004B6ED7">
        <w:rPr>
          <w:color w:val="000000" w:themeColor="text1"/>
        </w:rPr>
        <w:t>Bletz</w:t>
      </w:r>
      <w:proofErr w:type="spellEnd"/>
      <w:r w:rsidRPr="004B6ED7">
        <w:rPr>
          <w:color w:val="000000" w:themeColor="text1"/>
        </w:rPr>
        <w:t xml:space="preserve">, M.C., Archer, H.M., </w:t>
      </w:r>
      <w:proofErr w:type="spellStart"/>
      <w:r w:rsidRPr="004B6ED7">
        <w:rPr>
          <w:color w:val="000000" w:themeColor="text1"/>
        </w:rPr>
        <w:t>Canitz</w:t>
      </w:r>
      <w:proofErr w:type="spellEnd"/>
      <w:r w:rsidRPr="004B6ED7">
        <w:rPr>
          <w:color w:val="000000" w:themeColor="text1"/>
        </w:rPr>
        <w:t xml:space="preserve">, J., </w:t>
      </w:r>
      <w:proofErr w:type="spellStart"/>
      <w:r w:rsidRPr="004B6ED7">
        <w:rPr>
          <w:color w:val="000000" w:themeColor="text1"/>
        </w:rPr>
        <w:t>Handreck</w:t>
      </w:r>
      <w:proofErr w:type="spellEnd"/>
      <w:r w:rsidRPr="004B6ED7">
        <w:rPr>
          <w:color w:val="000000" w:themeColor="text1"/>
        </w:rPr>
        <w:t xml:space="preserve">, S., </w:t>
      </w:r>
      <w:proofErr w:type="spellStart"/>
      <w:r w:rsidRPr="004B6ED7">
        <w:rPr>
          <w:color w:val="000000" w:themeColor="text1"/>
        </w:rPr>
        <w:t>Randrianiaina</w:t>
      </w:r>
      <w:proofErr w:type="spellEnd"/>
      <w:r w:rsidRPr="004B6ED7">
        <w:rPr>
          <w:color w:val="000000" w:themeColor="text1"/>
        </w:rPr>
        <w:t xml:space="preserve">, R.D., Struck, U., </w:t>
      </w:r>
      <w:proofErr w:type="spellStart"/>
      <w:r w:rsidRPr="004B6ED7">
        <w:rPr>
          <w:color w:val="000000" w:themeColor="text1"/>
        </w:rPr>
        <w:t>Bhuju</w:t>
      </w:r>
      <w:proofErr w:type="spellEnd"/>
      <w:r w:rsidRPr="004B6ED7">
        <w:rPr>
          <w:color w:val="000000" w:themeColor="text1"/>
        </w:rPr>
        <w:t xml:space="preserve">, S. and </w:t>
      </w:r>
      <w:proofErr w:type="spellStart"/>
      <w:r w:rsidRPr="004B6ED7">
        <w:rPr>
          <w:color w:val="000000" w:themeColor="text1"/>
        </w:rPr>
        <w:t>Jarek</w:t>
      </w:r>
      <w:proofErr w:type="spellEnd"/>
      <w:r w:rsidRPr="004B6ED7">
        <w:rPr>
          <w:color w:val="000000" w:themeColor="text1"/>
        </w:rPr>
        <w:t xml:space="preserve">, M., 2016. Gut bacterial communities across tadpole </w:t>
      </w:r>
      <w:proofErr w:type="spellStart"/>
      <w:r w:rsidRPr="004B6ED7">
        <w:rPr>
          <w:color w:val="000000" w:themeColor="text1"/>
        </w:rPr>
        <w:t>ecomorphs</w:t>
      </w:r>
      <w:proofErr w:type="spellEnd"/>
      <w:r w:rsidRPr="004B6ED7">
        <w:rPr>
          <w:color w:val="000000" w:themeColor="text1"/>
        </w:rPr>
        <w:t xml:space="preserve"> in two diverse tropical anuran faunas. </w:t>
      </w:r>
      <w:r w:rsidRPr="004B6ED7">
        <w:rPr>
          <w:i/>
          <w:iCs/>
          <w:color w:val="000000" w:themeColor="text1"/>
        </w:rPr>
        <w:t>The Science of Nature</w:t>
      </w:r>
      <w:r w:rsidRPr="004B6ED7">
        <w:rPr>
          <w:color w:val="000000" w:themeColor="text1"/>
        </w:rPr>
        <w:t>, </w:t>
      </w:r>
      <w:r w:rsidRPr="004B6ED7">
        <w:rPr>
          <w:i/>
          <w:iCs/>
          <w:color w:val="000000" w:themeColor="text1"/>
        </w:rPr>
        <w:t>103</w:t>
      </w:r>
      <w:r w:rsidRPr="004B6ED7">
        <w:rPr>
          <w:color w:val="000000" w:themeColor="text1"/>
        </w:rPr>
        <w:t>(3), p.25.</w:t>
      </w:r>
    </w:p>
    <w:p w14:paraId="14F577D0" w14:textId="4DF5DAFE" w:rsidR="00B6596D" w:rsidRPr="00F13523" w:rsidRDefault="004B6ED7" w:rsidP="0057591C">
      <w:pPr>
        <w:pStyle w:val="NormalWeb"/>
        <w:jc w:val="both"/>
        <w:rPr>
          <w:color w:val="000000" w:themeColor="text1"/>
        </w:rPr>
      </w:pPr>
      <w:r w:rsidRPr="004B6ED7">
        <w:rPr>
          <w:color w:val="000000" w:themeColor="text1"/>
        </w:rPr>
        <w:t>Vidya, T.N.C. and Sukumar, R., 2005. Social organization of the Asian elephant (Elephas maximus) in southern India inferred from microsatellite DNA. </w:t>
      </w:r>
      <w:r w:rsidRPr="004B6ED7">
        <w:rPr>
          <w:i/>
          <w:iCs/>
          <w:color w:val="000000" w:themeColor="text1"/>
        </w:rPr>
        <w:t>Journal of Ethology</w:t>
      </w:r>
      <w:r w:rsidRPr="004B6ED7">
        <w:rPr>
          <w:color w:val="000000" w:themeColor="text1"/>
        </w:rPr>
        <w:t>, </w:t>
      </w:r>
      <w:r w:rsidRPr="004B6ED7">
        <w:rPr>
          <w:i/>
          <w:iCs/>
          <w:color w:val="000000" w:themeColor="text1"/>
        </w:rPr>
        <w:t>23</w:t>
      </w:r>
      <w:r w:rsidRPr="004B6ED7">
        <w:rPr>
          <w:color w:val="000000" w:themeColor="text1"/>
        </w:rPr>
        <w:t>(2), pp.205-210.</w:t>
      </w:r>
    </w:p>
    <w:p w14:paraId="0F089EE3" w14:textId="77777777" w:rsidR="00950E0C" w:rsidRDefault="00950E0C"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950E0C">
        <w:rPr>
          <w:rFonts w:ascii="Times New Roman" w:eastAsia="Times New Roman" w:hAnsi="Times New Roman" w:cs="Times New Roman"/>
          <w:color w:val="000000" w:themeColor="text1"/>
          <w:kern w:val="0"/>
          <w:sz w:val="24"/>
          <w:szCs w:val="24"/>
          <w:lang w:eastAsia="en-IN" w:bidi="ml-IN"/>
          <w14:ligatures w14:val="none"/>
        </w:rPr>
        <w:t>Vivekanandan</w:t>
      </w:r>
      <w:proofErr w:type="spellEnd"/>
      <w:r w:rsidRPr="00950E0C">
        <w:rPr>
          <w:rFonts w:ascii="Times New Roman" w:eastAsia="Times New Roman" w:hAnsi="Times New Roman" w:cs="Times New Roman"/>
          <w:color w:val="000000" w:themeColor="text1"/>
          <w:kern w:val="0"/>
          <w:sz w:val="24"/>
          <w:szCs w:val="24"/>
          <w:lang w:eastAsia="en-IN" w:bidi="ml-IN"/>
          <w14:ligatures w14:val="none"/>
        </w:rPr>
        <w:t>, E., 2010. Impact of climate change in the Indian marine fisheries and the potential adaptation options.</w:t>
      </w:r>
    </w:p>
    <w:p w14:paraId="2ACB4E00" w14:textId="2DE0401F" w:rsidR="00950E0C" w:rsidRDefault="00950E0C"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950E0C">
        <w:rPr>
          <w:rFonts w:ascii="Times New Roman" w:eastAsia="Times New Roman" w:hAnsi="Times New Roman" w:cs="Times New Roman"/>
          <w:color w:val="000000" w:themeColor="text1"/>
          <w:kern w:val="0"/>
          <w:sz w:val="24"/>
          <w:szCs w:val="24"/>
          <w:lang w:eastAsia="en-IN" w:bidi="ml-IN"/>
          <w14:ligatures w14:val="none"/>
        </w:rPr>
        <w:t>Walther, B.D. and Limburg, K.E., 2012. The use of otolith chemistry to characterize diadromous migrations. </w:t>
      </w:r>
      <w:r w:rsidRPr="00950E0C">
        <w:rPr>
          <w:rFonts w:ascii="Times New Roman" w:eastAsia="Times New Roman" w:hAnsi="Times New Roman" w:cs="Times New Roman"/>
          <w:i/>
          <w:iCs/>
          <w:color w:val="000000" w:themeColor="text1"/>
          <w:kern w:val="0"/>
          <w:sz w:val="24"/>
          <w:szCs w:val="24"/>
          <w:lang w:eastAsia="en-IN" w:bidi="ml-IN"/>
          <w14:ligatures w14:val="none"/>
        </w:rPr>
        <w:t>Journal of Fish Biology</w:t>
      </w:r>
      <w:r w:rsidRPr="00950E0C">
        <w:rPr>
          <w:rFonts w:ascii="Times New Roman" w:eastAsia="Times New Roman" w:hAnsi="Times New Roman" w:cs="Times New Roman"/>
          <w:color w:val="000000" w:themeColor="text1"/>
          <w:kern w:val="0"/>
          <w:sz w:val="24"/>
          <w:szCs w:val="24"/>
          <w:lang w:eastAsia="en-IN" w:bidi="ml-IN"/>
          <w14:ligatures w14:val="none"/>
        </w:rPr>
        <w:t>, </w:t>
      </w:r>
      <w:r w:rsidRPr="00950E0C">
        <w:rPr>
          <w:rFonts w:ascii="Times New Roman" w:eastAsia="Times New Roman" w:hAnsi="Times New Roman" w:cs="Times New Roman"/>
          <w:i/>
          <w:iCs/>
          <w:color w:val="000000" w:themeColor="text1"/>
          <w:kern w:val="0"/>
          <w:sz w:val="24"/>
          <w:szCs w:val="24"/>
          <w:lang w:eastAsia="en-IN" w:bidi="ml-IN"/>
          <w14:ligatures w14:val="none"/>
        </w:rPr>
        <w:t>81</w:t>
      </w:r>
      <w:r w:rsidRPr="00950E0C">
        <w:rPr>
          <w:rFonts w:ascii="Times New Roman" w:eastAsia="Times New Roman" w:hAnsi="Times New Roman" w:cs="Times New Roman"/>
          <w:color w:val="000000" w:themeColor="text1"/>
          <w:kern w:val="0"/>
          <w:sz w:val="24"/>
          <w:szCs w:val="24"/>
          <w:lang w:eastAsia="en-IN" w:bidi="ml-IN"/>
          <w14:ligatures w14:val="none"/>
        </w:rPr>
        <w:t>(2), pp.796-825.</w:t>
      </w:r>
    </w:p>
    <w:p w14:paraId="5D05205A" w14:textId="50AA27F2" w:rsidR="00950E0C" w:rsidRDefault="00950E0C"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950E0C">
        <w:rPr>
          <w:rFonts w:ascii="Times New Roman" w:eastAsia="Times New Roman" w:hAnsi="Times New Roman" w:cs="Times New Roman"/>
          <w:color w:val="000000" w:themeColor="text1"/>
          <w:kern w:val="0"/>
          <w:sz w:val="24"/>
          <w:szCs w:val="24"/>
          <w:lang w:eastAsia="en-IN" w:bidi="ml-IN"/>
          <w14:ligatures w14:val="none"/>
        </w:rPr>
        <w:t>Wassenaar, L.I. and Hobson, K.A., 2001. A stable-isotope approach to delineate geographical catchment areas of avian migration monitoring stations in North America. </w:t>
      </w:r>
      <w:r w:rsidRPr="00950E0C">
        <w:rPr>
          <w:rFonts w:ascii="Times New Roman" w:eastAsia="Times New Roman" w:hAnsi="Times New Roman" w:cs="Times New Roman"/>
          <w:i/>
          <w:iCs/>
          <w:color w:val="000000" w:themeColor="text1"/>
          <w:kern w:val="0"/>
          <w:sz w:val="24"/>
          <w:szCs w:val="24"/>
          <w:lang w:eastAsia="en-IN" w:bidi="ml-IN"/>
          <w14:ligatures w14:val="none"/>
        </w:rPr>
        <w:t>Environmental science &amp; technology</w:t>
      </w:r>
      <w:r w:rsidRPr="00950E0C">
        <w:rPr>
          <w:rFonts w:ascii="Times New Roman" w:eastAsia="Times New Roman" w:hAnsi="Times New Roman" w:cs="Times New Roman"/>
          <w:color w:val="000000" w:themeColor="text1"/>
          <w:kern w:val="0"/>
          <w:sz w:val="24"/>
          <w:szCs w:val="24"/>
          <w:lang w:eastAsia="en-IN" w:bidi="ml-IN"/>
          <w14:ligatures w14:val="none"/>
        </w:rPr>
        <w:t>, </w:t>
      </w:r>
      <w:r w:rsidRPr="00950E0C">
        <w:rPr>
          <w:rFonts w:ascii="Times New Roman" w:eastAsia="Times New Roman" w:hAnsi="Times New Roman" w:cs="Times New Roman"/>
          <w:i/>
          <w:iCs/>
          <w:color w:val="000000" w:themeColor="text1"/>
          <w:kern w:val="0"/>
          <w:sz w:val="24"/>
          <w:szCs w:val="24"/>
          <w:lang w:eastAsia="en-IN" w:bidi="ml-IN"/>
          <w14:ligatures w14:val="none"/>
        </w:rPr>
        <w:t>35</w:t>
      </w:r>
      <w:r w:rsidRPr="00950E0C">
        <w:rPr>
          <w:rFonts w:ascii="Times New Roman" w:eastAsia="Times New Roman" w:hAnsi="Times New Roman" w:cs="Times New Roman"/>
          <w:color w:val="000000" w:themeColor="text1"/>
          <w:kern w:val="0"/>
          <w:sz w:val="24"/>
          <w:szCs w:val="24"/>
          <w:lang w:eastAsia="en-IN" w:bidi="ml-IN"/>
          <w14:ligatures w14:val="none"/>
        </w:rPr>
        <w:t>(9), pp.1845-1850.</w:t>
      </w:r>
    </w:p>
    <w:p w14:paraId="714A5152" w14:textId="09E2CDFD" w:rsidR="00950E0C" w:rsidRDefault="00950E0C"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950E0C">
        <w:rPr>
          <w:rFonts w:ascii="Times New Roman" w:eastAsia="Times New Roman" w:hAnsi="Times New Roman" w:cs="Times New Roman"/>
          <w:color w:val="000000" w:themeColor="text1"/>
          <w:kern w:val="0"/>
          <w:sz w:val="24"/>
          <w:szCs w:val="24"/>
          <w:lang w:eastAsia="en-IN" w:bidi="ml-IN"/>
          <w14:ligatures w14:val="none"/>
        </w:rPr>
        <w:t xml:space="preserve">Wassenaar, L.I., </w:t>
      </w:r>
      <w:proofErr w:type="spellStart"/>
      <w:r w:rsidRPr="00950E0C">
        <w:rPr>
          <w:rFonts w:ascii="Times New Roman" w:eastAsia="Times New Roman" w:hAnsi="Times New Roman" w:cs="Times New Roman"/>
          <w:color w:val="000000" w:themeColor="text1"/>
          <w:kern w:val="0"/>
          <w:sz w:val="24"/>
          <w:szCs w:val="24"/>
          <w:lang w:eastAsia="en-IN" w:bidi="ml-IN"/>
          <w14:ligatures w14:val="none"/>
        </w:rPr>
        <w:t>Douence</w:t>
      </w:r>
      <w:proofErr w:type="spellEnd"/>
      <w:r w:rsidRPr="00950E0C">
        <w:rPr>
          <w:rFonts w:ascii="Times New Roman" w:eastAsia="Times New Roman" w:hAnsi="Times New Roman" w:cs="Times New Roman"/>
          <w:color w:val="000000" w:themeColor="text1"/>
          <w:kern w:val="0"/>
          <w:sz w:val="24"/>
          <w:szCs w:val="24"/>
          <w:lang w:eastAsia="en-IN" w:bidi="ml-IN"/>
          <w14:ligatures w14:val="none"/>
        </w:rPr>
        <w:t xml:space="preserve">, C., Fortson, S. and Baer, D.S., 2023. Automated rapid triple-isotope (δ 15N, δ 18O, δ 17O) analyses of nitrate by </w:t>
      </w:r>
      <w:proofErr w:type="spellStart"/>
      <w:r w:rsidRPr="00950E0C">
        <w:rPr>
          <w:rFonts w:ascii="Times New Roman" w:eastAsia="Times New Roman" w:hAnsi="Times New Roman" w:cs="Times New Roman"/>
          <w:color w:val="000000" w:themeColor="text1"/>
          <w:kern w:val="0"/>
          <w:sz w:val="24"/>
          <w:szCs w:val="24"/>
          <w:lang w:eastAsia="en-IN" w:bidi="ml-IN"/>
          <w14:ligatures w14:val="none"/>
        </w:rPr>
        <w:t>Ti</w:t>
      </w:r>
      <w:proofErr w:type="spellEnd"/>
      <w:r w:rsidRPr="00950E0C">
        <w:rPr>
          <w:rFonts w:ascii="Times New Roman" w:eastAsia="Times New Roman" w:hAnsi="Times New Roman" w:cs="Times New Roman"/>
          <w:color w:val="000000" w:themeColor="text1"/>
          <w:kern w:val="0"/>
          <w:sz w:val="24"/>
          <w:szCs w:val="24"/>
          <w:lang w:eastAsia="en-IN" w:bidi="ml-IN"/>
          <w14:ligatures w14:val="none"/>
        </w:rPr>
        <w:t xml:space="preserve"> (III) reduction and N2O laser spectrometry. </w:t>
      </w:r>
      <w:r w:rsidRPr="00950E0C">
        <w:rPr>
          <w:rFonts w:ascii="Times New Roman" w:eastAsia="Times New Roman" w:hAnsi="Times New Roman" w:cs="Times New Roman"/>
          <w:i/>
          <w:iCs/>
          <w:color w:val="000000" w:themeColor="text1"/>
          <w:kern w:val="0"/>
          <w:sz w:val="24"/>
          <w:szCs w:val="24"/>
          <w:lang w:eastAsia="en-IN" w:bidi="ml-IN"/>
          <w14:ligatures w14:val="none"/>
        </w:rPr>
        <w:t>Isotopes in Environmental and Health Studies</w:t>
      </w:r>
      <w:r w:rsidRPr="00950E0C">
        <w:rPr>
          <w:rFonts w:ascii="Times New Roman" w:eastAsia="Times New Roman" w:hAnsi="Times New Roman" w:cs="Times New Roman"/>
          <w:color w:val="000000" w:themeColor="text1"/>
          <w:kern w:val="0"/>
          <w:sz w:val="24"/>
          <w:szCs w:val="24"/>
          <w:lang w:eastAsia="en-IN" w:bidi="ml-IN"/>
          <w14:ligatures w14:val="none"/>
        </w:rPr>
        <w:t>, </w:t>
      </w:r>
      <w:r w:rsidRPr="00950E0C">
        <w:rPr>
          <w:rFonts w:ascii="Times New Roman" w:eastAsia="Times New Roman" w:hAnsi="Times New Roman" w:cs="Times New Roman"/>
          <w:i/>
          <w:iCs/>
          <w:color w:val="000000" w:themeColor="text1"/>
          <w:kern w:val="0"/>
          <w:sz w:val="24"/>
          <w:szCs w:val="24"/>
          <w:lang w:eastAsia="en-IN" w:bidi="ml-IN"/>
          <w14:ligatures w14:val="none"/>
        </w:rPr>
        <w:t>59</w:t>
      </w:r>
      <w:r w:rsidRPr="00950E0C">
        <w:rPr>
          <w:rFonts w:ascii="Times New Roman" w:eastAsia="Times New Roman" w:hAnsi="Times New Roman" w:cs="Times New Roman"/>
          <w:color w:val="000000" w:themeColor="text1"/>
          <w:kern w:val="0"/>
          <w:sz w:val="24"/>
          <w:szCs w:val="24"/>
          <w:lang w:eastAsia="en-IN" w:bidi="ml-IN"/>
          <w14:ligatures w14:val="none"/>
        </w:rPr>
        <w:t>(3), pp.297-308.</w:t>
      </w:r>
    </w:p>
    <w:p w14:paraId="205EA67A" w14:textId="5783AB2A" w:rsidR="007C79AB" w:rsidRDefault="007C79AB"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7C79AB">
        <w:rPr>
          <w:rFonts w:ascii="Times New Roman" w:eastAsia="Times New Roman" w:hAnsi="Times New Roman" w:cs="Times New Roman"/>
          <w:color w:val="000000" w:themeColor="text1"/>
          <w:kern w:val="0"/>
          <w:sz w:val="24"/>
          <w:szCs w:val="24"/>
          <w:lang w:eastAsia="en-IN" w:bidi="ml-IN"/>
          <w14:ligatures w14:val="none"/>
        </w:rPr>
        <w:t xml:space="preserve">Wasser, S.K., Brown, L., </w:t>
      </w:r>
      <w:proofErr w:type="spellStart"/>
      <w:r w:rsidRPr="007C79AB">
        <w:rPr>
          <w:rFonts w:ascii="Times New Roman" w:eastAsia="Times New Roman" w:hAnsi="Times New Roman" w:cs="Times New Roman"/>
          <w:color w:val="000000" w:themeColor="text1"/>
          <w:kern w:val="0"/>
          <w:sz w:val="24"/>
          <w:szCs w:val="24"/>
          <w:lang w:eastAsia="en-IN" w:bidi="ml-IN"/>
          <w14:ligatures w14:val="none"/>
        </w:rPr>
        <w:t>Mailand</w:t>
      </w:r>
      <w:proofErr w:type="spellEnd"/>
      <w:r w:rsidRPr="007C79AB">
        <w:rPr>
          <w:rFonts w:ascii="Times New Roman" w:eastAsia="Times New Roman" w:hAnsi="Times New Roman" w:cs="Times New Roman"/>
          <w:color w:val="000000" w:themeColor="text1"/>
          <w:kern w:val="0"/>
          <w:sz w:val="24"/>
          <w:szCs w:val="24"/>
          <w:lang w:eastAsia="en-IN" w:bidi="ml-IN"/>
          <w14:ligatures w14:val="none"/>
        </w:rPr>
        <w:t xml:space="preserve">, C., </w:t>
      </w:r>
      <w:proofErr w:type="spellStart"/>
      <w:r w:rsidRPr="007C79AB">
        <w:rPr>
          <w:rFonts w:ascii="Times New Roman" w:eastAsia="Times New Roman" w:hAnsi="Times New Roman" w:cs="Times New Roman"/>
          <w:color w:val="000000" w:themeColor="text1"/>
          <w:kern w:val="0"/>
          <w:sz w:val="24"/>
          <w:szCs w:val="24"/>
          <w:lang w:eastAsia="en-IN" w:bidi="ml-IN"/>
          <w14:ligatures w14:val="none"/>
        </w:rPr>
        <w:t>Mondol</w:t>
      </w:r>
      <w:proofErr w:type="spellEnd"/>
      <w:r w:rsidRPr="007C79AB">
        <w:rPr>
          <w:rFonts w:ascii="Times New Roman" w:eastAsia="Times New Roman" w:hAnsi="Times New Roman" w:cs="Times New Roman"/>
          <w:color w:val="000000" w:themeColor="text1"/>
          <w:kern w:val="0"/>
          <w:sz w:val="24"/>
          <w:szCs w:val="24"/>
          <w:lang w:eastAsia="en-IN" w:bidi="ml-IN"/>
          <w14:ligatures w14:val="none"/>
        </w:rPr>
        <w:t>, S., Clark, W., Laurie, C. and Weir, B.S., 2015. Genetic assignment of large seizures of elephant ivory reveals Africa’s major poaching hotspots. </w:t>
      </w:r>
      <w:r w:rsidRPr="007C79AB">
        <w:rPr>
          <w:rFonts w:ascii="Times New Roman" w:eastAsia="Times New Roman" w:hAnsi="Times New Roman" w:cs="Times New Roman"/>
          <w:i/>
          <w:iCs/>
          <w:color w:val="000000" w:themeColor="text1"/>
          <w:kern w:val="0"/>
          <w:sz w:val="24"/>
          <w:szCs w:val="24"/>
          <w:lang w:eastAsia="en-IN" w:bidi="ml-IN"/>
          <w14:ligatures w14:val="none"/>
        </w:rPr>
        <w:t>Science</w:t>
      </w:r>
      <w:r w:rsidRPr="007C79AB">
        <w:rPr>
          <w:rFonts w:ascii="Times New Roman" w:eastAsia="Times New Roman" w:hAnsi="Times New Roman" w:cs="Times New Roman"/>
          <w:color w:val="000000" w:themeColor="text1"/>
          <w:kern w:val="0"/>
          <w:sz w:val="24"/>
          <w:szCs w:val="24"/>
          <w:lang w:eastAsia="en-IN" w:bidi="ml-IN"/>
          <w14:ligatures w14:val="none"/>
        </w:rPr>
        <w:t>, </w:t>
      </w:r>
      <w:r w:rsidRPr="007C79AB">
        <w:rPr>
          <w:rFonts w:ascii="Times New Roman" w:eastAsia="Times New Roman" w:hAnsi="Times New Roman" w:cs="Times New Roman"/>
          <w:i/>
          <w:iCs/>
          <w:color w:val="000000" w:themeColor="text1"/>
          <w:kern w:val="0"/>
          <w:sz w:val="24"/>
          <w:szCs w:val="24"/>
          <w:lang w:eastAsia="en-IN" w:bidi="ml-IN"/>
          <w14:ligatures w14:val="none"/>
        </w:rPr>
        <w:t>349</w:t>
      </w:r>
      <w:r w:rsidRPr="007C79AB">
        <w:rPr>
          <w:rFonts w:ascii="Times New Roman" w:eastAsia="Times New Roman" w:hAnsi="Times New Roman" w:cs="Times New Roman"/>
          <w:color w:val="000000" w:themeColor="text1"/>
          <w:kern w:val="0"/>
          <w:sz w:val="24"/>
          <w:szCs w:val="24"/>
          <w:lang w:eastAsia="en-IN" w:bidi="ml-IN"/>
          <w14:ligatures w14:val="none"/>
        </w:rPr>
        <w:t>(6243), pp.84-87.</w:t>
      </w:r>
    </w:p>
    <w:p w14:paraId="205967F7" w14:textId="7D00BCF9" w:rsidR="007C79AB" w:rsidRDefault="007C79AB"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7C79AB">
        <w:rPr>
          <w:rFonts w:ascii="Times New Roman" w:eastAsia="Times New Roman" w:hAnsi="Times New Roman" w:cs="Times New Roman"/>
          <w:color w:val="000000" w:themeColor="text1"/>
          <w:kern w:val="0"/>
          <w:sz w:val="24"/>
          <w:szCs w:val="24"/>
          <w:lang w:eastAsia="en-IN" w:bidi="ml-IN"/>
          <w14:ligatures w14:val="none"/>
        </w:rPr>
        <w:t xml:space="preserve">Wasser, S.K., </w:t>
      </w:r>
      <w:proofErr w:type="spellStart"/>
      <w:r w:rsidRPr="007C79AB">
        <w:rPr>
          <w:rFonts w:ascii="Times New Roman" w:eastAsia="Times New Roman" w:hAnsi="Times New Roman" w:cs="Times New Roman"/>
          <w:color w:val="000000" w:themeColor="text1"/>
          <w:kern w:val="0"/>
          <w:sz w:val="24"/>
          <w:szCs w:val="24"/>
          <w:lang w:eastAsia="en-IN" w:bidi="ml-IN"/>
          <w14:ligatures w14:val="none"/>
        </w:rPr>
        <w:t>Shedlock</w:t>
      </w:r>
      <w:proofErr w:type="spellEnd"/>
      <w:r w:rsidRPr="007C79AB">
        <w:rPr>
          <w:rFonts w:ascii="Times New Roman" w:eastAsia="Times New Roman" w:hAnsi="Times New Roman" w:cs="Times New Roman"/>
          <w:color w:val="000000" w:themeColor="text1"/>
          <w:kern w:val="0"/>
          <w:sz w:val="24"/>
          <w:szCs w:val="24"/>
          <w:lang w:eastAsia="en-IN" w:bidi="ml-IN"/>
          <w14:ligatures w14:val="none"/>
        </w:rPr>
        <w:t xml:space="preserve">, A.M., Comstock, K., Ostrander, E.A., </w:t>
      </w:r>
      <w:proofErr w:type="spellStart"/>
      <w:r w:rsidRPr="007C79AB">
        <w:rPr>
          <w:rFonts w:ascii="Times New Roman" w:eastAsia="Times New Roman" w:hAnsi="Times New Roman" w:cs="Times New Roman"/>
          <w:color w:val="000000" w:themeColor="text1"/>
          <w:kern w:val="0"/>
          <w:sz w:val="24"/>
          <w:szCs w:val="24"/>
          <w:lang w:eastAsia="en-IN" w:bidi="ml-IN"/>
          <w14:ligatures w14:val="none"/>
        </w:rPr>
        <w:t>Mutayoba</w:t>
      </w:r>
      <w:proofErr w:type="spellEnd"/>
      <w:r w:rsidRPr="007C79AB">
        <w:rPr>
          <w:rFonts w:ascii="Times New Roman" w:eastAsia="Times New Roman" w:hAnsi="Times New Roman" w:cs="Times New Roman"/>
          <w:color w:val="000000" w:themeColor="text1"/>
          <w:kern w:val="0"/>
          <w:sz w:val="24"/>
          <w:szCs w:val="24"/>
          <w:lang w:eastAsia="en-IN" w:bidi="ml-IN"/>
          <w14:ligatures w14:val="none"/>
        </w:rPr>
        <w:t>, B. and Stephens, M., 2004. Assigning African elephant DNA to geographic region of origin: applications to the ivory trade. </w:t>
      </w:r>
      <w:r w:rsidRPr="007C79AB">
        <w:rPr>
          <w:rFonts w:ascii="Times New Roman" w:eastAsia="Times New Roman" w:hAnsi="Times New Roman" w:cs="Times New Roman"/>
          <w:i/>
          <w:iCs/>
          <w:color w:val="000000" w:themeColor="text1"/>
          <w:kern w:val="0"/>
          <w:sz w:val="24"/>
          <w:szCs w:val="24"/>
          <w:lang w:eastAsia="en-IN" w:bidi="ml-IN"/>
          <w14:ligatures w14:val="none"/>
        </w:rPr>
        <w:t>Proceedings of the National Academy of Sciences</w:t>
      </w:r>
      <w:r w:rsidRPr="007C79AB">
        <w:rPr>
          <w:rFonts w:ascii="Times New Roman" w:eastAsia="Times New Roman" w:hAnsi="Times New Roman" w:cs="Times New Roman"/>
          <w:color w:val="000000" w:themeColor="text1"/>
          <w:kern w:val="0"/>
          <w:sz w:val="24"/>
          <w:szCs w:val="24"/>
          <w:lang w:eastAsia="en-IN" w:bidi="ml-IN"/>
          <w14:ligatures w14:val="none"/>
        </w:rPr>
        <w:t>, </w:t>
      </w:r>
      <w:r w:rsidRPr="007C79AB">
        <w:rPr>
          <w:rFonts w:ascii="Times New Roman" w:eastAsia="Times New Roman" w:hAnsi="Times New Roman" w:cs="Times New Roman"/>
          <w:i/>
          <w:iCs/>
          <w:color w:val="000000" w:themeColor="text1"/>
          <w:kern w:val="0"/>
          <w:sz w:val="24"/>
          <w:szCs w:val="24"/>
          <w:lang w:eastAsia="en-IN" w:bidi="ml-IN"/>
          <w14:ligatures w14:val="none"/>
        </w:rPr>
        <w:t>101</w:t>
      </w:r>
      <w:r w:rsidRPr="007C79AB">
        <w:rPr>
          <w:rFonts w:ascii="Times New Roman" w:eastAsia="Times New Roman" w:hAnsi="Times New Roman" w:cs="Times New Roman"/>
          <w:color w:val="000000" w:themeColor="text1"/>
          <w:kern w:val="0"/>
          <w:sz w:val="24"/>
          <w:szCs w:val="24"/>
          <w:lang w:eastAsia="en-IN" w:bidi="ml-IN"/>
          <w14:ligatures w14:val="none"/>
        </w:rPr>
        <w:t>(41), pp.14847-14852.</w:t>
      </w:r>
    </w:p>
    <w:p w14:paraId="0F22B0AA" w14:textId="4BF20FEA" w:rsidR="007C79AB" w:rsidRDefault="007C79AB"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7C79AB">
        <w:rPr>
          <w:rFonts w:ascii="Times New Roman" w:eastAsia="Times New Roman" w:hAnsi="Times New Roman" w:cs="Times New Roman"/>
          <w:color w:val="000000" w:themeColor="text1"/>
          <w:kern w:val="0"/>
          <w:sz w:val="24"/>
          <w:szCs w:val="24"/>
          <w:lang w:eastAsia="en-IN" w:bidi="ml-IN"/>
          <w14:ligatures w14:val="none"/>
        </w:rPr>
        <w:t xml:space="preserve">Webster, M.S., </w:t>
      </w:r>
      <w:proofErr w:type="spellStart"/>
      <w:r w:rsidRPr="007C79AB">
        <w:rPr>
          <w:rFonts w:ascii="Times New Roman" w:eastAsia="Times New Roman" w:hAnsi="Times New Roman" w:cs="Times New Roman"/>
          <w:color w:val="000000" w:themeColor="text1"/>
          <w:kern w:val="0"/>
          <w:sz w:val="24"/>
          <w:szCs w:val="24"/>
          <w:lang w:eastAsia="en-IN" w:bidi="ml-IN"/>
          <w14:ligatures w14:val="none"/>
        </w:rPr>
        <w:t>Marra</w:t>
      </w:r>
      <w:proofErr w:type="spellEnd"/>
      <w:r w:rsidRPr="007C79AB">
        <w:rPr>
          <w:rFonts w:ascii="Times New Roman" w:eastAsia="Times New Roman" w:hAnsi="Times New Roman" w:cs="Times New Roman"/>
          <w:color w:val="000000" w:themeColor="text1"/>
          <w:kern w:val="0"/>
          <w:sz w:val="24"/>
          <w:szCs w:val="24"/>
          <w:lang w:eastAsia="en-IN" w:bidi="ml-IN"/>
          <w14:ligatures w14:val="none"/>
        </w:rPr>
        <w:t xml:space="preserve">, P.P., Haig, S.M., </w:t>
      </w:r>
      <w:proofErr w:type="spellStart"/>
      <w:r w:rsidRPr="007C79AB">
        <w:rPr>
          <w:rFonts w:ascii="Times New Roman" w:eastAsia="Times New Roman" w:hAnsi="Times New Roman" w:cs="Times New Roman"/>
          <w:color w:val="000000" w:themeColor="text1"/>
          <w:kern w:val="0"/>
          <w:sz w:val="24"/>
          <w:szCs w:val="24"/>
          <w:lang w:eastAsia="en-IN" w:bidi="ml-IN"/>
          <w14:ligatures w14:val="none"/>
        </w:rPr>
        <w:t>Bensch</w:t>
      </w:r>
      <w:proofErr w:type="spellEnd"/>
      <w:r w:rsidRPr="007C79AB">
        <w:rPr>
          <w:rFonts w:ascii="Times New Roman" w:eastAsia="Times New Roman" w:hAnsi="Times New Roman" w:cs="Times New Roman"/>
          <w:color w:val="000000" w:themeColor="text1"/>
          <w:kern w:val="0"/>
          <w:sz w:val="24"/>
          <w:szCs w:val="24"/>
          <w:lang w:eastAsia="en-IN" w:bidi="ml-IN"/>
          <w14:ligatures w14:val="none"/>
        </w:rPr>
        <w:t xml:space="preserve">, S. and Holmes, R.T., 2002. Links between </w:t>
      </w:r>
      <w:bookmarkStart w:id="7" w:name="_GoBack"/>
      <w:bookmarkEnd w:id="7"/>
      <w:r w:rsidRPr="007C79AB">
        <w:rPr>
          <w:rFonts w:ascii="Times New Roman" w:eastAsia="Times New Roman" w:hAnsi="Times New Roman" w:cs="Times New Roman"/>
          <w:color w:val="000000" w:themeColor="text1"/>
          <w:kern w:val="0"/>
          <w:sz w:val="24"/>
          <w:szCs w:val="24"/>
          <w:lang w:eastAsia="en-IN" w:bidi="ml-IN"/>
          <w14:ligatures w14:val="none"/>
        </w:rPr>
        <w:t xml:space="preserve">worlds: </w:t>
      </w:r>
      <w:proofErr w:type="spellStart"/>
      <w:r w:rsidRPr="007C79AB">
        <w:rPr>
          <w:rFonts w:ascii="Times New Roman" w:eastAsia="Times New Roman" w:hAnsi="Times New Roman" w:cs="Times New Roman"/>
          <w:color w:val="000000" w:themeColor="text1"/>
          <w:kern w:val="0"/>
          <w:sz w:val="24"/>
          <w:szCs w:val="24"/>
          <w:lang w:eastAsia="en-IN" w:bidi="ml-IN"/>
          <w14:ligatures w14:val="none"/>
        </w:rPr>
        <w:t>unraveling</w:t>
      </w:r>
      <w:proofErr w:type="spellEnd"/>
      <w:r w:rsidRPr="007C79AB">
        <w:rPr>
          <w:rFonts w:ascii="Times New Roman" w:eastAsia="Times New Roman" w:hAnsi="Times New Roman" w:cs="Times New Roman"/>
          <w:color w:val="000000" w:themeColor="text1"/>
          <w:kern w:val="0"/>
          <w:sz w:val="24"/>
          <w:szCs w:val="24"/>
          <w:lang w:eastAsia="en-IN" w:bidi="ml-IN"/>
          <w14:ligatures w14:val="none"/>
        </w:rPr>
        <w:t xml:space="preserve"> migratory connectivity. </w:t>
      </w:r>
      <w:r w:rsidRPr="007C79AB">
        <w:rPr>
          <w:rFonts w:ascii="Times New Roman" w:eastAsia="Times New Roman" w:hAnsi="Times New Roman" w:cs="Times New Roman"/>
          <w:i/>
          <w:iCs/>
          <w:color w:val="000000" w:themeColor="text1"/>
          <w:kern w:val="0"/>
          <w:sz w:val="24"/>
          <w:szCs w:val="24"/>
          <w:lang w:eastAsia="en-IN" w:bidi="ml-IN"/>
          <w14:ligatures w14:val="none"/>
        </w:rPr>
        <w:t>Trends in ecology &amp; evolution</w:t>
      </w:r>
      <w:r w:rsidRPr="007C79AB">
        <w:rPr>
          <w:rFonts w:ascii="Times New Roman" w:eastAsia="Times New Roman" w:hAnsi="Times New Roman" w:cs="Times New Roman"/>
          <w:color w:val="000000" w:themeColor="text1"/>
          <w:kern w:val="0"/>
          <w:sz w:val="24"/>
          <w:szCs w:val="24"/>
          <w:lang w:eastAsia="en-IN" w:bidi="ml-IN"/>
          <w14:ligatures w14:val="none"/>
        </w:rPr>
        <w:t>, </w:t>
      </w:r>
      <w:r w:rsidRPr="007C79AB">
        <w:rPr>
          <w:rFonts w:ascii="Times New Roman" w:eastAsia="Times New Roman" w:hAnsi="Times New Roman" w:cs="Times New Roman"/>
          <w:i/>
          <w:iCs/>
          <w:color w:val="000000" w:themeColor="text1"/>
          <w:kern w:val="0"/>
          <w:sz w:val="24"/>
          <w:szCs w:val="24"/>
          <w:lang w:eastAsia="en-IN" w:bidi="ml-IN"/>
          <w14:ligatures w14:val="none"/>
        </w:rPr>
        <w:t>17</w:t>
      </w:r>
      <w:r w:rsidRPr="007C79AB">
        <w:rPr>
          <w:rFonts w:ascii="Times New Roman" w:eastAsia="Times New Roman" w:hAnsi="Times New Roman" w:cs="Times New Roman"/>
          <w:color w:val="000000" w:themeColor="text1"/>
          <w:kern w:val="0"/>
          <w:sz w:val="24"/>
          <w:szCs w:val="24"/>
          <w:lang w:eastAsia="en-IN" w:bidi="ml-IN"/>
          <w14:ligatures w14:val="none"/>
        </w:rPr>
        <w:t>(2), pp.76-83.</w:t>
      </w:r>
    </w:p>
    <w:p w14:paraId="11A7051A" w14:textId="210D1D1D" w:rsidR="007C79AB" w:rsidRDefault="007C79AB"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7C79AB">
        <w:rPr>
          <w:rFonts w:ascii="Times New Roman" w:eastAsia="Times New Roman" w:hAnsi="Times New Roman" w:cs="Times New Roman"/>
          <w:color w:val="000000" w:themeColor="text1"/>
          <w:kern w:val="0"/>
          <w:sz w:val="24"/>
          <w:szCs w:val="24"/>
          <w:lang w:eastAsia="en-IN" w:bidi="ml-IN"/>
          <w14:ligatures w14:val="none"/>
        </w:rPr>
        <w:t>West, J.B., Bowen, G.J., Dawson, T.E. and Tu, K.P., 2010. </w:t>
      </w:r>
      <w:proofErr w:type="spellStart"/>
      <w:r w:rsidRPr="007C79AB">
        <w:rPr>
          <w:rFonts w:ascii="Times New Roman" w:eastAsia="Times New Roman" w:hAnsi="Times New Roman" w:cs="Times New Roman"/>
          <w:i/>
          <w:iCs/>
          <w:color w:val="000000" w:themeColor="text1"/>
          <w:kern w:val="0"/>
          <w:sz w:val="24"/>
          <w:szCs w:val="24"/>
          <w:lang w:eastAsia="en-IN" w:bidi="ml-IN"/>
          <w14:ligatures w14:val="none"/>
        </w:rPr>
        <w:t>Isoscapes</w:t>
      </w:r>
      <w:proofErr w:type="spellEnd"/>
      <w:r w:rsidRPr="007C79AB">
        <w:rPr>
          <w:rFonts w:ascii="Times New Roman" w:eastAsia="Times New Roman" w:hAnsi="Times New Roman" w:cs="Times New Roman"/>
          <w:color w:val="000000" w:themeColor="text1"/>
          <w:kern w:val="0"/>
          <w:sz w:val="24"/>
          <w:szCs w:val="24"/>
          <w:lang w:eastAsia="en-IN" w:bidi="ml-IN"/>
          <w14:ligatures w14:val="none"/>
        </w:rPr>
        <w:t> (pp. 161-178). New York: Springer.</w:t>
      </w:r>
    </w:p>
    <w:p w14:paraId="1521123C" w14:textId="11B96D69" w:rsidR="007C79AB" w:rsidRDefault="007C79AB" w:rsidP="0057591C">
      <w:pPr>
        <w:spacing w:before="100" w:beforeAutospacing="1" w:after="100" w:afterAutospacing="1" w:line="240" w:lineRule="auto"/>
        <w:jc w:val="both"/>
        <w:rPr>
          <w:rFonts w:ascii="Times New Roman" w:hAnsi="Times New Roman" w:cs="Times New Roman"/>
          <w:color w:val="000000" w:themeColor="text1"/>
          <w:sz w:val="24"/>
          <w:szCs w:val="24"/>
        </w:rPr>
      </w:pPr>
      <w:r w:rsidRPr="007C79AB">
        <w:rPr>
          <w:rFonts w:ascii="Times New Roman" w:hAnsi="Times New Roman" w:cs="Times New Roman"/>
          <w:color w:val="000000" w:themeColor="text1"/>
          <w:sz w:val="24"/>
          <w:szCs w:val="24"/>
        </w:rPr>
        <w:t xml:space="preserve">West, P., </w:t>
      </w:r>
      <w:proofErr w:type="spellStart"/>
      <w:r w:rsidRPr="007C79AB">
        <w:rPr>
          <w:rFonts w:ascii="Times New Roman" w:hAnsi="Times New Roman" w:cs="Times New Roman"/>
          <w:color w:val="000000" w:themeColor="text1"/>
          <w:sz w:val="24"/>
          <w:szCs w:val="24"/>
        </w:rPr>
        <w:t>Igoe</w:t>
      </w:r>
      <w:proofErr w:type="spellEnd"/>
      <w:r w:rsidRPr="007C79AB">
        <w:rPr>
          <w:rFonts w:ascii="Times New Roman" w:hAnsi="Times New Roman" w:cs="Times New Roman"/>
          <w:color w:val="000000" w:themeColor="text1"/>
          <w:sz w:val="24"/>
          <w:szCs w:val="24"/>
        </w:rPr>
        <w:t>, J. and Brockington, D., 2006. Parks and peoples: the social impact of protected areas. </w:t>
      </w:r>
      <w:proofErr w:type="spellStart"/>
      <w:r w:rsidRPr="007C79AB">
        <w:rPr>
          <w:rFonts w:ascii="Times New Roman" w:hAnsi="Times New Roman" w:cs="Times New Roman"/>
          <w:i/>
          <w:iCs/>
          <w:color w:val="000000" w:themeColor="text1"/>
          <w:sz w:val="24"/>
          <w:szCs w:val="24"/>
        </w:rPr>
        <w:t>Annu</w:t>
      </w:r>
      <w:proofErr w:type="spellEnd"/>
      <w:r w:rsidRPr="007C79AB">
        <w:rPr>
          <w:rFonts w:ascii="Times New Roman" w:hAnsi="Times New Roman" w:cs="Times New Roman"/>
          <w:i/>
          <w:iCs/>
          <w:color w:val="000000" w:themeColor="text1"/>
          <w:sz w:val="24"/>
          <w:szCs w:val="24"/>
        </w:rPr>
        <w:t xml:space="preserve">. Rev. </w:t>
      </w:r>
      <w:proofErr w:type="spellStart"/>
      <w:r w:rsidRPr="007C79AB">
        <w:rPr>
          <w:rFonts w:ascii="Times New Roman" w:hAnsi="Times New Roman" w:cs="Times New Roman"/>
          <w:i/>
          <w:iCs/>
          <w:color w:val="000000" w:themeColor="text1"/>
          <w:sz w:val="24"/>
          <w:szCs w:val="24"/>
        </w:rPr>
        <w:t>Anthropol</w:t>
      </w:r>
      <w:proofErr w:type="spellEnd"/>
      <w:r w:rsidRPr="007C79AB">
        <w:rPr>
          <w:rFonts w:ascii="Times New Roman" w:hAnsi="Times New Roman" w:cs="Times New Roman"/>
          <w:i/>
          <w:iCs/>
          <w:color w:val="000000" w:themeColor="text1"/>
          <w:sz w:val="24"/>
          <w:szCs w:val="24"/>
        </w:rPr>
        <w:t>.</w:t>
      </w:r>
      <w:r w:rsidRPr="007C79AB">
        <w:rPr>
          <w:rFonts w:ascii="Times New Roman" w:hAnsi="Times New Roman" w:cs="Times New Roman"/>
          <w:color w:val="000000" w:themeColor="text1"/>
          <w:sz w:val="24"/>
          <w:szCs w:val="24"/>
        </w:rPr>
        <w:t>, </w:t>
      </w:r>
      <w:r w:rsidRPr="007C79AB">
        <w:rPr>
          <w:rFonts w:ascii="Times New Roman" w:hAnsi="Times New Roman" w:cs="Times New Roman"/>
          <w:i/>
          <w:iCs/>
          <w:color w:val="000000" w:themeColor="text1"/>
          <w:sz w:val="24"/>
          <w:szCs w:val="24"/>
        </w:rPr>
        <w:t>35</w:t>
      </w:r>
      <w:r w:rsidRPr="007C79AB">
        <w:rPr>
          <w:rFonts w:ascii="Times New Roman" w:hAnsi="Times New Roman" w:cs="Times New Roman"/>
          <w:color w:val="000000" w:themeColor="text1"/>
          <w:sz w:val="24"/>
          <w:szCs w:val="24"/>
        </w:rPr>
        <w:t>(1), pp.251-277.</w:t>
      </w:r>
    </w:p>
    <w:p w14:paraId="3651E797" w14:textId="7AFB48B4" w:rsidR="007C79AB" w:rsidRDefault="007C79AB"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7C79AB">
        <w:rPr>
          <w:rFonts w:ascii="Times New Roman" w:eastAsia="Times New Roman" w:hAnsi="Times New Roman" w:cs="Times New Roman"/>
          <w:color w:val="000000" w:themeColor="text1"/>
          <w:kern w:val="0"/>
          <w:sz w:val="24"/>
          <w:szCs w:val="24"/>
          <w:lang w:eastAsia="en-IN" w:bidi="ml-IN"/>
          <w14:ligatures w14:val="none"/>
        </w:rPr>
        <w:t>Wolf, N., Carleton, S.A. and del Rio, C.M., 2009. Ten years of experimental animal isotopic ecology. </w:t>
      </w:r>
      <w:r w:rsidRPr="007C79AB">
        <w:rPr>
          <w:rFonts w:ascii="Times New Roman" w:eastAsia="Times New Roman" w:hAnsi="Times New Roman" w:cs="Times New Roman"/>
          <w:i/>
          <w:iCs/>
          <w:color w:val="000000" w:themeColor="text1"/>
          <w:kern w:val="0"/>
          <w:sz w:val="24"/>
          <w:szCs w:val="24"/>
          <w:lang w:eastAsia="en-IN" w:bidi="ml-IN"/>
          <w14:ligatures w14:val="none"/>
        </w:rPr>
        <w:t>Functional Ecology</w:t>
      </w:r>
      <w:r w:rsidRPr="007C79AB">
        <w:rPr>
          <w:rFonts w:ascii="Times New Roman" w:eastAsia="Times New Roman" w:hAnsi="Times New Roman" w:cs="Times New Roman"/>
          <w:color w:val="000000" w:themeColor="text1"/>
          <w:kern w:val="0"/>
          <w:sz w:val="24"/>
          <w:szCs w:val="24"/>
          <w:lang w:eastAsia="en-IN" w:bidi="ml-IN"/>
          <w14:ligatures w14:val="none"/>
        </w:rPr>
        <w:t>, pp.17-26.</w:t>
      </w:r>
    </w:p>
    <w:p w14:paraId="1CA86FE8" w14:textId="4B2A7185" w:rsidR="007C79AB" w:rsidRDefault="007C79AB"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7C79AB">
        <w:rPr>
          <w:rFonts w:ascii="Times New Roman" w:eastAsia="Times New Roman" w:hAnsi="Times New Roman" w:cs="Times New Roman"/>
          <w:color w:val="000000" w:themeColor="text1"/>
          <w:kern w:val="0"/>
          <w:sz w:val="24"/>
          <w:szCs w:val="24"/>
          <w:lang w:eastAsia="en-IN" w:bidi="ml-IN"/>
          <w14:ligatures w14:val="none"/>
        </w:rPr>
        <w:t xml:space="preserve">Woodland, R.J., </w:t>
      </w:r>
      <w:proofErr w:type="spellStart"/>
      <w:r w:rsidRPr="007C79AB">
        <w:rPr>
          <w:rFonts w:ascii="Times New Roman" w:eastAsia="Times New Roman" w:hAnsi="Times New Roman" w:cs="Times New Roman"/>
          <w:color w:val="000000" w:themeColor="text1"/>
          <w:kern w:val="0"/>
          <w:sz w:val="24"/>
          <w:szCs w:val="24"/>
          <w:lang w:eastAsia="en-IN" w:bidi="ml-IN"/>
          <w14:ligatures w14:val="none"/>
        </w:rPr>
        <w:t>Magnan</w:t>
      </w:r>
      <w:proofErr w:type="spellEnd"/>
      <w:r w:rsidRPr="007C79AB">
        <w:rPr>
          <w:rFonts w:ascii="Times New Roman" w:eastAsia="Times New Roman" w:hAnsi="Times New Roman" w:cs="Times New Roman"/>
          <w:color w:val="000000" w:themeColor="text1"/>
          <w:kern w:val="0"/>
          <w:sz w:val="24"/>
          <w:szCs w:val="24"/>
          <w:lang w:eastAsia="en-IN" w:bidi="ml-IN"/>
          <w14:ligatures w14:val="none"/>
        </w:rPr>
        <w:t xml:space="preserve">, P., </w:t>
      </w:r>
      <w:proofErr w:type="spellStart"/>
      <w:r w:rsidRPr="007C79AB">
        <w:rPr>
          <w:rFonts w:ascii="Times New Roman" w:eastAsia="Times New Roman" w:hAnsi="Times New Roman" w:cs="Times New Roman"/>
          <w:color w:val="000000" w:themeColor="text1"/>
          <w:kern w:val="0"/>
          <w:sz w:val="24"/>
          <w:szCs w:val="24"/>
          <w:lang w:eastAsia="en-IN" w:bidi="ml-IN"/>
          <w14:ligatures w14:val="none"/>
        </w:rPr>
        <w:t>Glémet</w:t>
      </w:r>
      <w:proofErr w:type="spellEnd"/>
      <w:r w:rsidRPr="007C79AB">
        <w:rPr>
          <w:rFonts w:ascii="Times New Roman" w:eastAsia="Times New Roman" w:hAnsi="Times New Roman" w:cs="Times New Roman"/>
          <w:color w:val="000000" w:themeColor="text1"/>
          <w:kern w:val="0"/>
          <w:sz w:val="24"/>
          <w:szCs w:val="24"/>
          <w:lang w:eastAsia="en-IN" w:bidi="ml-IN"/>
          <w14:ligatures w14:val="none"/>
        </w:rPr>
        <w:t>, H., Rodríguez, M.A. and Cabana, G., 2012. Variability and directionality of temporal changes in δ13C and δ15N of aquatic invertebrate primary consumers. </w:t>
      </w:r>
      <w:proofErr w:type="spellStart"/>
      <w:r w:rsidRPr="007C79AB">
        <w:rPr>
          <w:rFonts w:ascii="Times New Roman" w:eastAsia="Times New Roman" w:hAnsi="Times New Roman" w:cs="Times New Roman"/>
          <w:i/>
          <w:iCs/>
          <w:color w:val="000000" w:themeColor="text1"/>
          <w:kern w:val="0"/>
          <w:sz w:val="24"/>
          <w:szCs w:val="24"/>
          <w:lang w:eastAsia="en-IN" w:bidi="ml-IN"/>
          <w14:ligatures w14:val="none"/>
        </w:rPr>
        <w:t>Oecologia</w:t>
      </w:r>
      <w:proofErr w:type="spellEnd"/>
      <w:r w:rsidRPr="007C79AB">
        <w:rPr>
          <w:rFonts w:ascii="Times New Roman" w:eastAsia="Times New Roman" w:hAnsi="Times New Roman" w:cs="Times New Roman"/>
          <w:color w:val="000000" w:themeColor="text1"/>
          <w:kern w:val="0"/>
          <w:sz w:val="24"/>
          <w:szCs w:val="24"/>
          <w:lang w:eastAsia="en-IN" w:bidi="ml-IN"/>
          <w14:ligatures w14:val="none"/>
        </w:rPr>
        <w:t>, </w:t>
      </w:r>
      <w:r w:rsidRPr="007C79AB">
        <w:rPr>
          <w:rFonts w:ascii="Times New Roman" w:eastAsia="Times New Roman" w:hAnsi="Times New Roman" w:cs="Times New Roman"/>
          <w:i/>
          <w:iCs/>
          <w:color w:val="000000" w:themeColor="text1"/>
          <w:kern w:val="0"/>
          <w:sz w:val="24"/>
          <w:szCs w:val="24"/>
          <w:lang w:eastAsia="en-IN" w:bidi="ml-IN"/>
          <w14:ligatures w14:val="none"/>
        </w:rPr>
        <w:t>169</w:t>
      </w:r>
      <w:r w:rsidRPr="007C79AB">
        <w:rPr>
          <w:rFonts w:ascii="Times New Roman" w:eastAsia="Times New Roman" w:hAnsi="Times New Roman" w:cs="Times New Roman"/>
          <w:color w:val="000000" w:themeColor="text1"/>
          <w:kern w:val="0"/>
          <w:sz w:val="24"/>
          <w:szCs w:val="24"/>
          <w:lang w:eastAsia="en-IN" w:bidi="ml-IN"/>
          <w14:ligatures w14:val="none"/>
        </w:rPr>
        <w:t>(1), pp.199-209.</w:t>
      </w:r>
    </w:p>
    <w:p w14:paraId="5AAB221F" w14:textId="0BCB988F" w:rsidR="00F21CAC" w:rsidRDefault="00F21CAC"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F21CAC">
        <w:rPr>
          <w:rFonts w:ascii="Times New Roman" w:eastAsia="Times New Roman" w:hAnsi="Times New Roman" w:cs="Times New Roman"/>
          <w:color w:val="000000" w:themeColor="text1"/>
          <w:kern w:val="0"/>
          <w:sz w:val="24"/>
          <w:szCs w:val="24"/>
          <w:lang w:eastAsia="en-IN" w:bidi="ml-IN"/>
          <w14:ligatures w14:val="none"/>
        </w:rPr>
        <w:lastRenderedPageBreak/>
        <w:t>Wunder</w:t>
      </w:r>
      <w:proofErr w:type="spellEnd"/>
      <w:r w:rsidRPr="00F21CAC">
        <w:rPr>
          <w:rFonts w:ascii="Times New Roman" w:eastAsia="Times New Roman" w:hAnsi="Times New Roman" w:cs="Times New Roman"/>
          <w:color w:val="000000" w:themeColor="text1"/>
          <w:kern w:val="0"/>
          <w:sz w:val="24"/>
          <w:szCs w:val="24"/>
          <w:lang w:eastAsia="en-IN" w:bidi="ml-IN"/>
          <w14:ligatures w14:val="none"/>
        </w:rPr>
        <w:t xml:space="preserve">, M.B., 2009. Using </w:t>
      </w:r>
      <w:proofErr w:type="spellStart"/>
      <w:r w:rsidRPr="00F21CAC">
        <w:rPr>
          <w:rFonts w:ascii="Times New Roman" w:eastAsia="Times New Roman" w:hAnsi="Times New Roman" w:cs="Times New Roman"/>
          <w:color w:val="000000" w:themeColor="text1"/>
          <w:kern w:val="0"/>
          <w:sz w:val="24"/>
          <w:szCs w:val="24"/>
          <w:lang w:eastAsia="en-IN" w:bidi="ml-IN"/>
          <w14:ligatures w14:val="none"/>
        </w:rPr>
        <w:t>isoscapes</w:t>
      </w:r>
      <w:proofErr w:type="spellEnd"/>
      <w:r w:rsidRPr="00F21CAC">
        <w:rPr>
          <w:rFonts w:ascii="Times New Roman" w:eastAsia="Times New Roman" w:hAnsi="Times New Roman" w:cs="Times New Roman"/>
          <w:color w:val="000000" w:themeColor="text1"/>
          <w:kern w:val="0"/>
          <w:sz w:val="24"/>
          <w:szCs w:val="24"/>
          <w:lang w:eastAsia="en-IN" w:bidi="ml-IN"/>
          <w14:ligatures w14:val="none"/>
        </w:rPr>
        <w:t xml:space="preserve"> to model probability surfaces for determining geographic origins. In </w:t>
      </w:r>
      <w:proofErr w:type="spellStart"/>
      <w:r w:rsidRPr="00F21CAC">
        <w:rPr>
          <w:rFonts w:ascii="Times New Roman" w:eastAsia="Times New Roman" w:hAnsi="Times New Roman" w:cs="Times New Roman"/>
          <w:i/>
          <w:iCs/>
          <w:color w:val="000000" w:themeColor="text1"/>
          <w:kern w:val="0"/>
          <w:sz w:val="24"/>
          <w:szCs w:val="24"/>
          <w:lang w:eastAsia="en-IN" w:bidi="ml-IN"/>
          <w14:ligatures w14:val="none"/>
        </w:rPr>
        <w:t>Isoscapes</w:t>
      </w:r>
      <w:proofErr w:type="spellEnd"/>
      <w:r w:rsidRPr="00F21CAC">
        <w:rPr>
          <w:rFonts w:ascii="Times New Roman" w:eastAsia="Times New Roman" w:hAnsi="Times New Roman" w:cs="Times New Roman"/>
          <w:i/>
          <w:iCs/>
          <w:color w:val="000000" w:themeColor="text1"/>
          <w:kern w:val="0"/>
          <w:sz w:val="24"/>
          <w:szCs w:val="24"/>
          <w:lang w:eastAsia="en-IN" w:bidi="ml-IN"/>
          <w14:ligatures w14:val="none"/>
        </w:rPr>
        <w:t>: understanding movement, pattern, and process on Earth through isotope mapping</w:t>
      </w:r>
      <w:r w:rsidRPr="00F21CAC">
        <w:rPr>
          <w:rFonts w:ascii="Times New Roman" w:eastAsia="Times New Roman" w:hAnsi="Times New Roman" w:cs="Times New Roman"/>
          <w:color w:val="000000" w:themeColor="text1"/>
          <w:kern w:val="0"/>
          <w:sz w:val="24"/>
          <w:szCs w:val="24"/>
          <w:lang w:eastAsia="en-IN" w:bidi="ml-IN"/>
          <w14:ligatures w14:val="none"/>
        </w:rPr>
        <w:t> (pp. 251-270). Dordrecht: Springer Netherlands.</w:t>
      </w:r>
    </w:p>
    <w:p w14:paraId="529E7C15" w14:textId="022EDB99" w:rsidR="00F21CAC" w:rsidRDefault="00F21CAC"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F21CAC">
        <w:rPr>
          <w:rFonts w:ascii="Times New Roman" w:eastAsia="Times New Roman" w:hAnsi="Times New Roman" w:cs="Times New Roman"/>
          <w:color w:val="000000" w:themeColor="text1"/>
          <w:kern w:val="0"/>
          <w:sz w:val="24"/>
          <w:szCs w:val="24"/>
          <w:lang w:eastAsia="en-IN" w:bidi="ml-IN"/>
          <w14:ligatures w14:val="none"/>
        </w:rPr>
        <w:t xml:space="preserve">Vander </w:t>
      </w:r>
      <w:proofErr w:type="spellStart"/>
      <w:r w:rsidRPr="00F21CAC">
        <w:rPr>
          <w:rFonts w:ascii="Times New Roman" w:eastAsia="Times New Roman" w:hAnsi="Times New Roman" w:cs="Times New Roman"/>
          <w:color w:val="000000" w:themeColor="text1"/>
          <w:kern w:val="0"/>
          <w:sz w:val="24"/>
          <w:szCs w:val="24"/>
          <w:lang w:eastAsia="en-IN" w:bidi="ml-IN"/>
          <w14:ligatures w14:val="none"/>
        </w:rPr>
        <w:t>Zanden</w:t>
      </w:r>
      <w:proofErr w:type="spellEnd"/>
      <w:r w:rsidRPr="00F21CAC">
        <w:rPr>
          <w:rFonts w:ascii="Times New Roman" w:eastAsia="Times New Roman" w:hAnsi="Times New Roman" w:cs="Times New Roman"/>
          <w:color w:val="000000" w:themeColor="text1"/>
          <w:kern w:val="0"/>
          <w:sz w:val="24"/>
          <w:szCs w:val="24"/>
          <w:lang w:eastAsia="en-IN" w:bidi="ml-IN"/>
          <w14:ligatures w14:val="none"/>
        </w:rPr>
        <w:t>, M.J. and Rasmussen, J.B., 1999. Primary consumer δ 13 C and δ 15 N and the trophic position of aquatic consumers. </w:t>
      </w:r>
      <w:r w:rsidRPr="00F21CAC">
        <w:rPr>
          <w:rFonts w:ascii="Times New Roman" w:eastAsia="Times New Roman" w:hAnsi="Times New Roman" w:cs="Times New Roman"/>
          <w:i/>
          <w:iCs/>
          <w:color w:val="000000" w:themeColor="text1"/>
          <w:kern w:val="0"/>
          <w:sz w:val="24"/>
          <w:szCs w:val="24"/>
          <w:lang w:eastAsia="en-IN" w:bidi="ml-IN"/>
          <w14:ligatures w14:val="none"/>
        </w:rPr>
        <w:t>Ecology</w:t>
      </w:r>
      <w:r w:rsidRPr="00F21CAC">
        <w:rPr>
          <w:rFonts w:ascii="Times New Roman" w:eastAsia="Times New Roman" w:hAnsi="Times New Roman" w:cs="Times New Roman"/>
          <w:color w:val="000000" w:themeColor="text1"/>
          <w:kern w:val="0"/>
          <w:sz w:val="24"/>
          <w:szCs w:val="24"/>
          <w:lang w:eastAsia="en-IN" w:bidi="ml-IN"/>
          <w14:ligatures w14:val="none"/>
        </w:rPr>
        <w:t>, pp.1395-1404.</w:t>
      </w:r>
    </w:p>
    <w:p w14:paraId="17D0B0FA" w14:textId="1596BB5C" w:rsidR="00D8408C" w:rsidRDefault="00D8408C"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proofErr w:type="spellStart"/>
      <w:r w:rsidRPr="00D8408C">
        <w:rPr>
          <w:rFonts w:ascii="Times New Roman" w:eastAsia="Times New Roman" w:hAnsi="Times New Roman" w:cs="Times New Roman"/>
          <w:color w:val="000000" w:themeColor="text1"/>
          <w:kern w:val="0"/>
          <w:sz w:val="24"/>
          <w:szCs w:val="24"/>
          <w:lang w:eastAsia="en-IN" w:bidi="ml-IN"/>
          <w14:ligatures w14:val="none"/>
        </w:rPr>
        <w:t>Zanden</w:t>
      </w:r>
      <w:proofErr w:type="spellEnd"/>
      <w:r w:rsidRPr="00D8408C">
        <w:rPr>
          <w:rFonts w:ascii="Times New Roman" w:eastAsia="Times New Roman" w:hAnsi="Times New Roman" w:cs="Times New Roman"/>
          <w:color w:val="000000" w:themeColor="text1"/>
          <w:kern w:val="0"/>
          <w:sz w:val="24"/>
          <w:szCs w:val="24"/>
          <w:lang w:eastAsia="en-IN" w:bidi="ml-IN"/>
          <w14:ligatures w14:val="none"/>
        </w:rPr>
        <w:t>, M.J.V. and Rasmussen, J.B., 2001. Variation in δ15N and δ13C trophic fractionation: implications for aquatic food web studies. Limnology and oceanography, 46(8), pp.2061-2066.</w:t>
      </w:r>
    </w:p>
    <w:p w14:paraId="5F5764F6" w14:textId="100B2D2C" w:rsidR="00B732C7" w:rsidRPr="00F13523" w:rsidRDefault="00D8408C" w:rsidP="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r w:rsidRPr="00D8408C">
        <w:rPr>
          <w:rFonts w:ascii="Times New Roman" w:eastAsia="Times New Roman" w:hAnsi="Times New Roman" w:cs="Times New Roman"/>
          <w:color w:val="000000" w:themeColor="text1"/>
          <w:kern w:val="0"/>
          <w:sz w:val="24"/>
          <w:szCs w:val="24"/>
          <w:lang w:eastAsia="en-IN" w:bidi="ml-IN"/>
          <w14:ligatures w14:val="none"/>
        </w:rPr>
        <w:t xml:space="preserve">Ziegler, S., </w:t>
      </w:r>
      <w:proofErr w:type="spellStart"/>
      <w:r w:rsidRPr="00D8408C">
        <w:rPr>
          <w:rFonts w:ascii="Times New Roman" w:eastAsia="Times New Roman" w:hAnsi="Times New Roman" w:cs="Times New Roman"/>
          <w:color w:val="000000" w:themeColor="text1"/>
          <w:kern w:val="0"/>
          <w:sz w:val="24"/>
          <w:szCs w:val="24"/>
          <w:lang w:eastAsia="en-IN" w:bidi="ml-IN"/>
          <w14:ligatures w14:val="none"/>
        </w:rPr>
        <w:t>Merker</w:t>
      </w:r>
      <w:proofErr w:type="spellEnd"/>
      <w:r w:rsidRPr="00D8408C">
        <w:rPr>
          <w:rFonts w:ascii="Times New Roman" w:eastAsia="Times New Roman" w:hAnsi="Times New Roman" w:cs="Times New Roman"/>
          <w:color w:val="000000" w:themeColor="text1"/>
          <w:kern w:val="0"/>
          <w:sz w:val="24"/>
          <w:szCs w:val="24"/>
          <w:lang w:eastAsia="en-IN" w:bidi="ml-IN"/>
          <w14:ligatures w14:val="none"/>
        </w:rPr>
        <w:t xml:space="preserve">, S., </w:t>
      </w:r>
      <w:proofErr w:type="spellStart"/>
      <w:r w:rsidRPr="00D8408C">
        <w:rPr>
          <w:rFonts w:ascii="Times New Roman" w:eastAsia="Times New Roman" w:hAnsi="Times New Roman" w:cs="Times New Roman"/>
          <w:color w:val="000000" w:themeColor="text1"/>
          <w:kern w:val="0"/>
          <w:sz w:val="24"/>
          <w:szCs w:val="24"/>
          <w:lang w:eastAsia="en-IN" w:bidi="ml-IN"/>
          <w14:ligatures w14:val="none"/>
        </w:rPr>
        <w:t>Streit</w:t>
      </w:r>
      <w:proofErr w:type="spellEnd"/>
      <w:r w:rsidRPr="00D8408C">
        <w:rPr>
          <w:rFonts w:ascii="Times New Roman" w:eastAsia="Times New Roman" w:hAnsi="Times New Roman" w:cs="Times New Roman"/>
          <w:color w:val="000000" w:themeColor="text1"/>
          <w:kern w:val="0"/>
          <w:sz w:val="24"/>
          <w:szCs w:val="24"/>
          <w:lang w:eastAsia="en-IN" w:bidi="ml-IN"/>
          <w14:ligatures w14:val="none"/>
        </w:rPr>
        <w:t>, B., Boner, M. and Jacob, D.E., 2016. Towards understanding isotope variability in elephant ivory to establish isotopic profiling and source-area determination. </w:t>
      </w:r>
      <w:r w:rsidRPr="00D8408C">
        <w:rPr>
          <w:rFonts w:ascii="Times New Roman" w:eastAsia="Times New Roman" w:hAnsi="Times New Roman" w:cs="Times New Roman"/>
          <w:i/>
          <w:iCs/>
          <w:color w:val="000000" w:themeColor="text1"/>
          <w:kern w:val="0"/>
          <w:sz w:val="24"/>
          <w:szCs w:val="24"/>
          <w:lang w:eastAsia="en-IN" w:bidi="ml-IN"/>
          <w14:ligatures w14:val="none"/>
        </w:rPr>
        <w:t>Biological Conservation</w:t>
      </w:r>
      <w:r w:rsidRPr="00D8408C">
        <w:rPr>
          <w:rFonts w:ascii="Times New Roman" w:eastAsia="Times New Roman" w:hAnsi="Times New Roman" w:cs="Times New Roman"/>
          <w:color w:val="000000" w:themeColor="text1"/>
          <w:kern w:val="0"/>
          <w:sz w:val="24"/>
          <w:szCs w:val="24"/>
          <w:lang w:eastAsia="en-IN" w:bidi="ml-IN"/>
          <w14:ligatures w14:val="none"/>
        </w:rPr>
        <w:t>, </w:t>
      </w:r>
      <w:r w:rsidRPr="00D8408C">
        <w:rPr>
          <w:rFonts w:ascii="Times New Roman" w:eastAsia="Times New Roman" w:hAnsi="Times New Roman" w:cs="Times New Roman"/>
          <w:i/>
          <w:iCs/>
          <w:color w:val="000000" w:themeColor="text1"/>
          <w:kern w:val="0"/>
          <w:sz w:val="24"/>
          <w:szCs w:val="24"/>
          <w:lang w:eastAsia="en-IN" w:bidi="ml-IN"/>
          <w14:ligatures w14:val="none"/>
        </w:rPr>
        <w:t>197</w:t>
      </w:r>
      <w:r w:rsidRPr="00D8408C">
        <w:rPr>
          <w:rFonts w:ascii="Times New Roman" w:eastAsia="Times New Roman" w:hAnsi="Times New Roman" w:cs="Times New Roman"/>
          <w:color w:val="000000" w:themeColor="text1"/>
          <w:kern w:val="0"/>
          <w:sz w:val="24"/>
          <w:szCs w:val="24"/>
          <w:lang w:eastAsia="en-IN" w:bidi="ml-IN"/>
          <w14:ligatures w14:val="none"/>
        </w:rPr>
        <w:t>, pp.154-163.</w:t>
      </w:r>
    </w:p>
    <w:p w14:paraId="0BCFDB9A" w14:textId="77777777" w:rsidR="0057591C" w:rsidRPr="00F13523" w:rsidRDefault="0057591C">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IN" w:bidi="ml-IN"/>
          <w14:ligatures w14:val="none"/>
        </w:rPr>
      </w:pPr>
    </w:p>
    <w:sectPr w:rsidR="0057591C" w:rsidRPr="00F13523" w:rsidSect="00D73D2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BD49F" w14:textId="77777777" w:rsidR="00345C67" w:rsidRDefault="00345C67" w:rsidP="006B67FF">
      <w:pPr>
        <w:spacing w:after="0" w:line="240" w:lineRule="auto"/>
      </w:pPr>
      <w:r>
        <w:separator/>
      </w:r>
    </w:p>
  </w:endnote>
  <w:endnote w:type="continuationSeparator" w:id="0">
    <w:p w14:paraId="5FFFA39D" w14:textId="77777777" w:rsidR="00345C67" w:rsidRDefault="00345C67" w:rsidP="006B6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D32F5" w14:textId="77777777" w:rsidR="00931357" w:rsidRDefault="00931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7373" w14:textId="77777777" w:rsidR="00931357" w:rsidRDefault="009313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8BBFB" w14:textId="77777777" w:rsidR="00931357" w:rsidRDefault="00931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CC167" w14:textId="77777777" w:rsidR="00345C67" w:rsidRDefault="00345C67" w:rsidP="006B67FF">
      <w:pPr>
        <w:spacing w:after="0" w:line="240" w:lineRule="auto"/>
      </w:pPr>
      <w:r>
        <w:separator/>
      </w:r>
    </w:p>
  </w:footnote>
  <w:footnote w:type="continuationSeparator" w:id="0">
    <w:p w14:paraId="26CDBD71" w14:textId="77777777" w:rsidR="00345C67" w:rsidRDefault="00345C67" w:rsidP="006B6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71C37" w14:textId="3342AB20" w:rsidR="00931357" w:rsidRDefault="00931357">
    <w:pPr>
      <w:pStyle w:val="Header"/>
    </w:pPr>
    <w:r>
      <w:rPr>
        <w:noProof/>
      </w:rPr>
      <w:pict w14:anchorId="72DA1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CFE3F" w14:textId="3EE63F6F" w:rsidR="00931357" w:rsidRDefault="00931357">
    <w:pPr>
      <w:pStyle w:val="Header"/>
    </w:pPr>
    <w:r>
      <w:rPr>
        <w:noProof/>
      </w:rPr>
      <w:pict w14:anchorId="071EA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6BB2B" w14:textId="68B0A196" w:rsidR="00931357" w:rsidRDefault="00931357">
    <w:pPr>
      <w:pStyle w:val="Header"/>
    </w:pPr>
    <w:r>
      <w:rPr>
        <w:noProof/>
      </w:rPr>
      <w:pict w14:anchorId="25A29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286B"/>
    <w:multiLevelType w:val="multilevel"/>
    <w:tmpl w:val="A0D2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75ECF"/>
    <w:multiLevelType w:val="multilevel"/>
    <w:tmpl w:val="0A64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E6DF5"/>
    <w:multiLevelType w:val="multilevel"/>
    <w:tmpl w:val="1ABE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52DF4"/>
    <w:multiLevelType w:val="multilevel"/>
    <w:tmpl w:val="3CF8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C1E14"/>
    <w:multiLevelType w:val="multilevel"/>
    <w:tmpl w:val="30F6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64742"/>
    <w:multiLevelType w:val="multilevel"/>
    <w:tmpl w:val="EF4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A19CA"/>
    <w:multiLevelType w:val="multilevel"/>
    <w:tmpl w:val="FF32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13D29"/>
    <w:multiLevelType w:val="multilevel"/>
    <w:tmpl w:val="30F4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1404D2"/>
    <w:multiLevelType w:val="multilevel"/>
    <w:tmpl w:val="34AC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C5F73"/>
    <w:multiLevelType w:val="multilevel"/>
    <w:tmpl w:val="EDD25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C402B7"/>
    <w:multiLevelType w:val="multilevel"/>
    <w:tmpl w:val="9598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2B2CE9"/>
    <w:multiLevelType w:val="multilevel"/>
    <w:tmpl w:val="6A2C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DE544F"/>
    <w:multiLevelType w:val="multilevel"/>
    <w:tmpl w:val="250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0E362F"/>
    <w:multiLevelType w:val="multilevel"/>
    <w:tmpl w:val="ED56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445D88"/>
    <w:multiLevelType w:val="multilevel"/>
    <w:tmpl w:val="DF70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11350C"/>
    <w:multiLevelType w:val="hybridMultilevel"/>
    <w:tmpl w:val="8BBAD7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42165B3"/>
    <w:multiLevelType w:val="multilevel"/>
    <w:tmpl w:val="C2F8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A94D69"/>
    <w:multiLevelType w:val="multilevel"/>
    <w:tmpl w:val="F888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88686E"/>
    <w:multiLevelType w:val="multilevel"/>
    <w:tmpl w:val="2804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2"/>
  </w:num>
  <w:num w:numId="4">
    <w:abstractNumId w:val="3"/>
  </w:num>
  <w:num w:numId="5">
    <w:abstractNumId w:val="0"/>
  </w:num>
  <w:num w:numId="6">
    <w:abstractNumId w:val="7"/>
  </w:num>
  <w:num w:numId="7">
    <w:abstractNumId w:val="13"/>
  </w:num>
  <w:num w:numId="8">
    <w:abstractNumId w:val="14"/>
  </w:num>
  <w:num w:numId="9">
    <w:abstractNumId w:val="6"/>
  </w:num>
  <w:num w:numId="10">
    <w:abstractNumId w:val="4"/>
  </w:num>
  <w:num w:numId="11">
    <w:abstractNumId w:val="1"/>
  </w:num>
  <w:num w:numId="12">
    <w:abstractNumId w:val="17"/>
  </w:num>
  <w:num w:numId="13">
    <w:abstractNumId w:val="16"/>
  </w:num>
  <w:num w:numId="14">
    <w:abstractNumId w:val="11"/>
  </w:num>
  <w:num w:numId="15">
    <w:abstractNumId w:val="18"/>
  </w:num>
  <w:num w:numId="16">
    <w:abstractNumId w:val="10"/>
  </w:num>
  <w:num w:numId="17">
    <w:abstractNumId w:val="2"/>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CD"/>
    <w:rsid w:val="000019A8"/>
    <w:rsid w:val="0000281D"/>
    <w:rsid w:val="00013BA9"/>
    <w:rsid w:val="00027F34"/>
    <w:rsid w:val="0003292E"/>
    <w:rsid w:val="00034E2A"/>
    <w:rsid w:val="0004162B"/>
    <w:rsid w:val="00041E6E"/>
    <w:rsid w:val="00042A1C"/>
    <w:rsid w:val="00043BD0"/>
    <w:rsid w:val="00071673"/>
    <w:rsid w:val="00076053"/>
    <w:rsid w:val="000871B9"/>
    <w:rsid w:val="000A5433"/>
    <w:rsid w:val="000A5639"/>
    <w:rsid w:val="000C306F"/>
    <w:rsid w:val="000D1A60"/>
    <w:rsid w:val="0012115B"/>
    <w:rsid w:val="00141C7E"/>
    <w:rsid w:val="0015271C"/>
    <w:rsid w:val="00154A12"/>
    <w:rsid w:val="00174149"/>
    <w:rsid w:val="001854D1"/>
    <w:rsid w:val="001908B1"/>
    <w:rsid w:val="0019153A"/>
    <w:rsid w:val="001A7AE3"/>
    <w:rsid w:val="001D503A"/>
    <w:rsid w:val="001E2487"/>
    <w:rsid w:val="001E7DA5"/>
    <w:rsid w:val="00200DA0"/>
    <w:rsid w:val="0020412D"/>
    <w:rsid w:val="00210AE3"/>
    <w:rsid w:val="002231FE"/>
    <w:rsid w:val="00223A5C"/>
    <w:rsid w:val="0023006F"/>
    <w:rsid w:val="00235985"/>
    <w:rsid w:val="00246F5D"/>
    <w:rsid w:val="00273B25"/>
    <w:rsid w:val="00273E39"/>
    <w:rsid w:val="002811AC"/>
    <w:rsid w:val="0028226A"/>
    <w:rsid w:val="002C1821"/>
    <w:rsid w:val="002C6EE9"/>
    <w:rsid w:val="002D78E9"/>
    <w:rsid w:val="002E180E"/>
    <w:rsid w:val="002E2444"/>
    <w:rsid w:val="002F3E7A"/>
    <w:rsid w:val="002F67DB"/>
    <w:rsid w:val="0031042E"/>
    <w:rsid w:val="00316001"/>
    <w:rsid w:val="003228B8"/>
    <w:rsid w:val="0032595F"/>
    <w:rsid w:val="0032760B"/>
    <w:rsid w:val="00345C67"/>
    <w:rsid w:val="00352C49"/>
    <w:rsid w:val="003613B1"/>
    <w:rsid w:val="00363904"/>
    <w:rsid w:val="00396D51"/>
    <w:rsid w:val="003A6C1D"/>
    <w:rsid w:val="003A7DBD"/>
    <w:rsid w:val="003B7109"/>
    <w:rsid w:val="003C4FDF"/>
    <w:rsid w:val="003D1466"/>
    <w:rsid w:val="003D3305"/>
    <w:rsid w:val="003D7F56"/>
    <w:rsid w:val="003F2979"/>
    <w:rsid w:val="0040099C"/>
    <w:rsid w:val="00421310"/>
    <w:rsid w:val="00421692"/>
    <w:rsid w:val="00425BAA"/>
    <w:rsid w:val="0042656E"/>
    <w:rsid w:val="0043011A"/>
    <w:rsid w:val="0043153F"/>
    <w:rsid w:val="00441774"/>
    <w:rsid w:val="00441AAD"/>
    <w:rsid w:val="004604F1"/>
    <w:rsid w:val="004616E6"/>
    <w:rsid w:val="004649AD"/>
    <w:rsid w:val="00482CCF"/>
    <w:rsid w:val="004833E1"/>
    <w:rsid w:val="004A1365"/>
    <w:rsid w:val="004A19AE"/>
    <w:rsid w:val="004B5B6C"/>
    <w:rsid w:val="004B6ED7"/>
    <w:rsid w:val="004C7101"/>
    <w:rsid w:val="004D38F4"/>
    <w:rsid w:val="004D4A5A"/>
    <w:rsid w:val="004E1DFA"/>
    <w:rsid w:val="004E6755"/>
    <w:rsid w:val="00501879"/>
    <w:rsid w:val="00512FFC"/>
    <w:rsid w:val="00531E16"/>
    <w:rsid w:val="00542EA6"/>
    <w:rsid w:val="00567742"/>
    <w:rsid w:val="005718A7"/>
    <w:rsid w:val="005721A5"/>
    <w:rsid w:val="0057457D"/>
    <w:rsid w:val="0057591C"/>
    <w:rsid w:val="00580840"/>
    <w:rsid w:val="0058490F"/>
    <w:rsid w:val="00587A59"/>
    <w:rsid w:val="005A40D4"/>
    <w:rsid w:val="005B299D"/>
    <w:rsid w:val="005B43C8"/>
    <w:rsid w:val="005E68C1"/>
    <w:rsid w:val="00617A5A"/>
    <w:rsid w:val="006220E5"/>
    <w:rsid w:val="0064331D"/>
    <w:rsid w:val="0067387D"/>
    <w:rsid w:val="006A495E"/>
    <w:rsid w:val="006B2D53"/>
    <w:rsid w:val="006B67FF"/>
    <w:rsid w:val="006C30A8"/>
    <w:rsid w:val="006D72AB"/>
    <w:rsid w:val="006E617A"/>
    <w:rsid w:val="006F1BEA"/>
    <w:rsid w:val="00705E00"/>
    <w:rsid w:val="00721321"/>
    <w:rsid w:val="00732287"/>
    <w:rsid w:val="0076618B"/>
    <w:rsid w:val="00776EF5"/>
    <w:rsid w:val="00781A99"/>
    <w:rsid w:val="00783457"/>
    <w:rsid w:val="00784CC0"/>
    <w:rsid w:val="00785533"/>
    <w:rsid w:val="00795B58"/>
    <w:rsid w:val="00796D14"/>
    <w:rsid w:val="007B3247"/>
    <w:rsid w:val="007B5C01"/>
    <w:rsid w:val="007C151A"/>
    <w:rsid w:val="007C4C25"/>
    <w:rsid w:val="007C79AB"/>
    <w:rsid w:val="007D20E3"/>
    <w:rsid w:val="007E5B58"/>
    <w:rsid w:val="007E6583"/>
    <w:rsid w:val="007E784F"/>
    <w:rsid w:val="00812B47"/>
    <w:rsid w:val="0082283A"/>
    <w:rsid w:val="00823D24"/>
    <w:rsid w:val="0082517D"/>
    <w:rsid w:val="00830A0C"/>
    <w:rsid w:val="00830F25"/>
    <w:rsid w:val="00844FC6"/>
    <w:rsid w:val="00852858"/>
    <w:rsid w:val="008736A2"/>
    <w:rsid w:val="008B0D78"/>
    <w:rsid w:val="008B2BCF"/>
    <w:rsid w:val="008B6A6B"/>
    <w:rsid w:val="008B7F8E"/>
    <w:rsid w:val="008C0037"/>
    <w:rsid w:val="008F218B"/>
    <w:rsid w:val="00903050"/>
    <w:rsid w:val="0090504E"/>
    <w:rsid w:val="00905817"/>
    <w:rsid w:val="0090653E"/>
    <w:rsid w:val="009073F3"/>
    <w:rsid w:val="00916365"/>
    <w:rsid w:val="00931357"/>
    <w:rsid w:val="00940828"/>
    <w:rsid w:val="009456B1"/>
    <w:rsid w:val="00950E0C"/>
    <w:rsid w:val="00960354"/>
    <w:rsid w:val="009618BB"/>
    <w:rsid w:val="009702B3"/>
    <w:rsid w:val="00983223"/>
    <w:rsid w:val="00993B51"/>
    <w:rsid w:val="009A01AF"/>
    <w:rsid w:val="009A3101"/>
    <w:rsid w:val="009C53EF"/>
    <w:rsid w:val="009E39D8"/>
    <w:rsid w:val="009E556C"/>
    <w:rsid w:val="009F1125"/>
    <w:rsid w:val="00A15775"/>
    <w:rsid w:val="00A22DE7"/>
    <w:rsid w:val="00A37C0A"/>
    <w:rsid w:val="00A62FDC"/>
    <w:rsid w:val="00A7104A"/>
    <w:rsid w:val="00A717A8"/>
    <w:rsid w:val="00A84DE7"/>
    <w:rsid w:val="00A930FD"/>
    <w:rsid w:val="00A97FDC"/>
    <w:rsid w:val="00AB58A9"/>
    <w:rsid w:val="00AC5838"/>
    <w:rsid w:val="00AC6645"/>
    <w:rsid w:val="00AD0419"/>
    <w:rsid w:val="00AD3B8C"/>
    <w:rsid w:val="00B06EA4"/>
    <w:rsid w:val="00B12121"/>
    <w:rsid w:val="00B47C93"/>
    <w:rsid w:val="00B63452"/>
    <w:rsid w:val="00B6596D"/>
    <w:rsid w:val="00B706D9"/>
    <w:rsid w:val="00B732C7"/>
    <w:rsid w:val="00B936FB"/>
    <w:rsid w:val="00B941F4"/>
    <w:rsid w:val="00BA1DAE"/>
    <w:rsid w:val="00BA5C81"/>
    <w:rsid w:val="00BB705C"/>
    <w:rsid w:val="00BB7EFE"/>
    <w:rsid w:val="00BC17B3"/>
    <w:rsid w:val="00BC33BE"/>
    <w:rsid w:val="00BC45E9"/>
    <w:rsid w:val="00BD062B"/>
    <w:rsid w:val="00BE24E0"/>
    <w:rsid w:val="00BE53F1"/>
    <w:rsid w:val="00BF4E1E"/>
    <w:rsid w:val="00C025B8"/>
    <w:rsid w:val="00C07091"/>
    <w:rsid w:val="00C1519D"/>
    <w:rsid w:val="00C1698D"/>
    <w:rsid w:val="00C20D25"/>
    <w:rsid w:val="00C27ABD"/>
    <w:rsid w:val="00C332CE"/>
    <w:rsid w:val="00C36044"/>
    <w:rsid w:val="00C56BFA"/>
    <w:rsid w:val="00C5790F"/>
    <w:rsid w:val="00C608F1"/>
    <w:rsid w:val="00C60B85"/>
    <w:rsid w:val="00C66956"/>
    <w:rsid w:val="00C731B2"/>
    <w:rsid w:val="00C85A53"/>
    <w:rsid w:val="00C97D68"/>
    <w:rsid w:val="00CA70D1"/>
    <w:rsid w:val="00CB169C"/>
    <w:rsid w:val="00CB3A1C"/>
    <w:rsid w:val="00CD14E2"/>
    <w:rsid w:val="00CE03F4"/>
    <w:rsid w:val="00CE43CE"/>
    <w:rsid w:val="00CF74E2"/>
    <w:rsid w:val="00D04724"/>
    <w:rsid w:val="00D1015C"/>
    <w:rsid w:val="00D2562F"/>
    <w:rsid w:val="00D31191"/>
    <w:rsid w:val="00D366C7"/>
    <w:rsid w:val="00D40B52"/>
    <w:rsid w:val="00D4661E"/>
    <w:rsid w:val="00D71C02"/>
    <w:rsid w:val="00D73D24"/>
    <w:rsid w:val="00D74E96"/>
    <w:rsid w:val="00D829E3"/>
    <w:rsid w:val="00D8408C"/>
    <w:rsid w:val="00D87838"/>
    <w:rsid w:val="00DD38B9"/>
    <w:rsid w:val="00DE4275"/>
    <w:rsid w:val="00DF7CF2"/>
    <w:rsid w:val="00E1337D"/>
    <w:rsid w:val="00E143FB"/>
    <w:rsid w:val="00E22465"/>
    <w:rsid w:val="00E32CE4"/>
    <w:rsid w:val="00E402D9"/>
    <w:rsid w:val="00E52642"/>
    <w:rsid w:val="00E527D4"/>
    <w:rsid w:val="00E573AD"/>
    <w:rsid w:val="00E60E89"/>
    <w:rsid w:val="00E76849"/>
    <w:rsid w:val="00E85CEF"/>
    <w:rsid w:val="00EA1DA8"/>
    <w:rsid w:val="00EA49DF"/>
    <w:rsid w:val="00EB2F49"/>
    <w:rsid w:val="00EB45EE"/>
    <w:rsid w:val="00EB4EBF"/>
    <w:rsid w:val="00EB5D2A"/>
    <w:rsid w:val="00EC078F"/>
    <w:rsid w:val="00ED0E47"/>
    <w:rsid w:val="00F06DA5"/>
    <w:rsid w:val="00F125A7"/>
    <w:rsid w:val="00F1277C"/>
    <w:rsid w:val="00F13523"/>
    <w:rsid w:val="00F21CAC"/>
    <w:rsid w:val="00F600BF"/>
    <w:rsid w:val="00F70609"/>
    <w:rsid w:val="00F733ED"/>
    <w:rsid w:val="00F914E2"/>
    <w:rsid w:val="00F91909"/>
    <w:rsid w:val="00FC450F"/>
    <w:rsid w:val="00FC72CD"/>
    <w:rsid w:val="00FD04E7"/>
    <w:rsid w:val="00FE0C6C"/>
    <w:rsid w:val="00FF094F"/>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FDF256"/>
  <w15:chartTrackingRefBased/>
  <w15:docId w15:val="{B1919A3E-3254-47C8-8114-A59FEBA0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2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72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72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72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72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7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2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72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72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72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72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7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2CD"/>
    <w:rPr>
      <w:rFonts w:eastAsiaTheme="majorEastAsia" w:cstheme="majorBidi"/>
      <w:color w:val="272727" w:themeColor="text1" w:themeTint="D8"/>
    </w:rPr>
  </w:style>
  <w:style w:type="paragraph" w:styleId="Title">
    <w:name w:val="Title"/>
    <w:basedOn w:val="Normal"/>
    <w:next w:val="Normal"/>
    <w:link w:val="TitleChar"/>
    <w:uiPriority w:val="10"/>
    <w:qFormat/>
    <w:rsid w:val="00FC7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2CD"/>
    <w:pPr>
      <w:spacing w:before="160"/>
      <w:jc w:val="center"/>
    </w:pPr>
    <w:rPr>
      <w:i/>
      <w:iCs/>
      <w:color w:val="404040" w:themeColor="text1" w:themeTint="BF"/>
    </w:rPr>
  </w:style>
  <w:style w:type="character" w:customStyle="1" w:styleId="QuoteChar">
    <w:name w:val="Quote Char"/>
    <w:basedOn w:val="DefaultParagraphFont"/>
    <w:link w:val="Quote"/>
    <w:uiPriority w:val="29"/>
    <w:rsid w:val="00FC72CD"/>
    <w:rPr>
      <w:i/>
      <w:iCs/>
      <w:color w:val="404040" w:themeColor="text1" w:themeTint="BF"/>
    </w:rPr>
  </w:style>
  <w:style w:type="paragraph" w:styleId="ListParagraph">
    <w:name w:val="List Paragraph"/>
    <w:basedOn w:val="Normal"/>
    <w:uiPriority w:val="34"/>
    <w:qFormat/>
    <w:rsid w:val="00FC72CD"/>
    <w:pPr>
      <w:ind w:left="720"/>
      <w:contextualSpacing/>
    </w:pPr>
  </w:style>
  <w:style w:type="character" w:styleId="IntenseEmphasis">
    <w:name w:val="Intense Emphasis"/>
    <w:basedOn w:val="DefaultParagraphFont"/>
    <w:uiPriority w:val="21"/>
    <w:qFormat/>
    <w:rsid w:val="00FC72CD"/>
    <w:rPr>
      <w:i/>
      <w:iCs/>
      <w:color w:val="2F5496" w:themeColor="accent1" w:themeShade="BF"/>
    </w:rPr>
  </w:style>
  <w:style w:type="paragraph" w:styleId="IntenseQuote">
    <w:name w:val="Intense Quote"/>
    <w:basedOn w:val="Normal"/>
    <w:next w:val="Normal"/>
    <w:link w:val="IntenseQuoteChar"/>
    <w:uiPriority w:val="30"/>
    <w:qFormat/>
    <w:rsid w:val="00FC7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72CD"/>
    <w:rPr>
      <w:i/>
      <w:iCs/>
      <w:color w:val="2F5496" w:themeColor="accent1" w:themeShade="BF"/>
    </w:rPr>
  </w:style>
  <w:style w:type="character" w:styleId="IntenseReference">
    <w:name w:val="Intense Reference"/>
    <w:basedOn w:val="DefaultParagraphFont"/>
    <w:uiPriority w:val="32"/>
    <w:qFormat/>
    <w:rsid w:val="00FC72CD"/>
    <w:rPr>
      <w:b/>
      <w:bCs/>
      <w:smallCaps/>
      <w:color w:val="2F5496" w:themeColor="accent1" w:themeShade="BF"/>
      <w:spacing w:val="5"/>
    </w:rPr>
  </w:style>
  <w:style w:type="paragraph" w:styleId="NormalWeb">
    <w:name w:val="Normal (Web)"/>
    <w:basedOn w:val="Normal"/>
    <w:uiPriority w:val="99"/>
    <w:unhideWhenUsed/>
    <w:rsid w:val="00FC72CD"/>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character" w:styleId="Emphasis">
    <w:name w:val="Emphasis"/>
    <w:basedOn w:val="DefaultParagraphFont"/>
    <w:uiPriority w:val="20"/>
    <w:qFormat/>
    <w:rsid w:val="00FC72CD"/>
    <w:rPr>
      <w:i/>
      <w:iCs/>
    </w:rPr>
  </w:style>
  <w:style w:type="character" w:styleId="PlaceholderText">
    <w:name w:val="Placeholder Text"/>
    <w:basedOn w:val="DefaultParagraphFont"/>
    <w:uiPriority w:val="99"/>
    <w:semiHidden/>
    <w:rsid w:val="005E68C1"/>
    <w:rPr>
      <w:color w:val="666666"/>
    </w:rPr>
  </w:style>
  <w:style w:type="character" w:customStyle="1" w:styleId="mord">
    <w:name w:val="mord"/>
    <w:basedOn w:val="DefaultParagraphFont"/>
    <w:rsid w:val="005E68C1"/>
  </w:style>
  <w:style w:type="character" w:customStyle="1" w:styleId="mopen">
    <w:name w:val="mopen"/>
    <w:basedOn w:val="DefaultParagraphFont"/>
    <w:rsid w:val="005E68C1"/>
  </w:style>
  <w:style w:type="character" w:customStyle="1" w:styleId="mclose">
    <w:name w:val="mclose"/>
    <w:basedOn w:val="DefaultParagraphFont"/>
    <w:rsid w:val="005E68C1"/>
  </w:style>
  <w:style w:type="character" w:customStyle="1" w:styleId="mrel">
    <w:name w:val="mrel"/>
    <w:basedOn w:val="DefaultParagraphFont"/>
    <w:rsid w:val="005E68C1"/>
  </w:style>
  <w:style w:type="character" w:customStyle="1" w:styleId="delimsizing">
    <w:name w:val="delimsizing"/>
    <w:basedOn w:val="DefaultParagraphFont"/>
    <w:rsid w:val="005E68C1"/>
  </w:style>
  <w:style w:type="character" w:customStyle="1" w:styleId="vlist-s">
    <w:name w:val="vlist-s"/>
    <w:basedOn w:val="DefaultParagraphFont"/>
    <w:rsid w:val="005E68C1"/>
  </w:style>
  <w:style w:type="character" w:customStyle="1" w:styleId="mbin">
    <w:name w:val="mbin"/>
    <w:basedOn w:val="DefaultParagraphFont"/>
    <w:rsid w:val="005E68C1"/>
  </w:style>
  <w:style w:type="character" w:styleId="Strong">
    <w:name w:val="Strong"/>
    <w:basedOn w:val="DefaultParagraphFont"/>
    <w:uiPriority w:val="22"/>
    <w:qFormat/>
    <w:rsid w:val="00F914E2"/>
    <w:rPr>
      <w:b/>
      <w:bCs/>
    </w:rPr>
  </w:style>
  <w:style w:type="paragraph" w:styleId="Header">
    <w:name w:val="header"/>
    <w:basedOn w:val="Normal"/>
    <w:link w:val="HeaderChar"/>
    <w:uiPriority w:val="99"/>
    <w:unhideWhenUsed/>
    <w:rsid w:val="006B6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7FF"/>
  </w:style>
  <w:style w:type="paragraph" w:styleId="Footer">
    <w:name w:val="footer"/>
    <w:basedOn w:val="Normal"/>
    <w:link w:val="FooterChar"/>
    <w:uiPriority w:val="99"/>
    <w:unhideWhenUsed/>
    <w:rsid w:val="006B6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7FF"/>
  </w:style>
  <w:style w:type="character" w:customStyle="1" w:styleId="katex-mathml">
    <w:name w:val="katex-mathml"/>
    <w:basedOn w:val="DefaultParagraphFont"/>
    <w:rsid w:val="00F733ED"/>
  </w:style>
  <w:style w:type="paragraph" w:styleId="Revision">
    <w:name w:val="Revision"/>
    <w:hidden/>
    <w:uiPriority w:val="99"/>
    <w:semiHidden/>
    <w:rsid w:val="00EB45EE"/>
    <w:pPr>
      <w:spacing w:after="0" w:line="240" w:lineRule="auto"/>
    </w:pPr>
  </w:style>
  <w:style w:type="character" w:styleId="CommentReference">
    <w:name w:val="annotation reference"/>
    <w:basedOn w:val="DefaultParagraphFont"/>
    <w:uiPriority w:val="99"/>
    <w:semiHidden/>
    <w:unhideWhenUsed/>
    <w:rsid w:val="00785533"/>
    <w:rPr>
      <w:sz w:val="16"/>
      <w:szCs w:val="16"/>
    </w:rPr>
  </w:style>
  <w:style w:type="paragraph" w:styleId="CommentText">
    <w:name w:val="annotation text"/>
    <w:basedOn w:val="Normal"/>
    <w:link w:val="CommentTextChar"/>
    <w:uiPriority w:val="99"/>
    <w:unhideWhenUsed/>
    <w:rsid w:val="00785533"/>
    <w:pPr>
      <w:spacing w:line="240" w:lineRule="auto"/>
    </w:pPr>
    <w:rPr>
      <w:sz w:val="20"/>
      <w:szCs w:val="20"/>
    </w:rPr>
  </w:style>
  <w:style w:type="character" w:customStyle="1" w:styleId="CommentTextChar">
    <w:name w:val="Comment Text Char"/>
    <w:basedOn w:val="DefaultParagraphFont"/>
    <w:link w:val="CommentText"/>
    <w:uiPriority w:val="99"/>
    <w:rsid w:val="00785533"/>
    <w:rPr>
      <w:sz w:val="20"/>
      <w:szCs w:val="20"/>
    </w:rPr>
  </w:style>
  <w:style w:type="paragraph" w:styleId="CommentSubject">
    <w:name w:val="annotation subject"/>
    <w:basedOn w:val="CommentText"/>
    <w:next w:val="CommentText"/>
    <w:link w:val="CommentSubjectChar"/>
    <w:uiPriority w:val="99"/>
    <w:semiHidden/>
    <w:unhideWhenUsed/>
    <w:rsid w:val="00785533"/>
    <w:rPr>
      <w:b/>
      <w:bCs/>
    </w:rPr>
  </w:style>
  <w:style w:type="character" w:customStyle="1" w:styleId="CommentSubjectChar">
    <w:name w:val="Comment Subject Char"/>
    <w:basedOn w:val="CommentTextChar"/>
    <w:link w:val="CommentSubject"/>
    <w:uiPriority w:val="99"/>
    <w:semiHidden/>
    <w:rsid w:val="00785533"/>
    <w:rPr>
      <w:b/>
      <w:bCs/>
      <w:sz w:val="20"/>
      <w:szCs w:val="20"/>
    </w:rPr>
  </w:style>
  <w:style w:type="paragraph" w:styleId="Caption">
    <w:name w:val="caption"/>
    <w:basedOn w:val="Normal"/>
    <w:next w:val="Normal"/>
    <w:uiPriority w:val="35"/>
    <w:unhideWhenUsed/>
    <w:qFormat/>
    <w:rsid w:val="000A5639"/>
    <w:pPr>
      <w:spacing w:after="200" w:line="240" w:lineRule="auto"/>
    </w:pPr>
    <w:rPr>
      <w:i/>
      <w:iCs/>
      <w:color w:val="44546A" w:themeColor="text2"/>
      <w:sz w:val="18"/>
      <w:szCs w:val="18"/>
    </w:rPr>
  </w:style>
  <w:style w:type="table" w:styleId="TableGridLight">
    <w:name w:val="Grid Table Light"/>
    <w:basedOn w:val="TableNormal"/>
    <w:uiPriority w:val="40"/>
    <w:rsid w:val="003B71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421692"/>
  </w:style>
  <w:style w:type="table" w:styleId="TableGrid">
    <w:name w:val="Table Grid"/>
    <w:basedOn w:val="TableNormal"/>
    <w:uiPriority w:val="39"/>
    <w:rsid w:val="00204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3B3E604-BCD9-4F95-9F88-24501272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29</Pages>
  <Words>13225</Words>
  <Characters>75389</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Aryanandha Suresh</dc:creator>
  <cp:keywords/>
  <dc:description/>
  <cp:lastModifiedBy>SDI 1084</cp:lastModifiedBy>
  <cp:revision>30</cp:revision>
  <dcterms:created xsi:type="dcterms:W3CDTF">2026-01-28T07:17:00Z</dcterms:created>
  <dcterms:modified xsi:type="dcterms:W3CDTF">2026-02-04T13:54:00Z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7cb525c9-c8b2-4c51-b57a-f1e208283e37</vt:lpwstr>
  </property>
</Properties>
</file>