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9FE6F" w14:textId="0D448139" w:rsidR="00B472CC" w:rsidRPr="00517936" w:rsidRDefault="00B472CC" w:rsidP="00517936">
      <w:pPr>
        <w:spacing w:line="276" w:lineRule="auto"/>
        <w:jc w:val="center"/>
        <w:rPr>
          <w:rFonts w:ascii="Times New Roman" w:hAnsi="Times New Roman" w:cs="Times New Roman"/>
          <w:b/>
          <w:bCs/>
        </w:rPr>
      </w:pPr>
      <w:r w:rsidRPr="00517936">
        <w:rPr>
          <w:rFonts w:ascii="Times New Roman" w:hAnsi="Times New Roman" w:cs="Times New Roman"/>
          <w:b/>
          <w:bCs/>
        </w:rPr>
        <w:t>Assessment of Rapeseed</w:t>
      </w:r>
      <w:r w:rsidR="00400F98" w:rsidRPr="00517936">
        <w:rPr>
          <w:rFonts w:ascii="Times New Roman" w:hAnsi="Times New Roman" w:cs="Times New Roman"/>
          <w:b/>
          <w:bCs/>
        </w:rPr>
        <w:t>-</w:t>
      </w:r>
      <w:r w:rsidRPr="00517936">
        <w:rPr>
          <w:rFonts w:ascii="Times New Roman" w:hAnsi="Times New Roman" w:cs="Times New Roman"/>
          <w:b/>
          <w:bCs/>
        </w:rPr>
        <w:t>Mustard (</w:t>
      </w:r>
      <w:r w:rsidRPr="00517936">
        <w:rPr>
          <w:rFonts w:ascii="Times New Roman" w:hAnsi="Times New Roman" w:cs="Times New Roman"/>
          <w:b/>
          <w:bCs/>
          <w:i/>
          <w:iCs/>
        </w:rPr>
        <w:t>Brassica</w:t>
      </w:r>
      <w:r w:rsidRPr="00517936">
        <w:rPr>
          <w:rFonts w:ascii="Times New Roman" w:hAnsi="Times New Roman" w:cs="Times New Roman"/>
          <w:b/>
          <w:bCs/>
        </w:rPr>
        <w:t xml:space="preserve"> spp.) Genotypes for Resistance to Sclerotinia Rot Caused by </w:t>
      </w:r>
      <w:r w:rsidRPr="00517936">
        <w:rPr>
          <w:rFonts w:ascii="Times New Roman" w:hAnsi="Times New Roman" w:cs="Times New Roman"/>
          <w:b/>
          <w:bCs/>
          <w:i/>
          <w:iCs/>
        </w:rPr>
        <w:t>Sclerotinia sclerotiorum</w:t>
      </w:r>
      <w:r w:rsidRPr="00517936">
        <w:rPr>
          <w:rFonts w:ascii="Times New Roman" w:hAnsi="Times New Roman" w:cs="Times New Roman"/>
          <w:b/>
          <w:bCs/>
        </w:rPr>
        <w:t> (Lib.) de Bary</w:t>
      </w:r>
    </w:p>
    <w:p w14:paraId="27AC96E6" w14:textId="77777777" w:rsidR="008A6D2C" w:rsidRDefault="008A6D2C" w:rsidP="003E20C5">
      <w:pPr>
        <w:spacing w:line="360" w:lineRule="auto"/>
        <w:jc w:val="both"/>
        <w:rPr>
          <w:rFonts w:ascii="Times New Roman" w:hAnsi="Times New Roman" w:cs="Times New Roman"/>
          <w:b/>
          <w:bCs/>
        </w:rPr>
      </w:pPr>
    </w:p>
    <w:p w14:paraId="4AC0ED9A" w14:textId="203B8D68" w:rsidR="009B68BA" w:rsidRPr="00517936" w:rsidRDefault="009B68BA" w:rsidP="003E20C5">
      <w:pPr>
        <w:spacing w:line="360" w:lineRule="auto"/>
        <w:jc w:val="both"/>
        <w:rPr>
          <w:rFonts w:ascii="Times New Roman" w:hAnsi="Times New Roman" w:cs="Times New Roman"/>
          <w:b/>
          <w:bCs/>
        </w:rPr>
      </w:pPr>
      <w:bookmarkStart w:id="0" w:name="_GoBack"/>
      <w:bookmarkEnd w:id="0"/>
      <w:r w:rsidRPr="00517936">
        <w:rPr>
          <w:rFonts w:ascii="Times New Roman" w:hAnsi="Times New Roman" w:cs="Times New Roman"/>
          <w:b/>
          <w:bCs/>
        </w:rPr>
        <w:t>Abstract</w:t>
      </w:r>
    </w:p>
    <w:p w14:paraId="73D82785" w14:textId="07EFCFB7" w:rsidR="00F81855" w:rsidRPr="00517936" w:rsidRDefault="00F81855" w:rsidP="003548AF">
      <w:pPr>
        <w:spacing w:line="360" w:lineRule="auto"/>
        <w:ind w:firstLine="720"/>
        <w:jc w:val="both"/>
        <w:rPr>
          <w:rFonts w:ascii="Times New Roman" w:hAnsi="Times New Roman" w:cs="Times New Roman"/>
        </w:rPr>
      </w:pPr>
      <w:bookmarkStart w:id="1" w:name="_Hlk219819468"/>
      <w:r w:rsidRPr="00517936">
        <w:rPr>
          <w:rFonts w:ascii="Times New Roman" w:hAnsi="Times New Roman" w:cs="Times New Roman"/>
        </w:rPr>
        <w:t xml:space="preserve">Oilseed Brassicas are highly susceptible to Sclerotinia stem rot caused by </w:t>
      </w:r>
      <w:r w:rsidRPr="00517936">
        <w:rPr>
          <w:rFonts w:ascii="Times New Roman" w:hAnsi="Times New Roman" w:cs="Times New Roman"/>
          <w:i/>
          <w:iCs/>
        </w:rPr>
        <w:t>Sclerotinia sclerotiorum</w:t>
      </w:r>
      <w:r w:rsidRPr="00517936">
        <w:rPr>
          <w:rFonts w:ascii="Times New Roman" w:hAnsi="Times New Roman" w:cs="Times New Roman"/>
        </w:rPr>
        <w:t xml:space="preserve"> (Lib.) de Bary, a globally destructive pathogen responsible for severe yield and quality losses. The present </w:t>
      </w:r>
      <w:r w:rsidR="003548AF">
        <w:rPr>
          <w:rFonts w:ascii="Times New Roman" w:hAnsi="Times New Roman" w:cs="Times New Roman"/>
        </w:rPr>
        <w:t>study</w:t>
      </w:r>
      <w:r w:rsidRPr="00517936">
        <w:rPr>
          <w:rFonts w:ascii="Times New Roman" w:hAnsi="Times New Roman" w:cs="Times New Roman"/>
        </w:rPr>
        <w:t xml:space="preserve"> aimed to evaluate rapeseed-mustard genotypes for resistance under artificial epiphytotic conditions using epidemiological disease parameters. Field experiments were conducted during two consecutive Rabi seasons (2022-23 and 2023-24) at the</w:t>
      </w:r>
      <w:r w:rsidR="00765C65" w:rsidRPr="00517936">
        <w:rPr>
          <w:rFonts w:ascii="Times New Roman" w:hAnsi="Times New Roman" w:cs="Times New Roman"/>
        </w:rPr>
        <w:t xml:space="preserve"> TCA</w:t>
      </w:r>
      <w:r w:rsidRPr="00517936">
        <w:rPr>
          <w:rFonts w:ascii="Times New Roman" w:hAnsi="Times New Roman" w:cs="Times New Roman"/>
        </w:rPr>
        <w:t xml:space="preserve"> Dholi Research Farm, Bihar, to screen eighteen genotypes obtained from AICRP on Rapeseed-Mustard against Sclerotinia rot. Artificial inoculation was performed at flowering using a virulent isolate of </w:t>
      </w:r>
      <w:r w:rsidRPr="00517936">
        <w:rPr>
          <w:rFonts w:ascii="Times New Roman" w:hAnsi="Times New Roman" w:cs="Times New Roman"/>
          <w:i/>
          <w:iCs/>
        </w:rPr>
        <w:t>S. sclerotiorum</w:t>
      </w:r>
      <w:r w:rsidRPr="00517936">
        <w:rPr>
          <w:rFonts w:ascii="Times New Roman" w:hAnsi="Times New Roman" w:cs="Times New Roman"/>
        </w:rPr>
        <w:t>, and disease development was assessed using Percent Disease Index (PDI), Area Under Disease Progress Curve (AUDPC), and apparent infection rate (r-value). Pooled analysis revealed</w:t>
      </w:r>
      <w:r w:rsidR="00765C65" w:rsidRPr="00517936">
        <w:rPr>
          <w:rFonts w:ascii="Times New Roman" w:hAnsi="Times New Roman" w:cs="Times New Roman"/>
        </w:rPr>
        <w:t xml:space="preserve"> that there </w:t>
      </w:r>
      <w:r w:rsidR="00FD1EC9" w:rsidRPr="00517936">
        <w:rPr>
          <w:rFonts w:ascii="Times New Roman" w:hAnsi="Times New Roman" w:cs="Times New Roman"/>
        </w:rPr>
        <w:t>was</w:t>
      </w:r>
      <w:r w:rsidRPr="00517936">
        <w:rPr>
          <w:rFonts w:ascii="Times New Roman" w:hAnsi="Times New Roman" w:cs="Times New Roman"/>
        </w:rPr>
        <w:t xml:space="preserve"> considerable variability among genotypes; none exhibited resistant or moderately resistant reactions. Twelve genotypes were categorized as moderately susceptible with comparatively lower disease progression, while five genotypes were susceptible and one genotype (NPC 16) was highly susceptible. Moderately susceptible genotypes such as DRMRIS 20-5, DRMRDR 2156, DRMRDR 2119, and DRMRIS 20-1 recorded lower pooled PDI (25-33%), reduced AUDPC values (330-489), and moderate r-values, indicating slower lesion expansion and partial resistance. In contrast, susceptible genotypes including NRCHB 101 and Rohini exhibited high </w:t>
      </w:r>
      <w:r w:rsidR="00765C65" w:rsidRPr="00517936">
        <w:rPr>
          <w:rFonts w:ascii="Times New Roman" w:hAnsi="Times New Roman" w:cs="Times New Roman"/>
        </w:rPr>
        <w:t xml:space="preserve">PDI (̴ </w:t>
      </w:r>
      <w:r w:rsidRPr="00517936">
        <w:rPr>
          <w:rFonts w:ascii="Times New Roman" w:hAnsi="Times New Roman" w:cs="Times New Roman"/>
        </w:rPr>
        <w:t>55%), elevated AUDPC (&gt;800), and rapid disease progression. The r-value ranged from 0.02 to 0.18, reflecting seasonal variation in epidemic development.</w:t>
      </w:r>
    </w:p>
    <w:bookmarkEnd w:id="1"/>
    <w:p w14:paraId="6365BEC2" w14:textId="360F3517" w:rsidR="00A56F81" w:rsidRPr="00517936" w:rsidRDefault="00633A9E" w:rsidP="003E20C5">
      <w:pPr>
        <w:spacing w:line="360" w:lineRule="auto"/>
        <w:jc w:val="both"/>
        <w:rPr>
          <w:rFonts w:ascii="Times New Roman" w:hAnsi="Times New Roman" w:cs="Times New Roman"/>
        </w:rPr>
      </w:pPr>
      <w:r w:rsidRPr="00517936">
        <w:rPr>
          <w:rFonts w:ascii="Times New Roman" w:hAnsi="Times New Roman" w:cs="Times New Roman"/>
          <w:b/>
          <w:bCs/>
        </w:rPr>
        <w:t>Keywords:</w:t>
      </w:r>
      <w:r w:rsidRPr="00517936">
        <w:rPr>
          <w:rFonts w:ascii="Times New Roman" w:hAnsi="Times New Roman" w:cs="Times New Roman"/>
        </w:rPr>
        <w:t xml:space="preserve"> </w:t>
      </w:r>
      <w:r w:rsidR="001B0924">
        <w:rPr>
          <w:rFonts w:ascii="Times New Roman" w:hAnsi="Times New Roman" w:cs="Times New Roman"/>
        </w:rPr>
        <w:t xml:space="preserve">AUDPC; Genotypes; </w:t>
      </w:r>
      <w:r w:rsidRPr="00517936">
        <w:rPr>
          <w:rFonts w:ascii="Times New Roman" w:hAnsi="Times New Roman" w:cs="Times New Roman"/>
        </w:rPr>
        <w:t>Oilseed brassica</w:t>
      </w:r>
      <w:r w:rsidR="001B0924">
        <w:rPr>
          <w:rFonts w:ascii="Times New Roman" w:hAnsi="Times New Roman" w:cs="Times New Roman"/>
        </w:rPr>
        <w:t>;</w:t>
      </w:r>
      <w:r w:rsidRPr="00517936">
        <w:rPr>
          <w:rFonts w:ascii="Times New Roman" w:hAnsi="Times New Roman" w:cs="Times New Roman"/>
        </w:rPr>
        <w:t xml:space="preserve"> </w:t>
      </w:r>
      <w:r w:rsidR="001B0924">
        <w:rPr>
          <w:rFonts w:ascii="Times New Roman" w:hAnsi="Times New Roman" w:cs="Times New Roman"/>
        </w:rPr>
        <w:tab/>
        <w:t xml:space="preserve">PDI; </w:t>
      </w:r>
      <w:r w:rsidRPr="00517936">
        <w:rPr>
          <w:rFonts w:ascii="Times New Roman" w:hAnsi="Times New Roman" w:cs="Times New Roman"/>
        </w:rPr>
        <w:t>Screening</w:t>
      </w:r>
      <w:r w:rsidR="001B0924">
        <w:rPr>
          <w:rFonts w:ascii="Times New Roman" w:hAnsi="Times New Roman" w:cs="Times New Roman"/>
        </w:rPr>
        <w:t>;</w:t>
      </w:r>
      <w:r w:rsidRPr="00517936">
        <w:rPr>
          <w:rFonts w:ascii="Times New Roman" w:hAnsi="Times New Roman" w:cs="Times New Roman"/>
        </w:rPr>
        <w:t xml:space="preserve"> Sclerotinia rot</w:t>
      </w:r>
    </w:p>
    <w:p w14:paraId="35D51490" w14:textId="67A2961D" w:rsidR="00B472CC" w:rsidRPr="00517936" w:rsidRDefault="00B472CC" w:rsidP="007C28D8">
      <w:pPr>
        <w:spacing w:after="0" w:line="360" w:lineRule="auto"/>
        <w:jc w:val="both"/>
        <w:rPr>
          <w:rFonts w:ascii="Times New Roman" w:hAnsi="Times New Roman" w:cs="Times New Roman"/>
          <w:b/>
          <w:bCs/>
        </w:rPr>
      </w:pPr>
      <w:r w:rsidRPr="00517936">
        <w:rPr>
          <w:rFonts w:ascii="Times New Roman" w:hAnsi="Times New Roman" w:cs="Times New Roman"/>
          <w:b/>
          <w:bCs/>
        </w:rPr>
        <w:t>Introduction</w:t>
      </w:r>
    </w:p>
    <w:p w14:paraId="5639961D" w14:textId="4A5DA45C" w:rsidR="006A05F1" w:rsidRDefault="003E20C5" w:rsidP="006A05F1">
      <w:pPr>
        <w:pStyle w:val="NormalWeb"/>
        <w:spacing w:before="0" w:beforeAutospacing="0" w:after="0" w:afterAutospacing="0" w:line="360" w:lineRule="auto"/>
        <w:ind w:firstLine="720"/>
        <w:jc w:val="both"/>
      </w:pPr>
      <w:r w:rsidRPr="00517936">
        <w:t>Rapeseed</w:t>
      </w:r>
      <w:r w:rsidR="00400F98" w:rsidRPr="00517936">
        <w:t>-</w:t>
      </w:r>
      <w:r w:rsidRPr="00517936">
        <w:t>mustard (</w:t>
      </w:r>
      <w:r w:rsidRPr="00517936">
        <w:rPr>
          <w:rStyle w:val="Emphasis"/>
          <w:rFonts w:eastAsiaTheme="majorEastAsia"/>
        </w:rPr>
        <w:t>Brassica</w:t>
      </w:r>
      <w:r w:rsidRPr="00517936">
        <w:t xml:space="preserve"> spp.) constitutes one of the most important groups of oilseed crops globally, providing substantial contributions to edible oil supply, livestock feed, and industrial raw materials (ICAR-DRMR, 2025). Despite major advances in varietal development and agronomic management, significant yield gaps persist across production environments, largely due to biotic stresses. Among these, Sclerotinia stem rot, caused by the necrotrophic pathogen </w:t>
      </w:r>
      <w:r w:rsidRPr="00517936">
        <w:rPr>
          <w:rStyle w:val="Emphasis"/>
          <w:rFonts w:eastAsiaTheme="majorEastAsia"/>
        </w:rPr>
        <w:t>Sclerotinia sclerotiorum</w:t>
      </w:r>
      <w:r w:rsidRPr="00517936">
        <w:t xml:space="preserve"> (Lib.) de Bary, remains a major constraint. The fungus possesses an </w:t>
      </w:r>
      <w:r w:rsidRPr="00517936">
        <w:lastRenderedPageBreak/>
        <w:t>exceptionally wide host range</w:t>
      </w:r>
      <w:r w:rsidR="00755844" w:rsidRPr="00517936">
        <w:t xml:space="preserve"> </w:t>
      </w:r>
      <w:r w:rsidRPr="00517936">
        <w:t>infecting more than 400 species</w:t>
      </w:r>
      <w:r w:rsidR="00765C65" w:rsidRPr="00517936">
        <w:t xml:space="preserve"> </w:t>
      </w:r>
      <w:r w:rsidRPr="00517936">
        <w:t>and forms long-lived sclerotia that support survival in soil for many years, enabling repeated epidemics under cool, moist conditions (Purdy, 1979; Bolton</w:t>
      </w:r>
      <w:r w:rsidR="00D05006">
        <w:t xml:space="preserve"> et al., 2006;</w:t>
      </w:r>
      <w:r w:rsidRPr="00517936">
        <w:t xml:space="preserve"> Thomma</w:t>
      </w:r>
      <w:r w:rsidR="00D05006">
        <w:t xml:space="preserve"> et al., 2006</w:t>
      </w:r>
      <w:r w:rsidRPr="00517936">
        <w:t>).</w:t>
      </w:r>
    </w:p>
    <w:p w14:paraId="4EF2E719" w14:textId="77777777" w:rsidR="006A05F1" w:rsidRDefault="003E20C5" w:rsidP="006A05F1">
      <w:pPr>
        <w:pStyle w:val="NormalWeb"/>
        <w:spacing w:before="0" w:beforeAutospacing="0" w:after="0" w:afterAutospacing="0" w:line="360" w:lineRule="auto"/>
        <w:ind w:firstLine="720"/>
        <w:jc w:val="both"/>
      </w:pPr>
      <w:r w:rsidRPr="00517936">
        <w:t>Accumulation of sclerotia in soils</w:t>
      </w:r>
      <w:r w:rsidR="00400F98" w:rsidRPr="00517936">
        <w:t xml:space="preserve"> </w:t>
      </w:r>
      <w:r w:rsidRPr="00517936">
        <w:t>driven largely by continuous cultivation of rapeseed–mustard under irrigated conditions</w:t>
      </w:r>
      <w:r w:rsidR="00400F98" w:rsidRPr="00517936">
        <w:t xml:space="preserve"> </w:t>
      </w:r>
      <w:r w:rsidRPr="00517936">
        <w:t xml:space="preserve">has intensified disease severity across India’s major Brassica-growing regions. High inoculum pressure and recurrent outbreaks have been reported in Rajasthan, Haryana, Punjab, Assam, West Bengal, Madhya Pradesh, Uttar Pradesh, and Bihar (Aggarwal </w:t>
      </w:r>
      <w:r w:rsidRPr="00517936">
        <w:rPr>
          <w:i/>
          <w:iCs/>
        </w:rPr>
        <w:t>et al</w:t>
      </w:r>
      <w:r w:rsidRPr="00517936">
        <w:t xml:space="preserve">., 1997; Saharan &amp; Mehta, 2002). Disease incidence may reach </w:t>
      </w:r>
      <w:r w:rsidRPr="00517936">
        <w:rPr>
          <w:rStyle w:val="Strong"/>
          <w:rFonts w:eastAsiaTheme="majorEastAsia"/>
          <w:b w:val="0"/>
          <w:bCs w:val="0"/>
        </w:rPr>
        <w:t>up to 80%</w:t>
      </w:r>
      <w:r w:rsidRPr="00517936">
        <w:rPr>
          <w:b/>
          <w:bCs/>
        </w:rPr>
        <w:t xml:space="preserve"> </w:t>
      </w:r>
      <w:r w:rsidRPr="00517936">
        <w:t xml:space="preserve">in Punjab, Haryana, and Uttar Pradesh (Kang &amp; Chahal, 2000; Sharma </w:t>
      </w:r>
      <w:r w:rsidRPr="00517936">
        <w:rPr>
          <w:i/>
          <w:iCs/>
        </w:rPr>
        <w:t>et al</w:t>
      </w:r>
      <w:r w:rsidRPr="00517936">
        <w:t xml:space="preserve">., 2001), and yield losses approaching </w:t>
      </w:r>
      <w:r w:rsidRPr="00517936">
        <w:rPr>
          <w:rStyle w:val="Strong"/>
          <w:rFonts w:eastAsiaTheme="majorEastAsia"/>
          <w:b w:val="0"/>
          <w:bCs w:val="0"/>
        </w:rPr>
        <w:t>60%</w:t>
      </w:r>
      <w:r w:rsidRPr="00517936">
        <w:t xml:space="preserve"> have been documented in severely affected fields in Rajasthan (Ghasolia </w:t>
      </w:r>
      <w:r w:rsidRPr="00517936">
        <w:rPr>
          <w:i/>
          <w:iCs/>
        </w:rPr>
        <w:t>et al</w:t>
      </w:r>
      <w:r w:rsidRPr="00517936">
        <w:t>., 2004). Such patterns underscore the increasing vulnerability of India’s Brassica production landscapes to severe Sclerotinia epidemics.</w:t>
      </w:r>
    </w:p>
    <w:p w14:paraId="3CC921C9" w14:textId="77777777" w:rsidR="006A05F1" w:rsidRDefault="003E20C5" w:rsidP="006A05F1">
      <w:pPr>
        <w:pStyle w:val="NormalWeb"/>
        <w:spacing w:before="0" w:beforeAutospacing="0" w:after="0" w:afterAutospacing="0" w:line="360" w:lineRule="auto"/>
        <w:ind w:firstLine="720"/>
        <w:jc w:val="both"/>
      </w:pPr>
      <w:r w:rsidRPr="00517936">
        <w:rPr>
          <w:rStyle w:val="Emphasis"/>
          <w:rFonts w:eastAsiaTheme="majorEastAsia"/>
        </w:rPr>
        <w:t>Sclerotinia sclerotiorum</w:t>
      </w:r>
      <w:r w:rsidRPr="00517936">
        <w:t xml:space="preserve"> typically infects Brassica crops during flowering, when colonized petals lodge on stems and branches under humid conditions, promoting mycelial invasion. Subsequent white mycelial growth, girdling lesions, premature senescence, and stem breakage can result in substantial yield losses. Under favorable conditions, losses of 20</w:t>
      </w:r>
      <w:r w:rsidR="00400F98" w:rsidRPr="00517936">
        <w:t>-</w:t>
      </w:r>
      <w:r w:rsidRPr="00517936">
        <w:t xml:space="preserve">50% are commonplace, and catastrophic damage occurs during epiphytotics (Bolton </w:t>
      </w:r>
      <w:r w:rsidRPr="00517936">
        <w:rPr>
          <w:i/>
          <w:iCs/>
        </w:rPr>
        <w:t>et al</w:t>
      </w:r>
      <w:r w:rsidRPr="00517936">
        <w:t xml:space="preserve">., 2006; Derbyshire &amp; Denton-Giles, 2016). The persistence of sclerotia in soil complicates crop rotation strategies, as latent inoculum can survive multiple seasons (Peltier </w:t>
      </w:r>
      <w:r w:rsidRPr="00517936">
        <w:rPr>
          <w:i/>
          <w:iCs/>
        </w:rPr>
        <w:t>et al</w:t>
      </w:r>
      <w:r w:rsidRPr="00517936">
        <w:t>., 2012).</w:t>
      </w:r>
    </w:p>
    <w:p w14:paraId="045AF49E" w14:textId="77777777" w:rsidR="006A05F1" w:rsidRDefault="003E20C5" w:rsidP="006A05F1">
      <w:pPr>
        <w:pStyle w:val="NormalWeb"/>
        <w:spacing w:before="0" w:beforeAutospacing="0" w:after="0" w:afterAutospacing="0" w:line="360" w:lineRule="auto"/>
        <w:ind w:firstLine="720"/>
        <w:jc w:val="both"/>
      </w:pPr>
      <w:r w:rsidRPr="00517936">
        <w:t xml:space="preserve">Management of Sclerotinia stem rot in Brassica crops typically combines chemical, cultural, and biological approaches; however, these tactics often show inconsistent performance under high disease pressure or may be constrained by economic or environmental considerations (Derbyshire &amp; Denton-Giles, 2016). Consequently, host resistance is widely regarded as the most sustainable long-term strategy. Yet, resistance to </w:t>
      </w:r>
      <w:r w:rsidRPr="00517936">
        <w:rPr>
          <w:rStyle w:val="Emphasis"/>
          <w:rFonts w:eastAsiaTheme="majorEastAsia"/>
        </w:rPr>
        <w:t>S. sclerotiorum</w:t>
      </w:r>
      <w:r w:rsidRPr="00517936">
        <w:t xml:space="preserve"> is predominantly quantitative and polygenic, making the development of fully resistant cultivars challenging (Bolton </w:t>
      </w:r>
      <w:r w:rsidRPr="00517936">
        <w:rPr>
          <w:i/>
          <w:iCs/>
        </w:rPr>
        <w:t>et al</w:t>
      </w:r>
      <w:r w:rsidRPr="00517936">
        <w:t>., 2006).</w:t>
      </w:r>
    </w:p>
    <w:p w14:paraId="470395B3" w14:textId="77777777" w:rsidR="006A05F1" w:rsidRDefault="003E20C5" w:rsidP="006A05F1">
      <w:pPr>
        <w:pStyle w:val="NormalWeb"/>
        <w:spacing w:before="0" w:beforeAutospacing="0" w:after="0" w:afterAutospacing="0" w:line="360" w:lineRule="auto"/>
        <w:ind w:firstLine="720"/>
        <w:jc w:val="both"/>
      </w:pPr>
      <w:r w:rsidRPr="00517936">
        <w:t>Recent screening efforts across Brassica germplasm continue to reveal a lack of complete resistance but have identified genotypes exhibiting partial resistance or delayed disease development</w:t>
      </w:r>
      <w:r w:rsidR="00400F98" w:rsidRPr="00517936">
        <w:t xml:space="preserve"> </w:t>
      </w:r>
      <w:r w:rsidRPr="00517936">
        <w:t xml:space="preserve">traits that are valuable when combined with integrated disease-management practices (Choudhary </w:t>
      </w:r>
      <w:r w:rsidRPr="00517936">
        <w:rPr>
          <w:i/>
          <w:iCs/>
        </w:rPr>
        <w:t>et al</w:t>
      </w:r>
      <w:r w:rsidRPr="00517936">
        <w:t xml:space="preserve">., 2021; Sharma </w:t>
      </w:r>
      <w:r w:rsidRPr="00517936">
        <w:rPr>
          <w:i/>
          <w:iCs/>
        </w:rPr>
        <w:t>et al</w:t>
      </w:r>
      <w:r w:rsidRPr="00517936">
        <w:t xml:space="preserve">., 2025). Artificial inoculation methods allow precise assessment of lesion progression, AUDPC, and disease severity, whereas natural epiphytotic trials </w:t>
      </w:r>
      <w:r w:rsidRPr="00517936">
        <w:lastRenderedPageBreak/>
        <w:t xml:space="preserve">provide insight into genotype × environment interactions (Sheshma </w:t>
      </w:r>
      <w:r w:rsidRPr="00517936">
        <w:rPr>
          <w:i/>
          <w:iCs/>
        </w:rPr>
        <w:t>et al</w:t>
      </w:r>
      <w:r w:rsidRPr="00517936">
        <w:t>., 202</w:t>
      </w:r>
      <w:r w:rsidR="00755844" w:rsidRPr="00517936">
        <w:t>5</w:t>
      </w:r>
      <w:r w:rsidRPr="00517936">
        <w:t xml:space="preserve">; Sharma </w:t>
      </w:r>
      <w:r w:rsidRPr="00517936">
        <w:rPr>
          <w:i/>
          <w:iCs/>
        </w:rPr>
        <w:t>et al</w:t>
      </w:r>
      <w:r w:rsidRPr="00517936">
        <w:t>., 2025).</w:t>
      </w:r>
    </w:p>
    <w:p w14:paraId="5B653606" w14:textId="7AE53A89" w:rsidR="009B68BA" w:rsidRPr="00517936" w:rsidRDefault="003E20C5" w:rsidP="006A05F1">
      <w:pPr>
        <w:pStyle w:val="NormalWeb"/>
        <w:spacing w:before="0" w:beforeAutospacing="0" w:after="0" w:afterAutospacing="0" w:line="360" w:lineRule="auto"/>
        <w:ind w:firstLine="720"/>
        <w:jc w:val="both"/>
      </w:pPr>
      <w:r w:rsidRPr="00517936">
        <w:t>The present study evaluates eighteen rapeseed</w:t>
      </w:r>
      <w:r w:rsidR="00400F98" w:rsidRPr="00517936">
        <w:t>-</w:t>
      </w:r>
      <w:r w:rsidRPr="00517936">
        <w:t>mustard genotypes obtained from AICRP Rapeseed</w:t>
      </w:r>
      <w:r w:rsidR="00CC29D6" w:rsidRPr="00517936">
        <w:t>-</w:t>
      </w:r>
      <w:r w:rsidRPr="00517936">
        <w:t>Mustard, Dholi Centre, under standardized artificial inoculation across two Rabi seasons. Using metrics such as Percent Disease Index (PDI), lesion length, and Area Under Disease Progress Curve (AUDPC), the study aims to: (i) classify genotypes according to the modified Lesovoi 0</w:t>
      </w:r>
      <w:r w:rsidR="00400F98" w:rsidRPr="00517936">
        <w:t>-</w:t>
      </w:r>
      <w:r w:rsidRPr="00517936">
        <w:t>4 scale, (ii) assess consistency of disease response across years, and (iii) identify promising sources of partial resistance for incorporation into breeding programs. Given the quantitative nature of Sclerotinia resistance, the identification of genotypes expressing stable partial resistance across seasons provides a pragmatic foundation for pyramiding minor-effect loci into elite Brassica backgrounds.</w:t>
      </w:r>
    </w:p>
    <w:p w14:paraId="3E53BDD6" w14:textId="77777777" w:rsidR="006A05F1" w:rsidRDefault="009B68BA" w:rsidP="006A05F1">
      <w:pPr>
        <w:spacing w:after="0" w:line="360" w:lineRule="auto"/>
        <w:jc w:val="both"/>
        <w:rPr>
          <w:rFonts w:ascii="Times New Roman" w:hAnsi="Times New Roman" w:cs="Times New Roman"/>
          <w:b/>
          <w:bCs/>
        </w:rPr>
      </w:pPr>
      <w:r w:rsidRPr="00517936">
        <w:rPr>
          <w:rFonts w:ascii="Times New Roman" w:hAnsi="Times New Roman" w:cs="Times New Roman"/>
          <w:b/>
          <w:bCs/>
        </w:rPr>
        <w:t>MATERIALS AND METHODS</w:t>
      </w:r>
    </w:p>
    <w:p w14:paraId="397BE696" w14:textId="70747259" w:rsidR="009B68BA" w:rsidRPr="006A05F1" w:rsidRDefault="009B68BA" w:rsidP="006A05F1">
      <w:pPr>
        <w:spacing w:after="0" w:line="360" w:lineRule="auto"/>
        <w:ind w:firstLine="720"/>
        <w:jc w:val="both"/>
        <w:rPr>
          <w:rFonts w:ascii="Times New Roman" w:hAnsi="Times New Roman" w:cs="Times New Roman"/>
          <w:b/>
          <w:bCs/>
        </w:rPr>
      </w:pPr>
      <w:r w:rsidRPr="00517936">
        <w:rPr>
          <w:rFonts w:ascii="Times New Roman" w:hAnsi="Times New Roman" w:cs="Times New Roman"/>
        </w:rPr>
        <w:t xml:space="preserve">The present investigation was carried out during </w:t>
      </w:r>
      <w:r w:rsidRPr="00517936">
        <w:rPr>
          <w:rFonts w:ascii="Times New Roman" w:hAnsi="Times New Roman" w:cs="Times New Roman"/>
          <w:i/>
          <w:iCs/>
        </w:rPr>
        <w:t>Rabi</w:t>
      </w:r>
      <w:r w:rsidRPr="00517936">
        <w:rPr>
          <w:rFonts w:ascii="Times New Roman" w:hAnsi="Times New Roman" w:cs="Times New Roman"/>
        </w:rPr>
        <w:t xml:space="preserve"> 2022</w:t>
      </w:r>
      <w:r w:rsidR="00CC29D6" w:rsidRPr="00517936">
        <w:rPr>
          <w:rFonts w:ascii="Times New Roman" w:hAnsi="Times New Roman" w:cs="Times New Roman"/>
        </w:rPr>
        <w:t>-</w:t>
      </w:r>
      <w:r w:rsidRPr="00517936">
        <w:rPr>
          <w:rFonts w:ascii="Times New Roman" w:hAnsi="Times New Roman" w:cs="Times New Roman"/>
        </w:rPr>
        <w:t>23 and 2023</w:t>
      </w:r>
      <w:r w:rsidR="00CC29D6" w:rsidRPr="00517936">
        <w:rPr>
          <w:rFonts w:ascii="Times New Roman" w:hAnsi="Times New Roman" w:cs="Times New Roman"/>
        </w:rPr>
        <w:t>-</w:t>
      </w:r>
      <w:r w:rsidRPr="00517936">
        <w:rPr>
          <w:rFonts w:ascii="Times New Roman" w:hAnsi="Times New Roman" w:cs="Times New Roman"/>
        </w:rPr>
        <w:t>24 at the Dholi Research Farm, Tirhut College of Agriculture (Dr. Rajendra Prasad Central Agricultural University), Dholi, Bihar, to evaluate eighteen rapeseed</w:t>
      </w:r>
      <w:r w:rsidR="00CC29D6" w:rsidRPr="00517936">
        <w:rPr>
          <w:rFonts w:ascii="Times New Roman" w:hAnsi="Times New Roman" w:cs="Times New Roman"/>
        </w:rPr>
        <w:t>-</w:t>
      </w:r>
      <w:r w:rsidRPr="00517936">
        <w:rPr>
          <w:rFonts w:ascii="Times New Roman" w:hAnsi="Times New Roman" w:cs="Times New Roman"/>
        </w:rPr>
        <w:t xml:space="preserve">mustard genotypes for their reaction to Sclerotinia stem rot caused by </w:t>
      </w:r>
      <w:r w:rsidRPr="00517936">
        <w:rPr>
          <w:rFonts w:ascii="Times New Roman" w:hAnsi="Times New Roman" w:cs="Times New Roman"/>
          <w:i/>
          <w:iCs/>
        </w:rPr>
        <w:t>Sclerotinia sclerotiorum</w:t>
      </w:r>
      <w:r w:rsidRPr="00517936">
        <w:rPr>
          <w:rFonts w:ascii="Times New Roman" w:hAnsi="Times New Roman" w:cs="Times New Roman"/>
        </w:rPr>
        <w:t xml:space="preserve">. The test entries were </w:t>
      </w:r>
      <w:r w:rsidR="00765C65" w:rsidRPr="00517936">
        <w:rPr>
          <w:rFonts w:ascii="Times New Roman" w:hAnsi="Times New Roman" w:cs="Times New Roman"/>
        </w:rPr>
        <w:t>obtain</w:t>
      </w:r>
      <w:r w:rsidRPr="00517936">
        <w:rPr>
          <w:rFonts w:ascii="Times New Roman" w:hAnsi="Times New Roman" w:cs="Times New Roman"/>
        </w:rPr>
        <w:t>ed from AICRP on Rapeseed</w:t>
      </w:r>
      <w:r w:rsidR="00CC29D6" w:rsidRPr="00517936">
        <w:rPr>
          <w:rFonts w:ascii="Times New Roman" w:hAnsi="Times New Roman" w:cs="Times New Roman"/>
        </w:rPr>
        <w:t>-</w:t>
      </w:r>
      <w:r w:rsidRPr="00517936">
        <w:rPr>
          <w:rFonts w:ascii="Times New Roman" w:hAnsi="Times New Roman" w:cs="Times New Roman"/>
        </w:rPr>
        <w:t>Mustard, TCA</w:t>
      </w:r>
      <w:r w:rsidR="00CD5629" w:rsidRPr="00517936">
        <w:rPr>
          <w:rFonts w:ascii="Times New Roman" w:hAnsi="Times New Roman" w:cs="Times New Roman"/>
        </w:rPr>
        <w:t>,</w:t>
      </w:r>
      <w:r w:rsidRPr="00517936">
        <w:rPr>
          <w:rFonts w:ascii="Times New Roman" w:hAnsi="Times New Roman" w:cs="Times New Roman"/>
        </w:rPr>
        <w:t xml:space="preserve"> Dholi Centre, and included advanced breeding lines along with a known susceptible check 66-197-3 (Yellow Sarson), as used in earlier Brassica screening studies (Choudhary </w:t>
      </w:r>
      <w:r w:rsidRPr="00517936">
        <w:rPr>
          <w:rFonts w:ascii="Times New Roman" w:hAnsi="Times New Roman" w:cs="Times New Roman"/>
          <w:i/>
          <w:iCs/>
        </w:rPr>
        <w:t>et al</w:t>
      </w:r>
      <w:r w:rsidRPr="00517936">
        <w:rPr>
          <w:rFonts w:ascii="Times New Roman" w:hAnsi="Times New Roman" w:cs="Times New Roman"/>
        </w:rPr>
        <w:t>., 2021).</w:t>
      </w:r>
    </w:p>
    <w:p w14:paraId="7DFA8229" w14:textId="77777777" w:rsidR="009B68BA" w:rsidRPr="00517936" w:rsidRDefault="009B68BA" w:rsidP="006A05F1">
      <w:pPr>
        <w:spacing w:after="0" w:line="360" w:lineRule="auto"/>
        <w:jc w:val="both"/>
        <w:rPr>
          <w:rFonts w:ascii="Times New Roman" w:hAnsi="Times New Roman" w:cs="Times New Roman"/>
          <w:b/>
          <w:bCs/>
        </w:rPr>
      </w:pPr>
      <w:r w:rsidRPr="00517936">
        <w:rPr>
          <w:rFonts w:ascii="Times New Roman" w:hAnsi="Times New Roman" w:cs="Times New Roman"/>
          <w:b/>
          <w:bCs/>
        </w:rPr>
        <w:t>Experimental Layout</w:t>
      </w:r>
    </w:p>
    <w:p w14:paraId="7BCBEAB7" w14:textId="77777777" w:rsidR="00D148D1" w:rsidRDefault="009B68BA" w:rsidP="00D148D1">
      <w:pPr>
        <w:spacing w:after="0" w:line="360" w:lineRule="auto"/>
        <w:ind w:firstLine="720"/>
        <w:jc w:val="both"/>
        <w:rPr>
          <w:rFonts w:ascii="Times New Roman" w:hAnsi="Times New Roman" w:cs="Times New Roman"/>
        </w:rPr>
      </w:pPr>
      <w:r w:rsidRPr="00517936">
        <w:rPr>
          <w:rFonts w:ascii="Times New Roman" w:hAnsi="Times New Roman" w:cs="Times New Roman"/>
        </w:rPr>
        <w:t>The experiment was laid out in paired rows, with each genotype accommodated in two rows per replication and two replications following the standard field screening procedure adopted for Brassica germplasm. Recommended agronomic practices for mustard cultivation such as land preparation, fertilizer application, irrigation, and weed management were uniformly followed during both seasons to ensure healthy crop growth and uniform disease development across entries.</w:t>
      </w:r>
    </w:p>
    <w:p w14:paraId="218C1B13" w14:textId="4457EA7F" w:rsidR="009B68BA" w:rsidRPr="00D148D1" w:rsidRDefault="009B68BA" w:rsidP="00D148D1">
      <w:pPr>
        <w:spacing w:after="0" w:line="360" w:lineRule="auto"/>
        <w:jc w:val="both"/>
        <w:rPr>
          <w:rFonts w:ascii="Times New Roman" w:hAnsi="Times New Roman" w:cs="Times New Roman"/>
        </w:rPr>
      </w:pPr>
      <w:r w:rsidRPr="00517936">
        <w:rPr>
          <w:rFonts w:ascii="Times New Roman" w:hAnsi="Times New Roman" w:cs="Times New Roman"/>
          <w:b/>
          <w:bCs/>
        </w:rPr>
        <w:t>Pathogen Source and Inoculum Preparation</w:t>
      </w:r>
    </w:p>
    <w:p w14:paraId="16F76280" w14:textId="24A5839E" w:rsidR="009B68BA" w:rsidRPr="00517936" w:rsidRDefault="009B68BA" w:rsidP="008C0727">
      <w:pPr>
        <w:spacing w:after="0" w:line="360" w:lineRule="auto"/>
        <w:ind w:firstLine="720"/>
        <w:jc w:val="both"/>
        <w:rPr>
          <w:rFonts w:ascii="Times New Roman" w:hAnsi="Times New Roman" w:cs="Times New Roman"/>
        </w:rPr>
      </w:pPr>
      <w:r w:rsidRPr="00517936">
        <w:rPr>
          <w:rFonts w:ascii="Times New Roman" w:hAnsi="Times New Roman" w:cs="Times New Roman"/>
        </w:rPr>
        <w:t xml:space="preserve">A virulent isolate of </w:t>
      </w:r>
      <w:r w:rsidRPr="00517936">
        <w:rPr>
          <w:rFonts w:ascii="Times New Roman" w:hAnsi="Times New Roman" w:cs="Times New Roman"/>
          <w:i/>
          <w:iCs/>
        </w:rPr>
        <w:t>Sclerotinia sclerotiorum</w:t>
      </w:r>
      <w:r w:rsidRPr="00517936">
        <w:rPr>
          <w:rFonts w:ascii="Times New Roman" w:hAnsi="Times New Roman" w:cs="Times New Roman"/>
        </w:rPr>
        <w:t xml:space="preserve"> maintained on potato dextrose agar (PDA) was used for artificial inoculation. Cultures were incubated for </w:t>
      </w:r>
      <w:r w:rsidR="00CD5629" w:rsidRPr="00517936">
        <w:rPr>
          <w:rFonts w:ascii="Times New Roman" w:hAnsi="Times New Roman" w:cs="Times New Roman"/>
        </w:rPr>
        <w:t>7</w:t>
      </w:r>
      <w:r w:rsidR="00F414C9" w:rsidRPr="00517936">
        <w:rPr>
          <w:rFonts w:ascii="Times New Roman" w:hAnsi="Times New Roman" w:cs="Times New Roman"/>
        </w:rPr>
        <w:t>-</w:t>
      </w:r>
      <w:r w:rsidRPr="00517936">
        <w:rPr>
          <w:rFonts w:ascii="Times New Roman" w:hAnsi="Times New Roman" w:cs="Times New Roman"/>
        </w:rPr>
        <w:t>1</w:t>
      </w:r>
      <w:r w:rsidR="00CD5629" w:rsidRPr="00517936">
        <w:rPr>
          <w:rFonts w:ascii="Times New Roman" w:hAnsi="Times New Roman" w:cs="Times New Roman"/>
        </w:rPr>
        <w:t>0</w:t>
      </w:r>
      <w:r w:rsidRPr="00517936">
        <w:rPr>
          <w:rFonts w:ascii="Times New Roman" w:hAnsi="Times New Roman" w:cs="Times New Roman"/>
        </w:rPr>
        <w:t xml:space="preserve"> days, and 5 mm mycelial discs were cut from the actively growing margin of the culture plates. This inoculation technique is consistent with established protocols for Sclerotinia screening in Brassica species (Choudhary </w:t>
      </w:r>
      <w:r w:rsidRPr="00517936">
        <w:rPr>
          <w:rFonts w:ascii="Times New Roman" w:hAnsi="Times New Roman" w:cs="Times New Roman"/>
          <w:i/>
          <w:iCs/>
        </w:rPr>
        <w:t>et al</w:t>
      </w:r>
      <w:r w:rsidRPr="00517936">
        <w:rPr>
          <w:rFonts w:ascii="Times New Roman" w:hAnsi="Times New Roman" w:cs="Times New Roman"/>
        </w:rPr>
        <w:t>., 2021).</w:t>
      </w:r>
    </w:p>
    <w:p w14:paraId="1EAA8FC3" w14:textId="77777777" w:rsidR="009B68BA" w:rsidRPr="00517936" w:rsidRDefault="009B68BA" w:rsidP="008C0727">
      <w:pPr>
        <w:spacing w:after="0" w:line="360" w:lineRule="auto"/>
        <w:jc w:val="both"/>
        <w:rPr>
          <w:rFonts w:ascii="Times New Roman" w:hAnsi="Times New Roman" w:cs="Times New Roman"/>
          <w:b/>
          <w:bCs/>
        </w:rPr>
      </w:pPr>
      <w:r w:rsidRPr="00517936">
        <w:rPr>
          <w:rFonts w:ascii="Times New Roman" w:hAnsi="Times New Roman" w:cs="Times New Roman"/>
          <w:b/>
          <w:bCs/>
        </w:rPr>
        <w:lastRenderedPageBreak/>
        <w:t>Artificial Inoculation Procedure</w:t>
      </w:r>
    </w:p>
    <w:p w14:paraId="631C1A82" w14:textId="2585A466" w:rsidR="009B68BA" w:rsidRPr="00517936" w:rsidRDefault="009B68BA" w:rsidP="008C0727">
      <w:pPr>
        <w:spacing w:after="0" w:line="360" w:lineRule="auto"/>
        <w:ind w:firstLine="720"/>
        <w:jc w:val="both"/>
        <w:rPr>
          <w:rFonts w:ascii="Times New Roman" w:hAnsi="Times New Roman" w:cs="Times New Roman"/>
        </w:rPr>
      </w:pPr>
      <w:r w:rsidRPr="00517936">
        <w:rPr>
          <w:rFonts w:ascii="Times New Roman" w:hAnsi="Times New Roman" w:cs="Times New Roman"/>
        </w:rPr>
        <w:t>Artificial inoculation was carried out at the flowering stage, the most susceptible phase for infection. In each genotype, ten randomly selected plants were inoculated by placing a 5 mm PDA mycelial disc directly onto the third internode of the main stem. A sterile cotton swab moistened with distilled water was wrapped around the inoculation site to maintain adequate humidity, facilitating fungal penetration and lesion development. The same procedure was followed for both seasons to ensure uniform inoculation pressure.</w:t>
      </w:r>
    </w:p>
    <w:p w14:paraId="625A7DC9" w14:textId="0CDF06FF" w:rsidR="009B68BA" w:rsidRPr="00517936" w:rsidRDefault="009B68BA" w:rsidP="008C0727">
      <w:pPr>
        <w:spacing w:after="0" w:line="360" w:lineRule="auto"/>
        <w:jc w:val="both"/>
        <w:rPr>
          <w:rFonts w:ascii="Times New Roman" w:hAnsi="Times New Roman" w:cs="Times New Roman"/>
          <w:b/>
          <w:bCs/>
        </w:rPr>
      </w:pPr>
      <w:r w:rsidRPr="00517936">
        <w:rPr>
          <w:rFonts w:ascii="Times New Roman" w:hAnsi="Times New Roman" w:cs="Times New Roman"/>
          <w:b/>
          <w:bCs/>
        </w:rPr>
        <w:t>Disease Assessment</w:t>
      </w:r>
    </w:p>
    <w:p w14:paraId="44987D48" w14:textId="77777777" w:rsidR="009B68BA" w:rsidRPr="00517936" w:rsidRDefault="009B68BA" w:rsidP="008C0727">
      <w:pPr>
        <w:spacing w:line="360" w:lineRule="auto"/>
        <w:ind w:firstLine="720"/>
        <w:jc w:val="both"/>
        <w:rPr>
          <w:rFonts w:ascii="Times New Roman" w:hAnsi="Times New Roman" w:cs="Times New Roman"/>
        </w:rPr>
      </w:pPr>
      <w:r w:rsidRPr="00517936">
        <w:rPr>
          <w:rFonts w:ascii="Times New Roman" w:hAnsi="Times New Roman" w:cs="Times New Roman"/>
        </w:rPr>
        <w:t xml:space="preserve">Disease development was monitored regularly, and observations were recorded when the susceptible check exhibited elongated lesions (&gt;3 cm). Disease severity was quantified using the </w:t>
      </w:r>
      <w:r w:rsidRPr="00517936">
        <w:rPr>
          <w:rFonts w:ascii="Times New Roman" w:hAnsi="Times New Roman" w:cs="Times New Roman"/>
          <w:b/>
          <w:bCs/>
        </w:rPr>
        <w:t>Percent Disease Index (PDI)</w:t>
      </w:r>
      <w:r w:rsidRPr="00517936">
        <w:rPr>
          <w:rFonts w:ascii="Times New Roman" w:hAnsi="Times New Roman" w:cs="Times New Roman"/>
        </w:rPr>
        <w:t xml:space="preserve"> calculated as:</w:t>
      </w:r>
    </w:p>
    <w:p w14:paraId="290B1743" w14:textId="370381AF" w:rsidR="009B68BA" w:rsidRPr="00517936" w:rsidRDefault="009B68BA" w:rsidP="003E20C5">
      <w:pPr>
        <w:spacing w:line="360" w:lineRule="auto"/>
        <w:jc w:val="both"/>
        <w:rPr>
          <w:rFonts w:ascii="Times New Roman" w:hAnsi="Times New Roman" w:cs="Times New Roman"/>
        </w:rPr>
      </w:pPr>
      <m:oMathPara>
        <m:oMath>
          <m:r>
            <m:rPr>
              <m:nor/>
            </m:rPr>
            <w:rPr>
              <w:rFonts w:ascii="Times New Roman" w:hAnsi="Times New Roman" w:cs="Times New Roman"/>
            </w:rPr>
            <m:t>PDI</m:t>
          </m:r>
          <m:r>
            <w:rPr>
              <w:rFonts w:ascii="Cambria Math" w:hAnsi="Cambria Math" w:cs="Times New Roman"/>
            </w:rPr>
            <m:t>=[</m:t>
          </m:r>
          <m:f>
            <m:fPr>
              <m:ctrlPr>
                <w:rPr>
                  <w:rFonts w:ascii="Cambria Math" w:hAnsi="Cambria Math" w:cs="Times New Roman"/>
                </w:rPr>
              </m:ctrlPr>
            </m:fPr>
            <m:num>
              <m:r>
                <w:rPr>
                  <w:rFonts w:ascii="Cambria Math" w:hAnsi="Cambria Math" w:cs="Times New Roman"/>
                </w:rPr>
                <m:t>∑(</m:t>
              </m:r>
              <m:r>
                <m:rPr>
                  <m:nor/>
                </m:rPr>
                <w:rPr>
                  <w:rFonts w:ascii="Times New Roman" w:hAnsi="Times New Roman" w:cs="Times New Roman"/>
                </w:rPr>
                <m:t>rating</m:t>
              </m:r>
              <m:r>
                <w:rPr>
                  <w:rFonts w:ascii="Cambria Math" w:hAnsi="Cambria Math" w:cs="Times New Roman"/>
                </w:rPr>
                <m:t>×</m:t>
              </m:r>
              <m:r>
                <m:rPr>
                  <m:nor/>
                </m:rPr>
                <w:rPr>
                  <w:rFonts w:ascii="Times New Roman" w:hAnsi="Times New Roman" w:cs="Times New Roman"/>
                </w:rPr>
                <m:t>number of infected plants</m:t>
              </m:r>
              <m:r>
                <w:rPr>
                  <w:rFonts w:ascii="Cambria Math" w:hAnsi="Cambria Math" w:cs="Times New Roman"/>
                </w:rPr>
                <m:t>)</m:t>
              </m:r>
            </m:num>
            <m:den>
              <m:r>
                <m:rPr>
                  <m:nor/>
                </m:rPr>
                <w:rPr>
                  <w:rFonts w:ascii="Times New Roman" w:hAnsi="Times New Roman" w:cs="Times New Roman"/>
                </w:rPr>
                <m:t>Total plants observed</m:t>
              </m:r>
              <m:r>
                <w:rPr>
                  <w:rFonts w:ascii="Cambria Math" w:hAnsi="Cambria Math" w:cs="Times New Roman"/>
                </w:rPr>
                <m:t>×</m:t>
              </m:r>
              <m:r>
                <m:rPr>
                  <m:nor/>
                </m:rPr>
                <w:rPr>
                  <w:rFonts w:ascii="Times New Roman" w:hAnsi="Times New Roman" w:cs="Times New Roman"/>
                </w:rPr>
                <m:t>maximum rating</m:t>
              </m:r>
            </m:den>
          </m:f>
          <m:r>
            <w:rPr>
              <w:rFonts w:ascii="Cambria Math" w:hAnsi="Cambria Math" w:cs="Times New Roman"/>
            </w:rPr>
            <m:t>]×100</m:t>
          </m:r>
        </m:oMath>
      </m:oMathPara>
    </w:p>
    <w:p w14:paraId="1DDEC3C9" w14:textId="77777777" w:rsidR="00F51966" w:rsidRDefault="009B68BA" w:rsidP="00543989">
      <w:pPr>
        <w:spacing w:after="0" w:line="360" w:lineRule="auto"/>
        <w:ind w:firstLine="720"/>
        <w:jc w:val="both"/>
        <w:rPr>
          <w:rFonts w:ascii="Times New Roman" w:hAnsi="Times New Roman" w:cs="Times New Roman"/>
        </w:rPr>
      </w:pPr>
      <w:r w:rsidRPr="00517936">
        <w:rPr>
          <w:rFonts w:ascii="Times New Roman" w:hAnsi="Times New Roman" w:cs="Times New Roman"/>
        </w:rPr>
        <w:t>The disease incidence was recorded and expressed as per cent disease index (PDI) using the ratings employing the formula</w:t>
      </w:r>
      <w:r w:rsidR="00F51966">
        <w:rPr>
          <w:rFonts w:ascii="Times New Roman" w:hAnsi="Times New Roman" w:cs="Times New Roman"/>
        </w:rPr>
        <w:t>:</w:t>
      </w:r>
    </w:p>
    <w:p w14:paraId="3B7341EA" w14:textId="77777777" w:rsidR="00F51966" w:rsidRDefault="009B68BA" w:rsidP="00543989">
      <w:pPr>
        <w:spacing w:after="0" w:line="360" w:lineRule="auto"/>
        <w:ind w:firstLine="720"/>
        <w:jc w:val="both"/>
        <w:rPr>
          <w:rFonts w:ascii="Times New Roman" w:hAnsi="Times New Roman" w:cs="Times New Roman"/>
        </w:rPr>
      </w:pPr>
      <w:r w:rsidRPr="00517936">
        <w:rPr>
          <w:rFonts w:ascii="Times New Roman" w:hAnsi="Times New Roman" w:cs="Times New Roman"/>
        </w:rPr>
        <w:t xml:space="preserve">Disease index = (∑ (rating x number of plants rated)/Total number of plants x highest rating) x 100. </w:t>
      </w:r>
    </w:p>
    <w:p w14:paraId="650214FD" w14:textId="0609A7B3" w:rsidR="009B68BA" w:rsidRPr="00517936" w:rsidRDefault="009B68BA" w:rsidP="00F51966">
      <w:pPr>
        <w:spacing w:after="0" w:line="360" w:lineRule="auto"/>
        <w:ind w:left="720" w:firstLine="720"/>
        <w:jc w:val="both"/>
        <w:rPr>
          <w:rFonts w:ascii="Times New Roman" w:hAnsi="Times New Roman" w:cs="Times New Roman"/>
        </w:rPr>
      </w:pPr>
      <w:r w:rsidRPr="00517936">
        <w:rPr>
          <w:rFonts w:ascii="Times New Roman" w:hAnsi="Times New Roman" w:cs="Times New Roman"/>
        </w:rPr>
        <w:t>Based on the PDI, the phenotypes of the plants were categorized for the stem rot resistance as 1-20% = 1, 21-40% =2, 41-60% = 3, &gt;60% = 4, where: 0= Resistant (R), 1 = Moderately resistant (MR), 2 = Moderately susceptible (MS), 3= Susceptible (S), 4= Highly susceptible (HS).</w:t>
      </w:r>
      <w:r w:rsidRPr="00517936">
        <w:rPr>
          <w:rFonts w:ascii="Times New Roman" w:hAnsi="Times New Roman" w:cs="Times New Roman"/>
          <w:b/>
          <w:bCs/>
        </w:rPr>
        <w:t xml:space="preserve"> </w:t>
      </w:r>
      <w:r w:rsidRPr="00517936">
        <w:rPr>
          <w:rFonts w:ascii="Times New Roman" w:hAnsi="Times New Roman" w:cs="Times New Roman"/>
        </w:rPr>
        <w:t>(Modified 0-4 scale by Lesovoi</w:t>
      </w:r>
      <w:r w:rsidR="00CD5629" w:rsidRPr="00517936">
        <w:rPr>
          <w:rFonts w:ascii="Times New Roman" w:hAnsi="Times New Roman" w:cs="Times New Roman"/>
        </w:rPr>
        <w:t xml:space="preserve"> </w:t>
      </w:r>
      <w:r w:rsidRPr="00517936">
        <w:rPr>
          <w:rFonts w:ascii="Times New Roman" w:hAnsi="Times New Roman" w:cs="Times New Roman"/>
          <w:i/>
          <w:iCs/>
        </w:rPr>
        <w:t>et al</w:t>
      </w:r>
      <w:r w:rsidRPr="00517936">
        <w:rPr>
          <w:rFonts w:ascii="Times New Roman" w:hAnsi="Times New Roman" w:cs="Times New Roman"/>
        </w:rPr>
        <w:t>., 1987)</w:t>
      </w:r>
    </w:p>
    <w:p w14:paraId="12E619F2" w14:textId="77777777" w:rsidR="00B26627" w:rsidRPr="00517936" w:rsidRDefault="00B26627" w:rsidP="00543989">
      <w:pPr>
        <w:spacing w:after="0" w:line="360" w:lineRule="auto"/>
        <w:jc w:val="both"/>
        <w:rPr>
          <w:rFonts w:ascii="Times New Roman" w:hAnsi="Times New Roman" w:cs="Times New Roman"/>
        </w:rPr>
      </w:pPr>
      <w:r w:rsidRPr="00517936">
        <w:rPr>
          <w:rFonts w:ascii="Times New Roman" w:hAnsi="Times New Roman" w:cs="Times New Roman"/>
          <w:b/>
          <w:bCs/>
        </w:rPr>
        <w:t>Area Under the Disease Progress Curve (AUDPC)</w:t>
      </w:r>
    </w:p>
    <w:p w14:paraId="207E110A" w14:textId="4F4E465E" w:rsidR="00B26627" w:rsidRPr="00517936" w:rsidRDefault="00B26627" w:rsidP="00543989">
      <w:pPr>
        <w:spacing w:after="200" w:line="360" w:lineRule="auto"/>
        <w:ind w:firstLine="720"/>
        <w:jc w:val="both"/>
        <w:rPr>
          <w:rFonts w:ascii="Times New Roman" w:hAnsi="Times New Roman" w:cs="Times New Roman"/>
        </w:rPr>
      </w:pPr>
      <w:r w:rsidRPr="00517936">
        <w:rPr>
          <w:rFonts w:ascii="Times New Roman" w:hAnsi="Times New Roman" w:cs="Times New Roman"/>
        </w:rPr>
        <w:t>Disease progression was quantified by calculating the Area Under the Disease Progress Curve for each genotype across both seasons. Disease severity was assessed at regular intervals following inoculation, and AUDPC values were computed using the trapezoidal integration method as described by Simko and Piepho (2012):</w:t>
      </w:r>
    </w:p>
    <w:p w14:paraId="1F606D7C" w14:textId="4FB47736" w:rsidR="00B26627" w:rsidRPr="00517936" w:rsidRDefault="00B26627" w:rsidP="00B26627">
      <w:pPr>
        <w:spacing w:after="200" w:line="360" w:lineRule="auto"/>
        <w:jc w:val="both"/>
        <w:rPr>
          <w:rFonts w:ascii="Times New Roman" w:hAnsi="Times New Roman" w:cs="Times New Roman"/>
        </w:rPr>
      </w:pPr>
      <m:oMathPara>
        <m:oMath>
          <m:r>
            <w:rPr>
              <w:rFonts w:ascii="Cambria Math" w:hAnsi="Cambria Math" w:cs="Times New Roman"/>
            </w:rPr>
            <m:t>AUDPC=</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n-1</m:t>
              </m:r>
            </m:sup>
            <m:e>
              <m:d>
                <m:dPr>
                  <m:begChr m:val="["/>
                  <m:endChr m:val="]"/>
                  <m:ctrlPr>
                    <w:rPr>
                      <w:rFonts w:ascii="Cambria Math" w:hAnsi="Cambria Math" w:cs="Times New Roman"/>
                    </w:rPr>
                  </m:ctrlPr>
                </m:dPr>
                <m:e>
                  <m:f>
                    <m:fPr>
                      <m:ctrlPr>
                        <w:rPr>
                          <w:rFonts w:ascii="Cambria Math" w:hAnsi="Cambria Math" w:cs="Times New Roman"/>
                        </w:rPr>
                      </m:ctrlPr>
                    </m:fPr>
                    <m:num>
                      <m:d>
                        <m:dPr>
                          <m:sep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m:t>
                              </m:r>
                            </m:sub>
                          </m:sSub>
                        </m:e>
                        <m:e>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i+1</m:t>
                              </m:r>
                            </m:sub>
                          </m:sSub>
                        </m:e>
                      </m:d>
                    </m:num>
                    <m:den>
                      <m:r>
                        <w:rPr>
                          <w:rFonts w:ascii="Cambria Math" w:hAnsi="Cambria Math" w:cs="Times New Roman"/>
                        </w:rPr>
                        <m:t>2</m:t>
                      </m:r>
                    </m:den>
                  </m:f>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i+1</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r>
                    <w:rPr>
                      <w:rFonts w:ascii="Cambria Math" w:hAnsi="Cambria Math" w:cs="Times New Roman"/>
                    </w:rPr>
                    <m:t>)</m:t>
                  </m:r>
                </m:e>
              </m:d>
            </m:e>
          </m:nary>
        </m:oMath>
      </m:oMathPara>
    </w:p>
    <w:p w14:paraId="5154FCC2" w14:textId="1835496B" w:rsidR="00B26627" w:rsidRPr="00517936" w:rsidRDefault="00B26627" w:rsidP="00543989">
      <w:pPr>
        <w:spacing w:after="0" w:line="360" w:lineRule="auto"/>
        <w:ind w:firstLine="720"/>
        <w:jc w:val="both"/>
        <w:rPr>
          <w:rFonts w:ascii="Times New Roman" w:hAnsi="Times New Roman" w:cs="Times New Roman"/>
        </w:rPr>
      </w:pPr>
      <w:r w:rsidRPr="00517936">
        <w:rPr>
          <w:rFonts w:ascii="Times New Roman" w:hAnsi="Times New Roman" w:cs="Times New Roman"/>
        </w:rPr>
        <w:lastRenderedPageBreak/>
        <w:t xml:space="preserve">where </w:t>
      </w:r>
      <w:r w:rsidRPr="00517936">
        <w:rPr>
          <w:rFonts w:ascii="Times New Roman" w:hAnsi="Times New Roman" w:cs="Times New Roman"/>
          <w:b/>
          <w:bCs/>
        </w:rPr>
        <w:t>y</w:t>
      </w:r>
      <w:r w:rsidRPr="00517936">
        <w:rPr>
          <w:rFonts w:ascii="Times New Roman" w:hAnsi="Times New Roman" w:cs="Times New Roman"/>
        </w:rPr>
        <w:t xml:space="preserve"> is the Per</w:t>
      </w:r>
      <w:r w:rsidR="00CD5629" w:rsidRPr="00517936">
        <w:rPr>
          <w:rFonts w:ascii="Times New Roman" w:hAnsi="Times New Roman" w:cs="Times New Roman"/>
        </w:rPr>
        <w:t xml:space="preserve"> </w:t>
      </w:r>
      <w:r w:rsidRPr="00517936">
        <w:rPr>
          <w:rFonts w:ascii="Times New Roman" w:hAnsi="Times New Roman" w:cs="Times New Roman"/>
        </w:rPr>
        <w:t xml:space="preserve">cent Disease Index (PDI) recorded at each observation, </w:t>
      </w:r>
      <w:r w:rsidRPr="00517936">
        <w:rPr>
          <w:rFonts w:ascii="Times New Roman" w:hAnsi="Times New Roman" w:cs="Times New Roman"/>
          <w:b/>
          <w:bCs/>
        </w:rPr>
        <w:t>t</w:t>
      </w:r>
      <w:r w:rsidRPr="00517936">
        <w:rPr>
          <w:rFonts w:ascii="Times New Roman" w:hAnsi="Times New Roman" w:cs="Times New Roman"/>
        </w:rPr>
        <w:t xml:space="preserve"> is the time in days at each observation, </w:t>
      </w:r>
      <w:r w:rsidRPr="00517936">
        <w:rPr>
          <w:rFonts w:ascii="Times New Roman" w:hAnsi="Times New Roman" w:cs="Times New Roman"/>
          <w:b/>
          <w:bCs/>
        </w:rPr>
        <w:t>i</w:t>
      </w:r>
      <w:r w:rsidRPr="00517936">
        <w:rPr>
          <w:rFonts w:ascii="Times New Roman" w:hAnsi="Times New Roman" w:cs="Times New Roman"/>
        </w:rPr>
        <w:t xml:space="preserve"> is the observation number, and </w:t>
      </w:r>
      <w:r w:rsidRPr="00517936">
        <w:rPr>
          <w:rFonts w:ascii="Times New Roman" w:hAnsi="Times New Roman" w:cs="Times New Roman"/>
          <w:b/>
          <w:bCs/>
        </w:rPr>
        <w:t>n</w:t>
      </w:r>
      <w:r w:rsidRPr="00517936">
        <w:rPr>
          <w:rFonts w:ascii="Times New Roman" w:hAnsi="Times New Roman" w:cs="Times New Roman"/>
        </w:rPr>
        <w:t xml:space="preserve"> is the total number of observations. The AUDPC combines disease severity values recorded over time into a single quantitative measure, thereby representing the overall disease development during the crop season. Higher AUDPC values indicate faster disease progression and greater disease severity, and therefore reflect higher susceptibility of the genotype.</w:t>
      </w:r>
    </w:p>
    <w:p w14:paraId="44718457" w14:textId="5A2B7CAA" w:rsidR="00B26627" w:rsidRPr="00517936" w:rsidRDefault="00B26627" w:rsidP="00543989">
      <w:pPr>
        <w:spacing w:after="0" w:line="360" w:lineRule="auto"/>
        <w:jc w:val="both"/>
        <w:rPr>
          <w:rFonts w:ascii="Times New Roman" w:hAnsi="Times New Roman" w:cs="Times New Roman"/>
        </w:rPr>
      </w:pPr>
      <w:r w:rsidRPr="00517936">
        <w:rPr>
          <w:rFonts w:ascii="Times New Roman" w:hAnsi="Times New Roman" w:cs="Times New Roman"/>
          <w:b/>
          <w:bCs/>
        </w:rPr>
        <w:t>Apparent Rate of Infection (r)</w:t>
      </w:r>
    </w:p>
    <w:p w14:paraId="51EEE84D" w14:textId="77777777" w:rsidR="00B26627" w:rsidRPr="00517936" w:rsidRDefault="00B26627" w:rsidP="00543989">
      <w:pPr>
        <w:spacing w:line="360" w:lineRule="auto"/>
        <w:ind w:firstLine="720"/>
        <w:jc w:val="both"/>
        <w:rPr>
          <w:rFonts w:ascii="Times New Roman" w:hAnsi="Times New Roman" w:cs="Times New Roman"/>
        </w:rPr>
      </w:pPr>
      <w:r w:rsidRPr="00517936">
        <w:rPr>
          <w:rFonts w:ascii="Times New Roman" w:hAnsi="Times New Roman" w:cs="Times New Roman"/>
        </w:rPr>
        <w:t>The apparent rate of infection (</w:t>
      </w:r>
      <w:r w:rsidRPr="00517936">
        <w:rPr>
          <w:rFonts w:ascii="Times New Roman" w:hAnsi="Times New Roman" w:cs="Times New Roman"/>
          <w:i/>
          <w:iCs/>
        </w:rPr>
        <w:t>r</w:t>
      </w:r>
      <w:r w:rsidRPr="00517936">
        <w:rPr>
          <w:rFonts w:ascii="Times New Roman" w:hAnsi="Times New Roman" w:cs="Times New Roman"/>
        </w:rPr>
        <w:t>) was calculated to determine the speed of disease development in each genotype. This parameter was estimated using the formula proposed by Van der Plank (1963):</w:t>
      </w:r>
    </w:p>
    <w:p w14:paraId="5552C4FD" w14:textId="04E7FC49" w:rsidR="00B26627" w:rsidRPr="00517936" w:rsidRDefault="00B26627" w:rsidP="00B26627">
      <w:pPr>
        <w:spacing w:line="360" w:lineRule="auto"/>
        <w:jc w:val="both"/>
        <w:rPr>
          <w:rFonts w:ascii="Times New Roman" w:hAnsi="Times New Roman" w:cs="Times New Roman"/>
        </w:rPr>
      </w:pPr>
      <m:oMathPara>
        <m:oMath>
          <m:r>
            <w:rPr>
              <w:rFonts w:ascii="Cambria Math" w:hAnsi="Cambria Math" w:cs="Times New Roman"/>
            </w:rPr>
            <m:t>r=</m:t>
          </m:r>
          <m:f>
            <m:fPr>
              <m:ctrlPr>
                <w:rPr>
                  <w:rFonts w:ascii="Cambria Math" w:hAnsi="Cambria Math" w:cs="Times New Roman"/>
                </w:rPr>
              </m:ctrlPr>
            </m:fPr>
            <m:num>
              <m:r>
                <w:rPr>
                  <w:rFonts w:ascii="Cambria Math" w:hAnsi="Cambria Math" w:cs="Times New Roman"/>
                </w:rPr>
                <m:t>1</m:t>
              </m:r>
            </m:num>
            <m:den>
              <m:d>
                <m:dPr>
                  <m:sepChr m:val="−"/>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2</m:t>
                      </m:r>
                    </m:sub>
                  </m:sSub>
                </m:e>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1</m:t>
                      </m:r>
                    </m:sub>
                  </m:sSub>
                </m:e>
              </m:d>
            </m:den>
          </m:f>
          <m:r>
            <w:rPr>
              <w:rFonts w:ascii="Cambria Math" w:hAnsi="Cambria Math" w:cs="Times New Roman"/>
            </w:rPr>
            <m:t>×</m:t>
          </m:r>
          <m:d>
            <m:dPr>
              <m:begChr m:val="["/>
              <m:endChr m:val="]"/>
              <m:ctrlPr>
                <w:rPr>
                  <w:rFonts w:ascii="Cambria Math" w:hAnsi="Cambria Math" w:cs="Times New Roman"/>
                </w:rPr>
              </m:ctrlPr>
            </m:dPr>
            <m:e>
              <m:r>
                <m:rPr>
                  <m:sty m:val="p"/>
                </m:rPr>
                <w:rPr>
                  <w:rFonts w:ascii="Cambria Math" w:hAnsi="Cambria Math" w:cs="Times New Roman"/>
                </w:rPr>
                <m:t>ln</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num>
                    <m:den>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2</m:t>
                          </m:r>
                        </m:sub>
                      </m:sSub>
                    </m:den>
                  </m:f>
                </m:e>
              </m:d>
              <m:r>
                <w:rPr>
                  <w:rFonts w:ascii="Cambria Math" w:hAnsi="Cambria Math" w:cs="Times New Roman"/>
                </w:rPr>
                <m:t>-</m:t>
              </m:r>
              <m:r>
                <m:rPr>
                  <m:sty m:val="p"/>
                </m:rPr>
                <w:rPr>
                  <w:rFonts w:ascii="Cambria Math" w:hAnsi="Cambria Math" w:cs="Times New Roman"/>
                </w:rPr>
                <m:t>ln</m:t>
              </m:r>
              <m:r>
                <w:rPr>
                  <w:rFonts w:ascii="Cambria Math" w:hAnsi="Cambria Math" w:cs="Times New Roman"/>
                </w:rPr>
                <m:t>⁡</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num>
                    <m:den>
                      <m:r>
                        <w:rPr>
                          <w:rFonts w:ascii="Cambria Math" w:hAnsi="Cambria Math" w:cs="Times New Roman"/>
                        </w:rPr>
                        <m:t>1-</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1</m:t>
                          </m:r>
                        </m:sub>
                      </m:sSub>
                    </m:den>
                  </m:f>
                </m:e>
              </m:d>
            </m:e>
          </m:d>
        </m:oMath>
      </m:oMathPara>
    </w:p>
    <w:p w14:paraId="635BF0C7" w14:textId="77777777" w:rsidR="00B26627" w:rsidRPr="00517936" w:rsidRDefault="00B26627" w:rsidP="00543989">
      <w:pPr>
        <w:spacing w:after="0" w:line="360" w:lineRule="auto"/>
        <w:ind w:firstLine="720"/>
        <w:jc w:val="both"/>
        <w:rPr>
          <w:rFonts w:ascii="Times New Roman" w:hAnsi="Times New Roman" w:cs="Times New Roman"/>
        </w:rPr>
      </w:pPr>
      <w:r w:rsidRPr="00517936">
        <w:rPr>
          <w:rFonts w:ascii="Times New Roman" w:hAnsi="Times New Roman" w:cs="Times New Roman"/>
        </w:rPr>
        <w:t xml:space="preserve">where </w:t>
      </w:r>
      <w:r w:rsidRPr="00517936">
        <w:rPr>
          <w:rFonts w:ascii="Times New Roman" w:hAnsi="Times New Roman" w:cs="Times New Roman"/>
          <w:i/>
          <w:iCs/>
        </w:rPr>
        <w:t>x</w:t>
      </w:r>
      <w:r w:rsidRPr="00517936">
        <w:rPr>
          <w:rFonts w:ascii="Times New Roman" w:hAnsi="Times New Roman" w:cs="Times New Roman"/>
        </w:rPr>
        <w:t xml:space="preserve">₁ and </w:t>
      </w:r>
      <w:r w:rsidRPr="00517936">
        <w:rPr>
          <w:rFonts w:ascii="Times New Roman" w:hAnsi="Times New Roman" w:cs="Times New Roman"/>
          <w:i/>
          <w:iCs/>
        </w:rPr>
        <w:t>x</w:t>
      </w:r>
      <w:r w:rsidRPr="00517936">
        <w:rPr>
          <w:rFonts w:ascii="Times New Roman" w:hAnsi="Times New Roman" w:cs="Times New Roman"/>
        </w:rPr>
        <w:t xml:space="preserve">₂ represent the proportion of disease (PDI expressed as a decimal fraction) at times </w:t>
      </w:r>
      <w:r w:rsidRPr="00517936">
        <w:rPr>
          <w:rFonts w:ascii="Times New Roman" w:hAnsi="Times New Roman" w:cs="Times New Roman"/>
          <w:i/>
          <w:iCs/>
        </w:rPr>
        <w:t>t</w:t>
      </w:r>
      <w:r w:rsidRPr="00517936">
        <w:rPr>
          <w:rFonts w:ascii="Times New Roman" w:hAnsi="Times New Roman" w:cs="Times New Roman"/>
        </w:rPr>
        <w:t xml:space="preserve">₁ and </w:t>
      </w:r>
      <w:r w:rsidRPr="00517936">
        <w:rPr>
          <w:rFonts w:ascii="Times New Roman" w:hAnsi="Times New Roman" w:cs="Times New Roman"/>
          <w:i/>
          <w:iCs/>
        </w:rPr>
        <w:t>t</w:t>
      </w:r>
      <w:r w:rsidRPr="00517936">
        <w:rPr>
          <w:rFonts w:ascii="Times New Roman" w:hAnsi="Times New Roman" w:cs="Times New Roman"/>
        </w:rPr>
        <w:t xml:space="preserve">₂, respectively. The apparent infection rate provides insight into the temporal dynamics of disease spread and serves as an additional criterion for assessing genotypic resistance. Lower </w:t>
      </w:r>
      <w:r w:rsidRPr="00517936">
        <w:rPr>
          <w:rFonts w:ascii="Times New Roman" w:hAnsi="Times New Roman" w:cs="Times New Roman"/>
          <w:i/>
          <w:iCs/>
        </w:rPr>
        <w:t>r</w:t>
      </w:r>
      <w:r w:rsidRPr="00517936">
        <w:rPr>
          <w:rFonts w:ascii="Times New Roman" w:hAnsi="Times New Roman" w:cs="Times New Roman"/>
        </w:rPr>
        <w:t xml:space="preserve"> values indicate slower disease progression and suggest greater resistance to the pathogen. The apparent rate of infection was calculated between consecutive observation periods, and mean values across the epidemic period were used for comparative analysis among genotypes.</w:t>
      </w:r>
    </w:p>
    <w:p w14:paraId="407CC4FF" w14:textId="77F2A482" w:rsidR="009B68BA" w:rsidRPr="00517936" w:rsidRDefault="00F6674D" w:rsidP="00543989">
      <w:pPr>
        <w:spacing w:after="0" w:line="360" w:lineRule="auto"/>
        <w:jc w:val="both"/>
        <w:rPr>
          <w:rFonts w:ascii="Times New Roman" w:hAnsi="Times New Roman" w:cs="Times New Roman"/>
          <w:b/>
          <w:bCs/>
        </w:rPr>
      </w:pPr>
      <w:r w:rsidRPr="00517936">
        <w:rPr>
          <w:rFonts w:ascii="Times New Roman" w:hAnsi="Times New Roman" w:cs="Times New Roman"/>
          <w:b/>
          <w:bCs/>
        </w:rPr>
        <w:t>Results and Discussion</w:t>
      </w:r>
    </w:p>
    <w:p w14:paraId="6CA098FE" w14:textId="64CD88B3" w:rsidR="00F553B8" w:rsidRPr="00517936" w:rsidRDefault="00F553B8" w:rsidP="003E20C5">
      <w:pPr>
        <w:spacing w:line="360" w:lineRule="auto"/>
        <w:jc w:val="both"/>
        <w:rPr>
          <w:rFonts w:ascii="Times New Roman" w:hAnsi="Times New Roman" w:cs="Times New Roman"/>
          <w:b/>
          <w:bCs/>
        </w:rPr>
      </w:pPr>
      <w:r w:rsidRPr="00517936">
        <w:rPr>
          <w:rFonts w:ascii="Times New Roman" w:hAnsi="Times New Roman" w:cs="Times New Roman"/>
          <w:b/>
          <w:bCs/>
        </w:rPr>
        <w:t>Reaction of Rapeseed</w:t>
      </w:r>
      <w:r w:rsidR="00400F98" w:rsidRPr="00517936">
        <w:rPr>
          <w:rFonts w:ascii="Times New Roman" w:hAnsi="Times New Roman" w:cs="Times New Roman"/>
          <w:b/>
          <w:bCs/>
        </w:rPr>
        <w:t>-</w:t>
      </w:r>
      <w:r w:rsidRPr="00517936">
        <w:rPr>
          <w:rFonts w:ascii="Times New Roman" w:hAnsi="Times New Roman" w:cs="Times New Roman"/>
          <w:b/>
          <w:bCs/>
        </w:rPr>
        <w:t>Mustard (</w:t>
      </w:r>
      <w:r w:rsidRPr="007523B6">
        <w:rPr>
          <w:rFonts w:ascii="Times New Roman" w:hAnsi="Times New Roman" w:cs="Times New Roman"/>
          <w:b/>
          <w:bCs/>
          <w:i/>
          <w:iCs/>
        </w:rPr>
        <w:t>Brassica spp</w:t>
      </w:r>
      <w:r w:rsidRPr="00517936">
        <w:rPr>
          <w:rFonts w:ascii="Times New Roman" w:hAnsi="Times New Roman" w:cs="Times New Roman"/>
          <w:b/>
          <w:bCs/>
        </w:rPr>
        <w:t>.) Genotypes Against Sclerotinia Rot Under Artificial Inoculat</w:t>
      </w:r>
      <w:r w:rsidR="004305D8" w:rsidRPr="00517936">
        <w:rPr>
          <w:rFonts w:ascii="Times New Roman" w:hAnsi="Times New Roman" w:cs="Times New Roman"/>
          <w:b/>
          <w:bCs/>
        </w:rPr>
        <w:t>ed conditions</w:t>
      </w:r>
    </w:p>
    <w:p w14:paraId="127BFA7C" w14:textId="3C0238AF" w:rsidR="00E2438C" w:rsidRPr="00517936" w:rsidRDefault="00E2438C" w:rsidP="003E20C5">
      <w:pPr>
        <w:pStyle w:val="Heading2"/>
        <w:spacing w:line="360" w:lineRule="auto"/>
        <w:jc w:val="both"/>
        <w:rPr>
          <w:rFonts w:ascii="Times New Roman" w:hAnsi="Times New Roman" w:cs="Times New Roman"/>
          <w:b/>
          <w:bCs/>
          <w:color w:val="auto"/>
          <w:sz w:val="24"/>
          <w:szCs w:val="24"/>
        </w:rPr>
      </w:pPr>
      <w:r w:rsidRPr="00517936">
        <w:rPr>
          <w:rFonts w:ascii="Times New Roman" w:hAnsi="Times New Roman" w:cs="Times New Roman"/>
          <w:b/>
          <w:bCs/>
          <w:color w:val="auto"/>
          <w:sz w:val="24"/>
          <w:szCs w:val="24"/>
        </w:rPr>
        <w:t>Table 1. Classification of genotypes based on pooled Per</w:t>
      </w:r>
      <w:r w:rsidR="004305D8" w:rsidRPr="00517936">
        <w:rPr>
          <w:rFonts w:ascii="Times New Roman" w:hAnsi="Times New Roman" w:cs="Times New Roman"/>
          <w:b/>
          <w:bCs/>
          <w:color w:val="auto"/>
          <w:sz w:val="24"/>
          <w:szCs w:val="24"/>
        </w:rPr>
        <w:t xml:space="preserve"> </w:t>
      </w:r>
      <w:r w:rsidRPr="00517936">
        <w:rPr>
          <w:rFonts w:ascii="Times New Roman" w:hAnsi="Times New Roman" w:cs="Times New Roman"/>
          <w:b/>
          <w:bCs/>
          <w:color w:val="auto"/>
          <w:sz w:val="24"/>
          <w:szCs w:val="24"/>
        </w:rPr>
        <w:t>cent Disease Index (PDI)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890"/>
        <w:gridCol w:w="2070"/>
        <w:gridCol w:w="3145"/>
      </w:tblGrid>
      <w:tr w:rsidR="00E2438C" w:rsidRPr="00517936" w14:paraId="6D3D7251" w14:textId="77777777" w:rsidTr="00323C64">
        <w:trPr>
          <w:trHeight w:val="20"/>
        </w:trPr>
        <w:tc>
          <w:tcPr>
            <w:tcW w:w="2245" w:type="dxa"/>
          </w:tcPr>
          <w:p w14:paraId="3945167A" w14:textId="77777777" w:rsidR="00E2438C" w:rsidRPr="00323C64" w:rsidRDefault="00E2438C" w:rsidP="00323C64">
            <w:pPr>
              <w:spacing w:after="0" w:line="276" w:lineRule="auto"/>
              <w:jc w:val="center"/>
              <w:rPr>
                <w:rFonts w:ascii="Times New Roman" w:hAnsi="Times New Roman" w:cs="Times New Roman"/>
                <w:b/>
                <w:bCs/>
              </w:rPr>
            </w:pPr>
            <w:r w:rsidRPr="00323C64">
              <w:rPr>
                <w:rFonts w:ascii="Times New Roman" w:hAnsi="Times New Roman" w:cs="Times New Roman"/>
                <w:b/>
                <w:bCs/>
              </w:rPr>
              <w:t>Reaction Category</w:t>
            </w:r>
          </w:p>
        </w:tc>
        <w:tc>
          <w:tcPr>
            <w:tcW w:w="1890" w:type="dxa"/>
          </w:tcPr>
          <w:p w14:paraId="2A7C1F56" w14:textId="77777777" w:rsidR="00E2438C" w:rsidRPr="00323C64" w:rsidRDefault="00E2438C" w:rsidP="00323C64">
            <w:pPr>
              <w:spacing w:after="0" w:line="276" w:lineRule="auto"/>
              <w:jc w:val="center"/>
              <w:rPr>
                <w:rFonts w:ascii="Times New Roman" w:hAnsi="Times New Roman" w:cs="Times New Roman"/>
                <w:b/>
                <w:bCs/>
              </w:rPr>
            </w:pPr>
            <w:r w:rsidRPr="00323C64">
              <w:rPr>
                <w:rFonts w:ascii="Times New Roman" w:hAnsi="Times New Roman" w:cs="Times New Roman"/>
                <w:b/>
                <w:bCs/>
              </w:rPr>
              <w:t>PDI Range (%)</w:t>
            </w:r>
          </w:p>
        </w:tc>
        <w:tc>
          <w:tcPr>
            <w:tcW w:w="2070" w:type="dxa"/>
          </w:tcPr>
          <w:p w14:paraId="76CAF7FC" w14:textId="77777777" w:rsidR="00E2438C" w:rsidRPr="00323C64" w:rsidRDefault="00E2438C" w:rsidP="00323C64">
            <w:pPr>
              <w:spacing w:after="0" w:line="276" w:lineRule="auto"/>
              <w:jc w:val="center"/>
              <w:rPr>
                <w:rFonts w:ascii="Times New Roman" w:hAnsi="Times New Roman" w:cs="Times New Roman"/>
                <w:b/>
                <w:bCs/>
              </w:rPr>
            </w:pPr>
            <w:r w:rsidRPr="00323C64">
              <w:rPr>
                <w:rFonts w:ascii="Times New Roman" w:hAnsi="Times New Roman" w:cs="Times New Roman"/>
                <w:b/>
                <w:bCs/>
              </w:rPr>
              <w:t>No. of Genotypes</w:t>
            </w:r>
          </w:p>
        </w:tc>
        <w:tc>
          <w:tcPr>
            <w:tcW w:w="3145" w:type="dxa"/>
          </w:tcPr>
          <w:p w14:paraId="63988544" w14:textId="77777777" w:rsidR="00E2438C" w:rsidRPr="00323C64" w:rsidRDefault="00E2438C" w:rsidP="00323C64">
            <w:pPr>
              <w:spacing w:after="0" w:line="276" w:lineRule="auto"/>
              <w:jc w:val="center"/>
              <w:rPr>
                <w:rFonts w:ascii="Times New Roman" w:hAnsi="Times New Roman" w:cs="Times New Roman"/>
                <w:b/>
                <w:bCs/>
              </w:rPr>
            </w:pPr>
            <w:r w:rsidRPr="00323C64">
              <w:rPr>
                <w:rFonts w:ascii="Times New Roman" w:hAnsi="Times New Roman" w:cs="Times New Roman"/>
                <w:b/>
                <w:bCs/>
              </w:rPr>
              <w:t>Genotypes</w:t>
            </w:r>
          </w:p>
        </w:tc>
      </w:tr>
      <w:tr w:rsidR="00E2438C" w:rsidRPr="00517936" w14:paraId="11E5DCA8" w14:textId="77777777" w:rsidTr="00323C64">
        <w:trPr>
          <w:trHeight w:val="20"/>
        </w:trPr>
        <w:tc>
          <w:tcPr>
            <w:tcW w:w="2245" w:type="dxa"/>
          </w:tcPr>
          <w:p w14:paraId="69578DDA"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Resistant (R)</w:t>
            </w:r>
          </w:p>
        </w:tc>
        <w:tc>
          <w:tcPr>
            <w:tcW w:w="1890" w:type="dxa"/>
          </w:tcPr>
          <w:p w14:paraId="5EE9CAEC"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0</w:t>
            </w:r>
          </w:p>
        </w:tc>
        <w:tc>
          <w:tcPr>
            <w:tcW w:w="2070" w:type="dxa"/>
          </w:tcPr>
          <w:p w14:paraId="4A1A9AB2"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0</w:t>
            </w:r>
          </w:p>
        </w:tc>
        <w:tc>
          <w:tcPr>
            <w:tcW w:w="3145" w:type="dxa"/>
          </w:tcPr>
          <w:p w14:paraId="79AD8C22" w14:textId="77777777" w:rsidR="00E2438C" w:rsidRPr="00517936" w:rsidRDefault="00E2438C" w:rsidP="00555510">
            <w:pPr>
              <w:spacing w:after="0" w:line="276" w:lineRule="auto"/>
              <w:jc w:val="center"/>
              <w:rPr>
                <w:rFonts w:ascii="Times New Roman" w:hAnsi="Times New Roman" w:cs="Times New Roman"/>
              </w:rPr>
            </w:pPr>
            <w:r w:rsidRPr="00517936">
              <w:rPr>
                <w:rFonts w:ascii="Times New Roman" w:hAnsi="Times New Roman" w:cs="Times New Roman"/>
              </w:rPr>
              <w:t>–</w:t>
            </w:r>
          </w:p>
        </w:tc>
      </w:tr>
      <w:tr w:rsidR="00E2438C" w:rsidRPr="00517936" w14:paraId="5DF12541" w14:textId="77777777" w:rsidTr="00323C64">
        <w:trPr>
          <w:trHeight w:val="20"/>
        </w:trPr>
        <w:tc>
          <w:tcPr>
            <w:tcW w:w="2245" w:type="dxa"/>
          </w:tcPr>
          <w:p w14:paraId="3A4EC683"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Moderately Resistant (MR)</w:t>
            </w:r>
          </w:p>
        </w:tc>
        <w:tc>
          <w:tcPr>
            <w:tcW w:w="1890" w:type="dxa"/>
          </w:tcPr>
          <w:p w14:paraId="7B22733E"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1–20</w:t>
            </w:r>
          </w:p>
        </w:tc>
        <w:tc>
          <w:tcPr>
            <w:tcW w:w="2070" w:type="dxa"/>
          </w:tcPr>
          <w:p w14:paraId="73AC01B0"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0</w:t>
            </w:r>
          </w:p>
        </w:tc>
        <w:tc>
          <w:tcPr>
            <w:tcW w:w="3145" w:type="dxa"/>
          </w:tcPr>
          <w:p w14:paraId="28C9B9FF" w14:textId="77777777" w:rsidR="00E2438C" w:rsidRPr="00517936" w:rsidRDefault="00E2438C" w:rsidP="00555510">
            <w:pPr>
              <w:spacing w:after="0" w:line="276" w:lineRule="auto"/>
              <w:jc w:val="center"/>
              <w:rPr>
                <w:rFonts w:ascii="Times New Roman" w:hAnsi="Times New Roman" w:cs="Times New Roman"/>
              </w:rPr>
            </w:pPr>
            <w:r w:rsidRPr="00517936">
              <w:rPr>
                <w:rFonts w:ascii="Times New Roman" w:hAnsi="Times New Roman" w:cs="Times New Roman"/>
              </w:rPr>
              <w:t>–</w:t>
            </w:r>
          </w:p>
        </w:tc>
      </w:tr>
      <w:tr w:rsidR="00E2438C" w:rsidRPr="00517936" w14:paraId="1BE67D2F" w14:textId="77777777" w:rsidTr="00323C64">
        <w:trPr>
          <w:trHeight w:val="20"/>
        </w:trPr>
        <w:tc>
          <w:tcPr>
            <w:tcW w:w="2245" w:type="dxa"/>
          </w:tcPr>
          <w:p w14:paraId="072F229B"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Moderately Susceptible (MS)</w:t>
            </w:r>
          </w:p>
        </w:tc>
        <w:tc>
          <w:tcPr>
            <w:tcW w:w="1890" w:type="dxa"/>
          </w:tcPr>
          <w:p w14:paraId="364F4EAE"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21–40</w:t>
            </w:r>
          </w:p>
        </w:tc>
        <w:tc>
          <w:tcPr>
            <w:tcW w:w="2070" w:type="dxa"/>
          </w:tcPr>
          <w:p w14:paraId="1B8A2FCC"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12</w:t>
            </w:r>
          </w:p>
        </w:tc>
        <w:tc>
          <w:tcPr>
            <w:tcW w:w="3145" w:type="dxa"/>
          </w:tcPr>
          <w:p w14:paraId="1F585CA2"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 xml:space="preserve">DRMRDR 2238, NRCYS-05-02, DRMRIS 20-5, DRMRIS 20-11, DRMRDR 2239, BioYSR, DRMRIS 20-1, DRMRDR 2156, DRMRSJ </w:t>
            </w:r>
            <w:r w:rsidRPr="00517936">
              <w:rPr>
                <w:rFonts w:ascii="Times New Roman" w:hAnsi="Times New Roman" w:cs="Times New Roman"/>
              </w:rPr>
              <w:lastRenderedPageBreak/>
              <w:t>361, DRMRSJ-25, DRMRDR 2220, DRMRDR 2119</w:t>
            </w:r>
          </w:p>
        </w:tc>
      </w:tr>
      <w:tr w:rsidR="00E2438C" w:rsidRPr="00517936" w14:paraId="6448EB04" w14:textId="77777777" w:rsidTr="00323C64">
        <w:trPr>
          <w:trHeight w:val="20"/>
        </w:trPr>
        <w:tc>
          <w:tcPr>
            <w:tcW w:w="2245" w:type="dxa"/>
          </w:tcPr>
          <w:p w14:paraId="745D2EBD"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lastRenderedPageBreak/>
              <w:t>Susceptible (S)</w:t>
            </w:r>
          </w:p>
        </w:tc>
        <w:tc>
          <w:tcPr>
            <w:tcW w:w="1890" w:type="dxa"/>
          </w:tcPr>
          <w:p w14:paraId="35D7117B"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41–60</w:t>
            </w:r>
          </w:p>
        </w:tc>
        <w:tc>
          <w:tcPr>
            <w:tcW w:w="2070" w:type="dxa"/>
          </w:tcPr>
          <w:p w14:paraId="16C6693D"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5</w:t>
            </w:r>
          </w:p>
        </w:tc>
        <w:tc>
          <w:tcPr>
            <w:tcW w:w="3145" w:type="dxa"/>
          </w:tcPr>
          <w:p w14:paraId="54BFFC8F"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DRMRDR 2237, DRMRIS 20-4, DRMRMJA 35, NRCHB 101, Rohini</w:t>
            </w:r>
          </w:p>
        </w:tc>
      </w:tr>
      <w:tr w:rsidR="00E2438C" w:rsidRPr="00517936" w14:paraId="19716403" w14:textId="77777777" w:rsidTr="00323C64">
        <w:trPr>
          <w:trHeight w:val="20"/>
        </w:trPr>
        <w:tc>
          <w:tcPr>
            <w:tcW w:w="2245" w:type="dxa"/>
          </w:tcPr>
          <w:p w14:paraId="5C6CD5F6"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Highly Susceptible (HS)</w:t>
            </w:r>
          </w:p>
        </w:tc>
        <w:tc>
          <w:tcPr>
            <w:tcW w:w="1890" w:type="dxa"/>
          </w:tcPr>
          <w:p w14:paraId="56593294"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&gt;60</w:t>
            </w:r>
          </w:p>
        </w:tc>
        <w:tc>
          <w:tcPr>
            <w:tcW w:w="2070" w:type="dxa"/>
          </w:tcPr>
          <w:p w14:paraId="36F64D67" w14:textId="77777777" w:rsidR="00E2438C" w:rsidRPr="00517936" w:rsidRDefault="00E2438C" w:rsidP="00F05C79">
            <w:pPr>
              <w:spacing w:after="0" w:line="276" w:lineRule="auto"/>
              <w:jc w:val="center"/>
              <w:rPr>
                <w:rFonts w:ascii="Times New Roman" w:hAnsi="Times New Roman" w:cs="Times New Roman"/>
              </w:rPr>
            </w:pPr>
            <w:r w:rsidRPr="00517936">
              <w:rPr>
                <w:rFonts w:ascii="Times New Roman" w:hAnsi="Times New Roman" w:cs="Times New Roman"/>
              </w:rPr>
              <w:t>1</w:t>
            </w:r>
          </w:p>
        </w:tc>
        <w:tc>
          <w:tcPr>
            <w:tcW w:w="3145" w:type="dxa"/>
          </w:tcPr>
          <w:p w14:paraId="22044901" w14:textId="77777777" w:rsidR="00E2438C" w:rsidRPr="00517936" w:rsidRDefault="00E2438C" w:rsidP="00323C64">
            <w:pPr>
              <w:spacing w:after="0" w:line="276" w:lineRule="auto"/>
              <w:jc w:val="both"/>
              <w:rPr>
                <w:rFonts w:ascii="Times New Roman" w:hAnsi="Times New Roman" w:cs="Times New Roman"/>
              </w:rPr>
            </w:pPr>
            <w:r w:rsidRPr="00517936">
              <w:rPr>
                <w:rFonts w:ascii="Times New Roman" w:hAnsi="Times New Roman" w:cs="Times New Roman"/>
              </w:rPr>
              <w:t>NPC 16</w:t>
            </w:r>
          </w:p>
        </w:tc>
      </w:tr>
    </w:tbl>
    <w:p w14:paraId="7869A7F8" w14:textId="77777777" w:rsidR="00C46060" w:rsidRDefault="00C46060" w:rsidP="00C3201D">
      <w:pPr>
        <w:rPr>
          <w:rFonts w:ascii="Times New Roman" w:hAnsi="Times New Roman" w:cs="Times New Roman"/>
          <w:b/>
          <w:bCs/>
        </w:rPr>
      </w:pPr>
    </w:p>
    <w:p w14:paraId="0F517399" w14:textId="13B28C03" w:rsidR="00C3201D" w:rsidRPr="00517936" w:rsidRDefault="00C3201D" w:rsidP="00C3201D">
      <w:pPr>
        <w:rPr>
          <w:rFonts w:ascii="Times New Roman" w:hAnsi="Times New Roman" w:cs="Times New Roman"/>
          <w:b/>
          <w:bCs/>
        </w:rPr>
      </w:pPr>
      <w:r w:rsidRPr="00517936">
        <w:rPr>
          <w:rFonts w:ascii="Times New Roman" w:hAnsi="Times New Roman" w:cs="Times New Roman"/>
          <w:b/>
          <w:bCs/>
        </w:rPr>
        <w:t>Table 2. Combined pooled disease severity metrics (PDI, AUDPC, r</w:t>
      </w:r>
      <w:r w:rsidR="004305D8" w:rsidRPr="00517936">
        <w:rPr>
          <w:rFonts w:ascii="Times New Roman" w:hAnsi="Times New Roman" w:cs="Times New Roman"/>
          <w:b/>
          <w:bCs/>
        </w:rPr>
        <w:t>-</w:t>
      </w:r>
      <w:r w:rsidRPr="00517936">
        <w:rPr>
          <w:rFonts w:ascii="Times New Roman" w:hAnsi="Times New Roman" w:cs="Times New Roman"/>
          <w:b/>
          <w:bCs/>
        </w:rPr>
        <w:t>value, score, and</w:t>
      </w:r>
      <w:r w:rsidR="00C46060">
        <w:rPr>
          <w:rFonts w:ascii="Times New Roman" w:hAnsi="Times New Roman" w:cs="Times New Roman"/>
          <w:b/>
          <w:bCs/>
        </w:rPr>
        <w:t xml:space="preserve"> </w:t>
      </w:r>
      <w:r w:rsidRPr="00517936">
        <w:rPr>
          <w:rFonts w:ascii="Times New Roman" w:hAnsi="Times New Roman" w:cs="Times New Roman"/>
          <w:b/>
          <w:bCs/>
        </w:rPr>
        <w:t>reaction) of rapeseed–mustard genotypes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720"/>
        <w:gridCol w:w="761"/>
        <w:gridCol w:w="794"/>
        <w:gridCol w:w="941"/>
        <w:gridCol w:w="916"/>
        <w:gridCol w:w="916"/>
        <w:gridCol w:w="810"/>
        <w:gridCol w:w="815"/>
        <w:gridCol w:w="972"/>
      </w:tblGrid>
      <w:tr w:rsidR="00C3201D" w:rsidRPr="00361F14" w14:paraId="311FC8F5" w14:textId="77777777" w:rsidTr="00C3201D">
        <w:tc>
          <w:tcPr>
            <w:tcW w:w="1705" w:type="dxa"/>
            <w:vAlign w:val="center"/>
          </w:tcPr>
          <w:p w14:paraId="42CC636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Genotype</w:t>
            </w:r>
          </w:p>
        </w:tc>
        <w:tc>
          <w:tcPr>
            <w:tcW w:w="720" w:type="dxa"/>
            <w:vAlign w:val="center"/>
          </w:tcPr>
          <w:p w14:paraId="360EA12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PDI 2022–23</w:t>
            </w:r>
          </w:p>
        </w:tc>
        <w:tc>
          <w:tcPr>
            <w:tcW w:w="761" w:type="dxa"/>
            <w:vAlign w:val="center"/>
          </w:tcPr>
          <w:p w14:paraId="6A48AE6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PDI 2023–24</w:t>
            </w:r>
          </w:p>
        </w:tc>
        <w:tc>
          <w:tcPr>
            <w:tcW w:w="794" w:type="dxa"/>
            <w:vAlign w:val="center"/>
          </w:tcPr>
          <w:p w14:paraId="01588F5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Pooled Mean PDI</w:t>
            </w:r>
          </w:p>
        </w:tc>
        <w:tc>
          <w:tcPr>
            <w:tcW w:w="941" w:type="dxa"/>
            <w:vAlign w:val="center"/>
          </w:tcPr>
          <w:p w14:paraId="3D7F231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AUDPC 2022–23</w:t>
            </w:r>
          </w:p>
        </w:tc>
        <w:tc>
          <w:tcPr>
            <w:tcW w:w="916" w:type="dxa"/>
            <w:vAlign w:val="center"/>
          </w:tcPr>
          <w:p w14:paraId="51711AB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AUDPC 2023–24</w:t>
            </w:r>
          </w:p>
        </w:tc>
        <w:tc>
          <w:tcPr>
            <w:tcW w:w="916" w:type="dxa"/>
            <w:vAlign w:val="center"/>
          </w:tcPr>
          <w:p w14:paraId="7B19E39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Mean AUDPC</w:t>
            </w:r>
          </w:p>
        </w:tc>
        <w:tc>
          <w:tcPr>
            <w:tcW w:w="810" w:type="dxa"/>
            <w:vAlign w:val="center"/>
          </w:tcPr>
          <w:p w14:paraId="2B3D429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r-value</w:t>
            </w:r>
          </w:p>
        </w:tc>
        <w:tc>
          <w:tcPr>
            <w:tcW w:w="815" w:type="dxa"/>
            <w:vAlign w:val="center"/>
          </w:tcPr>
          <w:p w14:paraId="68317FB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Score</w:t>
            </w:r>
          </w:p>
        </w:tc>
        <w:tc>
          <w:tcPr>
            <w:tcW w:w="972" w:type="dxa"/>
            <w:vAlign w:val="center"/>
          </w:tcPr>
          <w:p w14:paraId="4DFE556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b/>
                <w:sz w:val="20"/>
                <w:szCs w:val="20"/>
              </w:rPr>
              <w:t>Reaction</w:t>
            </w:r>
          </w:p>
        </w:tc>
      </w:tr>
      <w:tr w:rsidR="00C3201D" w:rsidRPr="00361F14" w14:paraId="757EFADC" w14:textId="77777777" w:rsidTr="00C3201D">
        <w:tc>
          <w:tcPr>
            <w:tcW w:w="1705" w:type="dxa"/>
            <w:vAlign w:val="center"/>
          </w:tcPr>
          <w:p w14:paraId="2B6D25BD"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2238</w:t>
            </w:r>
          </w:p>
        </w:tc>
        <w:tc>
          <w:tcPr>
            <w:tcW w:w="720" w:type="dxa"/>
            <w:vAlign w:val="center"/>
          </w:tcPr>
          <w:p w14:paraId="154D891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41.8</w:t>
            </w:r>
          </w:p>
        </w:tc>
        <w:tc>
          <w:tcPr>
            <w:tcW w:w="761" w:type="dxa"/>
            <w:vAlign w:val="center"/>
          </w:tcPr>
          <w:p w14:paraId="5A922C5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37.8</w:t>
            </w:r>
          </w:p>
        </w:tc>
        <w:tc>
          <w:tcPr>
            <w:tcW w:w="794" w:type="dxa"/>
            <w:vAlign w:val="center"/>
          </w:tcPr>
          <w:p w14:paraId="34BC341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39.8</w:t>
            </w:r>
          </w:p>
        </w:tc>
        <w:tc>
          <w:tcPr>
            <w:tcW w:w="941" w:type="dxa"/>
            <w:vAlign w:val="center"/>
          </w:tcPr>
          <w:p w14:paraId="332817F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609.0</w:t>
            </w:r>
          </w:p>
        </w:tc>
        <w:tc>
          <w:tcPr>
            <w:tcW w:w="916" w:type="dxa"/>
            <w:vAlign w:val="center"/>
          </w:tcPr>
          <w:p w14:paraId="242B8FD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581.0</w:t>
            </w:r>
          </w:p>
        </w:tc>
        <w:tc>
          <w:tcPr>
            <w:tcW w:w="916" w:type="dxa"/>
            <w:vAlign w:val="center"/>
          </w:tcPr>
          <w:p w14:paraId="3639ADF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595.0</w:t>
            </w:r>
          </w:p>
        </w:tc>
        <w:tc>
          <w:tcPr>
            <w:tcW w:w="810" w:type="dxa"/>
            <w:vAlign w:val="center"/>
          </w:tcPr>
          <w:p w14:paraId="5DD33FB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0.11</w:t>
            </w:r>
          </w:p>
        </w:tc>
        <w:tc>
          <w:tcPr>
            <w:tcW w:w="815" w:type="dxa"/>
            <w:vAlign w:val="center"/>
          </w:tcPr>
          <w:p w14:paraId="0C40DDD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2F8AA8E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3C18F0D7" w14:textId="77777777" w:rsidTr="00C3201D">
        <w:tc>
          <w:tcPr>
            <w:tcW w:w="1705" w:type="dxa"/>
            <w:vAlign w:val="center"/>
          </w:tcPr>
          <w:p w14:paraId="236AD2AB"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NRCYS-05-02</w:t>
            </w:r>
          </w:p>
        </w:tc>
        <w:tc>
          <w:tcPr>
            <w:tcW w:w="720" w:type="dxa"/>
            <w:vAlign w:val="center"/>
          </w:tcPr>
          <w:p w14:paraId="5420B0A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41.2</w:t>
            </w:r>
          </w:p>
        </w:tc>
        <w:tc>
          <w:tcPr>
            <w:tcW w:w="761" w:type="dxa"/>
            <w:vAlign w:val="center"/>
          </w:tcPr>
          <w:p w14:paraId="0524E76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36.4</w:t>
            </w:r>
          </w:p>
        </w:tc>
        <w:tc>
          <w:tcPr>
            <w:tcW w:w="794" w:type="dxa"/>
            <w:vAlign w:val="center"/>
          </w:tcPr>
          <w:p w14:paraId="73CE4F3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38.8</w:t>
            </w:r>
          </w:p>
        </w:tc>
        <w:tc>
          <w:tcPr>
            <w:tcW w:w="941" w:type="dxa"/>
            <w:vAlign w:val="center"/>
          </w:tcPr>
          <w:p w14:paraId="4CC26B1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518.0</w:t>
            </w:r>
          </w:p>
        </w:tc>
        <w:tc>
          <w:tcPr>
            <w:tcW w:w="916" w:type="dxa"/>
            <w:vAlign w:val="center"/>
          </w:tcPr>
          <w:p w14:paraId="5993377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523.6</w:t>
            </w:r>
          </w:p>
        </w:tc>
        <w:tc>
          <w:tcPr>
            <w:tcW w:w="916" w:type="dxa"/>
            <w:vAlign w:val="center"/>
          </w:tcPr>
          <w:p w14:paraId="7FC4599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520.8</w:t>
            </w:r>
          </w:p>
        </w:tc>
        <w:tc>
          <w:tcPr>
            <w:tcW w:w="810" w:type="dxa"/>
            <w:vAlign w:val="center"/>
          </w:tcPr>
          <w:p w14:paraId="2AAF373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0.15</w:t>
            </w:r>
          </w:p>
        </w:tc>
        <w:tc>
          <w:tcPr>
            <w:tcW w:w="815" w:type="dxa"/>
            <w:vAlign w:val="center"/>
          </w:tcPr>
          <w:p w14:paraId="1EE584E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662888E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0FEBDCBB" w14:textId="77777777" w:rsidTr="00C3201D">
        <w:tc>
          <w:tcPr>
            <w:tcW w:w="1705" w:type="dxa"/>
            <w:vAlign w:val="center"/>
          </w:tcPr>
          <w:p w14:paraId="23DC49AA"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DRMRIS 20-5</w:t>
            </w:r>
          </w:p>
        </w:tc>
        <w:tc>
          <w:tcPr>
            <w:tcW w:w="720" w:type="dxa"/>
            <w:vAlign w:val="center"/>
          </w:tcPr>
          <w:p w14:paraId="5502C54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24.2</w:t>
            </w:r>
          </w:p>
        </w:tc>
        <w:tc>
          <w:tcPr>
            <w:tcW w:w="761" w:type="dxa"/>
            <w:vAlign w:val="center"/>
          </w:tcPr>
          <w:p w14:paraId="6656989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27.2</w:t>
            </w:r>
          </w:p>
        </w:tc>
        <w:tc>
          <w:tcPr>
            <w:tcW w:w="794" w:type="dxa"/>
            <w:vAlign w:val="center"/>
          </w:tcPr>
          <w:p w14:paraId="2329DA3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25.7</w:t>
            </w:r>
          </w:p>
        </w:tc>
        <w:tc>
          <w:tcPr>
            <w:tcW w:w="941" w:type="dxa"/>
            <w:vAlign w:val="center"/>
          </w:tcPr>
          <w:p w14:paraId="17A52A4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326.2</w:t>
            </w:r>
          </w:p>
        </w:tc>
        <w:tc>
          <w:tcPr>
            <w:tcW w:w="916" w:type="dxa"/>
            <w:vAlign w:val="center"/>
          </w:tcPr>
          <w:p w14:paraId="3653A56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372.4</w:t>
            </w:r>
          </w:p>
        </w:tc>
        <w:tc>
          <w:tcPr>
            <w:tcW w:w="916" w:type="dxa"/>
            <w:vAlign w:val="center"/>
          </w:tcPr>
          <w:p w14:paraId="41FD68C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349.3</w:t>
            </w:r>
          </w:p>
        </w:tc>
        <w:tc>
          <w:tcPr>
            <w:tcW w:w="810" w:type="dxa"/>
            <w:vAlign w:val="center"/>
          </w:tcPr>
          <w:p w14:paraId="31A9D75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0.13</w:t>
            </w:r>
          </w:p>
        </w:tc>
        <w:tc>
          <w:tcPr>
            <w:tcW w:w="815" w:type="dxa"/>
            <w:vAlign w:val="center"/>
          </w:tcPr>
          <w:p w14:paraId="5BB6E2C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12277CC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785FC11A" w14:textId="77777777" w:rsidTr="00C3201D">
        <w:tc>
          <w:tcPr>
            <w:tcW w:w="1705" w:type="dxa"/>
            <w:vAlign w:val="center"/>
          </w:tcPr>
          <w:p w14:paraId="667FA901"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DRMRIS 20-11</w:t>
            </w:r>
          </w:p>
        </w:tc>
        <w:tc>
          <w:tcPr>
            <w:tcW w:w="720" w:type="dxa"/>
            <w:vAlign w:val="center"/>
          </w:tcPr>
          <w:p w14:paraId="4A83789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33.2</w:t>
            </w:r>
          </w:p>
        </w:tc>
        <w:tc>
          <w:tcPr>
            <w:tcW w:w="761" w:type="dxa"/>
            <w:vAlign w:val="center"/>
          </w:tcPr>
          <w:p w14:paraId="30B6CC1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35.4</w:t>
            </w:r>
          </w:p>
        </w:tc>
        <w:tc>
          <w:tcPr>
            <w:tcW w:w="794" w:type="dxa"/>
            <w:vAlign w:val="center"/>
          </w:tcPr>
          <w:p w14:paraId="6FBF886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34.3</w:t>
            </w:r>
          </w:p>
        </w:tc>
        <w:tc>
          <w:tcPr>
            <w:tcW w:w="941" w:type="dxa"/>
            <w:vAlign w:val="center"/>
          </w:tcPr>
          <w:p w14:paraId="21DFFA2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470.4</w:t>
            </w:r>
          </w:p>
        </w:tc>
        <w:tc>
          <w:tcPr>
            <w:tcW w:w="916" w:type="dxa"/>
            <w:vAlign w:val="center"/>
          </w:tcPr>
          <w:p w14:paraId="288BBEC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485.8</w:t>
            </w:r>
          </w:p>
        </w:tc>
        <w:tc>
          <w:tcPr>
            <w:tcW w:w="916" w:type="dxa"/>
            <w:vAlign w:val="center"/>
          </w:tcPr>
          <w:p w14:paraId="142366C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478.1</w:t>
            </w:r>
          </w:p>
        </w:tc>
        <w:tc>
          <w:tcPr>
            <w:tcW w:w="810" w:type="dxa"/>
            <w:vAlign w:val="center"/>
          </w:tcPr>
          <w:p w14:paraId="2D2AFC3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0.13</w:t>
            </w:r>
          </w:p>
        </w:tc>
        <w:tc>
          <w:tcPr>
            <w:tcW w:w="815" w:type="dxa"/>
            <w:vAlign w:val="center"/>
          </w:tcPr>
          <w:p w14:paraId="651AC9F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4FC29F2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5800642B" w14:textId="77777777" w:rsidTr="00C3201D">
        <w:tc>
          <w:tcPr>
            <w:tcW w:w="1705" w:type="dxa"/>
            <w:vAlign w:val="center"/>
          </w:tcPr>
          <w:p w14:paraId="0C7FF5EA"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2239</w:t>
            </w:r>
          </w:p>
        </w:tc>
        <w:tc>
          <w:tcPr>
            <w:tcW w:w="720" w:type="dxa"/>
            <w:vAlign w:val="center"/>
          </w:tcPr>
          <w:p w14:paraId="2409C20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38.4</w:t>
            </w:r>
          </w:p>
        </w:tc>
        <w:tc>
          <w:tcPr>
            <w:tcW w:w="761" w:type="dxa"/>
            <w:vAlign w:val="center"/>
          </w:tcPr>
          <w:p w14:paraId="2565BDA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30.8</w:t>
            </w:r>
          </w:p>
        </w:tc>
        <w:tc>
          <w:tcPr>
            <w:tcW w:w="794" w:type="dxa"/>
            <w:vAlign w:val="center"/>
          </w:tcPr>
          <w:p w14:paraId="4B2A204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34.6</w:t>
            </w:r>
          </w:p>
        </w:tc>
        <w:tc>
          <w:tcPr>
            <w:tcW w:w="941" w:type="dxa"/>
            <w:vAlign w:val="center"/>
          </w:tcPr>
          <w:p w14:paraId="2A248DB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560.0</w:t>
            </w:r>
          </w:p>
        </w:tc>
        <w:tc>
          <w:tcPr>
            <w:tcW w:w="916" w:type="dxa"/>
            <w:vAlign w:val="center"/>
          </w:tcPr>
          <w:p w14:paraId="575CB9F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383.6</w:t>
            </w:r>
          </w:p>
        </w:tc>
        <w:tc>
          <w:tcPr>
            <w:tcW w:w="916" w:type="dxa"/>
            <w:vAlign w:val="center"/>
          </w:tcPr>
          <w:p w14:paraId="1B56D31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471.8</w:t>
            </w:r>
          </w:p>
        </w:tc>
        <w:tc>
          <w:tcPr>
            <w:tcW w:w="810" w:type="dxa"/>
            <w:vAlign w:val="center"/>
          </w:tcPr>
          <w:p w14:paraId="6CED8A3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0.09</w:t>
            </w:r>
          </w:p>
        </w:tc>
        <w:tc>
          <w:tcPr>
            <w:tcW w:w="815" w:type="dxa"/>
            <w:vAlign w:val="center"/>
          </w:tcPr>
          <w:p w14:paraId="6FDD921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223B4CD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4DA15100" w14:textId="77777777" w:rsidTr="00C3201D">
        <w:tc>
          <w:tcPr>
            <w:tcW w:w="1705" w:type="dxa"/>
            <w:vAlign w:val="center"/>
          </w:tcPr>
          <w:p w14:paraId="220FB411"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BioYSR</w:t>
            </w:r>
          </w:p>
        </w:tc>
        <w:tc>
          <w:tcPr>
            <w:tcW w:w="720" w:type="dxa"/>
            <w:vAlign w:val="center"/>
          </w:tcPr>
          <w:p w14:paraId="4F7BBFF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35.8</w:t>
            </w:r>
          </w:p>
        </w:tc>
        <w:tc>
          <w:tcPr>
            <w:tcW w:w="761" w:type="dxa"/>
            <w:vAlign w:val="center"/>
          </w:tcPr>
          <w:p w14:paraId="59809E7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37.6</w:t>
            </w:r>
          </w:p>
        </w:tc>
        <w:tc>
          <w:tcPr>
            <w:tcW w:w="794" w:type="dxa"/>
            <w:vAlign w:val="center"/>
          </w:tcPr>
          <w:p w14:paraId="364BB0A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36.7</w:t>
            </w:r>
          </w:p>
        </w:tc>
        <w:tc>
          <w:tcPr>
            <w:tcW w:w="941" w:type="dxa"/>
            <w:vAlign w:val="center"/>
          </w:tcPr>
          <w:p w14:paraId="10C5528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541.8</w:t>
            </w:r>
          </w:p>
        </w:tc>
        <w:tc>
          <w:tcPr>
            <w:tcW w:w="916" w:type="dxa"/>
            <w:vAlign w:val="center"/>
          </w:tcPr>
          <w:p w14:paraId="7CFB1C8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574.0</w:t>
            </w:r>
          </w:p>
        </w:tc>
        <w:tc>
          <w:tcPr>
            <w:tcW w:w="916" w:type="dxa"/>
            <w:vAlign w:val="center"/>
          </w:tcPr>
          <w:p w14:paraId="4881E53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557.9</w:t>
            </w:r>
          </w:p>
        </w:tc>
        <w:tc>
          <w:tcPr>
            <w:tcW w:w="810" w:type="dxa"/>
            <w:vAlign w:val="center"/>
          </w:tcPr>
          <w:p w14:paraId="3A446DF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0.10</w:t>
            </w:r>
          </w:p>
        </w:tc>
        <w:tc>
          <w:tcPr>
            <w:tcW w:w="815" w:type="dxa"/>
            <w:vAlign w:val="center"/>
          </w:tcPr>
          <w:p w14:paraId="6E3A780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541BE80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7F51EE17" w14:textId="77777777" w:rsidTr="00C3201D">
        <w:tc>
          <w:tcPr>
            <w:tcW w:w="1705" w:type="dxa"/>
            <w:vAlign w:val="center"/>
          </w:tcPr>
          <w:p w14:paraId="40AD3B86"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DRMRIS 20-1</w:t>
            </w:r>
          </w:p>
        </w:tc>
        <w:tc>
          <w:tcPr>
            <w:tcW w:w="720" w:type="dxa"/>
            <w:vAlign w:val="center"/>
          </w:tcPr>
          <w:p w14:paraId="50D16B4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31.0</w:t>
            </w:r>
          </w:p>
        </w:tc>
        <w:tc>
          <w:tcPr>
            <w:tcW w:w="761" w:type="dxa"/>
            <w:vAlign w:val="center"/>
          </w:tcPr>
          <w:p w14:paraId="0D0E713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36.0</w:t>
            </w:r>
          </w:p>
        </w:tc>
        <w:tc>
          <w:tcPr>
            <w:tcW w:w="794" w:type="dxa"/>
            <w:vAlign w:val="center"/>
          </w:tcPr>
          <w:p w14:paraId="7E19472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33.5</w:t>
            </w:r>
          </w:p>
        </w:tc>
        <w:tc>
          <w:tcPr>
            <w:tcW w:w="941" w:type="dxa"/>
            <w:vAlign w:val="center"/>
          </w:tcPr>
          <w:p w14:paraId="2ACC9C8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488.6</w:t>
            </w:r>
          </w:p>
        </w:tc>
        <w:tc>
          <w:tcPr>
            <w:tcW w:w="916" w:type="dxa"/>
            <w:vAlign w:val="center"/>
          </w:tcPr>
          <w:p w14:paraId="069CF72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490.0</w:t>
            </w:r>
          </w:p>
        </w:tc>
        <w:tc>
          <w:tcPr>
            <w:tcW w:w="916" w:type="dxa"/>
            <w:vAlign w:val="center"/>
          </w:tcPr>
          <w:p w14:paraId="4EC34BE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489.3</w:t>
            </w:r>
          </w:p>
        </w:tc>
        <w:tc>
          <w:tcPr>
            <w:tcW w:w="810" w:type="dxa"/>
            <w:vAlign w:val="center"/>
          </w:tcPr>
          <w:p w14:paraId="354456A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0.11</w:t>
            </w:r>
          </w:p>
        </w:tc>
        <w:tc>
          <w:tcPr>
            <w:tcW w:w="815" w:type="dxa"/>
            <w:vAlign w:val="center"/>
          </w:tcPr>
          <w:p w14:paraId="19BD2E2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09A0F7D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4705B080" w14:textId="77777777" w:rsidTr="00C3201D">
        <w:tc>
          <w:tcPr>
            <w:tcW w:w="1705" w:type="dxa"/>
            <w:vAlign w:val="center"/>
          </w:tcPr>
          <w:p w14:paraId="0527DE85"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2156</w:t>
            </w:r>
          </w:p>
        </w:tc>
        <w:tc>
          <w:tcPr>
            <w:tcW w:w="720" w:type="dxa"/>
            <w:vAlign w:val="center"/>
          </w:tcPr>
          <w:p w14:paraId="6590590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24.8</w:t>
            </w:r>
          </w:p>
        </w:tc>
        <w:tc>
          <w:tcPr>
            <w:tcW w:w="761" w:type="dxa"/>
            <w:vAlign w:val="center"/>
          </w:tcPr>
          <w:p w14:paraId="6DB42AA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27.6</w:t>
            </w:r>
          </w:p>
        </w:tc>
        <w:tc>
          <w:tcPr>
            <w:tcW w:w="794" w:type="dxa"/>
            <w:vAlign w:val="center"/>
          </w:tcPr>
          <w:p w14:paraId="33D5ED1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26.2</w:t>
            </w:r>
          </w:p>
        </w:tc>
        <w:tc>
          <w:tcPr>
            <w:tcW w:w="941" w:type="dxa"/>
            <w:vAlign w:val="center"/>
          </w:tcPr>
          <w:p w14:paraId="30F6494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313.6</w:t>
            </w:r>
          </w:p>
        </w:tc>
        <w:tc>
          <w:tcPr>
            <w:tcW w:w="916" w:type="dxa"/>
            <w:vAlign w:val="center"/>
          </w:tcPr>
          <w:p w14:paraId="7365F72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347.2</w:t>
            </w:r>
          </w:p>
        </w:tc>
        <w:tc>
          <w:tcPr>
            <w:tcW w:w="916" w:type="dxa"/>
            <w:vAlign w:val="center"/>
          </w:tcPr>
          <w:p w14:paraId="29C8065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330.4</w:t>
            </w:r>
          </w:p>
        </w:tc>
        <w:tc>
          <w:tcPr>
            <w:tcW w:w="810" w:type="dxa"/>
            <w:vAlign w:val="center"/>
          </w:tcPr>
          <w:p w14:paraId="79A6EED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0.16</w:t>
            </w:r>
          </w:p>
        </w:tc>
        <w:tc>
          <w:tcPr>
            <w:tcW w:w="815" w:type="dxa"/>
            <w:vAlign w:val="center"/>
          </w:tcPr>
          <w:p w14:paraId="1426C99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2F11556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5461F540" w14:textId="77777777" w:rsidTr="00C3201D">
        <w:tc>
          <w:tcPr>
            <w:tcW w:w="1705" w:type="dxa"/>
            <w:vAlign w:val="center"/>
          </w:tcPr>
          <w:p w14:paraId="4050E9CE"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DRMRSJ 361</w:t>
            </w:r>
          </w:p>
        </w:tc>
        <w:tc>
          <w:tcPr>
            <w:tcW w:w="720" w:type="dxa"/>
            <w:vAlign w:val="center"/>
          </w:tcPr>
          <w:p w14:paraId="7B264C5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31.4</w:t>
            </w:r>
          </w:p>
        </w:tc>
        <w:tc>
          <w:tcPr>
            <w:tcW w:w="761" w:type="dxa"/>
            <w:vAlign w:val="center"/>
          </w:tcPr>
          <w:p w14:paraId="074C856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32.4</w:t>
            </w:r>
          </w:p>
        </w:tc>
        <w:tc>
          <w:tcPr>
            <w:tcW w:w="794" w:type="dxa"/>
            <w:vAlign w:val="center"/>
          </w:tcPr>
          <w:p w14:paraId="1DA6460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31.9</w:t>
            </w:r>
          </w:p>
        </w:tc>
        <w:tc>
          <w:tcPr>
            <w:tcW w:w="941" w:type="dxa"/>
            <w:vAlign w:val="center"/>
          </w:tcPr>
          <w:p w14:paraId="0ED9B90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410.2</w:t>
            </w:r>
          </w:p>
        </w:tc>
        <w:tc>
          <w:tcPr>
            <w:tcW w:w="916" w:type="dxa"/>
            <w:vAlign w:val="center"/>
          </w:tcPr>
          <w:p w14:paraId="519B779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448.0</w:t>
            </w:r>
          </w:p>
        </w:tc>
        <w:tc>
          <w:tcPr>
            <w:tcW w:w="916" w:type="dxa"/>
            <w:vAlign w:val="center"/>
          </w:tcPr>
          <w:p w14:paraId="5447AAF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429.1</w:t>
            </w:r>
          </w:p>
        </w:tc>
        <w:tc>
          <w:tcPr>
            <w:tcW w:w="810" w:type="dxa"/>
            <w:vAlign w:val="center"/>
          </w:tcPr>
          <w:p w14:paraId="5C7731D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0.14</w:t>
            </w:r>
          </w:p>
        </w:tc>
        <w:tc>
          <w:tcPr>
            <w:tcW w:w="815" w:type="dxa"/>
            <w:vAlign w:val="center"/>
          </w:tcPr>
          <w:p w14:paraId="63BF794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439C0B1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789E108A" w14:textId="77777777" w:rsidTr="00C3201D">
        <w:tc>
          <w:tcPr>
            <w:tcW w:w="1705" w:type="dxa"/>
            <w:vAlign w:val="center"/>
          </w:tcPr>
          <w:p w14:paraId="4D0A832C"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DRMRSJ-25</w:t>
            </w:r>
          </w:p>
        </w:tc>
        <w:tc>
          <w:tcPr>
            <w:tcW w:w="720" w:type="dxa"/>
            <w:vAlign w:val="center"/>
          </w:tcPr>
          <w:p w14:paraId="2757108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36.6</w:t>
            </w:r>
          </w:p>
        </w:tc>
        <w:tc>
          <w:tcPr>
            <w:tcW w:w="761" w:type="dxa"/>
            <w:vAlign w:val="center"/>
          </w:tcPr>
          <w:p w14:paraId="52226B0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39.8</w:t>
            </w:r>
          </w:p>
        </w:tc>
        <w:tc>
          <w:tcPr>
            <w:tcW w:w="794" w:type="dxa"/>
            <w:vAlign w:val="center"/>
          </w:tcPr>
          <w:p w14:paraId="0D6FDC4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38.2</w:t>
            </w:r>
          </w:p>
        </w:tc>
        <w:tc>
          <w:tcPr>
            <w:tcW w:w="941" w:type="dxa"/>
            <w:vAlign w:val="center"/>
          </w:tcPr>
          <w:p w14:paraId="1762849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488.6</w:t>
            </w:r>
          </w:p>
        </w:tc>
        <w:tc>
          <w:tcPr>
            <w:tcW w:w="916" w:type="dxa"/>
            <w:vAlign w:val="center"/>
          </w:tcPr>
          <w:p w14:paraId="39860EF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600.6</w:t>
            </w:r>
          </w:p>
        </w:tc>
        <w:tc>
          <w:tcPr>
            <w:tcW w:w="916" w:type="dxa"/>
            <w:vAlign w:val="center"/>
          </w:tcPr>
          <w:p w14:paraId="66F8FFB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544.6</w:t>
            </w:r>
          </w:p>
        </w:tc>
        <w:tc>
          <w:tcPr>
            <w:tcW w:w="810" w:type="dxa"/>
            <w:vAlign w:val="center"/>
          </w:tcPr>
          <w:p w14:paraId="7976A4C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0.13</w:t>
            </w:r>
          </w:p>
        </w:tc>
        <w:tc>
          <w:tcPr>
            <w:tcW w:w="815" w:type="dxa"/>
            <w:vAlign w:val="center"/>
          </w:tcPr>
          <w:p w14:paraId="579B96C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06F4CE6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42D26CF7" w14:textId="77777777" w:rsidTr="00C3201D">
        <w:tc>
          <w:tcPr>
            <w:tcW w:w="1705" w:type="dxa"/>
            <w:vAlign w:val="center"/>
          </w:tcPr>
          <w:p w14:paraId="62ED6BE7"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2220</w:t>
            </w:r>
          </w:p>
        </w:tc>
        <w:tc>
          <w:tcPr>
            <w:tcW w:w="720" w:type="dxa"/>
            <w:vAlign w:val="center"/>
          </w:tcPr>
          <w:p w14:paraId="49515AC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33.0</w:t>
            </w:r>
          </w:p>
        </w:tc>
        <w:tc>
          <w:tcPr>
            <w:tcW w:w="761" w:type="dxa"/>
            <w:vAlign w:val="center"/>
          </w:tcPr>
          <w:p w14:paraId="51155B2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39.0</w:t>
            </w:r>
          </w:p>
        </w:tc>
        <w:tc>
          <w:tcPr>
            <w:tcW w:w="794" w:type="dxa"/>
            <w:vAlign w:val="center"/>
          </w:tcPr>
          <w:p w14:paraId="3B573B4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36.0</w:t>
            </w:r>
          </w:p>
        </w:tc>
        <w:tc>
          <w:tcPr>
            <w:tcW w:w="941" w:type="dxa"/>
            <w:vAlign w:val="center"/>
          </w:tcPr>
          <w:p w14:paraId="1C8A685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477.4</w:t>
            </w:r>
          </w:p>
        </w:tc>
        <w:tc>
          <w:tcPr>
            <w:tcW w:w="916" w:type="dxa"/>
            <w:vAlign w:val="center"/>
          </w:tcPr>
          <w:p w14:paraId="04D19F0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595.0</w:t>
            </w:r>
          </w:p>
        </w:tc>
        <w:tc>
          <w:tcPr>
            <w:tcW w:w="916" w:type="dxa"/>
            <w:vAlign w:val="center"/>
          </w:tcPr>
          <w:p w14:paraId="78CDDB8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536.2</w:t>
            </w:r>
          </w:p>
        </w:tc>
        <w:tc>
          <w:tcPr>
            <w:tcW w:w="810" w:type="dxa"/>
            <w:vAlign w:val="center"/>
          </w:tcPr>
          <w:p w14:paraId="0C6CA98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0.11</w:t>
            </w:r>
          </w:p>
        </w:tc>
        <w:tc>
          <w:tcPr>
            <w:tcW w:w="815" w:type="dxa"/>
            <w:vAlign w:val="center"/>
          </w:tcPr>
          <w:p w14:paraId="3FB0A33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76735D6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0C4CAC35" w14:textId="77777777" w:rsidTr="00C3201D">
        <w:tc>
          <w:tcPr>
            <w:tcW w:w="1705" w:type="dxa"/>
            <w:vAlign w:val="center"/>
          </w:tcPr>
          <w:p w14:paraId="1DAB1D05"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2119</w:t>
            </w:r>
          </w:p>
        </w:tc>
        <w:tc>
          <w:tcPr>
            <w:tcW w:w="720" w:type="dxa"/>
            <w:vAlign w:val="center"/>
          </w:tcPr>
          <w:p w14:paraId="488501C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27.4</w:t>
            </w:r>
          </w:p>
        </w:tc>
        <w:tc>
          <w:tcPr>
            <w:tcW w:w="761" w:type="dxa"/>
            <w:vAlign w:val="center"/>
          </w:tcPr>
          <w:p w14:paraId="31A1717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31.0</w:t>
            </w:r>
          </w:p>
        </w:tc>
        <w:tc>
          <w:tcPr>
            <w:tcW w:w="794" w:type="dxa"/>
            <w:vAlign w:val="center"/>
          </w:tcPr>
          <w:p w14:paraId="198B34C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29.2</w:t>
            </w:r>
          </w:p>
        </w:tc>
        <w:tc>
          <w:tcPr>
            <w:tcW w:w="941" w:type="dxa"/>
            <w:vAlign w:val="center"/>
          </w:tcPr>
          <w:p w14:paraId="0C749FD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365.4</w:t>
            </w:r>
          </w:p>
        </w:tc>
        <w:tc>
          <w:tcPr>
            <w:tcW w:w="916" w:type="dxa"/>
            <w:vAlign w:val="center"/>
          </w:tcPr>
          <w:p w14:paraId="7125DED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385.0</w:t>
            </w:r>
          </w:p>
        </w:tc>
        <w:tc>
          <w:tcPr>
            <w:tcW w:w="916" w:type="dxa"/>
            <w:vAlign w:val="center"/>
          </w:tcPr>
          <w:p w14:paraId="54E3AE9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375.2</w:t>
            </w:r>
          </w:p>
        </w:tc>
        <w:tc>
          <w:tcPr>
            <w:tcW w:w="810" w:type="dxa"/>
            <w:vAlign w:val="center"/>
          </w:tcPr>
          <w:p w14:paraId="3DAE66E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0.12</w:t>
            </w:r>
          </w:p>
        </w:tc>
        <w:tc>
          <w:tcPr>
            <w:tcW w:w="815" w:type="dxa"/>
            <w:vAlign w:val="center"/>
          </w:tcPr>
          <w:p w14:paraId="66AF33D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2</w:t>
            </w:r>
          </w:p>
        </w:tc>
        <w:tc>
          <w:tcPr>
            <w:tcW w:w="972" w:type="dxa"/>
            <w:vAlign w:val="center"/>
          </w:tcPr>
          <w:p w14:paraId="6A63A8B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MS</w:t>
            </w:r>
          </w:p>
        </w:tc>
      </w:tr>
      <w:tr w:rsidR="00C3201D" w:rsidRPr="00361F14" w14:paraId="4E0F2BFC" w14:textId="77777777" w:rsidTr="00C3201D">
        <w:tc>
          <w:tcPr>
            <w:tcW w:w="1705" w:type="dxa"/>
            <w:vAlign w:val="center"/>
          </w:tcPr>
          <w:p w14:paraId="74772F6A"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DRMRDR 2237</w:t>
            </w:r>
          </w:p>
        </w:tc>
        <w:tc>
          <w:tcPr>
            <w:tcW w:w="720" w:type="dxa"/>
            <w:vAlign w:val="center"/>
          </w:tcPr>
          <w:p w14:paraId="1B62DE4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41.6</w:t>
            </w:r>
          </w:p>
        </w:tc>
        <w:tc>
          <w:tcPr>
            <w:tcW w:w="761" w:type="dxa"/>
            <w:vAlign w:val="center"/>
          </w:tcPr>
          <w:p w14:paraId="3AF5616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46.8</w:t>
            </w:r>
          </w:p>
        </w:tc>
        <w:tc>
          <w:tcPr>
            <w:tcW w:w="794" w:type="dxa"/>
            <w:vAlign w:val="center"/>
          </w:tcPr>
          <w:p w14:paraId="72A71EB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44.2</w:t>
            </w:r>
          </w:p>
        </w:tc>
        <w:tc>
          <w:tcPr>
            <w:tcW w:w="941" w:type="dxa"/>
            <w:vAlign w:val="center"/>
          </w:tcPr>
          <w:p w14:paraId="1052FC7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515.2</w:t>
            </w:r>
          </w:p>
        </w:tc>
        <w:tc>
          <w:tcPr>
            <w:tcW w:w="916" w:type="dxa"/>
            <w:vAlign w:val="center"/>
          </w:tcPr>
          <w:p w14:paraId="5AAC704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616.0</w:t>
            </w:r>
          </w:p>
        </w:tc>
        <w:tc>
          <w:tcPr>
            <w:tcW w:w="916" w:type="dxa"/>
            <w:vAlign w:val="center"/>
          </w:tcPr>
          <w:p w14:paraId="245BD76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565.6</w:t>
            </w:r>
          </w:p>
        </w:tc>
        <w:tc>
          <w:tcPr>
            <w:tcW w:w="810" w:type="dxa"/>
            <w:vAlign w:val="center"/>
          </w:tcPr>
          <w:p w14:paraId="7262E66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0.18</w:t>
            </w:r>
          </w:p>
        </w:tc>
        <w:tc>
          <w:tcPr>
            <w:tcW w:w="815" w:type="dxa"/>
            <w:vAlign w:val="center"/>
          </w:tcPr>
          <w:p w14:paraId="572CE2E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w:t>
            </w:r>
          </w:p>
        </w:tc>
        <w:tc>
          <w:tcPr>
            <w:tcW w:w="972" w:type="dxa"/>
            <w:vAlign w:val="center"/>
          </w:tcPr>
          <w:p w14:paraId="700A168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S</w:t>
            </w:r>
          </w:p>
        </w:tc>
      </w:tr>
      <w:tr w:rsidR="00C3201D" w:rsidRPr="00361F14" w14:paraId="765D0F4F" w14:textId="77777777" w:rsidTr="00C3201D">
        <w:tc>
          <w:tcPr>
            <w:tcW w:w="1705" w:type="dxa"/>
            <w:vAlign w:val="center"/>
          </w:tcPr>
          <w:p w14:paraId="37172E9A"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DRMRIS 20-4</w:t>
            </w:r>
          </w:p>
        </w:tc>
        <w:tc>
          <w:tcPr>
            <w:tcW w:w="720" w:type="dxa"/>
            <w:vAlign w:val="center"/>
          </w:tcPr>
          <w:p w14:paraId="0F638B7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42.6</w:t>
            </w:r>
          </w:p>
        </w:tc>
        <w:tc>
          <w:tcPr>
            <w:tcW w:w="761" w:type="dxa"/>
            <w:vAlign w:val="center"/>
          </w:tcPr>
          <w:p w14:paraId="78E8F1B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50.4</w:t>
            </w:r>
          </w:p>
        </w:tc>
        <w:tc>
          <w:tcPr>
            <w:tcW w:w="794" w:type="dxa"/>
            <w:vAlign w:val="center"/>
          </w:tcPr>
          <w:p w14:paraId="1B8E1C3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46.5</w:t>
            </w:r>
          </w:p>
        </w:tc>
        <w:tc>
          <w:tcPr>
            <w:tcW w:w="941" w:type="dxa"/>
            <w:vAlign w:val="center"/>
          </w:tcPr>
          <w:p w14:paraId="35DDA4A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589.4</w:t>
            </w:r>
          </w:p>
        </w:tc>
        <w:tc>
          <w:tcPr>
            <w:tcW w:w="916" w:type="dxa"/>
            <w:vAlign w:val="center"/>
          </w:tcPr>
          <w:p w14:paraId="130179E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683.2</w:t>
            </w:r>
          </w:p>
        </w:tc>
        <w:tc>
          <w:tcPr>
            <w:tcW w:w="916" w:type="dxa"/>
            <w:vAlign w:val="center"/>
          </w:tcPr>
          <w:p w14:paraId="3AAD417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636.3</w:t>
            </w:r>
          </w:p>
        </w:tc>
        <w:tc>
          <w:tcPr>
            <w:tcW w:w="810" w:type="dxa"/>
            <w:vAlign w:val="center"/>
          </w:tcPr>
          <w:p w14:paraId="23B664A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0.02</w:t>
            </w:r>
          </w:p>
        </w:tc>
        <w:tc>
          <w:tcPr>
            <w:tcW w:w="815" w:type="dxa"/>
            <w:vAlign w:val="center"/>
          </w:tcPr>
          <w:p w14:paraId="27411BE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w:t>
            </w:r>
          </w:p>
        </w:tc>
        <w:tc>
          <w:tcPr>
            <w:tcW w:w="972" w:type="dxa"/>
            <w:vAlign w:val="center"/>
          </w:tcPr>
          <w:p w14:paraId="07D7A18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S</w:t>
            </w:r>
          </w:p>
        </w:tc>
      </w:tr>
      <w:tr w:rsidR="00C3201D" w:rsidRPr="00361F14" w14:paraId="4FFA5ED8" w14:textId="77777777" w:rsidTr="00C3201D">
        <w:tc>
          <w:tcPr>
            <w:tcW w:w="1705" w:type="dxa"/>
            <w:vAlign w:val="center"/>
          </w:tcPr>
          <w:p w14:paraId="6B214448"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DRMRMJA 35</w:t>
            </w:r>
          </w:p>
        </w:tc>
        <w:tc>
          <w:tcPr>
            <w:tcW w:w="720" w:type="dxa"/>
            <w:vAlign w:val="center"/>
          </w:tcPr>
          <w:p w14:paraId="76455E4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46.0</w:t>
            </w:r>
          </w:p>
        </w:tc>
        <w:tc>
          <w:tcPr>
            <w:tcW w:w="761" w:type="dxa"/>
            <w:vAlign w:val="center"/>
          </w:tcPr>
          <w:p w14:paraId="5E3F188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52.6</w:t>
            </w:r>
          </w:p>
        </w:tc>
        <w:tc>
          <w:tcPr>
            <w:tcW w:w="794" w:type="dxa"/>
            <w:vAlign w:val="center"/>
          </w:tcPr>
          <w:p w14:paraId="359C85D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49.3</w:t>
            </w:r>
          </w:p>
        </w:tc>
        <w:tc>
          <w:tcPr>
            <w:tcW w:w="941" w:type="dxa"/>
            <w:vAlign w:val="center"/>
          </w:tcPr>
          <w:p w14:paraId="50C7C66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646.8</w:t>
            </w:r>
          </w:p>
        </w:tc>
        <w:tc>
          <w:tcPr>
            <w:tcW w:w="916" w:type="dxa"/>
            <w:vAlign w:val="center"/>
          </w:tcPr>
          <w:p w14:paraId="1B1223F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709.8</w:t>
            </w:r>
          </w:p>
        </w:tc>
        <w:tc>
          <w:tcPr>
            <w:tcW w:w="916" w:type="dxa"/>
            <w:vAlign w:val="center"/>
          </w:tcPr>
          <w:p w14:paraId="21FACBC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678.3</w:t>
            </w:r>
          </w:p>
        </w:tc>
        <w:tc>
          <w:tcPr>
            <w:tcW w:w="810" w:type="dxa"/>
            <w:vAlign w:val="center"/>
          </w:tcPr>
          <w:p w14:paraId="2D68F76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0.16</w:t>
            </w:r>
          </w:p>
        </w:tc>
        <w:tc>
          <w:tcPr>
            <w:tcW w:w="815" w:type="dxa"/>
            <w:vAlign w:val="center"/>
          </w:tcPr>
          <w:p w14:paraId="2EE7D6E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w:t>
            </w:r>
          </w:p>
        </w:tc>
        <w:tc>
          <w:tcPr>
            <w:tcW w:w="972" w:type="dxa"/>
            <w:vAlign w:val="center"/>
          </w:tcPr>
          <w:p w14:paraId="0F2D17E5"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S</w:t>
            </w:r>
          </w:p>
        </w:tc>
      </w:tr>
      <w:tr w:rsidR="00C3201D" w:rsidRPr="00361F14" w14:paraId="723A167F" w14:textId="77777777" w:rsidTr="00C3201D">
        <w:tc>
          <w:tcPr>
            <w:tcW w:w="1705" w:type="dxa"/>
            <w:vAlign w:val="center"/>
          </w:tcPr>
          <w:p w14:paraId="53155637"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NRCHB 101</w:t>
            </w:r>
          </w:p>
        </w:tc>
        <w:tc>
          <w:tcPr>
            <w:tcW w:w="720" w:type="dxa"/>
            <w:vAlign w:val="center"/>
          </w:tcPr>
          <w:p w14:paraId="74995C5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58.2</w:t>
            </w:r>
          </w:p>
        </w:tc>
        <w:tc>
          <w:tcPr>
            <w:tcW w:w="761" w:type="dxa"/>
            <w:vAlign w:val="center"/>
          </w:tcPr>
          <w:p w14:paraId="3A783FB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52.0</w:t>
            </w:r>
          </w:p>
        </w:tc>
        <w:tc>
          <w:tcPr>
            <w:tcW w:w="794" w:type="dxa"/>
            <w:vAlign w:val="center"/>
          </w:tcPr>
          <w:p w14:paraId="3230F552"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55.1</w:t>
            </w:r>
          </w:p>
        </w:tc>
        <w:tc>
          <w:tcPr>
            <w:tcW w:w="941" w:type="dxa"/>
            <w:vAlign w:val="center"/>
          </w:tcPr>
          <w:p w14:paraId="1B401A37"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819.0</w:t>
            </w:r>
          </w:p>
        </w:tc>
        <w:tc>
          <w:tcPr>
            <w:tcW w:w="916" w:type="dxa"/>
            <w:vAlign w:val="center"/>
          </w:tcPr>
          <w:p w14:paraId="053A7824"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784.0</w:t>
            </w:r>
          </w:p>
        </w:tc>
        <w:tc>
          <w:tcPr>
            <w:tcW w:w="916" w:type="dxa"/>
            <w:vAlign w:val="center"/>
          </w:tcPr>
          <w:p w14:paraId="2F1FAD7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801.5</w:t>
            </w:r>
          </w:p>
        </w:tc>
        <w:tc>
          <w:tcPr>
            <w:tcW w:w="810" w:type="dxa"/>
            <w:vAlign w:val="center"/>
          </w:tcPr>
          <w:p w14:paraId="6D4F2E8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0.15</w:t>
            </w:r>
          </w:p>
        </w:tc>
        <w:tc>
          <w:tcPr>
            <w:tcW w:w="815" w:type="dxa"/>
            <w:vAlign w:val="center"/>
          </w:tcPr>
          <w:p w14:paraId="11BA0CD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w:t>
            </w:r>
          </w:p>
        </w:tc>
        <w:tc>
          <w:tcPr>
            <w:tcW w:w="972" w:type="dxa"/>
            <w:vAlign w:val="center"/>
          </w:tcPr>
          <w:p w14:paraId="298BC61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S</w:t>
            </w:r>
          </w:p>
        </w:tc>
      </w:tr>
      <w:tr w:rsidR="00C3201D" w:rsidRPr="00361F14" w14:paraId="000A873C" w14:textId="77777777" w:rsidTr="00C3201D">
        <w:tc>
          <w:tcPr>
            <w:tcW w:w="1705" w:type="dxa"/>
            <w:vAlign w:val="center"/>
          </w:tcPr>
          <w:p w14:paraId="397DF94D"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Rohini</w:t>
            </w:r>
          </w:p>
        </w:tc>
        <w:tc>
          <w:tcPr>
            <w:tcW w:w="720" w:type="dxa"/>
            <w:vAlign w:val="center"/>
          </w:tcPr>
          <w:p w14:paraId="30D1DFD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57.4</w:t>
            </w:r>
          </w:p>
        </w:tc>
        <w:tc>
          <w:tcPr>
            <w:tcW w:w="761" w:type="dxa"/>
            <w:vAlign w:val="center"/>
          </w:tcPr>
          <w:p w14:paraId="7E85A91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53.0</w:t>
            </w:r>
          </w:p>
        </w:tc>
        <w:tc>
          <w:tcPr>
            <w:tcW w:w="794" w:type="dxa"/>
            <w:vAlign w:val="center"/>
          </w:tcPr>
          <w:p w14:paraId="68B439E8"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55.2</w:t>
            </w:r>
          </w:p>
        </w:tc>
        <w:tc>
          <w:tcPr>
            <w:tcW w:w="941" w:type="dxa"/>
            <w:vAlign w:val="center"/>
          </w:tcPr>
          <w:p w14:paraId="651E6ACC"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833.0</w:t>
            </w:r>
          </w:p>
        </w:tc>
        <w:tc>
          <w:tcPr>
            <w:tcW w:w="916" w:type="dxa"/>
            <w:vAlign w:val="center"/>
          </w:tcPr>
          <w:p w14:paraId="5AF3F511"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816.2</w:t>
            </w:r>
          </w:p>
        </w:tc>
        <w:tc>
          <w:tcPr>
            <w:tcW w:w="916" w:type="dxa"/>
            <w:vAlign w:val="center"/>
          </w:tcPr>
          <w:p w14:paraId="5C0D68A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824.6</w:t>
            </w:r>
          </w:p>
        </w:tc>
        <w:tc>
          <w:tcPr>
            <w:tcW w:w="810" w:type="dxa"/>
            <w:vAlign w:val="center"/>
          </w:tcPr>
          <w:p w14:paraId="09751349"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0.14</w:t>
            </w:r>
          </w:p>
        </w:tc>
        <w:tc>
          <w:tcPr>
            <w:tcW w:w="815" w:type="dxa"/>
            <w:vAlign w:val="center"/>
          </w:tcPr>
          <w:p w14:paraId="6B717C9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3</w:t>
            </w:r>
          </w:p>
        </w:tc>
        <w:tc>
          <w:tcPr>
            <w:tcW w:w="972" w:type="dxa"/>
            <w:vAlign w:val="center"/>
          </w:tcPr>
          <w:p w14:paraId="7BC64323"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S</w:t>
            </w:r>
          </w:p>
        </w:tc>
      </w:tr>
      <w:tr w:rsidR="00C3201D" w:rsidRPr="00361F14" w14:paraId="3C528920" w14:textId="77777777" w:rsidTr="00C3201D">
        <w:tc>
          <w:tcPr>
            <w:tcW w:w="1705" w:type="dxa"/>
            <w:vAlign w:val="center"/>
          </w:tcPr>
          <w:p w14:paraId="2EF2C378" w14:textId="77777777" w:rsidR="00C3201D" w:rsidRPr="00361F14" w:rsidRDefault="00C3201D" w:rsidP="00767C12">
            <w:pPr>
              <w:rPr>
                <w:rFonts w:ascii="Times New Roman" w:hAnsi="Times New Roman" w:cs="Times New Roman"/>
                <w:sz w:val="20"/>
                <w:szCs w:val="20"/>
              </w:rPr>
            </w:pPr>
            <w:r w:rsidRPr="00361F14">
              <w:rPr>
                <w:rFonts w:ascii="Times New Roman" w:hAnsi="Times New Roman" w:cs="Times New Roman"/>
                <w:sz w:val="20"/>
                <w:szCs w:val="20"/>
              </w:rPr>
              <w:t>NPC 16</w:t>
            </w:r>
          </w:p>
        </w:tc>
        <w:tc>
          <w:tcPr>
            <w:tcW w:w="720" w:type="dxa"/>
            <w:vAlign w:val="center"/>
          </w:tcPr>
          <w:p w14:paraId="32418EB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62.4</w:t>
            </w:r>
          </w:p>
        </w:tc>
        <w:tc>
          <w:tcPr>
            <w:tcW w:w="761" w:type="dxa"/>
            <w:vAlign w:val="center"/>
          </w:tcPr>
          <w:p w14:paraId="180BD0FA"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58.0</w:t>
            </w:r>
          </w:p>
        </w:tc>
        <w:tc>
          <w:tcPr>
            <w:tcW w:w="794" w:type="dxa"/>
            <w:vAlign w:val="center"/>
          </w:tcPr>
          <w:p w14:paraId="185CD4E6"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60.2</w:t>
            </w:r>
          </w:p>
        </w:tc>
        <w:tc>
          <w:tcPr>
            <w:tcW w:w="941" w:type="dxa"/>
            <w:vAlign w:val="center"/>
          </w:tcPr>
          <w:p w14:paraId="3C60395F"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921.2</w:t>
            </w:r>
          </w:p>
        </w:tc>
        <w:tc>
          <w:tcPr>
            <w:tcW w:w="916" w:type="dxa"/>
            <w:vAlign w:val="center"/>
          </w:tcPr>
          <w:p w14:paraId="5285C5BB"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677.6</w:t>
            </w:r>
          </w:p>
        </w:tc>
        <w:tc>
          <w:tcPr>
            <w:tcW w:w="916" w:type="dxa"/>
            <w:vAlign w:val="center"/>
          </w:tcPr>
          <w:p w14:paraId="70FF7710"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799.4</w:t>
            </w:r>
          </w:p>
        </w:tc>
        <w:tc>
          <w:tcPr>
            <w:tcW w:w="810" w:type="dxa"/>
            <w:vAlign w:val="center"/>
          </w:tcPr>
          <w:p w14:paraId="1387A2BE"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0.06</w:t>
            </w:r>
          </w:p>
        </w:tc>
        <w:tc>
          <w:tcPr>
            <w:tcW w:w="815" w:type="dxa"/>
            <w:vAlign w:val="center"/>
          </w:tcPr>
          <w:p w14:paraId="557B054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4</w:t>
            </w:r>
          </w:p>
        </w:tc>
        <w:tc>
          <w:tcPr>
            <w:tcW w:w="972" w:type="dxa"/>
            <w:vAlign w:val="center"/>
          </w:tcPr>
          <w:p w14:paraId="6B87303D" w14:textId="77777777" w:rsidR="00C3201D" w:rsidRPr="00361F14" w:rsidRDefault="00C3201D" w:rsidP="00767C12">
            <w:pPr>
              <w:jc w:val="center"/>
              <w:rPr>
                <w:rFonts w:ascii="Times New Roman" w:hAnsi="Times New Roman" w:cs="Times New Roman"/>
                <w:sz w:val="20"/>
                <w:szCs w:val="20"/>
              </w:rPr>
            </w:pPr>
            <w:r w:rsidRPr="00361F14">
              <w:rPr>
                <w:rFonts w:ascii="Times New Roman" w:hAnsi="Times New Roman" w:cs="Times New Roman"/>
                <w:sz w:val="20"/>
                <w:szCs w:val="20"/>
              </w:rPr>
              <w:t>HS</w:t>
            </w:r>
          </w:p>
        </w:tc>
      </w:tr>
    </w:tbl>
    <w:p w14:paraId="1A1812A4" w14:textId="77777777" w:rsidR="00A439C7" w:rsidRPr="00517936" w:rsidRDefault="00A439C7" w:rsidP="003E20C5">
      <w:pPr>
        <w:spacing w:line="360" w:lineRule="auto"/>
        <w:jc w:val="both"/>
        <w:rPr>
          <w:rFonts w:ascii="Times New Roman" w:hAnsi="Times New Roman" w:cs="Times New Roman"/>
        </w:rPr>
      </w:pPr>
    </w:p>
    <w:p w14:paraId="53326F7B" w14:textId="77777777" w:rsidR="000B460A" w:rsidRDefault="00E2438C" w:rsidP="000B460A">
      <w:pPr>
        <w:spacing w:after="0" w:line="360" w:lineRule="auto"/>
        <w:ind w:firstLine="720"/>
        <w:jc w:val="both"/>
        <w:rPr>
          <w:rFonts w:ascii="Times New Roman" w:hAnsi="Times New Roman" w:cs="Times New Roman"/>
        </w:rPr>
      </w:pPr>
      <w:r w:rsidRPr="00517936">
        <w:rPr>
          <w:rFonts w:ascii="Times New Roman" w:hAnsi="Times New Roman" w:cs="Times New Roman"/>
        </w:rPr>
        <w:lastRenderedPageBreak/>
        <w:t>Pooled analysis of disease incidence across two consecutive Rabi seasons revealed substantial variability among the eighteen rapeseed–mustard genotypes evaluated under artificial inoculation. Based on pooled PDI values, none of the genotypes showed Resistant (0) or Moderately Resistant (1) reaction, indicating absence of strong genetic resistance in the evaluated set.</w:t>
      </w:r>
    </w:p>
    <w:p w14:paraId="46B8425E" w14:textId="77777777" w:rsidR="0003308B" w:rsidRDefault="00E2438C" w:rsidP="0003308B">
      <w:pPr>
        <w:spacing w:line="360" w:lineRule="auto"/>
        <w:ind w:firstLine="720"/>
        <w:jc w:val="both"/>
        <w:rPr>
          <w:rFonts w:ascii="Times New Roman" w:hAnsi="Times New Roman" w:cs="Times New Roman"/>
        </w:rPr>
      </w:pPr>
      <w:r w:rsidRPr="00517936">
        <w:rPr>
          <w:rFonts w:ascii="Times New Roman" w:hAnsi="Times New Roman" w:cs="Times New Roman"/>
        </w:rPr>
        <w:t>A total of twelve genotypes displayed PDI values between 21</w:t>
      </w:r>
      <w:r w:rsidR="00400F98" w:rsidRPr="00517936">
        <w:rPr>
          <w:rFonts w:ascii="Times New Roman" w:hAnsi="Times New Roman" w:cs="Times New Roman"/>
        </w:rPr>
        <w:t>-</w:t>
      </w:r>
      <w:r w:rsidRPr="00517936">
        <w:rPr>
          <w:rFonts w:ascii="Times New Roman" w:hAnsi="Times New Roman" w:cs="Times New Roman"/>
        </w:rPr>
        <w:t>40%, placing them in the Moderately Susceptible (MS) category. These entries exhibited consistently lower lesion expansion and reduced disease progression, as reflected in their lower AUDPC values (e.g., DRMRIS 20-5 = 349.3; DRMRDR 2156 = 330.4).</w:t>
      </w:r>
      <w:r w:rsidR="00400F98" w:rsidRPr="00517936">
        <w:rPr>
          <w:rFonts w:ascii="Times New Roman" w:hAnsi="Times New Roman" w:cs="Times New Roman"/>
        </w:rPr>
        <w:t xml:space="preserve"> </w:t>
      </w:r>
      <w:r w:rsidRPr="00517936">
        <w:rPr>
          <w:rFonts w:ascii="Times New Roman" w:hAnsi="Times New Roman" w:cs="Times New Roman"/>
        </w:rPr>
        <w:t>Five genotypes</w:t>
      </w:r>
      <w:r w:rsidR="00400F98" w:rsidRPr="00517936">
        <w:rPr>
          <w:rFonts w:ascii="Times New Roman" w:hAnsi="Times New Roman" w:cs="Times New Roman"/>
        </w:rPr>
        <w:t>-</w:t>
      </w:r>
      <w:r w:rsidRPr="00517936">
        <w:rPr>
          <w:rFonts w:ascii="Times New Roman" w:hAnsi="Times New Roman" w:cs="Times New Roman"/>
        </w:rPr>
        <w:t>DRMRDR 2237, DRMRIS 20-4, DRMRMJA 35, NRCHB 101, and Rohini</w:t>
      </w:r>
      <w:r w:rsidR="00400F98" w:rsidRPr="00517936">
        <w:rPr>
          <w:rFonts w:ascii="Times New Roman" w:hAnsi="Times New Roman" w:cs="Times New Roman"/>
        </w:rPr>
        <w:t xml:space="preserve"> </w:t>
      </w:r>
      <w:r w:rsidRPr="00517936">
        <w:rPr>
          <w:rFonts w:ascii="Times New Roman" w:hAnsi="Times New Roman" w:cs="Times New Roman"/>
        </w:rPr>
        <w:t>recorded 41</w:t>
      </w:r>
      <w:r w:rsidR="00CC29D6" w:rsidRPr="00517936">
        <w:rPr>
          <w:rFonts w:ascii="Times New Roman" w:hAnsi="Times New Roman" w:cs="Times New Roman"/>
        </w:rPr>
        <w:t>-</w:t>
      </w:r>
      <w:r w:rsidRPr="00517936">
        <w:rPr>
          <w:rFonts w:ascii="Times New Roman" w:hAnsi="Times New Roman" w:cs="Times New Roman"/>
        </w:rPr>
        <w:t>60% PDI, classifying them as Susceptible (S). These genotypes developed longer lesions and higher AUDPC values (&gt;550), indicating rapid and aggressive disease development.</w:t>
      </w:r>
      <w:r w:rsidR="005359B3" w:rsidRPr="00517936">
        <w:rPr>
          <w:rFonts w:ascii="Times New Roman" w:hAnsi="Times New Roman" w:cs="Times New Roman"/>
        </w:rPr>
        <w:t xml:space="preserve"> </w:t>
      </w:r>
      <w:r w:rsidRPr="00517936">
        <w:rPr>
          <w:rFonts w:ascii="Times New Roman" w:hAnsi="Times New Roman" w:cs="Times New Roman"/>
        </w:rPr>
        <w:t>Only one genotype, NPC 16, exceeded 60% PDI, and was classified as Highly Susceptible (HS). It also recorded among the highest AUDPC values (799.4), confirming its role as a suitable susceptible check.</w:t>
      </w:r>
    </w:p>
    <w:p w14:paraId="00EBBD9F" w14:textId="6A75DD50" w:rsidR="005359B3" w:rsidRPr="00517936" w:rsidRDefault="005359B3" w:rsidP="007523B6">
      <w:pPr>
        <w:spacing w:after="0" w:line="360" w:lineRule="auto"/>
        <w:ind w:firstLine="720"/>
        <w:jc w:val="both"/>
        <w:rPr>
          <w:rFonts w:ascii="Times New Roman" w:hAnsi="Times New Roman" w:cs="Times New Roman"/>
        </w:rPr>
      </w:pPr>
      <w:r w:rsidRPr="00517936">
        <w:rPr>
          <w:rFonts w:ascii="Times New Roman" w:hAnsi="Times New Roman" w:cs="Times New Roman"/>
        </w:rPr>
        <w:t>The apparent infection rate (r-value) among the eighteen genotypes ranged from 0.02 to 0.18, reflecting differential rates of disease progression across entries. Moderately susceptible genotypes such as DRMRDR 2239 (r = 0.09), BioYSR (r = 0.10), and DRMRIS 20-1 (r = 0.11) exhibited lower r-values, indicating slower disease development and lesion expansion. In contrast, susceptible genotypes like DRMRDR 2237 (r = 0.18), DRMRMJA 35 (r = 0.16), and NRCHB 101 (r = 0.15) displayed relatively higher r-values, suggesting faster epidemic progression. Notably, DRMRIS 20-4 recorded the lowest r-value (r = 0.02) despite being classified as susceptible based on PDI, while NPC 16 (r = 0.06) showed moderate infection rate despite being highly susceptible, highlighting the complex interplay between initial infection severity and temporal disease dynamics.</w:t>
      </w:r>
    </w:p>
    <w:p w14:paraId="55F8B809" w14:textId="502B0177" w:rsidR="00E2438C" w:rsidRPr="00517936" w:rsidRDefault="00E2438C" w:rsidP="007523B6">
      <w:pPr>
        <w:tabs>
          <w:tab w:val="left" w:pos="2970"/>
        </w:tabs>
        <w:spacing w:after="0" w:line="360" w:lineRule="auto"/>
        <w:jc w:val="both"/>
        <w:rPr>
          <w:rFonts w:ascii="Times New Roman" w:hAnsi="Times New Roman" w:cs="Times New Roman"/>
          <w:b/>
          <w:bCs/>
        </w:rPr>
      </w:pPr>
      <w:r w:rsidRPr="00517936">
        <w:rPr>
          <w:rFonts w:ascii="Times New Roman" w:hAnsi="Times New Roman" w:cs="Times New Roman"/>
          <w:b/>
          <w:bCs/>
        </w:rPr>
        <w:t>DISCUSSION</w:t>
      </w:r>
    </w:p>
    <w:p w14:paraId="7AAB186C" w14:textId="724D8244" w:rsidR="00E2438C" w:rsidRPr="00517936" w:rsidRDefault="00E2438C" w:rsidP="007523B6">
      <w:pPr>
        <w:spacing w:after="0" w:line="360" w:lineRule="auto"/>
        <w:ind w:firstLine="720"/>
        <w:jc w:val="both"/>
        <w:rPr>
          <w:rFonts w:ascii="Times New Roman" w:hAnsi="Times New Roman" w:cs="Times New Roman"/>
        </w:rPr>
      </w:pPr>
      <w:r w:rsidRPr="00517936">
        <w:rPr>
          <w:rFonts w:ascii="Times New Roman" w:hAnsi="Times New Roman" w:cs="Times New Roman"/>
        </w:rPr>
        <w:t xml:space="preserve">The pooled results from two seasons demonstrated substantial variability among the rapeseed–mustard genotypes in their response to </w:t>
      </w:r>
      <w:r w:rsidRPr="00517936">
        <w:rPr>
          <w:rFonts w:ascii="Times New Roman" w:hAnsi="Times New Roman" w:cs="Times New Roman"/>
          <w:i/>
          <w:iCs/>
        </w:rPr>
        <w:t>Sclerotinia sclerotiorum</w:t>
      </w:r>
      <w:r w:rsidRPr="00517936">
        <w:rPr>
          <w:rFonts w:ascii="Times New Roman" w:hAnsi="Times New Roman" w:cs="Times New Roman"/>
        </w:rPr>
        <w:t xml:space="preserve">, confirming earlier observations that Brassica germplasm harbors a wide but continuous spectrum of susceptibility rather than discrete resistance classes. No genotype in the present study exhibited Resistant (R) or Moderately Resistant (MR) reactions, consistent with previous findings in Brassica screening experiments in India and abroad (Choudhary </w:t>
      </w:r>
      <w:r w:rsidRPr="00517936">
        <w:rPr>
          <w:rFonts w:ascii="Times New Roman" w:hAnsi="Times New Roman" w:cs="Times New Roman"/>
          <w:i/>
          <w:iCs/>
        </w:rPr>
        <w:t>et al</w:t>
      </w:r>
      <w:r w:rsidRPr="00517936">
        <w:rPr>
          <w:rFonts w:ascii="Times New Roman" w:hAnsi="Times New Roman" w:cs="Times New Roman"/>
        </w:rPr>
        <w:t>., 2021)</w:t>
      </w:r>
      <w:r w:rsidR="00400F98" w:rsidRPr="00517936">
        <w:rPr>
          <w:rFonts w:ascii="Times New Roman" w:hAnsi="Times New Roman" w:cs="Times New Roman"/>
        </w:rPr>
        <w:t xml:space="preserve">. </w:t>
      </w:r>
      <w:r w:rsidRPr="00517936">
        <w:rPr>
          <w:rFonts w:ascii="Times New Roman" w:hAnsi="Times New Roman" w:cs="Times New Roman"/>
        </w:rPr>
        <w:t xml:space="preserve">This reinforces the well-established </w:t>
      </w:r>
      <w:r w:rsidRPr="00517936">
        <w:rPr>
          <w:rFonts w:ascii="Times New Roman" w:hAnsi="Times New Roman" w:cs="Times New Roman"/>
        </w:rPr>
        <w:lastRenderedPageBreak/>
        <w:t xml:space="preserve">concept that complete resistance to Sclerotinia stem rot is absent or extremely rare in Brassica species (Purdy, 1979; Bolton </w:t>
      </w:r>
      <w:r w:rsidRPr="00517936">
        <w:rPr>
          <w:rFonts w:ascii="Times New Roman" w:hAnsi="Times New Roman" w:cs="Times New Roman"/>
          <w:i/>
          <w:iCs/>
        </w:rPr>
        <w:t>et al</w:t>
      </w:r>
      <w:r w:rsidRPr="00517936">
        <w:rPr>
          <w:rFonts w:ascii="Times New Roman" w:hAnsi="Times New Roman" w:cs="Times New Roman"/>
        </w:rPr>
        <w:t>., 2006).</w:t>
      </w:r>
    </w:p>
    <w:p w14:paraId="10D4E9D6" w14:textId="1D45C94D" w:rsidR="00E2438C" w:rsidRPr="00517936" w:rsidRDefault="00E2438C" w:rsidP="007523B6">
      <w:pPr>
        <w:spacing w:line="360" w:lineRule="auto"/>
        <w:ind w:firstLine="720"/>
        <w:jc w:val="both"/>
        <w:rPr>
          <w:rFonts w:ascii="Times New Roman" w:hAnsi="Times New Roman" w:cs="Times New Roman"/>
        </w:rPr>
      </w:pPr>
      <w:r w:rsidRPr="00517936">
        <w:rPr>
          <w:rFonts w:ascii="Times New Roman" w:hAnsi="Times New Roman" w:cs="Times New Roman"/>
        </w:rPr>
        <w:t xml:space="preserve">The predominance of Moderately Susceptible (MS) genotypes (12 entries) indicates the presence of quantitative, partial resistance, a trait increasingly recognized as the primary mechanism of defense against </w:t>
      </w:r>
      <w:r w:rsidRPr="00517936">
        <w:rPr>
          <w:rFonts w:ascii="Times New Roman" w:hAnsi="Times New Roman" w:cs="Times New Roman"/>
          <w:i/>
          <w:iCs/>
        </w:rPr>
        <w:t>S. sclerotiorum</w:t>
      </w:r>
      <w:r w:rsidRPr="00517936">
        <w:rPr>
          <w:rFonts w:ascii="Times New Roman" w:hAnsi="Times New Roman" w:cs="Times New Roman"/>
        </w:rPr>
        <w:t xml:space="preserve"> in many crops. Quantitative resistance is typically governed by multiple minor-effect loci influencing factors such as lesion expansion rate, stem structural properties, lignification, reactive oxygen responses, and phytoalexin accumulation</w:t>
      </w:r>
      <w:r w:rsidR="00CC29D6" w:rsidRPr="00517936">
        <w:rPr>
          <w:rFonts w:ascii="Times New Roman" w:hAnsi="Times New Roman" w:cs="Times New Roman"/>
        </w:rPr>
        <w:t xml:space="preserve"> </w:t>
      </w:r>
      <w:r w:rsidRPr="00517936">
        <w:rPr>
          <w:rFonts w:ascii="Times New Roman" w:hAnsi="Times New Roman" w:cs="Times New Roman"/>
        </w:rPr>
        <w:t xml:space="preserve">traits that slow the pathogen’s necrotrophic colonization rather than preventing infection altogether (Bolton </w:t>
      </w:r>
      <w:r w:rsidRPr="00517936">
        <w:rPr>
          <w:rFonts w:ascii="Times New Roman" w:hAnsi="Times New Roman" w:cs="Times New Roman"/>
          <w:i/>
          <w:iCs/>
        </w:rPr>
        <w:t>et al</w:t>
      </w:r>
      <w:r w:rsidRPr="00517936">
        <w:rPr>
          <w:rFonts w:ascii="Times New Roman" w:hAnsi="Times New Roman" w:cs="Times New Roman"/>
        </w:rPr>
        <w:t xml:space="preserve">., 2006; Derbyshire &amp; Denton-Giles, 2016). The relatively lower pooled PDI </w:t>
      </w:r>
      <w:r w:rsidR="004305D8" w:rsidRPr="00517936">
        <w:rPr>
          <w:rFonts w:ascii="Times New Roman" w:hAnsi="Times New Roman" w:cs="Times New Roman"/>
        </w:rPr>
        <w:t xml:space="preserve">(̴ </w:t>
      </w:r>
      <w:r w:rsidRPr="00517936">
        <w:rPr>
          <w:rFonts w:ascii="Times New Roman" w:hAnsi="Times New Roman" w:cs="Times New Roman"/>
        </w:rPr>
        <w:t>25</w:t>
      </w:r>
      <w:r w:rsidR="004305D8" w:rsidRPr="00517936">
        <w:rPr>
          <w:rFonts w:ascii="Times New Roman" w:hAnsi="Times New Roman" w:cs="Times New Roman"/>
        </w:rPr>
        <w:t>-</w:t>
      </w:r>
      <w:r w:rsidRPr="00517936">
        <w:rPr>
          <w:rFonts w:ascii="Times New Roman" w:hAnsi="Times New Roman" w:cs="Times New Roman"/>
        </w:rPr>
        <w:t>35%) and reduced AUDPC values of genotypes such as DRMRIS 20-5, DRMRDR 2156, DRMRDR 2119 and DRMRIS 20-1 suggest that these lines express such partial resistance by limiting lesion progression after initial infection.</w:t>
      </w:r>
    </w:p>
    <w:p w14:paraId="6351A4B3" w14:textId="77777777" w:rsidR="007523B6" w:rsidRDefault="007D2596" w:rsidP="007523B6">
      <w:pPr>
        <w:spacing w:line="360" w:lineRule="auto"/>
        <w:jc w:val="both"/>
        <w:rPr>
          <w:rFonts w:ascii="Times New Roman" w:hAnsi="Times New Roman" w:cs="Times New Roman"/>
          <w:b/>
          <w:bCs/>
        </w:rPr>
      </w:pPr>
      <w:r w:rsidRPr="00517936">
        <w:rPr>
          <w:rFonts w:ascii="Times New Roman" w:hAnsi="Times New Roman" w:cs="Times New Roman"/>
          <w:noProof/>
        </w:rPr>
        <w:drawing>
          <wp:inline distT="0" distB="0" distL="0" distR="0" wp14:anchorId="6C7F9F10" wp14:editId="69842A2C">
            <wp:extent cx="5287502" cy="2866292"/>
            <wp:effectExtent l="0" t="0" r="8890" b="0"/>
            <wp:docPr id="15842527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7763" cy="2877275"/>
                    </a:xfrm>
                    <a:prstGeom prst="rect">
                      <a:avLst/>
                    </a:prstGeom>
                    <a:noFill/>
                    <a:ln>
                      <a:noFill/>
                    </a:ln>
                  </pic:spPr>
                </pic:pic>
              </a:graphicData>
            </a:graphic>
          </wp:inline>
        </w:drawing>
      </w:r>
    </w:p>
    <w:p w14:paraId="36179212" w14:textId="2659EFCF" w:rsidR="00CC29D6" w:rsidRPr="007523B6" w:rsidRDefault="00CC29D6" w:rsidP="007523B6">
      <w:pPr>
        <w:spacing w:line="360" w:lineRule="auto"/>
        <w:jc w:val="center"/>
        <w:rPr>
          <w:rFonts w:ascii="Times New Roman" w:hAnsi="Times New Roman" w:cs="Times New Roman"/>
        </w:rPr>
      </w:pPr>
      <w:r w:rsidRPr="00517936">
        <w:rPr>
          <w:rFonts w:ascii="Times New Roman" w:hAnsi="Times New Roman" w:cs="Times New Roman"/>
          <w:b/>
          <w:bCs/>
        </w:rPr>
        <w:t>Figure 1.</w:t>
      </w:r>
      <w:r w:rsidRPr="00517936">
        <w:rPr>
          <w:rFonts w:ascii="Times New Roman" w:hAnsi="Times New Roman" w:cs="Times New Roman"/>
        </w:rPr>
        <w:t xml:space="preserve"> </w:t>
      </w:r>
      <w:r w:rsidRPr="00517936">
        <w:rPr>
          <w:rFonts w:ascii="Times New Roman" w:hAnsi="Times New Roman" w:cs="Times New Roman"/>
          <w:b/>
          <w:bCs/>
        </w:rPr>
        <w:t xml:space="preserve">Reaction of rapeseed-mustard (Brassica spp.) genotypes to </w:t>
      </w:r>
      <w:r w:rsidRPr="00517936">
        <w:rPr>
          <w:rFonts w:ascii="Times New Roman" w:hAnsi="Times New Roman" w:cs="Times New Roman"/>
          <w:b/>
          <w:bCs/>
          <w:i/>
          <w:iCs/>
        </w:rPr>
        <w:t>Sclerotinia sclerotiorum</w:t>
      </w:r>
      <w:r w:rsidRPr="00517936">
        <w:rPr>
          <w:rFonts w:ascii="Times New Roman" w:hAnsi="Times New Roman" w:cs="Times New Roman"/>
          <w:b/>
          <w:bCs/>
        </w:rPr>
        <w:t xml:space="preserve"> under artificial inoculation based on pooled Percent Disease Index (PDI) and AUDPC values during Rabi 2022-23 and 2023-24.</w:t>
      </w:r>
    </w:p>
    <w:p w14:paraId="050BC1B5" w14:textId="77777777" w:rsidR="007523B6" w:rsidRDefault="00E2438C" w:rsidP="007523B6">
      <w:pPr>
        <w:spacing w:after="0" w:line="360" w:lineRule="auto"/>
        <w:ind w:firstLine="720"/>
        <w:jc w:val="both"/>
        <w:rPr>
          <w:rFonts w:ascii="Times New Roman" w:hAnsi="Times New Roman" w:cs="Times New Roman"/>
        </w:rPr>
      </w:pPr>
      <w:r w:rsidRPr="00517936">
        <w:rPr>
          <w:rFonts w:ascii="Times New Roman" w:hAnsi="Times New Roman" w:cs="Times New Roman"/>
        </w:rPr>
        <w:t>The five Susceptible (S) genotypes</w:t>
      </w:r>
      <w:r w:rsidR="00400F98" w:rsidRPr="00517936">
        <w:rPr>
          <w:rFonts w:ascii="Times New Roman" w:hAnsi="Times New Roman" w:cs="Times New Roman"/>
        </w:rPr>
        <w:t xml:space="preserve"> </w:t>
      </w:r>
      <w:r w:rsidRPr="00517936">
        <w:rPr>
          <w:rFonts w:ascii="Times New Roman" w:hAnsi="Times New Roman" w:cs="Times New Roman"/>
        </w:rPr>
        <w:t>including DRMRDR 2237, DRMRIS 20-4, DRMRMJA 35, NRCHB 101, and Rohini</w:t>
      </w:r>
      <w:r w:rsidR="00400F98" w:rsidRPr="00517936">
        <w:rPr>
          <w:rFonts w:ascii="Times New Roman" w:hAnsi="Times New Roman" w:cs="Times New Roman"/>
        </w:rPr>
        <w:t xml:space="preserve"> </w:t>
      </w:r>
      <w:r w:rsidRPr="00517936">
        <w:rPr>
          <w:rFonts w:ascii="Times New Roman" w:hAnsi="Times New Roman" w:cs="Times New Roman"/>
        </w:rPr>
        <w:t>exhibited higher PDI (</w:t>
      </w:r>
      <w:r w:rsidR="004305D8" w:rsidRPr="00517936">
        <w:rPr>
          <w:rFonts w:ascii="Times New Roman" w:hAnsi="Times New Roman" w:cs="Times New Roman"/>
        </w:rPr>
        <w:t xml:space="preserve"> ̴ </w:t>
      </w:r>
      <w:r w:rsidRPr="00517936">
        <w:rPr>
          <w:rFonts w:ascii="Times New Roman" w:hAnsi="Times New Roman" w:cs="Times New Roman"/>
        </w:rPr>
        <w:t>44</w:t>
      </w:r>
      <w:r w:rsidR="00400F98" w:rsidRPr="00517936">
        <w:rPr>
          <w:rFonts w:ascii="Times New Roman" w:hAnsi="Times New Roman" w:cs="Times New Roman"/>
        </w:rPr>
        <w:t>-</w:t>
      </w:r>
      <w:r w:rsidRPr="00517936">
        <w:rPr>
          <w:rFonts w:ascii="Times New Roman" w:hAnsi="Times New Roman" w:cs="Times New Roman"/>
        </w:rPr>
        <w:t xml:space="preserve">55%) and markedly elevated AUDPC values (&gt;550), indicating faster and more aggressive disease development. Similar patterns have been reported in chickpea screening under artificial inoculation, where susceptible </w:t>
      </w:r>
      <w:r w:rsidRPr="00517936">
        <w:rPr>
          <w:rFonts w:ascii="Times New Roman" w:hAnsi="Times New Roman" w:cs="Times New Roman"/>
        </w:rPr>
        <w:lastRenderedPageBreak/>
        <w:t xml:space="preserve">entries develop rapid lesion elongation and high AUDPC values even under uniform inoculation pressure (Sheshma </w:t>
      </w:r>
      <w:r w:rsidRPr="00517936">
        <w:rPr>
          <w:rFonts w:ascii="Times New Roman" w:hAnsi="Times New Roman" w:cs="Times New Roman"/>
          <w:i/>
          <w:iCs/>
        </w:rPr>
        <w:t>et al</w:t>
      </w:r>
      <w:r w:rsidRPr="00517936">
        <w:rPr>
          <w:rFonts w:ascii="Times New Roman" w:hAnsi="Times New Roman" w:cs="Times New Roman"/>
        </w:rPr>
        <w:t>., 202</w:t>
      </w:r>
      <w:r w:rsidR="00755844" w:rsidRPr="00517936">
        <w:rPr>
          <w:rFonts w:ascii="Times New Roman" w:hAnsi="Times New Roman" w:cs="Times New Roman"/>
        </w:rPr>
        <w:t>5</w:t>
      </w:r>
      <w:r w:rsidRPr="00517936">
        <w:rPr>
          <w:rFonts w:ascii="Times New Roman" w:hAnsi="Times New Roman" w:cs="Times New Roman"/>
        </w:rPr>
        <w:t>)</w:t>
      </w:r>
      <w:r w:rsidR="00CC29D6" w:rsidRPr="00517936">
        <w:rPr>
          <w:rFonts w:ascii="Times New Roman" w:hAnsi="Times New Roman" w:cs="Times New Roman"/>
        </w:rPr>
        <w:t xml:space="preserve">. </w:t>
      </w:r>
      <w:r w:rsidRPr="00517936">
        <w:rPr>
          <w:rFonts w:ascii="Times New Roman" w:hAnsi="Times New Roman" w:cs="Times New Roman"/>
        </w:rPr>
        <w:t xml:space="preserve">The extreme susceptibility of NPC 16, the only genotype crossing the &gt;60% PDI threshold, and </w:t>
      </w:r>
      <w:r w:rsidR="004305D8" w:rsidRPr="00517936">
        <w:rPr>
          <w:rFonts w:ascii="Times New Roman" w:hAnsi="Times New Roman" w:cs="Times New Roman"/>
        </w:rPr>
        <w:t>its</w:t>
      </w:r>
      <w:r w:rsidRPr="00517936">
        <w:rPr>
          <w:rFonts w:ascii="Times New Roman" w:hAnsi="Times New Roman" w:cs="Times New Roman"/>
        </w:rPr>
        <w:t xml:space="preserve"> very high AUDPC (~799), confirms its reliability as a susceptible check, comparable to the role of highly susceptible checks used in mustard and Brassica pathology screening (Choudhary </w:t>
      </w:r>
      <w:r w:rsidRPr="00517936">
        <w:rPr>
          <w:rFonts w:ascii="Times New Roman" w:hAnsi="Times New Roman" w:cs="Times New Roman"/>
          <w:i/>
          <w:iCs/>
        </w:rPr>
        <w:t>et al</w:t>
      </w:r>
      <w:r w:rsidRPr="00517936">
        <w:rPr>
          <w:rFonts w:ascii="Times New Roman" w:hAnsi="Times New Roman" w:cs="Times New Roman"/>
        </w:rPr>
        <w:t xml:space="preserve">., 2021; Sharma </w:t>
      </w:r>
      <w:r w:rsidRPr="00517936">
        <w:rPr>
          <w:rFonts w:ascii="Times New Roman" w:hAnsi="Times New Roman" w:cs="Times New Roman"/>
          <w:i/>
          <w:iCs/>
        </w:rPr>
        <w:t>et al</w:t>
      </w:r>
      <w:r w:rsidRPr="00517936">
        <w:rPr>
          <w:rFonts w:ascii="Times New Roman" w:hAnsi="Times New Roman" w:cs="Times New Roman"/>
        </w:rPr>
        <w:t>., 2025).</w:t>
      </w:r>
    </w:p>
    <w:p w14:paraId="73DD1749" w14:textId="7BEB182F" w:rsidR="00E2438C" w:rsidRPr="00517936" w:rsidRDefault="00E2438C" w:rsidP="007523B6">
      <w:pPr>
        <w:spacing w:after="0" w:line="360" w:lineRule="auto"/>
        <w:ind w:firstLine="720"/>
        <w:jc w:val="both"/>
        <w:rPr>
          <w:rFonts w:ascii="Times New Roman" w:hAnsi="Times New Roman" w:cs="Times New Roman"/>
        </w:rPr>
      </w:pPr>
      <w:r w:rsidRPr="00517936">
        <w:rPr>
          <w:rFonts w:ascii="Times New Roman" w:hAnsi="Times New Roman" w:cs="Times New Roman"/>
        </w:rPr>
        <w:t>The modest correlation coefficients (r = 0.02</w:t>
      </w:r>
      <w:r w:rsidR="00CC29D6" w:rsidRPr="00517936">
        <w:rPr>
          <w:rFonts w:ascii="Times New Roman" w:hAnsi="Times New Roman" w:cs="Times New Roman"/>
        </w:rPr>
        <w:t>-</w:t>
      </w:r>
      <w:r w:rsidRPr="00517936">
        <w:rPr>
          <w:rFonts w:ascii="Times New Roman" w:hAnsi="Times New Roman" w:cs="Times New Roman"/>
        </w:rPr>
        <w:t>0.18) observed between seasons reflect the well-documented influence of environmental factors</w:t>
      </w:r>
      <w:r w:rsidR="00400F98" w:rsidRPr="00517936">
        <w:rPr>
          <w:rFonts w:ascii="Times New Roman" w:hAnsi="Times New Roman" w:cs="Times New Roman"/>
        </w:rPr>
        <w:t xml:space="preserve"> </w:t>
      </w:r>
      <w:r w:rsidRPr="00517936">
        <w:rPr>
          <w:rFonts w:ascii="Times New Roman" w:hAnsi="Times New Roman" w:cs="Times New Roman"/>
        </w:rPr>
        <w:t>temperature, canopy humidity, stem moisture status, and petal fall dynamics</w:t>
      </w:r>
      <w:r w:rsidR="00400F98" w:rsidRPr="00517936">
        <w:rPr>
          <w:rFonts w:ascii="Times New Roman" w:hAnsi="Times New Roman" w:cs="Times New Roman"/>
        </w:rPr>
        <w:t xml:space="preserve"> </w:t>
      </w:r>
      <w:r w:rsidRPr="00517936">
        <w:rPr>
          <w:rFonts w:ascii="Times New Roman" w:hAnsi="Times New Roman" w:cs="Times New Roman"/>
        </w:rPr>
        <w:t xml:space="preserve">on Sclerotinia disease development. Even under artificial inoculation, microenvironmental variation can alter disease severity expression. This pattern aligns with previous multi-season Brassica studies reporting year-to-year variability despite consistent inoculum load (Sharma </w:t>
      </w:r>
      <w:r w:rsidRPr="00517936">
        <w:rPr>
          <w:rFonts w:ascii="Times New Roman" w:hAnsi="Times New Roman" w:cs="Times New Roman"/>
          <w:i/>
          <w:iCs/>
        </w:rPr>
        <w:t>et al</w:t>
      </w:r>
      <w:r w:rsidRPr="00517936">
        <w:rPr>
          <w:rFonts w:ascii="Times New Roman" w:hAnsi="Times New Roman" w:cs="Times New Roman"/>
        </w:rPr>
        <w:t xml:space="preserve">., 2025). Collectively, the results point to a scenario where no immune or near-immune sources are available, but several entries possess stable, moderate levels of tolerance, which is currently the most practical breeding target. Previous research supports this conclusion: both field and artificial screening studies emphasize the importance of identifying lines with moderate PDI and reduced disease progress, as such partial resistance is additive, stable, and transferable into elite breeding material (Choudhary </w:t>
      </w:r>
      <w:r w:rsidRPr="00517936">
        <w:rPr>
          <w:rFonts w:ascii="Times New Roman" w:hAnsi="Times New Roman" w:cs="Times New Roman"/>
          <w:i/>
          <w:iCs/>
        </w:rPr>
        <w:t>et al</w:t>
      </w:r>
      <w:r w:rsidRPr="00517936">
        <w:rPr>
          <w:rFonts w:ascii="Times New Roman" w:hAnsi="Times New Roman" w:cs="Times New Roman"/>
        </w:rPr>
        <w:t xml:space="preserve">., 2021; Sheshma </w:t>
      </w:r>
      <w:r w:rsidRPr="00517936">
        <w:rPr>
          <w:rFonts w:ascii="Times New Roman" w:hAnsi="Times New Roman" w:cs="Times New Roman"/>
          <w:i/>
          <w:iCs/>
        </w:rPr>
        <w:t>et al</w:t>
      </w:r>
      <w:r w:rsidRPr="00517936">
        <w:rPr>
          <w:rFonts w:ascii="Times New Roman" w:hAnsi="Times New Roman" w:cs="Times New Roman"/>
        </w:rPr>
        <w:t>., 202</w:t>
      </w:r>
      <w:r w:rsidR="00755844" w:rsidRPr="00517936">
        <w:rPr>
          <w:rFonts w:ascii="Times New Roman" w:hAnsi="Times New Roman" w:cs="Times New Roman"/>
        </w:rPr>
        <w:t>5</w:t>
      </w:r>
      <w:r w:rsidRPr="00517936">
        <w:rPr>
          <w:rFonts w:ascii="Times New Roman" w:hAnsi="Times New Roman" w:cs="Times New Roman"/>
        </w:rPr>
        <w:t xml:space="preserve">; Sharma </w:t>
      </w:r>
      <w:r w:rsidRPr="00517936">
        <w:rPr>
          <w:rFonts w:ascii="Times New Roman" w:hAnsi="Times New Roman" w:cs="Times New Roman"/>
          <w:i/>
          <w:iCs/>
        </w:rPr>
        <w:t>et al</w:t>
      </w:r>
      <w:r w:rsidRPr="00517936">
        <w:rPr>
          <w:rFonts w:ascii="Times New Roman" w:hAnsi="Times New Roman" w:cs="Times New Roman"/>
        </w:rPr>
        <w:t>., 2025).</w:t>
      </w:r>
      <w:r w:rsidR="005359B3" w:rsidRPr="00517936">
        <w:rPr>
          <w:rFonts w:ascii="Times New Roman" w:hAnsi="Times New Roman" w:cs="Times New Roman"/>
        </w:rPr>
        <w:t xml:space="preserve"> The apparent infection rate (r-value) provided additional insights into the temporal dynamics of disease progression, with values ranging from 0.02 to 0.18 across genotypes. Lower r-values in moderately susceptible entries such as DRMRDR 2239 (r = 0.09) and BioYSR (r = 0.10) suggest slower lesion expansion, potentially reflecting enhanced structural barriers, delayed necrotrophic colonization, or localized defense responses that restrict pathogen advancement. Conversely, higher r-values in susceptible genotypes like DRMRDR 2237 (r = 0.18) and DRMRMJA 35 (r = 0.16) indicate rapid disease progression consistent with aggressive necrotrophic invasion. The dissociation between r-value and final PDI in certain entries (e.g., DRMRIS 20-4 with r = 0.02 but PDI = 46.5%) underscores the importance of considering both rate and magnitude of disease development, as slower initial progression may not always translate to reduced final severity under high inoculum pressure or favorable environmental conditions.</w:t>
      </w:r>
    </w:p>
    <w:p w14:paraId="03D33865" w14:textId="2884FE7B" w:rsidR="00E2438C" w:rsidRPr="00517936" w:rsidRDefault="00E2438C" w:rsidP="00B368BF">
      <w:pPr>
        <w:spacing w:after="0" w:line="360" w:lineRule="auto"/>
        <w:ind w:firstLine="720"/>
        <w:jc w:val="both"/>
        <w:rPr>
          <w:rFonts w:ascii="Times New Roman" w:hAnsi="Times New Roman" w:cs="Times New Roman"/>
        </w:rPr>
      </w:pPr>
      <w:r w:rsidRPr="00517936">
        <w:rPr>
          <w:rFonts w:ascii="Times New Roman" w:hAnsi="Times New Roman" w:cs="Times New Roman"/>
        </w:rPr>
        <w:t>Furthermore, the relationship between PDI and AUDPC observed in this study was consistent and biologically meaningful</w:t>
      </w:r>
      <w:r w:rsidR="00400F98" w:rsidRPr="00517936">
        <w:rPr>
          <w:rFonts w:ascii="Times New Roman" w:hAnsi="Times New Roman" w:cs="Times New Roman"/>
        </w:rPr>
        <w:t xml:space="preserve"> </w:t>
      </w:r>
      <w:r w:rsidRPr="00517936">
        <w:rPr>
          <w:rFonts w:ascii="Times New Roman" w:hAnsi="Times New Roman" w:cs="Times New Roman"/>
        </w:rPr>
        <w:t xml:space="preserve">genotypes with lower PDI almost always exhibited lower AUDPC, confirming that lesion progression dynamics are reliable indicators of partial resistance. This is in agreement with high-quality pathometry research in </w:t>
      </w:r>
      <w:r w:rsidRPr="00517936">
        <w:rPr>
          <w:rFonts w:ascii="Times New Roman" w:hAnsi="Times New Roman" w:cs="Times New Roman"/>
          <w:i/>
          <w:iCs/>
        </w:rPr>
        <w:t>S. sclerotiorum</w:t>
      </w:r>
      <w:r w:rsidRPr="00517936">
        <w:rPr>
          <w:rFonts w:ascii="Times New Roman" w:hAnsi="Times New Roman" w:cs="Times New Roman"/>
        </w:rPr>
        <w:t xml:space="preserve">, which validates </w:t>
      </w:r>
      <w:r w:rsidRPr="00517936">
        <w:rPr>
          <w:rFonts w:ascii="Times New Roman" w:hAnsi="Times New Roman" w:cs="Times New Roman"/>
        </w:rPr>
        <w:lastRenderedPageBreak/>
        <w:t xml:space="preserve">AUDPC as a robust epidemiological measure of resistance and disease suppression (Peltier </w:t>
      </w:r>
      <w:r w:rsidRPr="00517936">
        <w:rPr>
          <w:rFonts w:ascii="Times New Roman" w:hAnsi="Times New Roman" w:cs="Times New Roman"/>
          <w:i/>
          <w:iCs/>
        </w:rPr>
        <w:t>et al</w:t>
      </w:r>
      <w:r w:rsidRPr="00517936">
        <w:rPr>
          <w:rFonts w:ascii="Times New Roman" w:hAnsi="Times New Roman" w:cs="Times New Roman"/>
        </w:rPr>
        <w:t>., 2012).</w:t>
      </w:r>
    </w:p>
    <w:p w14:paraId="681EB66A" w14:textId="26DAB1AD" w:rsidR="00E2438C" w:rsidRPr="00517936" w:rsidRDefault="00E2438C" w:rsidP="00B368BF">
      <w:pPr>
        <w:spacing w:after="0" w:line="360" w:lineRule="auto"/>
        <w:jc w:val="both"/>
        <w:rPr>
          <w:rFonts w:ascii="Times New Roman" w:hAnsi="Times New Roman" w:cs="Times New Roman"/>
          <w:b/>
          <w:bCs/>
        </w:rPr>
      </w:pPr>
      <w:r w:rsidRPr="00517936">
        <w:rPr>
          <w:rFonts w:ascii="Times New Roman" w:hAnsi="Times New Roman" w:cs="Times New Roman"/>
          <w:b/>
          <w:bCs/>
        </w:rPr>
        <w:t>Conclusion</w:t>
      </w:r>
    </w:p>
    <w:p w14:paraId="1A55FE61" w14:textId="683CD63D" w:rsidR="005359B3" w:rsidRPr="00517936" w:rsidRDefault="005359B3" w:rsidP="00B368BF">
      <w:pPr>
        <w:spacing w:after="0" w:line="360" w:lineRule="auto"/>
        <w:ind w:firstLine="720"/>
        <w:jc w:val="both"/>
        <w:rPr>
          <w:rFonts w:ascii="Times New Roman" w:hAnsi="Times New Roman" w:cs="Times New Roman"/>
        </w:rPr>
      </w:pPr>
      <w:r w:rsidRPr="00517936">
        <w:rPr>
          <w:rFonts w:ascii="Times New Roman" w:eastAsia="Times New Roman" w:hAnsi="Times New Roman" w:cs="Times New Roman"/>
        </w:rPr>
        <w:t xml:space="preserve">The present </w:t>
      </w:r>
      <w:r w:rsidR="00B368BF">
        <w:rPr>
          <w:rFonts w:ascii="Times New Roman" w:eastAsia="Times New Roman" w:hAnsi="Times New Roman" w:cs="Times New Roman"/>
        </w:rPr>
        <w:t>study</w:t>
      </w:r>
      <w:r w:rsidRPr="00517936">
        <w:rPr>
          <w:rFonts w:ascii="Times New Roman" w:eastAsia="Times New Roman" w:hAnsi="Times New Roman" w:cs="Times New Roman"/>
        </w:rPr>
        <w:t xml:space="preserve"> demonstrated substantial variability in the response of eighteen rapeseed-mustard genotypes to </w:t>
      </w:r>
      <w:r w:rsidRPr="00517936">
        <w:rPr>
          <w:rFonts w:ascii="Times New Roman" w:eastAsia="Times New Roman" w:hAnsi="Times New Roman" w:cs="Times New Roman"/>
          <w:i/>
          <w:iCs/>
        </w:rPr>
        <w:t>Sclerotinia sclerotiorum</w:t>
      </w:r>
      <w:r w:rsidRPr="00517936">
        <w:rPr>
          <w:rFonts w:ascii="Times New Roman" w:eastAsia="Times New Roman" w:hAnsi="Times New Roman" w:cs="Times New Roman"/>
        </w:rPr>
        <w:t xml:space="preserve"> under artificial inoculation over two consecutive seasons. Although no genotype exhibited resistant or moderately resistant reactions, several entries particularly DRMRIS 20-5 (pooled PDI: 25.7%, AUDPC: 349.3, r-value: 0.13), DRMRDR 2156 (pooled PDI: 26.2%, AUDPC: 330.4, r-value: 0.16), DRMRDR 2119 (pooled PDI: 29.2%, AUDPC: 375.2, r-value: 0.12), and DRMRIS 20-1 (pooled PDI: 33.5%, AUDPC: 489.3, r-value: 0.11) displayed comparatively lower PDI and AUDPC values, indicating meaningful levels of partial resistance with slower disease progression. In contrast, genotypes such as DRMRDR 2237 (pooled PDI: 44.2%, AUDPC: 565.6, r-value: 0.18), DRMRIS 20-4 (pooled PDI: 46.5%, AUDPC: 636.3, r-value: 0.02), DRMRMJA 35 (pooled PDI: 49.3%, AUDPC: 678.3, r-value: 0.16), NRCHB 101 (pooled PDI: 55.1%, AUDPC: 801.5, r-value: 0.15), and Rohini (pooled PDI: 55.2%, AUDPC: 824.6, r-value: 0.14) consistently showed high susceptibility with elevated disease parameters, while NPC 16 (pooled PDI: 60.2%, AUDPC: 799.4, r-value: 0.06) was confirmed as a highly susceptible check.</w:t>
      </w:r>
    </w:p>
    <w:p w14:paraId="700C88DB" w14:textId="77777777" w:rsidR="005359B3" w:rsidRPr="00517936" w:rsidRDefault="005359B3" w:rsidP="00B368BF">
      <w:pPr>
        <w:spacing w:before="120" w:after="0" w:line="360" w:lineRule="auto"/>
        <w:ind w:firstLine="720"/>
        <w:jc w:val="both"/>
        <w:rPr>
          <w:rFonts w:ascii="Times New Roman" w:hAnsi="Times New Roman" w:cs="Times New Roman"/>
        </w:rPr>
      </w:pPr>
      <w:r w:rsidRPr="00517936">
        <w:rPr>
          <w:rFonts w:ascii="Times New Roman" w:eastAsia="Times New Roman" w:hAnsi="Times New Roman" w:cs="Times New Roman"/>
        </w:rPr>
        <w:t>The absence of complete resistance reinforces existing literature that Sclerotinia resistance in Brassica species is predominantly quantitative and governed by multiple minor-effect loci. The apparent infection rate (r-value) ranged from 0.02 to 0.18 across genotypes, reflecting differential rates of epidemic development and highlighting the complex temporal dynamics of disease progression under varying environmental conditions. The identification of stable, moderately susceptible genotypes with reduced disease progress (pooled PDI 25-35%, AUDPC 330-490, and r-values 0.09-0.16) provides a valuable foundation for resistance improvement. These genotypes should be prioritized in breeding programs aimed at pyramiding quantitative resistance and enhancing tolerance to Sclerotinia stem rot. Continued multi-location and multi-season evaluations, along with integration of molecular mapping and epidemiological modeling, will further support durable resistance development and sustainable disease management in rapeseed-mustard production systems.</w:t>
      </w:r>
    </w:p>
    <w:p w14:paraId="07A0EE1C" w14:textId="7E729E3C" w:rsidR="008C5C47" w:rsidRPr="00517936" w:rsidRDefault="008C5C47" w:rsidP="003E20C5">
      <w:pPr>
        <w:spacing w:line="360" w:lineRule="auto"/>
        <w:jc w:val="both"/>
        <w:rPr>
          <w:rFonts w:ascii="Times New Roman" w:hAnsi="Times New Roman" w:cs="Times New Roman"/>
          <w:b/>
          <w:bCs/>
        </w:rPr>
      </w:pPr>
      <w:r w:rsidRPr="00517936">
        <w:rPr>
          <w:rFonts w:ascii="Times New Roman" w:hAnsi="Times New Roman" w:cs="Times New Roman"/>
          <w:b/>
          <w:bCs/>
        </w:rPr>
        <w:t>References</w:t>
      </w:r>
    </w:p>
    <w:p w14:paraId="68DF750B"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lastRenderedPageBreak/>
        <w:t xml:space="preserve">Aggarwal, A., Chahal, S. S., &amp; Chohan, J. S. (1997). Sclerotinia stem rot of rapeseed and mustard in Punjab. </w:t>
      </w:r>
      <w:r w:rsidRPr="00517936">
        <w:rPr>
          <w:rFonts w:ascii="Times New Roman" w:hAnsi="Times New Roman" w:cs="Times New Roman"/>
          <w:i/>
          <w:iCs/>
        </w:rPr>
        <w:t>Journal of Research, Punjab Agricultural University</w:t>
      </w:r>
      <w:r w:rsidRPr="00517936">
        <w:rPr>
          <w:rFonts w:ascii="Times New Roman" w:hAnsi="Times New Roman" w:cs="Times New Roman"/>
        </w:rPr>
        <w:t xml:space="preserve">, </w:t>
      </w:r>
      <w:r w:rsidRPr="00517936">
        <w:rPr>
          <w:rFonts w:ascii="Times New Roman" w:hAnsi="Times New Roman" w:cs="Times New Roman"/>
          <w:b/>
          <w:bCs/>
        </w:rPr>
        <w:t>34</w:t>
      </w:r>
      <w:r w:rsidRPr="00517936">
        <w:rPr>
          <w:rFonts w:ascii="Times New Roman" w:hAnsi="Times New Roman" w:cs="Times New Roman"/>
        </w:rPr>
        <w:t>(1), 100–104.</w:t>
      </w:r>
    </w:p>
    <w:p w14:paraId="5F9A17E9"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Bolton, M. D., Thomma, B. P. H. J., &amp; Nelson, B. D. (2006). </w:t>
      </w:r>
      <w:r w:rsidRPr="00517936">
        <w:rPr>
          <w:rFonts w:ascii="Times New Roman" w:hAnsi="Times New Roman" w:cs="Times New Roman"/>
          <w:i/>
          <w:iCs/>
        </w:rPr>
        <w:t>Sclerotinia sclerotiorum</w:t>
      </w:r>
      <w:r w:rsidRPr="00517936">
        <w:rPr>
          <w:rFonts w:ascii="Times New Roman" w:hAnsi="Times New Roman" w:cs="Times New Roman"/>
        </w:rPr>
        <w:t xml:space="preserve"> (Lib.) de Bary: Biology and molecular traits of a cosmopolitan pathogen. </w:t>
      </w:r>
      <w:r w:rsidRPr="00517936">
        <w:rPr>
          <w:rFonts w:ascii="Times New Roman" w:hAnsi="Times New Roman" w:cs="Times New Roman"/>
          <w:i/>
          <w:iCs/>
        </w:rPr>
        <w:t>Molecular Plant Pathology</w:t>
      </w:r>
      <w:r w:rsidRPr="00517936">
        <w:rPr>
          <w:rFonts w:ascii="Times New Roman" w:hAnsi="Times New Roman" w:cs="Times New Roman"/>
        </w:rPr>
        <w:t xml:space="preserve">, </w:t>
      </w:r>
      <w:r w:rsidRPr="00517936">
        <w:rPr>
          <w:rFonts w:ascii="Times New Roman" w:hAnsi="Times New Roman" w:cs="Times New Roman"/>
          <w:b/>
          <w:bCs/>
        </w:rPr>
        <w:t>7</w:t>
      </w:r>
      <w:r w:rsidRPr="00517936">
        <w:rPr>
          <w:rFonts w:ascii="Times New Roman" w:hAnsi="Times New Roman" w:cs="Times New Roman"/>
        </w:rPr>
        <w:t>(1), 1–16.</w:t>
      </w:r>
    </w:p>
    <w:p w14:paraId="35943B95"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Choudhary, C. S., Minnatullah, M., Bharati, V., Choudhary, R. K., &amp; Pandey, A. (2021). Screening of oilseed Brassica varieties/entries against Sclerotinia rot disease. </w:t>
      </w:r>
      <w:r w:rsidRPr="00517936">
        <w:rPr>
          <w:rFonts w:ascii="Times New Roman" w:hAnsi="Times New Roman" w:cs="Times New Roman"/>
          <w:i/>
          <w:iCs/>
        </w:rPr>
        <w:t>Agrica</w:t>
      </w:r>
      <w:r w:rsidRPr="00517936">
        <w:rPr>
          <w:rFonts w:ascii="Times New Roman" w:hAnsi="Times New Roman" w:cs="Times New Roman"/>
        </w:rPr>
        <w:t xml:space="preserve">, </w:t>
      </w:r>
      <w:r w:rsidRPr="00517936">
        <w:rPr>
          <w:rFonts w:ascii="Times New Roman" w:hAnsi="Times New Roman" w:cs="Times New Roman"/>
          <w:b/>
          <w:bCs/>
        </w:rPr>
        <w:t>10</w:t>
      </w:r>
      <w:r w:rsidRPr="00517936">
        <w:rPr>
          <w:rFonts w:ascii="Times New Roman" w:hAnsi="Times New Roman" w:cs="Times New Roman"/>
        </w:rPr>
        <w:t>(2), 132–134.</w:t>
      </w:r>
    </w:p>
    <w:p w14:paraId="12BE9939"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Del Río, L. E., Bradley, C. A., Henson, R. A., Endres, G. J., Hanson, B. K., McKay, K., Halvorson, M., Porter, P. M., Le Gare, D. G., &amp; Lamey, H. A. (2007). Impact of </w:t>
      </w:r>
      <w:r w:rsidRPr="00517936">
        <w:rPr>
          <w:rFonts w:ascii="Times New Roman" w:hAnsi="Times New Roman" w:cs="Times New Roman"/>
          <w:i/>
          <w:iCs/>
        </w:rPr>
        <w:t>Sclerotinia</w:t>
      </w:r>
      <w:r w:rsidRPr="00517936">
        <w:rPr>
          <w:rFonts w:ascii="Times New Roman" w:hAnsi="Times New Roman" w:cs="Times New Roman"/>
        </w:rPr>
        <w:t xml:space="preserve"> stem rot on yield of canola. </w:t>
      </w:r>
      <w:r w:rsidRPr="00517936">
        <w:rPr>
          <w:rFonts w:ascii="Times New Roman" w:hAnsi="Times New Roman" w:cs="Times New Roman"/>
          <w:i/>
          <w:iCs/>
        </w:rPr>
        <w:t xml:space="preserve">Plant Disease, </w:t>
      </w:r>
      <w:r w:rsidRPr="00517936">
        <w:rPr>
          <w:rFonts w:ascii="Times New Roman" w:hAnsi="Times New Roman" w:cs="Times New Roman"/>
          <w:b/>
          <w:bCs/>
          <w:i/>
          <w:iCs/>
        </w:rPr>
        <w:t>91</w:t>
      </w:r>
      <w:r w:rsidRPr="00517936">
        <w:rPr>
          <w:rFonts w:ascii="Times New Roman" w:hAnsi="Times New Roman" w:cs="Times New Roman"/>
        </w:rPr>
        <w:t>(2), 191–194.</w:t>
      </w:r>
    </w:p>
    <w:p w14:paraId="3508EE3C"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Derbyshire, M., &amp; Denton-Giles, M. (2016). The control of Sclerotinia stem rot on oilseed rape (Brassica napus): Current practices and future opportunities. </w:t>
      </w:r>
      <w:r w:rsidRPr="00517936">
        <w:rPr>
          <w:rFonts w:ascii="Times New Roman" w:hAnsi="Times New Roman" w:cs="Times New Roman"/>
          <w:i/>
          <w:iCs/>
        </w:rPr>
        <w:t>Plant Pathology</w:t>
      </w:r>
      <w:r w:rsidRPr="00517936">
        <w:rPr>
          <w:rFonts w:ascii="Times New Roman" w:hAnsi="Times New Roman" w:cs="Times New Roman"/>
        </w:rPr>
        <w:t xml:space="preserve">, </w:t>
      </w:r>
      <w:r w:rsidRPr="00517936">
        <w:rPr>
          <w:rFonts w:ascii="Times New Roman" w:hAnsi="Times New Roman" w:cs="Times New Roman"/>
          <w:b/>
          <w:bCs/>
        </w:rPr>
        <w:t>65</w:t>
      </w:r>
      <w:r w:rsidRPr="00517936">
        <w:rPr>
          <w:rFonts w:ascii="Times New Roman" w:hAnsi="Times New Roman" w:cs="Times New Roman"/>
        </w:rPr>
        <w:t>(6), 859–877.</w:t>
      </w:r>
    </w:p>
    <w:p w14:paraId="32A83510"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Ghasolia, R. P., Shivpuri, A., &amp; Bhargava, A. K. (2004). Sclerotinia rot of Indian mustard in Rajasthan. </w:t>
      </w:r>
      <w:r w:rsidRPr="00517936">
        <w:rPr>
          <w:rFonts w:ascii="Times New Roman" w:hAnsi="Times New Roman" w:cs="Times New Roman"/>
          <w:i/>
          <w:iCs/>
        </w:rPr>
        <w:t>Journal of Mycology and Plant Pathology</w:t>
      </w:r>
      <w:r w:rsidRPr="00517936">
        <w:rPr>
          <w:rFonts w:ascii="Times New Roman" w:hAnsi="Times New Roman" w:cs="Times New Roman"/>
        </w:rPr>
        <w:t xml:space="preserve">, </w:t>
      </w:r>
      <w:r w:rsidRPr="00517936">
        <w:rPr>
          <w:rFonts w:ascii="Times New Roman" w:hAnsi="Times New Roman" w:cs="Times New Roman"/>
          <w:b/>
          <w:bCs/>
        </w:rPr>
        <w:t>34</w:t>
      </w:r>
      <w:r w:rsidRPr="00517936">
        <w:rPr>
          <w:rFonts w:ascii="Times New Roman" w:hAnsi="Times New Roman" w:cs="Times New Roman"/>
        </w:rPr>
        <w:t>(2), 548–549.</w:t>
      </w:r>
    </w:p>
    <w:p w14:paraId="7A08624D"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ICAR-DRMR. (2025). </w:t>
      </w:r>
      <w:r w:rsidRPr="00517936">
        <w:rPr>
          <w:rFonts w:ascii="Times New Roman" w:hAnsi="Times New Roman" w:cs="Times New Roman"/>
          <w:i/>
          <w:iCs/>
        </w:rPr>
        <w:t>Annual Report</w:t>
      </w:r>
      <w:r w:rsidRPr="00517936">
        <w:rPr>
          <w:rFonts w:ascii="Times New Roman" w:hAnsi="Times New Roman" w:cs="Times New Roman"/>
        </w:rPr>
        <w:t>. Directorate of Rapeseed-Mustard Research, Bharatpur, India.</w:t>
      </w:r>
    </w:p>
    <w:p w14:paraId="2EB02CB8"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Kang, H., &amp; Chahal, S. S. (2000). Prevalence and management of Sclerotinia stem rot in rapeseed-mustard. </w:t>
      </w:r>
      <w:r w:rsidRPr="00517936">
        <w:rPr>
          <w:rFonts w:ascii="Times New Roman" w:hAnsi="Times New Roman" w:cs="Times New Roman"/>
          <w:i/>
          <w:iCs/>
        </w:rPr>
        <w:t>Plant Disease Research</w:t>
      </w:r>
      <w:r w:rsidRPr="00517936">
        <w:rPr>
          <w:rFonts w:ascii="Times New Roman" w:hAnsi="Times New Roman" w:cs="Times New Roman"/>
        </w:rPr>
        <w:t xml:space="preserve">, </w:t>
      </w:r>
      <w:r w:rsidRPr="00517936">
        <w:rPr>
          <w:rFonts w:ascii="Times New Roman" w:hAnsi="Times New Roman" w:cs="Times New Roman"/>
          <w:b/>
          <w:bCs/>
        </w:rPr>
        <w:t>15</w:t>
      </w:r>
      <w:r w:rsidRPr="00517936">
        <w:rPr>
          <w:rFonts w:ascii="Times New Roman" w:hAnsi="Times New Roman" w:cs="Times New Roman"/>
        </w:rPr>
        <w:t>(1), 59–61.</w:t>
      </w:r>
    </w:p>
    <w:p w14:paraId="37B0555A" w14:textId="77777777" w:rsidR="00AF4CB3" w:rsidRPr="00AF4CB3" w:rsidRDefault="00AF4CB3" w:rsidP="003E20C5">
      <w:pPr>
        <w:spacing w:line="360" w:lineRule="auto"/>
        <w:ind w:left="720" w:hanging="720"/>
        <w:jc w:val="both"/>
        <w:rPr>
          <w:rFonts w:ascii="Times New Roman" w:hAnsi="Times New Roman" w:cs="Times New Roman"/>
        </w:rPr>
      </w:pPr>
      <w:r w:rsidRPr="00AF4CB3">
        <w:rPr>
          <w:rFonts w:ascii="Times New Roman" w:hAnsi="Times New Roman" w:cs="Times New Roman"/>
        </w:rPr>
        <w:t>Lesovoi, M. P., Petrov, V. K., &amp; Skorina, T. M. (1987).</w:t>
      </w:r>
      <w:r w:rsidRPr="00AF4CB3">
        <w:rPr>
          <w:rFonts w:ascii="Times New Roman" w:hAnsi="Times New Roman" w:cs="Times New Roman"/>
        </w:rPr>
        <w:br/>
        <w:t xml:space="preserve">Methods for evaluating resistance of sunflower to </w:t>
      </w:r>
      <w:r w:rsidRPr="00AF4CB3">
        <w:rPr>
          <w:rFonts w:ascii="Times New Roman" w:hAnsi="Times New Roman" w:cs="Times New Roman"/>
          <w:i/>
          <w:iCs/>
        </w:rPr>
        <w:t>Sclerotinia sclerotiorum</w:t>
      </w:r>
      <w:r w:rsidRPr="00AF4CB3">
        <w:rPr>
          <w:rFonts w:ascii="Times New Roman" w:hAnsi="Times New Roman" w:cs="Times New Roman"/>
        </w:rPr>
        <w:t xml:space="preserve">. </w:t>
      </w:r>
      <w:r w:rsidRPr="00AF4CB3">
        <w:rPr>
          <w:rFonts w:ascii="Times New Roman" w:hAnsi="Times New Roman" w:cs="Times New Roman"/>
          <w:i/>
          <w:iCs/>
        </w:rPr>
        <w:t>Proceedings of the All-Union Research Institute of Oil Crops (VNIIMK)</w:t>
      </w:r>
      <w:r w:rsidRPr="00AF4CB3">
        <w:rPr>
          <w:rFonts w:ascii="Times New Roman" w:hAnsi="Times New Roman" w:cs="Times New Roman"/>
        </w:rPr>
        <w:t>, 96, 45–50</w:t>
      </w:r>
      <w:r w:rsidRPr="00AF4CB3">
        <w:rPr>
          <w:rFonts w:ascii="Times New Roman" w:hAnsi="Times New Roman" w:cs="Times New Roman"/>
          <w:i/>
          <w:iCs/>
        </w:rPr>
        <w:t>.</w:t>
      </w:r>
    </w:p>
    <w:p w14:paraId="02C7349E"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Peltier, A. J., Bradley, C. A., Chilvers, M. I., Malvick, D. K., Mueller, D. S., Wise, K. A., &amp; Esker, P. D. (2012). Biology, yield loss and control of Sclerotinia stem rot of soybean. </w:t>
      </w:r>
      <w:r w:rsidRPr="00517936">
        <w:rPr>
          <w:rFonts w:ascii="Times New Roman" w:hAnsi="Times New Roman" w:cs="Times New Roman"/>
          <w:i/>
          <w:iCs/>
        </w:rPr>
        <w:t>Journal of Integrated Pest Management</w:t>
      </w:r>
      <w:r w:rsidRPr="00517936">
        <w:rPr>
          <w:rFonts w:ascii="Times New Roman" w:hAnsi="Times New Roman" w:cs="Times New Roman"/>
        </w:rPr>
        <w:t xml:space="preserve">, </w:t>
      </w:r>
      <w:r w:rsidRPr="00517936">
        <w:rPr>
          <w:rFonts w:ascii="Times New Roman" w:hAnsi="Times New Roman" w:cs="Times New Roman"/>
          <w:b/>
          <w:bCs/>
        </w:rPr>
        <w:t>3</w:t>
      </w:r>
      <w:r w:rsidRPr="00517936">
        <w:rPr>
          <w:rFonts w:ascii="Times New Roman" w:hAnsi="Times New Roman" w:cs="Times New Roman"/>
        </w:rPr>
        <w:t>(2), B1–B7.</w:t>
      </w:r>
    </w:p>
    <w:p w14:paraId="2F3A397D"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Purdy, L. H. (1979). </w:t>
      </w:r>
      <w:r w:rsidRPr="00517936">
        <w:rPr>
          <w:rFonts w:ascii="Times New Roman" w:hAnsi="Times New Roman" w:cs="Times New Roman"/>
          <w:i/>
          <w:iCs/>
        </w:rPr>
        <w:t>Sclerotinia sclerotiorum</w:t>
      </w:r>
      <w:r w:rsidRPr="00517936">
        <w:rPr>
          <w:rFonts w:ascii="Times New Roman" w:hAnsi="Times New Roman" w:cs="Times New Roman"/>
        </w:rPr>
        <w:t xml:space="preserve">: History, diseases, symptomatology, host range, geographic distribution, and impact. </w:t>
      </w:r>
      <w:r w:rsidRPr="00517936">
        <w:rPr>
          <w:rFonts w:ascii="Times New Roman" w:hAnsi="Times New Roman" w:cs="Times New Roman"/>
          <w:i/>
          <w:iCs/>
        </w:rPr>
        <w:t>Phytopathology</w:t>
      </w:r>
      <w:r w:rsidRPr="00517936">
        <w:rPr>
          <w:rFonts w:ascii="Times New Roman" w:hAnsi="Times New Roman" w:cs="Times New Roman"/>
        </w:rPr>
        <w:t xml:space="preserve">, </w:t>
      </w:r>
      <w:r w:rsidRPr="00517936">
        <w:rPr>
          <w:rFonts w:ascii="Times New Roman" w:hAnsi="Times New Roman" w:cs="Times New Roman"/>
          <w:b/>
          <w:bCs/>
        </w:rPr>
        <w:t>69</w:t>
      </w:r>
      <w:r w:rsidRPr="00517936">
        <w:rPr>
          <w:rFonts w:ascii="Times New Roman" w:hAnsi="Times New Roman" w:cs="Times New Roman"/>
        </w:rPr>
        <w:t>, 875–880.</w:t>
      </w:r>
    </w:p>
    <w:p w14:paraId="67BC2AB4"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lastRenderedPageBreak/>
        <w:t xml:space="preserve">Saharan, G. S., &amp; Mehta, N. (2002). </w:t>
      </w:r>
      <w:r w:rsidRPr="00517936">
        <w:rPr>
          <w:rFonts w:ascii="Times New Roman" w:hAnsi="Times New Roman" w:cs="Times New Roman"/>
          <w:i/>
          <w:iCs/>
        </w:rPr>
        <w:t>Sclerotinia diseases of crop plants: Biology, ecology and disease management</w:t>
      </w:r>
      <w:r w:rsidRPr="00517936">
        <w:rPr>
          <w:rFonts w:ascii="Times New Roman" w:hAnsi="Times New Roman" w:cs="Times New Roman"/>
        </w:rPr>
        <w:t>. Scientific Publishers.</w:t>
      </w:r>
    </w:p>
    <w:p w14:paraId="38BF385F"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Sharma, A., Mishra, R., Dangi, D., Prasad, M., Kumari, S., &amp; Yadav, V. (2025). Screening of Brassica spp. genotypes against Sclerotinia stem rot under natural epiphytotic conditions. </w:t>
      </w:r>
      <w:r w:rsidRPr="00517936">
        <w:rPr>
          <w:rFonts w:ascii="Times New Roman" w:hAnsi="Times New Roman" w:cs="Times New Roman"/>
          <w:i/>
          <w:iCs/>
        </w:rPr>
        <w:t>Asian Journal of Microbiology and Biotechnology</w:t>
      </w:r>
      <w:r w:rsidRPr="00517936">
        <w:rPr>
          <w:rFonts w:ascii="Times New Roman" w:hAnsi="Times New Roman" w:cs="Times New Roman"/>
        </w:rPr>
        <w:t xml:space="preserve">, </w:t>
      </w:r>
      <w:r w:rsidRPr="00517936">
        <w:rPr>
          <w:rFonts w:ascii="Times New Roman" w:hAnsi="Times New Roman" w:cs="Times New Roman"/>
          <w:b/>
          <w:bCs/>
        </w:rPr>
        <w:t>10</w:t>
      </w:r>
      <w:r w:rsidRPr="00517936">
        <w:rPr>
          <w:rFonts w:ascii="Times New Roman" w:hAnsi="Times New Roman" w:cs="Times New Roman"/>
        </w:rPr>
        <w:t>(2), 85–96.</w:t>
      </w:r>
    </w:p>
    <w:p w14:paraId="1AE26D74"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Sharma, P., Chattopadhyay, C., &amp; Meena, P. D. (2001). Sclerotinia stem rot incidence and associated crop loss in oilseed Brassicas. </w:t>
      </w:r>
      <w:r w:rsidRPr="00517936">
        <w:rPr>
          <w:rFonts w:ascii="Times New Roman" w:hAnsi="Times New Roman" w:cs="Times New Roman"/>
          <w:i/>
          <w:iCs/>
        </w:rPr>
        <w:t>Journal of Mycology and Plant Pathology</w:t>
      </w:r>
      <w:r w:rsidRPr="00517936">
        <w:rPr>
          <w:rFonts w:ascii="Times New Roman" w:hAnsi="Times New Roman" w:cs="Times New Roman"/>
        </w:rPr>
        <w:t xml:space="preserve">, </w:t>
      </w:r>
      <w:r w:rsidRPr="00517936">
        <w:rPr>
          <w:rFonts w:ascii="Times New Roman" w:hAnsi="Times New Roman" w:cs="Times New Roman"/>
          <w:b/>
          <w:bCs/>
        </w:rPr>
        <w:t>31</w:t>
      </w:r>
      <w:r w:rsidRPr="00517936">
        <w:rPr>
          <w:rFonts w:ascii="Times New Roman" w:hAnsi="Times New Roman" w:cs="Times New Roman"/>
        </w:rPr>
        <w:t>(2), 279–282.</w:t>
      </w:r>
    </w:p>
    <w:p w14:paraId="7B8DC5EA"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Sheshma, M. K., Kumhar, D. R., Godara, S. L., Yadav, A. L., Kumar, D., &amp; Prahlad. (2025).</w:t>
      </w:r>
      <w:r w:rsidRPr="00517936">
        <w:rPr>
          <w:rFonts w:ascii="Times New Roman" w:hAnsi="Times New Roman" w:cs="Times New Roman"/>
        </w:rPr>
        <w:br/>
      </w:r>
      <w:r w:rsidRPr="00517936">
        <w:rPr>
          <w:rFonts w:ascii="Times New Roman" w:hAnsi="Times New Roman" w:cs="Times New Roman"/>
          <w:i/>
          <w:iCs/>
        </w:rPr>
        <w:t>Management of Sclerotinia rot of chickpea (Cicer arietinum L.) incited by Sclerotinia sclerotiorum (Lib.) De Bary.</w:t>
      </w:r>
      <w:r w:rsidRPr="00517936">
        <w:rPr>
          <w:rFonts w:ascii="Times New Roman" w:hAnsi="Times New Roman" w:cs="Times New Roman"/>
        </w:rPr>
        <w:t xml:space="preserve"> </w:t>
      </w:r>
      <w:r w:rsidRPr="00517936">
        <w:rPr>
          <w:rFonts w:ascii="Times New Roman" w:hAnsi="Times New Roman" w:cs="Times New Roman"/>
          <w:i/>
          <w:iCs/>
        </w:rPr>
        <w:t>Legume Research: An International Journal</w:t>
      </w:r>
      <w:r w:rsidRPr="00517936">
        <w:rPr>
          <w:rFonts w:ascii="Times New Roman" w:hAnsi="Times New Roman" w:cs="Times New Roman"/>
        </w:rPr>
        <w:t xml:space="preserve">, </w:t>
      </w:r>
      <w:r w:rsidRPr="00517936">
        <w:rPr>
          <w:rFonts w:ascii="Times New Roman" w:hAnsi="Times New Roman" w:cs="Times New Roman"/>
          <w:b/>
          <w:bCs/>
        </w:rPr>
        <w:t>48</w:t>
      </w:r>
      <w:r w:rsidRPr="00517936">
        <w:rPr>
          <w:rFonts w:ascii="Times New Roman" w:hAnsi="Times New Roman" w:cs="Times New Roman"/>
        </w:rPr>
        <w:t>(8), 1391.</w:t>
      </w:r>
    </w:p>
    <w:p w14:paraId="08EEACDB"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Simko, I., &amp; Piepho, H.-P. (2012). The area under the disease progress stairs: Calculation, advantage, and application. </w:t>
      </w:r>
      <w:r w:rsidRPr="00517936">
        <w:rPr>
          <w:rFonts w:ascii="Times New Roman" w:hAnsi="Times New Roman" w:cs="Times New Roman"/>
          <w:i/>
          <w:iCs/>
        </w:rPr>
        <w:t xml:space="preserve">Phytopathology, </w:t>
      </w:r>
      <w:r w:rsidRPr="00517936">
        <w:rPr>
          <w:rFonts w:ascii="Times New Roman" w:hAnsi="Times New Roman" w:cs="Times New Roman"/>
          <w:b/>
          <w:bCs/>
          <w:i/>
          <w:iCs/>
        </w:rPr>
        <w:t>102</w:t>
      </w:r>
      <w:r w:rsidRPr="00517936">
        <w:rPr>
          <w:rFonts w:ascii="Times New Roman" w:hAnsi="Times New Roman" w:cs="Times New Roman"/>
        </w:rPr>
        <w:t>(4), 381–389. </w:t>
      </w:r>
      <w:hyperlink r:id="rId8" w:tgtFrame="_blank" w:history="1">
        <w:r w:rsidRPr="00517936">
          <w:rPr>
            <w:rStyle w:val="Hyperlink"/>
            <w:rFonts w:ascii="Times New Roman" w:hAnsi="Times New Roman" w:cs="Times New Roman"/>
            <w:b/>
            <w:bCs/>
          </w:rPr>
          <w:t>https://doi.org/10.1094/PHYTO-07-11-0216</w:t>
        </w:r>
      </w:hyperlink>
    </w:p>
    <w:p w14:paraId="4769F100" w14:textId="77777777" w:rsidR="00AF4CB3" w:rsidRPr="00517936"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 xml:space="preserve">Taylor, J. L., Chen, Y., Fitt, B. D. L., &amp; Evans, N. (2018). Resistance mechanisms in Brassica species against Sclerotinia stem rot. </w:t>
      </w:r>
      <w:r w:rsidRPr="00517936">
        <w:rPr>
          <w:rFonts w:ascii="Times New Roman" w:hAnsi="Times New Roman" w:cs="Times New Roman"/>
          <w:i/>
          <w:iCs/>
        </w:rPr>
        <w:t>Plant Pathology Journal</w:t>
      </w:r>
      <w:r w:rsidRPr="00517936">
        <w:rPr>
          <w:rFonts w:ascii="Times New Roman" w:hAnsi="Times New Roman" w:cs="Times New Roman"/>
        </w:rPr>
        <w:t xml:space="preserve">, </w:t>
      </w:r>
      <w:r w:rsidRPr="00517936">
        <w:rPr>
          <w:rFonts w:ascii="Times New Roman" w:hAnsi="Times New Roman" w:cs="Times New Roman"/>
          <w:b/>
          <w:bCs/>
        </w:rPr>
        <w:t>34</w:t>
      </w:r>
      <w:r w:rsidRPr="00517936">
        <w:rPr>
          <w:rFonts w:ascii="Times New Roman" w:hAnsi="Times New Roman" w:cs="Times New Roman"/>
        </w:rPr>
        <w:t>(3), 167–178.</w:t>
      </w:r>
    </w:p>
    <w:p w14:paraId="464F639E" w14:textId="77777777" w:rsidR="00AF4CB3" w:rsidRDefault="00AF4CB3" w:rsidP="003E20C5">
      <w:pPr>
        <w:spacing w:line="360" w:lineRule="auto"/>
        <w:ind w:left="720" w:hanging="720"/>
        <w:jc w:val="both"/>
        <w:rPr>
          <w:rFonts w:ascii="Times New Roman" w:hAnsi="Times New Roman" w:cs="Times New Roman"/>
        </w:rPr>
      </w:pPr>
      <w:r w:rsidRPr="00517936">
        <w:rPr>
          <w:rFonts w:ascii="Times New Roman" w:hAnsi="Times New Roman" w:cs="Times New Roman"/>
        </w:rPr>
        <w:t>Van der Plank, J. E. (1963). </w:t>
      </w:r>
      <w:r w:rsidRPr="00517936">
        <w:rPr>
          <w:rFonts w:ascii="Times New Roman" w:hAnsi="Times New Roman" w:cs="Times New Roman"/>
          <w:i/>
          <w:iCs/>
        </w:rPr>
        <w:t>Plant diseases: Epidemics and control</w:t>
      </w:r>
      <w:r w:rsidRPr="00517936">
        <w:rPr>
          <w:rFonts w:ascii="Times New Roman" w:hAnsi="Times New Roman" w:cs="Times New Roman"/>
        </w:rPr>
        <w:t>. Academic Press.</w:t>
      </w:r>
    </w:p>
    <w:sectPr w:rsidR="00AF4CB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8EE9C" w14:textId="77777777" w:rsidR="000B1771" w:rsidRDefault="000B1771" w:rsidP="008A6D2C">
      <w:pPr>
        <w:spacing w:after="0" w:line="240" w:lineRule="auto"/>
      </w:pPr>
      <w:r>
        <w:separator/>
      </w:r>
    </w:p>
  </w:endnote>
  <w:endnote w:type="continuationSeparator" w:id="0">
    <w:p w14:paraId="4C2F9815" w14:textId="77777777" w:rsidR="000B1771" w:rsidRDefault="000B1771" w:rsidP="008A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4C2A" w14:textId="77777777" w:rsidR="008A6D2C" w:rsidRDefault="008A6D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874" w14:textId="77777777" w:rsidR="008A6D2C" w:rsidRDefault="008A6D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ACC50" w14:textId="77777777" w:rsidR="008A6D2C" w:rsidRDefault="008A6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27C68" w14:textId="77777777" w:rsidR="000B1771" w:rsidRDefault="000B1771" w:rsidP="008A6D2C">
      <w:pPr>
        <w:spacing w:after="0" w:line="240" w:lineRule="auto"/>
      </w:pPr>
      <w:r>
        <w:separator/>
      </w:r>
    </w:p>
  </w:footnote>
  <w:footnote w:type="continuationSeparator" w:id="0">
    <w:p w14:paraId="62FE3116" w14:textId="77777777" w:rsidR="000B1771" w:rsidRDefault="000B1771" w:rsidP="008A6D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A19E" w14:textId="2E5A87A5" w:rsidR="008A6D2C" w:rsidRDefault="008A6D2C">
    <w:pPr>
      <w:pStyle w:val="Header"/>
    </w:pPr>
    <w:r>
      <w:rPr>
        <w:noProof/>
      </w:rPr>
      <w:pict w14:anchorId="675476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11031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2F081" w14:textId="125BA81B" w:rsidR="008A6D2C" w:rsidRDefault="008A6D2C">
    <w:pPr>
      <w:pStyle w:val="Header"/>
    </w:pPr>
    <w:r>
      <w:rPr>
        <w:noProof/>
      </w:rPr>
      <w:pict w14:anchorId="7CE25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11031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76168" w14:textId="5F889EFE" w:rsidR="008A6D2C" w:rsidRDefault="008A6D2C">
    <w:pPr>
      <w:pStyle w:val="Header"/>
    </w:pPr>
    <w:r>
      <w:rPr>
        <w:noProof/>
      </w:rPr>
      <w:pict w14:anchorId="6D1F2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2611031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E7238B"/>
    <w:multiLevelType w:val="multilevel"/>
    <w:tmpl w:val="6C50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CC"/>
    <w:rsid w:val="0000340E"/>
    <w:rsid w:val="0003308B"/>
    <w:rsid w:val="00040AB1"/>
    <w:rsid w:val="000B1771"/>
    <w:rsid w:val="000B460A"/>
    <w:rsid w:val="000B630C"/>
    <w:rsid w:val="000D057D"/>
    <w:rsid w:val="00154D58"/>
    <w:rsid w:val="001646B4"/>
    <w:rsid w:val="001B0924"/>
    <w:rsid w:val="001D6F7C"/>
    <w:rsid w:val="001F2C8C"/>
    <w:rsid w:val="002343A3"/>
    <w:rsid w:val="002E2169"/>
    <w:rsid w:val="00323C64"/>
    <w:rsid w:val="0033026A"/>
    <w:rsid w:val="0034627D"/>
    <w:rsid w:val="00350E4F"/>
    <w:rsid w:val="003548AF"/>
    <w:rsid w:val="00357C0A"/>
    <w:rsid w:val="00361F14"/>
    <w:rsid w:val="003D71BD"/>
    <w:rsid w:val="003E20C5"/>
    <w:rsid w:val="00400F98"/>
    <w:rsid w:val="00411A43"/>
    <w:rsid w:val="004305D8"/>
    <w:rsid w:val="00491387"/>
    <w:rsid w:val="005015D5"/>
    <w:rsid w:val="00517936"/>
    <w:rsid w:val="0053393F"/>
    <w:rsid w:val="005359B3"/>
    <w:rsid w:val="00543989"/>
    <w:rsid w:val="00555510"/>
    <w:rsid w:val="0058692B"/>
    <w:rsid w:val="0058718E"/>
    <w:rsid w:val="0059502C"/>
    <w:rsid w:val="00596551"/>
    <w:rsid w:val="005D5879"/>
    <w:rsid w:val="005F39F7"/>
    <w:rsid w:val="00633A9E"/>
    <w:rsid w:val="006433F2"/>
    <w:rsid w:val="0064492E"/>
    <w:rsid w:val="00660AA9"/>
    <w:rsid w:val="006A05F1"/>
    <w:rsid w:val="006A5CFE"/>
    <w:rsid w:val="006C1FFD"/>
    <w:rsid w:val="00701FFF"/>
    <w:rsid w:val="007523B6"/>
    <w:rsid w:val="00755844"/>
    <w:rsid w:val="00765C65"/>
    <w:rsid w:val="007C28D8"/>
    <w:rsid w:val="007D2596"/>
    <w:rsid w:val="008A6D2C"/>
    <w:rsid w:val="008B6C80"/>
    <w:rsid w:val="008C0727"/>
    <w:rsid w:val="008C5C47"/>
    <w:rsid w:val="00902D0F"/>
    <w:rsid w:val="0092777A"/>
    <w:rsid w:val="00930867"/>
    <w:rsid w:val="009B68BA"/>
    <w:rsid w:val="00A24E0F"/>
    <w:rsid w:val="00A3233F"/>
    <w:rsid w:val="00A439C7"/>
    <w:rsid w:val="00A56F81"/>
    <w:rsid w:val="00AF4CB3"/>
    <w:rsid w:val="00B20420"/>
    <w:rsid w:val="00B26627"/>
    <w:rsid w:val="00B368BF"/>
    <w:rsid w:val="00B472CC"/>
    <w:rsid w:val="00B91B53"/>
    <w:rsid w:val="00BD05FB"/>
    <w:rsid w:val="00C3201D"/>
    <w:rsid w:val="00C45CEB"/>
    <w:rsid w:val="00C46060"/>
    <w:rsid w:val="00C52BFB"/>
    <w:rsid w:val="00C6187A"/>
    <w:rsid w:val="00CB2274"/>
    <w:rsid w:val="00CC29D6"/>
    <w:rsid w:val="00CC7BDF"/>
    <w:rsid w:val="00CD5629"/>
    <w:rsid w:val="00D05006"/>
    <w:rsid w:val="00D148D1"/>
    <w:rsid w:val="00D26B56"/>
    <w:rsid w:val="00D274B6"/>
    <w:rsid w:val="00D64102"/>
    <w:rsid w:val="00D969F3"/>
    <w:rsid w:val="00E21045"/>
    <w:rsid w:val="00E2438C"/>
    <w:rsid w:val="00E81FAC"/>
    <w:rsid w:val="00E82B74"/>
    <w:rsid w:val="00F05C79"/>
    <w:rsid w:val="00F220F2"/>
    <w:rsid w:val="00F414C9"/>
    <w:rsid w:val="00F51966"/>
    <w:rsid w:val="00F553B8"/>
    <w:rsid w:val="00F61E15"/>
    <w:rsid w:val="00F6674D"/>
    <w:rsid w:val="00F81855"/>
    <w:rsid w:val="00F925B0"/>
    <w:rsid w:val="00FD1EC9"/>
    <w:rsid w:val="00FF71B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4A6856"/>
  <w15:chartTrackingRefBased/>
  <w15:docId w15:val="{E96FBFA3-0A4D-4A1F-9552-50367EB8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2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2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2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72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2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2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2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2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72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2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2CC"/>
    <w:rPr>
      <w:rFonts w:eastAsiaTheme="majorEastAsia" w:cstheme="majorBidi"/>
      <w:color w:val="272727" w:themeColor="text1" w:themeTint="D8"/>
    </w:rPr>
  </w:style>
  <w:style w:type="paragraph" w:styleId="Title">
    <w:name w:val="Title"/>
    <w:basedOn w:val="Normal"/>
    <w:next w:val="Normal"/>
    <w:link w:val="TitleChar"/>
    <w:uiPriority w:val="10"/>
    <w:qFormat/>
    <w:rsid w:val="00B47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2CC"/>
    <w:pPr>
      <w:spacing w:before="160"/>
      <w:jc w:val="center"/>
    </w:pPr>
    <w:rPr>
      <w:i/>
      <w:iCs/>
      <w:color w:val="404040" w:themeColor="text1" w:themeTint="BF"/>
    </w:rPr>
  </w:style>
  <w:style w:type="character" w:customStyle="1" w:styleId="QuoteChar">
    <w:name w:val="Quote Char"/>
    <w:basedOn w:val="DefaultParagraphFont"/>
    <w:link w:val="Quote"/>
    <w:uiPriority w:val="29"/>
    <w:rsid w:val="00B472CC"/>
    <w:rPr>
      <w:i/>
      <w:iCs/>
      <w:color w:val="404040" w:themeColor="text1" w:themeTint="BF"/>
    </w:rPr>
  </w:style>
  <w:style w:type="paragraph" w:styleId="ListParagraph">
    <w:name w:val="List Paragraph"/>
    <w:basedOn w:val="Normal"/>
    <w:uiPriority w:val="34"/>
    <w:qFormat/>
    <w:rsid w:val="00B472CC"/>
    <w:pPr>
      <w:ind w:left="720"/>
      <w:contextualSpacing/>
    </w:pPr>
  </w:style>
  <w:style w:type="character" w:styleId="IntenseEmphasis">
    <w:name w:val="Intense Emphasis"/>
    <w:basedOn w:val="DefaultParagraphFont"/>
    <w:uiPriority w:val="21"/>
    <w:qFormat/>
    <w:rsid w:val="00B472CC"/>
    <w:rPr>
      <w:i/>
      <w:iCs/>
      <w:color w:val="2F5496" w:themeColor="accent1" w:themeShade="BF"/>
    </w:rPr>
  </w:style>
  <w:style w:type="paragraph" w:styleId="IntenseQuote">
    <w:name w:val="Intense Quote"/>
    <w:basedOn w:val="Normal"/>
    <w:next w:val="Normal"/>
    <w:link w:val="IntenseQuoteChar"/>
    <w:uiPriority w:val="30"/>
    <w:qFormat/>
    <w:rsid w:val="00B472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2CC"/>
    <w:rPr>
      <w:i/>
      <w:iCs/>
      <w:color w:val="2F5496" w:themeColor="accent1" w:themeShade="BF"/>
    </w:rPr>
  </w:style>
  <w:style w:type="character" w:styleId="IntenseReference">
    <w:name w:val="Intense Reference"/>
    <w:basedOn w:val="DefaultParagraphFont"/>
    <w:uiPriority w:val="32"/>
    <w:qFormat/>
    <w:rsid w:val="00B472CC"/>
    <w:rPr>
      <w:b/>
      <w:bCs/>
      <w:smallCaps/>
      <w:color w:val="2F5496" w:themeColor="accent1" w:themeShade="BF"/>
      <w:spacing w:val="5"/>
    </w:rPr>
  </w:style>
  <w:style w:type="paragraph" w:styleId="NormalWeb">
    <w:name w:val="Normal (Web)"/>
    <w:basedOn w:val="Normal"/>
    <w:uiPriority w:val="99"/>
    <w:unhideWhenUsed/>
    <w:rsid w:val="003E20C5"/>
    <w:pPr>
      <w:spacing w:before="100" w:beforeAutospacing="1" w:after="100" w:afterAutospacing="1" w:line="240" w:lineRule="auto"/>
    </w:pPr>
    <w:rPr>
      <w:rFonts w:ascii="Times New Roman" w:eastAsia="Times New Roman" w:hAnsi="Times New Roman" w:cs="Times New Roman"/>
      <w:kern w:val="0"/>
      <w:lang w:bidi="hi-IN"/>
      <w14:ligatures w14:val="none"/>
    </w:rPr>
  </w:style>
  <w:style w:type="character" w:styleId="Emphasis">
    <w:name w:val="Emphasis"/>
    <w:basedOn w:val="DefaultParagraphFont"/>
    <w:uiPriority w:val="20"/>
    <w:qFormat/>
    <w:rsid w:val="003E20C5"/>
    <w:rPr>
      <w:i/>
      <w:iCs/>
    </w:rPr>
  </w:style>
  <w:style w:type="character" w:styleId="Strong">
    <w:name w:val="Strong"/>
    <w:basedOn w:val="DefaultParagraphFont"/>
    <w:uiPriority w:val="22"/>
    <w:qFormat/>
    <w:rsid w:val="003E20C5"/>
    <w:rPr>
      <w:b/>
      <w:bCs/>
    </w:rPr>
  </w:style>
  <w:style w:type="character" w:styleId="Hyperlink">
    <w:name w:val="Hyperlink"/>
    <w:basedOn w:val="DefaultParagraphFont"/>
    <w:uiPriority w:val="99"/>
    <w:unhideWhenUsed/>
    <w:rsid w:val="0033026A"/>
    <w:rPr>
      <w:color w:val="0563C1" w:themeColor="hyperlink"/>
      <w:u w:val="single"/>
    </w:rPr>
  </w:style>
  <w:style w:type="character" w:styleId="UnresolvedMention">
    <w:name w:val="Unresolved Mention"/>
    <w:basedOn w:val="DefaultParagraphFont"/>
    <w:uiPriority w:val="99"/>
    <w:semiHidden/>
    <w:unhideWhenUsed/>
    <w:rsid w:val="0033026A"/>
    <w:rPr>
      <w:color w:val="605E5C"/>
      <w:shd w:val="clear" w:color="auto" w:fill="E1DFDD"/>
    </w:rPr>
  </w:style>
  <w:style w:type="character" w:styleId="PlaceholderText">
    <w:name w:val="Placeholder Text"/>
    <w:basedOn w:val="DefaultParagraphFont"/>
    <w:uiPriority w:val="99"/>
    <w:semiHidden/>
    <w:rsid w:val="00765C65"/>
    <w:rPr>
      <w:color w:val="666666"/>
    </w:rPr>
  </w:style>
  <w:style w:type="paragraph" w:styleId="BodyText">
    <w:name w:val="Body Text"/>
    <w:basedOn w:val="Normal"/>
    <w:link w:val="BodyTextChar"/>
    <w:rsid w:val="005F39F7"/>
    <w:pPr>
      <w:suppressAutoHyphens/>
      <w:spacing w:after="140" w:line="276" w:lineRule="auto"/>
    </w:pPr>
    <w:rPr>
      <w:rFonts w:ascii="Times New Roman" w:eastAsia="Times New Roman" w:hAnsi="Times New Roman" w:cs="Times New Roman"/>
      <w:kern w:val="0"/>
      <w:lang w:val="en-GB" w:eastAsia="en-GB"/>
      <w14:ligatures w14:val="none"/>
    </w:rPr>
  </w:style>
  <w:style w:type="character" w:customStyle="1" w:styleId="BodyTextChar">
    <w:name w:val="Body Text Char"/>
    <w:basedOn w:val="DefaultParagraphFont"/>
    <w:link w:val="BodyText"/>
    <w:rsid w:val="005F39F7"/>
    <w:rPr>
      <w:rFonts w:ascii="Times New Roman" w:eastAsia="Times New Roman" w:hAnsi="Times New Roman" w:cs="Times New Roman"/>
      <w:kern w:val="0"/>
      <w:lang w:val="en-GB" w:eastAsia="en-GB"/>
      <w14:ligatures w14:val="none"/>
    </w:rPr>
  </w:style>
  <w:style w:type="paragraph" w:styleId="Header">
    <w:name w:val="header"/>
    <w:basedOn w:val="Normal"/>
    <w:link w:val="HeaderChar"/>
    <w:uiPriority w:val="99"/>
    <w:unhideWhenUsed/>
    <w:rsid w:val="008A6D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D2C"/>
  </w:style>
  <w:style w:type="paragraph" w:styleId="Footer">
    <w:name w:val="footer"/>
    <w:basedOn w:val="Normal"/>
    <w:link w:val="FooterChar"/>
    <w:uiPriority w:val="99"/>
    <w:unhideWhenUsed/>
    <w:rsid w:val="008A6D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4/PHYTO-07-11-021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9753</TotalTime>
  <Pages>12</Pages>
  <Words>3797</Words>
  <Characters>21648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65</cp:revision>
  <dcterms:created xsi:type="dcterms:W3CDTF">2025-11-20T08:40:00Z</dcterms:created>
  <dcterms:modified xsi:type="dcterms:W3CDTF">2026-01-29T11:53:00Z</dcterms:modified>
</cp:coreProperties>
</file>