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835" w:rsidRPr="003E7E6F" w:rsidRDefault="00205E51" w:rsidP="009137C2">
      <w:pPr>
        <w:spacing w:after="0" w:line="360" w:lineRule="auto"/>
        <w:jc w:val="center"/>
        <w:rPr>
          <w:rFonts w:ascii="Times New Roman" w:hAnsi="Times New Roman" w:cs="Times New Roman"/>
          <w:b/>
          <w:bCs/>
          <w:sz w:val="24"/>
          <w:szCs w:val="24"/>
        </w:rPr>
      </w:pPr>
      <w:r w:rsidRPr="003E7E6F">
        <w:rPr>
          <w:rFonts w:ascii="Times New Roman" w:hAnsi="Times New Roman" w:cs="Times New Roman"/>
          <w:b/>
          <w:bCs/>
          <w:sz w:val="24"/>
          <w:szCs w:val="24"/>
        </w:rPr>
        <w:t>Impact of integrated b</w:t>
      </w:r>
      <w:r w:rsidR="004670FD" w:rsidRPr="003E7E6F">
        <w:rPr>
          <w:rFonts w:ascii="Times New Roman" w:hAnsi="Times New Roman" w:cs="Times New Roman"/>
          <w:b/>
          <w:bCs/>
          <w:sz w:val="24"/>
          <w:szCs w:val="24"/>
        </w:rPr>
        <w:t xml:space="preserve">io-inoculants </w:t>
      </w:r>
      <w:r w:rsidRPr="003E7E6F">
        <w:rPr>
          <w:rFonts w:ascii="Times New Roman" w:hAnsi="Times New Roman" w:cs="Times New Roman"/>
          <w:b/>
          <w:bCs/>
          <w:sz w:val="24"/>
          <w:szCs w:val="24"/>
        </w:rPr>
        <w:t>(Rhizobium and Trichoderm</w:t>
      </w:r>
      <w:r w:rsidR="006375C8" w:rsidRPr="003E7E6F">
        <w:rPr>
          <w:rFonts w:ascii="Times New Roman" w:hAnsi="Times New Roman" w:cs="Times New Roman"/>
          <w:b/>
          <w:bCs/>
          <w:sz w:val="24"/>
          <w:szCs w:val="24"/>
        </w:rPr>
        <w:t xml:space="preserve">a) on growth, yield attributes </w:t>
      </w:r>
      <w:r w:rsidRPr="003E7E6F">
        <w:rPr>
          <w:rFonts w:ascii="Times New Roman" w:hAnsi="Times New Roman" w:cs="Times New Roman"/>
          <w:b/>
          <w:bCs/>
          <w:sz w:val="24"/>
          <w:szCs w:val="24"/>
        </w:rPr>
        <w:t>and productivity of c</w:t>
      </w:r>
      <w:r w:rsidR="004670FD" w:rsidRPr="003E7E6F">
        <w:rPr>
          <w:rFonts w:ascii="Times New Roman" w:hAnsi="Times New Roman" w:cs="Times New Roman"/>
          <w:b/>
          <w:bCs/>
          <w:sz w:val="24"/>
          <w:szCs w:val="24"/>
        </w:rPr>
        <w:t>hickpea (</w:t>
      </w:r>
      <w:proofErr w:type="spellStart"/>
      <w:r w:rsidR="004670FD" w:rsidRPr="003E7E6F">
        <w:rPr>
          <w:rFonts w:ascii="Times New Roman" w:hAnsi="Times New Roman" w:cs="Times New Roman"/>
          <w:b/>
          <w:bCs/>
          <w:i/>
          <w:iCs/>
          <w:sz w:val="24"/>
          <w:szCs w:val="24"/>
        </w:rPr>
        <w:t>Cicer</w:t>
      </w:r>
      <w:proofErr w:type="spellEnd"/>
      <w:r w:rsidR="004670FD" w:rsidRPr="003E7E6F">
        <w:rPr>
          <w:rFonts w:ascii="Times New Roman" w:hAnsi="Times New Roman" w:cs="Times New Roman"/>
          <w:b/>
          <w:bCs/>
          <w:i/>
          <w:iCs/>
          <w:sz w:val="24"/>
          <w:szCs w:val="24"/>
        </w:rPr>
        <w:t xml:space="preserve"> arietinum</w:t>
      </w:r>
      <w:r w:rsidR="00B71C37" w:rsidRPr="003E7E6F">
        <w:rPr>
          <w:rFonts w:ascii="Times New Roman" w:hAnsi="Times New Roman" w:cs="Times New Roman"/>
          <w:b/>
          <w:bCs/>
          <w:sz w:val="24"/>
          <w:szCs w:val="24"/>
        </w:rPr>
        <w:t xml:space="preserve"> L.)</w:t>
      </w:r>
    </w:p>
    <w:p w:rsidR="009137C2" w:rsidRDefault="009137C2" w:rsidP="009137C2">
      <w:pPr>
        <w:spacing w:after="0" w:line="360" w:lineRule="auto"/>
        <w:jc w:val="center"/>
        <w:outlineLvl w:val="1"/>
        <w:rPr>
          <w:rFonts w:ascii="Times New Roman" w:eastAsia="Times New Roman" w:hAnsi="Times New Roman" w:cs="Times New Roman"/>
          <w:b/>
          <w:bCs/>
          <w:sz w:val="24"/>
          <w:szCs w:val="24"/>
        </w:rPr>
      </w:pPr>
    </w:p>
    <w:p w:rsidR="00707E8B" w:rsidRPr="003E7E6F" w:rsidRDefault="00707E8B" w:rsidP="009137C2">
      <w:pPr>
        <w:spacing w:after="0" w:line="360" w:lineRule="auto"/>
        <w:jc w:val="center"/>
        <w:outlineLvl w:val="1"/>
        <w:rPr>
          <w:rFonts w:ascii="Times New Roman" w:eastAsia="Times New Roman" w:hAnsi="Times New Roman" w:cs="Times New Roman"/>
          <w:b/>
          <w:bCs/>
          <w:sz w:val="24"/>
          <w:szCs w:val="24"/>
        </w:rPr>
      </w:pPr>
    </w:p>
    <w:p w:rsidR="004670FD" w:rsidRPr="003E7E6F" w:rsidRDefault="004B18C9" w:rsidP="009137C2">
      <w:pPr>
        <w:spacing w:after="0" w:line="360" w:lineRule="auto"/>
        <w:jc w:val="center"/>
        <w:outlineLvl w:val="1"/>
        <w:rPr>
          <w:rFonts w:ascii="Times New Roman" w:eastAsia="Times New Roman" w:hAnsi="Times New Roman" w:cs="Times New Roman"/>
          <w:b/>
          <w:bCs/>
          <w:sz w:val="24"/>
          <w:szCs w:val="24"/>
        </w:rPr>
      </w:pPr>
      <w:r w:rsidRPr="003E7E6F">
        <w:rPr>
          <w:rFonts w:ascii="Times New Roman" w:eastAsia="Times New Roman" w:hAnsi="Times New Roman" w:cs="Times New Roman"/>
          <w:b/>
          <w:bCs/>
          <w:sz w:val="24"/>
          <w:szCs w:val="24"/>
        </w:rPr>
        <w:t>ABSTRACT</w:t>
      </w:r>
    </w:p>
    <w:p w:rsidR="004670FD" w:rsidRPr="003E7E6F" w:rsidRDefault="004670FD" w:rsidP="00452EA4">
      <w:pPr>
        <w:spacing w:after="0" w:line="360" w:lineRule="auto"/>
        <w:jc w:val="both"/>
        <w:rPr>
          <w:rFonts w:ascii="Times New Roman" w:eastAsia="Times New Roman" w:hAnsi="Times New Roman" w:cs="Times New Roman"/>
          <w:sz w:val="24"/>
          <w:szCs w:val="24"/>
        </w:rPr>
      </w:pPr>
      <w:r w:rsidRPr="003E7E6F">
        <w:rPr>
          <w:rFonts w:ascii="Times New Roman" w:eastAsia="Times New Roman" w:hAnsi="Times New Roman" w:cs="Times New Roman"/>
          <w:b/>
          <w:bCs/>
          <w:sz w:val="24"/>
          <w:szCs w:val="24"/>
        </w:rPr>
        <w:t>Background:</w:t>
      </w:r>
      <w:r w:rsidR="006D3B6F">
        <w:rPr>
          <w:rFonts w:ascii="Times New Roman" w:eastAsia="Times New Roman" w:hAnsi="Times New Roman" w:cs="Times New Roman"/>
          <w:b/>
          <w:bCs/>
          <w:sz w:val="24"/>
          <w:szCs w:val="24"/>
        </w:rPr>
        <w:t xml:space="preserve"> </w:t>
      </w:r>
      <w:r w:rsidR="00C63E0C" w:rsidRPr="003E7E6F">
        <w:rPr>
          <w:rFonts w:ascii="Times New Roman" w:eastAsia="Times New Roman" w:hAnsi="Times New Roman" w:cs="Times New Roman"/>
          <w:sz w:val="24"/>
          <w:szCs w:val="24"/>
        </w:rPr>
        <w:t>Chickpea is an important pulse crop, the productivity of which is frequently constrained by the unfavorable soil fertility and soil-borne pathogens. The solution to this is a sustainable approach to improve crop performance by the use of bio-agents in integrated nutrient and disease management</w:t>
      </w:r>
      <w:r w:rsidRPr="003E7E6F">
        <w:rPr>
          <w:rFonts w:ascii="Times New Roman" w:eastAsia="Times New Roman" w:hAnsi="Times New Roman" w:cs="Times New Roman"/>
          <w:sz w:val="24"/>
          <w:szCs w:val="24"/>
        </w:rPr>
        <w:t xml:space="preserve">. </w:t>
      </w:r>
    </w:p>
    <w:p w:rsidR="00C63E0C" w:rsidRPr="003E7E6F" w:rsidRDefault="004670FD" w:rsidP="00C63E0C">
      <w:pPr>
        <w:spacing w:after="0" w:line="360" w:lineRule="auto"/>
        <w:jc w:val="both"/>
        <w:rPr>
          <w:rFonts w:ascii="Times New Roman" w:eastAsia="Times New Roman" w:hAnsi="Times New Roman" w:cs="Times New Roman"/>
          <w:sz w:val="24"/>
          <w:szCs w:val="24"/>
        </w:rPr>
      </w:pPr>
      <w:r w:rsidRPr="003E7E6F">
        <w:rPr>
          <w:rFonts w:ascii="Times New Roman" w:eastAsia="Times New Roman" w:hAnsi="Times New Roman" w:cs="Times New Roman"/>
          <w:b/>
          <w:bCs/>
          <w:sz w:val="24"/>
          <w:szCs w:val="24"/>
        </w:rPr>
        <w:t>Methodology:</w:t>
      </w:r>
      <w:r w:rsidR="006D3B6F">
        <w:rPr>
          <w:rFonts w:ascii="Times New Roman" w:eastAsia="Times New Roman" w:hAnsi="Times New Roman" w:cs="Times New Roman"/>
          <w:b/>
          <w:bCs/>
          <w:sz w:val="24"/>
          <w:szCs w:val="24"/>
        </w:rPr>
        <w:t xml:space="preserve"> </w:t>
      </w:r>
      <w:r w:rsidR="00C63E0C" w:rsidRPr="003E7E6F">
        <w:rPr>
          <w:rFonts w:ascii="Times New Roman" w:eastAsia="Times New Roman" w:hAnsi="Times New Roman" w:cs="Times New Roman"/>
          <w:sz w:val="24"/>
          <w:szCs w:val="24"/>
        </w:rPr>
        <w:t xml:space="preserve">To assess the effectiveness of the seed treatment with </w:t>
      </w:r>
      <w:r w:rsidR="00C63E0C" w:rsidRPr="003E7E6F">
        <w:rPr>
          <w:rFonts w:ascii="Times New Roman" w:eastAsia="Times New Roman" w:hAnsi="Times New Roman" w:cs="Times New Roman"/>
          <w:i/>
          <w:sz w:val="24"/>
          <w:szCs w:val="24"/>
        </w:rPr>
        <w:t>Rhizobium</w:t>
      </w:r>
      <w:r w:rsidR="00C63E0C" w:rsidRPr="003E7E6F">
        <w:rPr>
          <w:rFonts w:ascii="Times New Roman" w:eastAsia="Times New Roman" w:hAnsi="Times New Roman" w:cs="Times New Roman"/>
          <w:sz w:val="24"/>
          <w:szCs w:val="24"/>
        </w:rPr>
        <w:t xml:space="preserve"> (10 g kg</w:t>
      </w:r>
      <w:r w:rsidR="00C63E0C" w:rsidRPr="003E7E6F">
        <w:rPr>
          <w:rFonts w:ascii="Times New Roman" w:eastAsia="Times New Roman" w:hAnsi="Times New Roman" w:cs="Times New Roman"/>
          <w:sz w:val="24"/>
          <w:szCs w:val="24"/>
          <w:vertAlign w:val="superscript"/>
        </w:rPr>
        <w:t>-1</w:t>
      </w:r>
      <w:r w:rsidR="00C63E0C" w:rsidRPr="003E7E6F">
        <w:rPr>
          <w:rFonts w:ascii="Times New Roman" w:eastAsia="Times New Roman" w:hAnsi="Times New Roman" w:cs="Times New Roman"/>
          <w:sz w:val="24"/>
          <w:szCs w:val="24"/>
        </w:rPr>
        <w:t xml:space="preserve"> seed) and the soil treatment with </w:t>
      </w:r>
      <w:r w:rsidR="00C63E0C" w:rsidRPr="003E7E6F">
        <w:rPr>
          <w:rFonts w:ascii="Times New Roman" w:eastAsia="Times New Roman" w:hAnsi="Times New Roman" w:cs="Times New Roman"/>
          <w:i/>
          <w:sz w:val="24"/>
          <w:szCs w:val="24"/>
        </w:rPr>
        <w:t>Trichoderma</w:t>
      </w:r>
      <w:r w:rsidR="00C63E0C" w:rsidRPr="003E7E6F">
        <w:rPr>
          <w:rFonts w:ascii="Times New Roman" w:eastAsia="Times New Roman" w:hAnsi="Times New Roman" w:cs="Times New Roman"/>
          <w:sz w:val="24"/>
          <w:szCs w:val="24"/>
        </w:rPr>
        <w:t xml:space="preserve"> (5kg ha</w:t>
      </w:r>
      <w:r w:rsidR="00C63E0C" w:rsidRPr="003E7E6F">
        <w:rPr>
          <w:rFonts w:ascii="Times New Roman" w:eastAsia="Times New Roman" w:hAnsi="Times New Roman" w:cs="Times New Roman"/>
          <w:sz w:val="24"/>
          <w:szCs w:val="24"/>
          <w:vertAlign w:val="superscript"/>
        </w:rPr>
        <w:t>-1</w:t>
      </w:r>
      <w:r w:rsidR="00C63E0C" w:rsidRPr="003E7E6F">
        <w:rPr>
          <w:rFonts w:ascii="Times New Roman" w:eastAsia="Times New Roman" w:hAnsi="Times New Roman" w:cs="Times New Roman"/>
          <w:sz w:val="24"/>
          <w:szCs w:val="24"/>
        </w:rPr>
        <w:t>) on the Chickpea variety GNG-2144 in 202</w:t>
      </w:r>
      <w:r w:rsidR="00C11188" w:rsidRPr="003E7E6F">
        <w:rPr>
          <w:rFonts w:ascii="Times New Roman" w:eastAsia="Times New Roman" w:hAnsi="Times New Roman" w:cs="Times New Roman"/>
          <w:sz w:val="24"/>
          <w:szCs w:val="24"/>
        </w:rPr>
        <w:t>3</w:t>
      </w:r>
      <w:r w:rsidR="00C63E0C" w:rsidRPr="003E7E6F">
        <w:rPr>
          <w:rFonts w:ascii="Times New Roman" w:eastAsia="Times New Roman" w:hAnsi="Times New Roman" w:cs="Times New Roman"/>
          <w:sz w:val="24"/>
          <w:szCs w:val="24"/>
        </w:rPr>
        <w:t xml:space="preserve"> and 202</w:t>
      </w:r>
      <w:r w:rsidR="00C11188" w:rsidRPr="003E7E6F">
        <w:rPr>
          <w:rFonts w:ascii="Times New Roman" w:eastAsia="Times New Roman" w:hAnsi="Times New Roman" w:cs="Times New Roman"/>
          <w:sz w:val="24"/>
          <w:szCs w:val="24"/>
        </w:rPr>
        <w:t>4</w:t>
      </w:r>
      <w:r w:rsidR="00C63E0C" w:rsidRPr="003E7E6F">
        <w:rPr>
          <w:rFonts w:ascii="Times New Roman" w:eastAsia="Times New Roman" w:hAnsi="Times New Roman" w:cs="Times New Roman"/>
          <w:sz w:val="24"/>
          <w:szCs w:val="24"/>
        </w:rPr>
        <w:t xml:space="preserve">, a field demonstration was conducted on ten fields of farmers (F1-F10). This performance was compared with the current Farmer Practices (FP). The main parameters that were measured were plant height, primary branches, number of pods in each plant, seeds in each pod, and test weight of 100 seeds. </w:t>
      </w:r>
    </w:p>
    <w:p w:rsidR="00ED3247" w:rsidRPr="003E7E6F" w:rsidRDefault="004670FD" w:rsidP="00ED3247">
      <w:pPr>
        <w:spacing w:after="0" w:line="360" w:lineRule="auto"/>
        <w:jc w:val="both"/>
        <w:rPr>
          <w:rFonts w:ascii="Times New Roman" w:hAnsi="Times New Roman" w:cs="Times New Roman"/>
        </w:rPr>
      </w:pPr>
      <w:r w:rsidRPr="003E7E6F">
        <w:rPr>
          <w:rFonts w:ascii="Times New Roman" w:hAnsi="Times New Roman" w:cs="Times New Roman"/>
          <w:b/>
          <w:bCs/>
        </w:rPr>
        <w:t>Results:</w:t>
      </w:r>
      <w:r w:rsidR="006D3B6F">
        <w:rPr>
          <w:rFonts w:ascii="Times New Roman" w:hAnsi="Times New Roman" w:cs="Times New Roman"/>
          <w:b/>
          <w:bCs/>
        </w:rPr>
        <w:t xml:space="preserve"> </w:t>
      </w:r>
      <w:r w:rsidR="00ED3247" w:rsidRPr="003E7E6F">
        <w:rPr>
          <w:rFonts w:ascii="Times New Roman" w:hAnsi="Times New Roman" w:cs="Times New Roman"/>
        </w:rPr>
        <w:t>Mean plant height of the Demo plots was always higher than that of the traditional practices; mean plant height of FP was 34.51cm, whereas that of Demo plots was 37.12 cm. There were large increases in branching and pod development, with the mean primary branch count increasing to 5.6 and the number of pods per plant increasing to 25.5. Efficiency of seed development was also improved, wherein the number of seeds per pod rose by 1.5-2.5, and the 100-seed test weight rose by 13.27 g to 14.5 g. The use of bio-inoculants and the enhanced application of management greatly increased productivity and harvesting efficiency. The average yield of grain increased by 22.51 percent, with an increase in the mean grain yield in the Demo plots as it increased to 18.86 q ha-1 under FP, as compared to 15.41 q ha</w:t>
      </w:r>
      <w:r w:rsidR="00ED3247" w:rsidRPr="003E7E6F">
        <w:rPr>
          <w:rFonts w:ascii="Times New Roman" w:hAnsi="Times New Roman" w:cs="Times New Roman"/>
          <w:vertAlign w:val="superscript"/>
        </w:rPr>
        <w:t>-1</w:t>
      </w:r>
      <w:r w:rsidR="00ED3247" w:rsidRPr="003E7E6F">
        <w:rPr>
          <w:rFonts w:ascii="Times New Roman" w:hAnsi="Times New Roman" w:cs="Times New Roman"/>
        </w:rPr>
        <w:t xml:space="preserve">. Although there was a slight change in the yield of biology, the Stover yield in Demo plots was reduced to 19.53 q ha-1 as opposed to 24.80 q ha-1. This caused a major upsurge in Harvest Index, which increased by 38.42 to 49.32. These findings are that </w:t>
      </w:r>
      <w:r w:rsidR="00ED3247" w:rsidRPr="003E7E6F">
        <w:rPr>
          <w:rFonts w:ascii="Times New Roman" w:hAnsi="Times New Roman" w:cs="Times New Roman"/>
          <w:i/>
        </w:rPr>
        <w:t>Rhizobium</w:t>
      </w:r>
      <w:r w:rsidR="00ED3247" w:rsidRPr="003E7E6F">
        <w:rPr>
          <w:rFonts w:ascii="Times New Roman" w:hAnsi="Times New Roman" w:cs="Times New Roman"/>
        </w:rPr>
        <w:t xml:space="preserve"> and </w:t>
      </w:r>
      <w:proofErr w:type="spellStart"/>
      <w:r w:rsidR="00ED3247" w:rsidRPr="003E7E6F">
        <w:rPr>
          <w:rFonts w:ascii="Times New Roman" w:hAnsi="Times New Roman" w:cs="Times New Roman"/>
          <w:i/>
        </w:rPr>
        <w:t>Trichoderma</w:t>
      </w:r>
      <w:r w:rsidR="00ED3247" w:rsidRPr="003E7E6F">
        <w:rPr>
          <w:rFonts w:ascii="Times New Roman" w:hAnsi="Times New Roman" w:cs="Times New Roman"/>
        </w:rPr>
        <w:t>treatments</w:t>
      </w:r>
      <w:proofErr w:type="spellEnd"/>
      <w:r w:rsidR="00ED3247" w:rsidRPr="003E7E6F">
        <w:rPr>
          <w:rFonts w:ascii="Times New Roman" w:hAnsi="Times New Roman" w:cs="Times New Roman"/>
        </w:rPr>
        <w:t xml:space="preserve"> are the most effective at maximizing biomass partitioning in the production of grain, leading to increased reproductive efficiency and better utilization of resources in Chickpea variety GNG-2144 relative to the </w:t>
      </w:r>
      <w:proofErr w:type="spellStart"/>
      <w:r w:rsidR="00ED3247" w:rsidRPr="003E7E6F">
        <w:rPr>
          <w:rFonts w:ascii="Times New Roman" w:hAnsi="Times New Roman" w:cs="Times New Roman"/>
        </w:rPr>
        <w:t>traditionalmethod</w:t>
      </w:r>
      <w:proofErr w:type="spellEnd"/>
      <w:r w:rsidR="00ED3247" w:rsidRPr="003E7E6F">
        <w:rPr>
          <w:rFonts w:ascii="Times New Roman" w:hAnsi="Times New Roman" w:cs="Times New Roman"/>
        </w:rPr>
        <w:t>.</w:t>
      </w:r>
    </w:p>
    <w:p w:rsidR="004670FD" w:rsidRPr="003E7E6F" w:rsidRDefault="004670FD" w:rsidP="00ED3247">
      <w:pPr>
        <w:spacing w:after="0" w:line="360" w:lineRule="auto"/>
        <w:jc w:val="both"/>
        <w:rPr>
          <w:rFonts w:ascii="Times New Roman" w:hAnsi="Times New Roman" w:cs="Times New Roman"/>
          <w:sz w:val="24"/>
          <w:szCs w:val="24"/>
        </w:rPr>
      </w:pPr>
      <w:r w:rsidRPr="003E7E6F">
        <w:rPr>
          <w:rFonts w:ascii="Times New Roman" w:hAnsi="Times New Roman" w:cs="Times New Roman"/>
          <w:sz w:val="24"/>
          <w:szCs w:val="24"/>
        </w:rPr>
        <w:t xml:space="preserve">Keywords- </w:t>
      </w:r>
      <w:r w:rsidRPr="003E7E6F">
        <w:rPr>
          <w:rStyle w:val="citation-74"/>
          <w:rFonts w:ascii="Times New Roman" w:hAnsi="Times New Roman" w:cs="Times New Roman"/>
          <w:sz w:val="24"/>
          <w:szCs w:val="24"/>
        </w:rPr>
        <w:t>Chickpea (</w:t>
      </w:r>
      <w:proofErr w:type="spellStart"/>
      <w:r w:rsidRPr="003E7E6F">
        <w:rPr>
          <w:rStyle w:val="citation-74"/>
          <w:rFonts w:ascii="Times New Roman" w:hAnsi="Times New Roman" w:cs="Times New Roman"/>
          <w:i/>
          <w:iCs/>
          <w:sz w:val="24"/>
          <w:szCs w:val="24"/>
        </w:rPr>
        <w:t>Cicer</w:t>
      </w:r>
      <w:proofErr w:type="spellEnd"/>
      <w:r w:rsidRPr="003E7E6F">
        <w:rPr>
          <w:rStyle w:val="citation-74"/>
          <w:rFonts w:ascii="Times New Roman" w:hAnsi="Times New Roman" w:cs="Times New Roman"/>
          <w:i/>
          <w:iCs/>
          <w:sz w:val="24"/>
          <w:szCs w:val="24"/>
        </w:rPr>
        <w:t xml:space="preserve"> arietinum</w:t>
      </w:r>
      <w:r w:rsidRPr="003E7E6F">
        <w:rPr>
          <w:rStyle w:val="citation-74"/>
          <w:rFonts w:ascii="Times New Roman" w:hAnsi="Times New Roman" w:cs="Times New Roman"/>
          <w:sz w:val="24"/>
          <w:szCs w:val="24"/>
        </w:rPr>
        <w:t xml:space="preserve"> L.), </w:t>
      </w:r>
      <w:r w:rsidRPr="003E7E6F">
        <w:rPr>
          <w:rStyle w:val="citation-73"/>
          <w:rFonts w:ascii="Times New Roman" w:hAnsi="Times New Roman" w:cs="Times New Roman"/>
          <w:i/>
          <w:iCs/>
          <w:sz w:val="24"/>
          <w:szCs w:val="24"/>
        </w:rPr>
        <w:t>Rhizobium</w:t>
      </w:r>
      <w:r w:rsidRPr="003E7E6F">
        <w:rPr>
          <w:rStyle w:val="citation-73"/>
          <w:rFonts w:ascii="Times New Roman" w:hAnsi="Times New Roman" w:cs="Times New Roman"/>
          <w:sz w:val="24"/>
          <w:szCs w:val="24"/>
        </w:rPr>
        <w:t xml:space="preserve">, </w:t>
      </w:r>
      <w:proofErr w:type="spellStart"/>
      <w:r w:rsidRPr="003E7E6F">
        <w:rPr>
          <w:rStyle w:val="citation-72"/>
          <w:rFonts w:ascii="Times New Roman" w:hAnsi="Times New Roman" w:cs="Times New Roman"/>
          <w:i/>
          <w:iCs/>
          <w:sz w:val="24"/>
          <w:szCs w:val="24"/>
        </w:rPr>
        <w:t>Trichodermaviride</w:t>
      </w:r>
      <w:proofErr w:type="spellEnd"/>
      <w:r w:rsidRPr="003E7E6F">
        <w:rPr>
          <w:rStyle w:val="citation-72"/>
          <w:rFonts w:ascii="Times New Roman" w:hAnsi="Times New Roman" w:cs="Times New Roman"/>
          <w:sz w:val="24"/>
          <w:szCs w:val="24"/>
        </w:rPr>
        <w:t xml:space="preserve">, </w:t>
      </w:r>
      <w:r w:rsidRPr="003E7E6F">
        <w:rPr>
          <w:rStyle w:val="citation-71"/>
          <w:rFonts w:ascii="Times New Roman" w:hAnsi="Times New Roman" w:cs="Times New Roman"/>
          <w:sz w:val="24"/>
          <w:szCs w:val="24"/>
        </w:rPr>
        <w:t xml:space="preserve">Bio-inoculants, </w:t>
      </w:r>
      <w:r w:rsidR="00516C0F" w:rsidRPr="003E7E6F">
        <w:rPr>
          <w:rStyle w:val="citation-71"/>
          <w:rFonts w:ascii="Times New Roman" w:hAnsi="Times New Roman" w:cs="Times New Roman"/>
          <w:sz w:val="24"/>
          <w:szCs w:val="24"/>
        </w:rPr>
        <w:t>Y</w:t>
      </w:r>
      <w:r w:rsidRPr="003E7E6F">
        <w:rPr>
          <w:rStyle w:val="citation-70"/>
          <w:rFonts w:ascii="Times New Roman" w:hAnsi="Times New Roman" w:cs="Times New Roman"/>
          <w:sz w:val="24"/>
          <w:szCs w:val="24"/>
        </w:rPr>
        <w:t>ield Attributes</w:t>
      </w:r>
    </w:p>
    <w:p w:rsidR="00452EA4" w:rsidRDefault="00452EA4" w:rsidP="00452EA4">
      <w:pPr>
        <w:spacing w:after="0" w:line="360" w:lineRule="auto"/>
        <w:jc w:val="both"/>
        <w:outlineLvl w:val="1"/>
        <w:rPr>
          <w:rFonts w:ascii="Times New Roman" w:eastAsia="Times New Roman" w:hAnsi="Times New Roman" w:cs="Times New Roman"/>
          <w:b/>
          <w:bCs/>
          <w:sz w:val="24"/>
          <w:szCs w:val="24"/>
        </w:rPr>
      </w:pPr>
    </w:p>
    <w:p w:rsidR="00707E8B" w:rsidRDefault="00707E8B" w:rsidP="00452EA4">
      <w:pPr>
        <w:spacing w:after="0" w:line="360" w:lineRule="auto"/>
        <w:jc w:val="both"/>
        <w:outlineLvl w:val="1"/>
        <w:rPr>
          <w:rFonts w:ascii="Times New Roman" w:eastAsia="Times New Roman" w:hAnsi="Times New Roman" w:cs="Times New Roman"/>
          <w:b/>
          <w:bCs/>
          <w:sz w:val="24"/>
          <w:szCs w:val="24"/>
        </w:rPr>
      </w:pPr>
    </w:p>
    <w:p w:rsidR="00707E8B" w:rsidRPr="003E7E6F" w:rsidRDefault="00707E8B" w:rsidP="00452EA4">
      <w:pPr>
        <w:spacing w:after="0" w:line="360" w:lineRule="auto"/>
        <w:jc w:val="both"/>
        <w:outlineLvl w:val="1"/>
        <w:rPr>
          <w:rFonts w:ascii="Times New Roman" w:eastAsia="Times New Roman" w:hAnsi="Times New Roman" w:cs="Times New Roman"/>
          <w:b/>
          <w:bCs/>
          <w:sz w:val="24"/>
          <w:szCs w:val="24"/>
        </w:rPr>
      </w:pPr>
      <w:bookmarkStart w:id="0" w:name="_GoBack"/>
      <w:bookmarkEnd w:id="0"/>
    </w:p>
    <w:p w:rsidR="005B5FC7" w:rsidRPr="003E7E6F" w:rsidRDefault="005B5FC7" w:rsidP="00452EA4">
      <w:pPr>
        <w:spacing w:after="0" w:line="360" w:lineRule="auto"/>
        <w:jc w:val="center"/>
        <w:outlineLvl w:val="1"/>
        <w:rPr>
          <w:rFonts w:ascii="Times New Roman" w:eastAsia="Times New Roman" w:hAnsi="Times New Roman" w:cs="Times New Roman"/>
          <w:b/>
          <w:bCs/>
          <w:sz w:val="24"/>
          <w:szCs w:val="24"/>
        </w:rPr>
      </w:pPr>
      <w:r w:rsidRPr="003E7E6F">
        <w:rPr>
          <w:rFonts w:ascii="Times New Roman" w:eastAsia="Times New Roman" w:hAnsi="Times New Roman" w:cs="Times New Roman"/>
          <w:b/>
          <w:bCs/>
          <w:sz w:val="24"/>
          <w:szCs w:val="24"/>
        </w:rPr>
        <w:t>INTRODUCTION</w:t>
      </w:r>
    </w:p>
    <w:p w:rsidR="007E04E2" w:rsidRPr="003E7E6F" w:rsidRDefault="007E04E2" w:rsidP="00452EA4">
      <w:pPr>
        <w:pStyle w:val="NormalWeb"/>
        <w:spacing w:before="0" w:beforeAutospacing="0" w:after="0" w:afterAutospacing="0" w:line="360" w:lineRule="auto"/>
        <w:ind w:firstLine="720"/>
        <w:jc w:val="both"/>
      </w:pPr>
      <w:r w:rsidRPr="003E7E6F">
        <w:t>Chickpea (</w:t>
      </w:r>
      <w:proofErr w:type="spellStart"/>
      <w:r w:rsidRPr="003E7E6F">
        <w:rPr>
          <w:i/>
        </w:rPr>
        <w:t>Cicer</w:t>
      </w:r>
      <w:proofErr w:type="spellEnd"/>
      <w:r w:rsidRPr="003E7E6F">
        <w:rPr>
          <w:i/>
        </w:rPr>
        <w:t xml:space="preserve"> arietinum L</w:t>
      </w:r>
      <w:r w:rsidRPr="003E7E6F">
        <w:t xml:space="preserve">.) is the leading pulse crop in the world, as it is a major source of high-quality protein (20%25), essential amino acids, and minerals to a large share of the world population, especially developing countries whose access to animal protein is limited (Zhang </w:t>
      </w:r>
      <w:r w:rsidRPr="003E7E6F">
        <w:rPr>
          <w:i/>
          <w:iCs/>
        </w:rPr>
        <w:t>et. al.,</w:t>
      </w:r>
      <w:r w:rsidRPr="003E7E6F">
        <w:t xml:space="preserve"> 2024). It is commonly known as the poor man's meat, and its production is the main focus of food security and economic welfare of smallholder farmers (</w:t>
      </w:r>
      <w:proofErr w:type="spellStart"/>
      <w:r w:rsidRPr="003E7E6F">
        <w:t>Jukanti</w:t>
      </w:r>
      <w:proofErr w:type="spellEnd"/>
      <w:r w:rsidRPr="003E7E6F">
        <w:t xml:space="preserve"> </w:t>
      </w:r>
      <w:r w:rsidRPr="003E7E6F">
        <w:rPr>
          <w:i/>
          <w:iCs/>
        </w:rPr>
        <w:t>et</w:t>
      </w:r>
      <w:r w:rsidR="006375C8" w:rsidRPr="003E7E6F">
        <w:rPr>
          <w:i/>
          <w:iCs/>
        </w:rPr>
        <w:t>.</w:t>
      </w:r>
      <w:r w:rsidRPr="003E7E6F">
        <w:rPr>
          <w:i/>
          <w:iCs/>
        </w:rPr>
        <w:t xml:space="preserve"> al.,</w:t>
      </w:r>
      <w:r w:rsidRPr="003E7E6F">
        <w:t xml:space="preserve"> 2012). Other than nutritional merits, chickpea is a significant crop in the field of sustainable agriculture because of its special capacity of fixing nitrogen in the atmosphere through a symbiotic relationship with Rhizobium bacteria (Peoples </w:t>
      </w:r>
      <w:r w:rsidRPr="003E7E6F">
        <w:rPr>
          <w:i/>
          <w:iCs/>
        </w:rPr>
        <w:t>et al.,</w:t>
      </w:r>
      <w:r w:rsidRPr="003E7E6F">
        <w:t xml:space="preserve"> 2009). As much as 140 kg N ha-1 can be added through this biological nitrogen fixation (BNF) and, therefore, improves soil health and decreases the reliance on synthetic nitrogenous fertilizers, which are expensive and require energy (Singh </w:t>
      </w:r>
      <w:r w:rsidRPr="003E7E6F">
        <w:rPr>
          <w:i/>
        </w:rPr>
        <w:t>et al.,</w:t>
      </w:r>
      <w:r w:rsidRPr="003E7E6F">
        <w:t xml:space="preserve"> 2022, and </w:t>
      </w:r>
      <w:proofErr w:type="spellStart"/>
      <w:r w:rsidRPr="003E7E6F">
        <w:t>Aasfar</w:t>
      </w:r>
      <w:proofErr w:type="spellEnd"/>
      <w:r w:rsidR="006375C8" w:rsidRPr="003E7E6F">
        <w:t xml:space="preserve"> </w:t>
      </w:r>
      <w:r w:rsidRPr="003E7E6F">
        <w:rPr>
          <w:i/>
        </w:rPr>
        <w:t>et. al.</w:t>
      </w:r>
      <w:r w:rsidRPr="003E7E6F">
        <w:t>, 2021).</w:t>
      </w:r>
    </w:p>
    <w:p w:rsidR="00496C82" w:rsidRPr="003E7E6F" w:rsidRDefault="00496C82" w:rsidP="00452EA4">
      <w:pPr>
        <w:pStyle w:val="NormalWeb"/>
        <w:spacing w:before="0" w:beforeAutospacing="0" w:after="0" w:afterAutospacing="0" w:line="360" w:lineRule="auto"/>
        <w:ind w:firstLine="720"/>
        <w:jc w:val="both"/>
      </w:pPr>
      <w:r w:rsidRPr="003E7E6F">
        <w:t xml:space="preserve">Nevertheless, the </w:t>
      </w:r>
      <w:r w:rsidR="00621AE8" w:rsidRPr="003E7E6F">
        <w:t>worldwide</w:t>
      </w:r>
      <w:r w:rsidRPr="003E7E6F">
        <w:t xml:space="preserve"> productivity of chickpea is still affected by a complicated interaction of biotic and abiotic limitations (</w:t>
      </w:r>
      <w:proofErr w:type="spellStart"/>
      <w:r w:rsidRPr="003E7E6F">
        <w:t>Roorkiwal</w:t>
      </w:r>
      <w:proofErr w:type="spellEnd"/>
      <w:r w:rsidRPr="003E7E6F">
        <w:t xml:space="preserve"> et al., 2022). Although the crop is hardy in nature, its produce is usually prone to fluctuations in climatic variations and soil structure. Inadequate soil fertility and the existence of soil-borne pathogens that are devastating to chickpea are among the major constraints to chickpea yield. The presence of pathogens like </w:t>
      </w:r>
      <w:proofErr w:type="spellStart"/>
      <w:r w:rsidRPr="003E7E6F">
        <w:rPr>
          <w:i/>
        </w:rPr>
        <w:t>Fusariumoxysporum</w:t>
      </w:r>
      <w:proofErr w:type="spellEnd"/>
      <w:r w:rsidRPr="003E7E6F">
        <w:t xml:space="preserve"> f. sp. </w:t>
      </w:r>
      <w:proofErr w:type="spellStart"/>
      <w:r w:rsidRPr="003E7E6F">
        <w:t>ciceri</w:t>
      </w:r>
      <w:proofErr w:type="spellEnd"/>
      <w:r w:rsidRPr="003E7E6F">
        <w:t>, which causes vascular wilt, may cause significant losses in yields as a result of 10-100 percent in a favorable environment (</w:t>
      </w:r>
      <w:proofErr w:type="spellStart"/>
      <w:r w:rsidRPr="003E7E6F">
        <w:t>Venkataramanamma</w:t>
      </w:r>
      <w:proofErr w:type="spellEnd"/>
      <w:r w:rsidR="006375C8" w:rsidRPr="003E7E6F">
        <w:t xml:space="preserve"> </w:t>
      </w:r>
      <w:r w:rsidRPr="003E7E6F">
        <w:rPr>
          <w:i/>
        </w:rPr>
        <w:t>et</w:t>
      </w:r>
      <w:r w:rsidR="006375C8" w:rsidRPr="003E7E6F">
        <w:rPr>
          <w:i/>
        </w:rPr>
        <w:t>.</w:t>
      </w:r>
      <w:r w:rsidRPr="003E7E6F">
        <w:rPr>
          <w:i/>
        </w:rPr>
        <w:t xml:space="preserve"> al.,</w:t>
      </w:r>
      <w:r w:rsidRPr="003E7E6F">
        <w:t xml:space="preserve"> 2025).</w:t>
      </w:r>
    </w:p>
    <w:p w:rsidR="00496C82" w:rsidRPr="003E7E6F" w:rsidRDefault="00D65881" w:rsidP="00452EA4">
      <w:pPr>
        <w:pStyle w:val="NormalWeb"/>
        <w:spacing w:before="0" w:beforeAutospacing="0" w:after="0" w:afterAutospacing="0" w:line="360" w:lineRule="auto"/>
        <w:jc w:val="both"/>
      </w:pPr>
      <w:r w:rsidRPr="003E7E6F">
        <w:t>Traditionally</w:t>
      </w:r>
      <w:r w:rsidR="00496C82" w:rsidRPr="003E7E6F">
        <w:t xml:space="preserve">, farmers have been </w:t>
      </w:r>
      <w:r w:rsidRPr="003E7E6F">
        <w:t>over</w:t>
      </w:r>
      <w:r w:rsidR="006375C8" w:rsidRPr="003E7E6F">
        <w:t xml:space="preserve"> </w:t>
      </w:r>
      <w:r w:rsidRPr="003E7E6F">
        <w:t>dependent</w:t>
      </w:r>
      <w:r w:rsidR="00496C82" w:rsidRPr="003E7E6F">
        <w:t xml:space="preserve"> on chemical fertilizers and artificial fungicides in order to protect the yield. The "Green Revolution" method of heavy use of chemicals, however, is running out of returns (Tilman</w:t>
      </w:r>
      <w:r w:rsidR="006375C8" w:rsidRPr="003E7E6F">
        <w:t xml:space="preserve"> </w:t>
      </w:r>
      <w:r w:rsidR="00496C82" w:rsidRPr="003E7E6F">
        <w:rPr>
          <w:i/>
        </w:rPr>
        <w:t>et</w:t>
      </w:r>
      <w:r w:rsidR="006375C8" w:rsidRPr="003E7E6F">
        <w:rPr>
          <w:i/>
        </w:rPr>
        <w:t>.</w:t>
      </w:r>
      <w:r w:rsidR="00496C82" w:rsidRPr="003E7E6F">
        <w:rPr>
          <w:i/>
        </w:rPr>
        <w:t xml:space="preserve"> al.,</w:t>
      </w:r>
      <w:r w:rsidR="00496C82" w:rsidRPr="003E7E6F">
        <w:t xml:space="preserve"> 2002). The excessive dependence on these inputs has very serious implications </w:t>
      </w:r>
      <w:r w:rsidRPr="003E7E6F">
        <w:t>for</w:t>
      </w:r>
      <w:r w:rsidR="00496C82" w:rsidRPr="003E7E6F">
        <w:t xml:space="preserve"> environmental degradation, </w:t>
      </w:r>
      <w:r w:rsidRPr="003E7E6F">
        <w:t>groundwater</w:t>
      </w:r>
      <w:r w:rsidR="00496C82" w:rsidRPr="003E7E6F">
        <w:t xml:space="preserve"> pollution, decline in soil health</w:t>
      </w:r>
      <w:r w:rsidRPr="003E7E6F">
        <w:t>,</w:t>
      </w:r>
      <w:r w:rsidR="00496C82" w:rsidRPr="003E7E6F">
        <w:t xml:space="preserve"> and </w:t>
      </w:r>
      <w:r w:rsidRPr="003E7E6F">
        <w:t xml:space="preserve">the </w:t>
      </w:r>
      <w:r w:rsidR="00496C82" w:rsidRPr="003E7E6F">
        <w:t xml:space="preserve">development of pathogen strains that are resistant to multiple drugs. Thus, </w:t>
      </w:r>
      <w:r w:rsidRPr="003E7E6F">
        <w:t xml:space="preserve">a new course </w:t>
      </w:r>
      <w:r w:rsidR="00621AE8" w:rsidRPr="003E7E6F">
        <w:t>is</w:t>
      </w:r>
      <w:r w:rsidR="00496C82" w:rsidRPr="003E7E6F">
        <w:t xml:space="preserve"> urgently needed</w:t>
      </w:r>
      <w:r w:rsidR="00621AE8" w:rsidRPr="003E7E6F">
        <w:t>,</w:t>
      </w:r>
      <w:r w:rsidR="00496C82" w:rsidRPr="003E7E6F">
        <w:t xml:space="preserve"> the </w:t>
      </w:r>
      <w:r w:rsidRPr="003E7E6F">
        <w:t>“</w:t>
      </w:r>
      <w:r w:rsidR="00496C82" w:rsidRPr="003E7E6F">
        <w:t>Ecological Intensification</w:t>
      </w:r>
      <w:r w:rsidR="00621AE8" w:rsidRPr="003E7E6F">
        <w:t>,</w:t>
      </w:r>
      <w:r w:rsidRPr="003E7E6F">
        <w:t>”</w:t>
      </w:r>
      <w:r w:rsidR="00496C82" w:rsidRPr="003E7E6F">
        <w:t xml:space="preserve"> the increase in yields with a decrease in the environmental footprint (Tilman</w:t>
      </w:r>
      <w:r w:rsidR="006375C8" w:rsidRPr="003E7E6F">
        <w:t xml:space="preserve"> </w:t>
      </w:r>
      <w:r w:rsidR="00496C82" w:rsidRPr="003E7E6F">
        <w:rPr>
          <w:i/>
        </w:rPr>
        <w:t>et</w:t>
      </w:r>
      <w:r w:rsidR="006375C8" w:rsidRPr="003E7E6F">
        <w:rPr>
          <w:i/>
        </w:rPr>
        <w:t>.</w:t>
      </w:r>
      <w:r w:rsidR="00496C82" w:rsidRPr="003E7E6F">
        <w:rPr>
          <w:i/>
        </w:rPr>
        <w:t xml:space="preserve"> al.,</w:t>
      </w:r>
      <w:r w:rsidR="00496C82" w:rsidRPr="003E7E6F">
        <w:t xml:space="preserve"> 2011).</w:t>
      </w:r>
    </w:p>
    <w:p w:rsidR="00D65881" w:rsidRPr="003E7E6F" w:rsidRDefault="00D65881" w:rsidP="00452EA4">
      <w:pPr>
        <w:pStyle w:val="NormalWeb"/>
        <w:spacing w:before="0" w:beforeAutospacing="0" w:after="0" w:afterAutospacing="0" w:line="360" w:lineRule="auto"/>
        <w:jc w:val="both"/>
      </w:pPr>
      <w:r w:rsidRPr="003E7E6F">
        <w:t xml:space="preserve">The addition of bio-inoculants has become a solution to the problem as the strategy is sustainable and environmentally friendly. </w:t>
      </w:r>
      <w:r w:rsidRPr="003E7E6F">
        <w:rPr>
          <w:i/>
        </w:rPr>
        <w:t>Rhizobium</w:t>
      </w:r>
      <w:r w:rsidRPr="003E7E6F">
        <w:t xml:space="preserve"> species are highly reported to be effective due to their ability to increase the fixation of nitrogen, resulting in better vegetative growth and grain protein </w:t>
      </w:r>
      <w:r w:rsidRPr="003E7E6F">
        <w:lastRenderedPageBreak/>
        <w:t xml:space="preserve">levels. At the same time, versatile bio-control agents such as </w:t>
      </w:r>
      <w:r w:rsidRPr="003E7E6F">
        <w:rPr>
          <w:i/>
        </w:rPr>
        <w:t>Trichoderma</w:t>
      </w:r>
      <w:r w:rsidRPr="003E7E6F">
        <w:t xml:space="preserve"> species provide a twofold advantage: they not only eliminate soil-borne pathogens by means of mycoparasitism and competition for nutrients, but also antibiosis. Moreover, </w:t>
      </w:r>
      <w:r w:rsidRPr="003E7E6F">
        <w:rPr>
          <w:i/>
        </w:rPr>
        <w:t>Trichoderma</w:t>
      </w:r>
      <w:r w:rsidRPr="003E7E6F">
        <w:t xml:space="preserve"> is an effective plant growth promoter as it can solubilize insoluble phosphorus and induce Induced Systemic Resistance (ISR) in the whole plant (</w:t>
      </w:r>
      <w:proofErr w:type="spellStart"/>
      <w:r w:rsidRPr="003E7E6F">
        <w:t>Sarma</w:t>
      </w:r>
      <w:proofErr w:type="spellEnd"/>
      <w:r w:rsidR="006375C8" w:rsidRPr="003E7E6F">
        <w:t xml:space="preserve"> </w:t>
      </w:r>
      <w:r w:rsidRPr="003E7E6F">
        <w:rPr>
          <w:i/>
        </w:rPr>
        <w:t>et</w:t>
      </w:r>
      <w:r w:rsidR="006375C8" w:rsidRPr="003E7E6F">
        <w:rPr>
          <w:i/>
        </w:rPr>
        <w:t>.</w:t>
      </w:r>
      <w:r w:rsidRPr="003E7E6F">
        <w:rPr>
          <w:i/>
        </w:rPr>
        <w:t xml:space="preserve"> al.,</w:t>
      </w:r>
      <w:r w:rsidRPr="003E7E6F">
        <w:t xml:space="preserve"> 2020).</w:t>
      </w:r>
    </w:p>
    <w:p w:rsidR="00AF6342" w:rsidRPr="003E7E6F" w:rsidRDefault="00AF6342" w:rsidP="00AF6342">
      <w:pPr>
        <w:pStyle w:val="NormalWeb"/>
        <w:spacing w:after="0" w:line="360" w:lineRule="auto"/>
        <w:jc w:val="both"/>
      </w:pPr>
      <w:r w:rsidRPr="003E7E6F">
        <w:t>A combination of a nitrogen-fixing bacterium (</w:t>
      </w:r>
      <w:r w:rsidRPr="003E7E6F">
        <w:rPr>
          <w:i/>
        </w:rPr>
        <w:t>Rhizobium</w:t>
      </w:r>
      <w:r w:rsidRPr="003E7E6F">
        <w:t>) and bio-fungicide (</w:t>
      </w:r>
      <w:r w:rsidRPr="003E7E6F">
        <w:rPr>
          <w:i/>
        </w:rPr>
        <w:t>Trichoderma</w:t>
      </w:r>
      <w:r w:rsidRPr="003E7E6F">
        <w:t>) is a holistic solution to Integrated Nutrient Management (INM) and Integrated Disease Management (</w:t>
      </w:r>
      <w:proofErr w:type="spellStart"/>
      <w:r w:rsidRPr="003E7E6F">
        <w:t>Manikpuri</w:t>
      </w:r>
      <w:r w:rsidRPr="003E7E6F">
        <w:rPr>
          <w:i/>
        </w:rPr>
        <w:t>et</w:t>
      </w:r>
      <w:proofErr w:type="spellEnd"/>
      <w:r w:rsidRPr="003E7E6F">
        <w:rPr>
          <w:i/>
        </w:rPr>
        <w:t xml:space="preserve"> al.,</w:t>
      </w:r>
      <w:r w:rsidRPr="003E7E6F">
        <w:t xml:space="preserve"> 2023). These microbes can be used synergistically to form a so-called fortified rhizosphere, in which </w:t>
      </w:r>
      <w:r w:rsidRPr="003E7E6F">
        <w:rPr>
          <w:i/>
        </w:rPr>
        <w:t>Trichoderma</w:t>
      </w:r>
      <w:r w:rsidRPr="003E7E6F">
        <w:t xml:space="preserve"> guards against fungi on the young roots, so that the Rhizobium can successfully form nodules. Although the isolated efficacy of these microbes has been proven in laboratories, it is of great importance to prove their synergized efficacy in various and field-like conditions to close the gap between lab and land and promote their use on a large scale by farmers (Santos </w:t>
      </w:r>
      <w:r w:rsidRPr="003E7E6F">
        <w:rPr>
          <w:i/>
        </w:rPr>
        <w:t>et</w:t>
      </w:r>
      <w:r w:rsidR="006375C8" w:rsidRPr="003E7E6F">
        <w:rPr>
          <w:i/>
        </w:rPr>
        <w:t>.</w:t>
      </w:r>
      <w:r w:rsidRPr="003E7E6F">
        <w:rPr>
          <w:i/>
        </w:rPr>
        <w:t xml:space="preserve"> al.,</w:t>
      </w:r>
      <w:r w:rsidRPr="003E7E6F">
        <w:t xml:space="preserve"> 2021</w:t>
      </w:r>
      <w:r w:rsidR="00621AE8" w:rsidRPr="003E7E6F">
        <w:t>,</w:t>
      </w:r>
      <w:r w:rsidRPr="003E7E6F">
        <w:t xml:space="preserve"> and Babalola</w:t>
      </w:r>
      <w:r w:rsidR="006375C8" w:rsidRPr="003E7E6F">
        <w:t xml:space="preserve"> </w:t>
      </w:r>
      <w:r w:rsidRPr="003E7E6F">
        <w:rPr>
          <w:i/>
        </w:rPr>
        <w:t>et</w:t>
      </w:r>
      <w:r w:rsidR="006375C8" w:rsidRPr="003E7E6F">
        <w:rPr>
          <w:i/>
        </w:rPr>
        <w:t>.</w:t>
      </w:r>
      <w:r w:rsidRPr="003E7E6F">
        <w:rPr>
          <w:i/>
        </w:rPr>
        <w:t xml:space="preserve"> al.,</w:t>
      </w:r>
      <w:r w:rsidRPr="003E7E6F">
        <w:t xml:space="preserve"> 2024).</w:t>
      </w:r>
    </w:p>
    <w:p w:rsidR="00AF6342" w:rsidRPr="003E7E6F" w:rsidRDefault="00AF6342" w:rsidP="00AF6342">
      <w:pPr>
        <w:pStyle w:val="NormalWeb"/>
        <w:spacing w:after="0" w:line="360" w:lineRule="auto"/>
        <w:jc w:val="both"/>
      </w:pPr>
      <w:r w:rsidRPr="003E7E6F">
        <w:t xml:space="preserve">The current research was done to determine the effects of seed treatment using Rhizobium and soil application of </w:t>
      </w:r>
      <w:r w:rsidRPr="003E7E6F">
        <w:rPr>
          <w:i/>
        </w:rPr>
        <w:t>Trichoderma</w:t>
      </w:r>
      <w:r w:rsidR="006375C8" w:rsidRPr="003E7E6F">
        <w:rPr>
          <w:i/>
        </w:rPr>
        <w:t xml:space="preserve"> </w:t>
      </w:r>
      <w:proofErr w:type="spellStart"/>
      <w:r w:rsidRPr="003E7E6F">
        <w:rPr>
          <w:i/>
        </w:rPr>
        <w:t>viride</w:t>
      </w:r>
      <w:proofErr w:type="spellEnd"/>
      <w:r w:rsidRPr="003E7E6F">
        <w:t xml:space="preserve"> on the growth, yield attributes, and overall productivity of chickpea variety GNG-2144 in ten separate fields of different farmers (Yadav </w:t>
      </w:r>
      <w:r w:rsidRPr="003E7E6F">
        <w:rPr>
          <w:i/>
        </w:rPr>
        <w:t xml:space="preserve">et. al. </w:t>
      </w:r>
      <w:r w:rsidRPr="003E7E6F">
        <w:t xml:space="preserve">2025). This study will provide a data-based confirmation </w:t>
      </w:r>
      <w:r w:rsidR="00621AE8" w:rsidRPr="003E7E6F">
        <w:t>of</w:t>
      </w:r>
      <w:r w:rsidRPr="003E7E6F">
        <w:t xml:space="preserve"> the value of bio-agents as a cost-effective solution to improving the economic gains and soil-resistance of pulse production by comparing these integrated </w:t>
      </w:r>
      <w:r w:rsidR="00621AE8" w:rsidRPr="003E7E6F">
        <w:t>treatments</w:t>
      </w:r>
      <w:r w:rsidRPr="003E7E6F">
        <w:t xml:space="preserve"> against conventional Farmer Practices (FP).</w:t>
      </w:r>
    </w:p>
    <w:p w:rsidR="00C06782" w:rsidRPr="003E7E6F" w:rsidRDefault="007A1914" w:rsidP="00452EA4">
      <w:pPr>
        <w:spacing w:after="0" w:line="360" w:lineRule="auto"/>
        <w:jc w:val="center"/>
        <w:rPr>
          <w:rFonts w:ascii="Times New Roman" w:hAnsi="Times New Roman" w:cs="Times New Roman"/>
          <w:b/>
          <w:bCs/>
          <w:sz w:val="24"/>
          <w:szCs w:val="24"/>
        </w:rPr>
      </w:pPr>
      <w:r w:rsidRPr="003E7E6F">
        <w:rPr>
          <w:rFonts w:ascii="Times New Roman" w:hAnsi="Times New Roman" w:cs="Times New Roman"/>
          <w:b/>
          <w:bCs/>
          <w:sz w:val="24"/>
          <w:szCs w:val="24"/>
        </w:rPr>
        <w:t>MATERIALS AND METHOD</w:t>
      </w:r>
    </w:p>
    <w:p w:rsidR="004135E9" w:rsidRPr="003E7E6F" w:rsidRDefault="004135E9" w:rsidP="00452EA4">
      <w:pPr>
        <w:pStyle w:val="Heading3"/>
        <w:spacing w:before="0" w:line="360" w:lineRule="auto"/>
        <w:jc w:val="both"/>
        <w:rPr>
          <w:rFonts w:ascii="Times New Roman" w:hAnsi="Times New Roman" w:cs="Times New Roman"/>
          <w:color w:val="auto"/>
          <w:sz w:val="24"/>
          <w:szCs w:val="24"/>
        </w:rPr>
      </w:pPr>
      <w:r w:rsidRPr="003E7E6F">
        <w:rPr>
          <w:rFonts w:ascii="Times New Roman" w:hAnsi="Times New Roman" w:cs="Times New Roman"/>
          <w:color w:val="auto"/>
          <w:sz w:val="24"/>
          <w:szCs w:val="24"/>
        </w:rPr>
        <w:t>1. Research Design and Layout</w:t>
      </w:r>
    </w:p>
    <w:p w:rsidR="00AF6342" w:rsidRPr="003E7E6F" w:rsidRDefault="007A1914" w:rsidP="00AF6342">
      <w:pPr>
        <w:pStyle w:val="NormalWeb"/>
        <w:numPr>
          <w:ilvl w:val="0"/>
          <w:numId w:val="2"/>
        </w:numPr>
        <w:spacing w:before="0" w:beforeAutospacing="0" w:after="0" w:afterAutospacing="0" w:line="360" w:lineRule="auto"/>
        <w:jc w:val="both"/>
      </w:pPr>
      <w:r w:rsidRPr="003E7E6F">
        <w:rPr>
          <w:b/>
          <w:bCs/>
        </w:rPr>
        <w:t>Location and</w:t>
      </w:r>
      <w:r w:rsidR="004135E9" w:rsidRPr="003E7E6F">
        <w:rPr>
          <w:b/>
          <w:bCs/>
        </w:rPr>
        <w:t xml:space="preserve"> </w:t>
      </w:r>
      <w:proofErr w:type="spellStart"/>
      <w:proofErr w:type="gramStart"/>
      <w:r w:rsidR="004135E9" w:rsidRPr="003E7E6F">
        <w:rPr>
          <w:b/>
          <w:bCs/>
        </w:rPr>
        <w:t>Climate:</w:t>
      </w:r>
      <w:r w:rsidR="00AF6342" w:rsidRPr="003E7E6F">
        <w:t>The</w:t>
      </w:r>
      <w:proofErr w:type="spellEnd"/>
      <w:proofErr w:type="gramEnd"/>
      <w:r w:rsidR="00AF6342" w:rsidRPr="003E7E6F">
        <w:t xml:space="preserve"> </w:t>
      </w:r>
      <w:r w:rsidR="00621AE8" w:rsidRPr="003E7E6F">
        <w:t>experiment</w:t>
      </w:r>
      <w:r w:rsidR="00AF6342" w:rsidRPr="003E7E6F">
        <w:t xml:space="preserve"> was performed on ten fields (F1-F10) of farmers in distract Sitapur with the soil type being sandy loam and semi-arid </w:t>
      </w:r>
      <w:r w:rsidR="006375C8" w:rsidRPr="003E7E6F">
        <w:t>climate throughout the year 2023</w:t>
      </w:r>
      <w:r w:rsidR="00AF6342" w:rsidRPr="003E7E6F">
        <w:t>-2</w:t>
      </w:r>
      <w:r w:rsidR="006375C8" w:rsidRPr="003E7E6F">
        <w:t>4</w:t>
      </w:r>
      <w:r w:rsidR="00AF6342" w:rsidRPr="003E7E6F">
        <w:t>.</w:t>
      </w:r>
    </w:p>
    <w:p w:rsidR="004135E9" w:rsidRPr="003E7E6F" w:rsidRDefault="004135E9" w:rsidP="00AF6342">
      <w:pPr>
        <w:pStyle w:val="NormalWeb"/>
        <w:numPr>
          <w:ilvl w:val="0"/>
          <w:numId w:val="2"/>
        </w:numPr>
        <w:spacing w:before="0" w:beforeAutospacing="0" w:after="0" w:afterAutospacing="0" w:line="360" w:lineRule="auto"/>
        <w:jc w:val="both"/>
      </w:pPr>
      <w:r w:rsidRPr="003E7E6F">
        <w:rPr>
          <w:b/>
          <w:bCs/>
        </w:rPr>
        <w:t>Experimental Design:</w:t>
      </w:r>
      <w:r w:rsidRPr="003E7E6F">
        <w:t xml:space="preserve"> The study followed a Paired Plot Design (or Simple Randomized Block Design) to compare the "Demo" treatment against the "Farmer Practice" (FP) control on the same variety (GNG-2144).</w:t>
      </w:r>
    </w:p>
    <w:p w:rsidR="004135E9" w:rsidRPr="003E7E6F" w:rsidRDefault="004135E9" w:rsidP="00452EA4">
      <w:pPr>
        <w:pStyle w:val="NormalWeb"/>
        <w:numPr>
          <w:ilvl w:val="0"/>
          <w:numId w:val="2"/>
        </w:numPr>
        <w:spacing w:before="0" w:beforeAutospacing="0" w:after="0" w:afterAutospacing="0" w:line="360" w:lineRule="auto"/>
        <w:jc w:val="both"/>
      </w:pPr>
      <w:r w:rsidRPr="003E7E6F">
        <w:rPr>
          <w:b/>
          <w:bCs/>
        </w:rPr>
        <w:t>Crop Details:</w:t>
      </w:r>
      <w:r w:rsidRPr="003E7E6F">
        <w:t xml:space="preserve"> Sowing typically occurs in the first week of October with a seed rate of 60–75 kg ha</w:t>
      </w:r>
      <w:r w:rsidRPr="003E7E6F">
        <w:rPr>
          <w:vertAlign w:val="superscript"/>
        </w:rPr>
        <w:t>-1</w:t>
      </w:r>
      <w:r w:rsidRPr="003E7E6F">
        <w:t xml:space="preserve"> and a spacing of 30 cm x 10 cm.</w:t>
      </w:r>
    </w:p>
    <w:p w:rsidR="004135E9" w:rsidRPr="003E7E6F" w:rsidRDefault="004135E9" w:rsidP="00452EA4">
      <w:pPr>
        <w:pStyle w:val="Heading3"/>
        <w:spacing w:before="0" w:line="360" w:lineRule="auto"/>
        <w:jc w:val="both"/>
        <w:rPr>
          <w:rFonts w:ascii="Times New Roman" w:hAnsi="Times New Roman" w:cs="Times New Roman"/>
          <w:color w:val="auto"/>
          <w:sz w:val="24"/>
          <w:szCs w:val="24"/>
        </w:rPr>
      </w:pPr>
      <w:r w:rsidRPr="003E7E6F">
        <w:rPr>
          <w:rFonts w:ascii="Times New Roman" w:hAnsi="Times New Roman" w:cs="Times New Roman"/>
          <w:color w:val="auto"/>
          <w:sz w:val="24"/>
          <w:szCs w:val="24"/>
        </w:rPr>
        <w:lastRenderedPageBreak/>
        <w:t>2. Treatment Protocol (Materials)</w:t>
      </w:r>
    </w:p>
    <w:p w:rsidR="004135E9" w:rsidRPr="003E7E6F" w:rsidRDefault="004135E9" w:rsidP="00452EA4">
      <w:pPr>
        <w:pStyle w:val="NormalWeb"/>
        <w:spacing w:before="0" w:beforeAutospacing="0" w:after="0" w:afterAutospacing="0" w:line="360" w:lineRule="auto"/>
        <w:jc w:val="both"/>
      </w:pPr>
      <w:r w:rsidRPr="003E7E6F">
        <w:t>The specific bio-inoculants used in the "Demo" plots were:</w:t>
      </w:r>
    </w:p>
    <w:p w:rsidR="004135E9" w:rsidRPr="003E7E6F" w:rsidRDefault="004135E9" w:rsidP="00452EA4">
      <w:pPr>
        <w:pStyle w:val="NormalWeb"/>
        <w:numPr>
          <w:ilvl w:val="0"/>
          <w:numId w:val="3"/>
        </w:numPr>
        <w:spacing w:before="0" w:beforeAutospacing="0" w:after="0" w:afterAutospacing="0" w:line="360" w:lineRule="auto"/>
        <w:jc w:val="both"/>
      </w:pPr>
      <w:r w:rsidRPr="003E7E6F">
        <w:rPr>
          <w:b/>
          <w:bCs/>
        </w:rPr>
        <w:t>Seed Treatment:</w:t>
      </w:r>
      <w:r w:rsidRPr="003E7E6F">
        <w:t xml:space="preserve"> Seeds were treated with </w:t>
      </w:r>
      <w:r w:rsidRPr="003E7E6F">
        <w:rPr>
          <w:i/>
          <w:iCs/>
        </w:rPr>
        <w:t>Rhizobium</w:t>
      </w:r>
      <w:r w:rsidRPr="003E7E6F">
        <w:t xml:space="preserve"> culture at a rate of 10 gkg</w:t>
      </w:r>
      <w:r w:rsidR="008E3861" w:rsidRPr="003E7E6F">
        <w:rPr>
          <w:vertAlign w:val="superscript"/>
        </w:rPr>
        <w:t>-1</w:t>
      </w:r>
      <w:r w:rsidRPr="003E7E6F">
        <w:t xml:space="preserve"> of seed. In research practice, seeds are often coated using a 1% jaggery (sugar) solution as a binder to ensure proper bacterial adherence</w:t>
      </w:r>
      <w:r w:rsidR="006B1873" w:rsidRPr="003E7E6F">
        <w:t xml:space="preserve"> (</w:t>
      </w:r>
      <w:proofErr w:type="spellStart"/>
      <w:r w:rsidR="006B1873" w:rsidRPr="003E7E6F">
        <w:t>Somasegaran</w:t>
      </w:r>
      <w:proofErr w:type="spellEnd"/>
      <w:r w:rsidR="006375C8" w:rsidRPr="003E7E6F">
        <w:t xml:space="preserve"> </w:t>
      </w:r>
      <w:r w:rsidR="006B1873" w:rsidRPr="003E7E6F">
        <w:rPr>
          <w:i/>
          <w:iCs/>
        </w:rPr>
        <w:t>et</w:t>
      </w:r>
      <w:r w:rsidR="006375C8" w:rsidRPr="003E7E6F">
        <w:rPr>
          <w:i/>
          <w:iCs/>
        </w:rPr>
        <w:t>.</w:t>
      </w:r>
      <w:r w:rsidR="006B1873" w:rsidRPr="003E7E6F">
        <w:rPr>
          <w:i/>
          <w:iCs/>
        </w:rPr>
        <w:t xml:space="preserve"> al.,</w:t>
      </w:r>
      <w:r w:rsidR="006B1873" w:rsidRPr="003E7E6F">
        <w:t xml:space="preserve"> 1994)</w:t>
      </w:r>
      <w:r w:rsidRPr="003E7E6F">
        <w:t>.</w:t>
      </w:r>
    </w:p>
    <w:p w:rsidR="004135E9" w:rsidRPr="003E7E6F" w:rsidRDefault="004135E9" w:rsidP="00452EA4">
      <w:pPr>
        <w:pStyle w:val="NormalWeb"/>
        <w:numPr>
          <w:ilvl w:val="0"/>
          <w:numId w:val="3"/>
        </w:numPr>
        <w:spacing w:before="0" w:beforeAutospacing="0" w:after="0" w:afterAutospacing="0" w:line="360" w:lineRule="auto"/>
        <w:jc w:val="both"/>
      </w:pPr>
      <w:r w:rsidRPr="003E7E6F">
        <w:rPr>
          <w:b/>
          <w:bCs/>
        </w:rPr>
        <w:t>Soil Treatment:</w:t>
      </w:r>
      <w:r w:rsidR="006375C8" w:rsidRPr="003E7E6F">
        <w:rPr>
          <w:b/>
          <w:bCs/>
        </w:rPr>
        <w:t xml:space="preserve"> </w:t>
      </w:r>
      <w:r w:rsidRPr="003E7E6F">
        <w:rPr>
          <w:i/>
          <w:iCs/>
        </w:rPr>
        <w:t>Trichoderma</w:t>
      </w:r>
      <w:r w:rsidR="006375C8" w:rsidRPr="003E7E6F">
        <w:rPr>
          <w:i/>
          <w:iCs/>
        </w:rPr>
        <w:t xml:space="preserve"> </w:t>
      </w:r>
      <w:proofErr w:type="spellStart"/>
      <w:r w:rsidRPr="003E7E6F">
        <w:rPr>
          <w:i/>
          <w:iCs/>
        </w:rPr>
        <w:t>viride</w:t>
      </w:r>
      <w:proofErr w:type="spellEnd"/>
      <w:r w:rsidRPr="003E7E6F">
        <w:t xml:space="preserve"> was applied to the soil at </w:t>
      </w:r>
      <w:r w:rsidR="008E3861" w:rsidRPr="003E7E6F">
        <w:t xml:space="preserve">5 kg </w:t>
      </w:r>
      <w:r w:rsidRPr="003E7E6F">
        <w:t>ha</w:t>
      </w:r>
      <w:r w:rsidR="008E3861" w:rsidRPr="003E7E6F">
        <w:rPr>
          <w:vertAlign w:val="superscript"/>
        </w:rPr>
        <w:t>-1</w:t>
      </w:r>
      <w:r w:rsidRPr="003E7E6F">
        <w:t xml:space="preserve">. Standard research methodology often involves mixing the </w:t>
      </w:r>
      <w:r w:rsidRPr="003E7E6F">
        <w:rPr>
          <w:i/>
          <w:iCs/>
        </w:rPr>
        <w:t>Trichoderma</w:t>
      </w:r>
      <w:r w:rsidRPr="003E7E6F">
        <w:t xml:space="preserve"> with 250 kg of well-rotted Farm Yard Manure (FYM) and allowing it to proliferate for 7 days before application during field preparation.</w:t>
      </w:r>
    </w:p>
    <w:p w:rsidR="004135E9" w:rsidRPr="003E7E6F" w:rsidRDefault="004135E9" w:rsidP="00452EA4">
      <w:pPr>
        <w:pStyle w:val="Heading3"/>
        <w:spacing w:before="0" w:line="360" w:lineRule="auto"/>
        <w:jc w:val="both"/>
        <w:rPr>
          <w:rFonts w:ascii="Times New Roman" w:hAnsi="Times New Roman" w:cs="Times New Roman"/>
          <w:color w:val="auto"/>
          <w:sz w:val="24"/>
          <w:szCs w:val="24"/>
        </w:rPr>
      </w:pPr>
      <w:r w:rsidRPr="003E7E6F">
        <w:rPr>
          <w:rFonts w:ascii="Times New Roman" w:hAnsi="Times New Roman" w:cs="Times New Roman"/>
          <w:color w:val="auto"/>
          <w:sz w:val="24"/>
          <w:szCs w:val="24"/>
        </w:rPr>
        <w:t>3. Met</w:t>
      </w:r>
      <w:r w:rsidR="002041D9" w:rsidRPr="003E7E6F">
        <w:rPr>
          <w:rFonts w:ascii="Times New Roman" w:hAnsi="Times New Roman" w:cs="Times New Roman"/>
          <w:color w:val="auto"/>
          <w:sz w:val="24"/>
          <w:szCs w:val="24"/>
        </w:rPr>
        <w:t>hodo</w:t>
      </w:r>
      <w:r w:rsidRPr="003E7E6F">
        <w:rPr>
          <w:rFonts w:ascii="Times New Roman" w:hAnsi="Times New Roman" w:cs="Times New Roman"/>
          <w:color w:val="auto"/>
          <w:sz w:val="24"/>
          <w:szCs w:val="24"/>
        </w:rPr>
        <w:t>logy: Data Collection Parameters</w:t>
      </w:r>
    </w:p>
    <w:p w:rsidR="004135E9" w:rsidRPr="003E7E6F" w:rsidRDefault="004135E9" w:rsidP="00452EA4">
      <w:pPr>
        <w:pStyle w:val="NormalWeb"/>
        <w:spacing w:before="0" w:beforeAutospacing="0" w:after="0" w:afterAutospacing="0" w:line="360" w:lineRule="auto"/>
        <w:jc w:val="both"/>
      </w:pPr>
      <w:r w:rsidRPr="003E7E6F">
        <w:t>Data was recorded using standard agronomic measurement techniques:</w:t>
      </w:r>
    </w:p>
    <w:p w:rsidR="008E3861" w:rsidRPr="003E7E6F" w:rsidRDefault="004135E9" w:rsidP="00452EA4">
      <w:pPr>
        <w:pStyle w:val="NormalWeb"/>
        <w:numPr>
          <w:ilvl w:val="0"/>
          <w:numId w:val="4"/>
        </w:numPr>
        <w:spacing w:before="0" w:beforeAutospacing="0" w:after="0" w:afterAutospacing="0" w:line="360" w:lineRule="auto"/>
        <w:jc w:val="both"/>
      </w:pPr>
      <w:r w:rsidRPr="003E7E6F">
        <w:rPr>
          <w:b/>
          <w:bCs/>
        </w:rPr>
        <w:t>Growth Metrics:</w:t>
      </w:r>
    </w:p>
    <w:p w:rsidR="004135E9" w:rsidRPr="003E7E6F" w:rsidRDefault="004135E9" w:rsidP="00452EA4">
      <w:pPr>
        <w:pStyle w:val="NormalWeb"/>
        <w:numPr>
          <w:ilvl w:val="1"/>
          <w:numId w:val="4"/>
        </w:numPr>
        <w:spacing w:before="0" w:beforeAutospacing="0" w:after="0" w:afterAutospacing="0" w:line="360" w:lineRule="auto"/>
        <w:jc w:val="both"/>
      </w:pPr>
      <w:r w:rsidRPr="003E7E6F">
        <w:rPr>
          <w:b/>
          <w:bCs/>
        </w:rPr>
        <w:t>Plant Height (cm):</w:t>
      </w:r>
      <w:r w:rsidRPr="003E7E6F">
        <w:t xml:space="preserve"> Measured from the ground level to the tip of the highest leaf at the time of harvest.</w:t>
      </w:r>
    </w:p>
    <w:p w:rsidR="004135E9" w:rsidRPr="003E7E6F" w:rsidRDefault="004135E9" w:rsidP="00452EA4">
      <w:pPr>
        <w:pStyle w:val="NormalWeb"/>
        <w:numPr>
          <w:ilvl w:val="1"/>
          <w:numId w:val="4"/>
        </w:numPr>
        <w:spacing w:before="0" w:beforeAutospacing="0" w:after="0" w:afterAutospacing="0" w:line="360" w:lineRule="auto"/>
        <w:jc w:val="both"/>
      </w:pPr>
      <w:r w:rsidRPr="003E7E6F">
        <w:rPr>
          <w:b/>
          <w:bCs/>
        </w:rPr>
        <w:t>Primary Branches:</w:t>
      </w:r>
      <w:r w:rsidRPr="003E7E6F">
        <w:t xml:space="preserve"> Counted as the number of main branches emerging from the primary stem.</w:t>
      </w:r>
    </w:p>
    <w:p w:rsidR="004135E9" w:rsidRPr="003E7E6F" w:rsidRDefault="004135E9" w:rsidP="00452EA4">
      <w:pPr>
        <w:pStyle w:val="NormalWeb"/>
        <w:numPr>
          <w:ilvl w:val="0"/>
          <w:numId w:val="4"/>
        </w:numPr>
        <w:spacing w:before="0" w:beforeAutospacing="0" w:after="0" w:afterAutospacing="0" w:line="360" w:lineRule="auto"/>
        <w:jc w:val="both"/>
      </w:pPr>
      <w:r w:rsidRPr="003E7E6F">
        <w:rPr>
          <w:b/>
          <w:bCs/>
        </w:rPr>
        <w:t>Yield Attributes:</w:t>
      </w:r>
    </w:p>
    <w:p w:rsidR="004135E9" w:rsidRPr="003E7E6F" w:rsidRDefault="004135E9" w:rsidP="00452EA4">
      <w:pPr>
        <w:pStyle w:val="NormalWeb"/>
        <w:numPr>
          <w:ilvl w:val="1"/>
          <w:numId w:val="4"/>
        </w:numPr>
        <w:spacing w:before="0" w:beforeAutospacing="0" w:after="0" w:afterAutospacing="0" w:line="360" w:lineRule="auto"/>
        <w:jc w:val="both"/>
      </w:pPr>
      <w:r w:rsidRPr="003E7E6F">
        <w:rPr>
          <w:b/>
          <w:bCs/>
        </w:rPr>
        <w:t>Pod Count:</w:t>
      </w:r>
      <w:r w:rsidRPr="003E7E6F">
        <w:t xml:space="preserve"> The average number of pods from 10 randomly selected plants per plot.</w:t>
      </w:r>
    </w:p>
    <w:p w:rsidR="00634880" w:rsidRPr="003E7E6F" w:rsidRDefault="00634880" w:rsidP="00452EA4">
      <w:pPr>
        <w:pStyle w:val="NormalWeb"/>
        <w:numPr>
          <w:ilvl w:val="1"/>
          <w:numId w:val="4"/>
        </w:numPr>
        <w:spacing w:before="0" w:beforeAutospacing="0" w:after="0" w:afterAutospacing="0" w:line="360" w:lineRule="auto"/>
        <w:jc w:val="both"/>
      </w:pPr>
      <w:r w:rsidRPr="003E7E6F">
        <w:rPr>
          <w:b/>
          <w:bCs/>
        </w:rPr>
        <w:t>Seed per pod-</w:t>
      </w:r>
      <w:r w:rsidRPr="003E7E6F">
        <w:t xml:space="preserve"> The average number of </w:t>
      </w:r>
      <w:r w:rsidR="00621AE8" w:rsidRPr="003E7E6F">
        <w:t>seeds</w:t>
      </w:r>
      <w:r w:rsidRPr="003E7E6F">
        <w:t xml:space="preserve"> from 10 randomly selected plants per pod.</w:t>
      </w:r>
    </w:p>
    <w:p w:rsidR="004135E9" w:rsidRPr="003E7E6F" w:rsidRDefault="004135E9" w:rsidP="00452EA4">
      <w:pPr>
        <w:pStyle w:val="NormalWeb"/>
        <w:numPr>
          <w:ilvl w:val="1"/>
          <w:numId w:val="4"/>
        </w:numPr>
        <w:spacing w:before="0" w:beforeAutospacing="0" w:after="0" w:afterAutospacing="0" w:line="360" w:lineRule="auto"/>
        <w:jc w:val="both"/>
      </w:pPr>
      <w:r w:rsidRPr="003E7E6F">
        <w:rPr>
          <w:b/>
          <w:bCs/>
        </w:rPr>
        <w:t>Test Weight (g):</w:t>
      </w:r>
      <w:r w:rsidRPr="003E7E6F">
        <w:t xml:space="preserve"> The weight of 100 randomly selected seeds, adjusted to a constant moisture level (typically 10-12%).</w:t>
      </w:r>
    </w:p>
    <w:p w:rsidR="004135E9" w:rsidRPr="003E7E6F" w:rsidRDefault="004135E9" w:rsidP="00452EA4">
      <w:pPr>
        <w:pStyle w:val="NormalWeb"/>
        <w:numPr>
          <w:ilvl w:val="0"/>
          <w:numId w:val="4"/>
        </w:numPr>
        <w:spacing w:before="0" w:beforeAutospacing="0" w:after="0" w:afterAutospacing="0" w:line="360" w:lineRule="auto"/>
        <w:jc w:val="both"/>
      </w:pPr>
      <w:r w:rsidRPr="003E7E6F">
        <w:rPr>
          <w:b/>
          <w:bCs/>
        </w:rPr>
        <w:t>Yield Determination:</w:t>
      </w:r>
    </w:p>
    <w:p w:rsidR="004135E9" w:rsidRPr="003E7E6F" w:rsidRDefault="004135E9" w:rsidP="00452EA4">
      <w:pPr>
        <w:pStyle w:val="NormalWeb"/>
        <w:numPr>
          <w:ilvl w:val="1"/>
          <w:numId w:val="4"/>
        </w:numPr>
        <w:spacing w:before="0" w:beforeAutospacing="0" w:after="0" w:afterAutospacing="0" w:line="360" w:lineRule="auto"/>
        <w:jc w:val="both"/>
      </w:pPr>
      <w:r w:rsidRPr="003E7E6F">
        <w:rPr>
          <w:b/>
          <w:bCs/>
        </w:rPr>
        <w:t>Grain Yield (q</w:t>
      </w:r>
      <w:r w:rsidR="008E3861" w:rsidRPr="003E7E6F">
        <w:rPr>
          <w:b/>
          <w:bCs/>
        </w:rPr>
        <w:t xml:space="preserve"> ha</w:t>
      </w:r>
      <w:r w:rsidR="008E3861" w:rsidRPr="003E7E6F">
        <w:rPr>
          <w:b/>
          <w:bCs/>
          <w:vertAlign w:val="superscript"/>
        </w:rPr>
        <w:t>-1</w:t>
      </w:r>
      <w:r w:rsidRPr="003E7E6F">
        <w:rPr>
          <w:b/>
          <w:bCs/>
        </w:rPr>
        <w:t>):</w:t>
      </w:r>
      <w:r w:rsidRPr="003E7E6F">
        <w:t xml:space="preserve"> Measured by harvesting the net plot area, threshing, and weighing the clean grain, then converting the value to quintals per hectare.</w:t>
      </w:r>
    </w:p>
    <w:p w:rsidR="005E1817" w:rsidRPr="003E7E6F" w:rsidRDefault="005E1817" w:rsidP="00452EA4">
      <w:pPr>
        <w:pStyle w:val="NormalWeb"/>
        <w:numPr>
          <w:ilvl w:val="1"/>
          <w:numId w:val="4"/>
        </w:numPr>
        <w:spacing w:before="0" w:beforeAutospacing="0" w:after="0" w:afterAutospacing="0" w:line="360" w:lineRule="auto"/>
        <w:jc w:val="both"/>
      </w:pPr>
      <w:r w:rsidRPr="003E7E6F">
        <w:rPr>
          <w:b/>
          <w:bCs/>
        </w:rPr>
        <w:t xml:space="preserve">Biological </w:t>
      </w:r>
      <w:proofErr w:type="gramStart"/>
      <w:r w:rsidRPr="003E7E6F">
        <w:rPr>
          <w:b/>
          <w:bCs/>
        </w:rPr>
        <w:t>yield(</w:t>
      </w:r>
      <w:proofErr w:type="gramEnd"/>
      <w:r w:rsidRPr="003E7E6F">
        <w:rPr>
          <w:b/>
          <w:bCs/>
        </w:rPr>
        <w:t>q ha</w:t>
      </w:r>
      <w:r w:rsidRPr="003E7E6F">
        <w:rPr>
          <w:b/>
          <w:bCs/>
          <w:vertAlign w:val="superscript"/>
        </w:rPr>
        <w:t>-1</w:t>
      </w:r>
      <w:r w:rsidRPr="003E7E6F">
        <w:rPr>
          <w:b/>
          <w:bCs/>
        </w:rPr>
        <w:t>):</w:t>
      </w:r>
      <w:r w:rsidRPr="003E7E6F">
        <w:t xml:space="preserve">  The biological yield is the sum of the grain yield and the straw yield. To convert the plot data into the standard unit of quintals per hectare (q ha⁻¹).</w:t>
      </w:r>
    </w:p>
    <w:p w:rsidR="005E1817" w:rsidRPr="003E7E6F" w:rsidRDefault="005E1817" w:rsidP="00452EA4">
      <w:pPr>
        <w:pStyle w:val="NormalWeb"/>
        <w:numPr>
          <w:ilvl w:val="1"/>
          <w:numId w:val="4"/>
        </w:numPr>
        <w:spacing w:before="0" w:beforeAutospacing="0" w:after="0" w:afterAutospacing="0" w:line="360" w:lineRule="auto"/>
        <w:jc w:val="both"/>
      </w:pPr>
      <w:r w:rsidRPr="003E7E6F">
        <w:rPr>
          <w:b/>
        </w:rPr>
        <w:lastRenderedPageBreak/>
        <w:t>Stover Yield (q ha</w:t>
      </w:r>
      <w:r w:rsidRPr="003E7E6F">
        <w:rPr>
          <w:b/>
          <w:vertAlign w:val="superscript"/>
        </w:rPr>
        <w:t>-1</w:t>
      </w:r>
      <w:r w:rsidRPr="003E7E6F">
        <w:rPr>
          <w:b/>
        </w:rPr>
        <w:t xml:space="preserve">): </w:t>
      </w:r>
      <w:r w:rsidRPr="003E7E6F">
        <w:rPr>
          <w:bCs/>
        </w:rPr>
        <w:t xml:space="preserve">The </w:t>
      </w:r>
      <w:proofErr w:type="spellStart"/>
      <w:r w:rsidRPr="003E7E6F">
        <w:rPr>
          <w:bCs/>
        </w:rPr>
        <w:t>stover</w:t>
      </w:r>
      <w:proofErr w:type="spellEnd"/>
      <w:r w:rsidRPr="003E7E6F">
        <w:rPr>
          <w:bCs/>
        </w:rPr>
        <w:t xml:space="preserve"> yield was computed by subtracting the grain yield from the biomass of respective crops and then converted into quintal per hectare.</w:t>
      </w:r>
    </w:p>
    <w:p w:rsidR="005E1817" w:rsidRPr="003E7E6F" w:rsidRDefault="005E1817" w:rsidP="00452EA4">
      <w:pPr>
        <w:pStyle w:val="NormalWeb"/>
        <w:numPr>
          <w:ilvl w:val="1"/>
          <w:numId w:val="4"/>
        </w:numPr>
        <w:spacing w:before="0" w:beforeAutospacing="0" w:after="0" w:afterAutospacing="0" w:line="360" w:lineRule="auto"/>
        <w:jc w:val="both"/>
      </w:pPr>
      <w:r w:rsidRPr="003E7E6F">
        <w:rPr>
          <w:b/>
          <w:bCs/>
        </w:rPr>
        <w:t>Harvest Index (HI):</w:t>
      </w:r>
      <w:r w:rsidRPr="003E7E6F">
        <w:t xml:space="preserve"> The biological yield is also a critical component in calculating the Harvest Index, which measures the efficiency of the plant in converting total biomass into grain:</w:t>
      </w:r>
    </w:p>
    <w:p w:rsidR="005E1817" w:rsidRPr="003E7E6F" w:rsidRDefault="005E1817" w:rsidP="00452EA4">
      <w:pPr>
        <w:pStyle w:val="ListParagraph"/>
        <w:spacing w:after="0" w:line="360" w:lineRule="auto"/>
        <w:jc w:val="both"/>
        <w:rPr>
          <w:rFonts w:ascii="Times New Roman" w:hAnsi="Times New Roman" w:cs="Times New Roman"/>
          <w:b/>
          <w:sz w:val="24"/>
          <w:szCs w:val="24"/>
        </w:rPr>
      </w:pPr>
      <w:r w:rsidRPr="003E7E6F">
        <w:rPr>
          <w:rFonts w:ascii="Times New Roman" w:hAnsi="Times New Roman" w:cs="Times New Roman"/>
          <w:b/>
          <w:sz w:val="24"/>
          <w:szCs w:val="24"/>
        </w:rPr>
        <w:t>HI = (Grain yield / Total biological yield) x 100 %</w:t>
      </w:r>
    </w:p>
    <w:p w:rsidR="004135E9" w:rsidRPr="003E7E6F" w:rsidRDefault="003E0BE2" w:rsidP="00452EA4">
      <w:pPr>
        <w:pStyle w:val="Heading3"/>
        <w:spacing w:before="0" w:line="360" w:lineRule="auto"/>
        <w:jc w:val="both"/>
        <w:rPr>
          <w:rFonts w:ascii="Times New Roman" w:hAnsi="Times New Roman" w:cs="Times New Roman"/>
          <w:color w:val="auto"/>
          <w:sz w:val="24"/>
          <w:szCs w:val="24"/>
        </w:rPr>
      </w:pPr>
      <w:r w:rsidRPr="003E7E6F">
        <w:rPr>
          <w:rFonts w:ascii="Times New Roman" w:hAnsi="Times New Roman" w:cs="Times New Roman"/>
          <w:color w:val="auto"/>
          <w:sz w:val="24"/>
          <w:szCs w:val="24"/>
        </w:rPr>
        <w:t>4. Statistical Analysis</w:t>
      </w:r>
    </w:p>
    <w:p w:rsidR="004135E9" w:rsidRPr="003E7E6F" w:rsidRDefault="004135E9" w:rsidP="00452EA4">
      <w:pPr>
        <w:pStyle w:val="NormalWeb"/>
        <w:numPr>
          <w:ilvl w:val="0"/>
          <w:numId w:val="5"/>
        </w:numPr>
        <w:spacing w:before="0" w:beforeAutospacing="0" w:after="0" w:afterAutospacing="0" w:line="360" w:lineRule="auto"/>
        <w:jc w:val="both"/>
      </w:pPr>
      <w:r w:rsidRPr="003E7E6F">
        <w:rPr>
          <w:b/>
          <w:bCs/>
        </w:rPr>
        <w:t>Mean Calculation:</w:t>
      </w:r>
      <w:r w:rsidRPr="003E7E6F">
        <w:t xml:space="preserve"> Arithmetic means were derived for all 10 replicates (</w:t>
      </w:r>
      <w:r w:rsidR="00462BC8" w:rsidRPr="003E7E6F">
        <w:t>Table-01</w:t>
      </w:r>
      <w:r w:rsidRPr="003E7E6F">
        <w:t>).</w:t>
      </w:r>
    </w:p>
    <w:p w:rsidR="004135E9" w:rsidRPr="003E7E6F" w:rsidRDefault="004135E9" w:rsidP="00452EA4">
      <w:pPr>
        <w:pStyle w:val="NormalWeb"/>
        <w:numPr>
          <w:ilvl w:val="0"/>
          <w:numId w:val="5"/>
        </w:numPr>
        <w:spacing w:before="0" w:beforeAutospacing="0" w:after="0" w:afterAutospacing="0" w:line="360" w:lineRule="auto"/>
        <w:jc w:val="both"/>
      </w:pPr>
      <w:r w:rsidRPr="003E7E6F">
        <w:rPr>
          <w:b/>
          <w:bCs/>
        </w:rPr>
        <w:t>Significance Testing:</w:t>
      </w:r>
      <w:r w:rsidRPr="003E7E6F">
        <w:t xml:space="preserve"> The </w:t>
      </w:r>
      <w:proofErr w:type="spellStart"/>
      <w:r w:rsidRPr="003E7E6F">
        <w:t>SEm</w:t>
      </w:r>
      <w:proofErr w:type="spellEnd"/>
      <w:r w:rsidRPr="003E7E6F">
        <w:t>± (Standard Error of Mean) and CD (Critical Difference) at a 5% level of significance (</w:t>
      </w:r>
      <w:r w:rsidRPr="003E7E6F">
        <w:rPr>
          <w:rStyle w:val="math-inline"/>
        </w:rPr>
        <w:t>P=0.05</w:t>
      </w:r>
      <w:r w:rsidRPr="003E7E6F">
        <w:t>) were calculated to determine if the improvements in the "Demo" plots were statistically significant compared to "Farmer Practice".</w:t>
      </w:r>
    </w:p>
    <w:p w:rsidR="004135E9" w:rsidRPr="003E7E6F" w:rsidRDefault="004135E9" w:rsidP="00452EA4">
      <w:pPr>
        <w:pStyle w:val="NormalWeb"/>
        <w:numPr>
          <w:ilvl w:val="0"/>
          <w:numId w:val="5"/>
        </w:numPr>
        <w:spacing w:before="0" w:beforeAutospacing="0" w:after="0" w:afterAutospacing="0" w:line="360" w:lineRule="auto"/>
        <w:jc w:val="both"/>
      </w:pPr>
      <w:r w:rsidRPr="003E7E6F">
        <w:t>Yield Increase (%): Calculated using the formula:</w:t>
      </w:r>
    </w:p>
    <w:p w:rsidR="00285C05" w:rsidRPr="003E7E6F" w:rsidRDefault="004135E9" w:rsidP="00452EA4">
      <w:pPr>
        <w:spacing w:after="0" w:line="360" w:lineRule="auto"/>
        <w:jc w:val="both"/>
        <w:rPr>
          <w:rFonts w:ascii="Times New Roman" w:hAnsi="Times New Roman" w:cs="Times New Roman"/>
          <w:b/>
          <w:bCs/>
          <w:sz w:val="24"/>
          <w:szCs w:val="24"/>
        </w:rPr>
      </w:pPr>
      <w:r w:rsidRPr="003E7E6F">
        <w:rPr>
          <w:rFonts w:ascii="Times New Roman" w:hAnsi="Times New Roman" w:cs="Times New Roman"/>
          <w:b/>
          <w:bCs/>
          <w:sz w:val="24"/>
          <w:szCs w:val="24"/>
        </w:rPr>
        <w:t>Increase</w:t>
      </w:r>
      <w:r w:rsidR="00520142" w:rsidRPr="003E7E6F">
        <w:rPr>
          <w:rFonts w:ascii="Times New Roman" w:hAnsi="Times New Roman" w:cs="Times New Roman"/>
          <w:b/>
          <w:bCs/>
          <w:sz w:val="24"/>
          <w:szCs w:val="24"/>
        </w:rPr>
        <w:t xml:space="preserve"> (%)</w:t>
      </w:r>
      <w:r w:rsidRPr="003E7E6F">
        <w:rPr>
          <w:rFonts w:ascii="Times New Roman" w:hAnsi="Times New Roman" w:cs="Times New Roman"/>
          <w:b/>
          <w:bCs/>
          <w:sz w:val="24"/>
          <w:szCs w:val="24"/>
        </w:rPr>
        <w:t xml:space="preserve"> = (Demo Yield – check yield)/check yield x 100</w:t>
      </w:r>
    </w:p>
    <w:p w:rsidR="00452EA4" w:rsidRPr="003E7E6F" w:rsidRDefault="00452EA4" w:rsidP="00452EA4">
      <w:pPr>
        <w:pStyle w:val="Heading3"/>
        <w:spacing w:before="0" w:line="360" w:lineRule="auto"/>
        <w:jc w:val="center"/>
        <w:rPr>
          <w:rFonts w:ascii="Times New Roman" w:hAnsi="Times New Roman" w:cs="Times New Roman"/>
          <w:color w:val="auto"/>
          <w:sz w:val="24"/>
          <w:szCs w:val="24"/>
        </w:rPr>
      </w:pPr>
    </w:p>
    <w:p w:rsidR="00B60EDC" w:rsidRPr="003E7E6F" w:rsidRDefault="00B60EDC" w:rsidP="00452EA4">
      <w:pPr>
        <w:pStyle w:val="Heading3"/>
        <w:spacing w:before="0" w:line="360" w:lineRule="auto"/>
        <w:jc w:val="center"/>
        <w:rPr>
          <w:rFonts w:ascii="Times New Roman" w:hAnsi="Times New Roman" w:cs="Times New Roman"/>
          <w:color w:val="auto"/>
          <w:sz w:val="24"/>
          <w:szCs w:val="24"/>
        </w:rPr>
      </w:pPr>
      <w:r w:rsidRPr="003E7E6F">
        <w:rPr>
          <w:rFonts w:ascii="Times New Roman" w:hAnsi="Times New Roman" w:cs="Times New Roman"/>
          <w:color w:val="auto"/>
          <w:sz w:val="24"/>
          <w:szCs w:val="24"/>
        </w:rPr>
        <w:t>RESULTS AND DISCUSSION</w:t>
      </w:r>
    </w:p>
    <w:p w:rsidR="00452EA4" w:rsidRPr="003E7E6F" w:rsidRDefault="00452EA4" w:rsidP="00452EA4">
      <w:pPr>
        <w:rPr>
          <w:rFonts w:ascii="Times New Roman" w:hAnsi="Times New Roman" w:cs="Times New Roman"/>
        </w:rPr>
      </w:pPr>
    </w:p>
    <w:p w:rsidR="007624D8" w:rsidRPr="003E7E6F" w:rsidRDefault="00B60EDC" w:rsidP="00452EA4">
      <w:pPr>
        <w:pStyle w:val="NormalWeb"/>
        <w:numPr>
          <w:ilvl w:val="0"/>
          <w:numId w:val="7"/>
        </w:numPr>
        <w:spacing w:before="0" w:beforeAutospacing="0" w:after="0" w:afterAutospacing="0" w:line="360" w:lineRule="auto"/>
        <w:jc w:val="both"/>
      </w:pPr>
      <w:r w:rsidRPr="003E7E6F">
        <w:rPr>
          <w:b/>
          <w:bCs/>
        </w:rPr>
        <w:t>Growth Parameters</w:t>
      </w:r>
    </w:p>
    <w:p w:rsidR="001C01EE" w:rsidRPr="003E7E6F" w:rsidRDefault="007624D8" w:rsidP="00AF6342">
      <w:pPr>
        <w:pStyle w:val="NormalWeb"/>
        <w:numPr>
          <w:ilvl w:val="1"/>
          <w:numId w:val="7"/>
        </w:numPr>
        <w:spacing w:before="0" w:beforeAutospacing="0" w:after="0" w:afterAutospacing="0" w:line="360" w:lineRule="auto"/>
        <w:jc w:val="both"/>
      </w:pPr>
      <w:r w:rsidRPr="003E7E6F">
        <w:rPr>
          <w:b/>
          <w:bCs/>
        </w:rPr>
        <w:t>Plant height (cm)</w:t>
      </w:r>
      <w:r w:rsidRPr="003E7E6F">
        <w:t xml:space="preserve"> - </w:t>
      </w:r>
      <w:r w:rsidR="00AF6342" w:rsidRPr="003E7E6F">
        <w:t xml:space="preserve">The given data will be used to compare the plant heights (cm) in ten farmers who used two cultivation practices: Farmer Practice (FP) and Demonstration (Demo). The findings suggest that </w:t>
      </w:r>
      <w:r w:rsidR="00621AE8" w:rsidRPr="003E7E6F">
        <w:t xml:space="preserve">the </w:t>
      </w:r>
      <w:r w:rsidR="00AF6342" w:rsidRPr="003E7E6F">
        <w:t xml:space="preserve">Demo approach has always been found to produce better growth than FP among all the recorded farmers (Table-01). The height of the plants in the Demo plots was on average 37.12 cm, much better compared to the FP average of 34.51 cm. Farmers F2 and F5 performed best with 38.4 cm under </w:t>
      </w:r>
      <w:r w:rsidR="00621AE8" w:rsidRPr="003E7E6F">
        <w:t xml:space="preserve">the </w:t>
      </w:r>
      <w:r w:rsidR="00AF6342" w:rsidRPr="003E7E6F">
        <w:t>Demo method</w:t>
      </w:r>
      <w:r w:rsidR="00621AE8" w:rsidRPr="003E7E6F">
        <w:t>,</w:t>
      </w:r>
      <w:r w:rsidR="00AF6342" w:rsidRPr="003E7E6F">
        <w:t xml:space="preserve"> which was the highest growth. Farmer F2 also experienced the most individual improvement by improving by 4.2 cm above traditional practices. On the whole, </w:t>
      </w:r>
      <w:r w:rsidR="00621AE8" w:rsidRPr="003E7E6F">
        <w:t xml:space="preserve">the </w:t>
      </w:r>
      <w:r w:rsidR="00AF6342" w:rsidRPr="003E7E6F">
        <w:t>Demo method proves to be a stable and efficient way of improving the plant height.</w:t>
      </w:r>
    </w:p>
    <w:p w:rsidR="00AF6342" w:rsidRPr="003E7E6F" w:rsidRDefault="007624D8" w:rsidP="00AF6342">
      <w:pPr>
        <w:pStyle w:val="NormalWeb"/>
        <w:numPr>
          <w:ilvl w:val="1"/>
          <w:numId w:val="7"/>
        </w:numPr>
        <w:spacing w:before="0" w:beforeAutospacing="0" w:after="0" w:afterAutospacing="0" w:line="360" w:lineRule="auto"/>
        <w:jc w:val="both"/>
      </w:pPr>
      <w:r w:rsidRPr="003E7E6F">
        <w:rPr>
          <w:b/>
          <w:bCs/>
        </w:rPr>
        <w:t xml:space="preserve">Number of primary branches per plant- </w:t>
      </w:r>
      <w:r w:rsidR="00AF6342" w:rsidRPr="003E7E6F">
        <w:t xml:space="preserve">Data will compare the number of primary branches per plant of the Farmer Practice (FP) and the Demonstration (Demo) method on ten farmers (Table-01). The findings are that there is a steady and substantial </w:t>
      </w:r>
      <w:r w:rsidR="00AF6342" w:rsidRPr="003E7E6F">
        <w:lastRenderedPageBreak/>
        <w:t>change with the Demo approach. Whereas FP yields vary between 3 and 5 branches with an average of 4.0, the Demo plots will always have a yield of between 5 and 6 branches with an average of 5.6. All farmers reported a larger number of branches in their Demo plot than in their FP plot, with the difference varying between 20 and 100 percent. This implies that the methods of demonstration are more efficient in encouraging vegetative growth, and they offer a greater structural base to the plants, which in most cases is associated with increased crop productivity.</w:t>
      </w:r>
    </w:p>
    <w:p w:rsidR="00256582" w:rsidRPr="003E7E6F" w:rsidRDefault="00256582" w:rsidP="00452EA4">
      <w:pPr>
        <w:pStyle w:val="NormalWeb"/>
        <w:numPr>
          <w:ilvl w:val="0"/>
          <w:numId w:val="7"/>
        </w:numPr>
        <w:spacing w:before="0" w:beforeAutospacing="0" w:after="0" w:afterAutospacing="0" w:line="360" w:lineRule="auto"/>
        <w:jc w:val="both"/>
      </w:pPr>
      <w:r w:rsidRPr="003E7E6F">
        <w:rPr>
          <w:b/>
          <w:bCs/>
        </w:rPr>
        <w:t>Yield Attributes-</w:t>
      </w:r>
    </w:p>
    <w:p w:rsidR="000C6E55" w:rsidRPr="003E7E6F" w:rsidRDefault="00256582" w:rsidP="000C6E55">
      <w:pPr>
        <w:pStyle w:val="NormalWeb"/>
        <w:numPr>
          <w:ilvl w:val="1"/>
          <w:numId w:val="7"/>
        </w:numPr>
        <w:spacing w:before="0" w:beforeAutospacing="0" w:after="0" w:afterAutospacing="0" w:line="360" w:lineRule="auto"/>
        <w:jc w:val="both"/>
      </w:pPr>
      <w:r w:rsidRPr="003E7E6F">
        <w:rPr>
          <w:b/>
          <w:bCs/>
        </w:rPr>
        <w:t xml:space="preserve"> Number of pods per Plant</w:t>
      </w:r>
      <w:r w:rsidRPr="003E7E6F">
        <w:t xml:space="preserve">- </w:t>
      </w:r>
      <w:r w:rsidR="000C6E55" w:rsidRPr="003E7E6F">
        <w:t>When the traditional Farmer Practices (FP) is compared with demonstration plots on ten farmers, the demo method has the advantage (Table-01). The demo plots had an average of 25.5 pods per plant</w:t>
      </w:r>
      <w:r w:rsidR="00621AE8" w:rsidRPr="003E7E6F">
        <w:t>,</w:t>
      </w:r>
      <w:r w:rsidR="000C6E55" w:rsidRPr="003E7E6F">
        <w:t xml:space="preserve"> which was far more than 21.8 pods in FP plots. All the farmers (F1-F10) showed improvement with the highest yields of 27 pods in the demo group. The regularity of the demo plots is also impressive, as the value never dropped to less than 24 pods, as compared to FP counts that reached a </w:t>
      </w:r>
      <w:r w:rsidR="00621AE8" w:rsidRPr="003E7E6F">
        <w:t>20-pod</w:t>
      </w:r>
      <w:r w:rsidR="000C6E55" w:rsidRPr="003E7E6F">
        <w:t xml:space="preserve"> lowest value. The overall increase in yield was in the range of 17%</w:t>
      </w:r>
      <w:r w:rsidR="00621AE8" w:rsidRPr="003E7E6F">
        <w:t>,</w:t>
      </w:r>
      <w:r w:rsidR="000C6E55" w:rsidRPr="003E7E6F">
        <w:t xml:space="preserve"> which was proven to be a more efficient cultivation strategy in the demonstration plots.</w:t>
      </w:r>
    </w:p>
    <w:p w:rsidR="000C6E55" w:rsidRPr="003E7E6F" w:rsidRDefault="003C4C84" w:rsidP="000C6E55">
      <w:pPr>
        <w:pStyle w:val="NormalWeb"/>
        <w:numPr>
          <w:ilvl w:val="1"/>
          <w:numId w:val="7"/>
        </w:numPr>
        <w:spacing w:before="0" w:beforeAutospacing="0" w:after="0" w:afterAutospacing="0" w:line="360" w:lineRule="auto"/>
        <w:jc w:val="both"/>
      </w:pPr>
      <w:r w:rsidRPr="003E7E6F">
        <w:rPr>
          <w:b/>
          <w:bCs/>
        </w:rPr>
        <w:t xml:space="preserve"> Number of Seeds per Pod</w:t>
      </w:r>
      <w:r w:rsidRPr="003E7E6F">
        <w:t xml:space="preserve">- </w:t>
      </w:r>
      <w:r w:rsidR="000C6E55" w:rsidRPr="003E7E6F">
        <w:t>The data is a comparison of the Number of Seeds per Pod between Farmers Practice (FP) and a Demonstration (Demo) in ten farmers (Table-01). The FP technique has the lowest productivity, and the individual counts vary between 1 and 2</w:t>
      </w:r>
      <w:r w:rsidR="00621AE8" w:rsidRPr="003E7E6F">
        <w:t>,</w:t>
      </w:r>
      <w:r w:rsidR="000C6E55" w:rsidRPr="003E7E6F">
        <w:t xml:space="preserve"> giving a mean of 1.5 seeds per pod. The Demo procedure</w:t>
      </w:r>
      <w:r w:rsidR="00621AE8" w:rsidRPr="003E7E6F">
        <w:t>,</w:t>
      </w:r>
      <w:r w:rsidR="000C6E55" w:rsidRPr="003E7E6F">
        <w:t xml:space="preserve"> on the other hand</w:t>
      </w:r>
      <w:r w:rsidR="00621AE8" w:rsidRPr="003E7E6F">
        <w:t>,</w:t>
      </w:r>
      <w:r w:rsidR="000C6E55" w:rsidRPr="003E7E6F">
        <w:t xml:space="preserve"> is always higher, with the results ranging between 2 </w:t>
      </w:r>
      <w:r w:rsidR="00621AE8" w:rsidRPr="003E7E6F">
        <w:t>and</w:t>
      </w:r>
      <w:r w:rsidR="000C6E55" w:rsidRPr="003E7E6F">
        <w:t xml:space="preserve"> 3 seeds, with a better mean of 2.5 seeds per pod. This shows a tremendous increase in average yield by 66.67 percent. The results obtained here are clear that the Demonstration methods can significantly increase crop productivity over conventional methods of farming, which provide farmers with a sure way of getting increased output.</w:t>
      </w:r>
    </w:p>
    <w:p w:rsidR="00B038F8" w:rsidRPr="003E7E6F" w:rsidRDefault="0005208C" w:rsidP="00452EA4">
      <w:pPr>
        <w:pStyle w:val="NormalWeb"/>
        <w:numPr>
          <w:ilvl w:val="1"/>
          <w:numId w:val="7"/>
        </w:numPr>
        <w:spacing w:before="0" w:beforeAutospacing="0" w:after="0" w:afterAutospacing="0" w:line="360" w:lineRule="auto"/>
        <w:jc w:val="both"/>
      </w:pPr>
      <w:r w:rsidRPr="003E7E6F">
        <w:rPr>
          <w:b/>
          <w:bCs/>
        </w:rPr>
        <w:t>Test weight (g</w:t>
      </w:r>
      <w:r w:rsidR="003C4C84" w:rsidRPr="003E7E6F">
        <w:rPr>
          <w:b/>
          <w:bCs/>
        </w:rPr>
        <w:t xml:space="preserve"> per 100 seed)-</w:t>
      </w:r>
      <w:r w:rsidR="00B038F8" w:rsidRPr="003E7E6F">
        <w:t xml:space="preserve"> The provided data compares the test weight of agricultural produce across ten different farmers (F1–F10), evaluating the performance of Farmers' Practice (FP) against a Demonstration (Demo) method</w:t>
      </w:r>
      <w:r w:rsidR="00527623" w:rsidRPr="003E7E6F">
        <w:t xml:space="preserve"> (Table-01)</w:t>
      </w:r>
      <w:r w:rsidR="00B038F8" w:rsidRPr="003E7E6F">
        <w:t xml:space="preserve">. Measured in grams per 100 units, the results consistently show that the Demo method outperforms FP. Specifically, the test weights for FP range from </w:t>
      </w:r>
      <w:r w:rsidR="00B038F8" w:rsidRPr="003E7E6F">
        <w:lastRenderedPageBreak/>
        <w:t>12.60</w:t>
      </w:r>
      <w:r w:rsidRPr="003E7E6F">
        <w:t>g</w:t>
      </w:r>
      <w:r w:rsidR="00B038F8" w:rsidRPr="003E7E6F">
        <w:t xml:space="preserve"> to 14.50</w:t>
      </w:r>
      <w:r w:rsidRPr="003E7E6F">
        <w:t>g</w:t>
      </w:r>
      <w:r w:rsidR="00B038F8" w:rsidRPr="003E7E6F">
        <w:t>, while the Demo weights are notably higher, ranging from 13.20 to 15.40. On average, the Demo method achieved a mean weight of 14.50 g</w:t>
      </w:r>
      <w:r w:rsidRPr="003E7E6F">
        <w:t xml:space="preserve"> per </w:t>
      </w:r>
      <w:r w:rsidR="00B038F8" w:rsidRPr="003E7E6F">
        <w:t>100</w:t>
      </w:r>
      <w:r w:rsidRPr="003E7E6F">
        <w:t xml:space="preserve"> seed</w:t>
      </w:r>
      <w:r w:rsidR="00B038F8" w:rsidRPr="003E7E6F">
        <w:t xml:space="preserve">, marking a significant improvement over the FP mean of 13.27 </w:t>
      </w:r>
      <w:r w:rsidRPr="003E7E6F">
        <w:t>g per 100 seed</w:t>
      </w:r>
      <w:r w:rsidR="00B038F8" w:rsidRPr="003E7E6F">
        <w:t>, suggesting the demonstration techniques effectively enhance grain density and quality. The mean weight increased from 13.27 gm</w:t>
      </w:r>
      <w:r w:rsidRPr="003E7E6F">
        <w:t xml:space="preserve"> g per 100 </w:t>
      </w:r>
      <w:r w:rsidR="000C6E55" w:rsidRPr="003E7E6F">
        <w:t>seeds</w:t>
      </w:r>
      <w:r w:rsidRPr="003E7E6F">
        <w:t xml:space="preserve"> of FP</w:t>
      </w:r>
      <w:r w:rsidR="00B038F8" w:rsidRPr="003E7E6F">
        <w:t xml:space="preserve"> to 14.5 </w:t>
      </w:r>
      <w:r w:rsidRPr="003E7E6F">
        <w:t xml:space="preserve">g per 100 </w:t>
      </w:r>
      <w:r w:rsidR="000C6E55" w:rsidRPr="003E7E6F">
        <w:t>seeds</w:t>
      </w:r>
      <w:r w:rsidRPr="003E7E6F">
        <w:t xml:space="preserve"> of Demo</w:t>
      </w:r>
      <w:r w:rsidR="00B038F8" w:rsidRPr="003E7E6F">
        <w:t>, which represents a percentage increase of approximately 9.27%. This improvement indicates that the demonstration techniques are more effective in increasing the density and quality of the produce.</w:t>
      </w:r>
    </w:p>
    <w:p w:rsidR="00256582" w:rsidRPr="003E7E6F" w:rsidRDefault="00B038F8" w:rsidP="00452EA4">
      <w:pPr>
        <w:pStyle w:val="NormalWeb"/>
        <w:numPr>
          <w:ilvl w:val="0"/>
          <w:numId w:val="7"/>
        </w:numPr>
        <w:spacing w:before="0" w:beforeAutospacing="0" w:after="0" w:afterAutospacing="0" w:line="360" w:lineRule="auto"/>
        <w:jc w:val="both"/>
        <w:rPr>
          <w:b/>
          <w:bCs/>
        </w:rPr>
      </w:pPr>
      <w:r w:rsidRPr="003E7E6F">
        <w:rPr>
          <w:b/>
          <w:bCs/>
        </w:rPr>
        <w:t>Yield Determination</w:t>
      </w:r>
    </w:p>
    <w:p w:rsidR="004205D3" w:rsidRPr="003E7E6F" w:rsidRDefault="004205D3" w:rsidP="000C6E55">
      <w:pPr>
        <w:pStyle w:val="NormalWeb"/>
        <w:numPr>
          <w:ilvl w:val="1"/>
          <w:numId w:val="7"/>
        </w:numPr>
        <w:spacing w:before="0" w:beforeAutospacing="0" w:after="0" w:afterAutospacing="0" w:line="360" w:lineRule="auto"/>
        <w:jc w:val="both"/>
      </w:pPr>
      <w:r w:rsidRPr="003E7E6F">
        <w:rPr>
          <w:b/>
          <w:bCs/>
        </w:rPr>
        <w:t xml:space="preserve"> Biological yield (q ha</w:t>
      </w:r>
      <w:r w:rsidRPr="003E7E6F">
        <w:rPr>
          <w:b/>
          <w:bCs/>
          <w:vertAlign w:val="superscript"/>
        </w:rPr>
        <w:t>-1</w:t>
      </w:r>
      <w:r w:rsidRPr="003E7E6F">
        <w:rPr>
          <w:b/>
          <w:bCs/>
        </w:rPr>
        <w:t xml:space="preserve">)- </w:t>
      </w:r>
      <w:r w:rsidR="000C6E55" w:rsidRPr="003E7E6F">
        <w:t xml:space="preserve">The comparative analysis of </w:t>
      </w:r>
      <w:r w:rsidR="00621AE8" w:rsidRPr="003E7E6F">
        <w:t xml:space="preserve">the </w:t>
      </w:r>
      <w:r w:rsidR="000C6E55" w:rsidRPr="003E7E6F">
        <w:t>biological yield of ten farmers shows that there is a clear variation in Farmer Practice (FP) and Demonstration (Demo) plots (Table-02). The bio yield of FP was between 37.9 q ha-1 and 42.5 q ha</w:t>
      </w:r>
      <w:r w:rsidR="000C6E55" w:rsidRPr="003E7E6F">
        <w:rPr>
          <w:vertAlign w:val="superscript"/>
        </w:rPr>
        <w:t>-1</w:t>
      </w:r>
      <w:r w:rsidR="00621AE8" w:rsidRPr="003E7E6F">
        <w:rPr>
          <w:vertAlign w:val="superscript"/>
        </w:rPr>
        <w:t>,</w:t>
      </w:r>
      <w:r w:rsidR="000C6E55" w:rsidRPr="003E7E6F">
        <w:t xml:space="preserve"> with a better mean yield of 40.21 q ha</w:t>
      </w:r>
      <w:r w:rsidR="000C6E55" w:rsidRPr="003E7E6F">
        <w:rPr>
          <w:vertAlign w:val="superscript"/>
        </w:rPr>
        <w:t>-1</w:t>
      </w:r>
      <w:r w:rsidR="000C6E55" w:rsidRPr="003E7E6F">
        <w:t>. On the other hand, the Demo plots showed yields of between 35.8 and 41.4 q ha</w:t>
      </w:r>
      <w:r w:rsidR="000C6E55" w:rsidRPr="003E7E6F">
        <w:rPr>
          <w:vertAlign w:val="superscript"/>
        </w:rPr>
        <w:t>-1</w:t>
      </w:r>
      <w:r w:rsidR="00621AE8" w:rsidRPr="003E7E6F">
        <w:rPr>
          <w:vertAlign w:val="superscript"/>
        </w:rPr>
        <w:t>,</w:t>
      </w:r>
      <w:r w:rsidR="000C6E55" w:rsidRPr="003E7E6F">
        <w:t xml:space="preserve"> giving it a low average of 38.39q ha</w:t>
      </w:r>
      <w:r w:rsidR="000C6E55" w:rsidRPr="003E7E6F">
        <w:rPr>
          <w:vertAlign w:val="superscript"/>
        </w:rPr>
        <w:t>-1</w:t>
      </w:r>
      <w:r w:rsidR="000C6E55" w:rsidRPr="003E7E6F">
        <w:t>. In particular, Farmer F1 had the highest yield in the FP category of 42.5 q ha</w:t>
      </w:r>
      <w:r w:rsidR="000C6E55" w:rsidRPr="003E7E6F">
        <w:rPr>
          <w:vertAlign w:val="superscript"/>
        </w:rPr>
        <w:t>-1</w:t>
      </w:r>
      <w:r w:rsidR="00621AE8" w:rsidRPr="003E7E6F">
        <w:rPr>
          <w:vertAlign w:val="superscript"/>
        </w:rPr>
        <w:t>,</w:t>
      </w:r>
      <w:r w:rsidR="000C6E55" w:rsidRPr="003E7E6F">
        <w:t xml:space="preserve"> and Farmer F9 had the highest Demo yield. Generally, the data show that the traditional practices performed better in biomass production as compared to demonstration trials in all the locations, which is an indication of yield variability by the participating farmers</w:t>
      </w:r>
      <w:r w:rsidRPr="003E7E6F">
        <w:t>.</w:t>
      </w:r>
    </w:p>
    <w:p w:rsidR="00380401" w:rsidRPr="003E7E6F" w:rsidRDefault="009D74C0" w:rsidP="00452EA4">
      <w:pPr>
        <w:pStyle w:val="NormalWeb"/>
        <w:numPr>
          <w:ilvl w:val="1"/>
          <w:numId w:val="7"/>
        </w:numPr>
        <w:spacing w:before="0" w:beforeAutospacing="0" w:after="0" w:afterAutospacing="0" w:line="360" w:lineRule="auto"/>
        <w:jc w:val="both"/>
      </w:pPr>
      <w:r w:rsidRPr="003E7E6F">
        <w:rPr>
          <w:b/>
          <w:bCs/>
        </w:rPr>
        <w:t xml:space="preserve"> Grain yield (q ha</w:t>
      </w:r>
      <w:r w:rsidRPr="003E7E6F">
        <w:rPr>
          <w:b/>
          <w:bCs/>
          <w:vertAlign w:val="superscript"/>
        </w:rPr>
        <w:t>-1</w:t>
      </w:r>
      <w:r w:rsidRPr="003E7E6F">
        <w:rPr>
          <w:b/>
          <w:bCs/>
        </w:rPr>
        <w:t xml:space="preserve">)- </w:t>
      </w:r>
      <w:r w:rsidR="004205D3" w:rsidRPr="003E7E6F">
        <w:t xml:space="preserve">The analysis of grain yield across ten farmers highlights a substantial </w:t>
      </w:r>
      <w:r w:rsidR="00621AE8" w:rsidRPr="003E7E6F">
        <w:t>productivity improvement</w:t>
      </w:r>
      <w:r w:rsidR="004205D3" w:rsidRPr="003E7E6F">
        <w:t xml:space="preserve"> when transitioning from Farmer’s Practice (FP) to Demonstration (Demo) plots</w:t>
      </w:r>
      <w:r w:rsidR="00527623" w:rsidRPr="003E7E6F">
        <w:t xml:space="preserve"> (Table-02)</w:t>
      </w:r>
      <w:r w:rsidR="004205D3" w:rsidRPr="003E7E6F">
        <w:t xml:space="preserve">. The data </w:t>
      </w:r>
      <w:r w:rsidR="00621AE8" w:rsidRPr="003E7E6F">
        <w:t>show</w:t>
      </w:r>
      <w:r w:rsidR="004205D3" w:rsidRPr="003E7E6F">
        <w:t xml:space="preserve"> that grain yields under traditional FP ranged from 13.5</w:t>
      </w:r>
      <w:r w:rsidRPr="003E7E6F">
        <w:t xml:space="preserve"> q ha</w:t>
      </w:r>
      <w:r w:rsidRPr="003E7E6F">
        <w:rPr>
          <w:vertAlign w:val="superscript"/>
        </w:rPr>
        <w:t>-1</w:t>
      </w:r>
      <w:r w:rsidR="004205D3" w:rsidRPr="003E7E6F">
        <w:t xml:space="preserve"> to 17.9 </w:t>
      </w:r>
      <w:r w:rsidRPr="003E7E6F">
        <w:t>q ha</w:t>
      </w:r>
      <w:r w:rsidRPr="003E7E6F">
        <w:rPr>
          <w:vertAlign w:val="superscript"/>
        </w:rPr>
        <w:t>-1</w:t>
      </w:r>
      <w:r w:rsidR="004205D3" w:rsidRPr="003E7E6F">
        <w:t>, resulting in a mean yield of 15.41</w:t>
      </w:r>
      <w:r w:rsidRPr="003E7E6F">
        <w:t>q ha</w:t>
      </w:r>
      <w:r w:rsidRPr="003E7E6F">
        <w:rPr>
          <w:vertAlign w:val="superscript"/>
        </w:rPr>
        <w:t>-1</w:t>
      </w:r>
      <w:r w:rsidR="004205D3" w:rsidRPr="003E7E6F">
        <w:t>. In contrast, the Demonstration plots consistently outperformed these figures, with yields spanning from 16.5</w:t>
      </w:r>
      <w:r w:rsidRPr="003E7E6F">
        <w:t xml:space="preserve"> q ha</w:t>
      </w:r>
      <w:r w:rsidRPr="003E7E6F">
        <w:rPr>
          <w:vertAlign w:val="superscript"/>
        </w:rPr>
        <w:t>-1</w:t>
      </w:r>
      <w:r w:rsidR="004205D3" w:rsidRPr="003E7E6F">
        <w:t xml:space="preserve"> to 21.2 </w:t>
      </w:r>
      <w:r w:rsidRPr="003E7E6F">
        <w:t>q ha</w:t>
      </w:r>
      <w:r w:rsidRPr="003E7E6F">
        <w:rPr>
          <w:vertAlign w:val="superscript"/>
        </w:rPr>
        <w:t xml:space="preserve">-1 </w:t>
      </w:r>
      <w:r w:rsidR="004205D3" w:rsidRPr="003E7E6F">
        <w:t xml:space="preserve">and achieving a significantly higher average of 18.86 </w:t>
      </w:r>
      <w:r w:rsidRPr="003E7E6F">
        <w:t>q ha</w:t>
      </w:r>
      <w:r w:rsidRPr="003E7E6F">
        <w:rPr>
          <w:vertAlign w:val="superscript"/>
        </w:rPr>
        <w:t>-1</w:t>
      </w:r>
      <w:r w:rsidR="004205D3" w:rsidRPr="003E7E6F">
        <w:t xml:space="preserve">. Notably, every individual farmer recorded an increase in yield within the Demo plot, with Farmer F3 achieving the peak output of 21.2 </w:t>
      </w:r>
      <w:r w:rsidRPr="003E7E6F">
        <w:t>q ha</w:t>
      </w:r>
      <w:r w:rsidRPr="003E7E6F">
        <w:rPr>
          <w:vertAlign w:val="superscript"/>
        </w:rPr>
        <w:t>-1</w:t>
      </w:r>
      <w:r w:rsidR="004205D3" w:rsidRPr="003E7E6F">
        <w:t xml:space="preserve">. This overall average increase of 3.45 </w:t>
      </w:r>
      <w:r w:rsidRPr="003E7E6F">
        <w:t>q ha</w:t>
      </w:r>
      <w:r w:rsidRPr="003E7E6F">
        <w:rPr>
          <w:vertAlign w:val="superscript"/>
        </w:rPr>
        <w:t>-1</w:t>
      </w:r>
      <w:r w:rsidR="004205D3" w:rsidRPr="003E7E6F">
        <w:t xml:space="preserve"> underscores the effectiveness of the demonstration techniques in enhancing grain production compared to conventional local practices.</w:t>
      </w:r>
    </w:p>
    <w:p w:rsidR="00380401" w:rsidRPr="003E7E6F" w:rsidRDefault="00380401" w:rsidP="000C6E55">
      <w:pPr>
        <w:pStyle w:val="NormalWeb"/>
        <w:numPr>
          <w:ilvl w:val="1"/>
          <w:numId w:val="7"/>
        </w:numPr>
        <w:spacing w:before="0" w:beforeAutospacing="0" w:after="0" w:afterAutospacing="0" w:line="360" w:lineRule="auto"/>
        <w:jc w:val="both"/>
      </w:pPr>
      <w:r w:rsidRPr="003E7E6F">
        <w:rPr>
          <w:b/>
          <w:bCs/>
        </w:rPr>
        <w:lastRenderedPageBreak/>
        <w:t xml:space="preserve"> Stover yield (q ha</w:t>
      </w:r>
      <w:r w:rsidRPr="003E7E6F">
        <w:rPr>
          <w:b/>
          <w:bCs/>
          <w:vertAlign w:val="superscript"/>
        </w:rPr>
        <w:t>-1</w:t>
      </w:r>
      <w:r w:rsidRPr="003E7E6F">
        <w:rPr>
          <w:b/>
          <w:bCs/>
        </w:rPr>
        <w:t xml:space="preserve">)- </w:t>
      </w:r>
      <w:r w:rsidR="000C6E55" w:rsidRPr="003E7E6F">
        <w:t xml:space="preserve">Comparative analysis of </w:t>
      </w:r>
      <w:proofErr w:type="spellStart"/>
      <w:r w:rsidR="000C6E55" w:rsidRPr="003E7E6F">
        <w:t>stover</w:t>
      </w:r>
      <w:proofErr w:type="spellEnd"/>
      <w:r w:rsidR="000C6E55" w:rsidRPr="003E7E6F">
        <w:t xml:space="preserve"> yield of ten different farmers (F1 to F10), the Farmer Practice (FP) was regularly better than the Demonstration (Demo) plots (Table-02). The results show that all the individual farmers produced higher </w:t>
      </w:r>
      <w:r w:rsidR="00621AE8" w:rsidRPr="003E7E6F">
        <w:t>yields</w:t>
      </w:r>
      <w:r w:rsidR="000C6E55" w:rsidRPr="003E7E6F">
        <w:t xml:space="preserve"> with the use of traditional methods. As an example, F1 had the greatest FP yield in 28.2 q ha </w:t>
      </w:r>
      <w:r w:rsidR="000C6E55" w:rsidRPr="003E7E6F">
        <w:rPr>
          <w:vertAlign w:val="superscript"/>
        </w:rPr>
        <w:t>-1</w:t>
      </w:r>
      <w:r w:rsidR="00621AE8" w:rsidRPr="003E7E6F">
        <w:rPr>
          <w:vertAlign w:val="superscript"/>
        </w:rPr>
        <w:t>,</w:t>
      </w:r>
      <w:r w:rsidR="000C6E55" w:rsidRPr="003E7E6F">
        <w:t xml:space="preserve"> whereas their Demo yield was much lower at 20.9 q ha </w:t>
      </w:r>
      <w:r w:rsidR="000C6E55" w:rsidRPr="003E7E6F">
        <w:rPr>
          <w:vertAlign w:val="superscript"/>
        </w:rPr>
        <w:t>-1</w:t>
      </w:r>
      <w:r w:rsidR="000C6E55" w:rsidRPr="003E7E6F">
        <w:t xml:space="preserve">. The FP method produced 24.8 q ha </w:t>
      </w:r>
      <w:r w:rsidR="000C6E55" w:rsidRPr="003E7E6F">
        <w:rPr>
          <w:vertAlign w:val="superscript"/>
        </w:rPr>
        <w:t>-1</w:t>
      </w:r>
      <w:r w:rsidR="000C6E55" w:rsidRPr="003E7E6F">
        <w:t xml:space="preserve"> on average, compared to the 19.53 q ha </w:t>
      </w:r>
      <w:r w:rsidR="000C6E55" w:rsidRPr="003E7E6F">
        <w:rPr>
          <w:vertAlign w:val="superscript"/>
        </w:rPr>
        <w:t>-1</w:t>
      </w:r>
      <w:r w:rsidR="000C6E55" w:rsidRPr="003E7E6F">
        <w:t xml:space="preserve"> on the Demo plots. This shows that there is a significant productivity difference, which means that the existing methods of demonstration could use some improvements or </w:t>
      </w:r>
      <w:r w:rsidR="00621AE8" w:rsidRPr="003E7E6F">
        <w:t>adjustments</w:t>
      </w:r>
      <w:r w:rsidR="000C6E55" w:rsidRPr="003E7E6F">
        <w:t xml:space="preserve"> to local circumstances to become as effective as the existing methods</w:t>
      </w:r>
      <w:r w:rsidRPr="003E7E6F">
        <w:t>.</w:t>
      </w:r>
    </w:p>
    <w:p w:rsidR="00D47627" w:rsidRPr="003E7E6F" w:rsidRDefault="00527623" w:rsidP="000C6E55">
      <w:pPr>
        <w:pStyle w:val="NormalWeb"/>
        <w:numPr>
          <w:ilvl w:val="1"/>
          <w:numId w:val="7"/>
        </w:numPr>
        <w:spacing w:before="0" w:beforeAutospacing="0" w:after="0" w:afterAutospacing="0" w:line="360" w:lineRule="auto"/>
        <w:jc w:val="both"/>
        <w:rPr>
          <w:b/>
          <w:bCs/>
        </w:rPr>
      </w:pPr>
      <w:r w:rsidRPr="003E7E6F">
        <w:rPr>
          <w:b/>
          <w:bCs/>
        </w:rPr>
        <w:t xml:space="preserve">Harvest Index (%) - </w:t>
      </w:r>
      <w:r w:rsidR="000C6E55" w:rsidRPr="003E7E6F">
        <w:t xml:space="preserve">Data is used to compare the Harvest Index (%) of Farmer Practice (FP) and Demonstration (Demo) plots of ten farmers (F1–F10). The Demo plots in each case had a much better index as compared to the traditional practices (Table-02). </w:t>
      </w:r>
      <w:r w:rsidR="00621AE8" w:rsidRPr="003E7E6F">
        <w:t>The individual</w:t>
      </w:r>
      <w:r w:rsidR="000C6E55" w:rsidRPr="003E7E6F">
        <w:t xml:space="preserve"> Demo highest value was of farmer F7 at 57.3 percent</w:t>
      </w:r>
      <w:r w:rsidR="00621AE8" w:rsidRPr="003E7E6F">
        <w:t>,</w:t>
      </w:r>
      <w:r w:rsidR="000C6E55" w:rsidRPr="003E7E6F">
        <w:t xml:space="preserve"> and the lowest Demo value was 42.3 percent of farmer F9. On the other hand, the FP had a minimum of 33.6% up to a maximum of 46.3%. The mean index of harvest in the Demonstration plots was 49.32</w:t>
      </w:r>
      <w:r w:rsidR="00621AE8" w:rsidRPr="003E7E6F">
        <w:t>,</w:t>
      </w:r>
      <w:r w:rsidR="000C6E55" w:rsidRPr="003E7E6F">
        <w:t xml:space="preserve"> which is significantly better than that of Farmer Practice 38.42. That means that the demonstration methods are significantly more effective in terms of total biomass conversion to harvestable product.</w:t>
      </w:r>
    </w:p>
    <w:p w:rsidR="00B60EDC" w:rsidRPr="003E7E6F" w:rsidRDefault="001237BD" w:rsidP="00452EA4">
      <w:pPr>
        <w:spacing w:after="0" w:line="360" w:lineRule="auto"/>
        <w:ind w:left="993" w:hanging="993"/>
        <w:jc w:val="both"/>
        <w:rPr>
          <w:rFonts w:ascii="Times New Roman" w:hAnsi="Times New Roman" w:cs="Times New Roman"/>
          <w:b/>
          <w:bCs/>
          <w:sz w:val="24"/>
          <w:szCs w:val="24"/>
        </w:rPr>
      </w:pPr>
      <w:r w:rsidRPr="003E7E6F">
        <w:rPr>
          <w:rFonts w:ascii="Times New Roman" w:hAnsi="Times New Roman" w:cs="Times New Roman"/>
          <w:b/>
          <w:bCs/>
          <w:sz w:val="24"/>
          <w:szCs w:val="24"/>
        </w:rPr>
        <w:t xml:space="preserve">Table </w:t>
      </w:r>
      <w:r w:rsidR="00B60EDC" w:rsidRPr="003E7E6F">
        <w:rPr>
          <w:rFonts w:ascii="Times New Roman" w:hAnsi="Times New Roman" w:cs="Times New Roman"/>
          <w:b/>
          <w:bCs/>
          <w:sz w:val="24"/>
          <w:szCs w:val="24"/>
        </w:rPr>
        <w:t>01</w:t>
      </w:r>
      <w:r w:rsidRPr="003E7E6F">
        <w:rPr>
          <w:rFonts w:ascii="Times New Roman" w:hAnsi="Times New Roman" w:cs="Times New Roman"/>
          <w:b/>
          <w:bCs/>
          <w:sz w:val="24"/>
          <w:szCs w:val="24"/>
        </w:rPr>
        <w:t>-</w:t>
      </w:r>
      <w:r w:rsidR="0045101D" w:rsidRPr="003E7E6F">
        <w:rPr>
          <w:rFonts w:ascii="Times New Roman" w:hAnsi="Times New Roman" w:cs="Times New Roman"/>
          <w:b/>
          <w:bCs/>
          <w:sz w:val="24"/>
          <w:szCs w:val="24"/>
        </w:rPr>
        <w:t xml:space="preserve">Impact of Demonstration vs. Farmer’s Practice on Growth and Yield Attributing Characters of </w:t>
      </w:r>
      <w:r w:rsidRPr="003E7E6F">
        <w:rPr>
          <w:rFonts w:ascii="Times New Roman" w:hAnsi="Times New Roman" w:cs="Times New Roman"/>
          <w:b/>
          <w:bCs/>
          <w:sz w:val="24"/>
          <w:szCs w:val="24"/>
        </w:rPr>
        <w:t>c</w:t>
      </w:r>
      <w:r w:rsidR="00B71C37" w:rsidRPr="003E7E6F">
        <w:rPr>
          <w:rFonts w:ascii="Times New Roman" w:hAnsi="Times New Roman" w:cs="Times New Roman"/>
          <w:b/>
          <w:bCs/>
          <w:sz w:val="24"/>
          <w:szCs w:val="24"/>
        </w:rPr>
        <w:t>hickpea crop</w:t>
      </w:r>
    </w:p>
    <w:tbl>
      <w:tblPr>
        <w:tblW w:w="9859" w:type="dxa"/>
        <w:jc w:val="center"/>
        <w:tblLook w:val="04A0" w:firstRow="1" w:lastRow="0" w:firstColumn="1" w:lastColumn="0" w:noHBand="0" w:noVBand="1"/>
      </w:tblPr>
      <w:tblGrid>
        <w:gridCol w:w="956"/>
        <w:gridCol w:w="774"/>
        <w:gridCol w:w="900"/>
        <w:gridCol w:w="711"/>
        <w:gridCol w:w="973"/>
        <w:gridCol w:w="831"/>
        <w:gridCol w:w="1018"/>
        <w:gridCol w:w="892"/>
        <w:gridCol w:w="916"/>
        <w:gridCol w:w="1057"/>
        <w:gridCol w:w="831"/>
      </w:tblGrid>
      <w:tr w:rsidR="0045101D" w:rsidRPr="003E7E6F" w:rsidTr="00A15A00">
        <w:trPr>
          <w:trHeight w:val="509"/>
          <w:jc w:val="center"/>
        </w:trPr>
        <w:tc>
          <w:tcPr>
            <w:tcW w:w="9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Famer ID</w:t>
            </w:r>
          </w:p>
        </w:tc>
        <w:tc>
          <w:tcPr>
            <w:tcW w:w="167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Plants height (Cm)</w:t>
            </w:r>
          </w:p>
        </w:tc>
        <w:tc>
          <w:tcPr>
            <w:tcW w:w="16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No of Primary Branch/Plant</w:t>
            </w:r>
          </w:p>
        </w:tc>
        <w:tc>
          <w:tcPr>
            <w:tcW w:w="184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No of Pod /Plant</w:t>
            </w:r>
          </w:p>
        </w:tc>
        <w:tc>
          <w:tcPr>
            <w:tcW w:w="180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3306B" w:rsidRPr="003E7E6F" w:rsidRDefault="0073306B" w:rsidP="00621AE8">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 xml:space="preserve">No of </w:t>
            </w:r>
            <w:r w:rsidR="00621AE8" w:rsidRPr="003E7E6F">
              <w:rPr>
                <w:rFonts w:ascii="Times New Roman" w:eastAsia="Times New Roman" w:hAnsi="Times New Roman" w:cs="Times New Roman"/>
                <w:b/>
                <w:bCs/>
                <w:color w:val="000000"/>
                <w:sz w:val="24"/>
                <w:szCs w:val="24"/>
              </w:rPr>
              <w:t>Seeds</w:t>
            </w:r>
            <w:r w:rsidRPr="003E7E6F">
              <w:rPr>
                <w:rFonts w:ascii="Times New Roman" w:eastAsia="Times New Roman" w:hAnsi="Times New Roman" w:cs="Times New Roman"/>
                <w:b/>
                <w:bCs/>
                <w:color w:val="000000"/>
                <w:sz w:val="24"/>
                <w:szCs w:val="24"/>
              </w:rPr>
              <w:t>/</w:t>
            </w:r>
            <w:r w:rsidR="00621AE8" w:rsidRPr="003E7E6F">
              <w:rPr>
                <w:rFonts w:ascii="Times New Roman" w:eastAsia="Times New Roman" w:hAnsi="Times New Roman" w:cs="Times New Roman"/>
                <w:b/>
                <w:bCs/>
                <w:color w:val="000000"/>
                <w:sz w:val="24"/>
                <w:szCs w:val="24"/>
              </w:rPr>
              <w:t>Pods</w:t>
            </w:r>
          </w:p>
        </w:tc>
        <w:tc>
          <w:tcPr>
            <w:tcW w:w="18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Test weight (gm/100)</w:t>
            </w:r>
          </w:p>
        </w:tc>
      </w:tr>
      <w:tr w:rsidR="0073306B" w:rsidRPr="003E7E6F" w:rsidTr="00A15A00">
        <w:trPr>
          <w:trHeight w:val="654"/>
          <w:jc w:val="center"/>
        </w:trPr>
        <w:tc>
          <w:tcPr>
            <w:tcW w:w="956" w:type="dxa"/>
            <w:vMerge/>
            <w:tcBorders>
              <w:top w:val="single" w:sz="4" w:space="0" w:color="auto"/>
              <w:left w:val="single" w:sz="4" w:space="0" w:color="auto"/>
              <w:bottom w:val="single" w:sz="4" w:space="0" w:color="000000"/>
              <w:right w:val="single" w:sz="4" w:space="0" w:color="auto"/>
            </w:tcBorders>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1674" w:type="dxa"/>
            <w:gridSpan w:val="2"/>
            <w:vMerge/>
            <w:tcBorders>
              <w:top w:val="single" w:sz="4" w:space="0" w:color="auto"/>
              <w:left w:val="single" w:sz="4" w:space="0" w:color="auto"/>
              <w:bottom w:val="single" w:sz="4" w:space="0" w:color="000000"/>
              <w:right w:val="single" w:sz="4" w:space="0" w:color="000000"/>
            </w:tcBorders>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1684" w:type="dxa"/>
            <w:gridSpan w:val="2"/>
            <w:vMerge/>
            <w:tcBorders>
              <w:top w:val="single" w:sz="4" w:space="0" w:color="auto"/>
              <w:left w:val="single" w:sz="4" w:space="0" w:color="auto"/>
              <w:bottom w:val="single" w:sz="4" w:space="0" w:color="000000"/>
              <w:right w:val="single" w:sz="4" w:space="0" w:color="000000"/>
            </w:tcBorders>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1849" w:type="dxa"/>
            <w:gridSpan w:val="2"/>
            <w:vMerge/>
            <w:tcBorders>
              <w:top w:val="single" w:sz="4" w:space="0" w:color="auto"/>
              <w:left w:val="single" w:sz="4" w:space="0" w:color="auto"/>
              <w:bottom w:val="single" w:sz="4" w:space="0" w:color="000000"/>
              <w:right w:val="single" w:sz="4" w:space="0" w:color="000000"/>
            </w:tcBorders>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1808" w:type="dxa"/>
            <w:gridSpan w:val="2"/>
            <w:vMerge/>
            <w:tcBorders>
              <w:top w:val="single" w:sz="4" w:space="0" w:color="auto"/>
              <w:left w:val="single" w:sz="4" w:space="0" w:color="auto"/>
              <w:bottom w:val="single" w:sz="4" w:space="0" w:color="000000"/>
              <w:right w:val="single" w:sz="4" w:space="0" w:color="000000"/>
            </w:tcBorders>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1888" w:type="dxa"/>
            <w:gridSpan w:val="2"/>
            <w:vMerge/>
            <w:tcBorders>
              <w:top w:val="single" w:sz="4" w:space="0" w:color="auto"/>
              <w:left w:val="single" w:sz="4" w:space="0" w:color="auto"/>
              <w:bottom w:val="single" w:sz="4" w:space="0" w:color="000000"/>
              <w:right w:val="single" w:sz="4" w:space="0" w:color="000000"/>
            </w:tcBorders>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p>
        </w:tc>
      </w:tr>
      <w:tr w:rsidR="0073306B" w:rsidRPr="003E7E6F" w:rsidTr="00A15A00">
        <w:trPr>
          <w:trHeight w:val="315"/>
          <w:jc w:val="center"/>
        </w:trPr>
        <w:tc>
          <w:tcPr>
            <w:tcW w:w="956" w:type="dxa"/>
            <w:vMerge/>
            <w:tcBorders>
              <w:top w:val="single" w:sz="4" w:space="0" w:color="auto"/>
              <w:left w:val="single" w:sz="4" w:space="0" w:color="auto"/>
              <w:bottom w:val="single" w:sz="4" w:space="0" w:color="000000"/>
              <w:right w:val="single" w:sz="4" w:space="0" w:color="auto"/>
            </w:tcBorders>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FP</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Demo</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FP</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Demo</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FP</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Demo</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FP</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Demo</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FP</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Demo</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F1</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33.8</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36.8</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21</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25.0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13.70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14.5</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F2</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34.2</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38.4</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5</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22</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26.0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12.80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13.9</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F3</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35.8</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36.4</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5</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25</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27.0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13.30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14.5</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F4</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34.8</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35.8</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5</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23</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27.0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12.80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14.8</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F5</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35.4</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38.4</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5</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22</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26.0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13.20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14.5</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F6</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33.8</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36.8</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5</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20</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24.0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12.60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15.4</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F7</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34.5</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37.8</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5</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20</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25.0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12.80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13.2</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lastRenderedPageBreak/>
              <w:t>F8</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33.6</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36.5</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21</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25.0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13.50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14.5</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F9</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35.4</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37.5</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5</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23</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26.0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14.50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15.3</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F10</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33.8</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36.8</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21</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24.0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13.50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14.4</w:t>
            </w:r>
          </w:p>
        </w:tc>
      </w:tr>
      <w:tr w:rsidR="0073306B" w:rsidRPr="003E7E6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Mean</w:t>
            </w:r>
          </w:p>
        </w:tc>
        <w:tc>
          <w:tcPr>
            <w:tcW w:w="774" w:type="dxa"/>
            <w:tcBorders>
              <w:top w:val="nil"/>
              <w:left w:val="nil"/>
              <w:bottom w:val="single" w:sz="4" w:space="0" w:color="auto"/>
              <w:right w:val="single" w:sz="4" w:space="0" w:color="auto"/>
            </w:tcBorders>
            <w:shd w:val="clear" w:color="auto" w:fill="auto"/>
            <w:noWrap/>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34.51</w:t>
            </w:r>
          </w:p>
        </w:tc>
        <w:tc>
          <w:tcPr>
            <w:tcW w:w="900" w:type="dxa"/>
            <w:tcBorders>
              <w:top w:val="nil"/>
              <w:left w:val="nil"/>
              <w:bottom w:val="single" w:sz="4" w:space="0" w:color="auto"/>
              <w:right w:val="single" w:sz="4" w:space="0" w:color="auto"/>
            </w:tcBorders>
            <w:shd w:val="clear" w:color="auto" w:fill="auto"/>
            <w:noWrap/>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37.12</w:t>
            </w:r>
          </w:p>
        </w:tc>
        <w:tc>
          <w:tcPr>
            <w:tcW w:w="711" w:type="dxa"/>
            <w:tcBorders>
              <w:top w:val="nil"/>
              <w:left w:val="nil"/>
              <w:bottom w:val="single" w:sz="4" w:space="0" w:color="auto"/>
              <w:right w:val="single" w:sz="4" w:space="0" w:color="auto"/>
            </w:tcBorders>
            <w:shd w:val="clear" w:color="auto" w:fill="auto"/>
            <w:noWrap/>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4</w:t>
            </w:r>
          </w:p>
        </w:tc>
        <w:tc>
          <w:tcPr>
            <w:tcW w:w="973" w:type="dxa"/>
            <w:tcBorders>
              <w:top w:val="nil"/>
              <w:left w:val="nil"/>
              <w:bottom w:val="single" w:sz="4" w:space="0" w:color="auto"/>
              <w:right w:val="single" w:sz="4" w:space="0" w:color="auto"/>
            </w:tcBorders>
            <w:shd w:val="clear" w:color="auto" w:fill="auto"/>
            <w:noWrap/>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5.6</w:t>
            </w:r>
          </w:p>
        </w:tc>
        <w:tc>
          <w:tcPr>
            <w:tcW w:w="831" w:type="dxa"/>
            <w:tcBorders>
              <w:top w:val="nil"/>
              <w:left w:val="nil"/>
              <w:bottom w:val="single" w:sz="4" w:space="0" w:color="auto"/>
              <w:right w:val="single" w:sz="4" w:space="0" w:color="auto"/>
            </w:tcBorders>
            <w:shd w:val="clear" w:color="auto" w:fill="auto"/>
            <w:noWrap/>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21.8</w:t>
            </w:r>
          </w:p>
        </w:tc>
        <w:tc>
          <w:tcPr>
            <w:tcW w:w="1018" w:type="dxa"/>
            <w:tcBorders>
              <w:top w:val="nil"/>
              <w:left w:val="nil"/>
              <w:bottom w:val="single" w:sz="4" w:space="0" w:color="auto"/>
              <w:right w:val="single" w:sz="4" w:space="0" w:color="auto"/>
            </w:tcBorders>
            <w:shd w:val="clear" w:color="auto" w:fill="auto"/>
            <w:noWrap/>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25.5</w:t>
            </w:r>
          </w:p>
        </w:tc>
        <w:tc>
          <w:tcPr>
            <w:tcW w:w="892" w:type="dxa"/>
            <w:tcBorders>
              <w:top w:val="nil"/>
              <w:left w:val="nil"/>
              <w:bottom w:val="single" w:sz="4" w:space="0" w:color="auto"/>
              <w:right w:val="single" w:sz="4" w:space="0" w:color="auto"/>
            </w:tcBorders>
            <w:shd w:val="clear" w:color="auto" w:fill="auto"/>
            <w:noWrap/>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1.5</w:t>
            </w:r>
          </w:p>
        </w:tc>
        <w:tc>
          <w:tcPr>
            <w:tcW w:w="916" w:type="dxa"/>
            <w:tcBorders>
              <w:top w:val="nil"/>
              <w:left w:val="nil"/>
              <w:bottom w:val="single" w:sz="4" w:space="0" w:color="auto"/>
              <w:right w:val="single" w:sz="4" w:space="0" w:color="auto"/>
            </w:tcBorders>
            <w:shd w:val="clear" w:color="auto" w:fill="auto"/>
            <w:noWrap/>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2.5</w:t>
            </w:r>
          </w:p>
        </w:tc>
        <w:tc>
          <w:tcPr>
            <w:tcW w:w="1057" w:type="dxa"/>
            <w:tcBorders>
              <w:top w:val="nil"/>
              <w:left w:val="nil"/>
              <w:bottom w:val="single" w:sz="4" w:space="0" w:color="auto"/>
              <w:right w:val="single" w:sz="4" w:space="0" w:color="auto"/>
            </w:tcBorders>
            <w:shd w:val="clear" w:color="auto" w:fill="auto"/>
            <w:noWrap/>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13.27</w:t>
            </w:r>
          </w:p>
        </w:tc>
        <w:tc>
          <w:tcPr>
            <w:tcW w:w="831" w:type="dxa"/>
            <w:tcBorders>
              <w:top w:val="nil"/>
              <w:left w:val="nil"/>
              <w:bottom w:val="single" w:sz="4" w:space="0" w:color="auto"/>
              <w:right w:val="single" w:sz="4" w:space="0" w:color="auto"/>
            </w:tcBorders>
            <w:shd w:val="clear" w:color="auto" w:fill="auto"/>
            <w:noWrap/>
            <w:vAlign w:val="center"/>
            <w:hideMark/>
          </w:tcPr>
          <w:p w:rsidR="0073306B" w:rsidRPr="003E7E6F" w:rsidRDefault="0073306B"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14.5</w:t>
            </w:r>
          </w:p>
        </w:tc>
      </w:tr>
    </w:tbl>
    <w:p w:rsidR="00454B13" w:rsidRPr="003E7E6F" w:rsidRDefault="00454B13" w:rsidP="00452EA4">
      <w:pPr>
        <w:spacing w:after="0" w:line="360" w:lineRule="auto"/>
        <w:jc w:val="both"/>
        <w:rPr>
          <w:rFonts w:ascii="Times New Roman" w:hAnsi="Times New Roman" w:cs="Times New Roman"/>
          <w:b/>
          <w:bCs/>
          <w:sz w:val="24"/>
          <w:szCs w:val="24"/>
        </w:rPr>
      </w:pPr>
    </w:p>
    <w:p w:rsidR="00454B13" w:rsidRPr="003E7E6F" w:rsidRDefault="00454B13" w:rsidP="00452EA4">
      <w:pPr>
        <w:spacing w:after="0" w:line="360" w:lineRule="auto"/>
        <w:ind w:left="993" w:hanging="993"/>
        <w:jc w:val="both"/>
        <w:rPr>
          <w:rFonts w:ascii="Times New Roman" w:hAnsi="Times New Roman" w:cs="Times New Roman"/>
          <w:b/>
          <w:bCs/>
          <w:sz w:val="24"/>
          <w:szCs w:val="24"/>
        </w:rPr>
      </w:pPr>
      <w:r w:rsidRPr="003E7E6F">
        <w:rPr>
          <w:rFonts w:ascii="Times New Roman" w:hAnsi="Times New Roman" w:cs="Times New Roman"/>
          <w:b/>
          <w:bCs/>
          <w:sz w:val="24"/>
          <w:szCs w:val="24"/>
        </w:rPr>
        <w:t>Table 02-</w:t>
      </w:r>
      <w:r w:rsidR="00A93277" w:rsidRPr="003E7E6F">
        <w:rPr>
          <w:rFonts w:ascii="Times New Roman" w:hAnsi="Times New Roman" w:cs="Times New Roman"/>
          <w:b/>
          <w:bCs/>
          <w:sz w:val="24"/>
          <w:szCs w:val="24"/>
        </w:rPr>
        <w:t xml:space="preserve"> Impact </w:t>
      </w:r>
      <w:r w:rsidR="0045101D" w:rsidRPr="003E7E6F">
        <w:rPr>
          <w:rFonts w:ascii="Times New Roman" w:hAnsi="Times New Roman" w:cs="Times New Roman"/>
          <w:b/>
          <w:bCs/>
          <w:sz w:val="24"/>
          <w:szCs w:val="24"/>
        </w:rPr>
        <w:t xml:space="preserve">on </w:t>
      </w:r>
      <w:r w:rsidR="00A93277" w:rsidRPr="003E7E6F">
        <w:rPr>
          <w:rFonts w:ascii="Times New Roman" w:hAnsi="Times New Roman" w:cs="Times New Roman"/>
          <w:b/>
          <w:bCs/>
          <w:sz w:val="24"/>
          <w:szCs w:val="24"/>
        </w:rPr>
        <w:t xml:space="preserve">Productivity and Harvesting Efficiency </w:t>
      </w:r>
      <w:r w:rsidRPr="003E7E6F">
        <w:rPr>
          <w:rFonts w:ascii="Times New Roman" w:hAnsi="Times New Roman" w:cs="Times New Roman"/>
          <w:b/>
          <w:bCs/>
          <w:sz w:val="24"/>
          <w:szCs w:val="24"/>
        </w:rPr>
        <w:t xml:space="preserve">of Bio-inoculants on growth </w:t>
      </w:r>
      <w:r w:rsidR="00621AE8" w:rsidRPr="003E7E6F">
        <w:rPr>
          <w:rFonts w:ascii="Times New Roman" w:hAnsi="Times New Roman" w:cs="Times New Roman"/>
          <w:b/>
          <w:bCs/>
          <w:sz w:val="24"/>
          <w:szCs w:val="24"/>
        </w:rPr>
        <w:t>parameters</w:t>
      </w:r>
      <w:r w:rsidRPr="003E7E6F">
        <w:rPr>
          <w:rFonts w:ascii="Times New Roman" w:hAnsi="Times New Roman" w:cs="Times New Roman"/>
          <w:b/>
          <w:bCs/>
          <w:sz w:val="24"/>
          <w:szCs w:val="24"/>
        </w:rPr>
        <w:t xml:space="preserve"> and yield </w:t>
      </w:r>
      <w:r w:rsidR="00621AE8" w:rsidRPr="003E7E6F">
        <w:rPr>
          <w:rFonts w:ascii="Times New Roman" w:hAnsi="Times New Roman" w:cs="Times New Roman"/>
          <w:b/>
          <w:bCs/>
          <w:sz w:val="24"/>
          <w:szCs w:val="24"/>
        </w:rPr>
        <w:t>attributes</w:t>
      </w:r>
      <w:r w:rsidRPr="003E7E6F">
        <w:rPr>
          <w:rFonts w:ascii="Times New Roman" w:hAnsi="Times New Roman" w:cs="Times New Roman"/>
          <w:b/>
          <w:bCs/>
          <w:sz w:val="24"/>
          <w:szCs w:val="24"/>
        </w:rPr>
        <w:t xml:space="preserve"> of chickpea crop</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160"/>
        <w:gridCol w:w="960"/>
        <w:gridCol w:w="960"/>
        <w:gridCol w:w="960"/>
        <w:gridCol w:w="960"/>
        <w:gridCol w:w="1031"/>
        <w:gridCol w:w="993"/>
        <w:gridCol w:w="1134"/>
      </w:tblGrid>
      <w:tr w:rsidR="00454B13" w:rsidRPr="003E7E6F" w:rsidTr="00A15A00">
        <w:trPr>
          <w:trHeight w:val="640"/>
        </w:trPr>
        <w:tc>
          <w:tcPr>
            <w:tcW w:w="960" w:type="dxa"/>
            <w:vMerge w:val="restart"/>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sz w:val="24"/>
                <w:szCs w:val="24"/>
              </w:rPr>
              <w:t>Famer ID</w:t>
            </w:r>
          </w:p>
        </w:tc>
        <w:tc>
          <w:tcPr>
            <w:tcW w:w="2120" w:type="dxa"/>
            <w:gridSpan w:val="2"/>
            <w:shd w:val="clear" w:color="000000" w:fill="FFFFFF"/>
            <w:vAlign w:val="center"/>
            <w:hideMark/>
          </w:tcPr>
          <w:p w:rsidR="00454B13" w:rsidRPr="003E7E6F" w:rsidRDefault="001E1059"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Grain y</w:t>
            </w:r>
            <w:r w:rsidR="00454B13" w:rsidRPr="003E7E6F">
              <w:rPr>
                <w:rFonts w:ascii="Times New Roman" w:eastAsia="Times New Roman" w:hAnsi="Times New Roman" w:cs="Times New Roman"/>
                <w:b/>
                <w:bCs/>
                <w:color w:val="000000"/>
                <w:sz w:val="24"/>
                <w:szCs w:val="24"/>
              </w:rPr>
              <w:t>ield</w:t>
            </w:r>
          </w:p>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(q ha</w:t>
            </w:r>
            <w:r w:rsidRPr="003E7E6F">
              <w:rPr>
                <w:rFonts w:ascii="Times New Roman" w:eastAsia="Times New Roman" w:hAnsi="Times New Roman" w:cs="Times New Roman"/>
                <w:b/>
                <w:bCs/>
                <w:color w:val="000000"/>
                <w:sz w:val="24"/>
                <w:szCs w:val="24"/>
                <w:vertAlign w:val="superscript"/>
              </w:rPr>
              <w:t>-1)</w:t>
            </w:r>
          </w:p>
        </w:tc>
        <w:tc>
          <w:tcPr>
            <w:tcW w:w="1920" w:type="dxa"/>
            <w:gridSpan w:val="2"/>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Biological yield (q ha</w:t>
            </w:r>
            <w:r w:rsidRPr="003E7E6F">
              <w:rPr>
                <w:rFonts w:ascii="Times New Roman" w:eastAsia="Times New Roman" w:hAnsi="Times New Roman" w:cs="Times New Roman"/>
                <w:b/>
                <w:bCs/>
                <w:color w:val="000000"/>
                <w:sz w:val="24"/>
                <w:szCs w:val="24"/>
                <w:vertAlign w:val="superscript"/>
              </w:rPr>
              <w:t>-1)</w:t>
            </w:r>
          </w:p>
        </w:tc>
        <w:tc>
          <w:tcPr>
            <w:tcW w:w="1920" w:type="dxa"/>
            <w:gridSpan w:val="2"/>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Stover yield</w:t>
            </w:r>
          </w:p>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(q ha</w:t>
            </w:r>
            <w:r w:rsidRPr="003E7E6F">
              <w:rPr>
                <w:rFonts w:ascii="Times New Roman" w:eastAsia="Times New Roman" w:hAnsi="Times New Roman" w:cs="Times New Roman"/>
                <w:b/>
                <w:bCs/>
                <w:color w:val="000000"/>
                <w:sz w:val="24"/>
                <w:szCs w:val="24"/>
                <w:vertAlign w:val="superscript"/>
              </w:rPr>
              <w:t>-1)</w:t>
            </w:r>
          </w:p>
        </w:tc>
        <w:tc>
          <w:tcPr>
            <w:tcW w:w="2024" w:type="dxa"/>
            <w:gridSpan w:val="2"/>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Harvest</w:t>
            </w:r>
            <w:r w:rsidR="001E1059" w:rsidRPr="003E7E6F">
              <w:rPr>
                <w:rFonts w:ascii="Times New Roman" w:eastAsia="Times New Roman" w:hAnsi="Times New Roman" w:cs="Times New Roman"/>
                <w:b/>
                <w:bCs/>
                <w:color w:val="000000"/>
                <w:sz w:val="24"/>
                <w:szCs w:val="24"/>
              </w:rPr>
              <w:t xml:space="preserve"> i</w:t>
            </w:r>
            <w:r w:rsidRPr="003E7E6F">
              <w:rPr>
                <w:rFonts w:ascii="Times New Roman" w:eastAsia="Times New Roman" w:hAnsi="Times New Roman" w:cs="Times New Roman"/>
                <w:b/>
                <w:bCs/>
                <w:color w:val="000000"/>
                <w:sz w:val="24"/>
                <w:szCs w:val="24"/>
              </w:rPr>
              <w:t>ndex (%)</w:t>
            </w:r>
          </w:p>
        </w:tc>
        <w:tc>
          <w:tcPr>
            <w:tcW w:w="1134" w:type="dxa"/>
            <w:vMerge w:val="restart"/>
            <w:shd w:val="clear" w:color="000000" w:fill="FFFFFF"/>
            <w:vAlign w:val="center"/>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Yield increase (%)</w:t>
            </w:r>
          </w:p>
        </w:tc>
      </w:tr>
      <w:tr w:rsidR="00454B13" w:rsidRPr="003E7E6F" w:rsidTr="00A15A00">
        <w:trPr>
          <w:trHeight w:val="330"/>
        </w:trPr>
        <w:tc>
          <w:tcPr>
            <w:tcW w:w="960" w:type="dxa"/>
            <w:vMerge/>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FP</w:t>
            </w:r>
          </w:p>
        </w:tc>
        <w:tc>
          <w:tcPr>
            <w:tcW w:w="11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Demo</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FP</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Demo</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FP</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Demo</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FP</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b/>
                <w:bCs/>
                <w:color w:val="000000"/>
                <w:sz w:val="24"/>
                <w:szCs w:val="24"/>
              </w:rPr>
            </w:pPr>
            <w:r w:rsidRPr="003E7E6F">
              <w:rPr>
                <w:rFonts w:ascii="Times New Roman" w:eastAsia="Times New Roman" w:hAnsi="Times New Roman" w:cs="Times New Roman"/>
                <w:b/>
                <w:bCs/>
                <w:color w:val="000000"/>
                <w:sz w:val="24"/>
                <w:szCs w:val="24"/>
              </w:rPr>
              <w:t>Demo</w:t>
            </w:r>
          </w:p>
        </w:tc>
        <w:tc>
          <w:tcPr>
            <w:tcW w:w="1134" w:type="dxa"/>
            <w:vMerge/>
            <w:shd w:val="clear" w:color="000000" w:fill="FFFFFF"/>
            <w:vAlign w:val="center"/>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p>
        </w:tc>
      </w:tr>
      <w:tr w:rsidR="00454B13" w:rsidRPr="003E7E6F" w:rsidTr="00A15A00">
        <w:trPr>
          <w:trHeight w:val="330"/>
        </w:trPr>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F1</w:t>
            </w:r>
          </w:p>
        </w:tc>
        <w:tc>
          <w:tcPr>
            <w:tcW w:w="9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14.3</w:t>
            </w:r>
          </w:p>
        </w:tc>
        <w:tc>
          <w:tcPr>
            <w:tcW w:w="11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18.5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42.5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39.4</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28.2</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20.9</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33.6</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47.0</w:t>
            </w:r>
          </w:p>
        </w:tc>
        <w:tc>
          <w:tcPr>
            <w:tcW w:w="1134" w:type="dxa"/>
            <w:shd w:val="clear" w:color="000000" w:fill="FFFFFF"/>
            <w:vAlign w:val="center"/>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29.37</w:t>
            </w:r>
          </w:p>
        </w:tc>
      </w:tr>
      <w:tr w:rsidR="00454B13" w:rsidRPr="003E7E6F" w:rsidTr="00A15A00">
        <w:trPr>
          <w:trHeight w:val="330"/>
        </w:trPr>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F2</w:t>
            </w:r>
          </w:p>
        </w:tc>
        <w:tc>
          <w:tcPr>
            <w:tcW w:w="9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16.8</w:t>
            </w:r>
          </w:p>
        </w:tc>
        <w:tc>
          <w:tcPr>
            <w:tcW w:w="11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20.4</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39.4</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36.8</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22.6</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16.4</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42.6</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55.4</w:t>
            </w:r>
          </w:p>
        </w:tc>
        <w:tc>
          <w:tcPr>
            <w:tcW w:w="1134" w:type="dxa"/>
            <w:shd w:val="clear" w:color="000000" w:fill="FFFFFF"/>
            <w:vAlign w:val="center"/>
          </w:tcPr>
          <w:p w:rsidR="00454B13" w:rsidRPr="003E7E6F" w:rsidRDefault="00454B13" w:rsidP="00A15A00">
            <w:pPr>
              <w:spacing w:after="0" w:line="360" w:lineRule="auto"/>
              <w:jc w:val="center"/>
              <w:rPr>
                <w:rFonts w:ascii="Times New Roman" w:hAnsi="Times New Roman" w:cs="Times New Roman"/>
                <w:color w:val="000000"/>
                <w:sz w:val="24"/>
                <w:szCs w:val="24"/>
              </w:rPr>
            </w:pPr>
            <w:r w:rsidRPr="003E7E6F">
              <w:rPr>
                <w:rFonts w:ascii="Times New Roman" w:hAnsi="Times New Roman" w:cs="Times New Roman"/>
                <w:color w:val="000000"/>
                <w:sz w:val="24"/>
                <w:szCs w:val="24"/>
              </w:rPr>
              <w:t>21.43</w:t>
            </w:r>
          </w:p>
        </w:tc>
      </w:tr>
      <w:tr w:rsidR="00454B13" w:rsidRPr="003E7E6F" w:rsidTr="00A15A00">
        <w:trPr>
          <w:trHeight w:val="330"/>
        </w:trPr>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F3</w:t>
            </w:r>
          </w:p>
        </w:tc>
        <w:tc>
          <w:tcPr>
            <w:tcW w:w="9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17.9</w:t>
            </w:r>
          </w:p>
        </w:tc>
        <w:tc>
          <w:tcPr>
            <w:tcW w:w="11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21.2</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38.7</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37.4</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20.8</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16.2</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46.3</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56.7</w:t>
            </w:r>
          </w:p>
        </w:tc>
        <w:tc>
          <w:tcPr>
            <w:tcW w:w="1134" w:type="dxa"/>
            <w:shd w:val="clear" w:color="000000" w:fill="FFFFFF"/>
            <w:vAlign w:val="center"/>
          </w:tcPr>
          <w:p w:rsidR="00454B13" w:rsidRPr="003E7E6F" w:rsidRDefault="00454B13" w:rsidP="00A15A00">
            <w:pPr>
              <w:spacing w:after="0" w:line="360" w:lineRule="auto"/>
              <w:jc w:val="center"/>
              <w:rPr>
                <w:rFonts w:ascii="Times New Roman" w:hAnsi="Times New Roman" w:cs="Times New Roman"/>
                <w:color w:val="000000"/>
                <w:sz w:val="24"/>
                <w:szCs w:val="24"/>
              </w:rPr>
            </w:pPr>
            <w:r w:rsidRPr="003E7E6F">
              <w:rPr>
                <w:rFonts w:ascii="Times New Roman" w:hAnsi="Times New Roman" w:cs="Times New Roman"/>
                <w:color w:val="000000"/>
                <w:sz w:val="24"/>
                <w:szCs w:val="24"/>
              </w:rPr>
              <w:t>18.44</w:t>
            </w:r>
          </w:p>
        </w:tc>
      </w:tr>
      <w:tr w:rsidR="00454B13" w:rsidRPr="003E7E6F" w:rsidTr="00A15A00">
        <w:trPr>
          <w:trHeight w:val="330"/>
        </w:trPr>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F4</w:t>
            </w:r>
          </w:p>
        </w:tc>
        <w:tc>
          <w:tcPr>
            <w:tcW w:w="9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16.3</w:t>
            </w:r>
          </w:p>
        </w:tc>
        <w:tc>
          <w:tcPr>
            <w:tcW w:w="11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19.4</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37.9</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39.5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21.6</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20.1</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43.0</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49.1</w:t>
            </w:r>
          </w:p>
        </w:tc>
        <w:tc>
          <w:tcPr>
            <w:tcW w:w="1134" w:type="dxa"/>
            <w:shd w:val="clear" w:color="000000" w:fill="FFFFFF"/>
            <w:vAlign w:val="center"/>
          </w:tcPr>
          <w:p w:rsidR="00454B13" w:rsidRPr="003E7E6F" w:rsidRDefault="00454B13" w:rsidP="00A15A00">
            <w:pPr>
              <w:spacing w:after="0" w:line="360" w:lineRule="auto"/>
              <w:jc w:val="center"/>
              <w:rPr>
                <w:rFonts w:ascii="Times New Roman" w:hAnsi="Times New Roman" w:cs="Times New Roman"/>
                <w:color w:val="000000"/>
                <w:sz w:val="24"/>
                <w:szCs w:val="24"/>
              </w:rPr>
            </w:pPr>
            <w:r w:rsidRPr="003E7E6F">
              <w:rPr>
                <w:rFonts w:ascii="Times New Roman" w:hAnsi="Times New Roman" w:cs="Times New Roman"/>
                <w:color w:val="000000"/>
                <w:sz w:val="24"/>
                <w:szCs w:val="24"/>
              </w:rPr>
              <w:t>19.02</w:t>
            </w:r>
          </w:p>
        </w:tc>
      </w:tr>
      <w:tr w:rsidR="00454B13" w:rsidRPr="003E7E6F" w:rsidTr="00A15A00">
        <w:trPr>
          <w:trHeight w:val="330"/>
        </w:trPr>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F5</w:t>
            </w:r>
          </w:p>
        </w:tc>
        <w:tc>
          <w:tcPr>
            <w:tcW w:w="9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15.2</w:t>
            </w:r>
          </w:p>
        </w:tc>
        <w:tc>
          <w:tcPr>
            <w:tcW w:w="11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18.4</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40.4</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37.2</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25.2</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18.8</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37.6</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49.5</w:t>
            </w:r>
          </w:p>
        </w:tc>
        <w:tc>
          <w:tcPr>
            <w:tcW w:w="1134" w:type="dxa"/>
            <w:shd w:val="clear" w:color="000000" w:fill="FFFFFF"/>
            <w:vAlign w:val="center"/>
          </w:tcPr>
          <w:p w:rsidR="00454B13" w:rsidRPr="003E7E6F" w:rsidRDefault="00454B13" w:rsidP="00A15A00">
            <w:pPr>
              <w:spacing w:after="0" w:line="360" w:lineRule="auto"/>
              <w:jc w:val="center"/>
              <w:rPr>
                <w:rFonts w:ascii="Times New Roman" w:hAnsi="Times New Roman" w:cs="Times New Roman"/>
                <w:color w:val="000000"/>
                <w:sz w:val="24"/>
                <w:szCs w:val="24"/>
              </w:rPr>
            </w:pPr>
            <w:r w:rsidRPr="003E7E6F">
              <w:rPr>
                <w:rFonts w:ascii="Times New Roman" w:hAnsi="Times New Roman" w:cs="Times New Roman"/>
                <w:color w:val="000000"/>
                <w:sz w:val="24"/>
                <w:szCs w:val="24"/>
              </w:rPr>
              <w:t>21.05</w:t>
            </w:r>
          </w:p>
        </w:tc>
      </w:tr>
      <w:tr w:rsidR="00454B13" w:rsidRPr="003E7E6F" w:rsidTr="00A15A00">
        <w:trPr>
          <w:trHeight w:val="330"/>
        </w:trPr>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F6</w:t>
            </w:r>
          </w:p>
        </w:tc>
        <w:tc>
          <w:tcPr>
            <w:tcW w:w="9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14.3</w:t>
            </w:r>
          </w:p>
        </w:tc>
        <w:tc>
          <w:tcPr>
            <w:tcW w:w="11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17.5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41.2</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40.5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26.9</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23.0</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34.7</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43.2</w:t>
            </w:r>
          </w:p>
        </w:tc>
        <w:tc>
          <w:tcPr>
            <w:tcW w:w="1134" w:type="dxa"/>
            <w:shd w:val="clear" w:color="000000" w:fill="FFFFFF"/>
            <w:vAlign w:val="center"/>
          </w:tcPr>
          <w:p w:rsidR="00454B13" w:rsidRPr="003E7E6F" w:rsidRDefault="00454B13" w:rsidP="00A15A00">
            <w:pPr>
              <w:spacing w:after="0" w:line="360" w:lineRule="auto"/>
              <w:jc w:val="center"/>
              <w:rPr>
                <w:rFonts w:ascii="Times New Roman" w:hAnsi="Times New Roman" w:cs="Times New Roman"/>
                <w:color w:val="000000"/>
                <w:sz w:val="24"/>
                <w:szCs w:val="24"/>
              </w:rPr>
            </w:pPr>
            <w:r w:rsidRPr="003E7E6F">
              <w:rPr>
                <w:rFonts w:ascii="Times New Roman" w:hAnsi="Times New Roman" w:cs="Times New Roman"/>
                <w:color w:val="000000"/>
                <w:sz w:val="24"/>
                <w:szCs w:val="24"/>
              </w:rPr>
              <w:t>22.38</w:t>
            </w:r>
          </w:p>
        </w:tc>
      </w:tr>
      <w:tr w:rsidR="00454B13" w:rsidRPr="003E7E6F" w:rsidTr="00A15A00">
        <w:trPr>
          <w:trHeight w:val="330"/>
        </w:trPr>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F7</w:t>
            </w:r>
          </w:p>
        </w:tc>
        <w:tc>
          <w:tcPr>
            <w:tcW w:w="9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16.2</w:t>
            </w:r>
          </w:p>
        </w:tc>
        <w:tc>
          <w:tcPr>
            <w:tcW w:w="11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20.5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40.5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35.8</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24.3</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15.3</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40.0</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57.3</w:t>
            </w:r>
          </w:p>
        </w:tc>
        <w:tc>
          <w:tcPr>
            <w:tcW w:w="1134" w:type="dxa"/>
            <w:shd w:val="clear" w:color="000000" w:fill="FFFFFF"/>
            <w:vAlign w:val="center"/>
          </w:tcPr>
          <w:p w:rsidR="00454B13" w:rsidRPr="003E7E6F" w:rsidRDefault="00454B13" w:rsidP="00A15A00">
            <w:pPr>
              <w:spacing w:after="0" w:line="360" w:lineRule="auto"/>
              <w:jc w:val="center"/>
              <w:rPr>
                <w:rFonts w:ascii="Times New Roman" w:hAnsi="Times New Roman" w:cs="Times New Roman"/>
                <w:color w:val="000000"/>
                <w:sz w:val="24"/>
                <w:szCs w:val="24"/>
              </w:rPr>
            </w:pPr>
            <w:r w:rsidRPr="003E7E6F">
              <w:rPr>
                <w:rFonts w:ascii="Times New Roman" w:hAnsi="Times New Roman" w:cs="Times New Roman"/>
                <w:color w:val="000000"/>
                <w:sz w:val="24"/>
                <w:szCs w:val="24"/>
              </w:rPr>
              <w:t>26.54</w:t>
            </w:r>
          </w:p>
        </w:tc>
      </w:tr>
      <w:tr w:rsidR="00454B13" w:rsidRPr="003E7E6F" w:rsidTr="00A15A00">
        <w:trPr>
          <w:trHeight w:val="330"/>
        </w:trPr>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F8</w:t>
            </w:r>
          </w:p>
        </w:tc>
        <w:tc>
          <w:tcPr>
            <w:tcW w:w="9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13.5</w:t>
            </w:r>
          </w:p>
        </w:tc>
        <w:tc>
          <w:tcPr>
            <w:tcW w:w="11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16.5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39.5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37.5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26.0</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21.0</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34.2</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44.0</w:t>
            </w:r>
          </w:p>
        </w:tc>
        <w:tc>
          <w:tcPr>
            <w:tcW w:w="1134" w:type="dxa"/>
            <w:shd w:val="clear" w:color="000000" w:fill="FFFFFF"/>
            <w:vAlign w:val="center"/>
          </w:tcPr>
          <w:p w:rsidR="00454B13" w:rsidRPr="003E7E6F" w:rsidRDefault="00454B13" w:rsidP="00A15A00">
            <w:pPr>
              <w:spacing w:after="0" w:line="360" w:lineRule="auto"/>
              <w:jc w:val="center"/>
              <w:rPr>
                <w:rFonts w:ascii="Times New Roman" w:hAnsi="Times New Roman" w:cs="Times New Roman"/>
                <w:color w:val="000000"/>
                <w:sz w:val="24"/>
                <w:szCs w:val="24"/>
              </w:rPr>
            </w:pPr>
            <w:r w:rsidRPr="003E7E6F">
              <w:rPr>
                <w:rFonts w:ascii="Times New Roman" w:hAnsi="Times New Roman" w:cs="Times New Roman"/>
                <w:color w:val="000000"/>
                <w:sz w:val="24"/>
                <w:szCs w:val="24"/>
              </w:rPr>
              <w:t>22.22</w:t>
            </w:r>
          </w:p>
        </w:tc>
      </w:tr>
      <w:tr w:rsidR="00454B13" w:rsidRPr="003E7E6F" w:rsidTr="00A15A00">
        <w:trPr>
          <w:trHeight w:val="330"/>
        </w:trPr>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F9</w:t>
            </w:r>
          </w:p>
        </w:tc>
        <w:tc>
          <w:tcPr>
            <w:tcW w:w="9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14.2</w:t>
            </w:r>
          </w:p>
        </w:tc>
        <w:tc>
          <w:tcPr>
            <w:tcW w:w="11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17.5</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41.2</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41.4</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27.0</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23.9</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34.5</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42.3</w:t>
            </w:r>
          </w:p>
        </w:tc>
        <w:tc>
          <w:tcPr>
            <w:tcW w:w="1134" w:type="dxa"/>
            <w:shd w:val="clear" w:color="000000" w:fill="FFFFFF"/>
            <w:vAlign w:val="center"/>
          </w:tcPr>
          <w:p w:rsidR="00454B13" w:rsidRPr="003E7E6F" w:rsidRDefault="00454B13" w:rsidP="00A15A00">
            <w:pPr>
              <w:spacing w:after="0" w:line="360" w:lineRule="auto"/>
              <w:jc w:val="center"/>
              <w:rPr>
                <w:rFonts w:ascii="Times New Roman" w:hAnsi="Times New Roman" w:cs="Times New Roman"/>
                <w:color w:val="000000"/>
                <w:sz w:val="24"/>
                <w:szCs w:val="24"/>
              </w:rPr>
            </w:pPr>
            <w:r w:rsidRPr="003E7E6F">
              <w:rPr>
                <w:rFonts w:ascii="Times New Roman" w:hAnsi="Times New Roman" w:cs="Times New Roman"/>
                <w:color w:val="000000"/>
                <w:sz w:val="24"/>
                <w:szCs w:val="24"/>
              </w:rPr>
              <w:t>23.24</w:t>
            </w:r>
          </w:p>
        </w:tc>
      </w:tr>
      <w:tr w:rsidR="00454B13" w:rsidRPr="003E7E6F" w:rsidTr="00A15A00">
        <w:trPr>
          <w:trHeight w:val="315"/>
        </w:trPr>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F10</w:t>
            </w:r>
          </w:p>
        </w:tc>
        <w:tc>
          <w:tcPr>
            <w:tcW w:w="9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15.4</w:t>
            </w:r>
          </w:p>
        </w:tc>
        <w:tc>
          <w:tcPr>
            <w:tcW w:w="1160" w:type="dxa"/>
            <w:shd w:val="clear" w:color="000000" w:fill="FFFFFF"/>
            <w:noWrap/>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18.7</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40.8</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38.4</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25.4</w:t>
            </w:r>
          </w:p>
        </w:tc>
        <w:tc>
          <w:tcPr>
            <w:tcW w:w="960"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19.7</w:t>
            </w:r>
          </w:p>
        </w:tc>
        <w:tc>
          <w:tcPr>
            <w:tcW w:w="1031"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37.7</w:t>
            </w:r>
          </w:p>
        </w:tc>
        <w:tc>
          <w:tcPr>
            <w:tcW w:w="993" w:type="dxa"/>
            <w:shd w:val="clear" w:color="000000" w:fill="FFFFFF"/>
            <w:vAlign w:val="center"/>
            <w:hideMark/>
          </w:tcPr>
          <w:p w:rsidR="00454B13" w:rsidRPr="003E7E6F" w:rsidRDefault="00454B13" w:rsidP="00A15A00">
            <w:pPr>
              <w:spacing w:after="0" w:line="360" w:lineRule="auto"/>
              <w:jc w:val="center"/>
              <w:rPr>
                <w:rFonts w:ascii="Times New Roman" w:eastAsia="Times New Roman" w:hAnsi="Times New Roman" w:cs="Times New Roman"/>
                <w:color w:val="000000"/>
                <w:sz w:val="24"/>
                <w:szCs w:val="24"/>
              </w:rPr>
            </w:pPr>
            <w:r w:rsidRPr="003E7E6F">
              <w:rPr>
                <w:rFonts w:ascii="Times New Roman" w:eastAsia="Times New Roman" w:hAnsi="Times New Roman" w:cs="Times New Roman"/>
                <w:color w:val="000000"/>
                <w:sz w:val="24"/>
                <w:szCs w:val="24"/>
              </w:rPr>
              <w:t>48.7</w:t>
            </w:r>
          </w:p>
        </w:tc>
        <w:tc>
          <w:tcPr>
            <w:tcW w:w="1134" w:type="dxa"/>
            <w:shd w:val="clear" w:color="000000" w:fill="FFFFFF"/>
            <w:vAlign w:val="center"/>
          </w:tcPr>
          <w:p w:rsidR="00454B13" w:rsidRPr="003E7E6F" w:rsidRDefault="00454B13" w:rsidP="00A15A00">
            <w:pPr>
              <w:spacing w:after="0" w:line="360" w:lineRule="auto"/>
              <w:jc w:val="center"/>
              <w:rPr>
                <w:rFonts w:ascii="Times New Roman" w:hAnsi="Times New Roman" w:cs="Times New Roman"/>
                <w:color w:val="000000"/>
                <w:sz w:val="24"/>
                <w:szCs w:val="24"/>
              </w:rPr>
            </w:pPr>
            <w:r w:rsidRPr="003E7E6F">
              <w:rPr>
                <w:rFonts w:ascii="Times New Roman" w:hAnsi="Times New Roman" w:cs="Times New Roman"/>
                <w:color w:val="000000"/>
                <w:sz w:val="24"/>
                <w:szCs w:val="24"/>
              </w:rPr>
              <w:t>21.43</w:t>
            </w:r>
          </w:p>
        </w:tc>
      </w:tr>
      <w:tr w:rsidR="0073306B" w:rsidRPr="003E7E6F" w:rsidTr="00A15A00">
        <w:trPr>
          <w:trHeight w:val="297"/>
        </w:trPr>
        <w:tc>
          <w:tcPr>
            <w:tcW w:w="960" w:type="dxa"/>
            <w:shd w:val="clear" w:color="000000" w:fill="FFFFFF"/>
            <w:vAlign w:val="center"/>
            <w:hideMark/>
          </w:tcPr>
          <w:p w:rsidR="0073306B" w:rsidRPr="003E7E6F" w:rsidRDefault="0073306B" w:rsidP="00A15A00">
            <w:pPr>
              <w:spacing w:after="0" w:line="360" w:lineRule="auto"/>
              <w:jc w:val="center"/>
              <w:rPr>
                <w:rFonts w:ascii="Times New Roman" w:hAnsi="Times New Roman" w:cs="Times New Roman"/>
                <w:b/>
                <w:bCs/>
                <w:color w:val="000000"/>
                <w:sz w:val="24"/>
                <w:szCs w:val="24"/>
              </w:rPr>
            </w:pPr>
            <w:r w:rsidRPr="003E7E6F">
              <w:rPr>
                <w:rFonts w:ascii="Times New Roman" w:hAnsi="Times New Roman" w:cs="Times New Roman"/>
                <w:b/>
                <w:bCs/>
                <w:color w:val="000000"/>
                <w:sz w:val="24"/>
                <w:szCs w:val="24"/>
              </w:rPr>
              <w:t>Mean</w:t>
            </w:r>
          </w:p>
        </w:tc>
        <w:tc>
          <w:tcPr>
            <w:tcW w:w="960" w:type="dxa"/>
            <w:shd w:val="clear" w:color="000000" w:fill="FFFFFF"/>
            <w:noWrap/>
            <w:vAlign w:val="center"/>
            <w:hideMark/>
          </w:tcPr>
          <w:p w:rsidR="0073306B" w:rsidRPr="003E7E6F" w:rsidRDefault="0073306B" w:rsidP="00A15A00">
            <w:pPr>
              <w:spacing w:after="0" w:line="360" w:lineRule="auto"/>
              <w:jc w:val="center"/>
              <w:rPr>
                <w:rFonts w:ascii="Times New Roman" w:hAnsi="Times New Roman" w:cs="Times New Roman"/>
                <w:b/>
                <w:bCs/>
                <w:color w:val="000000"/>
                <w:sz w:val="24"/>
                <w:szCs w:val="24"/>
              </w:rPr>
            </w:pPr>
            <w:r w:rsidRPr="003E7E6F">
              <w:rPr>
                <w:rFonts w:ascii="Times New Roman" w:hAnsi="Times New Roman" w:cs="Times New Roman"/>
                <w:b/>
                <w:bCs/>
                <w:color w:val="000000"/>
                <w:sz w:val="24"/>
                <w:szCs w:val="24"/>
              </w:rPr>
              <w:t>15.41</w:t>
            </w:r>
          </w:p>
        </w:tc>
        <w:tc>
          <w:tcPr>
            <w:tcW w:w="1160" w:type="dxa"/>
            <w:shd w:val="clear" w:color="000000" w:fill="FFFFFF"/>
            <w:noWrap/>
            <w:vAlign w:val="center"/>
            <w:hideMark/>
          </w:tcPr>
          <w:p w:rsidR="0073306B" w:rsidRPr="003E7E6F" w:rsidRDefault="0073306B" w:rsidP="00A15A00">
            <w:pPr>
              <w:spacing w:after="0" w:line="360" w:lineRule="auto"/>
              <w:jc w:val="center"/>
              <w:rPr>
                <w:rFonts w:ascii="Times New Roman" w:hAnsi="Times New Roman" w:cs="Times New Roman"/>
                <w:b/>
                <w:bCs/>
                <w:color w:val="000000"/>
                <w:sz w:val="24"/>
                <w:szCs w:val="24"/>
              </w:rPr>
            </w:pPr>
            <w:r w:rsidRPr="003E7E6F">
              <w:rPr>
                <w:rFonts w:ascii="Times New Roman" w:hAnsi="Times New Roman" w:cs="Times New Roman"/>
                <w:b/>
                <w:bCs/>
                <w:color w:val="000000"/>
                <w:sz w:val="24"/>
                <w:szCs w:val="24"/>
              </w:rPr>
              <w:t>18.86</w:t>
            </w:r>
          </w:p>
        </w:tc>
        <w:tc>
          <w:tcPr>
            <w:tcW w:w="960" w:type="dxa"/>
            <w:shd w:val="clear" w:color="000000" w:fill="FFFFFF"/>
            <w:vAlign w:val="center"/>
            <w:hideMark/>
          </w:tcPr>
          <w:p w:rsidR="0073306B" w:rsidRPr="003E7E6F" w:rsidRDefault="0073306B" w:rsidP="00A15A00">
            <w:pPr>
              <w:spacing w:after="0" w:line="360" w:lineRule="auto"/>
              <w:jc w:val="center"/>
              <w:rPr>
                <w:rFonts w:ascii="Times New Roman" w:hAnsi="Times New Roman" w:cs="Times New Roman"/>
                <w:b/>
                <w:bCs/>
                <w:color w:val="000000"/>
                <w:sz w:val="24"/>
                <w:szCs w:val="24"/>
              </w:rPr>
            </w:pPr>
            <w:r w:rsidRPr="003E7E6F">
              <w:rPr>
                <w:rFonts w:ascii="Times New Roman" w:hAnsi="Times New Roman" w:cs="Times New Roman"/>
                <w:b/>
                <w:bCs/>
                <w:color w:val="000000"/>
                <w:sz w:val="24"/>
                <w:szCs w:val="24"/>
              </w:rPr>
              <w:t>40.21</w:t>
            </w:r>
          </w:p>
        </w:tc>
        <w:tc>
          <w:tcPr>
            <w:tcW w:w="960" w:type="dxa"/>
            <w:shd w:val="clear" w:color="000000" w:fill="FFFFFF"/>
            <w:vAlign w:val="center"/>
            <w:hideMark/>
          </w:tcPr>
          <w:p w:rsidR="0073306B" w:rsidRPr="003E7E6F" w:rsidRDefault="0073306B" w:rsidP="00A15A00">
            <w:pPr>
              <w:spacing w:after="0" w:line="360" w:lineRule="auto"/>
              <w:jc w:val="center"/>
              <w:rPr>
                <w:rFonts w:ascii="Times New Roman" w:hAnsi="Times New Roman" w:cs="Times New Roman"/>
                <w:b/>
                <w:bCs/>
                <w:color w:val="000000"/>
                <w:sz w:val="24"/>
                <w:szCs w:val="24"/>
              </w:rPr>
            </w:pPr>
            <w:r w:rsidRPr="003E7E6F">
              <w:rPr>
                <w:rFonts w:ascii="Times New Roman" w:hAnsi="Times New Roman" w:cs="Times New Roman"/>
                <w:b/>
                <w:bCs/>
                <w:color w:val="000000"/>
                <w:sz w:val="24"/>
                <w:szCs w:val="24"/>
              </w:rPr>
              <w:t>38.39</w:t>
            </w:r>
          </w:p>
        </w:tc>
        <w:tc>
          <w:tcPr>
            <w:tcW w:w="960" w:type="dxa"/>
            <w:shd w:val="clear" w:color="000000" w:fill="FFFFFF"/>
            <w:vAlign w:val="center"/>
            <w:hideMark/>
          </w:tcPr>
          <w:p w:rsidR="0073306B" w:rsidRPr="003E7E6F" w:rsidRDefault="0073306B" w:rsidP="00A15A00">
            <w:pPr>
              <w:spacing w:after="0" w:line="360" w:lineRule="auto"/>
              <w:jc w:val="center"/>
              <w:rPr>
                <w:rFonts w:ascii="Times New Roman" w:hAnsi="Times New Roman" w:cs="Times New Roman"/>
                <w:b/>
                <w:bCs/>
                <w:color w:val="000000"/>
                <w:sz w:val="24"/>
                <w:szCs w:val="24"/>
              </w:rPr>
            </w:pPr>
            <w:r w:rsidRPr="003E7E6F">
              <w:rPr>
                <w:rFonts w:ascii="Times New Roman" w:hAnsi="Times New Roman" w:cs="Times New Roman"/>
                <w:b/>
                <w:bCs/>
                <w:color w:val="000000"/>
                <w:sz w:val="24"/>
                <w:szCs w:val="24"/>
              </w:rPr>
              <w:t>24.80</w:t>
            </w:r>
          </w:p>
        </w:tc>
        <w:tc>
          <w:tcPr>
            <w:tcW w:w="960" w:type="dxa"/>
            <w:shd w:val="clear" w:color="000000" w:fill="FFFFFF"/>
            <w:vAlign w:val="center"/>
            <w:hideMark/>
          </w:tcPr>
          <w:p w:rsidR="0073306B" w:rsidRPr="003E7E6F" w:rsidRDefault="0073306B" w:rsidP="00A15A00">
            <w:pPr>
              <w:spacing w:after="0" w:line="360" w:lineRule="auto"/>
              <w:jc w:val="center"/>
              <w:rPr>
                <w:rFonts w:ascii="Times New Roman" w:hAnsi="Times New Roman" w:cs="Times New Roman"/>
                <w:b/>
                <w:bCs/>
                <w:color w:val="000000"/>
                <w:sz w:val="24"/>
                <w:szCs w:val="24"/>
              </w:rPr>
            </w:pPr>
            <w:r w:rsidRPr="003E7E6F">
              <w:rPr>
                <w:rFonts w:ascii="Times New Roman" w:hAnsi="Times New Roman" w:cs="Times New Roman"/>
                <w:b/>
                <w:bCs/>
                <w:color w:val="000000"/>
                <w:sz w:val="24"/>
                <w:szCs w:val="24"/>
              </w:rPr>
              <w:t>19.53</w:t>
            </w:r>
          </w:p>
        </w:tc>
        <w:tc>
          <w:tcPr>
            <w:tcW w:w="1031" w:type="dxa"/>
            <w:shd w:val="clear" w:color="000000" w:fill="FFFFFF"/>
            <w:vAlign w:val="center"/>
            <w:hideMark/>
          </w:tcPr>
          <w:p w:rsidR="0073306B" w:rsidRPr="003E7E6F" w:rsidRDefault="0073306B" w:rsidP="00A15A00">
            <w:pPr>
              <w:spacing w:after="0" w:line="360" w:lineRule="auto"/>
              <w:jc w:val="center"/>
              <w:rPr>
                <w:rFonts w:ascii="Times New Roman" w:hAnsi="Times New Roman" w:cs="Times New Roman"/>
                <w:b/>
                <w:bCs/>
                <w:color w:val="000000"/>
                <w:sz w:val="24"/>
                <w:szCs w:val="24"/>
              </w:rPr>
            </w:pPr>
            <w:r w:rsidRPr="003E7E6F">
              <w:rPr>
                <w:rFonts w:ascii="Times New Roman" w:hAnsi="Times New Roman" w:cs="Times New Roman"/>
                <w:b/>
                <w:bCs/>
                <w:color w:val="000000"/>
                <w:sz w:val="24"/>
                <w:szCs w:val="24"/>
              </w:rPr>
              <w:t>38.42</w:t>
            </w:r>
          </w:p>
        </w:tc>
        <w:tc>
          <w:tcPr>
            <w:tcW w:w="993" w:type="dxa"/>
            <w:shd w:val="clear" w:color="000000" w:fill="FFFFFF"/>
            <w:vAlign w:val="center"/>
            <w:hideMark/>
          </w:tcPr>
          <w:p w:rsidR="0073306B" w:rsidRPr="003E7E6F" w:rsidRDefault="0073306B" w:rsidP="00A15A00">
            <w:pPr>
              <w:spacing w:after="0" w:line="360" w:lineRule="auto"/>
              <w:jc w:val="center"/>
              <w:rPr>
                <w:rFonts w:ascii="Times New Roman" w:hAnsi="Times New Roman" w:cs="Times New Roman"/>
                <w:b/>
                <w:bCs/>
                <w:color w:val="000000"/>
                <w:sz w:val="24"/>
                <w:szCs w:val="24"/>
              </w:rPr>
            </w:pPr>
            <w:r w:rsidRPr="003E7E6F">
              <w:rPr>
                <w:rFonts w:ascii="Times New Roman" w:hAnsi="Times New Roman" w:cs="Times New Roman"/>
                <w:b/>
                <w:bCs/>
                <w:color w:val="000000"/>
                <w:sz w:val="24"/>
                <w:szCs w:val="24"/>
              </w:rPr>
              <w:t>49.32</w:t>
            </w:r>
          </w:p>
        </w:tc>
        <w:tc>
          <w:tcPr>
            <w:tcW w:w="1134" w:type="dxa"/>
            <w:shd w:val="clear" w:color="000000" w:fill="FFFFFF"/>
            <w:vAlign w:val="center"/>
          </w:tcPr>
          <w:p w:rsidR="0073306B" w:rsidRPr="003E7E6F" w:rsidRDefault="0073306B" w:rsidP="00A15A00">
            <w:pPr>
              <w:spacing w:after="0" w:line="360" w:lineRule="auto"/>
              <w:jc w:val="center"/>
              <w:rPr>
                <w:rFonts w:ascii="Times New Roman" w:hAnsi="Times New Roman" w:cs="Times New Roman"/>
                <w:b/>
                <w:bCs/>
                <w:color w:val="000000"/>
                <w:sz w:val="24"/>
                <w:szCs w:val="24"/>
              </w:rPr>
            </w:pPr>
            <w:r w:rsidRPr="003E7E6F">
              <w:rPr>
                <w:rFonts w:ascii="Times New Roman" w:hAnsi="Times New Roman" w:cs="Times New Roman"/>
                <w:b/>
                <w:bCs/>
                <w:color w:val="000000"/>
                <w:sz w:val="24"/>
                <w:szCs w:val="24"/>
              </w:rPr>
              <w:t>22.51</w:t>
            </w:r>
          </w:p>
        </w:tc>
      </w:tr>
    </w:tbl>
    <w:p w:rsidR="00890F8B" w:rsidRPr="003E7E6F" w:rsidRDefault="00890F8B" w:rsidP="00452EA4">
      <w:pPr>
        <w:spacing w:after="0" w:line="360" w:lineRule="auto"/>
        <w:jc w:val="both"/>
        <w:rPr>
          <w:rFonts w:ascii="Times New Roman" w:hAnsi="Times New Roman" w:cs="Times New Roman"/>
          <w:b/>
          <w:bCs/>
          <w:sz w:val="24"/>
          <w:szCs w:val="24"/>
        </w:rPr>
      </w:pPr>
    </w:p>
    <w:p w:rsidR="0045101D" w:rsidRPr="003E7E6F" w:rsidRDefault="0045101D" w:rsidP="00452EA4">
      <w:pPr>
        <w:spacing w:after="0" w:line="360" w:lineRule="auto"/>
        <w:jc w:val="both"/>
        <w:rPr>
          <w:rFonts w:ascii="Times New Roman" w:hAnsi="Times New Roman" w:cs="Times New Roman"/>
          <w:b/>
          <w:bCs/>
          <w:sz w:val="24"/>
          <w:szCs w:val="24"/>
        </w:rPr>
      </w:pPr>
    </w:p>
    <w:p w:rsidR="00285C05" w:rsidRPr="003E7E6F" w:rsidRDefault="00285C05" w:rsidP="00452EA4">
      <w:pPr>
        <w:spacing w:after="0" w:line="360" w:lineRule="auto"/>
        <w:jc w:val="both"/>
        <w:rPr>
          <w:rFonts w:ascii="Times New Roman" w:hAnsi="Times New Roman" w:cs="Times New Roman"/>
          <w:b/>
          <w:bCs/>
          <w:sz w:val="24"/>
          <w:szCs w:val="24"/>
        </w:rPr>
      </w:pPr>
      <w:r w:rsidRPr="003E7E6F">
        <w:rPr>
          <w:rFonts w:ascii="Times New Roman" w:hAnsi="Times New Roman" w:cs="Times New Roman"/>
          <w:b/>
          <w:bCs/>
          <w:sz w:val="24"/>
          <w:szCs w:val="24"/>
        </w:rPr>
        <w:t>Table -0</w:t>
      </w:r>
      <w:r w:rsidR="00454B13" w:rsidRPr="003E7E6F">
        <w:rPr>
          <w:rFonts w:ascii="Times New Roman" w:hAnsi="Times New Roman" w:cs="Times New Roman"/>
          <w:b/>
          <w:bCs/>
          <w:sz w:val="24"/>
          <w:szCs w:val="24"/>
        </w:rPr>
        <w:t>3</w:t>
      </w:r>
      <w:r w:rsidR="006D3B6F">
        <w:rPr>
          <w:rFonts w:ascii="Times New Roman" w:hAnsi="Times New Roman" w:cs="Times New Roman"/>
          <w:b/>
          <w:bCs/>
          <w:sz w:val="24"/>
          <w:szCs w:val="24"/>
        </w:rPr>
        <w:t xml:space="preserve">. </w:t>
      </w:r>
      <w:r w:rsidR="008E3861" w:rsidRPr="003E7E6F">
        <w:rPr>
          <w:rFonts w:ascii="Times New Roman" w:hAnsi="Times New Roman" w:cs="Times New Roman"/>
          <w:b/>
          <w:bCs/>
          <w:sz w:val="24"/>
          <w:szCs w:val="24"/>
        </w:rPr>
        <w:t>Effects</w:t>
      </w:r>
      <w:r w:rsidRPr="003E7E6F">
        <w:rPr>
          <w:rFonts w:ascii="Times New Roman" w:hAnsi="Times New Roman" w:cs="Times New Roman"/>
          <w:b/>
          <w:bCs/>
          <w:sz w:val="24"/>
          <w:szCs w:val="24"/>
        </w:rPr>
        <w:t xml:space="preserve"> of Integrated Bio-inoculants on Growth and Yield of Chickpea</w:t>
      </w:r>
    </w:p>
    <w:tbl>
      <w:tblPr>
        <w:tblW w:w="9359" w:type="dxa"/>
        <w:jc w:val="center"/>
        <w:tblLook w:val="04A0" w:firstRow="1" w:lastRow="0" w:firstColumn="1" w:lastColumn="0" w:noHBand="0" w:noVBand="1"/>
      </w:tblPr>
      <w:tblGrid>
        <w:gridCol w:w="2050"/>
        <w:gridCol w:w="1385"/>
        <w:gridCol w:w="1339"/>
        <w:gridCol w:w="1349"/>
        <w:gridCol w:w="950"/>
        <w:gridCol w:w="1080"/>
        <w:gridCol w:w="1206"/>
      </w:tblGrid>
      <w:tr w:rsidR="0045101D" w:rsidRPr="003E7E6F" w:rsidTr="004E2910">
        <w:trPr>
          <w:trHeight w:val="645"/>
          <w:jc w:val="center"/>
        </w:trPr>
        <w:tc>
          <w:tcPr>
            <w:tcW w:w="20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b/>
                <w:bCs/>
                <w:color w:val="1F1F1F"/>
                <w:sz w:val="24"/>
                <w:szCs w:val="24"/>
              </w:rPr>
            </w:pPr>
            <w:r w:rsidRPr="003E7E6F">
              <w:rPr>
                <w:rFonts w:ascii="Times New Roman" w:eastAsia="Times New Roman" w:hAnsi="Times New Roman" w:cs="Times New Roman"/>
                <w:b/>
                <w:bCs/>
                <w:color w:val="1F1F1F"/>
                <w:sz w:val="24"/>
                <w:szCs w:val="24"/>
              </w:rPr>
              <w:t>Parameter</w:t>
            </w:r>
          </w:p>
        </w:tc>
        <w:tc>
          <w:tcPr>
            <w:tcW w:w="1385" w:type="dxa"/>
            <w:tcBorders>
              <w:top w:val="single" w:sz="8" w:space="0" w:color="000000"/>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b/>
                <w:bCs/>
                <w:color w:val="1F1F1F"/>
                <w:sz w:val="24"/>
                <w:szCs w:val="24"/>
              </w:rPr>
            </w:pPr>
            <w:r w:rsidRPr="003E7E6F">
              <w:rPr>
                <w:rFonts w:ascii="Times New Roman" w:eastAsia="Times New Roman" w:hAnsi="Times New Roman" w:cs="Times New Roman"/>
                <w:b/>
                <w:bCs/>
                <w:color w:val="1F1F1F"/>
                <w:sz w:val="24"/>
                <w:szCs w:val="24"/>
              </w:rPr>
              <w:t>Mean (FP)</w:t>
            </w:r>
          </w:p>
        </w:tc>
        <w:tc>
          <w:tcPr>
            <w:tcW w:w="1339" w:type="dxa"/>
            <w:tcBorders>
              <w:top w:val="single" w:sz="8" w:space="0" w:color="000000"/>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b/>
                <w:bCs/>
                <w:color w:val="1F1F1F"/>
                <w:sz w:val="24"/>
                <w:szCs w:val="24"/>
              </w:rPr>
            </w:pPr>
            <w:r w:rsidRPr="003E7E6F">
              <w:rPr>
                <w:rFonts w:ascii="Times New Roman" w:eastAsia="Times New Roman" w:hAnsi="Times New Roman" w:cs="Times New Roman"/>
                <w:b/>
                <w:bCs/>
                <w:color w:val="1F1F1F"/>
                <w:sz w:val="24"/>
                <w:szCs w:val="24"/>
              </w:rPr>
              <w:t>Mean (Demo)</w:t>
            </w:r>
          </w:p>
        </w:tc>
        <w:tc>
          <w:tcPr>
            <w:tcW w:w="1349" w:type="dxa"/>
            <w:tcBorders>
              <w:top w:val="single" w:sz="8" w:space="0" w:color="000000"/>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b/>
                <w:bCs/>
                <w:color w:val="1F1F1F"/>
                <w:sz w:val="24"/>
                <w:szCs w:val="24"/>
              </w:rPr>
            </w:pPr>
            <w:r w:rsidRPr="003E7E6F">
              <w:rPr>
                <w:rFonts w:ascii="Times New Roman" w:eastAsia="Times New Roman" w:hAnsi="Times New Roman" w:cs="Times New Roman"/>
                <w:b/>
                <w:bCs/>
                <w:color w:val="1F1F1F"/>
                <w:sz w:val="24"/>
                <w:szCs w:val="24"/>
              </w:rPr>
              <w:t>Mean Diff (d)</w:t>
            </w:r>
          </w:p>
        </w:tc>
        <w:tc>
          <w:tcPr>
            <w:tcW w:w="950" w:type="dxa"/>
            <w:tcBorders>
              <w:top w:val="single" w:sz="8" w:space="0" w:color="000000"/>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b/>
                <w:bCs/>
                <w:color w:val="1F1F1F"/>
                <w:sz w:val="24"/>
                <w:szCs w:val="24"/>
              </w:rPr>
            </w:pPr>
            <w:r w:rsidRPr="003E7E6F">
              <w:rPr>
                <w:rFonts w:ascii="Times New Roman" w:eastAsia="Times New Roman" w:hAnsi="Times New Roman" w:cs="Times New Roman"/>
                <w:b/>
                <w:bCs/>
                <w:color w:val="1F1F1F"/>
                <w:sz w:val="24"/>
                <w:szCs w:val="24"/>
              </w:rPr>
              <w:t>SEM (±)</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b/>
                <w:bCs/>
                <w:color w:val="1F1F1F"/>
                <w:sz w:val="24"/>
                <w:szCs w:val="24"/>
              </w:rPr>
            </w:pPr>
            <w:r w:rsidRPr="003E7E6F">
              <w:rPr>
                <w:rFonts w:ascii="Times New Roman" w:eastAsia="Times New Roman" w:hAnsi="Times New Roman" w:cs="Times New Roman"/>
                <w:b/>
                <w:bCs/>
                <w:color w:val="1F1F1F"/>
                <w:sz w:val="24"/>
                <w:szCs w:val="24"/>
              </w:rPr>
              <w:t>CD (P=0.05)</w:t>
            </w:r>
          </w:p>
        </w:tc>
        <w:tc>
          <w:tcPr>
            <w:tcW w:w="1206" w:type="dxa"/>
            <w:tcBorders>
              <w:top w:val="single" w:sz="8" w:space="0" w:color="000000"/>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b/>
                <w:bCs/>
                <w:color w:val="1F1F1F"/>
                <w:sz w:val="24"/>
                <w:szCs w:val="24"/>
              </w:rPr>
            </w:pPr>
            <w:r w:rsidRPr="003E7E6F">
              <w:rPr>
                <w:rFonts w:ascii="Times New Roman" w:eastAsia="Times New Roman" w:hAnsi="Times New Roman" w:cs="Times New Roman"/>
                <w:b/>
                <w:bCs/>
                <w:color w:val="1F1F1F"/>
                <w:sz w:val="24"/>
                <w:szCs w:val="24"/>
              </w:rPr>
              <w:t>CV (%)</w:t>
            </w:r>
          </w:p>
        </w:tc>
      </w:tr>
      <w:tr w:rsidR="0045101D" w:rsidRPr="003E7E6F" w:rsidTr="004E2910">
        <w:trPr>
          <w:trHeight w:val="330"/>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Plant Height (cm)</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34.51</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37.12</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2.61</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0.32</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0.72</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2.14%</w:t>
            </w:r>
          </w:p>
        </w:tc>
      </w:tr>
      <w:tr w:rsidR="0045101D" w:rsidRPr="003E7E6F" w:rsidTr="004E2910">
        <w:trPr>
          <w:trHeight w:val="64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No. of Primary Branches</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4.00</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5.60</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1.60</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0.27</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0.60</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10.30%</w:t>
            </w:r>
          </w:p>
        </w:tc>
      </w:tr>
      <w:tr w:rsidR="0045101D" w:rsidRPr="003E7E6F" w:rsidTr="004E2910">
        <w:trPr>
          <w:trHeight w:val="64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No. of Pods / Plant</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21.80</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25.50</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3.70</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0.37</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0.83</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2.46%</w:t>
            </w:r>
          </w:p>
        </w:tc>
      </w:tr>
      <w:tr w:rsidR="0045101D" w:rsidRPr="003E7E6F" w:rsidTr="004E2910">
        <w:trPr>
          <w:trHeight w:val="64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lastRenderedPageBreak/>
              <w:t>No. of Seeds / Pod</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1.50</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2.50</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1.00</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0.21</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0.48</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28.87%</w:t>
            </w:r>
          </w:p>
        </w:tc>
      </w:tr>
      <w:tr w:rsidR="0045101D" w:rsidRPr="003E7E6F" w:rsidTr="004E2910">
        <w:trPr>
          <w:trHeight w:val="64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Test Weight (g/100)</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13.27</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14.50</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1.23</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0.20</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0.46</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3.52%</w:t>
            </w:r>
          </w:p>
        </w:tc>
      </w:tr>
      <w:tr w:rsidR="0045101D" w:rsidRPr="003E7E6F" w:rsidTr="004E2910">
        <w:trPr>
          <w:trHeight w:val="76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 xml:space="preserve">Grain yield </w:t>
            </w:r>
            <w:r w:rsidRPr="003E7E6F">
              <w:rPr>
                <w:rFonts w:ascii="Times New Roman" w:eastAsia="Times New Roman" w:hAnsi="Times New Roman" w:cs="Times New Roman"/>
                <w:color w:val="000000"/>
                <w:sz w:val="24"/>
                <w:szCs w:val="24"/>
              </w:rPr>
              <w:t>(q ha</w:t>
            </w:r>
            <w:r w:rsidRPr="003E7E6F">
              <w:rPr>
                <w:rFonts w:ascii="Times New Roman" w:eastAsia="Times New Roman" w:hAnsi="Times New Roman" w:cs="Times New Roman"/>
                <w:color w:val="000000"/>
                <w:sz w:val="24"/>
                <w:szCs w:val="24"/>
                <w:vertAlign w:val="superscript"/>
              </w:rPr>
              <w:t>-1)</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15.41</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18.86</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3.45</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0.14</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0.32</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1.86%</w:t>
            </w:r>
          </w:p>
        </w:tc>
      </w:tr>
      <w:tr w:rsidR="0045101D" w:rsidRPr="003E7E6F" w:rsidTr="004E2910">
        <w:trPr>
          <w:trHeight w:val="70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Biological yield</w:t>
            </w:r>
          </w:p>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000000"/>
                <w:sz w:val="24"/>
                <w:szCs w:val="24"/>
              </w:rPr>
              <w:t>(q ha</w:t>
            </w:r>
            <w:r w:rsidRPr="003E7E6F">
              <w:rPr>
                <w:rFonts w:ascii="Times New Roman" w:eastAsia="Times New Roman" w:hAnsi="Times New Roman" w:cs="Times New Roman"/>
                <w:color w:val="000000"/>
                <w:sz w:val="24"/>
                <w:szCs w:val="24"/>
                <w:vertAlign w:val="superscript"/>
              </w:rPr>
              <w:t>-1)</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40.21</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38.39</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-1.82</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0.58</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1.31</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3.29%</w:t>
            </w:r>
          </w:p>
        </w:tc>
      </w:tr>
      <w:tr w:rsidR="0045101D" w:rsidRPr="003E7E6F" w:rsidTr="004E2910">
        <w:trPr>
          <w:trHeight w:val="76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Stover yield</w:t>
            </w:r>
          </w:p>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000000"/>
                <w:sz w:val="24"/>
                <w:szCs w:val="24"/>
              </w:rPr>
              <w:t>(q ha</w:t>
            </w:r>
            <w:r w:rsidRPr="003E7E6F">
              <w:rPr>
                <w:rFonts w:ascii="Times New Roman" w:eastAsia="Times New Roman" w:hAnsi="Times New Roman" w:cs="Times New Roman"/>
                <w:color w:val="000000"/>
                <w:sz w:val="24"/>
                <w:szCs w:val="24"/>
                <w:vertAlign w:val="superscript"/>
              </w:rPr>
              <w:t>-1)</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24.80</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19.53</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-5.27</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0.68</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1.54</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6.87%</w:t>
            </w:r>
          </w:p>
        </w:tc>
      </w:tr>
      <w:tr w:rsidR="0045101D" w:rsidRPr="003E7E6F" w:rsidTr="004E2910">
        <w:trPr>
          <w:trHeight w:val="64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3E7E6F" w:rsidRDefault="0045101D" w:rsidP="007D7834">
            <w:pPr>
              <w:spacing w:after="0" w:line="360" w:lineRule="auto"/>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Harvest index (%)</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38.42</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49.32</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10.90</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1.01</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hAnsi="Times New Roman" w:cs="Times New Roman"/>
                <w:color w:val="1F1F1F"/>
                <w:sz w:val="24"/>
                <w:szCs w:val="24"/>
              </w:rPr>
            </w:pPr>
            <w:r w:rsidRPr="003E7E6F">
              <w:rPr>
                <w:rFonts w:ascii="Times New Roman" w:hAnsi="Times New Roman" w:cs="Times New Roman"/>
                <w:color w:val="1F1F1F"/>
                <w:sz w:val="24"/>
                <w:szCs w:val="24"/>
              </w:rPr>
              <w:t>2.28</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3E7E6F" w:rsidRDefault="0045101D" w:rsidP="004E2910">
            <w:pPr>
              <w:spacing w:after="0" w:line="360" w:lineRule="auto"/>
              <w:jc w:val="center"/>
              <w:rPr>
                <w:rFonts w:ascii="Times New Roman" w:eastAsia="Times New Roman" w:hAnsi="Times New Roman" w:cs="Times New Roman"/>
                <w:color w:val="1F1F1F"/>
                <w:sz w:val="24"/>
                <w:szCs w:val="24"/>
              </w:rPr>
            </w:pPr>
            <w:r w:rsidRPr="003E7E6F">
              <w:rPr>
                <w:rFonts w:ascii="Times New Roman" w:eastAsia="Times New Roman" w:hAnsi="Times New Roman" w:cs="Times New Roman"/>
                <w:color w:val="1F1F1F"/>
                <w:sz w:val="24"/>
                <w:szCs w:val="24"/>
              </w:rPr>
              <w:t>5.14%</w:t>
            </w:r>
          </w:p>
        </w:tc>
      </w:tr>
    </w:tbl>
    <w:p w:rsidR="0073306B" w:rsidRPr="003E7E6F" w:rsidRDefault="0073306B" w:rsidP="00452EA4">
      <w:pPr>
        <w:spacing w:after="0" w:line="360" w:lineRule="auto"/>
        <w:jc w:val="both"/>
        <w:rPr>
          <w:rFonts w:ascii="Times New Roman" w:hAnsi="Times New Roman" w:cs="Times New Roman"/>
          <w:sz w:val="24"/>
          <w:szCs w:val="24"/>
        </w:rPr>
      </w:pPr>
    </w:p>
    <w:p w:rsidR="00B60EDC" w:rsidRPr="003E7E6F" w:rsidRDefault="00DC7838" w:rsidP="00452EA4">
      <w:pPr>
        <w:pStyle w:val="Heading3"/>
        <w:spacing w:before="0" w:line="360" w:lineRule="auto"/>
        <w:jc w:val="center"/>
        <w:rPr>
          <w:rFonts w:ascii="Times New Roman" w:hAnsi="Times New Roman" w:cs="Times New Roman"/>
          <w:color w:val="auto"/>
          <w:sz w:val="24"/>
          <w:szCs w:val="24"/>
        </w:rPr>
      </w:pPr>
      <w:r w:rsidRPr="003E7E6F">
        <w:rPr>
          <w:rFonts w:ascii="Times New Roman" w:hAnsi="Times New Roman" w:cs="Times New Roman"/>
          <w:color w:val="auto"/>
          <w:sz w:val="24"/>
          <w:szCs w:val="24"/>
        </w:rPr>
        <w:t>CONCLUSION</w:t>
      </w:r>
    </w:p>
    <w:p w:rsidR="007E024D" w:rsidRPr="003E7E6F" w:rsidRDefault="000C6E55" w:rsidP="00452EA4">
      <w:pPr>
        <w:spacing w:after="0" w:line="360" w:lineRule="auto"/>
        <w:ind w:firstLine="720"/>
        <w:jc w:val="both"/>
        <w:rPr>
          <w:rFonts w:ascii="Times New Roman" w:hAnsi="Times New Roman" w:cs="Times New Roman"/>
          <w:sz w:val="24"/>
          <w:szCs w:val="24"/>
        </w:rPr>
      </w:pPr>
      <w:r w:rsidRPr="003E7E6F">
        <w:rPr>
          <w:rFonts w:ascii="Times New Roman" w:hAnsi="Times New Roman" w:cs="Times New Roman"/>
          <w:sz w:val="24"/>
          <w:szCs w:val="24"/>
        </w:rPr>
        <w:t>As revealed in the field demonstrations at ten sites (F1 0-10)</w:t>
      </w:r>
      <w:r w:rsidR="00621AE8" w:rsidRPr="003E7E6F">
        <w:rPr>
          <w:rFonts w:ascii="Times New Roman" w:hAnsi="Times New Roman" w:cs="Times New Roman"/>
          <w:sz w:val="24"/>
          <w:szCs w:val="24"/>
        </w:rPr>
        <w:t>,</w:t>
      </w:r>
      <w:r w:rsidRPr="003E7E6F">
        <w:rPr>
          <w:rFonts w:ascii="Times New Roman" w:hAnsi="Times New Roman" w:cs="Times New Roman"/>
          <w:sz w:val="24"/>
          <w:szCs w:val="24"/>
        </w:rPr>
        <w:t xml:space="preserve"> incorporation of Rhizobium (treatment on seeds, 10g kg</w:t>
      </w:r>
      <w:r w:rsidRPr="003E7E6F">
        <w:rPr>
          <w:rFonts w:ascii="Times New Roman" w:hAnsi="Times New Roman" w:cs="Times New Roman"/>
          <w:sz w:val="24"/>
          <w:szCs w:val="24"/>
          <w:vertAlign w:val="superscript"/>
        </w:rPr>
        <w:t>-1</w:t>
      </w:r>
      <w:r w:rsidRPr="003E7E6F">
        <w:rPr>
          <w:rFonts w:ascii="Times New Roman" w:hAnsi="Times New Roman" w:cs="Times New Roman"/>
          <w:sz w:val="24"/>
          <w:szCs w:val="24"/>
        </w:rPr>
        <w:t>) and Trichoderma (treatment on soil, 5 kg ha</w:t>
      </w:r>
      <w:r w:rsidRPr="003E7E6F">
        <w:rPr>
          <w:rFonts w:ascii="Times New Roman" w:hAnsi="Times New Roman" w:cs="Times New Roman"/>
          <w:sz w:val="24"/>
          <w:szCs w:val="24"/>
          <w:vertAlign w:val="superscript"/>
        </w:rPr>
        <w:t>-1</w:t>
      </w:r>
      <w:r w:rsidRPr="003E7E6F">
        <w:rPr>
          <w:rFonts w:ascii="Times New Roman" w:hAnsi="Times New Roman" w:cs="Times New Roman"/>
          <w:sz w:val="24"/>
          <w:szCs w:val="24"/>
        </w:rPr>
        <w:t>) was found to improve GNG-2144 chickpea productivity significantly. The demonstration plots had a mean grain yield of 18.86 q/ha</w:t>
      </w:r>
      <w:r w:rsidR="00621AE8" w:rsidRPr="003E7E6F">
        <w:rPr>
          <w:rFonts w:ascii="Times New Roman" w:hAnsi="Times New Roman" w:cs="Times New Roman"/>
          <w:sz w:val="24"/>
          <w:szCs w:val="24"/>
        </w:rPr>
        <w:t>,</w:t>
      </w:r>
      <w:r w:rsidRPr="003E7E6F">
        <w:rPr>
          <w:rFonts w:ascii="Times New Roman" w:hAnsi="Times New Roman" w:cs="Times New Roman"/>
          <w:sz w:val="24"/>
          <w:szCs w:val="24"/>
        </w:rPr>
        <w:t xml:space="preserve"> which reflects a steady 22.51 percent increment over the traditional Farmer Practice (15.41 q ha</w:t>
      </w:r>
      <w:r w:rsidRPr="003E7E6F">
        <w:rPr>
          <w:rFonts w:ascii="Times New Roman" w:hAnsi="Times New Roman" w:cs="Times New Roman"/>
          <w:sz w:val="24"/>
          <w:szCs w:val="24"/>
          <w:vertAlign w:val="superscript"/>
        </w:rPr>
        <w:t>-1</w:t>
      </w:r>
      <w:r w:rsidRPr="003E7E6F">
        <w:rPr>
          <w:rFonts w:ascii="Times New Roman" w:hAnsi="Times New Roman" w:cs="Times New Roman"/>
          <w:sz w:val="24"/>
          <w:szCs w:val="24"/>
        </w:rPr>
        <w:t>), and an increase of up to 29.37. This productivity enhancement is based on the vegetative vigor that is exhibited through the increased plant height (37.1 cm) and primary branching and enhanced yield characteristics, such as the number of pods per plant (26), number of seeds per pod (3), and the 100-seed test weight (14.5g)</w:t>
      </w:r>
      <w:r w:rsidR="007E024D" w:rsidRPr="003E7E6F">
        <w:rPr>
          <w:rFonts w:ascii="Times New Roman" w:hAnsi="Times New Roman" w:cs="Times New Roman"/>
          <w:sz w:val="24"/>
          <w:szCs w:val="24"/>
        </w:rPr>
        <w:t>. Given these robust results, the combined use of bio-inoculants for nitrogen fixation and disease management is highly recommended for large-scale adoption to maximize both crop health and economic returns for farmers.</w:t>
      </w:r>
    </w:p>
    <w:p w:rsidR="00FE429D" w:rsidRPr="003E7E6F" w:rsidRDefault="00FE429D" w:rsidP="00452EA4">
      <w:pPr>
        <w:spacing w:after="0" w:line="360" w:lineRule="auto"/>
        <w:jc w:val="both"/>
        <w:rPr>
          <w:rFonts w:ascii="Times New Roman" w:hAnsi="Times New Roman" w:cs="Times New Roman"/>
          <w:b/>
          <w:bCs/>
          <w:sz w:val="24"/>
          <w:szCs w:val="24"/>
        </w:rPr>
      </w:pPr>
    </w:p>
    <w:p w:rsidR="00494303" w:rsidRPr="003E7E6F" w:rsidRDefault="00494303" w:rsidP="001C01EE">
      <w:pPr>
        <w:spacing w:after="0" w:line="360" w:lineRule="auto"/>
        <w:jc w:val="center"/>
        <w:rPr>
          <w:rFonts w:ascii="Times New Roman" w:hAnsi="Times New Roman" w:cs="Times New Roman"/>
          <w:b/>
          <w:bCs/>
          <w:sz w:val="24"/>
          <w:szCs w:val="24"/>
        </w:rPr>
      </w:pPr>
    </w:p>
    <w:p w:rsidR="00494303" w:rsidRPr="003E7E6F" w:rsidRDefault="00494303" w:rsidP="001C01EE">
      <w:pPr>
        <w:spacing w:after="0" w:line="360" w:lineRule="auto"/>
        <w:jc w:val="center"/>
        <w:rPr>
          <w:rFonts w:ascii="Times New Roman" w:hAnsi="Times New Roman" w:cs="Times New Roman"/>
          <w:b/>
          <w:bCs/>
          <w:sz w:val="24"/>
          <w:szCs w:val="24"/>
        </w:rPr>
      </w:pPr>
    </w:p>
    <w:p w:rsidR="00494303" w:rsidRPr="003E7E6F" w:rsidRDefault="00494303" w:rsidP="001C01EE">
      <w:pPr>
        <w:spacing w:after="0" w:line="360" w:lineRule="auto"/>
        <w:jc w:val="center"/>
        <w:rPr>
          <w:rFonts w:ascii="Times New Roman" w:hAnsi="Times New Roman" w:cs="Times New Roman"/>
          <w:b/>
          <w:bCs/>
          <w:sz w:val="24"/>
          <w:szCs w:val="24"/>
        </w:rPr>
      </w:pPr>
    </w:p>
    <w:p w:rsidR="00494303" w:rsidRPr="003E7E6F" w:rsidRDefault="00494303" w:rsidP="001C01EE">
      <w:pPr>
        <w:spacing w:after="0" w:line="360" w:lineRule="auto"/>
        <w:jc w:val="center"/>
        <w:rPr>
          <w:rFonts w:ascii="Times New Roman" w:hAnsi="Times New Roman" w:cs="Times New Roman"/>
          <w:b/>
          <w:bCs/>
          <w:sz w:val="24"/>
          <w:szCs w:val="24"/>
        </w:rPr>
      </w:pPr>
    </w:p>
    <w:p w:rsidR="004135E9" w:rsidRPr="003E7E6F" w:rsidRDefault="005B5FC7" w:rsidP="001C01EE">
      <w:pPr>
        <w:spacing w:after="0" w:line="360" w:lineRule="auto"/>
        <w:jc w:val="center"/>
        <w:rPr>
          <w:rFonts w:ascii="Times New Roman" w:hAnsi="Times New Roman" w:cs="Times New Roman"/>
          <w:b/>
          <w:bCs/>
          <w:sz w:val="24"/>
          <w:szCs w:val="24"/>
        </w:rPr>
      </w:pPr>
      <w:r w:rsidRPr="003E7E6F">
        <w:rPr>
          <w:rFonts w:ascii="Times New Roman" w:hAnsi="Times New Roman" w:cs="Times New Roman"/>
          <w:b/>
          <w:bCs/>
          <w:sz w:val="24"/>
          <w:szCs w:val="24"/>
        </w:rPr>
        <w:t>REFERENCES</w:t>
      </w:r>
    </w:p>
    <w:p w:rsidR="000F232F" w:rsidRPr="003E7E6F" w:rsidRDefault="000F232F" w:rsidP="00452EA4">
      <w:pPr>
        <w:pStyle w:val="NormalWeb"/>
        <w:spacing w:before="0" w:beforeAutospacing="0" w:after="0" w:afterAutospacing="0" w:line="360" w:lineRule="auto"/>
        <w:ind w:left="567" w:hanging="567"/>
        <w:jc w:val="both"/>
      </w:pPr>
      <w:proofErr w:type="spellStart"/>
      <w:r w:rsidRPr="003E7E6F">
        <w:lastRenderedPageBreak/>
        <w:t>Aasfar</w:t>
      </w:r>
      <w:proofErr w:type="spellEnd"/>
      <w:r w:rsidRPr="003E7E6F">
        <w:t xml:space="preserve">, A., </w:t>
      </w:r>
      <w:proofErr w:type="spellStart"/>
      <w:r w:rsidRPr="003E7E6F">
        <w:t>Bargaz</w:t>
      </w:r>
      <w:proofErr w:type="spellEnd"/>
      <w:r w:rsidRPr="003E7E6F">
        <w:t xml:space="preserve">, A., </w:t>
      </w:r>
      <w:proofErr w:type="spellStart"/>
      <w:r w:rsidRPr="003E7E6F">
        <w:t>Yaakoubi</w:t>
      </w:r>
      <w:proofErr w:type="spellEnd"/>
      <w:r w:rsidRPr="003E7E6F">
        <w:t xml:space="preserve">, K., </w:t>
      </w:r>
      <w:proofErr w:type="spellStart"/>
      <w:r w:rsidRPr="003E7E6F">
        <w:t>Hilali</w:t>
      </w:r>
      <w:proofErr w:type="spellEnd"/>
      <w:r w:rsidRPr="003E7E6F">
        <w:t xml:space="preserve">, A., Bennis, I., </w:t>
      </w:r>
      <w:proofErr w:type="spellStart"/>
      <w:r w:rsidRPr="003E7E6F">
        <w:t>Zeroual</w:t>
      </w:r>
      <w:proofErr w:type="spellEnd"/>
      <w:r w:rsidRPr="003E7E6F">
        <w:t>, Y., &amp;</w:t>
      </w:r>
      <w:proofErr w:type="spellStart"/>
      <w:r w:rsidRPr="003E7E6F">
        <w:t>MeftahKadmiri</w:t>
      </w:r>
      <w:proofErr w:type="spellEnd"/>
      <w:r w:rsidRPr="003E7E6F">
        <w:t xml:space="preserve">, I. (2021). Nitrogen Fixing </w:t>
      </w:r>
      <w:proofErr w:type="spellStart"/>
      <w:r w:rsidRPr="003E7E6F">
        <w:t>Azotobacter</w:t>
      </w:r>
      <w:proofErr w:type="spellEnd"/>
      <w:r w:rsidRPr="003E7E6F">
        <w:t xml:space="preserve"> Species as Potential Soil Biological Enhancers for Crop Nutrition and Yield Stability. </w:t>
      </w:r>
      <w:r w:rsidRPr="003E7E6F">
        <w:rPr>
          <w:i/>
          <w:iCs/>
        </w:rPr>
        <w:t>Frontiers in Microbiology</w:t>
      </w:r>
      <w:r w:rsidRPr="003E7E6F">
        <w:t xml:space="preserve">, </w:t>
      </w:r>
      <w:r w:rsidRPr="003E7E6F">
        <w:rPr>
          <w:i/>
          <w:iCs/>
        </w:rPr>
        <w:t>12</w:t>
      </w:r>
      <w:r w:rsidRPr="003E7E6F">
        <w:t xml:space="preserve">. </w:t>
      </w:r>
      <w:hyperlink r:id="rId7" w:tgtFrame="_blank" w:history="1">
        <w:r w:rsidRPr="003E7E6F">
          <w:rPr>
            <w:rStyle w:val="Hyperlink"/>
          </w:rPr>
          <w:t>https://doi.org/10.3389/fmicb.2021.628379</w:t>
        </w:r>
      </w:hyperlink>
    </w:p>
    <w:p w:rsidR="006B1873" w:rsidRPr="003E7E6F" w:rsidRDefault="006B1873" w:rsidP="00452EA4">
      <w:pPr>
        <w:spacing w:after="0" w:line="360" w:lineRule="auto"/>
        <w:ind w:left="567" w:hanging="567"/>
        <w:jc w:val="both"/>
        <w:rPr>
          <w:rFonts w:ascii="Times New Roman" w:eastAsia="Times New Roman" w:hAnsi="Times New Roman" w:cs="Times New Roman"/>
          <w:sz w:val="24"/>
          <w:szCs w:val="24"/>
        </w:rPr>
      </w:pPr>
      <w:r w:rsidRPr="003E7E6F">
        <w:rPr>
          <w:rFonts w:ascii="Times New Roman" w:hAnsi="Times New Roman" w:cs="Times New Roman"/>
          <w:sz w:val="24"/>
          <w:szCs w:val="24"/>
        </w:rPr>
        <w:t xml:space="preserve">Babalola, O. O., &amp; Smith, D. L. (2024). Microbes in agriculture: Prospects and constraints to their wider adoption and utilization in nutrient-poor environments. </w:t>
      </w:r>
      <w:r w:rsidRPr="003E7E6F">
        <w:rPr>
          <w:rFonts w:ascii="Times New Roman" w:hAnsi="Times New Roman" w:cs="Times New Roman"/>
          <w:i/>
          <w:iCs/>
          <w:sz w:val="24"/>
          <w:szCs w:val="24"/>
        </w:rPr>
        <w:t>Frontiers in Sustainable Food Systems</w:t>
      </w:r>
      <w:r w:rsidRPr="003E7E6F">
        <w:rPr>
          <w:rFonts w:ascii="Times New Roman" w:hAnsi="Times New Roman" w:cs="Times New Roman"/>
          <w:sz w:val="24"/>
          <w:szCs w:val="24"/>
        </w:rPr>
        <w:t xml:space="preserve">, </w:t>
      </w:r>
      <w:r w:rsidRPr="003E7E6F">
        <w:rPr>
          <w:rFonts w:ascii="Times New Roman" w:hAnsi="Times New Roman" w:cs="Times New Roman"/>
          <w:i/>
          <w:iCs/>
          <w:sz w:val="24"/>
          <w:szCs w:val="24"/>
        </w:rPr>
        <w:t>8</w:t>
      </w:r>
      <w:r w:rsidRPr="003E7E6F">
        <w:rPr>
          <w:rFonts w:ascii="Times New Roman" w:hAnsi="Times New Roman" w:cs="Times New Roman"/>
          <w:sz w:val="24"/>
          <w:szCs w:val="24"/>
        </w:rPr>
        <w:t xml:space="preserve">, 1482093. </w:t>
      </w:r>
      <w:hyperlink r:id="rId8" w:history="1">
        <w:r w:rsidRPr="003E7E6F">
          <w:rPr>
            <w:rStyle w:val="Hyperlink"/>
            <w:rFonts w:ascii="Times New Roman" w:hAnsi="Times New Roman" w:cs="Times New Roman"/>
            <w:sz w:val="24"/>
            <w:szCs w:val="24"/>
          </w:rPr>
          <w:t>https://doi.org/10.3389/fsufs.2024.1482093</w:t>
        </w:r>
      </w:hyperlink>
    </w:p>
    <w:p w:rsidR="00C264E7" w:rsidRPr="003E7E6F" w:rsidRDefault="00C264E7" w:rsidP="00452EA4">
      <w:pPr>
        <w:pStyle w:val="NormalWeb"/>
        <w:spacing w:before="0" w:beforeAutospacing="0" w:after="0" w:afterAutospacing="0" w:line="360" w:lineRule="auto"/>
        <w:ind w:left="567" w:hanging="567"/>
        <w:jc w:val="both"/>
      </w:pPr>
      <w:proofErr w:type="spellStart"/>
      <w:r w:rsidRPr="003E7E6F">
        <w:t>Chalie</w:t>
      </w:r>
      <w:proofErr w:type="spellEnd"/>
      <w:r w:rsidRPr="003E7E6F">
        <w:t xml:space="preserve">-U, R., </w:t>
      </w:r>
      <w:proofErr w:type="spellStart"/>
      <w:r w:rsidRPr="003E7E6F">
        <w:t>Jakhar</w:t>
      </w:r>
      <w:proofErr w:type="spellEnd"/>
      <w:r w:rsidRPr="003E7E6F">
        <w:t xml:space="preserve">, S. R., Mitra, N. G., </w:t>
      </w:r>
      <w:proofErr w:type="spellStart"/>
      <w:r w:rsidRPr="003E7E6F">
        <w:t>Baghel</w:t>
      </w:r>
      <w:proofErr w:type="spellEnd"/>
      <w:r w:rsidRPr="003E7E6F">
        <w:t xml:space="preserve">, S. S., </w:t>
      </w:r>
      <w:proofErr w:type="spellStart"/>
      <w:r w:rsidRPr="003E7E6F">
        <w:t>Sahu</w:t>
      </w:r>
      <w:proofErr w:type="spellEnd"/>
      <w:r w:rsidRPr="003E7E6F">
        <w:t xml:space="preserve">, R. K., &amp;Dwivedi, B. S. (2022). Impact of </w:t>
      </w:r>
      <w:proofErr w:type="spellStart"/>
      <w:r w:rsidRPr="003E7E6F">
        <w:t>Trichodermaviride</w:t>
      </w:r>
      <w:proofErr w:type="spellEnd"/>
      <w:r w:rsidRPr="003E7E6F">
        <w:t xml:space="preserve"> as Bio-stimulator on Nodule Enumeration, Nutrient Quality and Yield of Chickpea (</w:t>
      </w:r>
      <w:proofErr w:type="spellStart"/>
      <w:r w:rsidRPr="003E7E6F">
        <w:t>Cicer</w:t>
      </w:r>
      <w:proofErr w:type="spellEnd"/>
      <w:r w:rsidRPr="003E7E6F">
        <w:t xml:space="preserve"> arietinum L.) in Central India. </w:t>
      </w:r>
      <w:r w:rsidRPr="003E7E6F">
        <w:rPr>
          <w:i/>
          <w:iCs/>
        </w:rPr>
        <w:t>Legume Research - An International Journal</w:t>
      </w:r>
      <w:r w:rsidRPr="003E7E6F">
        <w:t xml:space="preserve">. </w:t>
      </w:r>
      <w:hyperlink r:id="rId9" w:tgtFrame="_blank" w:history="1">
        <w:r w:rsidRPr="003E7E6F">
          <w:rPr>
            <w:rStyle w:val="Hyperlink"/>
          </w:rPr>
          <w:t>https://doi.org/10.18805/lr-4914</w:t>
        </w:r>
      </w:hyperlink>
    </w:p>
    <w:p w:rsidR="006B1873" w:rsidRPr="003E7E6F" w:rsidRDefault="006B1873" w:rsidP="00452EA4">
      <w:pPr>
        <w:pStyle w:val="NormalWeb"/>
        <w:spacing w:before="0" w:beforeAutospacing="0" w:after="0" w:afterAutospacing="0" w:line="360" w:lineRule="auto"/>
        <w:ind w:left="567" w:hanging="567"/>
        <w:jc w:val="both"/>
      </w:pPr>
      <w:proofErr w:type="spellStart"/>
      <w:r w:rsidRPr="003E7E6F">
        <w:t>Jukanti</w:t>
      </w:r>
      <w:proofErr w:type="spellEnd"/>
      <w:r w:rsidRPr="003E7E6F">
        <w:t>, A. K., Gaur, P. M., Gowda, C. L. L., &amp;</w:t>
      </w:r>
      <w:proofErr w:type="spellStart"/>
      <w:r w:rsidRPr="003E7E6F">
        <w:t>Chibbar</w:t>
      </w:r>
      <w:proofErr w:type="spellEnd"/>
      <w:r w:rsidRPr="003E7E6F">
        <w:t>, R. N. (2012). Nutritional quality and health benefits of chickpea (</w:t>
      </w:r>
      <w:proofErr w:type="spellStart"/>
      <w:r w:rsidRPr="003E7E6F">
        <w:rPr>
          <w:i/>
          <w:iCs/>
        </w:rPr>
        <w:t>Cicer</w:t>
      </w:r>
      <w:proofErr w:type="spellEnd"/>
      <w:r w:rsidRPr="003E7E6F">
        <w:rPr>
          <w:i/>
          <w:iCs/>
        </w:rPr>
        <w:t xml:space="preserve"> arietinum</w:t>
      </w:r>
      <w:r w:rsidRPr="003E7E6F">
        <w:t xml:space="preserve"> L.): A review. </w:t>
      </w:r>
      <w:r w:rsidRPr="003E7E6F">
        <w:rPr>
          <w:i/>
          <w:iCs/>
        </w:rPr>
        <w:t>British Journal of Nutrition</w:t>
      </w:r>
      <w:r w:rsidRPr="003E7E6F">
        <w:t xml:space="preserve">, </w:t>
      </w:r>
      <w:r w:rsidRPr="003E7E6F">
        <w:rPr>
          <w:i/>
          <w:iCs/>
        </w:rPr>
        <w:t>108</w:t>
      </w:r>
      <w:r w:rsidRPr="003E7E6F">
        <w:t xml:space="preserve">(S1), S11–S26. </w:t>
      </w:r>
      <w:hyperlink r:id="rId10" w:history="1">
        <w:r w:rsidRPr="003E7E6F">
          <w:rPr>
            <w:rStyle w:val="Hyperlink"/>
          </w:rPr>
          <w:t>https://doi.org/10.1017/S000711451200079X</w:t>
        </w:r>
      </w:hyperlink>
    </w:p>
    <w:p w:rsidR="001778ED" w:rsidRPr="003E7E6F" w:rsidRDefault="001778ED" w:rsidP="00452EA4">
      <w:pPr>
        <w:pStyle w:val="NormalWeb"/>
        <w:spacing w:before="0" w:beforeAutospacing="0" w:after="0" w:afterAutospacing="0" w:line="360" w:lineRule="auto"/>
        <w:ind w:left="567" w:hanging="567"/>
        <w:jc w:val="both"/>
      </w:pPr>
      <w:proofErr w:type="spellStart"/>
      <w:proofErr w:type="gramStart"/>
      <w:r w:rsidRPr="003E7E6F">
        <w:rPr>
          <w:shd w:val="clear" w:color="auto" w:fill="FFFFFF"/>
        </w:rPr>
        <w:t>K</w:t>
      </w:r>
      <w:r w:rsidRPr="003E7E6F">
        <w:t>.Venkataramanamma</w:t>
      </w:r>
      <w:proofErr w:type="spellEnd"/>
      <w:proofErr w:type="gramEnd"/>
      <w:r w:rsidRPr="003E7E6F">
        <w:t xml:space="preserve">, </w:t>
      </w:r>
      <w:proofErr w:type="spellStart"/>
      <w:r w:rsidRPr="003E7E6F">
        <w:t>B.V.Bhaskara</w:t>
      </w:r>
      <w:proofErr w:type="spellEnd"/>
      <w:r w:rsidRPr="003E7E6F">
        <w:t xml:space="preserve"> Reddy, and </w:t>
      </w:r>
      <w:proofErr w:type="spellStart"/>
      <w:r w:rsidRPr="003E7E6F">
        <w:t>R.SaradaJayalakshmi</w:t>
      </w:r>
      <w:proofErr w:type="spellEnd"/>
      <w:r w:rsidRPr="003E7E6F">
        <w:t xml:space="preserve">. 2025. “A Review on Fusarium Wilt of Chickpea Caused by </w:t>
      </w:r>
      <w:proofErr w:type="spellStart"/>
      <w:r w:rsidRPr="003E7E6F">
        <w:t>FusariumOxysporum</w:t>
      </w:r>
      <w:proofErr w:type="spellEnd"/>
      <w:r w:rsidRPr="003E7E6F">
        <w:t xml:space="preserve"> F. Sp. </w:t>
      </w:r>
      <w:proofErr w:type="spellStart"/>
      <w:r w:rsidRPr="003E7E6F">
        <w:t>Ciceris</w:t>
      </w:r>
      <w:proofErr w:type="spellEnd"/>
      <w:r w:rsidRPr="003E7E6F">
        <w:t xml:space="preserve"> and Its Biology”. Journal of Experimental Agriculture International 47 (9):149-62. </w:t>
      </w:r>
      <w:hyperlink r:id="rId11" w:history="1">
        <w:r w:rsidR="004B18C9" w:rsidRPr="003E7E6F">
          <w:rPr>
            <w:rStyle w:val="Hyperlink"/>
          </w:rPr>
          <w:t>https://doi.org/10.9734/jeai/2025/v47i93736</w:t>
        </w:r>
      </w:hyperlink>
    </w:p>
    <w:p w:rsidR="006B1873" w:rsidRPr="003E7E6F" w:rsidRDefault="006B1873" w:rsidP="00452EA4">
      <w:pPr>
        <w:spacing w:after="0" w:line="360" w:lineRule="auto"/>
        <w:ind w:left="567" w:hanging="567"/>
        <w:jc w:val="both"/>
        <w:rPr>
          <w:rFonts w:ascii="Times New Roman" w:eastAsia="Times New Roman" w:hAnsi="Times New Roman" w:cs="Times New Roman"/>
          <w:sz w:val="24"/>
          <w:szCs w:val="24"/>
        </w:rPr>
      </w:pPr>
      <w:proofErr w:type="spellStart"/>
      <w:r w:rsidRPr="003E7E6F">
        <w:rPr>
          <w:rFonts w:ascii="Times New Roman" w:hAnsi="Times New Roman" w:cs="Times New Roman"/>
          <w:sz w:val="24"/>
          <w:szCs w:val="24"/>
        </w:rPr>
        <w:t>Manikpuri</w:t>
      </w:r>
      <w:proofErr w:type="spellEnd"/>
      <w:r w:rsidRPr="003E7E6F">
        <w:rPr>
          <w:rFonts w:ascii="Times New Roman" w:hAnsi="Times New Roman" w:cs="Times New Roman"/>
          <w:sz w:val="24"/>
          <w:szCs w:val="24"/>
        </w:rPr>
        <w:t>, S., Pandey, A., Pandey, S., &amp;</w:t>
      </w:r>
      <w:proofErr w:type="spellStart"/>
      <w:r w:rsidRPr="003E7E6F">
        <w:rPr>
          <w:rFonts w:ascii="Times New Roman" w:hAnsi="Times New Roman" w:cs="Times New Roman"/>
          <w:sz w:val="24"/>
          <w:szCs w:val="24"/>
        </w:rPr>
        <w:t>Barthwal</w:t>
      </w:r>
      <w:proofErr w:type="spellEnd"/>
      <w:r w:rsidRPr="003E7E6F">
        <w:rPr>
          <w:rFonts w:ascii="Times New Roman" w:hAnsi="Times New Roman" w:cs="Times New Roman"/>
          <w:sz w:val="24"/>
          <w:szCs w:val="24"/>
        </w:rPr>
        <w:t xml:space="preserve">, S. (2023). Integrating </w:t>
      </w:r>
      <w:r w:rsidRPr="003E7E6F">
        <w:rPr>
          <w:rFonts w:ascii="Times New Roman" w:hAnsi="Times New Roman" w:cs="Times New Roman"/>
          <w:i/>
          <w:iCs/>
          <w:sz w:val="24"/>
          <w:szCs w:val="24"/>
        </w:rPr>
        <w:t>Trichoderma</w:t>
      </w:r>
      <w:r w:rsidRPr="003E7E6F">
        <w:rPr>
          <w:rFonts w:ascii="Times New Roman" w:hAnsi="Times New Roman" w:cs="Times New Roman"/>
          <w:sz w:val="24"/>
          <w:szCs w:val="24"/>
        </w:rPr>
        <w:t xml:space="preserve"> and </w:t>
      </w:r>
      <w:r w:rsidRPr="003E7E6F">
        <w:rPr>
          <w:rFonts w:ascii="Times New Roman" w:hAnsi="Times New Roman" w:cs="Times New Roman"/>
          <w:i/>
          <w:iCs/>
          <w:sz w:val="24"/>
          <w:szCs w:val="24"/>
        </w:rPr>
        <w:t>Rhizobium</w:t>
      </w:r>
      <w:r w:rsidRPr="003E7E6F">
        <w:rPr>
          <w:rFonts w:ascii="Times New Roman" w:hAnsi="Times New Roman" w:cs="Times New Roman"/>
          <w:sz w:val="24"/>
          <w:szCs w:val="24"/>
        </w:rPr>
        <w:t xml:space="preserve"> as bioinoculants for leguminous plant growth enhancement and biocontrol of diseases. </w:t>
      </w:r>
      <w:r w:rsidRPr="003E7E6F">
        <w:rPr>
          <w:rFonts w:ascii="Times New Roman" w:hAnsi="Times New Roman" w:cs="Times New Roman"/>
          <w:i/>
          <w:iCs/>
          <w:sz w:val="24"/>
          <w:szCs w:val="24"/>
        </w:rPr>
        <w:t>Journal of Applied and Natural Science</w:t>
      </w:r>
      <w:r w:rsidRPr="003E7E6F">
        <w:rPr>
          <w:rFonts w:ascii="Times New Roman" w:hAnsi="Times New Roman" w:cs="Times New Roman"/>
          <w:sz w:val="24"/>
          <w:szCs w:val="24"/>
        </w:rPr>
        <w:t xml:space="preserve">, </w:t>
      </w:r>
      <w:r w:rsidRPr="003E7E6F">
        <w:rPr>
          <w:rFonts w:ascii="Times New Roman" w:hAnsi="Times New Roman" w:cs="Times New Roman"/>
          <w:i/>
          <w:iCs/>
          <w:sz w:val="24"/>
          <w:szCs w:val="24"/>
        </w:rPr>
        <w:t>15</w:t>
      </w:r>
      <w:r w:rsidRPr="003E7E6F">
        <w:rPr>
          <w:rFonts w:ascii="Times New Roman" w:hAnsi="Times New Roman" w:cs="Times New Roman"/>
          <w:sz w:val="24"/>
          <w:szCs w:val="24"/>
        </w:rPr>
        <w:t>(2), 643–652.</w:t>
      </w:r>
    </w:p>
    <w:p w:rsidR="006B1873" w:rsidRPr="003E7E6F" w:rsidRDefault="006B1873" w:rsidP="00452EA4">
      <w:pPr>
        <w:pStyle w:val="NormalWeb"/>
        <w:spacing w:before="0" w:beforeAutospacing="0" w:after="0" w:afterAutospacing="0" w:line="360" w:lineRule="auto"/>
        <w:ind w:left="567" w:hanging="567"/>
        <w:jc w:val="both"/>
      </w:pPr>
      <w:r w:rsidRPr="003E7E6F">
        <w:t xml:space="preserve">Peoples, M. B., </w:t>
      </w:r>
      <w:proofErr w:type="spellStart"/>
      <w:r w:rsidRPr="003E7E6F">
        <w:t>Hauggaard</w:t>
      </w:r>
      <w:proofErr w:type="spellEnd"/>
      <w:r w:rsidRPr="003E7E6F">
        <w:t xml:space="preserve">-Nielsen, H., &amp; Jensen, E. S. (2009). The potential environmental benefits and risks associated with the use of drought-tolerant and nitrogen-fixing legumes in agriculture. </w:t>
      </w:r>
      <w:r w:rsidRPr="003E7E6F">
        <w:rPr>
          <w:i/>
          <w:iCs/>
        </w:rPr>
        <w:t>Field Crops Research</w:t>
      </w:r>
      <w:r w:rsidRPr="003E7E6F">
        <w:t xml:space="preserve">, </w:t>
      </w:r>
      <w:r w:rsidRPr="003E7E6F">
        <w:rPr>
          <w:i/>
          <w:iCs/>
        </w:rPr>
        <w:t>114</w:t>
      </w:r>
      <w:r w:rsidRPr="003E7E6F">
        <w:t xml:space="preserve">(3), 307–323. </w:t>
      </w:r>
      <w:hyperlink r:id="rId12" w:history="1">
        <w:r w:rsidRPr="003E7E6F">
          <w:rPr>
            <w:rStyle w:val="Hyperlink"/>
          </w:rPr>
          <w:t>https://doi.org/10.1016/j.fcr.2009.08.003</w:t>
        </w:r>
      </w:hyperlink>
    </w:p>
    <w:p w:rsidR="006B1873" w:rsidRPr="003E7E6F" w:rsidRDefault="006B1873" w:rsidP="00452EA4">
      <w:pPr>
        <w:spacing w:after="0" w:line="360" w:lineRule="auto"/>
        <w:ind w:left="567" w:hanging="567"/>
        <w:jc w:val="both"/>
        <w:rPr>
          <w:rFonts w:ascii="Times New Roman" w:hAnsi="Times New Roman" w:cs="Times New Roman"/>
          <w:sz w:val="24"/>
          <w:szCs w:val="24"/>
        </w:rPr>
      </w:pPr>
      <w:proofErr w:type="spellStart"/>
      <w:r w:rsidRPr="003E7E6F">
        <w:rPr>
          <w:rFonts w:ascii="Times New Roman" w:hAnsi="Times New Roman" w:cs="Times New Roman"/>
          <w:sz w:val="24"/>
          <w:szCs w:val="24"/>
        </w:rPr>
        <w:t>Roorkiwal</w:t>
      </w:r>
      <w:proofErr w:type="spellEnd"/>
      <w:r w:rsidRPr="003E7E6F">
        <w:rPr>
          <w:rFonts w:ascii="Times New Roman" w:hAnsi="Times New Roman" w:cs="Times New Roman"/>
          <w:sz w:val="24"/>
          <w:szCs w:val="24"/>
        </w:rPr>
        <w:t xml:space="preserve">, M., Bharadwaj, C., </w:t>
      </w:r>
      <w:proofErr w:type="spellStart"/>
      <w:r w:rsidRPr="003E7E6F">
        <w:rPr>
          <w:rFonts w:ascii="Times New Roman" w:hAnsi="Times New Roman" w:cs="Times New Roman"/>
          <w:sz w:val="24"/>
          <w:szCs w:val="24"/>
        </w:rPr>
        <w:t>Barmukh</w:t>
      </w:r>
      <w:proofErr w:type="spellEnd"/>
      <w:r w:rsidRPr="003E7E6F">
        <w:rPr>
          <w:rFonts w:ascii="Times New Roman" w:hAnsi="Times New Roman" w:cs="Times New Roman"/>
          <w:sz w:val="24"/>
          <w:szCs w:val="24"/>
        </w:rPr>
        <w:t xml:space="preserve">, R., Dixit, G. P., </w:t>
      </w:r>
      <w:proofErr w:type="spellStart"/>
      <w:r w:rsidRPr="003E7E6F">
        <w:rPr>
          <w:rFonts w:ascii="Times New Roman" w:hAnsi="Times New Roman" w:cs="Times New Roman"/>
          <w:sz w:val="24"/>
          <w:szCs w:val="24"/>
        </w:rPr>
        <w:t>Thudi</w:t>
      </w:r>
      <w:proofErr w:type="spellEnd"/>
      <w:r w:rsidRPr="003E7E6F">
        <w:rPr>
          <w:rFonts w:ascii="Times New Roman" w:hAnsi="Times New Roman" w:cs="Times New Roman"/>
          <w:sz w:val="24"/>
          <w:szCs w:val="24"/>
        </w:rPr>
        <w:t xml:space="preserve">, M., Gaur, P. M., ... &amp;Varshney, R. K. (2022). Integrating genomics for chickpea improvement: achievements and opportunities. </w:t>
      </w:r>
      <w:r w:rsidRPr="003E7E6F">
        <w:rPr>
          <w:rFonts w:ascii="Times New Roman" w:hAnsi="Times New Roman" w:cs="Times New Roman"/>
          <w:i/>
          <w:iCs/>
          <w:sz w:val="24"/>
          <w:szCs w:val="24"/>
        </w:rPr>
        <w:t>Theoretical and Applied Genetics</w:t>
      </w:r>
      <w:r w:rsidRPr="003E7E6F">
        <w:rPr>
          <w:rFonts w:ascii="Times New Roman" w:hAnsi="Times New Roman" w:cs="Times New Roman"/>
          <w:sz w:val="24"/>
          <w:szCs w:val="24"/>
        </w:rPr>
        <w:t xml:space="preserve">, </w:t>
      </w:r>
      <w:r w:rsidRPr="003E7E6F">
        <w:rPr>
          <w:rFonts w:ascii="Times New Roman" w:hAnsi="Times New Roman" w:cs="Times New Roman"/>
          <w:i/>
          <w:iCs/>
          <w:sz w:val="24"/>
          <w:szCs w:val="24"/>
        </w:rPr>
        <w:t>135</w:t>
      </w:r>
      <w:r w:rsidRPr="003E7E6F">
        <w:rPr>
          <w:rFonts w:ascii="Times New Roman" w:hAnsi="Times New Roman" w:cs="Times New Roman"/>
          <w:sz w:val="24"/>
          <w:szCs w:val="24"/>
        </w:rPr>
        <w:t xml:space="preserve">(11), 3703–3719. </w:t>
      </w:r>
      <w:hyperlink r:id="rId13" w:history="1">
        <w:r w:rsidRPr="003E7E6F">
          <w:rPr>
            <w:rStyle w:val="Hyperlink"/>
            <w:rFonts w:ascii="Times New Roman" w:hAnsi="Times New Roman" w:cs="Times New Roman"/>
            <w:sz w:val="24"/>
            <w:szCs w:val="24"/>
          </w:rPr>
          <w:t>https://doi.org/10.1007/s00122-022-04131-7</w:t>
        </w:r>
      </w:hyperlink>
    </w:p>
    <w:p w:rsidR="006B1873" w:rsidRPr="003E7E6F" w:rsidRDefault="006B1873" w:rsidP="00452EA4">
      <w:pPr>
        <w:spacing w:after="0" w:line="360" w:lineRule="auto"/>
        <w:ind w:left="567" w:hanging="567"/>
        <w:jc w:val="both"/>
        <w:rPr>
          <w:rFonts w:ascii="Times New Roman" w:hAnsi="Times New Roman" w:cs="Times New Roman"/>
          <w:sz w:val="24"/>
          <w:szCs w:val="24"/>
        </w:rPr>
      </w:pPr>
      <w:r w:rsidRPr="003E7E6F">
        <w:rPr>
          <w:rFonts w:ascii="Times New Roman" w:hAnsi="Times New Roman" w:cs="Times New Roman"/>
          <w:sz w:val="24"/>
          <w:szCs w:val="24"/>
        </w:rPr>
        <w:lastRenderedPageBreak/>
        <w:t>Santos, M. S., Nogueira, M. A., &amp;</w:t>
      </w:r>
      <w:proofErr w:type="spellStart"/>
      <w:r w:rsidRPr="003E7E6F">
        <w:rPr>
          <w:rFonts w:ascii="Times New Roman" w:hAnsi="Times New Roman" w:cs="Times New Roman"/>
          <w:sz w:val="24"/>
          <w:szCs w:val="24"/>
        </w:rPr>
        <w:t>Hungria</w:t>
      </w:r>
      <w:proofErr w:type="spellEnd"/>
      <w:r w:rsidRPr="003E7E6F">
        <w:rPr>
          <w:rFonts w:ascii="Times New Roman" w:hAnsi="Times New Roman" w:cs="Times New Roman"/>
          <w:sz w:val="24"/>
          <w:szCs w:val="24"/>
        </w:rPr>
        <w:t xml:space="preserve">, M. (2021). Realities and hopes in the application of microbial tools in agriculture. </w:t>
      </w:r>
      <w:r w:rsidRPr="003E7E6F">
        <w:rPr>
          <w:rFonts w:ascii="Times New Roman" w:hAnsi="Times New Roman" w:cs="Times New Roman"/>
          <w:i/>
          <w:iCs/>
          <w:sz w:val="24"/>
          <w:szCs w:val="24"/>
        </w:rPr>
        <w:t>Microbial Biotechnology</w:t>
      </w:r>
      <w:r w:rsidRPr="003E7E6F">
        <w:rPr>
          <w:rFonts w:ascii="Times New Roman" w:hAnsi="Times New Roman" w:cs="Times New Roman"/>
          <w:sz w:val="24"/>
          <w:szCs w:val="24"/>
        </w:rPr>
        <w:t xml:space="preserve">, </w:t>
      </w:r>
      <w:r w:rsidRPr="003E7E6F">
        <w:rPr>
          <w:rFonts w:ascii="Times New Roman" w:hAnsi="Times New Roman" w:cs="Times New Roman"/>
          <w:i/>
          <w:iCs/>
          <w:sz w:val="24"/>
          <w:szCs w:val="24"/>
        </w:rPr>
        <w:t>14</w:t>
      </w:r>
      <w:r w:rsidRPr="003E7E6F">
        <w:rPr>
          <w:rFonts w:ascii="Times New Roman" w:hAnsi="Times New Roman" w:cs="Times New Roman"/>
          <w:sz w:val="24"/>
          <w:szCs w:val="24"/>
        </w:rPr>
        <w:t xml:space="preserve">(3), 841–868. </w:t>
      </w:r>
      <w:hyperlink r:id="rId14" w:history="1">
        <w:r w:rsidRPr="003E7E6F">
          <w:rPr>
            <w:rStyle w:val="Hyperlink"/>
            <w:rFonts w:ascii="Times New Roman" w:hAnsi="Times New Roman" w:cs="Times New Roman"/>
            <w:sz w:val="24"/>
            <w:szCs w:val="24"/>
          </w:rPr>
          <w:t>https://doi.org/10.1111/1751-7915.13842</w:t>
        </w:r>
      </w:hyperlink>
    </w:p>
    <w:p w:rsidR="001778ED" w:rsidRPr="003E7E6F" w:rsidRDefault="001778ED" w:rsidP="00452EA4">
      <w:pPr>
        <w:pStyle w:val="NormalWeb"/>
        <w:spacing w:before="0" w:beforeAutospacing="0" w:after="0" w:afterAutospacing="0" w:line="360" w:lineRule="auto"/>
        <w:ind w:left="567" w:hanging="567"/>
        <w:jc w:val="both"/>
      </w:pPr>
      <w:r w:rsidRPr="003E7E6F">
        <w:t xml:space="preserve">Singh, R. K., Kumar, P., Singh, V., &amp; Singh, A. K. (2022). The role of Rhizobium in improving nitrogen use efficiency and productivity of pulse crops. </w:t>
      </w:r>
      <w:r w:rsidRPr="003E7E6F">
        <w:rPr>
          <w:i/>
          <w:iCs/>
        </w:rPr>
        <w:t>Frontiers in Agronomy</w:t>
      </w:r>
      <w:r w:rsidRPr="003E7E6F">
        <w:t xml:space="preserve">, </w:t>
      </w:r>
      <w:r w:rsidRPr="003E7E6F">
        <w:rPr>
          <w:i/>
          <w:iCs/>
        </w:rPr>
        <w:t>4</w:t>
      </w:r>
      <w:r w:rsidRPr="003E7E6F">
        <w:t xml:space="preserve">, 1004771. </w:t>
      </w:r>
      <w:hyperlink r:id="rId15" w:history="1">
        <w:r w:rsidR="004B18C9" w:rsidRPr="003E7E6F">
          <w:rPr>
            <w:rStyle w:val="Hyperlink"/>
          </w:rPr>
          <w:t>https://doi.org/10.3389/fagro.2022.1004771</w:t>
        </w:r>
      </w:hyperlink>
    </w:p>
    <w:p w:rsidR="006B1873" w:rsidRPr="003E7E6F" w:rsidRDefault="006B1873" w:rsidP="00452EA4">
      <w:pPr>
        <w:spacing w:after="0" w:line="360" w:lineRule="auto"/>
        <w:ind w:left="567" w:hanging="567"/>
        <w:jc w:val="both"/>
        <w:rPr>
          <w:rFonts w:ascii="Times New Roman" w:hAnsi="Times New Roman" w:cs="Times New Roman"/>
          <w:sz w:val="24"/>
          <w:szCs w:val="24"/>
        </w:rPr>
      </w:pPr>
      <w:proofErr w:type="spellStart"/>
      <w:r w:rsidRPr="003E7E6F">
        <w:rPr>
          <w:rFonts w:ascii="Times New Roman" w:hAnsi="Times New Roman" w:cs="Times New Roman"/>
          <w:sz w:val="24"/>
          <w:szCs w:val="24"/>
        </w:rPr>
        <w:t>Somasegaran</w:t>
      </w:r>
      <w:proofErr w:type="spellEnd"/>
      <w:r w:rsidRPr="003E7E6F">
        <w:rPr>
          <w:rFonts w:ascii="Times New Roman" w:hAnsi="Times New Roman" w:cs="Times New Roman"/>
          <w:sz w:val="24"/>
          <w:szCs w:val="24"/>
        </w:rPr>
        <w:t>, P., &amp;</w:t>
      </w:r>
      <w:proofErr w:type="spellStart"/>
      <w:r w:rsidRPr="003E7E6F">
        <w:rPr>
          <w:rFonts w:ascii="Times New Roman" w:hAnsi="Times New Roman" w:cs="Times New Roman"/>
          <w:sz w:val="24"/>
          <w:szCs w:val="24"/>
        </w:rPr>
        <w:t>Hoben</w:t>
      </w:r>
      <w:proofErr w:type="spellEnd"/>
      <w:r w:rsidRPr="003E7E6F">
        <w:rPr>
          <w:rFonts w:ascii="Times New Roman" w:hAnsi="Times New Roman" w:cs="Times New Roman"/>
          <w:sz w:val="24"/>
          <w:szCs w:val="24"/>
        </w:rPr>
        <w:t xml:space="preserve">, H. J. (1994). </w:t>
      </w:r>
      <w:r w:rsidRPr="003E7E6F">
        <w:rPr>
          <w:rFonts w:ascii="Times New Roman" w:hAnsi="Times New Roman" w:cs="Times New Roman"/>
          <w:i/>
          <w:iCs/>
          <w:sz w:val="24"/>
          <w:szCs w:val="24"/>
        </w:rPr>
        <w:t>Methods in Legume-Rhizobium Technology</w:t>
      </w:r>
      <w:r w:rsidRPr="003E7E6F">
        <w:rPr>
          <w:rFonts w:ascii="Times New Roman" w:hAnsi="Times New Roman" w:cs="Times New Roman"/>
          <w:sz w:val="24"/>
          <w:szCs w:val="24"/>
        </w:rPr>
        <w:t xml:space="preserve">. Springer-Verlag. </w:t>
      </w:r>
      <w:hyperlink r:id="rId16" w:tgtFrame="_blank" w:history="1">
        <w:r w:rsidRPr="003E7E6F">
          <w:rPr>
            <w:rStyle w:val="Hyperlink"/>
            <w:rFonts w:ascii="Times New Roman" w:hAnsi="Times New Roman" w:cs="Times New Roman"/>
            <w:sz w:val="24"/>
            <w:szCs w:val="24"/>
          </w:rPr>
          <w:t>https://doi.org/10.1007/978-1-4612-2930-8</w:t>
        </w:r>
      </w:hyperlink>
    </w:p>
    <w:p w:rsidR="006B1873" w:rsidRPr="003E7E6F" w:rsidRDefault="006B1873" w:rsidP="00452EA4">
      <w:pPr>
        <w:spacing w:after="0" w:line="360" w:lineRule="auto"/>
        <w:ind w:left="567" w:hanging="567"/>
        <w:jc w:val="both"/>
        <w:rPr>
          <w:rFonts w:ascii="Times New Roman" w:hAnsi="Times New Roman" w:cs="Times New Roman"/>
          <w:sz w:val="24"/>
          <w:szCs w:val="24"/>
        </w:rPr>
      </w:pPr>
      <w:r w:rsidRPr="003E7E6F">
        <w:rPr>
          <w:rFonts w:ascii="Times New Roman" w:hAnsi="Times New Roman" w:cs="Times New Roman"/>
          <w:sz w:val="24"/>
          <w:szCs w:val="24"/>
        </w:rPr>
        <w:t>Tilman, D., Balzer, C., Hill, J., &amp;</w:t>
      </w:r>
      <w:proofErr w:type="spellStart"/>
      <w:r w:rsidRPr="003E7E6F">
        <w:rPr>
          <w:rFonts w:ascii="Times New Roman" w:hAnsi="Times New Roman" w:cs="Times New Roman"/>
          <w:sz w:val="24"/>
          <w:szCs w:val="24"/>
        </w:rPr>
        <w:t>Befort</w:t>
      </w:r>
      <w:proofErr w:type="spellEnd"/>
      <w:r w:rsidRPr="003E7E6F">
        <w:rPr>
          <w:rFonts w:ascii="Times New Roman" w:hAnsi="Times New Roman" w:cs="Times New Roman"/>
          <w:sz w:val="24"/>
          <w:szCs w:val="24"/>
        </w:rPr>
        <w:t xml:space="preserve">, B. L. (2011). Global food demand and the sustainable intensification of agriculture. </w:t>
      </w:r>
      <w:r w:rsidRPr="003E7E6F">
        <w:rPr>
          <w:rFonts w:ascii="Times New Roman" w:hAnsi="Times New Roman" w:cs="Times New Roman"/>
          <w:i/>
          <w:iCs/>
          <w:sz w:val="24"/>
          <w:szCs w:val="24"/>
        </w:rPr>
        <w:t>Proceedings of the National Academy of Sciences (PNAS)</w:t>
      </w:r>
      <w:r w:rsidRPr="003E7E6F">
        <w:rPr>
          <w:rFonts w:ascii="Times New Roman" w:hAnsi="Times New Roman" w:cs="Times New Roman"/>
          <w:sz w:val="24"/>
          <w:szCs w:val="24"/>
        </w:rPr>
        <w:t xml:space="preserve">, </w:t>
      </w:r>
      <w:r w:rsidRPr="003E7E6F">
        <w:rPr>
          <w:rFonts w:ascii="Times New Roman" w:hAnsi="Times New Roman" w:cs="Times New Roman"/>
          <w:i/>
          <w:iCs/>
          <w:sz w:val="24"/>
          <w:szCs w:val="24"/>
        </w:rPr>
        <w:t>108</w:t>
      </w:r>
      <w:r w:rsidRPr="003E7E6F">
        <w:rPr>
          <w:rFonts w:ascii="Times New Roman" w:hAnsi="Times New Roman" w:cs="Times New Roman"/>
          <w:sz w:val="24"/>
          <w:szCs w:val="24"/>
        </w:rPr>
        <w:t xml:space="preserve">(50), 20260–20264. </w:t>
      </w:r>
      <w:hyperlink r:id="rId17" w:history="1">
        <w:r w:rsidRPr="003E7E6F">
          <w:rPr>
            <w:rStyle w:val="Hyperlink"/>
            <w:rFonts w:ascii="Times New Roman" w:hAnsi="Times New Roman" w:cs="Times New Roman"/>
            <w:sz w:val="24"/>
            <w:szCs w:val="24"/>
          </w:rPr>
          <w:t>https://doi.org/10.1073/pnas.1116437108</w:t>
        </w:r>
      </w:hyperlink>
    </w:p>
    <w:p w:rsidR="006B1873" w:rsidRPr="003E7E6F" w:rsidRDefault="006B1873" w:rsidP="00452EA4">
      <w:pPr>
        <w:spacing w:after="0" w:line="360" w:lineRule="auto"/>
        <w:ind w:left="567" w:hanging="567"/>
        <w:jc w:val="both"/>
        <w:rPr>
          <w:rFonts w:ascii="Times New Roman" w:hAnsi="Times New Roman" w:cs="Times New Roman"/>
          <w:sz w:val="24"/>
          <w:szCs w:val="24"/>
        </w:rPr>
      </w:pPr>
      <w:r w:rsidRPr="003E7E6F">
        <w:rPr>
          <w:rFonts w:ascii="Times New Roman" w:hAnsi="Times New Roman" w:cs="Times New Roman"/>
          <w:sz w:val="24"/>
          <w:szCs w:val="24"/>
        </w:rPr>
        <w:t xml:space="preserve">Tilman, D., </w:t>
      </w:r>
      <w:proofErr w:type="spellStart"/>
      <w:r w:rsidRPr="003E7E6F">
        <w:rPr>
          <w:rFonts w:ascii="Times New Roman" w:hAnsi="Times New Roman" w:cs="Times New Roman"/>
          <w:sz w:val="24"/>
          <w:szCs w:val="24"/>
        </w:rPr>
        <w:t>Cassman</w:t>
      </w:r>
      <w:proofErr w:type="spellEnd"/>
      <w:r w:rsidRPr="003E7E6F">
        <w:rPr>
          <w:rFonts w:ascii="Times New Roman" w:hAnsi="Times New Roman" w:cs="Times New Roman"/>
          <w:sz w:val="24"/>
          <w:szCs w:val="24"/>
        </w:rPr>
        <w:t>, K. G., Matson, P. A., Naylor, R., &amp;</w:t>
      </w:r>
      <w:proofErr w:type="spellStart"/>
      <w:r w:rsidRPr="003E7E6F">
        <w:rPr>
          <w:rFonts w:ascii="Times New Roman" w:hAnsi="Times New Roman" w:cs="Times New Roman"/>
          <w:sz w:val="24"/>
          <w:szCs w:val="24"/>
        </w:rPr>
        <w:t>Polasky</w:t>
      </w:r>
      <w:proofErr w:type="spellEnd"/>
      <w:r w:rsidRPr="003E7E6F">
        <w:rPr>
          <w:rFonts w:ascii="Times New Roman" w:hAnsi="Times New Roman" w:cs="Times New Roman"/>
          <w:sz w:val="24"/>
          <w:szCs w:val="24"/>
        </w:rPr>
        <w:t xml:space="preserve">, S. (2002). Agricultural sustainability and intensive production practices. </w:t>
      </w:r>
      <w:r w:rsidRPr="003E7E6F">
        <w:rPr>
          <w:rFonts w:ascii="Times New Roman" w:hAnsi="Times New Roman" w:cs="Times New Roman"/>
          <w:i/>
          <w:iCs/>
          <w:sz w:val="24"/>
          <w:szCs w:val="24"/>
        </w:rPr>
        <w:t>Nature</w:t>
      </w:r>
      <w:r w:rsidRPr="003E7E6F">
        <w:rPr>
          <w:rFonts w:ascii="Times New Roman" w:hAnsi="Times New Roman" w:cs="Times New Roman"/>
          <w:sz w:val="24"/>
          <w:szCs w:val="24"/>
        </w:rPr>
        <w:t xml:space="preserve">, </w:t>
      </w:r>
      <w:r w:rsidRPr="003E7E6F">
        <w:rPr>
          <w:rFonts w:ascii="Times New Roman" w:hAnsi="Times New Roman" w:cs="Times New Roman"/>
          <w:i/>
          <w:iCs/>
          <w:sz w:val="24"/>
          <w:szCs w:val="24"/>
        </w:rPr>
        <w:t>418</w:t>
      </w:r>
      <w:r w:rsidRPr="003E7E6F">
        <w:rPr>
          <w:rFonts w:ascii="Times New Roman" w:hAnsi="Times New Roman" w:cs="Times New Roman"/>
          <w:sz w:val="24"/>
          <w:szCs w:val="24"/>
        </w:rPr>
        <w:t xml:space="preserve">(6898), 671–677. </w:t>
      </w:r>
      <w:hyperlink r:id="rId18" w:history="1">
        <w:r w:rsidRPr="003E7E6F">
          <w:rPr>
            <w:rStyle w:val="Hyperlink"/>
            <w:rFonts w:ascii="Times New Roman" w:hAnsi="Times New Roman" w:cs="Times New Roman"/>
            <w:sz w:val="24"/>
            <w:szCs w:val="24"/>
          </w:rPr>
          <w:t>https://doi.org/10.1038/nature01014</w:t>
        </w:r>
      </w:hyperlink>
    </w:p>
    <w:p w:rsidR="00C264E7" w:rsidRPr="003E7E6F" w:rsidRDefault="00C264E7" w:rsidP="00452EA4">
      <w:pPr>
        <w:pStyle w:val="NormalWeb"/>
        <w:spacing w:before="0" w:beforeAutospacing="0" w:after="0" w:afterAutospacing="0" w:line="360" w:lineRule="auto"/>
        <w:ind w:left="567" w:hanging="567"/>
        <w:jc w:val="both"/>
      </w:pPr>
      <w:r w:rsidRPr="003E7E6F">
        <w:t xml:space="preserve">Yadav, B. L., Khan, I., Singh, T. P., Rathore, S. S., Yadav, M. R., &amp; Gupta, M. (2025). Assessment of chickpea productivity through cluster frontline demonstration in Zone IIIa of Rajasthan. </w:t>
      </w:r>
      <w:r w:rsidRPr="003E7E6F">
        <w:rPr>
          <w:i/>
          <w:iCs/>
        </w:rPr>
        <w:t>Journal of Food Legumes</w:t>
      </w:r>
      <w:r w:rsidRPr="003E7E6F">
        <w:t xml:space="preserve">, </w:t>
      </w:r>
      <w:r w:rsidRPr="003E7E6F">
        <w:rPr>
          <w:i/>
          <w:iCs/>
        </w:rPr>
        <w:t>38</w:t>
      </w:r>
      <w:r w:rsidRPr="003E7E6F">
        <w:t xml:space="preserve">(2), 333-336. </w:t>
      </w:r>
      <w:hyperlink r:id="rId19" w:tgtFrame="_blank" w:history="1">
        <w:r w:rsidRPr="003E7E6F">
          <w:rPr>
            <w:rStyle w:val="Hyperlink"/>
          </w:rPr>
          <w:t>https://doi.org/10.53550/jfl.v38.i2.276</w:t>
        </w:r>
      </w:hyperlink>
    </w:p>
    <w:p w:rsidR="00A8367F" w:rsidRPr="003E7E6F" w:rsidRDefault="003741B7" w:rsidP="00452EA4">
      <w:pPr>
        <w:spacing w:after="0" w:line="360" w:lineRule="auto"/>
        <w:ind w:left="567" w:hanging="567"/>
        <w:jc w:val="both"/>
        <w:rPr>
          <w:rFonts w:ascii="Times New Roman" w:hAnsi="Times New Roman" w:cs="Times New Roman"/>
          <w:sz w:val="24"/>
          <w:szCs w:val="24"/>
        </w:rPr>
      </w:pPr>
      <w:r w:rsidRPr="003E7E6F">
        <w:rPr>
          <w:rFonts w:ascii="Times New Roman" w:hAnsi="Times New Roman" w:cs="Times New Roman"/>
          <w:sz w:val="24"/>
          <w:szCs w:val="24"/>
        </w:rPr>
        <w:t xml:space="preserve">Yadav, J., </w:t>
      </w:r>
      <w:proofErr w:type="spellStart"/>
      <w:r w:rsidRPr="003E7E6F">
        <w:rPr>
          <w:rFonts w:ascii="Times New Roman" w:hAnsi="Times New Roman" w:cs="Times New Roman"/>
          <w:sz w:val="24"/>
          <w:szCs w:val="24"/>
        </w:rPr>
        <w:t>Kehri</w:t>
      </w:r>
      <w:proofErr w:type="spellEnd"/>
      <w:r w:rsidRPr="003E7E6F">
        <w:rPr>
          <w:rFonts w:ascii="Times New Roman" w:hAnsi="Times New Roman" w:cs="Times New Roman"/>
          <w:sz w:val="24"/>
          <w:szCs w:val="24"/>
        </w:rPr>
        <w:t>, H. K., &amp;</w:t>
      </w:r>
      <w:proofErr w:type="spellStart"/>
      <w:r w:rsidRPr="003E7E6F">
        <w:rPr>
          <w:rFonts w:ascii="Times New Roman" w:hAnsi="Times New Roman" w:cs="Times New Roman"/>
          <w:sz w:val="24"/>
          <w:szCs w:val="24"/>
        </w:rPr>
        <w:t>Tarafdar</w:t>
      </w:r>
      <w:proofErr w:type="spellEnd"/>
      <w:r w:rsidRPr="003E7E6F">
        <w:rPr>
          <w:rFonts w:ascii="Times New Roman" w:hAnsi="Times New Roman" w:cs="Times New Roman"/>
          <w:sz w:val="24"/>
          <w:szCs w:val="24"/>
        </w:rPr>
        <w:t xml:space="preserve">, J. C. (2019). Plant </w:t>
      </w:r>
      <w:r w:rsidR="00621AE8" w:rsidRPr="003E7E6F">
        <w:rPr>
          <w:rFonts w:ascii="Times New Roman" w:hAnsi="Times New Roman" w:cs="Times New Roman"/>
          <w:sz w:val="24"/>
          <w:szCs w:val="24"/>
        </w:rPr>
        <w:t>growth-</w:t>
      </w:r>
      <w:proofErr w:type="spellStart"/>
      <w:r w:rsidR="00621AE8" w:rsidRPr="003E7E6F">
        <w:rPr>
          <w:rFonts w:ascii="Times New Roman" w:hAnsi="Times New Roman" w:cs="Times New Roman"/>
          <w:sz w:val="24"/>
          <w:szCs w:val="24"/>
        </w:rPr>
        <w:t>promoting</w:t>
      </w:r>
      <w:r w:rsidRPr="003E7E6F">
        <w:rPr>
          <w:rFonts w:ascii="Times New Roman" w:hAnsi="Times New Roman" w:cs="Times New Roman"/>
          <w:sz w:val="24"/>
          <w:szCs w:val="24"/>
        </w:rPr>
        <w:t>rhizobacteria</w:t>
      </w:r>
      <w:proofErr w:type="spellEnd"/>
      <w:r w:rsidRPr="003E7E6F">
        <w:rPr>
          <w:rFonts w:ascii="Times New Roman" w:hAnsi="Times New Roman" w:cs="Times New Roman"/>
          <w:sz w:val="24"/>
          <w:szCs w:val="24"/>
        </w:rPr>
        <w:t xml:space="preserve"> (PGPR) and their role in plant growth promotion. </w:t>
      </w:r>
      <w:r w:rsidRPr="003E7E6F">
        <w:rPr>
          <w:rFonts w:ascii="Times New Roman" w:hAnsi="Times New Roman" w:cs="Times New Roman"/>
          <w:i/>
          <w:iCs/>
          <w:sz w:val="24"/>
          <w:szCs w:val="24"/>
        </w:rPr>
        <w:t>International Journal of Current Microbiology and Applied Sciences</w:t>
      </w:r>
      <w:r w:rsidRPr="003E7E6F">
        <w:rPr>
          <w:rFonts w:ascii="Times New Roman" w:hAnsi="Times New Roman" w:cs="Times New Roman"/>
          <w:sz w:val="24"/>
          <w:szCs w:val="24"/>
        </w:rPr>
        <w:t xml:space="preserve">, </w:t>
      </w:r>
      <w:r w:rsidRPr="003E7E6F">
        <w:rPr>
          <w:rFonts w:ascii="Times New Roman" w:hAnsi="Times New Roman" w:cs="Times New Roman"/>
          <w:i/>
          <w:iCs/>
          <w:sz w:val="24"/>
          <w:szCs w:val="24"/>
        </w:rPr>
        <w:t>8</w:t>
      </w:r>
      <w:r w:rsidRPr="003E7E6F">
        <w:rPr>
          <w:rFonts w:ascii="Times New Roman" w:hAnsi="Times New Roman" w:cs="Times New Roman"/>
          <w:sz w:val="24"/>
          <w:szCs w:val="24"/>
        </w:rPr>
        <w:t xml:space="preserve">(1), 1640–1651. </w:t>
      </w:r>
      <w:hyperlink r:id="rId20" w:history="1">
        <w:r w:rsidR="004B18C9" w:rsidRPr="003E7E6F">
          <w:rPr>
            <w:rStyle w:val="Hyperlink"/>
            <w:rFonts w:ascii="Times New Roman" w:hAnsi="Times New Roman" w:cs="Times New Roman"/>
            <w:sz w:val="24"/>
            <w:szCs w:val="24"/>
          </w:rPr>
          <w:t>https://doi.org/10.20546/ijcmas.2019.801.173</w:t>
        </w:r>
      </w:hyperlink>
    </w:p>
    <w:p w:rsidR="009F507F" w:rsidRPr="003E7E6F" w:rsidRDefault="009F507F" w:rsidP="00452EA4">
      <w:pPr>
        <w:pStyle w:val="NormalWeb"/>
        <w:spacing w:before="0" w:beforeAutospacing="0" w:after="0" w:afterAutospacing="0" w:line="360" w:lineRule="auto"/>
        <w:ind w:left="567" w:hanging="567"/>
        <w:jc w:val="both"/>
      </w:pPr>
      <w:r w:rsidRPr="003E7E6F">
        <w:t xml:space="preserve">Zhang, J., Wang, J., Zhu, C., Singh, R. P., &amp; Chen, W. (2024). Chickpea: Its Origin, Distribution, Nutrition, Benefits, Breeding, and Symbiotic Relationship with </w:t>
      </w:r>
      <w:proofErr w:type="spellStart"/>
      <w:r w:rsidRPr="003E7E6F">
        <w:t>Mesorhizobium</w:t>
      </w:r>
      <w:proofErr w:type="spellEnd"/>
      <w:r w:rsidRPr="003E7E6F">
        <w:t xml:space="preserve"> Species. </w:t>
      </w:r>
      <w:r w:rsidRPr="003E7E6F">
        <w:rPr>
          <w:i/>
          <w:iCs/>
        </w:rPr>
        <w:t>Plants</w:t>
      </w:r>
      <w:r w:rsidRPr="003E7E6F">
        <w:t xml:space="preserve">, </w:t>
      </w:r>
      <w:r w:rsidRPr="003E7E6F">
        <w:rPr>
          <w:i/>
          <w:iCs/>
        </w:rPr>
        <w:t>13</w:t>
      </w:r>
      <w:r w:rsidRPr="003E7E6F">
        <w:t xml:space="preserve">(3), 429. </w:t>
      </w:r>
      <w:hyperlink r:id="rId21" w:tgtFrame="_blank" w:history="1">
        <w:r w:rsidRPr="003E7E6F">
          <w:rPr>
            <w:rStyle w:val="Hyperlink"/>
          </w:rPr>
          <w:t>https://doi.org/10.3390/plants13030429</w:t>
        </w:r>
      </w:hyperlink>
    </w:p>
    <w:sectPr w:rsidR="009F507F" w:rsidRPr="003E7E6F" w:rsidSect="00AA383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224" w:rsidRDefault="00A47224" w:rsidP="00707E8B">
      <w:pPr>
        <w:spacing w:after="0" w:line="240" w:lineRule="auto"/>
      </w:pPr>
      <w:r>
        <w:separator/>
      </w:r>
    </w:p>
  </w:endnote>
  <w:endnote w:type="continuationSeparator" w:id="0">
    <w:p w:rsidR="00A47224" w:rsidRDefault="00A47224" w:rsidP="0070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8B" w:rsidRDefault="00707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8B" w:rsidRDefault="00707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8B" w:rsidRDefault="00707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224" w:rsidRDefault="00A47224" w:rsidP="00707E8B">
      <w:pPr>
        <w:spacing w:after="0" w:line="240" w:lineRule="auto"/>
      </w:pPr>
      <w:r>
        <w:separator/>
      </w:r>
    </w:p>
  </w:footnote>
  <w:footnote w:type="continuationSeparator" w:id="0">
    <w:p w:rsidR="00A47224" w:rsidRDefault="00A47224" w:rsidP="00707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8B" w:rsidRDefault="00707E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006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8B" w:rsidRDefault="00707E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006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E8B" w:rsidRDefault="00707E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006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F42"/>
    <w:multiLevelType w:val="multilevel"/>
    <w:tmpl w:val="6FA6B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B2DCF"/>
    <w:multiLevelType w:val="multilevel"/>
    <w:tmpl w:val="277E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968C2"/>
    <w:multiLevelType w:val="multilevel"/>
    <w:tmpl w:val="4310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F2ACB"/>
    <w:multiLevelType w:val="multilevel"/>
    <w:tmpl w:val="B39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E539D"/>
    <w:multiLevelType w:val="multilevel"/>
    <w:tmpl w:val="E566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D76D0"/>
    <w:multiLevelType w:val="multilevel"/>
    <w:tmpl w:val="CFB2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C2F51"/>
    <w:multiLevelType w:val="multilevel"/>
    <w:tmpl w:val="8676E8A8"/>
    <w:lvl w:ilvl="0">
      <w:start w:val="1"/>
      <w:numFmt w:val="decimal"/>
      <w:lvlText w:val="%1."/>
      <w:lvlJc w:val="left"/>
      <w:pPr>
        <w:ind w:left="786"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5F410688"/>
    <w:multiLevelType w:val="multilevel"/>
    <w:tmpl w:val="974C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A461E"/>
    <w:multiLevelType w:val="multilevel"/>
    <w:tmpl w:val="3D74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CE0B4F"/>
    <w:multiLevelType w:val="multilevel"/>
    <w:tmpl w:val="012E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4747B"/>
    <w:multiLevelType w:val="multilevel"/>
    <w:tmpl w:val="AD6A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5"/>
  </w:num>
  <w:num w:numId="5">
    <w:abstractNumId w:val="1"/>
  </w:num>
  <w:num w:numId="6">
    <w:abstractNumId w:val="10"/>
  </w:num>
  <w:num w:numId="7">
    <w:abstractNumId w:val="6"/>
  </w:num>
  <w:num w:numId="8">
    <w:abstractNumId w:val="2"/>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670FD"/>
    <w:rsid w:val="0005208C"/>
    <w:rsid w:val="000C6E55"/>
    <w:rsid w:val="000E6566"/>
    <w:rsid w:val="000F232F"/>
    <w:rsid w:val="000F55D6"/>
    <w:rsid w:val="001126CF"/>
    <w:rsid w:val="001237BD"/>
    <w:rsid w:val="00134E1D"/>
    <w:rsid w:val="00151B0A"/>
    <w:rsid w:val="001778ED"/>
    <w:rsid w:val="0019686F"/>
    <w:rsid w:val="001C01EE"/>
    <w:rsid w:val="001E1059"/>
    <w:rsid w:val="001E63F2"/>
    <w:rsid w:val="001F14B4"/>
    <w:rsid w:val="002041D9"/>
    <w:rsid w:val="00205E51"/>
    <w:rsid w:val="00242CBC"/>
    <w:rsid w:val="00256582"/>
    <w:rsid w:val="00285C05"/>
    <w:rsid w:val="002A5776"/>
    <w:rsid w:val="002D1604"/>
    <w:rsid w:val="00372FAB"/>
    <w:rsid w:val="00372FF5"/>
    <w:rsid w:val="003741B7"/>
    <w:rsid w:val="00380401"/>
    <w:rsid w:val="003C4828"/>
    <w:rsid w:val="003C4C84"/>
    <w:rsid w:val="003C56E4"/>
    <w:rsid w:val="003D5D5C"/>
    <w:rsid w:val="003D69CD"/>
    <w:rsid w:val="003E0BE2"/>
    <w:rsid w:val="003E7E6F"/>
    <w:rsid w:val="004135E9"/>
    <w:rsid w:val="004205D3"/>
    <w:rsid w:val="0045101D"/>
    <w:rsid w:val="00452EA4"/>
    <w:rsid w:val="00454B13"/>
    <w:rsid w:val="00455515"/>
    <w:rsid w:val="00462BC8"/>
    <w:rsid w:val="004670FD"/>
    <w:rsid w:val="004924A2"/>
    <w:rsid w:val="00494303"/>
    <w:rsid w:val="00496C82"/>
    <w:rsid w:val="004B18C9"/>
    <w:rsid w:val="004C6614"/>
    <w:rsid w:val="004D2546"/>
    <w:rsid w:val="004E2910"/>
    <w:rsid w:val="00516C0F"/>
    <w:rsid w:val="00520142"/>
    <w:rsid w:val="00523F49"/>
    <w:rsid w:val="0052536A"/>
    <w:rsid w:val="00527623"/>
    <w:rsid w:val="00556CFE"/>
    <w:rsid w:val="00565276"/>
    <w:rsid w:val="005B292A"/>
    <w:rsid w:val="005B5FC7"/>
    <w:rsid w:val="005D7258"/>
    <w:rsid w:val="005E1817"/>
    <w:rsid w:val="00621AE8"/>
    <w:rsid w:val="00634880"/>
    <w:rsid w:val="006375C8"/>
    <w:rsid w:val="00690681"/>
    <w:rsid w:val="006910F5"/>
    <w:rsid w:val="006B1873"/>
    <w:rsid w:val="006D1B47"/>
    <w:rsid w:val="006D3B6F"/>
    <w:rsid w:val="00707E8B"/>
    <w:rsid w:val="0073306B"/>
    <w:rsid w:val="007624D8"/>
    <w:rsid w:val="007A1914"/>
    <w:rsid w:val="007D7834"/>
    <w:rsid w:val="007E024D"/>
    <w:rsid w:val="007E04E2"/>
    <w:rsid w:val="00800664"/>
    <w:rsid w:val="0086087F"/>
    <w:rsid w:val="00890F8B"/>
    <w:rsid w:val="008A7ED9"/>
    <w:rsid w:val="008C4706"/>
    <w:rsid w:val="008E3861"/>
    <w:rsid w:val="009137C2"/>
    <w:rsid w:val="009814FD"/>
    <w:rsid w:val="009D74C0"/>
    <w:rsid w:val="009F507F"/>
    <w:rsid w:val="00A02C4D"/>
    <w:rsid w:val="00A15A00"/>
    <w:rsid w:val="00A367D3"/>
    <w:rsid w:val="00A47224"/>
    <w:rsid w:val="00A8367F"/>
    <w:rsid w:val="00A93277"/>
    <w:rsid w:val="00AA3835"/>
    <w:rsid w:val="00AF6342"/>
    <w:rsid w:val="00B038F8"/>
    <w:rsid w:val="00B1162B"/>
    <w:rsid w:val="00B374BF"/>
    <w:rsid w:val="00B60EDC"/>
    <w:rsid w:val="00B672D3"/>
    <w:rsid w:val="00B71C37"/>
    <w:rsid w:val="00C06782"/>
    <w:rsid w:val="00C11188"/>
    <w:rsid w:val="00C264E7"/>
    <w:rsid w:val="00C63E0C"/>
    <w:rsid w:val="00C81CA8"/>
    <w:rsid w:val="00D47627"/>
    <w:rsid w:val="00D63A6F"/>
    <w:rsid w:val="00D65881"/>
    <w:rsid w:val="00D86EA3"/>
    <w:rsid w:val="00DC5FF5"/>
    <w:rsid w:val="00DC7838"/>
    <w:rsid w:val="00DD45E3"/>
    <w:rsid w:val="00E55779"/>
    <w:rsid w:val="00E97C67"/>
    <w:rsid w:val="00ED3247"/>
    <w:rsid w:val="00F10DB6"/>
    <w:rsid w:val="00F34B3A"/>
    <w:rsid w:val="00F84150"/>
    <w:rsid w:val="00FC0E31"/>
    <w:rsid w:val="00FE429D"/>
    <w:rsid w:val="00FF1D4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92CEC3"/>
  <w15:docId w15:val="{0A626A06-437D-4D84-BE6D-E62B7449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835"/>
  </w:style>
  <w:style w:type="paragraph" w:styleId="Heading2">
    <w:name w:val="heading 2"/>
    <w:basedOn w:val="Normal"/>
    <w:link w:val="Heading2Char"/>
    <w:uiPriority w:val="9"/>
    <w:qFormat/>
    <w:rsid w:val="004670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670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70FD"/>
    <w:rPr>
      <w:rFonts w:ascii="Times New Roman" w:eastAsia="Times New Roman" w:hAnsi="Times New Roman" w:cs="Times New Roman"/>
      <w:b/>
      <w:bCs/>
      <w:sz w:val="36"/>
      <w:szCs w:val="36"/>
    </w:rPr>
  </w:style>
  <w:style w:type="paragraph" w:styleId="NormalWeb">
    <w:name w:val="Normal (Web)"/>
    <w:basedOn w:val="Normal"/>
    <w:uiPriority w:val="99"/>
    <w:unhideWhenUsed/>
    <w:rsid w:val="00467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5">
    <w:name w:val="citation-15"/>
    <w:basedOn w:val="DefaultParagraphFont"/>
    <w:rsid w:val="004670FD"/>
  </w:style>
  <w:style w:type="character" w:customStyle="1" w:styleId="citation-14">
    <w:name w:val="citation-14"/>
    <w:basedOn w:val="DefaultParagraphFont"/>
    <w:rsid w:val="004670FD"/>
  </w:style>
  <w:style w:type="character" w:customStyle="1" w:styleId="citation-13">
    <w:name w:val="citation-13"/>
    <w:basedOn w:val="DefaultParagraphFont"/>
    <w:rsid w:val="004670FD"/>
  </w:style>
  <w:style w:type="character" w:customStyle="1" w:styleId="citation-12">
    <w:name w:val="citation-12"/>
    <w:basedOn w:val="DefaultParagraphFont"/>
    <w:rsid w:val="004670FD"/>
  </w:style>
  <w:style w:type="character" w:customStyle="1" w:styleId="citation-11">
    <w:name w:val="citation-11"/>
    <w:basedOn w:val="DefaultParagraphFont"/>
    <w:rsid w:val="004670FD"/>
  </w:style>
  <w:style w:type="character" w:customStyle="1" w:styleId="citation-10">
    <w:name w:val="citation-10"/>
    <w:basedOn w:val="DefaultParagraphFont"/>
    <w:rsid w:val="004670FD"/>
  </w:style>
  <w:style w:type="character" w:customStyle="1" w:styleId="citation-9">
    <w:name w:val="citation-9"/>
    <w:basedOn w:val="DefaultParagraphFont"/>
    <w:rsid w:val="004670FD"/>
  </w:style>
  <w:style w:type="character" w:customStyle="1" w:styleId="citation-8">
    <w:name w:val="citation-8"/>
    <w:basedOn w:val="DefaultParagraphFont"/>
    <w:rsid w:val="004670FD"/>
  </w:style>
  <w:style w:type="character" w:customStyle="1" w:styleId="Heading3Char">
    <w:name w:val="Heading 3 Char"/>
    <w:basedOn w:val="DefaultParagraphFont"/>
    <w:link w:val="Heading3"/>
    <w:uiPriority w:val="9"/>
    <w:rsid w:val="004670FD"/>
    <w:rPr>
      <w:rFonts w:asciiTheme="majorHAnsi" w:eastAsiaTheme="majorEastAsia" w:hAnsiTheme="majorHAnsi" w:cstheme="majorBidi"/>
      <w:b/>
      <w:bCs/>
      <w:color w:val="4F81BD" w:themeColor="accent1"/>
    </w:rPr>
  </w:style>
  <w:style w:type="character" w:customStyle="1" w:styleId="citation-74">
    <w:name w:val="citation-74"/>
    <w:basedOn w:val="DefaultParagraphFont"/>
    <w:rsid w:val="004670FD"/>
  </w:style>
  <w:style w:type="character" w:customStyle="1" w:styleId="citation-73">
    <w:name w:val="citation-73"/>
    <w:basedOn w:val="DefaultParagraphFont"/>
    <w:rsid w:val="004670FD"/>
  </w:style>
  <w:style w:type="character" w:customStyle="1" w:styleId="citation-72">
    <w:name w:val="citation-72"/>
    <w:basedOn w:val="DefaultParagraphFont"/>
    <w:rsid w:val="004670FD"/>
  </w:style>
  <w:style w:type="character" w:customStyle="1" w:styleId="citation-71">
    <w:name w:val="citation-71"/>
    <w:basedOn w:val="DefaultParagraphFont"/>
    <w:rsid w:val="004670FD"/>
  </w:style>
  <w:style w:type="character" w:customStyle="1" w:styleId="citation-70">
    <w:name w:val="citation-70"/>
    <w:basedOn w:val="DefaultParagraphFont"/>
    <w:rsid w:val="004670FD"/>
  </w:style>
  <w:style w:type="character" w:styleId="Strong">
    <w:name w:val="Strong"/>
    <w:basedOn w:val="DefaultParagraphFont"/>
    <w:uiPriority w:val="22"/>
    <w:qFormat/>
    <w:rsid w:val="00C06782"/>
    <w:rPr>
      <w:b/>
      <w:bCs/>
    </w:rPr>
  </w:style>
  <w:style w:type="table" w:styleId="TableGrid">
    <w:name w:val="Table Grid"/>
    <w:basedOn w:val="TableNormal"/>
    <w:uiPriority w:val="59"/>
    <w:rsid w:val="004135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th-inline">
    <w:name w:val="math-inline"/>
    <w:basedOn w:val="DefaultParagraphFont"/>
    <w:rsid w:val="004135E9"/>
  </w:style>
  <w:style w:type="character" w:customStyle="1" w:styleId="citation-172">
    <w:name w:val="citation-172"/>
    <w:basedOn w:val="DefaultParagraphFont"/>
    <w:rsid w:val="00B60EDC"/>
  </w:style>
  <w:style w:type="character" w:customStyle="1" w:styleId="citation-171">
    <w:name w:val="citation-171"/>
    <w:basedOn w:val="DefaultParagraphFont"/>
    <w:rsid w:val="00B60EDC"/>
  </w:style>
  <w:style w:type="character" w:customStyle="1" w:styleId="citation-170">
    <w:name w:val="citation-170"/>
    <w:basedOn w:val="DefaultParagraphFont"/>
    <w:rsid w:val="00B60EDC"/>
  </w:style>
  <w:style w:type="character" w:customStyle="1" w:styleId="citation-169">
    <w:name w:val="citation-169"/>
    <w:basedOn w:val="DefaultParagraphFont"/>
    <w:rsid w:val="00B60EDC"/>
  </w:style>
  <w:style w:type="character" w:customStyle="1" w:styleId="citation-168">
    <w:name w:val="citation-168"/>
    <w:basedOn w:val="DefaultParagraphFont"/>
    <w:rsid w:val="00B60EDC"/>
  </w:style>
  <w:style w:type="character" w:customStyle="1" w:styleId="citation-167">
    <w:name w:val="citation-167"/>
    <w:basedOn w:val="DefaultParagraphFont"/>
    <w:rsid w:val="00B60EDC"/>
  </w:style>
  <w:style w:type="character" w:customStyle="1" w:styleId="citation-166">
    <w:name w:val="citation-166"/>
    <w:basedOn w:val="DefaultParagraphFont"/>
    <w:rsid w:val="00B60EDC"/>
  </w:style>
  <w:style w:type="character" w:customStyle="1" w:styleId="citation-165">
    <w:name w:val="citation-165"/>
    <w:basedOn w:val="DefaultParagraphFont"/>
    <w:rsid w:val="00B60EDC"/>
  </w:style>
  <w:style w:type="character" w:customStyle="1" w:styleId="citation-164">
    <w:name w:val="citation-164"/>
    <w:basedOn w:val="DefaultParagraphFont"/>
    <w:rsid w:val="00B60EDC"/>
  </w:style>
  <w:style w:type="character" w:customStyle="1" w:styleId="citation-271">
    <w:name w:val="citation-271"/>
    <w:basedOn w:val="DefaultParagraphFont"/>
    <w:rsid w:val="00B60EDC"/>
  </w:style>
  <w:style w:type="character" w:customStyle="1" w:styleId="citation-270">
    <w:name w:val="citation-270"/>
    <w:basedOn w:val="DefaultParagraphFont"/>
    <w:rsid w:val="00B60EDC"/>
  </w:style>
  <w:style w:type="character" w:customStyle="1" w:styleId="citation-269">
    <w:name w:val="citation-269"/>
    <w:basedOn w:val="DefaultParagraphFont"/>
    <w:rsid w:val="00B60EDC"/>
  </w:style>
  <w:style w:type="character" w:customStyle="1" w:styleId="citation-268">
    <w:name w:val="citation-268"/>
    <w:basedOn w:val="DefaultParagraphFont"/>
    <w:rsid w:val="00B60EDC"/>
  </w:style>
  <w:style w:type="character" w:customStyle="1" w:styleId="citation-267">
    <w:name w:val="citation-267"/>
    <w:basedOn w:val="DefaultParagraphFont"/>
    <w:rsid w:val="00B60EDC"/>
  </w:style>
  <w:style w:type="character" w:customStyle="1" w:styleId="citation-266">
    <w:name w:val="citation-266"/>
    <w:basedOn w:val="DefaultParagraphFont"/>
    <w:rsid w:val="00B60EDC"/>
  </w:style>
  <w:style w:type="character" w:customStyle="1" w:styleId="citation-265">
    <w:name w:val="citation-265"/>
    <w:basedOn w:val="DefaultParagraphFont"/>
    <w:rsid w:val="00B60EDC"/>
  </w:style>
  <w:style w:type="character" w:customStyle="1" w:styleId="citation-264">
    <w:name w:val="citation-264"/>
    <w:basedOn w:val="DefaultParagraphFont"/>
    <w:rsid w:val="00B60EDC"/>
  </w:style>
  <w:style w:type="character" w:customStyle="1" w:styleId="citation-263">
    <w:name w:val="citation-263"/>
    <w:basedOn w:val="DefaultParagraphFont"/>
    <w:rsid w:val="00B60EDC"/>
  </w:style>
  <w:style w:type="character" w:customStyle="1" w:styleId="citation-262">
    <w:name w:val="citation-262"/>
    <w:basedOn w:val="DefaultParagraphFont"/>
    <w:rsid w:val="00B60EDC"/>
  </w:style>
  <w:style w:type="character" w:customStyle="1" w:styleId="citation-261">
    <w:name w:val="citation-261"/>
    <w:basedOn w:val="DefaultParagraphFont"/>
    <w:rsid w:val="00B60EDC"/>
  </w:style>
  <w:style w:type="character" w:customStyle="1" w:styleId="button-label">
    <w:name w:val="button-label"/>
    <w:basedOn w:val="DefaultParagraphFont"/>
    <w:rsid w:val="005B5FC7"/>
  </w:style>
  <w:style w:type="character" w:customStyle="1" w:styleId="citation-7">
    <w:name w:val="citation-7"/>
    <w:basedOn w:val="DefaultParagraphFont"/>
    <w:rsid w:val="005B5FC7"/>
  </w:style>
  <w:style w:type="character" w:customStyle="1" w:styleId="citation-6">
    <w:name w:val="citation-6"/>
    <w:basedOn w:val="DefaultParagraphFont"/>
    <w:rsid w:val="005B5FC7"/>
  </w:style>
  <w:style w:type="character" w:customStyle="1" w:styleId="citation-5">
    <w:name w:val="citation-5"/>
    <w:basedOn w:val="DefaultParagraphFont"/>
    <w:rsid w:val="005B5FC7"/>
  </w:style>
  <w:style w:type="character" w:styleId="Hyperlink">
    <w:name w:val="Hyperlink"/>
    <w:basedOn w:val="DefaultParagraphFont"/>
    <w:uiPriority w:val="99"/>
    <w:unhideWhenUsed/>
    <w:rsid w:val="00DC7838"/>
    <w:rPr>
      <w:color w:val="0000FF" w:themeColor="hyperlink"/>
      <w:u w:val="single"/>
    </w:rPr>
  </w:style>
  <w:style w:type="paragraph" w:styleId="BalloonText">
    <w:name w:val="Balloon Text"/>
    <w:basedOn w:val="Normal"/>
    <w:link w:val="BalloonTextChar"/>
    <w:uiPriority w:val="99"/>
    <w:semiHidden/>
    <w:unhideWhenUsed/>
    <w:rsid w:val="0025658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56582"/>
    <w:rPr>
      <w:rFonts w:ascii="Tahoma" w:hAnsi="Tahoma" w:cs="Mangal"/>
      <w:sz w:val="16"/>
      <w:szCs w:val="14"/>
    </w:rPr>
  </w:style>
  <w:style w:type="paragraph" w:styleId="ListParagraph">
    <w:name w:val="List Paragraph"/>
    <w:basedOn w:val="Normal"/>
    <w:uiPriority w:val="34"/>
    <w:qFormat/>
    <w:rsid w:val="004205D3"/>
    <w:pPr>
      <w:ind w:left="720"/>
      <w:contextualSpacing/>
    </w:pPr>
  </w:style>
  <w:style w:type="character" w:customStyle="1" w:styleId="citation-100">
    <w:name w:val="citation-100"/>
    <w:basedOn w:val="DefaultParagraphFont"/>
    <w:rsid w:val="005E1817"/>
  </w:style>
  <w:style w:type="character" w:customStyle="1" w:styleId="citation-99">
    <w:name w:val="citation-99"/>
    <w:basedOn w:val="DefaultParagraphFont"/>
    <w:rsid w:val="005E1817"/>
  </w:style>
  <w:style w:type="character" w:customStyle="1" w:styleId="citation-98">
    <w:name w:val="citation-98"/>
    <w:basedOn w:val="DefaultParagraphFont"/>
    <w:rsid w:val="005E1817"/>
  </w:style>
  <w:style w:type="character" w:styleId="UnresolvedMention">
    <w:name w:val="Unresolved Mention"/>
    <w:basedOn w:val="DefaultParagraphFont"/>
    <w:uiPriority w:val="99"/>
    <w:semiHidden/>
    <w:unhideWhenUsed/>
    <w:rsid w:val="002A5776"/>
    <w:rPr>
      <w:color w:val="605E5C"/>
      <w:shd w:val="clear" w:color="auto" w:fill="E1DFDD"/>
    </w:rPr>
  </w:style>
  <w:style w:type="paragraph" w:styleId="Header">
    <w:name w:val="header"/>
    <w:basedOn w:val="Normal"/>
    <w:link w:val="HeaderChar"/>
    <w:uiPriority w:val="99"/>
    <w:unhideWhenUsed/>
    <w:rsid w:val="00707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8B"/>
  </w:style>
  <w:style w:type="paragraph" w:styleId="Footer">
    <w:name w:val="footer"/>
    <w:basedOn w:val="Normal"/>
    <w:link w:val="FooterChar"/>
    <w:uiPriority w:val="99"/>
    <w:unhideWhenUsed/>
    <w:rsid w:val="00707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8217">
      <w:bodyDiv w:val="1"/>
      <w:marLeft w:val="0"/>
      <w:marRight w:val="0"/>
      <w:marTop w:val="0"/>
      <w:marBottom w:val="0"/>
      <w:divBdr>
        <w:top w:val="none" w:sz="0" w:space="0" w:color="auto"/>
        <w:left w:val="none" w:sz="0" w:space="0" w:color="auto"/>
        <w:bottom w:val="none" w:sz="0" w:space="0" w:color="auto"/>
        <w:right w:val="none" w:sz="0" w:space="0" w:color="auto"/>
      </w:divBdr>
    </w:div>
    <w:div w:id="80227006">
      <w:bodyDiv w:val="1"/>
      <w:marLeft w:val="0"/>
      <w:marRight w:val="0"/>
      <w:marTop w:val="0"/>
      <w:marBottom w:val="0"/>
      <w:divBdr>
        <w:top w:val="none" w:sz="0" w:space="0" w:color="auto"/>
        <w:left w:val="none" w:sz="0" w:space="0" w:color="auto"/>
        <w:bottom w:val="none" w:sz="0" w:space="0" w:color="auto"/>
        <w:right w:val="none" w:sz="0" w:space="0" w:color="auto"/>
      </w:divBdr>
    </w:div>
    <w:div w:id="190539350">
      <w:bodyDiv w:val="1"/>
      <w:marLeft w:val="0"/>
      <w:marRight w:val="0"/>
      <w:marTop w:val="0"/>
      <w:marBottom w:val="0"/>
      <w:divBdr>
        <w:top w:val="none" w:sz="0" w:space="0" w:color="auto"/>
        <w:left w:val="none" w:sz="0" w:space="0" w:color="auto"/>
        <w:bottom w:val="none" w:sz="0" w:space="0" w:color="auto"/>
        <w:right w:val="none" w:sz="0" w:space="0" w:color="auto"/>
      </w:divBdr>
    </w:div>
    <w:div w:id="290746794">
      <w:bodyDiv w:val="1"/>
      <w:marLeft w:val="0"/>
      <w:marRight w:val="0"/>
      <w:marTop w:val="0"/>
      <w:marBottom w:val="0"/>
      <w:divBdr>
        <w:top w:val="none" w:sz="0" w:space="0" w:color="auto"/>
        <w:left w:val="none" w:sz="0" w:space="0" w:color="auto"/>
        <w:bottom w:val="none" w:sz="0" w:space="0" w:color="auto"/>
        <w:right w:val="none" w:sz="0" w:space="0" w:color="auto"/>
      </w:divBdr>
    </w:div>
    <w:div w:id="406269156">
      <w:bodyDiv w:val="1"/>
      <w:marLeft w:val="0"/>
      <w:marRight w:val="0"/>
      <w:marTop w:val="0"/>
      <w:marBottom w:val="0"/>
      <w:divBdr>
        <w:top w:val="none" w:sz="0" w:space="0" w:color="auto"/>
        <w:left w:val="none" w:sz="0" w:space="0" w:color="auto"/>
        <w:bottom w:val="none" w:sz="0" w:space="0" w:color="auto"/>
        <w:right w:val="none" w:sz="0" w:space="0" w:color="auto"/>
      </w:divBdr>
      <w:divsChild>
        <w:div w:id="1781952664">
          <w:marLeft w:val="0"/>
          <w:marRight w:val="0"/>
          <w:marTop w:val="0"/>
          <w:marBottom w:val="0"/>
          <w:divBdr>
            <w:top w:val="none" w:sz="0" w:space="0" w:color="auto"/>
            <w:left w:val="none" w:sz="0" w:space="0" w:color="auto"/>
            <w:bottom w:val="none" w:sz="0" w:space="0" w:color="auto"/>
            <w:right w:val="none" w:sz="0" w:space="0" w:color="auto"/>
          </w:divBdr>
          <w:divsChild>
            <w:div w:id="6967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6140">
      <w:bodyDiv w:val="1"/>
      <w:marLeft w:val="0"/>
      <w:marRight w:val="0"/>
      <w:marTop w:val="0"/>
      <w:marBottom w:val="0"/>
      <w:divBdr>
        <w:top w:val="none" w:sz="0" w:space="0" w:color="auto"/>
        <w:left w:val="none" w:sz="0" w:space="0" w:color="auto"/>
        <w:bottom w:val="none" w:sz="0" w:space="0" w:color="auto"/>
        <w:right w:val="none" w:sz="0" w:space="0" w:color="auto"/>
      </w:divBdr>
    </w:div>
    <w:div w:id="463545856">
      <w:bodyDiv w:val="1"/>
      <w:marLeft w:val="0"/>
      <w:marRight w:val="0"/>
      <w:marTop w:val="0"/>
      <w:marBottom w:val="0"/>
      <w:divBdr>
        <w:top w:val="none" w:sz="0" w:space="0" w:color="auto"/>
        <w:left w:val="none" w:sz="0" w:space="0" w:color="auto"/>
        <w:bottom w:val="none" w:sz="0" w:space="0" w:color="auto"/>
        <w:right w:val="none" w:sz="0" w:space="0" w:color="auto"/>
      </w:divBdr>
    </w:div>
    <w:div w:id="500775513">
      <w:bodyDiv w:val="1"/>
      <w:marLeft w:val="0"/>
      <w:marRight w:val="0"/>
      <w:marTop w:val="0"/>
      <w:marBottom w:val="0"/>
      <w:divBdr>
        <w:top w:val="none" w:sz="0" w:space="0" w:color="auto"/>
        <w:left w:val="none" w:sz="0" w:space="0" w:color="auto"/>
        <w:bottom w:val="none" w:sz="0" w:space="0" w:color="auto"/>
        <w:right w:val="none" w:sz="0" w:space="0" w:color="auto"/>
      </w:divBdr>
    </w:div>
    <w:div w:id="630289931">
      <w:bodyDiv w:val="1"/>
      <w:marLeft w:val="0"/>
      <w:marRight w:val="0"/>
      <w:marTop w:val="0"/>
      <w:marBottom w:val="0"/>
      <w:divBdr>
        <w:top w:val="none" w:sz="0" w:space="0" w:color="auto"/>
        <w:left w:val="none" w:sz="0" w:space="0" w:color="auto"/>
        <w:bottom w:val="none" w:sz="0" w:space="0" w:color="auto"/>
        <w:right w:val="none" w:sz="0" w:space="0" w:color="auto"/>
      </w:divBdr>
    </w:div>
    <w:div w:id="761416065">
      <w:bodyDiv w:val="1"/>
      <w:marLeft w:val="0"/>
      <w:marRight w:val="0"/>
      <w:marTop w:val="0"/>
      <w:marBottom w:val="0"/>
      <w:divBdr>
        <w:top w:val="none" w:sz="0" w:space="0" w:color="auto"/>
        <w:left w:val="none" w:sz="0" w:space="0" w:color="auto"/>
        <w:bottom w:val="none" w:sz="0" w:space="0" w:color="auto"/>
        <w:right w:val="none" w:sz="0" w:space="0" w:color="auto"/>
      </w:divBdr>
    </w:div>
    <w:div w:id="780536160">
      <w:bodyDiv w:val="1"/>
      <w:marLeft w:val="0"/>
      <w:marRight w:val="0"/>
      <w:marTop w:val="0"/>
      <w:marBottom w:val="0"/>
      <w:divBdr>
        <w:top w:val="none" w:sz="0" w:space="0" w:color="auto"/>
        <w:left w:val="none" w:sz="0" w:space="0" w:color="auto"/>
        <w:bottom w:val="none" w:sz="0" w:space="0" w:color="auto"/>
        <w:right w:val="none" w:sz="0" w:space="0" w:color="auto"/>
      </w:divBdr>
    </w:div>
    <w:div w:id="795685128">
      <w:bodyDiv w:val="1"/>
      <w:marLeft w:val="0"/>
      <w:marRight w:val="0"/>
      <w:marTop w:val="0"/>
      <w:marBottom w:val="0"/>
      <w:divBdr>
        <w:top w:val="none" w:sz="0" w:space="0" w:color="auto"/>
        <w:left w:val="none" w:sz="0" w:space="0" w:color="auto"/>
        <w:bottom w:val="none" w:sz="0" w:space="0" w:color="auto"/>
        <w:right w:val="none" w:sz="0" w:space="0" w:color="auto"/>
      </w:divBdr>
    </w:div>
    <w:div w:id="818302725">
      <w:bodyDiv w:val="1"/>
      <w:marLeft w:val="0"/>
      <w:marRight w:val="0"/>
      <w:marTop w:val="0"/>
      <w:marBottom w:val="0"/>
      <w:divBdr>
        <w:top w:val="none" w:sz="0" w:space="0" w:color="auto"/>
        <w:left w:val="none" w:sz="0" w:space="0" w:color="auto"/>
        <w:bottom w:val="none" w:sz="0" w:space="0" w:color="auto"/>
        <w:right w:val="none" w:sz="0" w:space="0" w:color="auto"/>
      </w:divBdr>
    </w:div>
    <w:div w:id="953485225">
      <w:bodyDiv w:val="1"/>
      <w:marLeft w:val="0"/>
      <w:marRight w:val="0"/>
      <w:marTop w:val="0"/>
      <w:marBottom w:val="0"/>
      <w:divBdr>
        <w:top w:val="none" w:sz="0" w:space="0" w:color="auto"/>
        <w:left w:val="none" w:sz="0" w:space="0" w:color="auto"/>
        <w:bottom w:val="none" w:sz="0" w:space="0" w:color="auto"/>
        <w:right w:val="none" w:sz="0" w:space="0" w:color="auto"/>
      </w:divBdr>
    </w:div>
    <w:div w:id="990212789">
      <w:bodyDiv w:val="1"/>
      <w:marLeft w:val="0"/>
      <w:marRight w:val="0"/>
      <w:marTop w:val="0"/>
      <w:marBottom w:val="0"/>
      <w:divBdr>
        <w:top w:val="none" w:sz="0" w:space="0" w:color="auto"/>
        <w:left w:val="none" w:sz="0" w:space="0" w:color="auto"/>
        <w:bottom w:val="none" w:sz="0" w:space="0" w:color="auto"/>
        <w:right w:val="none" w:sz="0" w:space="0" w:color="auto"/>
      </w:divBdr>
    </w:div>
    <w:div w:id="997999809">
      <w:bodyDiv w:val="1"/>
      <w:marLeft w:val="0"/>
      <w:marRight w:val="0"/>
      <w:marTop w:val="0"/>
      <w:marBottom w:val="0"/>
      <w:divBdr>
        <w:top w:val="none" w:sz="0" w:space="0" w:color="auto"/>
        <w:left w:val="none" w:sz="0" w:space="0" w:color="auto"/>
        <w:bottom w:val="none" w:sz="0" w:space="0" w:color="auto"/>
        <w:right w:val="none" w:sz="0" w:space="0" w:color="auto"/>
      </w:divBdr>
      <w:divsChild>
        <w:div w:id="1894727683">
          <w:marLeft w:val="0"/>
          <w:marRight w:val="0"/>
          <w:marTop w:val="0"/>
          <w:marBottom w:val="0"/>
          <w:divBdr>
            <w:top w:val="none" w:sz="0" w:space="0" w:color="auto"/>
            <w:left w:val="none" w:sz="0" w:space="0" w:color="auto"/>
            <w:bottom w:val="none" w:sz="0" w:space="0" w:color="auto"/>
            <w:right w:val="none" w:sz="0" w:space="0" w:color="auto"/>
          </w:divBdr>
        </w:div>
        <w:div w:id="1003631224">
          <w:marLeft w:val="0"/>
          <w:marRight w:val="0"/>
          <w:marTop w:val="0"/>
          <w:marBottom w:val="0"/>
          <w:divBdr>
            <w:top w:val="none" w:sz="0" w:space="0" w:color="auto"/>
            <w:left w:val="none" w:sz="0" w:space="0" w:color="auto"/>
            <w:bottom w:val="none" w:sz="0" w:space="0" w:color="auto"/>
            <w:right w:val="none" w:sz="0" w:space="0" w:color="auto"/>
          </w:divBdr>
        </w:div>
      </w:divsChild>
    </w:div>
    <w:div w:id="1059675163">
      <w:bodyDiv w:val="1"/>
      <w:marLeft w:val="0"/>
      <w:marRight w:val="0"/>
      <w:marTop w:val="0"/>
      <w:marBottom w:val="0"/>
      <w:divBdr>
        <w:top w:val="none" w:sz="0" w:space="0" w:color="auto"/>
        <w:left w:val="none" w:sz="0" w:space="0" w:color="auto"/>
        <w:bottom w:val="none" w:sz="0" w:space="0" w:color="auto"/>
        <w:right w:val="none" w:sz="0" w:space="0" w:color="auto"/>
      </w:divBdr>
    </w:div>
    <w:div w:id="1063409058">
      <w:bodyDiv w:val="1"/>
      <w:marLeft w:val="0"/>
      <w:marRight w:val="0"/>
      <w:marTop w:val="0"/>
      <w:marBottom w:val="0"/>
      <w:divBdr>
        <w:top w:val="none" w:sz="0" w:space="0" w:color="auto"/>
        <w:left w:val="none" w:sz="0" w:space="0" w:color="auto"/>
        <w:bottom w:val="none" w:sz="0" w:space="0" w:color="auto"/>
        <w:right w:val="none" w:sz="0" w:space="0" w:color="auto"/>
      </w:divBdr>
    </w:div>
    <w:div w:id="1093355692">
      <w:bodyDiv w:val="1"/>
      <w:marLeft w:val="0"/>
      <w:marRight w:val="0"/>
      <w:marTop w:val="0"/>
      <w:marBottom w:val="0"/>
      <w:divBdr>
        <w:top w:val="none" w:sz="0" w:space="0" w:color="auto"/>
        <w:left w:val="none" w:sz="0" w:space="0" w:color="auto"/>
        <w:bottom w:val="none" w:sz="0" w:space="0" w:color="auto"/>
        <w:right w:val="none" w:sz="0" w:space="0" w:color="auto"/>
      </w:divBdr>
      <w:divsChild>
        <w:div w:id="1902255985">
          <w:marLeft w:val="0"/>
          <w:marRight w:val="0"/>
          <w:marTop w:val="0"/>
          <w:marBottom w:val="0"/>
          <w:divBdr>
            <w:top w:val="none" w:sz="0" w:space="0" w:color="auto"/>
            <w:left w:val="none" w:sz="0" w:space="0" w:color="auto"/>
            <w:bottom w:val="none" w:sz="0" w:space="0" w:color="auto"/>
            <w:right w:val="none" w:sz="0" w:space="0" w:color="auto"/>
          </w:divBdr>
          <w:divsChild>
            <w:div w:id="4792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5209">
      <w:bodyDiv w:val="1"/>
      <w:marLeft w:val="0"/>
      <w:marRight w:val="0"/>
      <w:marTop w:val="0"/>
      <w:marBottom w:val="0"/>
      <w:divBdr>
        <w:top w:val="none" w:sz="0" w:space="0" w:color="auto"/>
        <w:left w:val="none" w:sz="0" w:space="0" w:color="auto"/>
        <w:bottom w:val="none" w:sz="0" w:space="0" w:color="auto"/>
        <w:right w:val="none" w:sz="0" w:space="0" w:color="auto"/>
      </w:divBdr>
    </w:div>
    <w:div w:id="1216745931">
      <w:bodyDiv w:val="1"/>
      <w:marLeft w:val="0"/>
      <w:marRight w:val="0"/>
      <w:marTop w:val="0"/>
      <w:marBottom w:val="0"/>
      <w:divBdr>
        <w:top w:val="none" w:sz="0" w:space="0" w:color="auto"/>
        <w:left w:val="none" w:sz="0" w:space="0" w:color="auto"/>
        <w:bottom w:val="none" w:sz="0" w:space="0" w:color="auto"/>
        <w:right w:val="none" w:sz="0" w:space="0" w:color="auto"/>
      </w:divBdr>
    </w:div>
    <w:div w:id="1294486838">
      <w:bodyDiv w:val="1"/>
      <w:marLeft w:val="0"/>
      <w:marRight w:val="0"/>
      <w:marTop w:val="0"/>
      <w:marBottom w:val="0"/>
      <w:divBdr>
        <w:top w:val="none" w:sz="0" w:space="0" w:color="auto"/>
        <w:left w:val="none" w:sz="0" w:space="0" w:color="auto"/>
        <w:bottom w:val="none" w:sz="0" w:space="0" w:color="auto"/>
        <w:right w:val="none" w:sz="0" w:space="0" w:color="auto"/>
      </w:divBdr>
    </w:div>
    <w:div w:id="1343632438">
      <w:bodyDiv w:val="1"/>
      <w:marLeft w:val="0"/>
      <w:marRight w:val="0"/>
      <w:marTop w:val="0"/>
      <w:marBottom w:val="0"/>
      <w:divBdr>
        <w:top w:val="none" w:sz="0" w:space="0" w:color="auto"/>
        <w:left w:val="none" w:sz="0" w:space="0" w:color="auto"/>
        <w:bottom w:val="none" w:sz="0" w:space="0" w:color="auto"/>
        <w:right w:val="none" w:sz="0" w:space="0" w:color="auto"/>
      </w:divBdr>
    </w:div>
    <w:div w:id="1356080714">
      <w:bodyDiv w:val="1"/>
      <w:marLeft w:val="0"/>
      <w:marRight w:val="0"/>
      <w:marTop w:val="0"/>
      <w:marBottom w:val="0"/>
      <w:divBdr>
        <w:top w:val="none" w:sz="0" w:space="0" w:color="auto"/>
        <w:left w:val="none" w:sz="0" w:space="0" w:color="auto"/>
        <w:bottom w:val="none" w:sz="0" w:space="0" w:color="auto"/>
        <w:right w:val="none" w:sz="0" w:space="0" w:color="auto"/>
      </w:divBdr>
    </w:div>
    <w:div w:id="1537964254">
      <w:bodyDiv w:val="1"/>
      <w:marLeft w:val="0"/>
      <w:marRight w:val="0"/>
      <w:marTop w:val="0"/>
      <w:marBottom w:val="0"/>
      <w:divBdr>
        <w:top w:val="none" w:sz="0" w:space="0" w:color="auto"/>
        <w:left w:val="none" w:sz="0" w:space="0" w:color="auto"/>
        <w:bottom w:val="none" w:sz="0" w:space="0" w:color="auto"/>
        <w:right w:val="none" w:sz="0" w:space="0" w:color="auto"/>
      </w:divBdr>
    </w:div>
    <w:div w:id="1673485408">
      <w:bodyDiv w:val="1"/>
      <w:marLeft w:val="0"/>
      <w:marRight w:val="0"/>
      <w:marTop w:val="0"/>
      <w:marBottom w:val="0"/>
      <w:divBdr>
        <w:top w:val="none" w:sz="0" w:space="0" w:color="auto"/>
        <w:left w:val="none" w:sz="0" w:space="0" w:color="auto"/>
        <w:bottom w:val="none" w:sz="0" w:space="0" w:color="auto"/>
        <w:right w:val="none" w:sz="0" w:space="0" w:color="auto"/>
      </w:divBdr>
    </w:div>
    <w:div w:id="1747680173">
      <w:bodyDiv w:val="1"/>
      <w:marLeft w:val="0"/>
      <w:marRight w:val="0"/>
      <w:marTop w:val="0"/>
      <w:marBottom w:val="0"/>
      <w:divBdr>
        <w:top w:val="none" w:sz="0" w:space="0" w:color="auto"/>
        <w:left w:val="none" w:sz="0" w:space="0" w:color="auto"/>
        <w:bottom w:val="none" w:sz="0" w:space="0" w:color="auto"/>
        <w:right w:val="none" w:sz="0" w:space="0" w:color="auto"/>
      </w:divBdr>
    </w:div>
    <w:div w:id="1793160711">
      <w:bodyDiv w:val="1"/>
      <w:marLeft w:val="0"/>
      <w:marRight w:val="0"/>
      <w:marTop w:val="0"/>
      <w:marBottom w:val="0"/>
      <w:divBdr>
        <w:top w:val="none" w:sz="0" w:space="0" w:color="auto"/>
        <w:left w:val="none" w:sz="0" w:space="0" w:color="auto"/>
        <w:bottom w:val="none" w:sz="0" w:space="0" w:color="auto"/>
        <w:right w:val="none" w:sz="0" w:space="0" w:color="auto"/>
      </w:divBdr>
    </w:div>
    <w:div w:id="1834560554">
      <w:bodyDiv w:val="1"/>
      <w:marLeft w:val="0"/>
      <w:marRight w:val="0"/>
      <w:marTop w:val="0"/>
      <w:marBottom w:val="0"/>
      <w:divBdr>
        <w:top w:val="none" w:sz="0" w:space="0" w:color="auto"/>
        <w:left w:val="none" w:sz="0" w:space="0" w:color="auto"/>
        <w:bottom w:val="none" w:sz="0" w:space="0" w:color="auto"/>
        <w:right w:val="none" w:sz="0" w:space="0" w:color="auto"/>
      </w:divBdr>
    </w:div>
    <w:div w:id="1838570748">
      <w:bodyDiv w:val="1"/>
      <w:marLeft w:val="0"/>
      <w:marRight w:val="0"/>
      <w:marTop w:val="0"/>
      <w:marBottom w:val="0"/>
      <w:divBdr>
        <w:top w:val="none" w:sz="0" w:space="0" w:color="auto"/>
        <w:left w:val="none" w:sz="0" w:space="0" w:color="auto"/>
        <w:bottom w:val="none" w:sz="0" w:space="0" w:color="auto"/>
        <w:right w:val="none" w:sz="0" w:space="0" w:color="auto"/>
      </w:divBdr>
    </w:div>
    <w:div w:id="1913196161">
      <w:bodyDiv w:val="1"/>
      <w:marLeft w:val="0"/>
      <w:marRight w:val="0"/>
      <w:marTop w:val="0"/>
      <w:marBottom w:val="0"/>
      <w:divBdr>
        <w:top w:val="none" w:sz="0" w:space="0" w:color="auto"/>
        <w:left w:val="none" w:sz="0" w:space="0" w:color="auto"/>
        <w:bottom w:val="none" w:sz="0" w:space="0" w:color="auto"/>
        <w:right w:val="none" w:sz="0" w:space="0" w:color="auto"/>
      </w:divBdr>
    </w:div>
    <w:div w:id="1969042490">
      <w:bodyDiv w:val="1"/>
      <w:marLeft w:val="0"/>
      <w:marRight w:val="0"/>
      <w:marTop w:val="0"/>
      <w:marBottom w:val="0"/>
      <w:divBdr>
        <w:top w:val="none" w:sz="0" w:space="0" w:color="auto"/>
        <w:left w:val="none" w:sz="0" w:space="0" w:color="auto"/>
        <w:bottom w:val="none" w:sz="0" w:space="0" w:color="auto"/>
        <w:right w:val="none" w:sz="0" w:space="0" w:color="auto"/>
      </w:divBdr>
    </w:div>
    <w:div w:id="1977636651">
      <w:bodyDiv w:val="1"/>
      <w:marLeft w:val="0"/>
      <w:marRight w:val="0"/>
      <w:marTop w:val="0"/>
      <w:marBottom w:val="0"/>
      <w:divBdr>
        <w:top w:val="none" w:sz="0" w:space="0" w:color="auto"/>
        <w:left w:val="none" w:sz="0" w:space="0" w:color="auto"/>
        <w:bottom w:val="none" w:sz="0" w:space="0" w:color="auto"/>
        <w:right w:val="none" w:sz="0" w:space="0" w:color="auto"/>
      </w:divBdr>
    </w:div>
    <w:div w:id="2032339462">
      <w:bodyDiv w:val="1"/>
      <w:marLeft w:val="0"/>
      <w:marRight w:val="0"/>
      <w:marTop w:val="0"/>
      <w:marBottom w:val="0"/>
      <w:divBdr>
        <w:top w:val="none" w:sz="0" w:space="0" w:color="auto"/>
        <w:left w:val="none" w:sz="0" w:space="0" w:color="auto"/>
        <w:bottom w:val="none" w:sz="0" w:space="0" w:color="auto"/>
        <w:right w:val="none" w:sz="0" w:space="0" w:color="auto"/>
      </w:divBdr>
    </w:div>
    <w:div w:id="2110813401">
      <w:bodyDiv w:val="1"/>
      <w:marLeft w:val="0"/>
      <w:marRight w:val="0"/>
      <w:marTop w:val="0"/>
      <w:marBottom w:val="0"/>
      <w:divBdr>
        <w:top w:val="none" w:sz="0" w:space="0" w:color="auto"/>
        <w:left w:val="none" w:sz="0" w:space="0" w:color="auto"/>
        <w:bottom w:val="none" w:sz="0" w:space="0" w:color="auto"/>
        <w:right w:val="none" w:sz="0" w:space="0" w:color="auto"/>
      </w:divBdr>
      <w:divsChild>
        <w:div w:id="400175177">
          <w:marLeft w:val="0"/>
          <w:marRight w:val="0"/>
          <w:marTop w:val="0"/>
          <w:marBottom w:val="0"/>
          <w:divBdr>
            <w:top w:val="none" w:sz="0" w:space="0" w:color="auto"/>
            <w:left w:val="none" w:sz="0" w:space="0" w:color="auto"/>
            <w:bottom w:val="none" w:sz="0" w:space="0" w:color="auto"/>
            <w:right w:val="none" w:sz="0" w:space="0" w:color="auto"/>
          </w:divBdr>
        </w:div>
      </w:divsChild>
    </w:div>
    <w:div w:id="21125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sufs.2024.1482093" TargetMode="External"/><Relationship Id="rId13" Type="http://schemas.openxmlformats.org/officeDocument/2006/relationships/hyperlink" Target="https://doi.org/10.1007/s00122-022-04131-7" TargetMode="External"/><Relationship Id="rId18" Type="http://schemas.openxmlformats.org/officeDocument/2006/relationships/hyperlink" Target="https://doi.org/10.1038/nature0101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plants13030429" TargetMode="External"/><Relationship Id="rId7" Type="http://schemas.openxmlformats.org/officeDocument/2006/relationships/hyperlink" Target="https://doi.org/10.3389/fmicb.2021.628379" TargetMode="External"/><Relationship Id="rId12" Type="http://schemas.openxmlformats.org/officeDocument/2006/relationships/hyperlink" Target="https://doi.org/10.1016/j.fcr.2009.08.003" TargetMode="External"/><Relationship Id="rId17" Type="http://schemas.openxmlformats.org/officeDocument/2006/relationships/hyperlink" Target="https://doi.org/10.1073/pnas.111643710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978-1-4612-2930-8" TargetMode="External"/><Relationship Id="rId20" Type="http://schemas.openxmlformats.org/officeDocument/2006/relationships/hyperlink" Target="https://doi.org/10.20546/ijcmas.2019.801.17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eai/2025/v47i9373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89/fagro.2022.100477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7/S000711451200079X" TargetMode="External"/><Relationship Id="rId19" Type="http://schemas.openxmlformats.org/officeDocument/2006/relationships/hyperlink" Target="https://doi.org/10.53550/jfl.v38.i2.276" TargetMode="External"/><Relationship Id="rId4" Type="http://schemas.openxmlformats.org/officeDocument/2006/relationships/webSettings" Target="webSettings.xml"/><Relationship Id="rId9" Type="http://schemas.openxmlformats.org/officeDocument/2006/relationships/hyperlink" Target="https://www.google.com/search?q=https://doi.org/10.18805/lr-4914" TargetMode="External"/><Relationship Id="rId14" Type="http://schemas.openxmlformats.org/officeDocument/2006/relationships/hyperlink" Target="https://doi.org/10.1111/1751-7915.1384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3742</Words>
  <Characters>21332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9</cp:revision>
  <dcterms:created xsi:type="dcterms:W3CDTF">2026-01-22T15:54:00Z</dcterms:created>
  <dcterms:modified xsi:type="dcterms:W3CDTF">2026-01-27T13:28:00Z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abd41ae7-515f-49a6-8a60-41c91d2618a8</vt:lpwstr>
  </property>
</Properties>
</file>