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45F5B" w14:textId="77777777" w:rsidR="00A70474" w:rsidRDefault="00A70474" w:rsidP="007A2290">
      <w:pPr>
        <w:spacing w:before="100" w:beforeAutospacing="1" w:after="100" w:afterAutospacing="1" w:line="360" w:lineRule="auto"/>
        <w:rPr>
          <w:rFonts w:ascii="Calibri" w:eastAsia="Times New Roman" w:hAnsi="Calibri" w:cs="Calibri"/>
          <w:color w:val="000000"/>
          <w:lang w:eastAsia="zh-CN"/>
        </w:rPr>
      </w:pPr>
    </w:p>
    <w:p w14:paraId="590F1C97" w14:textId="0FE6A32C" w:rsidR="000608BF" w:rsidRPr="00AF0684" w:rsidRDefault="000608BF" w:rsidP="00AF0684">
      <w:pPr>
        <w:spacing w:before="100" w:beforeAutospacing="1" w:after="100" w:afterAutospacing="1" w:line="360" w:lineRule="auto"/>
        <w:jc w:val="center"/>
        <w:rPr>
          <w:rFonts w:ascii="Times New Roman" w:eastAsia="Times New Roman" w:hAnsi="Times New Roman" w:cs="Times New Roman"/>
          <w:b/>
          <w:bCs/>
          <w:sz w:val="20"/>
          <w:szCs w:val="20"/>
          <w:lang w:eastAsia="en-IN"/>
        </w:rPr>
      </w:pPr>
      <w:r w:rsidRPr="00AF0684">
        <w:rPr>
          <w:rFonts w:ascii="Times New Roman" w:eastAsia="Times New Roman" w:hAnsi="Times New Roman" w:cs="Times New Roman"/>
          <w:b/>
          <w:bCs/>
          <w:sz w:val="20"/>
          <w:szCs w:val="20"/>
          <w:lang w:eastAsia="en-IN"/>
        </w:rPr>
        <w:t>Effects of Age and Gender on Fasting Blood Glucose Levels in Clinically Ill Dogs</w:t>
      </w:r>
    </w:p>
    <w:p w14:paraId="77F34CE0" w14:textId="77777777" w:rsidR="008F31ED" w:rsidRDefault="008F31ED" w:rsidP="00011688">
      <w:pPr>
        <w:spacing w:before="100" w:beforeAutospacing="1" w:after="100" w:afterAutospacing="1" w:line="360" w:lineRule="auto"/>
        <w:jc w:val="both"/>
        <w:rPr>
          <w:rFonts w:ascii="Times New Roman" w:eastAsia="Times New Roman" w:hAnsi="Times New Roman" w:cs="Times New Roman"/>
          <w:b/>
          <w:bCs/>
          <w:sz w:val="20"/>
          <w:szCs w:val="20"/>
          <w:lang w:eastAsia="en-IN"/>
        </w:rPr>
      </w:pPr>
    </w:p>
    <w:p w14:paraId="660EB6BD" w14:textId="3F2134CC" w:rsidR="00AF0684" w:rsidRPr="007A2290" w:rsidRDefault="0016336F" w:rsidP="00011688">
      <w:pPr>
        <w:spacing w:before="100" w:beforeAutospacing="1" w:after="100" w:afterAutospacing="1" w:line="360" w:lineRule="auto"/>
        <w:jc w:val="both"/>
        <w:rPr>
          <w:rFonts w:ascii="Times New Roman" w:eastAsia="Times New Roman" w:hAnsi="Times New Roman" w:cs="Times New Roman"/>
          <w:sz w:val="20"/>
          <w:szCs w:val="20"/>
          <w:lang w:eastAsia="en-IN"/>
        </w:rPr>
      </w:pPr>
      <w:r w:rsidRPr="00AF0684">
        <w:rPr>
          <w:rFonts w:ascii="Times New Roman" w:eastAsia="Times New Roman" w:hAnsi="Times New Roman" w:cs="Times New Roman"/>
          <w:b/>
          <w:bCs/>
          <w:sz w:val="20"/>
          <w:szCs w:val="20"/>
          <w:lang w:eastAsia="en-IN"/>
        </w:rPr>
        <w:t>ABSTRACT</w:t>
      </w:r>
    </w:p>
    <w:p w14:paraId="21E56458" w14:textId="37196251" w:rsidR="00842866" w:rsidRDefault="00371392" w:rsidP="00842866">
      <w:pPr>
        <w:spacing w:before="100" w:beforeAutospacing="1" w:after="100" w:afterAutospacing="1" w:line="360" w:lineRule="auto"/>
        <w:jc w:val="both"/>
        <w:rPr>
          <w:rFonts w:ascii="Times New Roman" w:hAnsi="Times New Roman" w:cs="Times New Roman"/>
          <w:sz w:val="20"/>
          <w:szCs w:val="20"/>
        </w:rPr>
      </w:pPr>
      <w:r w:rsidRPr="00842866">
        <w:rPr>
          <w:rFonts w:ascii="Times New Roman" w:hAnsi="Times New Roman" w:cs="Times New Roman"/>
          <w:sz w:val="20"/>
          <w:szCs w:val="20"/>
        </w:rPr>
        <w:t xml:space="preserve">The present study was </w:t>
      </w:r>
      <w:r w:rsidRPr="00371392">
        <w:rPr>
          <w:rFonts w:ascii="Times New Roman" w:hAnsi="Times New Roman" w:cs="Times New Roman"/>
          <w:color w:val="000000" w:themeColor="text1"/>
          <w:sz w:val="24"/>
          <w:szCs w:val="24"/>
        </w:rPr>
        <w:t>conducted during</w:t>
      </w:r>
      <w:r w:rsidRPr="00371392">
        <w:rPr>
          <w:rFonts w:ascii="Times New Roman" w:hAnsi="Times New Roman" w:cs="Times New Roman"/>
          <w:color w:val="000000" w:themeColor="text1"/>
          <w:sz w:val="20"/>
          <w:szCs w:val="20"/>
        </w:rPr>
        <w:t xml:space="preserve"> January </w:t>
      </w:r>
      <w:r w:rsidRPr="00842866">
        <w:rPr>
          <w:rFonts w:ascii="Times New Roman" w:hAnsi="Times New Roman" w:cs="Times New Roman"/>
          <w:sz w:val="20"/>
          <w:szCs w:val="20"/>
        </w:rPr>
        <w:t>2024 and March 2024</w:t>
      </w:r>
      <w:r>
        <w:rPr>
          <w:rFonts w:ascii="Times New Roman" w:hAnsi="Times New Roman" w:cs="Times New Roman"/>
          <w:sz w:val="20"/>
          <w:szCs w:val="20"/>
        </w:rPr>
        <w:t xml:space="preserve"> </w:t>
      </w:r>
      <w:r w:rsidRPr="00842866">
        <w:rPr>
          <w:rFonts w:ascii="Times New Roman" w:hAnsi="Times New Roman" w:cs="Times New Roman"/>
          <w:sz w:val="20"/>
          <w:szCs w:val="20"/>
        </w:rPr>
        <w:t>on clinically ill dogs (</w:t>
      </w:r>
      <w:proofErr w:type="spellStart"/>
      <w:r w:rsidRPr="00011688">
        <w:rPr>
          <w:rFonts w:ascii="Times New Roman" w:hAnsi="Times New Roman" w:cs="Times New Roman"/>
          <w:i/>
          <w:iCs/>
          <w:sz w:val="20"/>
          <w:szCs w:val="20"/>
        </w:rPr>
        <w:t>Canis</w:t>
      </w:r>
      <w:proofErr w:type="spellEnd"/>
      <w:r w:rsidRPr="00011688">
        <w:rPr>
          <w:rFonts w:ascii="Times New Roman" w:hAnsi="Times New Roman" w:cs="Times New Roman"/>
          <w:i/>
          <w:iCs/>
          <w:sz w:val="20"/>
          <w:szCs w:val="20"/>
        </w:rPr>
        <w:t xml:space="preserve"> </w:t>
      </w:r>
      <w:proofErr w:type="spellStart"/>
      <w:r w:rsidRPr="00011688">
        <w:rPr>
          <w:rFonts w:ascii="Times New Roman" w:hAnsi="Times New Roman" w:cs="Times New Roman"/>
          <w:i/>
          <w:iCs/>
          <w:sz w:val="20"/>
          <w:szCs w:val="20"/>
        </w:rPr>
        <w:t>familiaris</w:t>
      </w:r>
      <w:proofErr w:type="spellEnd"/>
      <w:r w:rsidRPr="00842866">
        <w:rPr>
          <w:rFonts w:ascii="Times New Roman" w:hAnsi="Times New Roman" w:cs="Times New Roman"/>
          <w:sz w:val="20"/>
          <w:szCs w:val="20"/>
        </w:rPr>
        <w:t>) presented to the Outpatient Ward of the Veterinary Clinical Complex, College of Veterinary Science, GADVAS</w:t>
      </w:r>
      <w:r>
        <w:rPr>
          <w:rFonts w:ascii="Times New Roman" w:hAnsi="Times New Roman" w:cs="Times New Roman"/>
          <w:sz w:val="20"/>
          <w:szCs w:val="20"/>
        </w:rPr>
        <w:t>U, Rampura Phul, Punjab, India,</w:t>
      </w:r>
      <w:r w:rsidRPr="00842866">
        <w:rPr>
          <w:rFonts w:ascii="Times New Roman" w:hAnsi="Times New Roman" w:cs="Times New Roman"/>
          <w:sz w:val="20"/>
          <w:szCs w:val="20"/>
        </w:rPr>
        <w:t xml:space="preserve"> to evaluate the influence of age and gender on fasting blood glucose levels</w:t>
      </w:r>
      <w:r>
        <w:rPr>
          <w:rFonts w:ascii="Times New Roman" w:hAnsi="Times New Roman" w:cs="Times New Roman"/>
          <w:sz w:val="20"/>
          <w:szCs w:val="20"/>
        </w:rPr>
        <w:t xml:space="preserve">. </w:t>
      </w:r>
      <w:r w:rsidR="00842866" w:rsidRPr="00842866">
        <w:rPr>
          <w:rFonts w:ascii="Times New Roman" w:hAnsi="Times New Roman" w:cs="Times New Roman"/>
          <w:sz w:val="20"/>
          <w:szCs w:val="20"/>
        </w:rPr>
        <w:t>Blood glucose concentration was considered a crucial indicator of metabolic and endocrine function in dogs, particu</w:t>
      </w:r>
      <w:r>
        <w:rPr>
          <w:rFonts w:ascii="Times New Roman" w:hAnsi="Times New Roman" w:cs="Times New Roman"/>
          <w:sz w:val="20"/>
          <w:szCs w:val="20"/>
        </w:rPr>
        <w:t>larly under diseased conditions</w:t>
      </w:r>
      <w:r w:rsidR="00842866" w:rsidRPr="00842866">
        <w:rPr>
          <w:rFonts w:ascii="Times New Roman" w:hAnsi="Times New Roman" w:cs="Times New Roman"/>
          <w:sz w:val="20"/>
          <w:szCs w:val="20"/>
        </w:rPr>
        <w:t>. A total of 84 diseased dogs of different breeds were included in the study. The animals were categorized into three age groups, namely puppies (&lt;1 year), adults (1–5 years), and geriatric dogs (&gt;5 years), and were further stratified based on gender. Blood samples were collected following a 12-hour fasting period to minimize postprandial variation in glucose concentration. Fasting blood glucose levels were estimated using a Dry Chemistry Analyzer (Fujifilm NX 600 V, Veterinary Model) following standard analytical procedures.</w:t>
      </w:r>
      <w:r w:rsidR="00842866">
        <w:rPr>
          <w:rFonts w:ascii="Times New Roman" w:hAnsi="Times New Roman" w:cs="Times New Roman"/>
          <w:sz w:val="20"/>
          <w:szCs w:val="20"/>
        </w:rPr>
        <w:t xml:space="preserve"> </w:t>
      </w:r>
      <w:r w:rsidR="00842866" w:rsidRPr="00842866">
        <w:rPr>
          <w:rFonts w:ascii="Times New Roman" w:hAnsi="Times New Roman" w:cs="Times New Roman"/>
          <w:sz w:val="20"/>
          <w:szCs w:val="20"/>
        </w:rPr>
        <w:t>Statistical analysis revealed a significant variation in blood glucose levels among different age groups (p = 0.00015). Puppies exhibited the highest mean fasting glucose concentration (105.29 ± 16.51 mg</w:t>
      </w:r>
      <w:r w:rsidR="00167FAD">
        <w:rPr>
          <w:rFonts w:ascii="Times New Roman" w:hAnsi="Times New Roman" w:cs="Times New Roman"/>
          <w:sz w:val="20"/>
          <w:szCs w:val="20"/>
        </w:rPr>
        <w:t>/</w:t>
      </w:r>
      <w:r w:rsidR="00842866" w:rsidRPr="00842866">
        <w:rPr>
          <w:rFonts w:ascii="Times New Roman" w:hAnsi="Times New Roman" w:cs="Times New Roman"/>
          <w:sz w:val="20"/>
          <w:szCs w:val="20"/>
        </w:rPr>
        <w:t xml:space="preserve"> dL), followed by geriatric dogs (98.29 ± 16.14 mg</w:t>
      </w:r>
      <w:r w:rsidR="00167FAD">
        <w:rPr>
          <w:rFonts w:ascii="Times New Roman" w:hAnsi="Times New Roman" w:cs="Times New Roman"/>
          <w:sz w:val="20"/>
          <w:szCs w:val="20"/>
        </w:rPr>
        <w:t>/</w:t>
      </w:r>
      <w:r w:rsidR="00842866" w:rsidRPr="00842866">
        <w:rPr>
          <w:rFonts w:ascii="Times New Roman" w:hAnsi="Times New Roman" w:cs="Times New Roman"/>
          <w:sz w:val="20"/>
          <w:szCs w:val="20"/>
        </w:rPr>
        <w:t xml:space="preserve"> dL), whereas adult dogs showed comparatively lower values (85.86 ± 17.18 mg </w:t>
      </w:r>
      <w:r w:rsidR="00167FAD">
        <w:rPr>
          <w:rFonts w:ascii="Times New Roman" w:hAnsi="Times New Roman" w:cs="Times New Roman"/>
          <w:sz w:val="20"/>
          <w:szCs w:val="20"/>
        </w:rPr>
        <w:t>/</w:t>
      </w:r>
      <w:r w:rsidR="00842866" w:rsidRPr="00842866">
        <w:rPr>
          <w:rFonts w:ascii="Times New Roman" w:hAnsi="Times New Roman" w:cs="Times New Roman"/>
          <w:sz w:val="20"/>
          <w:szCs w:val="20"/>
        </w:rPr>
        <w:t>dL). Gender-wise comparison also demonstrated a statistically significant difference (p = 0.0396), with female dogs recording higher mean glucose levels (100.20 ± 18.13 mg</w:t>
      </w:r>
      <w:r w:rsidR="00167FAD">
        <w:rPr>
          <w:rFonts w:ascii="Times New Roman" w:hAnsi="Times New Roman" w:cs="Times New Roman"/>
          <w:sz w:val="20"/>
          <w:szCs w:val="20"/>
        </w:rPr>
        <w:t>/</w:t>
      </w:r>
      <w:r w:rsidR="00842866" w:rsidRPr="00842866">
        <w:rPr>
          <w:rFonts w:ascii="Times New Roman" w:hAnsi="Times New Roman" w:cs="Times New Roman"/>
          <w:sz w:val="20"/>
          <w:szCs w:val="20"/>
        </w:rPr>
        <w:t xml:space="preserve"> dL) than male dogs (91.97 ± 17.70 mg</w:t>
      </w:r>
      <w:r w:rsidR="00167FAD">
        <w:rPr>
          <w:rFonts w:ascii="Times New Roman" w:hAnsi="Times New Roman" w:cs="Times New Roman"/>
          <w:sz w:val="20"/>
          <w:szCs w:val="20"/>
        </w:rPr>
        <w:t>/</w:t>
      </w:r>
      <w:r w:rsidR="00842866" w:rsidRPr="00842866">
        <w:rPr>
          <w:rFonts w:ascii="Times New Roman" w:hAnsi="Times New Roman" w:cs="Times New Roman"/>
          <w:sz w:val="20"/>
          <w:szCs w:val="20"/>
        </w:rPr>
        <w:t xml:space="preserve"> dL). The findings of the present study indicated that both age and gender significantly influenced fasting blood glucose concentrations in clinically ill dogs and should be carefully considered during clinical evaluation and interpretation of biochemical findings in canine practice.</w:t>
      </w:r>
    </w:p>
    <w:p w14:paraId="20AA510A" w14:textId="77777777" w:rsidR="00946C52" w:rsidRPr="00AF0684" w:rsidRDefault="00946C52" w:rsidP="007D230E">
      <w:pPr>
        <w:spacing w:before="100" w:beforeAutospacing="1" w:after="100" w:afterAutospacing="1" w:line="360" w:lineRule="auto"/>
        <w:jc w:val="both"/>
        <w:rPr>
          <w:rFonts w:ascii="Times New Roman" w:eastAsia="Times New Roman" w:hAnsi="Times New Roman" w:cs="Times New Roman"/>
          <w:sz w:val="20"/>
          <w:szCs w:val="20"/>
          <w:lang w:eastAsia="en-IN"/>
        </w:rPr>
      </w:pPr>
      <w:r w:rsidRPr="00AF0684">
        <w:rPr>
          <w:rFonts w:ascii="Times New Roman" w:eastAsia="Times New Roman" w:hAnsi="Times New Roman" w:cs="Times New Roman"/>
          <w:b/>
          <w:bCs/>
          <w:sz w:val="20"/>
          <w:szCs w:val="20"/>
          <w:lang w:eastAsia="en-IN"/>
        </w:rPr>
        <w:t>Keywords:</w:t>
      </w:r>
      <w:r w:rsidRPr="00AF0684">
        <w:rPr>
          <w:rFonts w:ascii="Times New Roman" w:eastAsia="Times New Roman" w:hAnsi="Times New Roman" w:cs="Times New Roman"/>
          <w:sz w:val="20"/>
          <w:szCs w:val="20"/>
          <w:lang w:eastAsia="en-IN"/>
        </w:rPr>
        <w:t xml:space="preserve"> Dogs, glucose level, age, gender, metabolism, endocrine function</w:t>
      </w:r>
    </w:p>
    <w:p w14:paraId="4F24B7FA" w14:textId="6E7B0E98" w:rsidR="001B410C" w:rsidRPr="00AF0684" w:rsidRDefault="0016336F" w:rsidP="007D230E">
      <w:pPr>
        <w:pStyle w:val="ListParagraph"/>
        <w:numPr>
          <w:ilvl w:val="0"/>
          <w:numId w:val="9"/>
        </w:numPr>
        <w:spacing w:before="100" w:beforeAutospacing="1" w:after="100" w:afterAutospacing="1" w:line="360" w:lineRule="auto"/>
        <w:rPr>
          <w:rFonts w:ascii="Times New Roman" w:eastAsia="Times New Roman" w:hAnsi="Times New Roman" w:cs="Times New Roman"/>
          <w:sz w:val="20"/>
          <w:szCs w:val="20"/>
          <w:lang w:eastAsia="en-IN"/>
        </w:rPr>
      </w:pPr>
      <w:r w:rsidRPr="00AF0684">
        <w:rPr>
          <w:rFonts w:ascii="Times New Roman" w:eastAsia="Times New Roman" w:hAnsi="Times New Roman" w:cs="Times New Roman"/>
          <w:b/>
          <w:bCs/>
          <w:sz w:val="20"/>
          <w:szCs w:val="20"/>
          <w:lang w:eastAsia="en-IN"/>
        </w:rPr>
        <w:t>INTRODUCTION</w:t>
      </w:r>
    </w:p>
    <w:p w14:paraId="32E1A1B4" w14:textId="1DA736C7" w:rsidR="00FA78EC" w:rsidRDefault="001A05A8" w:rsidP="00FA78EC">
      <w:pPr>
        <w:spacing w:line="360" w:lineRule="auto"/>
        <w:jc w:val="both"/>
        <w:rPr>
          <w:rFonts w:ascii="Times New Roman" w:hAnsi="Times New Roman" w:cs="Times New Roman"/>
          <w:sz w:val="20"/>
          <w:szCs w:val="20"/>
          <w:lang w:eastAsia="zh-CN"/>
        </w:rPr>
      </w:pPr>
      <w:r w:rsidRPr="001A05A8">
        <w:rPr>
          <w:rFonts w:ascii="Times New Roman" w:hAnsi="Times New Roman" w:cs="Times New Roman"/>
          <w:sz w:val="20"/>
          <w:szCs w:val="20"/>
          <w:lang w:eastAsia="zh-CN"/>
        </w:rPr>
        <w:t>Glucose serves as the primary metabolic substrate essential for maintaining homeostatic equilibrium in mammals, including the domestic dog (</w:t>
      </w:r>
      <w:proofErr w:type="spellStart"/>
      <w:r w:rsidRPr="001A05A8">
        <w:rPr>
          <w:rFonts w:ascii="Times New Roman" w:hAnsi="Times New Roman" w:cs="Times New Roman"/>
          <w:i/>
          <w:iCs/>
          <w:sz w:val="20"/>
          <w:szCs w:val="20"/>
          <w:lang w:eastAsia="zh-CN"/>
        </w:rPr>
        <w:t>Canis</w:t>
      </w:r>
      <w:proofErr w:type="spellEnd"/>
      <w:r w:rsidRPr="001A05A8">
        <w:rPr>
          <w:rFonts w:ascii="Times New Roman" w:hAnsi="Times New Roman" w:cs="Times New Roman"/>
          <w:i/>
          <w:iCs/>
          <w:sz w:val="20"/>
          <w:szCs w:val="20"/>
          <w:lang w:eastAsia="zh-CN"/>
        </w:rPr>
        <w:t xml:space="preserve"> lupus </w:t>
      </w:r>
      <w:proofErr w:type="spellStart"/>
      <w:r w:rsidRPr="001A05A8">
        <w:rPr>
          <w:rFonts w:ascii="Times New Roman" w:hAnsi="Times New Roman" w:cs="Times New Roman"/>
          <w:i/>
          <w:iCs/>
          <w:sz w:val="20"/>
          <w:szCs w:val="20"/>
          <w:lang w:eastAsia="zh-CN"/>
        </w:rPr>
        <w:t>familiaris</w:t>
      </w:r>
      <w:proofErr w:type="spellEnd"/>
      <w:r w:rsidRPr="001A05A8">
        <w:rPr>
          <w:rFonts w:ascii="Times New Roman" w:hAnsi="Times New Roman" w:cs="Times New Roman"/>
          <w:sz w:val="20"/>
          <w:szCs w:val="20"/>
          <w:lang w:eastAsia="zh-CN"/>
        </w:rPr>
        <w:t>). Precise regulation of blood glucose concentrations is critical to meet the high metabolic demands of the central nervous system and peripheral tissues, ensuring systemic physiological stability.</w:t>
      </w:r>
      <w:r>
        <w:rPr>
          <w:rFonts w:ascii="Times New Roman" w:hAnsi="Times New Roman" w:cs="Times New Roman"/>
          <w:sz w:val="20"/>
          <w:szCs w:val="20"/>
          <w:lang w:eastAsia="zh-CN"/>
        </w:rPr>
        <w:t xml:space="preserve"> Maintaining </w:t>
      </w:r>
      <w:r w:rsidRPr="001A05A8">
        <w:rPr>
          <w:rFonts w:ascii="Times New Roman" w:hAnsi="Times New Roman" w:cs="Times New Roman"/>
          <w:sz w:val="20"/>
          <w:szCs w:val="20"/>
          <w:lang w:eastAsia="zh-CN"/>
        </w:rPr>
        <w:t>glycaemic homeostasis involves a sophisticated physiological interplay between the pancreas and peripheral tissues. This orchestration is governed by a reciprocal hormonal network, primarily the antagonistic relationship between insulin and glucagon. This axis is further modulated by counter-regulatory signals, including cortisol and catecholamines, to ensure precise metabolic regulation</w:t>
      </w:r>
      <w:r w:rsidR="00D355C7" w:rsidRPr="00011688">
        <w:rPr>
          <w:rFonts w:ascii="Times New Roman" w:hAnsi="Times New Roman" w:cs="Times New Roman"/>
          <w:sz w:val="20"/>
          <w:szCs w:val="20"/>
          <w:lang w:eastAsia="zh-CN"/>
        </w:rPr>
        <w:t xml:space="preserve"> (Feldman and Nelson, 2014; Behrend et al., 2018). These hormones modulate hepatic glucose production and peripheral utilization to meet energy demands during varying states of fasting, post-prandial activity, and acute physiological stress (</w:t>
      </w:r>
      <w:bookmarkStart w:id="0" w:name="_Hlk218772052"/>
      <w:proofErr w:type="spellStart"/>
      <w:r w:rsidR="00E86EA6" w:rsidRPr="007A2290">
        <w:rPr>
          <w:rFonts w:ascii="Times New Roman" w:hAnsi="Times New Roman" w:cs="Times New Roman"/>
          <w:sz w:val="20"/>
          <w:szCs w:val="20"/>
          <w:lang w:eastAsia="zh-CN"/>
        </w:rPr>
        <w:t>Goriya</w:t>
      </w:r>
      <w:proofErr w:type="spellEnd"/>
      <w:r w:rsidR="00E86EA6" w:rsidRPr="007A2290">
        <w:rPr>
          <w:rFonts w:ascii="Times New Roman" w:hAnsi="Times New Roman" w:cs="Times New Roman"/>
          <w:sz w:val="20"/>
          <w:szCs w:val="20"/>
          <w:lang w:eastAsia="zh-CN"/>
        </w:rPr>
        <w:t xml:space="preserve"> et al., 1981; Banton, 2025). </w:t>
      </w:r>
      <w:bookmarkEnd w:id="0"/>
      <w:r w:rsidR="00E86EA6" w:rsidRPr="007A2290">
        <w:rPr>
          <w:rFonts w:ascii="Times New Roman" w:hAnsi="Times New Roman" w:cs="Times New Roman"/>
          <w:sz w:val="20"/>
          <w:szCs w:val="20"/>
          <w:lang w:eastAsia="zh-CN"/>
        </w:rPr>
        <w:t>In</w:t>
      </w:r>
      <w:r w:rsidR="00D355C7" w:rsidRPr="00011688">
        <w:rPr>
          <w:rFonts w:ascii="Times New Roman" w:hAnsi="Times New Roman" w:cs="Times New Roman"/>
          <w:sz w:val="20"/>
          <w:szCs w:val="20"/>
          <w:lang w:eastAsia="zh-CN"/>
        </w:rPr>
        <w:t xml:space="preserve"> clinical veterinary medicine, the measurement of fasting blood glucose is a fundamental diagnostic tool for endocrine and metabolic profiling. However, conventional reference </w:t>
      </w:r>
      <w:r w:rsidR="00D355C7" w:rsidRPr="00011688">
        <w:rPr>
          <w:rFonts w:ascii="Times New Roman" w:hAnsi="Times New Roman" w:cs="Times New Roman"/>
          <w:sz w:val="20"/>
          <w:szCs w:val="20"/>
          <w:lang w:eastAsia="zh-CN"/>
        </w:rPr>
        <w:lastRenderedPageBreak/>
        <w:t>intervals, typically cited between 75 and 120 mg/ dL, are often generalized across the species (</w:t>
      </w:r>
      <w:proofErr w:type="spellStart"/>
      <w:r w:rsidR="00CD6C36" w:rsidRPr="007A2290">
        <w:rPr>
          <w:rFonts w:ascii="Times New Roman" w:hAnsi="Times New Roman" w:cs="Times New Roman"/>
          <w:sz w:val="20"/>
          <w:szCs w:val="20"/>
          <w:lang w:eastAsia="zh-CN"/>
        </w:rPr>
        <w:t>Hrițcu</w:t>
      </w:r>
      <w:proofErr w:type="spellEnd"/>
      <w:r w:rsidR="00CD6C36" w:rsidRPr="007A2290">
        <w:rPr>
          <w:rFonts w:ascii="Times New Roman" w:hAnsi="Times New Roman" w:cs="Times New Roman"/>
          <w:sz w:val="20"/>
          <w:szCs w:val="20"/>
          <w:lang w:eastAsia="zh-CN"/>
        </w:rPr>
        <w:t xml:space="preserve"> et al., 2025</w:t>
      </w:r>
      <w:r w:rsidR="00D355C7" w:rsidRPr="00011688">
        <w:rPr>
          <w:rFonts w:ascii="Times New Roman" w:hAnsi="Times New Roman" w:cs="Times New Roman"/>
          <w:sz w:val="20"/>
          <w:szCs w:val="20"/>
          <w:lang w:eastAsia="zh-CN"/>
        </w:rPr>
        <w:t>). Recent scholarship suggests that these broad ranges may lack the sensitivity required to account for physiological nuances associated with age, breed, and sex (</w:t>
      </w:r>
      <w:r w:rsidR="00CD6C36" w:rsidRPr="007A2290">
        <w:rPr>
          <w:rFonts w:ascii="Times New Roman" w:hAnsi="Times New Roman" w:cs="Times New Roman"/>
          <w:sz w:val="20"/>
          <w:szCs w:val="20"/>
          <w:lang w:eastAsia="zh-CN"/>
        </w:rPr>
        <w:t>Ruple et al., 2022</w:t>
      </w:r>
      <w:r w:rsidR="00D355C7" w:rsidRPr="00011688">
        <w:rPr>
          <w:rFonts w:ascii="Times New Roman" w:hAnsi="Times New Roman" w:cs="Times New Roman"/>
          <w:sz w:val="20"/>
          <w:szCs w:val="20"/>
          <w:lang w:eastAsia="zh-CN"/>
        </w:rPr>
        <w:t xml:space="preserve">; </w:t>
      </w:r>
      <w:r w:rsidR="00CD6C36" w:rsidRPr="007A2290">
        <w:rPr>
          <w:rFonts w:ascii="Times New Roman" w:hAnsi="Times New Roman" w:cs="Times New Roman"/>
          <w:sz w:val="20"/>
          <w:szCs w:val="20"/>
          <w:lang w:eastAsia="zh-CN"/>
        </w:rPr>
        <w:t>Pongrácz and Dobos, 2025</w:t>
      </w:r>
      <w:r w:rsidR="00D355C7" w:rsidRPr="00011688">
        <w:rPr>
          <w:rFonts w:ascii="Times New Roman" w:hAnsi="Times New Roman" w:cs="Times New Roman"/>
          <w:sz w:val="20"/>
          <w:szCs w:val="20"/>
          <w:lang w:eastAsia="zh-CN"/>
        </w:rPr>
        <w:t>). Such diagnostic gaps can lead to the under-recognition of subclinical metabolic shifts, particularly in diseased populations where homeostatic mechanisms are already compromised.</w:t>
      </w:r>
      <w:r w:rsidR="00FA78EC">
        <w:rPr>
          <w:rFonts w:ascii="Times New Roman" w:hAnsi="Times New Roman" w:cs="Times New Roman"/>
          <w:sz w:val="20"/>
          <w:szCs w:val="20"/>
          <w:lang w:eastAsia="zh-CN"/>
        </w:rPr>
        <w:t xml:space="preserve"> </w:t>
      </w:r>
      <w:r w:rsidR="00FA78EC" w:rsidRPr="00FA78EC">
        <w:rPr>
          <w:rFonts w:ascii="Times New Roman" w:hAnsi="Times New Roman" w:cs="Times New Roman"/>
          <w:sz w:val="20"/>
          <w:szCs w:val="20"/>
          <w:lang w:eastAsia="zh-CN"/>
        </w:rPr>
        <w:t>Age is a significant determinant of glycaemic variation in dogs. Paediatric canines exhibit distinct metabolic profiles due to elevated basal energy demands and immature hepatic gluconeogenic pathways (</w:t>
      </w:r>
      <w:r w:rsidR="00FA78EC" w:rsidRPr="007A2290">
        <w:rPr>
          <w:rFonts w:ascii="Times New Roman" w:hAnsi="Times New Roman" w:cs="Times New Roman"/>
          <w:sz w:val="20"/>
          <w:szCs w:val="20"/>
          <w:lang w:eastAsia="zh-CN"/>
        </w:rPr>
        <w:t>Specht et al., 2011</w:t>
      </w:r>
      <w:r w:rsidR="00FA78EC" w:rsidRPr="00FA78EC">
        <w:rPr>
          <w:rFonts w:ascii="Times New Roman" w:hAnsi="Times New Roman" w:cs="Times New Roman"/>
          <w:sz w:val="20"/>
          <w:szCs w:val="20"/>
          <w:lang w:eastAsia="zh-CN"/>
        </w:rPr>
        <w:t>). The developmental immaturity of enzymes such as glucose-6-phosphatase and phosphoenolpyruvate carboxykinase (PEPCK) may contribute to transient fasting hyperglycaemia during early life stages. In contrast, geriatric dogs are predisposed to insulin resistance and hyperglycaemia, often attributed to age-associated sarcopenia, decreased physical activity, chronic low-grade inflammation, and progressive pancreatic β-cell dysfunction (</w:t>
      </w:r>
      <w:r w:rsidR="00FA78EC" w:rsidRPr="007A2290">
        <w:rPr>
          <w:rFonts w:ascii="Times New Roman" w:hAnsi="Times New Roman" w:cs="Times New Roman"/>
          <w:sz w:val="20"/>
          <w:szCs w:val="20"/>
          <w:lang w:eastAsia="zh-CN"/>
        </w:rPr>
        <w:t>De Tata, 2014</w:t>
      </w:r>
      <w:r w:rsidR="00FA78EC" w:rsidRPr="00011688">
        <w:rPr>
          <w:rFonts w:ascii="Times New Roman" w:hAnsi="Times New Roman" w:cs="Times New Roman"/>
          <w:sz w:val="20"/>
          <w:szCs w:val="20"/>
          <w:lang w:eastAsia="zh-CN"/>
        </w:rPr>
        <w:t>;</w:t>
      </w:r>
      <w:r w:rsidR="00FA78EC" w:rsidRPr="007A2290">
        <w:t xml:space="preserve"> </w:t>
      </w:r>
      <w:r w:rsidR="00FA78EC" w:rsidRPr="007A2290">
        <w:rPr>
          <w:rFonts w:ascii="Times New Roman" w:hAnsi="Times New Roman" w:cs="Times New Roman"/>
          <w:sz w:val="20"/>
          <w:szCs w:val="20"/>
          <w:lang w:eastAsia="zh-CN"/>
        </w:rPr>
        <w:t>Pathak et al. 2024</w:t>
      </w:r>
      <w:r w:rsidR="00FA78EC">
        <w:rPr>
          <w:rFonts w:ascii="Times New Roman" w:hAnsi="Times New Roman" w:cs="Times New Roman"/>
          <w:sz w:val="20"/>
          <w:szCs w:val="20"/>
          <w:lang w:eastAsia="zh-CN"/>
        </w:rPr>
        <w:t xml:space="preserve"> and </w:t>
      </w:r>
      <w:proofErr w:type="spellStart"/>
      <w:r w:rsidR="00FA78EC" w:rsidRPr="00FA78EC">
        <w:rPr>
          <w:rFonts w:ascii="Times New Roman" w:hAnsi="Times New Roman" w:cs="Times New Roman"/>
          <w:sz w:val="20"/>
          <w:szCs w:val="20"/>
          <w:lang w:eastAsia="zh-CN"/>
        </w:rPr>
        <w:t>Mazzuoli</w:t>
      </w:r>
      <w:proofErr w:type="spellEnd"/>
      <w:r w:rsidR="00FA78EC" w:rsidRPr="00FA78EC">
        <w:rPr>
          <w:rFonts w:ascii="Times New Roman" w:hAnsi="Times New Roman" w:cs="Times New Roman"/>
          <w:sz w:val="20"/>
          <w:szCs w:val="20"/>
          <w:lang w:eastAsia="zh-CN"/>
        </w:rPr>
        <w:t>-Weber et al., 2022). These mechanisms mirror the human model of “inflammaging,” where circulating proinflammatory cytokines such as IL-6 and TNF-α impair insulin signalling pathways (</w:t>
      </w:r>
      <w:r w:rsidR="00FA78EC" w:rsidRPr="007A2290">
        <w:rPr>
          <w:rFonts w:ascii="Times New Roman" w:hAnsi="Times New Roman" w:cs="Times New Roman"/>
          <w:sz w:val="20"/>
          <w:szCs w:val="20"/>
          <w:lang w:eastAsia="zh-CN"/>
        </w:rPr>
        <w:t>McKenzie et al.</w:t>
      </w:r>
      <w:r w:rsidR="00FA78EC">
        <w:rPr>
          <w:rFonts w:ascii="Times New Roman" w:hAnsi="Times New Roman" w:cs="Times New Roman"/>
          <w:sz w:val="20"/>
          <w:szCs w:val="20"/>
          <w:lang w:eastAsia="zh-CN"/>
        </w:rPr>
        <w:t xml:space="preserve">, </w:t>
      </w:r>
      <w:r w:rsidR="00FA78EC" w:rsidRPr="007A2290">
        <w:rPr>
          <w:rFonts w:ascii="Times New Roman" w:hAnsi="Times New Roman" w:cs="Times New Roman"/>
          <w:sz w:val="20"/>
          <w:szCs w:val="20"/>
          <w:lang w:eastAsia="zh-CN"/>
        </w:rPr>
        <w:t>2025</w:t>
      </w:r>
      <w:r w:rsidR="00FA78EC" w:rsidRPr="00FA78EC">
        <w:rPr>
          <w:rFonts w:ascii="Times New Roman" w:hAnsi="Times New Roman" w:cs="Times New Roman"/>
          <w:sz w:val="20"/>
          <w:szCs w:val="20"/>
          <w:lang w:eastAsia="zh-CN"/>
        </w:rPr>
        <w:t>).</w:t>
      </w:r>
      <w:r w:rsidR="00FA78EC">
        <w:rPr>
          <w:rFonts w:ascii="Times New Roman" w:hAnsi="Times New Roman" w:cs="Times New Roman"/>
          <w:sz w:val="20"/>
          <w:szCs w:val="20"/>
          <w:lang w:eastAsia="zh-CN"/>
        </w:rPr>
        <w:t xml:space="preserve"> </w:t>
      </w:r>
      <w:r w:rsidR="00D355C7" w:rsidRPr="00011688">
        <w:rPr>
          <w:rFonts w:ascii="Times New Roman" w:hAnsi="Times New Roman" w:cs="Times New Roman"/>
          <w:sz w:val="20"/>
          <w:szCs w:val="20"/>
          <w:lang w:eastAsia="zh-CN"/>
        </w:rPr>
        <w:t xml:space="preserve">Female dogs, particularly during the luteal phase of the </w:t>
      </w:r>
      <w:proofErr w:type="spellStart"/>
      <w:r w:rsidR="00D355C7" w:rsidRPr="00011688">
        <w:rPr>
          <w:rFonts w:ascii="Times New Roman" w:hAnsi="Times New Roman" w:cs="Times New Roman"/>
          <w:sz w:val="20"/>
          <w:szCs w:val="20"/>
          <w:lang w:eastAsia="zh-CN"/>
        </w:rPr>
        <w:t>estrous</w:t>
      </w:r>
      <w:proofErr w:type="spellEnd"/>
      <w:r w:rsidR="00D355C7" w:rsidRPr="00011688">
        <w:rPr>
          <w:rFonts w:ascii="Times New Roman" w:hAnsi="Times New Roman" w:cs="Times New Roman"/>
          <w:sz w:val="20"/>
          <w:szCs w:val="20"/>
          <w:lang w:eastAsia="zh-CN"/>
        </w:rPr>
        <w:t xml:space="preserve"> cycle, are subject to the insulin-antagonistic effects of progesterone (Hess et al., 2000). Progesterone induces the mammary secretion of growth hormone, which significantly reduces peripheral insulin sensitivity (Elie and Hoenig, 2017; </w:t>
      </w:r>
      <w:proofErr w:type="spellStart"/>
      <w:r w:rsidR="00D355C7" w:rsidRPr="00011688">
        <w:rPr>
          <w:rFonts w:ascii="Times New Roman" w:hAnsi="Times New Roman" w:cs="Times New Roman"/>
          <w:sz w:val="20"/>
          <w:szCs w:val="20"/>
          <w:lang w:eastAsia="zh-CN"/>
        </w:rPr>
        <w:t>Gilor</w:t>
      </w:r>
      <w:proofErr w:type="spellEnd"/>
      <w:r w:rsidR="00D355C7" w:rsidRPr="00011688">
        <w:rPr>
          <w:rFonts w:ascii="Times New Roman" w:hAnsi="Times New Roman" w:cs="Times New Roman"/>
          <w:sz w:val="20"/>
          <w:szCs w:val="20"/>
          <w:lang w:eastAsia="zh-CN"/>
        </w:rPr>
        <w:t xml:space="preserve"> et al., 2021). Furthermore, recent research by </w:t>
      </w:r>
      <w:r w:rsidR="00CD6C36" w:rsidRPr="007A2290">
        <w:rPr>
          <w:rFonts w:ascii="Times New Roman" w:hAnsi="Times New Roman" w:cs="Times New Roman"/>
          <w:sz w:val="20"/>
          <w:szCs w:val="20"/>
          <w:lang w:eastAsia="zh-CN"/>
        </w:rPr>
        <w:t xml:space="preserve">Henstridge et al. (2019) </w:t>
      </w:r>
      <w:r w:rsidR="00D355C7" w:rsidRPr="00011688">
        <w:rPr>
          <w:rFonts w:ascii="Times New Roman" w:hAnsi="Times New Roman" w:cs="Times New Roman"/>
          <w:sz w:val="20"/>
          <w:szCs w:val="20"/>
          <w:lang w:eastAsia="zh-CN"/>
        </w:rPr>
        <w:t xml:space="preserve">suggests that sex-specific inflammatory markers in diseased states may further skew glucose metabolism. </w:t>
      </w:r>
      <w:r w:rsidR="004F4435" w:rsidRPr="004F4435">
        <w:rPr>
          <w:rFonts w:ascii="Times New Roman" w:hAnsi="Times New Roman" w:cs="Times New Roman"/>
          <w:sz w:val="20"/>
          <w:szCs w:val="20"/>
          <w:lang w:eastAsia="zh-CN"/>
        </w:rPr>
        <w:t>Despite these established physiological and hormonal influences, comprehensive investigations addressing the combined effects of age and sex on fasting blood glucose in clinically ill, non-experimental canine populations remain limited. Most previous studies in India and elsewhere have focused on controlled diabetic or healthy populations, which may not reflect the metabolic complexity of naturally diseased animals (</w:t>
      </w:r>
      <w:r w:rsidR="004F4435" w:rsidRPr="007A2290">
        <w:rPr>
          <w:rFonts w:ascii="Times New Roman" w:hAnsi="Times New Roman" w:cs="Times New Roman"/>
          <w:sz w:val="20"/>
          <w:szCs w:val="20"/>
        </w:rPr>
        <w:t>T</w:t>
      </w:r>
      <w:r w:rsidR="004F4435" w:rsidRPr="007A2290">
        <w:rPr>
          <w:rFonts w:ascii="Times New Roman" w:hAnsi="Times New Roman" w:cs="Times New Roman"/>
          <w:sz w:val="20"/>
          <w:szCs w:val="20"/>
          <w:lang w:eastAsia="zh-CN"/>
        </w:rPr>
        <w:t>orre et al., 2007; An et al., 2025</w:t>
      </w:r>
      <w:r w:rsidR="004F4435" w:rsidRPr="004F4435">
        <w:rPr>
          <w:rFonts w:ascii="Times New Roman" w:hAnsi="Times New Roman" w:cs="Times New Roman"/>
          <w:sz w:val="20"/>
          <w:szCs w:val="20"/>
          <w:lang w:eastAsia="zh-CN"/>
        </w:rPr>
        <w:t>). Furthermore, recent research highlights the role of systemic inflammation and cytokine cascades in modulating glucose metabolism during illness, necessitating re-evaluation of standard diagnostic interpretations (</w:t>
      </w:r>
      <w:r w:rsidR="004F4435" w:rsidRPr="007A2290">
        <w:rPr>
          <w:rFonts w:ascii="Times New Roman" w:hAnsi="Times New Roman" w:cs="Times New Roman"/>
          <w:sz w:val="20"/>
          <w:szCs w:val="20"/>
          <w:lang w:eastAsia="zh-CN"/>
        </w:rPr>
        <w:t>Luc et al., 2019</w:t>
      </w:r>
      <w:r w:rsidR="004F4435" w:rsidRPr="00011688">
        <w:rPr>
          <w:rFonts w:ascii="Times New Roman" w:hAnsi="Times New Roman" w:cs="Times New Roman"/>
          <w:sz w:val="20"/>
          <w:szCs w:val="20"/>
          <w:lang w:eastAsia="zh-CN"/>
        </w:rPr>
        <w:t xml:space="preserve">; </w:t>
      </w:r>
      <w:r w:rsidR="004F4435" w:rsidRPr="007A2290">
        <w:rPr>
          <w:rFonts w:ascii="Times New Roman" w:hAnsi="Times New Roman" w:cs="Times New Roman"/>
          <w:sz w:val="20"/>
          <w:szCs w:val="20"/>
          <w:lang w:eastAsia="zh-CN"/>
        </w:rPr>
        <w:t>Muršec et al., 2025</w:t>
      </w:r>
      <w:r w:rsidR="004F4435" w:rsidRPr="004F4435">
        <w:rPr>
          <w:rFonts w:ascii="Times New Roman" w:hAnsi="Times New Roman" w:cs="Times New Roman"/>
          <w:sz w:val="20"/>
          <w:szCs w:val="20"/>
          <w:lang w:eastAsia="zh-CN"/>
        </w:rPr>
        <w:t>).</w:t>
      </w:r>
      <w:r w:rsidR="004F4435">
        <w:rPr>
          <w:rFonts w:ascii="Times New Roman" w:hAnsi="Times New Roman" w:cs="Times New Roman"/>
          <w:sz w:val="20"/>
          <w:szCs w:val="20"/>
          <w:lang w:eastAsia="zh-CN"/>
        </w:rPr>
        <w:t xml:space="preserve"> </w:t>
      </w:r>
      <w:r w:rsidR="00FA78EC" w:rsidRPr="00FA78EC">
        <w:rPr>
          <w:rFonts w:ascii="Times New Roman" w:hAnsi="Times New Roman" w:cs="Times New Roman"/>
          <w:sz w:val="20"/>
          <w:szCs w:val="20"/>
          <w:lang w:eastAsia="zh-CN"/>
        </w:rPr>
        <w:t>The present study, therefore, aimed to elucidate the interactive effects of age and gender on fasting blood glucose concentrations in clinically ill dogs. By establishing more physiologically representative reference intervals and identifying demographic influences, this research sought to enhance diagnostic precision, improve clinical interpretation of glycaemic data, and provide a foundation for individualized metabolic assessment in veterinary practice.</w:t>
      </w:r>
    </w:p>
    <w:p w14:paraId="411583DD" w14:textId="36609930" w:rsidR="001B410C" w:rsidRPr="00AF0684" w:rsidRDefault="00186435" w:rsidP="00FA78EC">
      <w:pPr>
        <w:spacing w:line="360" w:lineRule="auto"/>
        <w:jc w:val="both"/>
        <w:rPr>
          <w:rFonts w:ascii="Times New Roman" w:eastAsia="Times New Roman" w:hAnsi="Times New Roman" w:cs="Times New Roman"/>
          <w:sz w:val="20"/>
          <w:szCs w:val="20"/>
          <w:lang w:eastAsia="en-IN"/>
        </w:rPr>
      </w:pPr>
      <w:r w:rsidRPr="00AF0684">
        <w:rPr>
          <w:rFonts w:ascii="Times New Roman" w:eastAsia="Times New Roman" w:hAnsi="Times New Roman" w:cs="Times New Roman"/>
          <w:sz w:val="20"/>
          <w:szCs w:val="20"/>
          <w:lang w:eastAsia="en-IN"/>
        </w:rPr>
        <w:t xml:space="preserve">2. </w:t>
      </w:r>
      <w:r w:rsidR="0016336F" w:rsidRPr="00AF0684">
        <w:rPr>
          <w:rFonts w:ascii="Times New Roman" w:eastAsia="Times New Roman" w:hAnsi="Times New Roman" w:cs="Times New Roman"/>
          <w:b/>
          <w:bCs/>
          <w:sz w:val="20"/>
          <w:szCs w:val="20"/>
          <w:lang w:eastAsia="en-IN"/>
        </w:rPr>
        <w:t>MATERIALS AND METHODS</w:t>
      </w:r>
    </w:p>
    <w:p w14:paraId="71708348" w14:textId="64555D25" w:rsidR="001B410C" w:rsidRPr="007D230E" w:rsidRDefault="00AB5877" w:rsidP="00AF0684">
      <w:pPr>
        <w:spacing w:before="100" w:beforeAutospacing="1" w:after="100" w:afterAutospacing="1" w:line="360" w:lineRule="auto"/>
        <w:jc w:val="both"/>
        <w:rPr>
          <w:rFonts w:ascii="Times New Roman" w:eastAsia="Times New Roman" w:hAnsi="Times New Roman" w:cs="Times New Roman"/>
          <w:i/>
          <w:iCs/>
          <w:sz w:val="20"/>
          <w:szCs w:val="20"/>
          <w:lang w:eastAsia="en-IN"/>
        </w:rPr>
      </w:pPr>
      <w:r w:rsidRPr="007D230E">
        <w:rPr>
          <w:rFonts w:ascii="Times New Roman" w:eastAsia="Times New Roman" w:hAnsi="Times New Roman" w:cs="Times New Roman"/>
          <w:i/>
          <w:iCs/>
          <w:sz w:val="20"/>
          <w:szCs w:val="20"/>
          <w:lang w:eastAsia="en-IN"/>
        </w:rPr>
        <w:t>2.1</w:t>
      </w:r>
      <w:r w:rsidR="00C65A8A">
        <w:rPr>
          <w:rFonts w:ascii="Times New Roman" w:eastAsia="Times New Roman" w:hAnsi="Times New Roman" w:cs="Times New Roman"/>
          <w:i/>
          <w:iCs/>
          <w:sz w:val="20"/>
          <w:szCs w:val="20"/>
          <w:lang w:eastAsia="en-IN"/>
        </w:rPr>
        <w:t xml:space="preserve">. </w:t>
      </w:r>
      <w:r w:rsidR="001B410C" w:rsidRPr="007D230E">
        <w:rPr>
          <w:rFonts w:ascii="Times New Roman" w:eastAsia="Times New Roman" w:hAnsi="Times New Roman" w:cs="Times New Roman"/>
          <w:i/>
          <w:iCs/>
          <w:sz w:val="20"/>
          <w:szCs w:val="20"/>
          <w:lang w:eastAsia="en-IN"/>
        </w:rPr>
        <w:t xml:space="preserve">Animal </w:t>
      </w:r>
      <w:r w:rsidR="00C65A8A">
        <w:rPr>
          <w:rFonts w:ascii="Times New Roman" w:eastAsia="Times New Roman" w:hAnsi="Times New Roman" w:cs="Times New Roman"/>
          <w:i/>
          <w:iCs/>
          <w:sz w:val="20"/>
          <w:szCs w:val="20"/>
          <w:lang w:eastAsia="en-IN"/>
        </w:rPr>
        <w:t>s</w:t>
      </w:r>
      <w:r w:rsidR="001B410C" w:rsidRPr="007D230E">
        <w:rPr>
          <w:rFonts w:ascii="Times New Roman" w:eastAsia="Times New Roman" w:hAnsi="Times New Roman" w:cs="Times New Roman"/>
          <w:i/>
          <w:iCs/>
          <w:sz w:val="20"/>
          <w:szCs w:val="20"/>
          <w:lang w:eastAsia="en-IN"/>
        </w:rPr>
        <w:t>election</w:t>
      </w:r>
    </w:p>
    <w:p w14:paraId="5A4A3246" w14:textId="18EF49D7" w:rsidR="001B410C" w:rsidRPr="00AF0684" w:rsidRDefault="001B410C" w:rsidP="00AF0684">
      <w:pPr>
        <w:spacing w:before="100" w:beforeAutospacing="1" w:after="100" w:afterAutospacing="1" w:line="360" w:lineRule="auto"/>
        <w:jc w:val="both"/>
        <w:rPr>
          <w:rFonts w:ascii="Times New Roman" w:eastAsia="Times New Roman" w:hAnsi="Times New Roman" w:cs="Times New Roman"/>
          <w:sz w:val="20"/>
          <w:szCs w:val="20"/>
          <w:lang w:eastAsia="en-IN"/>
        </w:rPr>
      </w:pPr>
      <w:r w:rsidRPr="00AF0684">
        <w:rPr>
          <w:rFonts w:ascii="Times New Roman" w:eastAsia="Times New Roman" w:hAnsi="Times New Roman" w:cs="Times New Roman"/>
          <w:sz w:val="20"/>
          <w:szCs w:val="20"/>
          <w:lang w:eastAsia="en-IN"/>
        </w:rPr>
        <w:t xml:space="preserve">This study was carried out on clinically ill dogs </w:t>
      </w:r>
      <w:r w:rsidRPr="00AF0684">
        <w:rPr>
          <w:rFonts w:ascii="Times New Roman" w:eastAsia="Times New Roman" w:hAnsi="Times New Roman" w:cs="Times New Roman"/>
          <w:i/>
          <w:iCs/>
          <w:sz w:val="20"/>
          <w:szCs w:val="20"/>
          <w:lang w:eastAsia="en-IN"/>
        </w:rPr>
        <w:t>(</w:t>
      </w:r>
      <w:proofErr w:type="spellStart"/>
      <w:r w:rsidRPr="00AF0684">
        <w:rPr>
          <w:rFonts w:ascii="Times New Roman" w:eastAsia="Times New Roman" w:hAnsi="Times New Roman" w:cs="Times New Roman"/>
          <w:i/>
          <w:iCs/>
          <w:sz w:val="20"/>
          <w:szCs w:val="20"/>
          <w:lang w:eastAsia="en-IN"/>
        </w:rPr>
        <w:t>Canis</w:t>
      </w:r>
      <w:proofErr w:type="spellEnd"/>
      <w:r w:rsidRPr="00AF0684">
        <w:rPr>
          <w:rFonts w:ascii="Times New Roman" w:eastAsia="Times New Roman" w:hAnsi="Times New Roman" w:cs="Times New Roman"/>
          <w:i/>
          <w:iCs/>
          <w:sz w:val="20"/>
          <w:szCs w:val="20"/>
          <w:lang w:eastAsia="en-IN"/>
        </w:rPr>
        <w:t xml:space="preserve"> </w:t>
      </w:r>
      <w:proofErr w:type="spellStart"/>
      <w:r w:rsidRPr="00AF0684">
        <w:rPr>
          <w:rFonts w:ascii="Times New Roman" w:eastAsia="Times New Roman" w:hAnsi="Times New Roman" w:cs="Times New Roman"/>
          <w:i/>
          <w:iCs/>
          <w:sz w:val="20"/>
          <w:szCs w:val="20"/>
          <w:lang w:eastAsia="en-IN"/>
        </w:rPr>
        <w:t>familiaris</w:t>
      </w:r>
      <w:proofErr w:type="spellEnd"/>
      <w:r w:rsidRPr="00AF0684">
        <w:rPr>
          <w:rFonts w:ascii="Times New Roman" w:eastAsia="Times New Roman" w:hAnsi="Times New Roman" w:cs="Times New Roman"/>
          <w:sz w:val="20"/>
          <w:szCs w:val="20"/>
          <w:lang w:eastAsia="en-IN"/>
        </w:rPr>
        <w:t>) presented to the Outpatient Ward of the Veterinary Clinical Complex, College of Veterinary Science, GADVASU, Rampura Phul, Punjab, India, between January 2024 and March 2024. A total of 84 dogs of different breeds and both sexes were enrolled. Inclusion criteria required dogs to exhibit moderate to severe clinical illness at the time of presentation. Dogs that were clinically healthy or affected only by mild or transient conditions were excluded to ensure uniformity of disease severity within the sample.</w:t>
      </w:r>
    </w:p>
    <w:p w14:paraId="6B778730" w14:textId="39E3315A" w:rsidR="001B410C" w:rsidRPr="007D230E" w:rsidRDefault="00AB5877" w:rsidP="00AF0684">
      <w:pPr>
        <w:spacing w:before="100" w:beforeAutospacing="1" w:after="100" w:afterAutospacing="1" w:line="360" w:lineRule="auto"/>
        <w:jc w:val="both"/>
        <w:rPr>
          <w:rFonts w:ascii="Times New Roman" w:eastAsia="Times New Roman" w:hAnsi="Times New Roman" w:cs="Times New Roman"/>
          <w:i/>
          <w:iCs/>
          <w:sz w:val="20"/>
          <w:szCs w:val="20"/>
          <w:lang w:eastAsia="en-IN"/>
        </w:rPr>
      </w:pPr>
      <w:r w:rsidRPr="007D230E">
        <w:rPr>
          <w:rFonts w:ascii="Times New Roman" w:eastAsia="Times New Roman" w:hAnsi="Times New Roman" w:cs="Times New Roman"/>
          <w:i/>
          <w:iCs/>
          <w:sz w:val="20"/>
          <w:szCs w:val="20"/>
          <w:lang w:eastAsia="en-IN"/>
        </w:rPr>
        <w:t>2.2</w:t>
      </w:r>
      <w:r w:rsidR="00C65A8A">
        <w:rPr>
          <w:rFonts w:ascii="Times New Roman" w:eastAsia="Times New Roman" w:hAnsi="Times New Roman" w:cs="Times New Roman"/>
          <w:i/>
          <w:iCs/>
          <w:sz w:val="20"/>
          <w:szCs w:val="20"/>
          <w:lang w:eastAsia="en-IN"/>
        </w:rPr>
        <w:t xml:space="preserve">. </w:t>
      </w:r>
      <w:r w:rsidR="001B410C" w:rsidRPr="007D230E">
        <w:rPr>
          <w:rFonts w:ascii="Times New Roman" w:eastAsia="Times New Roman" w:hAnsi="Times New Roman" w:cs="Times New Roman"/>
          <w:i/>
          <w:iCs/>
          <w:sz w:val="20"/>
          <w:szCs w:val="20"/>
          <w:lang w:eastAsia="en-IN"/>
        </w:rPr>
        <w:t xml:space="preserve">Sample </w:t>
      </w:r>
      <w:r w:rsidR="00C65A8A" w:rsidRPr="00C65A8A">
        <w:rPr>
          <w:rFonts w:ascii="Times New Roman" w:eastAsia="Times New Roman" w:hAnsi="Times New Roman" w:cs="Times New Roman"/>
          <w:i/>
          <w:iCs/>
          <w:sz w:val="20"/>
          <w:szCs w:val="20"/>
          <w:lang w:eastAsia="en-IN"/>
        </w:rPr>
        <w:t>collection and glucose estimation</w:t>
      </w:r>
    </w:p>
    <w:p w14:paraId="698F09D7" w14:textId="638A1B85" w:rsidR="001B410C" w:rsidRPr="00AF0684" w:rsidRDefault="001B410C" w:rsidP="00AF0684">
      <w:pPr>
        <w:spacing w:before="100" w:beforeAutospacing="1" w:after="100" w:afterAutospacing="1" w:line="360" w:lineRule="auto"/>
        <w:jc w:val="both"/>
        <w:rPr>
          <w:rFonts w:ascii="Times New Roman" w:eastAsia="Times New Roman" w:hAnsi="Times New Roman" w:cs="Times New Roman"/>
          <w:sz w:val="20"/>
          <w:szCs w:val="20"/>
          <w:lang w:eastAsia="en-IN"/>
        </w:rPr>
      </w:pPr>
      <w:r w:rsidRPr="00AF0684">
        <w:rPr>
          <w:rFonts w:ascii="Times New Roman" w:eastAsia="Times New Roman" w:hAnsi="Times New Roman" w:cs="Times New Roman"/>
          <w:sz w:val="20"/>
          <w:szCs w:val="20"/>
          <w:lang w:eastAsia="en-IN"/>
        </w:rPr>
        <w:lastRenderedPageBreak/>
        <w:t xml:space="preserve">Following an overnight fast of 12 hours, blood samples (2–3 mL) were aseptically obtained from the cephalic or saphenous vein of each dog using sterile, disposable syringes. Samples were immediately transferred into fluoride-oxalate tubes to inhibit glycolysis and maintain glucose stability. All blood samples were transported to the laboratory under refrigeration (4–8°C) to minimize pre-analytical degradation. Fasting blood glucose concentrations were measured using a dry chemistry </w:t>
      </w:r>
      <w:proofErr w:type="spellStart"/>
      <w:r w:rsidRPr="00AF0684">
        <w:rPr>
          <w:rFonts w:ascii="Times New Roman" w:eastAsia="Times New Roman" w:hAnsi="Times New Roman" w:cs="Times New Roman"/>
          <w:sz w:val="20"/>
          <w:szCs w:val="20"/>
          <w:lang w:eastAsia="en-IN"/>
        </w:rPr>
        <w:t>analyzer</w:t>
      </w:r>
      <w:proofErr w:type="spellEnd"/>
      <w:r w:rsidRPr="00AF0684">
        <w:rPr>
          <w:rFonts w:ascii="Times New Roman" w:eastAsia="Times New Roman" w:hAnsi="Times New Roman" w:cs="Times New Roman"/>
          <w:sz w:val="20"/>
          <w:szCs w:val="20"/>
          <w:lang w:eastAsia="en-IN"/>
        </w:rPr>
        <w:t xml:space="preserve"> (Fujifilm NX 600 V, Veterinary Model) with Fuji Film dry chemistry slides, following the manufacturer’s standard operating procedures for accuracy and reproducibility.</w:t>
      </w:r>
    </w:p>
    <w:p w14:paraId="280F8E35" w14:textId="1B5E00ED" w:rsidR="00CC37C3" w:rsidRPr="007D230E" w:rsidRDefault="001B410C" w:rsidP="007D230E">
      <w:pPr>
        <w:pStyle w:val="ListParagraph"/>
        <w:numPr>
          <w:ilvl w:val="1"/>
          <w:numId w:val="15"/>
        </w:numPr>
        <w:spacing w:before="100" w:beforeAutospacing="1" w:after="100" w:afterAutospacing="1" w:line="360" w:lineRule="auto"/>
        <w:rPr>
          <w:rFonts w:ascii="Times New Roman" w:eastAsia="Times New Roman" w:hAnsi="Times New Roman" w:cs="Times New Roman"/>
          <w:sz w:val="20"/>
          <w:szCs w:val="20"/>
          <w:lang w:eastAsia="en-IN"/>
        </w:rPr>
      </w:pPr>
      <w:r w:rsidRPr="007D230E">
        <w:rPr>
          <w:rFonts w:ascii="Times New Roman" w:eastAsia="Times New Roman" w:hAnsi="Times New Roman" w:cs="Times New Roman"/>
          <w:i/>
          <w:iCs/>
          <w:sz w:val="20"/>
          <w:szCs w:val="20"/>
          <w:lang w:eastAsia="en-IN"/>
        </w:rPr>
        <w:t xml:space="preserve">Study </w:t>
      </w:r>
      <w:r w:rsidR="00C65A8A" w:rsidRPr="007D230E">
        <w:rPr>
          <w:rFonts w:ascii="Times New Roman" w:eastAsia="Times New Roman" w:hAnsi="Times New Roman" w:cs="Times New Roman"/>
          <w:i/>
          <w:iCs/>
          <w:sz w:val="20"/>
          <w:szCs w:val="20"/>
          <w:lang w:eastAsia="en-IN"/>
        </w:rPr>
        <w:t>design and statistical analysi</w:t>
      </w:r>
      <w:r w:rsidR="00CC37C3">
        <w:rPr>
          <w:rFonts w:ascii="Times New Roman" w:eastAsia="Times New Roman" w:hAnsi="Times New Roman" w:cs="Times New Roman"/>
          <w:i/>
          <w:iCs/>
          <w:sz w:val="20"/>
          <w:szCs w:val="20"/>
          <w:lang w:eastAsia="en-IN"/>
        </w:rPr>
        <w:t>s</w:t>
      </w:r>
    </w:p>
    <w:p w14:paraId="17AA2092" w14:textId="072E8D9D" w:rsidR="00825F9E" w:rsidRPr="00AF0684" w:rsidRDefault="001B410C" w:rsidP="00AF0684">
      <w:pPr>
        <w:spacing w:before="100" w:beforeAutospacing="1" w:after="100" w:afterAutospacing="1" w:line="360" w:lineRule="auto"/>
        <w:jc w:val="both"/>
        <w:rPr>
          <w:rFonts w:ascii="Times New Roman" w:eastAsia="Times New Roman" w:hAnsi="Times New Roman" w:cs="Times New Roman"/>
          <w:sz w:val="20"/>
          <w:szCs w:val="20"/>
          <w:lang w:eastAsia="en-IN"/>
        </w:rPr>
      </w:pPr>
      <w:r w:rsidRPr="00AF0684">
        <w:rPr>
          <w:rFonts w:ascii="Times New Roman" w:eastAsia="Times New Roman" w:hAnsi="Times New Roman" w:cs="Times New Roman"/>
          <w:sz w:val="20"/>
          <w:szCs w:val="20"/>
          <w:lang w:eastAsia="en-IN"/>
        </w:rPr>
        <w:t>This study aimed to assess the effects of age and sex on fasting blood glucose concentrations in clinically ill dogs. A total of 84 dogs were stratified into three age categories reflecting physiological maturity: puppies (&lt;1 year), adults (1 to 5 years), and geriatrics (&gt;5 years). Additionally, the dogs were classified by sex as male or female. This grouping facilitated comparative analyses of fasting glucose levels across different age and sex groups within the diseased canine population. Descriptive statistics, including means and standard deviations, were calculated for each subgroup. Differences in glucose concentrations between age groups and sexes were evaluated using one-way analysis of variance (ANOVA), with a significance threshold set at p&lt;0.05.</w:t>
      </w:r>
    </w:p>
    <w:p w14:paraId="6BE4C39F" w14:textId="0B68822D" w:rsidR="00FB4EB7" w:rsidRPr="007A2290" w:rsidRDefault="00825F9E" w:rsidP="00FB4EB7">
      <w:pPr>
        <w:spacing w:before="100" w:beforeAutospacing="1" w:after="100" w:afterAutospacing="1" w:line="360" w:lineRule="auto"/>
        <w:jc w:val="both"/>
        <w:rPr>
          <w:rFonts w:ascii="Times New Roman" w:eastAsia="Times New Roman" w:hAnsi="Times New Roman" w:cs="Times New Roman"/>
          <w:sz w:val="20"/>
          <w:szCs w:val="20"/>
          <w:lang w:eastAsia="en-IN"/>
        </w:rPr>
      </w:pPr>
      <w:r w:rsidRPr="00AF0684">
        <w:rPr>
          <w:rFonts w:ascii="Times New Roman" w:eastAsia="Times New Roman" w:hAnsi="Times New Roman" w:cs="Times New Roman"/>
          <w:sz w:val="20"/>
          <w:szCs w:val="20"/>
          <w:lang w:eastAsia="en-IN"/>
        </w:rPr>
        <w:t xml:space="preserve">3. </w:t>
      </w:r>
      <w:r w:rsidR="00AB5877" w:rsidRPr="00AF0684">
        <w:rPr>
          <w:rFonts w:ascii="Times New Roman" w:eastAsia="Times New Roman" w:hAnsi="Times New Roman" w:cs="Times New Roman"/>
          <w:b/>
          <w:bCs/>
          <w:sz w:val="20"/>
          <w:szCs w:val="20"/>
          <w:lang w:eastAsia="en-IN"/>
        </w:rPr>
        <w:t>RESULTS AND DISCUSSION</w:t>
      </w:r>
    </w:p>
    <w:p w14:paraId="328C620E" w14:textId="462052E7" w:rsidR="000D3F3D" w:rsidRDefault="00FB4EB7" w:rsidP="00FB4EB7">
      <w:pPr>
        <w:spacing w:before="100" w:beforeAutospacing="1" w:after="100" w:afterAutospacing="1" w:line="360" w:lineRule="auto"/>
        <w:jc w:val="both"/>
        <w:rPr>
          <w:rFonts w:ascii="Times New Roman" w:eastAsia="Times New Roman" w:hAnsi="Times New Roman" w:cs="Times New Roman"/>
          <w:sz w:val="20"/>
          <w:szCs w:val="20"/>
          <w:lang w:eastAsia="en-IN"/>
        </w:rPr>
      </w:pPr>
      <w:r w:rsidRPr="00167FAD">
        <w:rPr>
          <w:rFonts w:ascii="Times New Roman" w:eastAsia="Times New Roman" w:hAnsi="Times New Roman" w:cs="Times New Roman"/>
          <w:sz w:val="20"/>
          <w:szCs w:val="20"/>
          <w:lang w:eastAsia="en-IN"/>
        </w:rPr>
        <w:t xml:space="preserve">The analysis of fasting blood glucose (FBG) concentrations in clinically ill canines revealed significant variations dictated by age and sex, reflecting a complex interplay of physiological and molecular pathways. As summarized in </w:t>
      </w:r>
      <w:r w:rsidRPr="00011688">
        <w:rPr>
          <w:rFonts w:ascii="Times New Roman" w:eastAsia="Times New Roman" w:hAnsi="Times New Roman" w:cs="Times New Roman"/>
          <w:sz w:val="20"/>
          <w:szCs w:val="20"/>
          <w:lang w:eastAsia="en-IN"/>
        </w:rPr>
        <w:t>Table 1</w:t>
      </w:r>
      <w:r w:rsidRPr="00167FAD">
        <w:rPr>
          <w:rFonts w:ascii="Times New Roman" w:eastAsia="Times New Roman" w:hAnsi="Times New Roman" w:cs="Times New Roman"/>
          <w:sz w:val="20"/>
          <w:szCs w:val="20"/>
          <w:lang w:eastAsia="en-IN"/>
        </w:rPr>
        <w:t>, puppies (&lt;1 year) exhibited the highest mean glucose levels (</w:t>
      </w:r>
      <w:r w:rsidRPr="00011688">
        <w:rPr>
          <w:rFonts w:ascii="Times New Roman" w:eastAsia="Times New Roman" w:hAnsi="Times New Roman" w:cs="Times New Roman"/>
          <w:sz w:val="20"/>
          <w:szCs w:val="20"/>
          <w:lang w:eastAsia="en-IN"/>
        </w:rPr>
        <w:t>105.29 ± 16.51 mg</w:t>
      </w:r>
      <w:r w:rsidR="00167FAD">
        <w:rPr>
          <w:rFonts w:ascii="Times New Roman" w:eastAsia="Times New Roman" w:hAnsi="Times New Roman" w:cs="Times New Roman"/>
          <w:sz w:val="20"/>
          <w:szCs w:val="20"/>
          <w:lang w:eastAsia="en-IN"/>
        </w:rPr>
        <w:t>/</w:t>
      </w:r>
      <w:r w:rsidRPr="00011688">
        <w:rPr>
          <w:rFonts w:ascii="Times New Roman" w:eastAsia="Times New Roman" w:hAnsi="Times New Roman" w:cs="Times New Roman"/>
          <w:sz w:val="20"/>
          <w:szCs w:val="20"/>
          <w:lang w:eastAsia="en-IN"/>
        </w:rPr>
        <w:t xml:space="preserve"> dL</w:t>
      </w:r>
      <w:r w:rsidRPr="00167FAD">
        <w:rPr>
          <w:rFonts w:ascii="Times New Roman" w:eastAsia="Times New Roman" w:hAnsi="Times New Roman" w:cs="Times New Roman"/>
          <w:sz w:val="20"/>
          <w:szCs w:val="20"/>
          <w:lang w:eastAsia="en-IN"/>
        </w:rPr>
        <w:t xml:space="preserve">). This trend is visually supported by </w:t>
      </w:r>
      <w:r w:rsidRPr="00011688">
        <w:rPr>
          <w:rFonts w:ascii="Times New Roman" w:eastAsia="Times New Roman" w:hAnsi="Times New Roman" w:cs="Times New Roman"/>
          <w:sz w:val="20"/>
          <w:szCs w:val="20"/>
          <w:lang w:eastAsia="en-IN"/>
        </w:rPr>
        <w:t>Figure 1</w:t>
      </w:r>
      <w:r w:rsidRPr="00167FAD">
        <w:rPr>
          <w:rFonts w:ascii="Times New Roman" w:eastAsia="Times New Roman" w:hAnsi="Times New Roman" w:cs="Times New Roman"/>
          <w:sz w:val="20"/>
          <w:szCs w:val="20"/>
          <w:lang w:eastAsia="en-IN"/>
        </w:rPr>
        <w:t>, which demonstrates significant differences across age cohorts (</w:t>
      </w:r>
      <w:r w:rsidRPr="00167FAD">
        <w:rPr>
          <w:rFonts w:ascii="Times New Roman" w:eastAsia="Times New Roman" w:hAnsi="Times New Roman" w:cs="Times New Roman"/>
          <w:i/>
          <w:iCs/>
          <w:sz w:val="20"/>
          <w:szCs w:val="20"/>
          <w:lang w:eastAsia="en-IN"/>
        </w:rPr>
        <w:t>p</w:t>
      </w:r>
      <w:r w:rsidRPr="00167FAD">
        <w:rPr>
          <w:rFonts w:ascii="Times New Roman" w:eastAsia="Times New Roman" w:hAnsi="Times New Roman" w:cs="Times New Roman"/>
          <w:sz w:val="20"/>
          <w:szCs w:val="20"/>
          <w:lang w:eastAsia="en-IN"/>
        </w:rPr>
        <w:t xml:space="preserve"> = 0.00015). This </w:t>
      </w:r>
      <w:r w:rsidR="00162F1A" w:rsidRPr="00167FAD">
        <w:rPr>
          <w:rFonts w:ascii="Times New Roman" w:eastAsia="Times New Roman" w:hAnsi="Times New Roman" w:cs="Times New Roman"/>
          <w:sz w:val="20"/>
          <w:szCs w:val="20"/>
          <w:lang w:eastAsia="en-IN"/>
        </w:rPr>
        <w:t>paediatric</w:t>
      </w:r>
      <w:r w:rsidRPr="00167FAD">
        <w:rPr>
          <w:rFonts w:ascii="Times New Roman" w:eastAsia="Times New Roman" w:hAnsi="Times New Roman" w:cs="Times New Roman"/>
          <w:sz w:val="20"/>
          <w:szCs w:val="20"/>
          <w:lang w:eastAsia="en-IN"/>
        </w:rPr>
        <w:t xml:space="preserve"> </w:t>
      </w:r>
      <w:r w:rsidR="00162F1A" w:rsidRPr="00167FAD">
        <w:rPr>
          <w:rFonts w:ascii="Times New Roman" w:eastAsia="Times New Roman" w:hAnsi="Times New Roman" w:cs="Times New Roman"/>
          <w:sz w:val="20"/>
          <w:szCs w:val="20"/>
          <w:lang w:eastAsia="en-IN"/>
        </w:rPr>
        <w:t>hyperglycaemia</w:t>
      </w:r>
      <w:r w:rsidRPr="00167FAD">
        <w:rPr>
          <w:rFonts w:ascii="Times New Roman" w:eastAsia="Times New Roman" w:hAnsi="Times New Roman" w:cs="Times New Roman"/>
          <w:sz w:val="20"/>
          <w:szCs w:val="20"/>
          <w:lang w:eastAsia="en-IN"/>
        </w:rPr>
        <w:t xml:space="preserve"> is underpinned by an augmented basal metabolic rate and the developmental immaturity of hepatic gluconeogenic machinery. At the molecular level, submaximal expression of enzymes such as phosphoenolpyruvate carboxykinase (PEPCK) and glucose-6-phosphatase limits fine-tuned homeostasis during fasting. Recent studies suggest that neonatal and juvenile dogs experience higher </w:t>
      </w:r>
      <w:proofErr w:type="spellStart"/>
      <w:r w:rsidRPr="00167FAD">
        <w:rPr>
          <w:rFonts w:ascii="Times New Roman" w:eastAsia="Times New Roman" w:hAnsi="Times New Roman" w:cs="Times New Roman"/>
          <w:sz w:val="20"/>
          <w:szCs w:val="20"/>
          <w:lang w:eastAsia="en-IN"/>
        </w:rPr>
        <w:t>glycemic</w:t>
      </w:r>
      <w:proofErr w:type="spellEnd"/>
      <w:r w:rsidRPr="00167FAD">
        <w:rPr>
          <w:rFonts w:ascii="Times New Roman" w:eastAsia="Times New Roman" w:hAnsi="Times New Roman" w:cs="Times New Roman"/>
          <w:sz w:val="20"/>
          <w:szCs w:val="20"/>
          <w:lang w:eastAsia="en-IN"/>
        </w:rPr>
        <w:t xml:space="preserve"> variability due to immature hypothalamic-pituitary-adrenal (HPA) axis regulation, which leads to exaggerated catecholamine release during illness </w:t>
      </w:r>
      <w:r w:rsidRPr="00B02B82">
        <w:rPr>
          <w:rFonts w:ascii="Times New Roman" w:eastAsia="Times New Roman" w:hAnsi="Times New Roman" w:cs="Times New Roman"/>
          <w:sz w:val="20"/>
          <w:szCs w:val="20"/>
          <w:lang w:eastAsia="en-IN"/>
        </w:rPr>
        <w:t>(</w:t>
      </w:r>
      <w:r w:rsidR="00F14D12" w:rsidRPr="00B02B82">
        <w:rPr>
          <w:rFonts w:ascii="Times New Roman" w:hAnsi="Times New Roman" w:cs="Times New Roman"/>
          <w:sz w:val="20"/>
          <w:szCs w:val="20"/>
          <w:lang w:eastAsia="zh-CN"/>
        </w:rPr>
        <w:t xml:space="preserve">Banton, 2025; </w:t>
      </w:r>
      <w:r w:rsidR="00F14D12" w:rsidRPr="00B02B82">
        <w:rPr>
          <w:rFonts w:ascii="Times New Roman" w:eastAsia="Times New Roman" w:hAnsi="Times New Roman" w:cs="Times New Roman"/>
          <w:sz w:val="20"/>
          <w:szCs w:val="20"/>
          <w:lang w:eastAsia="en-IN"/>
        </w:rPr>
        <w:t>Pongrácz and Dobos, 2025</w:t>
      </w:r>
      <w:r w:rsidRPr="00B02B82">
        <w:rPr>
          <w:rFonts w:ascii="Times New Roman" w:eastAsia="Times New Roman" w:hAnsi="Times New Roman" w:cs="Times New Roman"/>
          <w:sz w:val="20"/>
          <w:szCs w:val="20"/>
          <w:lang w:eastAsia="en-IN"/>
        </w:rPr>
        <w:t>). Furthermore, reduced hepatic GLUT2 transporter expression in younger dogs diminishes efficient glucose handling, while transient peripheral resistance impairs GLUT4-mediated uptake in skeletal muscle and adipose tissue (</w:t>
      </w:r>
      <w:r w:rsidR="00F14D12" w:rsidRPr="00B02B82">
        <w:rPr>
          <w:rFonts w:ascii="Times New Roman" w:hAnsi="Times New Roman" w:cs="Times New Roman"/>
          <w:sz w:val="20"/>
          <w:szCs w:val="20"/>
          <w:lang w:eastAsia="zh-CN"/>
        </w:rPr>
        <w:t>Pathak et al. 2024; Muršec et al., 2025</w:t>
      </w:r>
      <w:r w:rsidRPr="00B02B82">
        <w:rPr>
          <w:rFonts w:ascii="Times New Roman" w:eastAsia="Times New Roman" w:hAnsi="Times New Roman" w:cs="Times New Roman"/>
          <w:sz w:val="20"/>
          <w:szCs w:val="20"/>
          <w:lang w:eastAsia="en-IN"/>
        </w:rPr>
        <w:t>).</w:t>
      </w:r>
    </w:p>
    <w:p w14:paraId="70D67AA1" w14:textId="77777777" w:rsidR="007A2290" w:rsidRPr="00167FAD" w:rsidRDefault="007A2290" w:rsidP="00FB4EB7">
      <w:pPr>
        <w:spacing w:before="100" w:beforeAutospacing="1" w:after="100" w:afterAutospacing="1" w:line="360" w:lineRule="auto"/>
        <w:jc w:val="both"/>
        <w:rPr>
          <w:rFonts w:ascii="Times New Roman" w:eastAsia="Times New Roman" w:hAnsi="Times New Roman" w:cs="Times New Roman"/>
          <w:sz w:val="20"/>
          <w:szCs w:val="20"/>
          <w:lang w:eastAsia="en-IN"/>
        </w:rPr>
      </w:pPr>
    </w:p>
    <w:tbl>
      <w:tblPr>
        <w:tblStyle w:val="TableGrid"/>
        <w:tblW w:w="0" w:type="auto"/>
        <w:tblLook w:val="04A0" w:firstRow="1" w:lastRow="0" w:firstColumn="1" w:lastColumn="0" w:noHBand="0" w:noVBand="1"/>
      </w:tblPr>
      <w:tblGrid>
        <w:gridCol w:w="2689"/>
        <w:gridCol w:w="4677"/>
      </w:tblGrid>
      <w:tr w:rsidR="00FB4EB7" w:rsidRPr="0039349C" w14:paraId="09F71082" w14:textId="77777777" w:rsidTr="00D07DAC">
        <w:tc>
          <w:tcPr>
            <w:tcW w:w="7366" w:type="dxa"/>
            <w:gridSpan w:val="2"/>
          </w:tcPr>
          <w:p w14:paraId="607BD714" w14:textId="77777777" w:rsidR="00FB4EB7" w:rsidRPr="00AF0684" w:rsidRDefault="00FB4EB7" w:rsidP="00D07DAC">
            <w:pPr>
              <w:spacing w:before="100" w:beforeAutospacing="1" w:after="100" w:afterAutospacing="1" w:line="360" w:lineRule="auto"/>
              <w:rPr>
                <w:rFonts w:ascii="Times New Roman" w:hAnsi="Times New Roman" w:cs="Times New Roman"/>
                <w:b/>
                <w:bCs/>
                <w:sz w:val="20"/>
                <w:szCs w:val="20"/>
                <w:lang w:val="en-US"/>
              </w:rPr>
            </w:pPr>
            <w:r w:rsidRPr="00F03FBA">
              <w:rPr>
                <w:rFonts w:ascii="Times New Roman" w:eastAsia="Times New Roman" w:hAnsi="Times New Roman" w:cs="Times New Roman"/>
                <w:sz w:val="20"/>
                <w:szCs w:val="20"/>
                <w:lang w:eastAsia="en-IN"/>
              </w:rPr>
              <w:t>Table 1. Mean ± SD of Glucose Levels by Age Group</w:t>
            </w:r>
          </w:p>
        </w:tc>
      </w:tr>
      <w:tr w:rsidR="00FB4EB7" w:rsidRPr="00F03FBA" w14:paraId="4EF0D4FA" w14:textId="77777777" w:rsidTr="00D07DAC">
        <w:tc>
          <w:tcPr>
            <w:tcW w:w="2689" w:type="dxa"/>
          </w:tcPr>
          <w:p w14:paraId="6640F077" w14:textId="77777777" w:rsidR="00FB4EB7" w:rsidRPr="00AF0684" w:rsidRDefault="00FB4EB7" w:rsidP="00D07DAC">
            <w:pPr>
              <w:spacing w:before="100" w:beforeAutospacing="1" w:after="100" w:afterAutospacing="1" w:line="360" w:lineRule="auto"/>
              <w:rPr>
                <w:rFonts w:ascii="Times New Roman" w:eastAsia="Times New Roman" w:hAnsi="Times New Roman" w:cs="Times New Roman"/>
                <w:b/>
                <w:bCs/>
                <w:sz w:val="20"/>
                <w:szCs w:val="20"/>
                <w:lang w:eastAsia="en-IN"/>
              </w:rPr>
            </w:pPr>
            <w:r w:rsidRPr="00AF0684">
              <w:rPr>
                <w:rFonts w:ascii="Times New Roman" w:hAnsi="Times New Roman" w:cs="Times New Roman"/>
                <w:b/>
                <w:bCs/>
                <w:sz w:val="20"/>
                <w:szCs w:val="20"/>
                <w:lang w:val="en-US"/>
              </w:rPr>
              <w:t>Age Group</w:t>
            </w:r>
          </w:p>
        </w:tc>
        <w:tc>
          <w:tcPr>
            <w:tcW w:w="4677" w:type="dxa"/>
          </w:tcPr>
          <w:p w14:paraId="6455E9A2" w14:textId="77777777" w:rsidR="00FB4EB7" w:rsidRPr="00AF0684" w:rsidRDefault="00FB4EB7" w:rsidP="00D07DAC">
            <w:pPr>
              <w:spacing w:before="100" w:beforeAutospacing="1" w:after="100" w:afterAutospacing="1" w:line="360" w:lineRule="auto"/>
              <w:rPr>
                <w:rFonts w:ascii="Times New Roman" w:eastAsia="Times New Roman" w:hAnsi="Times New Roman" w:cs="Times New Roman"/>
                <w:b/>
                <w:bCs/>
                <w:sz w:val="20"/>
                <w:szCs w:val="20"/>
                <w:lang w:eastAsia="en-IN"/>
              </w:rPr>
            </w:pPr>
            <w:r w:rsidRPr="00AF0684">
              <w:rPr>
                <w:rFonts w:ascii="Times New Roman" w:hAnsi="Times New Roman" w:cs="Times New Roman"/>
                <w:b/>
                <w:bCs/>
                <w:sz w:val="20"/>
                <w:szCs w:val="20"/>
                <w:lang w:val="en-US"/>
              </w:rPr>
              <w:t>Glucose level Mean ± Standard deviation</w:t>
            </w:r>
          </w:p>
        </w:tc>
      </w:tr>
      <w:tr w:rsidR="00FB4EB7" w:rsidRPr="00F03FBA" w14:paraId="5906496C" w14:textId="77777777" w:rsidTr="00D07DAC">
        <w:tc>
          <w:tcPr>
            <w:tcW w:w="2689" w:type="dxa"/>
          </w:tcPr>
          <w:p w14:paraId="08274E98" w14:textId="77777777" w:rsidR="00FB4EB7" w:rsidRPr="00AF0684" w:rsidRDefault="00FB4EB7" w:rsidP="00D07DAC">
            <w:pPr>
              <w:spacing w:before="100" w:beforeAutospacing="1" w:after="100" w:afterAutospacing="1" w:line="360" w:lineRule="auto"/>
              <w:rPr>
                <w:rFonts w:ascii="Times New Roman" w:eastAsia="Times New Roman" w:hAnsi="Times New Roman" w:cs="Times New Roman"/>
                <w:sz w:val="20"/>
                <w:szCs w:val="20"/>
                <w:lang w:eastAsia="en-IN"/>
              </w:rPr>
            </w:pPr>
            <w:r w:rsidRPr="00AF0684">
              <w:rPr>
                <w:rFonts w:ascii="Times New Roman" w:hAnsi="Times New Roman" w:cs="Times New Roman"/>
                <w:sz w:val="20"/>
                <w:szCs w:val="20"/>
                <w:lang w:val="en-US"/>
              </w:rPr>
              <w:t>0 (&lt;1 yr)</w:t>
            </w:r>
          </w:p>
        </w:tc>
        <w:tc>
          <w:tcPr>
            <w:tcW w:w="4677" w:type="dxa"/>
            <w:vAlign w:val="bottom"/>
          </w:tcPr>
          <w:p w14:paraId="66FED38A" w14:textId="77777777" w:rsidR="00FB4EB7" w:rsidRPr="00AF0684" w:rsidRDefault="00FB4EB7" w:rsidP="00D07DAC">
            <w:pPr>
              <w:spacing w:before="100" w:beforeAutospacing="1" w:after="100" w:afterAutospacing="1" w:line="360" w:lineRule="auto"/>
              <w:rPr>
                <w:rFonts w:ascii="Times New Roman" w:eastAsia="Times New Roman" w:hAnsi="Times New Roman" w:cs="Times New Roman"/>
                <w:sz w:val="20"/>
                <w:szCs w:val="20"/>
                <w:lang w:eastAsia="en-IN"/>
              </w:rPr>
            </w:pPr>
            <w:r w:rsidRPr="00AF0684">
              <w:rPr>
                <w:rFonts w:ascii="Times New Roman" w:hAnsi="Times New Roman" w:cs="Times New Roman"/>
                <w:color w:val="000000"/>
                <w:sz w:val="20"/>
                <w:szCs w:val="20"/>
              </w:rPr>
              <w:t xml:space="preserve">105.29 </w:t>
            </w:r>
            <w:r w:rsidRPr="00AF0684">
              <w:rPr>
                <w:rFonts w:ascii="Times New Roman" w:hAnsi="Times New Roman" w:cs="Times New Roman"/>
                <w:sz w:val="20"/>
                <w:szCs w:val="20"/>
                <w:lang w:val="en-US"/>
              </w:rPr>
              <w:t xml:space="preserve">± </w:t>
            </w:r>
            <w:r w:rsidRPr="00AF0684">
              <w:rPr>
                <w:rFonts w:ascii="Times New Roman" w:hAnsi="Times New Roman" w:cs="Times New Roman"/>
                <w:color w:val="000000"/>
                <w:sz w:val="20"/>
                <w:szCs w:val="20"/>
              </w:rPr>
              <w:t>16.51</w:t>
            </w:r>
          </w:p>
        </w:tc>
      </w:tr>
      <w:tr w:rsidR="00FB4EB7" w:rsidRPr="00F03FBA" w14:paraId="5774460A" w14:textId="77777777" w:rsidTr="00D07DAC">
        <w:tc>
          <w:tcPr>
            <w:tcW w:w="2689" w:type="dxa"/>
          </w:tcPr>
          <w:p w14:paraId="613B8A7A" w14:textId="77777777" w:rsidR="00FB4EB7" w:rsidRPr="00AF0684" w:rsidRDefault="00FB4EB7" w:rsidP="00D07DAC">
            <w:pPr>
              <w:spacing w:before="100" w:beforeAutospacing="1" w:after="100" w:afterAutospacing="1" w:line="360" w:lineRule="auto"/>
              <w:rPr>
                <w:rFonts w:ascii="Times New Roman" w:eastAsia="Times New Roman" w:hAnsi="Times New Roman" w:cs="Times New Roman"/>
                <w:sz w:val="20"/>
                <w:szCs w:val="20"/>
                <w:lang w:eastAsia="en-IN"/>
              </w:rPr>
            </w:pPr>
            <w:r w:rsidRPr="00AF0684">
              <w:rPr>
                <w:rFonts w:ascii="Times New Roman" w:hAnsi="Times New Roman" w:cs="Times New Roman"/>
                <w:sz w:val="20"/>
                <w:szCs w:val="20"/>
                <w:lang w:val="en-US"/>
              </w:rPr>
              <w:t>1 (1-5 yr)</w:t>
            </w:r>
          </w:p>
        </w:tc>
        <w:tc>
          <w:tcPr>
            <w:tcW w:w="4677" w:type="dxa"/>
            <w:vAlign w:val="bottom"/>
          </w:tcPr>
          <w:p w14:paraId="443C46C8" w14:textId="77777777" w:rsidR="00FB4EB7" w:rsidRPr="00AF0684" w:rsidRDefault="00FB4EB7" w:rsidP="00D07DAC">
            <w:pPr>
              <w:spacing w:before="100" w:beforeAutospacing="1" w:after="100" w:afterAutospacing="1" w:line="360" w:lineRule="auto"/>
              <w:rPr>
                <w:rFonts w:ascii="Times New Roman" w:eastAsia="Times New Roman" w:hAnsi="Times New Roman" w:cs="Times New Roman"/>
                <w:sz w:val="20"/>
                <w:szCs w:val="20"/>
                <w:lang w:eastAsia="en-IN"/>
              </w:rPr>
            </w:pPr>
            <w:r w:rsidRPr="00AF0684">
              <w:rPr>
                <w:rFonts w:ascii="Times New Roman" w:hAnsi="Times New Roman" w:cs="Times New Roman"/>
                <w:color w:val="000000"/>
                <w:sz w:val="20"/>
                <w:szCs w:val="20"/>
              </w:rPr>
              <w:t xml:space="preserve">85.86 </w:t>
            </w:r>
            <w:r w:rsidRPr="00AF0684">
              <w:rPr>
                <w:rFonts w:ascii="Times New Roman" w:hAnsi="Times New Roman" w:cs="Times New Roman"/>
                <w:sz w:val="20"/>
                <w:szCs w:val="20"/>
                <w:lang w:val="en-US"/>
              </w:rPr>
              <w:t>± 17.18</w:t>
            </w:r>
          </w:p>
        </w:tc>
      </w:tr>
      <w:tr w:rsidR="00FB4EB7" w:rsidRPr="00F03FBA" w14:paraId="6E91E515" w14:textId="77777777" w:rsidTr="00D07DAC">
        <w:tc>
          <w:tcPr>
            <w:tcW w:w="2689" w:type="dxa"/>
          </w:tcPr>
          <w:p w14:paraId="22AFD03E" w14:textId="77777777" w:rsidR="00FB4EB7" w:rsidRPr="00AF0684" w:rsidRDefault="00FB4EB7" w:rsidP="00D07DAC">
            <w:pPr>
              <w:spacing w:before="100" w:beforeAutospacing="1" w:after="100" w:afterAutospacing="1" w:line="360" w:lineRule="auto"/>
              <w:rPr>
                <w:rFonts w:ascii="Times New Roman" w:eastAsia="Times New Roman" w:hAnsi="Times New Roman" w:cs="Times New Roman"/>
                <w:sz w:val="20"/>
                <w:szCs w:val="20"/>
                <w:lang w:eastAsia="en-IN"/>
              </w:rPr>
            </w:pPr>
            <w:r w:rsidRPr="00AF0684">
              <w:rPr>
                <w:rFonts w:ascii="Times New Roman" w:hAnsi="Times New Roman" w:cs="Times New Roman"/>
                <w:sz w:val="20"/>
                <w:szCs w:val="20"/>
                <w:lang w:val="en-US"/>
              </w:rPr>
              <w:t>2 (&gt;5 yr)</w:t>
            </w:r>
          </w:p>
        </w:tc>
        <w:tc>
          <w:tcPr>
            <w:tcW w:w="4677" w:type="dxa"/>
            <w:vAlign w:val="bottom"/>
          </w:tcPr>
          <w:p w14:paraId="4DD48F7F" w14:textId="77777777" w:rsidR="00FB4EB7" w:rsidRPr="00AF0684" w:rsidRDefault="00FB4EB7" w:rsidP="00D07DAC">
            <w:pPr>
              <w:spacing w:before="100" w:beforeAutospacing="1" w:after="100" w:afterAutospacing="1" w:line="360" w:lineRule="auto"/>
              <w:rPr>
                <w:rFonts w:ascii="Times New Roman" w:eastAsia="Times New Roman" w:hAnsi="Times New Roman" w:cs="Times New Roman"/>
                <w:sz w:val="20"/>
                <w:szCs w:val="20"/>
                <w:lang w:eastAsia="en-IN"/>
              </w:rPr>
            </w:pPr>
            <w:r w:rsidRPr="00AF0684">
              <w:rPr>
                <w:rFonts w:ascii="Times New Roman" w:hAnsi="Times New Roman" w:cs="Times New Roman"/>
                <w:color w:val="000000"/>
                <w:sz w:val="20"/>
                <w:szCs w:val="20"/>
              </w:rPr>
              <w:t xml:space="preserve">98.29 </w:t>
            </w:r>
            <w:r w:rsidRPr="00AF0684">
              <w:rPr>
                <w:rFonts w:ascii="Times New Roman" w:hAnsi="Times New Roman" w:cs="Times New Roman"/>
                <w:sz w:val="20"/>
                <w:szCs w:val="20"/>
                <w:lang w:val="en-US"/>
              </w:rPr>
              <w:t>± 16.14</w:t>
            </w:r>
          </w:p>
        </w:tc>
      </w:tr>
    </w:tbl>
    <w:p w14:paraId="7ADD2F20" w14:textId="14809D26" w:rsidR="00FB4EB7" w:rsidRDefault="00FB4EB7" w:rsidP="00FB4EB7">
      <w:pPr>
        <w:spacing w:before="100" w:beforeAutospacing="1" w:after="100" w:afterAutospacing="1" w:line="360" w:lineRule="auto"/>
        <w:jc w:val="both"/>
        <w:rPr>
          <w:rFonts w:ascii="Times New Roman" w:eastAsia="Times New Roman" w:hAnsi="Times New Roman" w:cs="Times New Roman"/>
          <w:sz w:val="20"/>
          <w:szCs w:val="20"/>
          <w:lang w:eastAsia="en-IN"/>
        </w:rPr>
      </w:pPr>
      <w:r w:rsidRPr="00AF0684">
        <w:rPr>
          <w:rFonts w:ascii="Times New Roman" w:hAnsi="Times New Roman" w:cs="Times New Roman"/>
          <w:noProof/>
          <w:sz w:val="20"/>
          <w:szCs w:val="20"/>
          <w:lang w:eastAsia="en-IN"/>
        </w:rPr>
        <w:lastRenderedPageBreak/>
        <w:drawing>
          <wp:inline distT="0" distB="0" distL="0" distR="0" wp14:anchorId="25198895" wp14:editId="5F99846F">
            <wp:extent cx="4572000" cy="2862262"/>
            <wp:effectExtent l="0" t="0" r="0" b="14605"/>
            <wp:docPr id="502312437" name="Chart 502312437">
              <a:extLst xmlns:a="http://schemas.openxmlformats.org/drawingml/2006/main">
                <a:ext uri="{FF2B5EF4-FFF2-40B4-BE49-F238E27FC236}">
                  <a16:creationId xmlns:a16="http://schemas.microsoft.com/office/drawing/2014/main" id="{E831737D-442B-44EB-83B6-1567AE1AAB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3E9BA9" w14:textId="60BC8A05" w:rsidR="00FB4EB7" w:rsidRDefault="00FB4EB7" w:rsidP="00FB4EB7">
      <w:pPr>
        <w:spacing w:before="100" w:beforeAutospacing="1" w:after="100" w:afterAutospacing="1" w:line="360" w:lineRule="auto"/>
        <w:jc w:val="both"/>
        <w:rPr>
          <w:rFonts w:ascii="Times New Roman" w:eastAsia="Times New Roman" w:hAnsi="Times New Roman" w:cs="Times New Roman"/>
          <w:sz w:val="20"/>
          <w:szCs w:val="20"/>
          <w:lang w:eastAsia="en-IN"/>
        </w:rPr>
      </w:pPr>
      <w:r w:rsidRPr="00AF0684">
        <w:rPr>
          <w:rFonts w:ascii="Times New Roman" w:eastAsia="Times New Roman" w:hAnsi="Times New Roman" w:cs="Times New Roman"/>
          <w:b/>
          <w:bCs/>
          <w:sz w:val="20"/>
          <w:szCs w:val="20"/>
          <w:lang w:eastAsia="en-IN"/>
        </w:rPr>
        <w:t>Figure 1. </w:t>
      </w:r>
      <w:r w:rsidRPr="00AF0684">
        <w:rPr>
          <w:rFonts w:ascii="Times New Roman" w:eastAsia="Times New Roman" w:hAnsi="Times New Roman" w:cs="Times New Roman"/>
          <w:sz w:val="20"/>
          <w:szCs w:val="20"/>
          <w:lang w:eastAsia="en-IN"/>
        </w:rPr>
        <w:t>Fasting blood glucose levels (mean ± standard deviation) in clinically ill dogs categorized by age groups: Group A (puppies, &lt;1 year), Group B (adults, 1–5 years), and Group C (geriatrics, &gt;5 years). Significant differences were observed among the groups (p = 0.00015). Error bars represent standard deviation.</w:t>
      </w:r>
    </w:p>
    <w:p w14:paraId="634E0B62" w14:textId="30AE6444" w:rsidR="00FB4EB7" w:rsidRPr="00B02B82" w:rsidRDefault="00FB4EB7" w:rsidP="00FB4EB7">
      <w:pPr>
        <w:spacing w:before="100" w:beforeAutospacing="1" w:after="100" w:afterAutospacing="1" w:line="360" w:lineRule="auto"/>
        <w:jc w:val="both"/>
        <w:rPr>
          <w:rFonts w:ascii="Times New Roman" w:eastAsia="Times New Roman" w:hAnsi="Times New Roman" w:cs="Times New Roman"/>
          <w:sz w:val="20"/>
          <w:szCs w:val="20"/>
          <w:lang w:eastAsia="en-IN"/>
        </w:rPr>
      </w:pPr>
      <w:r w:rsidRPr="00B02B82">
        <w:rPr>
          <w:rFonts w:ascii="Times New Roman" w:eastAsia="Times New Roman" w:hAnsi="Times New Roman" w:cs="Times New Roman"/>
          <w:sz w:val="20"/>
          <w:szCs w:val="20"/>
          <w:lang w:eastAsia="en-IN"/>
        </w:rPr>
        <w:t xml:space="preserve">Adult dogs (1–5 years) maintained the most stable and tighter </w:t>
      </w:r>
      <w:proofErr w:type="spellStart"/>
      <w:r w:rsidRPr="00B02B82">
        <w:rPr>
          <w:rFonts w:ascii="Times New Roman" w:eastAsia="Times New Roman" w:hAnsi="Times New Roman" w:cs="Times New Roman"/>
          <w:sz w:val="20"/>
          <w:szCs w:val="20"/>
          <w:lang w:eastAsia="en-IN"/>
        </w:rPr>
        <w:t>glycemic</w:t>
      </w:r>
      <w:proofErr w:type="spellEnd"/>
      <w:r w:rsidRPr="00B02B82">
        <w:rPr>
          <w:rFonts w:ascii="Times New Roman" w:eastAsia="Times New Roman" w:hAnsi="Times New Roman" w:cs="Times New Roman"/>
          <w:sz w:val="20"/>
          <w:szCs w:val="20"/>
          <w:lang w:eastAsia="en-IN"/>
        </w:rPr>
        <w:t xml:space="preserve"> control (</w:t>
      </w:r>
      <w:r w:rsidRPr="00011688">
        <w:rPr>
          <w:rFonts w:ascii="Times New Roman" w:eastAsia="Times New Roman" w:hAnsi="Times New Roman" w:cs="Times New Roman"/>
          <w:sz w:val="20"/>
          <w:szCs w:val="20"/>
          <w:lang w:eastAsia="en-IN"/>
        </w:rPr>
        <w:t>85.86 ± 17.18 mg/ dL</w:t>
      </w:r>
      <w:r w:rsidRPr="00B02B82">
        <w:rPr>
          <w:rFonts w:ascii="Times New Roman" w:eastAsia="Times New Roman" w:hAnsi="Times New Roman" w:cs="Times New Roman"/>
          <w:sz w:val="20"/>
          <w:szCs w:val="20"/>
          <w:lang w:eastAsia="en-IN"/>
        </w:rPr>
        <w:t xml:space="preserve">), as shown in </w:t>
      </w:r>
      <w:r w:rsidRPr="00011688">
        <w:rPr>
          <w:rFonts w:ascii="Times New Roman" w:eastAsia="Times New Roman" w:hAnsi="Times New Roman" w:cs="Times New Roman"/>
          <w:sz w:val="20"/>
          <w:szCs w:val="20"/>
          <w:lang w:eastAsia="en-IN"/>
        </w:rPr>
        <w:t>Table 1</w:t>
      </w:r>
      <w:r w:rsidRPr="00B02B82">
        <w:rPr>
          <w:rFonts w:ascii="Times New Roman" w:eastAsia="Times New Roman" w:hAnsi="Times New Roman" w:cs="Times New Roman"/>
          <w:sz w:val="20"/>
          <w:szCs w:val="20"/>
          <w:lang w:eastAsia="en-IN"/>
        </w:rPr>
        <w:t xml:space="preserve">. This stability indicates well-integrated beta-cell function and robust insulin receptor </w:t>
      </w:r>
      <w:proofErr w:type="spellStart"/>
      <w:r w:rsidRPr="00B02B82">
        <w:rPr>
          <w:rFonts w:ascii="Times New Roman" w:eastAsia="Times New Roman" w:hAnsi="Times New Roman" w:cs="Times New Roman"/>
          <w:sz w:val="20"/>
          <w:szCs w:val="20"/>
          <w:lang w:eastAsia="en-IN"/>
        </w:rPr>
        <w:t>signaling</w:t>
      </w:r>
      <w:proofErr w:type="spellEnd"/>
      <w:r w:rsidRPr="00B02B82">
        <w:rPr>
          <w:rFonts w:ascii="Times New Roman" w:eastAsia="Times New Roman" w:hAnsi="Times New Roman" w:cs="Times New Roman"/>
          <w:sz w:val="20"/>
          <w:szCs w:val="20"/>
          <w:lang w:eastAsia="en-IN"/>
        </w:rPr>
        <w:t xml:space="preserve"> via the AKT–PI3K and MAPK pathways, critical for maintaining euglycemia despite disease-induced inflammatory stress (</w:t>
      </w:r>
      <w:proofErr w:type="spellStart"/>
      <w:r w:rsidRPr="00B02B82">
        <w:rPr>
          <w:rFonts w:ascii="Times New Roman" w:eastAsia="Times New Roman" w:hAnsi="Times New Roman" w:cs="Times New Roman"/>
          <w:sz w:val="20"/>
          <w:szCs w:val="20"/>
          <w:lang w:eastAsia="en-IN"/>
        </w:rPr>
        <w:t>Gilor</w:t>
      </w:r>
      <w:proofErr w:type="spellEnd"/>
      <w:r w:rsidRPr="00B02B82">
        <w:rPr>
          <w:rFonts w:ascii="Times New Roman" w:eastAsia="Times New Roman" w:hAnsi="Times New Roman" w:cs="Times New Roman"/>
          <w:sz w:val="20"/>
          <w:szCs w:val="20"/>
          <w:lang w:eastAsia="en-IN"/>
        </w:rPr>
        <w:t xml:space="preserve"> et al., 2021; </w:t>
      </w:r>
      <w:r w:rsidR="00F14D12" w:rsidRPr="00B02B82">
        <w:rPr>
          <w:rFonts w:ascii="Times New Roman" w:hAnsi="Times New Roman" w:cs="Times New Roman"/>
          <w:sz w:val="20"/>
          <w:szCs w:val="20"/>
          <w:lang w:eastAsia="zh-CN"/>
        </w:rPr>
        <w:t>McKenzie et al., 2025</w:t>
      </w:r>
      <w:r w:rsidRPr="00B02B82">
        <w:rPr>
          <w:rFonts w:ascii="Times New Roman" w:eastAsia="Times New Roman" w:hAnsi="Times New Roman" w:cs="Times New Roman"/>
          <w:sz w:val="20"/>
          <w:szCs w:val="20"/>
          <w:lang w:eastAsia="en-IN"/>
        </w:rPr>
        <w:t xml:space="preserve">). Effective cross-talk of insulin with its receptor and downstream intracellular effectors helps to mitigate the </w:t>
      </w:r>
      <w:proofErr w:type="spellStart"/>
      <w:r w:rsidRPr="00B02B82">
        <w:rPr>
          <w:rFonts w:ascii="Times New Roman" w:eastAsia="Times New Roman" w:hAnsi="Times New Roman" w:cs="Times New Roman"/>
          <w:sz w:val="20"/>
          <w:szCs w:val="20"/>
          <w:lang w:eastAsia="en-IN"/>
        </w:rPr>
        <w:t>hyperglycemic</w:t>
      </w:r>
      <w:proofErr w:type="spellEnd"/>
      <w:r w:rsidRPr="00B02B82">
        <w:rPr>
          <w:rFonts w:ascii="Times New Roman" w:eastAsia="Times New Roman" w:hAnsi="Times New Roman" w:cs="Times New Roman"/>
          <w:sz w:val="20"/>
          <w:szCs w:val="20"/>
          <w:lang w:eastAsia="en-IN"/>
        </w:rPr>
        <w:t xml:space="preserve"> effects of cortisol during systemic illness.</w:t>
      </w:r>
    </w:p>
    <w:p w14:paraId="56FF5B88" w14:textId="5D2772E9" w:rsidR="00FB4EB7" w:rsidRPr="00B02B82" w:rsidRDefault="00FB4EB7" w:rsidP="00FB4EB7">
      <w:pPr>
        <w:spacing w:before="100" w:beforeAutospacing="1" w:after="100" w:afterAutospacing="1" w:line="360" w:lineRule="auto"/>
        <w:jc w:val="both"/>
        <w:rPr>
          <w:rFonts w:ascii="Times New Roman" w:eastAsia="Times New Roman" w:hAnsi="Times New Roman" w:cs="Times New Roman"/>
          <w:sz w:val="20"/>
          <w:szCs w:val="20"/>
          <w:lang w:eastAsia="en-IN"/>
        </w:rPr>
      </w:pPr>
      <w:r w:rsidRPr="00B02B82">
        <w:rPr>
          <w:rFonts w:ascii="Times New Roman" w:eastAsia="Times New Roman" w:hAnsi="Times New Roman" w:cs="Times New Roman"/>
          <w:sz w:val="20"/>
          <w:szCs w:val="20"/>
          <w:lang w:eastAsia="en-IN"/>
        </w:rPr>
        <w:t xml:space="preserve">However, in geriatric patients (&gt;5 years), FBG levels rose again to </w:t>
      </w:r>
      <w:r w:rsidRPr="00011688">
        <w:rPr>
          <w:rFonts w:ascii="Times New Roman" w:eastAsia="Times New Roman" w:hAnsi="Times New Roman" w:cs="Times New Roman"/>
          <w:sz w:val="20"/>
          <w:szCs w:val="20"/>
          <w:lang w:eastAsia="en-IN"/>
        </w:rPr>
        <w:t>98.29 ± 16.14 mg/ dL</w:t>
      </w:r>
      <w:r w:rsidRPr="00B02B82">
        <w:rPr>
          <w:rFonts w:ascii="Times New Roman" w:eastAsia="Times New Roman" w:hAnsi="Times New Roman" w:cs="Times New Roman"/>
          <w:sz w:val="20"/>
          <w:szCs w:val="20"/>
          <w:lang w:eastAsia="en-IN"/>
        </w:rPr>
        <w:t xml:space="preserve">. Recent research by </w:t>
      </w:r>
      <w:r w:rsidR="00F14D12" w:rsidRPr="00B02B82">
        <w:rPr>
          <w:rFonts w:ascii="Times New Roman" w:hAnsi="Times New Roman" w:cs="Times New Roman"/>
          <w:sz w:val="20"/>
          <w:szCs w:val="20"/>
          <w:lang w:eastAsia="zh-CN"/>
        </w:rPr>
        <w:t>Pathak</w:t>
      </w:r>
      <w:r w:rsidRPr="00B02B82">
        <w:rPr>
          <w:rFonts w:ascii="Times New Roman" w:eastAsia="Times New Roman" w:hAnsi="Times New Roman" w:cs="Times New Roman"/>
          <w:sz w:val="20"/>
          <w:szCs w:val="20"/>
          <w:lang w:eastAsia="en-IN"/>
        </w:rPr>
        <w:t xml:space="preserve"> et al. (202</w:t>
      </w:r>
      <w:r w:rsidR="00F14D12" w:rsidRPr="00B02B82">
        <w:rPr>
          <w:rFonts w:ascii="Times New Roman" w:eastAsia="Times New Roman" w:hAnsi="Times New Roman" w:cs="Times New Roman"/>
          <w:sz w:val="20"/>
          <w:szCs w:val="20"/>
          <w:lang w:eastAsia="en-IN"/>
        </w:rPr>
        <w:t>4</w:t>
      </w:r>
      <w:r w:rsidRPr="00B02B82">
        <w:rPr>
          <w:rFonts w:ascii="Times New Roman" w:eastAsia="Times New Roman" w:hAnsi="Times New Roman" w:cs="Times New Roman"/>
          <w:sz w:val="20"/>
          <w:szCs w:val="20"/>
          <w:lang w:eastAsia="en-IN"/>
        </w:rPr>
        <w:t>) attributes this to inflammaging, where chronic low-grade systemic inflammation increases circulating cytokines like IL-6 and TNF-alpha. These cytokines interfere with insulin receptor substrate (IRS) phosphorylation, leading to progressive insulin resistance. This geriatric shift is further linked to age-associated epigenetic modifications and reduced AKT phosphorylation, which promotes hepatic overproduction of glucose via upregulated gluconeogenesis (</w:t>
      </w:r>
      <w:r w:rsidR="001A30A3" w:rsidRPr="00B02B82">
        <w:rPr>
          <w:rFonts w:ascii="Times New Roman" w:hAnsi="Times New Roman" w:cs="Times New Roman"/>
          <w:sz w:val="20"/>
          <w:szCs w:val="20"/>
          <w:lang w:eastAsia="zh-CN"/>
        </w:rPr>
        <w:t>McKenzie et al., 2025</w:t>
      </w:r>
      <w:r w:rsidRPr="00B02B82">
        <w:rPr>
          <w:rFonts w:ascii="Times New Roman" w:eastAsia="Times New Roman" w:hAnsi="Times New Roman" w:cs="Times New Roman"/>
          <w:sz w:val="20"/>
          <w:szCs w:val="20"/>
          <w:lang w:eastAsia="en-IN"/>
        </w:rPr>
        <w:t xml:space="preserve">; </w:t>
      </w:r>
      <w:r w:rsidR="001A30A3" w:rsidRPr="00B02B82">
        <w:rPr>
          <w:rFonts w:ascii="Times New Roman" w:hAnsi="Times New Roman" w:cs="Times New Roman"/>
          <w:sz w:val="20"/>
          <w:szCs w:val="20"/>
          <w:lang w:eastAsia="zh-CN"/>
        </w:rPr>
        <w:t xml:space="preserve">Muršec et al., 2025; </w:t>
      </w:r>
      <w:r w:rsidR="001A30A3" w:rsidRPr="00B02B82">
        <w:rPr>
          <w:rFonts w:ascii="Times New Roman" w:eastAsia="Times New Roman" w:hAnsi="Times New Roman" w:cs="Times New Roman"/>
          <w:sz w:val="20"/>
          <w:szCs w:val="20"/>
          <w:lang w:eastAsia="en-IN"/>
        </w:rPr>
        <w:t xml:space="preserve">Henstridge et al., 2019) </w:t>
      </w:r>
      <w:r w:rsidRPr="00B02B82">
        <w:rPr>
          <w:rFonts w:ascii="Times New Roman" w:eastAsia="Times New Roman" w:hAnsi="Times New Roman" w:cs="Times New Roman"/>
          <w:sz w:val="20"/>
          <w:szCs w:val="20"/>
          <w:lang w:eastAsia="en-IN"/>
        </w:rPr>
        <w:t>Regarding sexual dimorphism, female dogs displayed significantly higher FBG (</w:t>
      </w:r>
      <w:r w:rsidRPr="00011688">
        <w:rPr>
          <w:rFonts w:ascii="Times New Roman" w:eastAsia="Times New Roman" w:hAnsi="Times New Roman" w:cs="Times New Roman"/>
          <w:sz w:val="20"/>
          <w:szCs w:val="20"/>
          <w:lang w:eastAsia="en-IN"/>
        </w:rPr>
        <w:t>100.20 ± 18.13 mg/dL</w:t>
      </w:r>
      <w:r w:rsidRPr="00B02B82">
        <w:rPr>
          <w:rFonts w:ascii="Times New Roman" w:eastAsia="Times New Roman" w:hAnsi="Times New Roman" w:cs="Times New Roman"/>
          <w:sz w:val="20"/>
          <w:szCs w:val="20"/>
          <w:lang w:eastAsia="en-IN"/>
        </w:rPr>
        <w:t>) compared to males (</w:t>
      </w:r>
      <w:r w:rsidRPr="00011688">
        <w:rPr>
          <w:rFonts w:ascii="Times New Roman" w:eastAsia="Times New Roman" w:hAnsi="Times New Roman" w:cs="Times New Roman"/>
          <w:sz w:val="20"/>
          <w:szCs w:val="20"/>
          <w:lang w:eastAsia="en-IN"/>
        </w:rPr>
        <w:t>91.97 ± 17.70 mg /dL</w:t>
      </w:r>
      <w:r w:rsidRPr="00B02B82">
        <w:rPr>
          <w:rFonts w:ascii="Times New Roman" w:eastAsia="Times New Roman" w:hAnsi="Times New Roman" w:cs="Times New Roman"/>
          <w:sz w:val="20"/>
          <w:szCs w:val="20"/>
          <w:lang w:eastAsia="en-IN"/>
        </w:rPr>
        <w:t xml:space="preserve">), a finding detailed in </w:t>
      </w:r>
      <w:r w:rsidRPr="00011688">
        <w:rPr>
          <w:rFonts w:ascii="Times New Roman" w:eastAsia="Times New Roman" w:hAnsi="Times New Roman" w:cs="Times New Roman"/>
          <w:sz w:val="20"/>
          <w:szCs w:val="20"/>
          <w:lang w:eastAsia="en-IN"/>
        </w:rPr>
        <w:t>Table 2</w:t>
      </w:r>
      <w:r w:rsidRPr="00B02B82">
        <w:rPr>
          <w:rFonts w:ascii="Times New Roman" w:eastAsia="Times New Roman" w:hAnsi="Times New Roman" w:cs="Times New Roman"/>
          <w:sz w:val="20"/>
          <w:szCs w:val="20"/>
          <w:lang w:eastAsia="en-IN"/>
        </w:rPr>
        <w:t xml:space="preserve"> and illustrated in the comparative analysis in </w:t>
      </w:r>
      <w:r w:rsidRPr="00011688">
        <w:rPr>
          <w:rFonts w:ascii="Times New Roman" w:eastAsia="Times New Roman" w:hAnsi="Times New Roman" w:cs="Times New Roman"/>
          <w:sz w:val="20"/>
          <w:szCs w:val="20"/>
          <w:lang w:eastAsia="en-IN"/>
        </w:rPr>
        <w:t>Figure 2</w:t>
      </w:r>
      <w:r w:rsidRPr="00B02B82">
        <w:rPr>
          <w:rFonts w:ascii="Times New Roman" w:eastAsia="Times New Roman" w:hAnsi="Times New Roman" w:cs="Times New Roman"/>
          <w:sz w:val="20"/>
          <w:szCs w:val="20"/>
          <w:lang w:eastAsia="en-IN"/>
        </w:rPr>
        <w:t xml:space="preserve"> (</w:t>
      </w:r>
      <w:r w:rsidRPr="00B02B82">
        <w:rPr>
          <w:rFonts w:ascii="Times New Roman" w:eastAsia="Times New Roman" w:hAnsi="Times New Roman" w:cs="Times New Roman"/>
          <w:i/>
          <w:iCs/>
          <w:sz w:val="20"/>
          <w:szCs w:val="20"/>
          <w:lang w:eastAsia="en-IN"/>
        </w:rPr>
        <w:t>p</w:t>
      </w:r>
      <w:r w:rsidRPr="00B02B82">
        <w:rPr>
          <w:rFonts w:ascii="Times New Roman" w:eastAsia="Times New Roman" w:hAnsi="Times New Roman" w:cs="Times New Roman"/>
          <w:sz w:val="20"/>
          <w:szCs w:val="20"/>
          <w:lang w:eastAsia="en-IN"/>
        </w:rPr>
        <w:t xml:space="preserve"> = 0.0396). This disparity is largely driven by the endocrine profile of the female reproductive cycle. Progesterone surges during </w:t>
      </w:r>
      <w:proofErr w:type="spellStart"/>
      <w:r w:rsidRPr="00B02B82">
        <w:rPr>
          <w:rFonts w:ascii="Times New Roman" w:eastAsia="Times New Roman" w:hAnsi="Times New Roman" w:cs="Times New Roman"/>
          <w:sz w:val="20"/>
          <w:szCs w:val="20"/>
          <w:lang w:eastAsia="en-IN"/>
        </w:rPr>
        <w:t>diestrus</w:t>
      </w:r>
      <w:proofErr w:type="spellEnd"/>
      <w:r w:rsidRPr="00B02B82">
        <w:rPr>
          <w:rFonts w:ascii="Times New Roman" w:eastAsia="Times New Roman" w:hAnsi="Times New Roman" w:cs="Times New Roman"/>
          <w:sz w:val="20"/>
          <w:szCs w:val="20"/>
          <w:lang w:eastAsia="en-IN"/>
        </w:rPr>
        <w:t xml:space="preserve"> stimulate the mammary production of growth hormone, which directly antagonizes insulin action (</w:t>
      </w:r>
      <w:proofErr w:type="spellStart"/>
      <w:r w:rsidRPr="00B02B82">
        <w:rPr>
          <w:rFonts w:ascii="Times New Roman" w:eastAsia="Times New Roman" w:hAnsi="Times New Roman" w:cs="Times New Roman"/>
          <w:sz w:val="20"/>
          <w:szCs w:val="20"/>
          <w:lang w:eastAsia="en-IN"/>
        </w:rPr>
        <w:t>Gilor</w:t>
      </w:r>
      <w:proofErr w:type="spellEnd"/>
      <w:r w:rsidRPr="00B02B82">
        <w:rPr>
          <w:rFonts w:ascii="Times New Roman" w:eastAsia="Times New Roman" w:hAnsi="Times New Roman" w:cs="Times New Roman"/>
          <w:sz w:val="20"/>
          <w:szCs w:val="20"/>
          <w:lang w:eastAsia="en-IN"/>
        </w:rPr>
        <w:t xml:space="preserve"> et al., 2021).</w:t>
      </w:r>
    </w:p>
    <w:p w14:paraId="77B7932F" w14:textId="3F57F758" w:rsidR="00CC37C3" w:rsidRPr="00B02B82" w:rsidRDefault="00FB4EB7" w:rsidP="005E56F0">
      <w:pPr>
        <w:spacing w:before="100" w:beforeAutospacing="1" w:after="100" w:afterAutospacing="1" w:line="360" w:lineRule="auto"/>
        <w:jc w:val="both"/>
        <w:rPr>
          <w:rFonts w:ascii="Times New Roman" w:eastAsia="Times New Roman" w:hAnsi="Times New Roman" w:cs="Times New Roman"/>
          <w:sz w:val="20"/>
          <w:szCs w:val="20"/>
          <w:lang w:eastAsia="en-IN"/>
        </w:rPr>
      </w:pPr>
      <w:r w:rsidRPr="00B02B82">
        <w:rPr>
          <w:rFonts w:ascii="Times New Roman" w:eastAsia="Times New Roman" w:hAnsi="Times New Roman" w:cs="Times New Roman"/>
          <w:sz w:val="20"/>
          <w:szCs w:val="20"/>
          <w:lang w:eastAsia="en-IN"/>
        </w:rPr>
        <w:t>Modern proteomic studies have confirmed that these hormonal shifts impair the translocation of GLUT4 transporters in skeletal muscle (</w:t>
      </w:r>
      <w:proofErr w:type="spellStart"/>
      <w:r w:rsidRPr="00B02B82">
        <w:rPr>
          <w:rFonts w:ascii="Times New Roman" w:eastAsia="Times New Roman" w:hAnsi="Times New Roman" w:cs="Times New Roman"/>
          <w:sz w:val="20"/>
          <w:szCs w:val="20"/>
          <w:lang w:eastAsia="en-IN"/>
        </w:rPr>
        <w:t>Gilor</w:t>
      </w:r>
      <w:proofErr w:type="spellEnd"/>
      <w:r w:rsidRPr="00B02B82">
        <w:rPr>
          <w:rFonts w:ascii="Times New Roman" w:eastAsia="Times New Roman" w:hAnsi="Times New Roman" w:cs="Times New Roman"/>
          <w:sz w:val="20"/>
          <w:szCs w:val="20"/>
          <w:lang w:eastAsia="en-IN"/>
        </w:rPr>
        <w:t xml:space="preserve"> et al., 2021). Furthermore, diseased females may experience higher oxidative stress-induced insulin resistance compared to males in Indian clinical settings, where inflammatory mediators further impair IRS1 and IRS2 </w:t>
      </w:r>
      <w:proofErr w:type="spellStart"/>
      <w:r w:rsidRPr="00B02B82">
        <w:rPr>
          <w:rFonts w:ascii="Times New Roman" w:eastAsia="Times New Roman" w:hAnsi="Times New Roman" w:cs="Times New Roman"/>
          <w:sz w:val="20"/>
          <w:szCs w:val="20"/>
          <w:lang w:eastAsia="en-IN"/>
        </w:rPr>
        <w:t>signaling</w:t>
      </w:r>
      <w:proofErr w:type="spellEnd"/>
      <w:r w:rsidRPr="00B02B82">
        <w:rPr>
          <w:rFonts w:ascii="Times New Roman" w:eastAsia="Times New Roman" w:hAnsi="Times New Roman" w:cs="Times New Roman"/>
          <w:sz w:val="20"/>
          <w:szCs w:val="20"/>
          <w:lang w:eastAsia="en-IN"/>
        </w:rPr>
        <w:t xml:space="preserve"> (</w:t>
      </w:r>
      <w:proofErr w:type="spellStart"/>
      <w:r w:rsidR="002F1D2B" w:rsidRPr="00B02B82">
        <w:rPr>
          <w:rFonts w:ascii="Times New Roman" w:eastAsia="Times New Roman" w:hAnsi="Times New Roman" w:cs="Times New Roman"/>
          <w:sz w:val="20"/>
          <w:szCs w:val="20"/>
          <w:lang w:eastAsia="en-IN"/>
        </w:rPr>
        <w:t>Koomgun</w:t>
      </w:r>
      <w:proofErr w:type="spellEnd"/>
      <w:r w:rsidR="002F1D2B" w:rsidRPr="00B02B82">
        <w:rPr>
          <w:rFonts w:ascii="Times New Roman" w:eastAsia="Times New Roman" w:hAnsi="Times New Roman" w:cs="Times New Roman"/>
          <w:sz w:val="20"/>
          <w:szCs w:val="20"/>
          <w:lang w:eastAsia="en-IN"/>
        </w:rPr>
        <w:t xml:space="preserve"> et al., 2025</w:t>
      </w:r>
      <w:r w:rsidRPr="00B02B82">
        <w:rPr>
          <w:rFonts w:ascii="Times New Roman" w:eastAsia="Times New Roman" w:hAnsi="Times New Roman" w:cs="Times New Roman"/>
          <w:sz w:val="20"/>
          <w:szCs w:val="20"/>
          <w:lang w:eastAsia="en-IN"/>
        </w:rPr>
        <w:t xml:space="preserve">). Adoption of dynamic reference intervals considering these molecular pathways will refine clinical risk stratification, diagnostic interpretation, and </w:t>
      </w:r>
      <w:r w:rsidRPr="00B02B82">
        <w:rPr>
          <w:rFonts w:ascii="Times New Roman" w:eastAsia="Times New Roman" w:hAnsi="Times New Roman" w:cs="Times New Roman"/>
          <w:sz w:val="20"/>
          <w:szCs w:val="20"/>
          <w:lang w:eastAsia="en-IN"/>
        </w:rPr>
        <w:lastRenderedPageBreak/>
        <w:t>individualized management of canine metabolic and endocrine disorders in routine veterinary practice (</w:t>
      </w:r>
      <w:r w:rsidR="001A30A3" w:rsidRPr="00B02B82">
        <w:rPr>
          <w:rFonts w:ascii="Times New Roman" w:eastAsia="Times New Roman" w:hAnsi="Times New Roman" w:cs="Times New Roman"/>
          <w:sz w:val="20"/>
          <w:szCs w:val="20"/>
          <w:lang w:eastAsia="en-IN"/>
        </w:rPr>
        <w:t>Henstridge et al., 2019; Pongrácz and Dobos, 2025</w:t>
      </w:r>
      <w:r w:rsidRPr="00B02B82">
        <w:rPr>
          <w:rFonts w:ascii="Times New Roman" w:eastAsia="Times New Roman" w:hAnsi="Times New Roman" w:cs="Times New Roman"/>
          <w:sz w:val="20"/>
          <w:szCs w:val="20"/>
          <w:lang w:eastAsia="en-IN"/>
        </w:rPr>
        <w:t>).</w:t>
      </w:r>
    </w:p>
    <w:tbl>
      <w:tblPr>
        <w:tblStyle w:val="TableGrid"/>
        <w:tblW w:w="0" w:type="auto"/>
        <w:tblLook w:val="04A0" w:firstRow="1" w:lastRow="0" w:firstColumn="1" w:lastColumn="0" w:noHBand="0" w:noVBand="1"/>
      </w:tblPr>
      <w:tblGrid>
        <w:gridCol w:w="2122"/>
        <w:gridCol w:w="5244"/>
      </w:tblGrid>
      <w:tr w:rsidR="00CC37C3" w:rsidRPr="0039349C" w14:paraId="1B71E495" w14:textId="77777777" w:rsidTr="00F03FBA">
        <w:tc>
          <w:tcPr>
            <w:tcW w:w="7366" w:type="dxa"/>
            <w:gridSpan w:val="2"/>
          </w:tcPr>
          <w:p w14:paraId="58965CC5" w14:textId="77777777" w:rsidR="00CC37C3" w:rsidRPr="00AF0684" w:rsidRDefault="00CC37C3" w:rsidP="00F03FBA">
            <w:pPr>
              <w:spacing w:line="360" w:lineRule="auto"/>
              <w:rPr>
                <w:rFonts w:ascii="Times New Roman" w:hAnsi="Times New Roman" w:cs="Times New Roman"/>
                <w:b/>
                <w:bCs/>
                <w:sz w:val="20"/>
                <w:szCs w:val="20"/>
                <w:lang w:val="en-US"/>
              </w:rPr>
            </w:pPr>
            <w:r w:rsidRPr="00F03FBA">
              <w:rPr>
                <w:rFonts w:ascii="Times New Roman" w:eastAsia="Times New Roman" w:hAnsi="Times New Roman" w:cs="Times New Roman"/>
                <w:sz w:val="20"/>
                <w:szCs w:val="20"/>
                <w:lang w:eastAsia="en-IN"/>
              </w:rPr>
              <w:t>Table 2. Mean ± SD of Glucose Levels by Gender</w:t>
            </w:r>
          </w:p>
        </w:tc>
      </w:tr>
      <w:tr w:rsidR="00CC37C3" w:rsidRPr="00F03FBA" w14:paraId="2130B8D7" w14:textId="77777777" w:rsidTr="00F03FBA">
        <w:tc>
          <w:tcPr>
            <w:tcW w:w="2122" w:type="dxa"/>
          </w:tcPr>
          <w:p w14:paraId="7B5AFAFF" w14:textId="77777777" w:rsidR="00CC37C3" w:rsidRPr="00AF0684" w:rsidRDefault="00CC37C3" w:rsidP="00F03FBA">
            <w:pPr>
              <w:spacing w:line="360" w:lineRule="auto"/>
              <w:rPr>
                <w:rFonts w:ascii="Times New Roman" w:eastAsia="Times New Roman" w:hAnsi="Times New Roman" w:cs="Times New Roman"/>
                <w:b/>
                <w:bCs/>
                <w:sz w:val="20"/>
                <w:szCs w:val="20"/>
                <w:lang w:eastAsia="en-IN"/>
              </w:rPr>
            </w:pPr>
            <w:r w:rsidRPr="00AF0684">
              <w:rPr>
                <w:rFonts w:ascii="Times New Roman" w:eastAsia="Times New Roman" w:hAnsi="Times New Roman" w:cs="Times New Roman"/>
                <w:b/>
                <w:bCs/>
                <w:sz w:val="20"/>
                <w:szCs w:val="20"/>
                <w:lang w:eastAsia="en-IN"/>
              </w:rPr>
              <w:t>Gender</w:t>
            </w:r>
          </w:p>
        </w:tc>
        <w:tc>
          <w:tcPr>
            <w:tcW w:w="5244" w:type="dxa"/>
          </w:tcPr>
          <w:p w14:paraId="6C5C04CA" w14:textId="77777777" w:rsidR="00CC37C3" w:rsidRPr="00AF0684" w:rsidRDefault="00CC37C3" w:rsidP="00F03FBA">
            <w:pPr>
              <w:spacing w:line="360" w:lineRule="auto"/>
              <w:rPr>
                <w:rFonts w:ascii="Times New Roman" w:eastAsia="Times New Roman" w:hAnsi="Times New Roman" w:cs="Times New Roman"/>
                <w:b/>
                <w:bCs/>
                <w:sz w:val="20"/>
                <w:szCs w:val="20"/>
                <w:lang w:eastAsia="en-IN"/>
              </w:rPr>
            </w:pPr>
            <w:r w:rsidRPr="00AF0684">
              <w:rPr>
                <w:rFonts w:ascii="Times New Roman" w:hAnsi="Times New Roman" w:cs="Times New Roman"/>
                <w:b/>
                <w:bCs/>
                <w:sz w:val="20"/>
                <w:szCs w:val="20"/>
                <w:lang w:val="en-US"/>
              </w:rPr>
              <w:t>Glucose level Mean ± Standard deviation</w:t>
            </w:r>
          </w:p>
        </w:tc>
      </w:tr>
      <w:tr w:rsidR="00CC37C3" w:rsidRPr="00F03FBA" w14:paraId="590B5364" w14:textId="77777777" w:rsidTr="00F03FBA">
        <w:tc>
          <w:tcPr>
            <w:tcW w:w="2122" w:type="dxa"/>
          </w:tcPr>
          <w:p w14:paraId="652FC288" w14:textId="77777777" w:rsidR="00CC37C3" w:rsidRPr="00AF0684" w:rsidRDefault="00CC37C3" w:rsidP="00F03FBA">
            <w:pPr>
              <w:spacing w:line="360" w:lineRule="auto"/>
              <w:rPr>
                <w:rFonts w:ascii="Times New Roman" w:eastAsia="Times New Roman" w:hAnsi="Times New Roman" w:cs="Times New Roman"/>
                <w:sz w:val="20"/>
                <w:szCs w:val="20"/>
                <w:lang w:eastAsia="en-IN"/>
              </w:rPr>
            </w:pPr>
            <w:r w:rsidRPr="00AF0684">
              <w:rPr>
                <w:rFonts w:ascii="Times New Roman" w:eastAsia="Times New Roman" w:hAnsi="Times New Roman" w:cs="Times New Roman"/>
                <w:sz w:val="20"/>
                <w:szCs w:val="20"/>
                <w:lang w:eastAsia="en-IN"/>
              </w:rPr>
              <w:t>Female</w:t>
            </w:r>
          </w:p>
        </w:tc>
        <w:tc>
          <w:tcPr>
            <w:tcW w:w="5244" w:type="dxa"/>
            <w:vAlign w:val="bottom"/>
          </w:tcPr>
          <w:p w14:paraId="7446BE9C" w14:textId="77777777" w:rsidR="00CC37C3" w:rsidRPr="00AF0684" w:rsidRDefault="00CC37C3" w:rsidP="00F03FBA">
            <w:pPr>
              <w:spacing w:line="360" w:lineRule="auto"/>
              <w:rPr>
                <w:rFonts w:ascii="Times New Roman" w:eastAsia="Times New Roman" w:hAnsi="Times New Roman" w:cs="Times New Roman"/>
                <w:sz w:val="20"/>
                <w:szCs w:val="20"/>
                <w:lang w:eastAsia="en-IN"/>
              </w:rPr>
            </w:pPr>
            <w:r w:rsidRPr="00AF0684">
              <w:rPr>
                <w:rFonts w:ascii="Times New Roman" w:hAnsi="Times New Roman" w:cs="Times New Roman"/>
                <w:sz w:val="20"/>
                <w:szCs w:val="20"/>
                <w:lang w:val="en-US"/>
              </w:rPr>
              <w:t>100.20± 18.13</w:t>
            </w:r>
          </w:p>
        </w:tc>
      </w:tr>
      <w:tr w:rsidR="00CC37C3" w:rsidRPr="00F03FBA" w14:paraId="5B2A3325" w14:textId="77777777" w:rsidTr="00F03FBA">
        <w:tc>
          <w:tcPr>
            <w:tcW w:w="2122" w:type="dxa"/>
          </w:tcPr>
          <w:p w14:paraId="228B12C0" w14:textId="77777777" w:rsidR="00CC37C3" w:rsidRPr="00AF0684" w:rsidRDefault="00CC37C3" w:rsidP="00F03FBA">
            <w:pPr>
              <w:spacing w:line="360" w:lineRule="auto"/>
              <w:rPr>
                <w:rFonts w:ascii="Times New Roman" w:eastAsia="Times New Roman" w:hAnsi="Times New Roman" w:cs="Times New Roman"/>
                <w:sz w:val="20"/>
                <w:szCs w:val="20"/>
                <w:lang w:eastAsia="en-IN"/>
              </w:rPr>
            </w:pPr>
            <w:r w:rsidRPr="00AF0684">
              <w:rPr>
                <w:rFonts w:ascii="Times New Roman" w:eastAsia="Times New Roman" w:hAnsi="Times New Roman" w:cs="Times New Roman"/>
                <w:sz w:val="20"/>
                <w:szCs w:val="20"/>
                <w:lang w:eastAsia="en-IN"/>
              </w:rPr>
              <w:t>Male</w:t>
            </w:r>
          </w:p>
        </w:tc>
        <w:tc>
          <w:tcPr>
            <w:tcW w:w="5244" w:type="dxa"/>
            <w:vAlign w:val="bottom"/>
          </w:tcPr>
          <w:p w14:paraId="4C5B070C" w14:textId="77777777" w:rsidR="00CC37C3" w:rsidRPr="00AF0684" w:rsidRDefault="00CC37C3" w:rsidP="00F03FBA">
            <w:pPr>
              <w:spacing w:line="360" w:lineRule="auto"/>
              <w:rPr>
                <w:rFonts w:ascii="Times New Roman" w:eastAsia="Times New Roman" w:hAnsi="Times New Roman" w:cs="Times New Roman"/>
                <w:sz w:val="20"/>
                <w:szCs w:val="20"/>
                <w:lang w:eastAsia="en-IN"/>
              </w:rPr>
            </w:pPr>
            <w:r w:rsidRPr="00AF0684">
              <w:rPr>
                <w:rFonts w:ascii="Times New Roman" w:hAnsi="Times New Roman" w:cs="Times New Roman"/>
                <w:sz w:val="20"/>
                <w:szCs w:val="20"/>
                <w:lang w:val="en-US"/>
              </w:rPr>
              <w:t>91.97 ± 17.70</w:t>
            </w:r>
          </w:p>
        </w:tc>
      </w:tr>
    </w:tbl>
    <w:p w14:paraId="6C5C2B70" w14:textId="3C07DEB9" w:rsidR="00CC37C3" w:rsidRPr="00AF0684" w:rsidRDefault="00CC37C3" w:rsidP="007D230E">
      <w:pPr>
        <w:spacing w:before="100" w:beforeAutospacing="1" w:after="100" w:afterAutospacing="1" w:line="360" w:lineRule="auto"/>
        <w:jc w:val="both"/>
        <w:rPr>
          <w:rFonts w:ascii="Times New Roman" w:hAnsi="Times New Roman" w:cs="Times New Roman"/>
          <w:noProof/>
          <w:sz w:val="20"/>
          <w:szCs w:val="20"/>
        </w:rPr>
      </w:pPr>
    </w:p>
    <w:p w14:paraId="46A97622" w14:textId="71583C97" w:rsidR="00CC37C3" w:rsidRPr="00AF0684" w:rsidRDefault="00CC37C3" w:rsidP="00CC37C3">
      <w:pPr>
        <w:spacing w:line="360" w:lineRule="auto"/>
        <w:rPr>
          <w:rFonts w:ascii="Times New Roman" w:hAnsi="Times New Roman" w:cs="Times New Roman"/>
          <w:noProof/>
          <w:sz w:val="20"/>
          <w:szCs w:val="20"/>
        </w:rPr>
      </w:pPr>
      <w:r w:rsidRPr="00AF0684">
        <w:rPr>
          <w:rFonts w:ascii="Times New Roman" w:hAnsi="Times New Roman" w:cs="Times New Roman"/>
          <w:noProof/>
          <w:sz w:val="20"/>
          <w:szCs w:val="20"/>
          <w:lang w:eastAsia="en-IN"/>
        </w:rPr>
        <w:drawing>
          <wp:inline distT="0" distB="0" distL="0" distR="0" wp14:anchorId="56812E10" wp14:editId="34D105E9">
            <wp:extent cx="4572000" cy="2743200"/>
            <wp:effectExtent l="0" t="0" r="0" b="0"/>
            <wp:docPr id="1755359205" name="Chart 1755359205">
              <a:extLst xmlns:a="http://schemas.openxmlformats.org/drawingml/2006/main">
                <a:ext uri="{FF2B5EF4-FFF2-40B4-BE49-F238E27FC236}">
                  <a16:creationId xmlns:a16="http://schemas.microsoft.com/office/drawing/2014/main" id="{509AB084-7666-4B7A-99CA-25DCC76032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C47C42" w14:textId="42790F38" w:rsidR="00CC37C3" w:rsidRPr="00AF0684" w:rsidRDefault="00CC37C3" w:rsidP="007D230E">
      <w:pPr>
        <w:spacing w:after="0" w:line="360" w:lineRule="auto"/>
        <w:jc w:val="both"/>
        <w:rPr>
          <w:rFonts w:ascii="Times New Roman" w:eastAsia="Times New Roman" w:hAnsi="Times New Roman" w:cs="Times New Roman"/>
          <w:sz w:val="20"/>
          <w:szCs w:val="20"/>
          <w:lang w:eastAsia="en-IN"/>
        </w:rPr>
      </w:pPr>
      <w:r w:rsidRPr="00AF0684">
        <w:rPr>
          <w:rFonts w:ascii="Times New Roman" w:eastAsia="Times New Roman" w:hAnsi="Times New Roman" w:cs="Times New Roman"/>
          <w:b/>
          <w:bCs/>
          <w:sz w:val="20"/>
          <w:szCs w:val="20"/>
          <w:lang w:eastAsia="en-IN"/>
        </w:rPr>
        <w:t>Figure 2</w:t>
      </w:r>
      <w:r w:rsidRPr="00AF0684">
        <w:rPr>
          <w:rFonts w:ascii="Times New Roman" w:eastAsia="Times New Roman" w:hAnsi="Times New Roman" w:cs="Times New Roman"/>
          <w:sz w:val="20"/>
          <w:szCs w:val="20"/>
          <w:lang w:eastAsia="en-IN"/>
        </w:rPr>
        <w:t>. Comparison of fasting blood glucose levels between female and male dogs. Female dogs showed significantly higher glucose levels than males (p = 0.0396).</w:t>
      </w:r>
    </w:p>
    <w:p w14:paraId="2323C29B" w14:textId="6BEA9D7F" w:rsidR="006D2F22" w:rsidRPr="00AF0684" w:rsidRDefault="006D2F22" w:rsidP="00AF0684">
      <w:pPr>
        <w:spacing w:before="100" w:beforeAutospacing="1" w:after="100" w:afterAutospacing="1" w:line="360" w:lineRule="auto"/>
        <w:jc w:val="both"/>
        <w:rPr>
          <w:rFonts w:ascii="Times New Roman" w:eastAsia="Times New Roman" w:hAnsi="Times New Roman" w:cs="Times New Roman"/>
          <w:sz w:val="20"/>
          <w:szCs w:val="20"/>
          <w:lang w:eastAsia="en-IN"/>
        </w:rPr>
      </w:pPr>
      <w:r w:rsidRPr="00AF0684">
        <w:rPr>
          <w:rFonts w:ascii="Times New Roman" w:eastAsia="Times New Roman" w:hAnsi="Times New Roman" w:cs="Times New Roman"/>
          <w:sz w:val="20"/>
          <w:szCs w:val="20"/>
          <w:lang w:eastAsia="en-IN"/>
        </w:rPr>
        <w:t xml:space="preserve">4. </w:t>
      </w:r>
      <w:r w:rsidR="0016336F" w:rsidRPr="00AF0684">
        <w:rPr>
          <w:rFonts w:ascii="Times New Roman" w:eastAsia="Times New Roman" w:hAnsi="Times New Roman" w:cs="Times New Roman"/>
          <w:b/>
          <w:bCs/>
          <w:sz w:val="20"/>
          <w:szCs w:val="20"/>
          <w:lang w:eastAsia="en-IN"/>
        </w:rPr>
        <w:t>CONCLUSION</w:t>
      </w:r>
    </w:p>
    <w:p w14:paraId="0C16ED91" w14:textId="6A1AD9D5" w:rsidR="006D2F22" w:rsidRPr="00AF0684" w:rsidRDefault="00112361" w:rsidP="00AF0684">
      <w:pPr>
        <w:spacing w:before="100" w:beforeAutospacing="1" w:after="100" w:afterAutospacing="1" w:line="360" w:lineRule="auto"/>
        <w:jc w:val="both"/>
        <w:rPr>
          <w:rFonts w:ascii="Times New Roman" w:eastAsia="Times New Roman" w:hAnsi="Times New Roman" w:cs="Times New Roman"/>
          <w:b/>
          <w:bCs/>
          <w:sz w:val="20"/>
          <w:szCs w:val="20"/>
          <w:lang w:eastAsia="en-IN"/>
        </w:rPr>
      </w:pPr>
      <w:r w:rsidRPr="00AF0684">
        <w:rPr>
          <w:rFonts w:ascii="Times New Roman" w:eastAsia="Times New Roman" w:hAnsi="Times New Roman" w:cs="Times New Roman"/>
          <w:sz w:val="20"/>
          <w:szCs w:val="20"/>
          <w:lang w:eastAsia="en-IN"/>
        </w:rPr>
        <w:t xml:space="preserve">This study confirms that both age and gender significantly affect fasting blood glucose levels in dogs. Defining age-specific and sex-specific reference intervals can improve the accuracy of diagnostic interpretations and aid in the effective management of metabolic conditions in veterinary practice. Practitioners are advised to consider the dog's age and sex when evaluating blood glucose results to prevent misdiagnosis of </w:t>
      </w:r>
      <w:proofErr w:type="spellStart"/>
      <w:r w:rsidRPr="00AF0684">
        <w:rPr>
          <w:rFonts w:ascii="Times New Roman" w:eastAsia="Times New Roman" w:hAnsi="Times New Roman" w:cs="Times New Roman"/>
          <w:sz w:val="20"/>
          <w:szCs w:val="20"/>
          <w:lang w:eastAsia="en-IN"/>
        </w:rPr>
        <w:t>hyperglycemia</w:t>
      </w:r>
      <w:proofErr w:type="spellEnd"/>
      <w:r w:rsidRPr="00AF0684">
        <w:rPr>
          <w:rFonts w:ascii="Times New Roman" w:eastAsia="Times New Roman" w:hAnsi="Times New Roman" w:cs="Times New Roman"/>
          <w:sz w:val="20"/>
          <w:szCs w:val="20"/>
          <w:lang w:eastAsia="en-IN"/>
        </w:rPr>
        <w:t xml:space="preserve">, particularly in growing puppies and females undergoing </w:t>
      </w:r>
      <w:proofErr w:type="spellStart"/>
      <w:r w:rsidRPr="00AF0684">
        <w:rPr>
          <w:rFonts w:ascii="Times New Roman" w:eastAsia="Times New Roman" w:hAnsi="Times New Roman" w:cs="Times New Roman"/>
          <w:sz w:val="20"/>
          <w:szCs w:val="20"/>
          <w:lang w:eastAsia="en-IN"/>
        </w:rPr>
        <w:t>estrus</w:t>
      </w:r>
      <w:proofErr w:type="spellEnd"/>
      <w:r w:rsidRPr="00AF0684">
        <w:rPr>
          <w:rFonts w:ascii="Times New Roman" w:eastAsia="Times New Roman" w:hAnsi="Times New Roman" w:cs="Times New Roman"/>
          <w:sz w:val="20"/>
          <w:szCs w:val="20"/>
          <w:lang w:eastAsia="en-IN"/>
        </w:rPr>
        <w:t>. Incorporating these factors into clinical assessments will contribute to more individualized and precise veterinary care.</w:t>
      </w:r>
    </w:p>
    <w:p w14:paraId="459ACD4C" w14:textId="77777777" w:rsidR="00167FAD" w:rsidRDefault="00167FAD" w:rsidP="00B22875">
      <w:pPr>
        <w:spacing w:line="360" w:lineRule="auto"/>
        <w:jc w:val="both"/>
        <w:rPr>
          <w:rFonts w:ascii="Times New Roman" w:hAnsi="Times New Roman" w:cs="Times New Roman"/>
          <w:b/>
          <w:bCs/>
          <w:sz w:val="20"/>
          <w:szCs w:val="20"/>
          <w:lang w:eastAsia="en-IN"/>
        </w:rPr>
      </w:pPr>
      <w:bookmarkStart w:id="1" w:name="_GoBack"/>
      <w:bookmarkEnd w:id="1"/>
    </w:p>
    <w:p w14:paraId="1F3C1553" w14:textId="77777777" w:rsidR="00B02B82" w:rsidRDefault="00B02B82">
      <w:pPr>
        <w:spacing w:line="360" w:lineRule="auto"/>
        <w:jc w:val="both"/>
        <w:rPr>
          <w:rFonts w:ascii="Times New Roman" w:hAnsi="Times New Roman" w:cs="Times New Roman"/>
          <w:b/>
          <w:bCs/>
          <w:sz w:val="20"/>
          <w:szCs w:val="20"/>
          <w:lang w:eastAsia="en-IN"/>
        </w:rPr>
      </w:pPr>
      <w:bookmarkStart w:id="2" w:name="_Hlk218766521"/>
    </w:p>
    <w:p w14:paraId="1F6B8431" w14:textId="61193611" w:rsidR="00A049FF" w:rsidRDefault="006D2F22">
      <w:pPr>
        <w:spacing w:line="360" w:lineRule="auto"/>
        <w:jc w:val="both"/>
        <w:rPr>
          <w:rFonts w:ascii="Calibri" w:eastAsia="Times New Roman" w:hAnsi="Calibri" w:cs="Calibri"/>
          <w:color w:val="EE0000"/>
          <w:lang w:eastAsia="zh-CN"/>
        </w:rPr>
      </w:pPr>
      <w:r w:rsidRPr="00AF0684">
        <w:rPr>
          <w:rFonts w:ascii="Times New Roman" w:hAnsi="Times New Roman" w:cs="Times New Roman"/>
          <w:b/>
          <w:bCs/>
          <w:sz w:val="20"/>
          <w:szCs w:val="20"/>
          <w:lang w:eastAsia="en-IN"/>
        </w:rPr>
        <w:t xml:space="preserve">6. </w:t>
      </w:r>
      <w:r w:rsidRPr="00AF0684">
        <w:rPr>
          <w:rFonts w:ascii="Times New Roman" w:hAnsi="Times New Roman" w:cs="Times New Roman"/>
          <w:b/>
          <w:bCs/>
          <w:sz w:val="20"/>
          <w:szCs w:val="20"/>
        </w:rPr>
        <w:t>REFERENCE</w:t>
      </w:r>
    </w:p>
    <w:p w14:paraId="62FDC9FC" w14:textId="77777777" w:rsidR="00421789" w:rsidRPr="00A4274E"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lastRenderedPageBreak/>
        <w:t xml:space="preserve">An, J.H., Ko, B.G., Namkung, H., Lee, H.G., Lim, H.W., Huh, W., Ryu, M.O., 2025. Differential </w:t>
      </w:r>
      <w:proofErr w:type="spellStart"/>
      <w:r w:rsidRPr="00A4274E">
        <w:rPr>
          <w:rFonts w:ascii="Times New Roman" w:hAnsi="Times New Roman" w:cs="Times New Roman"/>
          <w:sz w:val="20"/>
          <w:szCs w:val="20"/>
        </w:rPr>
        <w:t>glycemic</w:t>
      </w:r>
      <w:proofErr w:type="spellEnd"/>
      <w:r w:rsidRPr="00A4274E">
        <w:rPr>
          <w:rFonts w:ascii="Times New Roman" w:hAnsi="Times New Roman" w:cs="Times New Roman"/>
          <w:sz w:val="20"/>
          <w:szCs w:val="20"/>
        </w:rPr>
        <w:t xml:space="preserve"> effects of DWP16001 in diabetic dogs according to baseline </w:t>
      </w:r>
      <w:proofErr w:type="spellStart"/>
      <w:r w:rsidRPr="00A4274E">
        <w:rPr>
          <w:rFonts w:ascii="Times New Roman" w:hAnsi="Times New Roman" w:cs="Times New Roman"/>
          <w:sz w:val="20"/>
          <w:szCs w:val="20"/>
        </w:rPr>
        <w:t>glycemic</w:t>
      </w:r>
      <w:proofErr w:type="spellEnd"/>
      <w:r w:rsidRPr="00A4274E">
        <w:rPr>
          <w:rFonts w:ascii="Times New Roman" w:hAnsi="Times New Roman" w:cs="Times New Roman"/>
          <w:sz w:val="20"/>
          <w:szCs w:val="20"/>
        </w:rPr>
        <w:t xml:space="preserve"> status: a </w:t>
      </w:r>
      <w:proofErr w:type="spellStart"/>
      <w:r w:rsidRPr="00A4274E">
        <w:rPr>
          <w:rFonts w:ascii="Times New Roman" w:hAnsi="Times New Roman" w:cs="Times New Roman"/>
          <w:sz w:val="20"/>
          <w:szCs w:val="20"/>
        </w:rPr>
        <w:t>multicenter</w:t>
      </w:r>
      <w:proofErr w:type="spellEnd"/>
      <w:r w:rsidRPr="00A4274E">
        <w:rPr>
          <w:rFonts w:ascii="Times New Roman" w:hAnsi="Times New Roman" w:cs="Times New Roman"/>
          <w:sz w:val="20"/>
          <w:szCs w:val="20"/>
        </w:rPr>
        <w:t xml:space="preserve"> randomized controlled trial. </w:t>
      </w:r>
      <w:r w:rsidRPr="00A6432F">
        <w:rPr>
          <w:rFonts w:ascii="Times New Roman" w:hAnsi="Times New Roman" w:cs="Times New Roman"/>
          <w:sz w:val="20"/>
          <w:szCs w:val="20"/>
        </w:rPr>
        <w:t>BMC Veterinary Research</w:t>
      </w:r>
      <w:r w:rsidRPr="00A4274E">
        <w:rPr>
          <w:rFonts w:ascii="Times New Roman" w:hAnsi="Times New Roman" w:cs="Times New Roman"/>
          <w:sz w:val="20"/>
          <w:szCs w:val="20"/>
        </w:rPr>
        <w:t xml:space="preserve"> 21(1), 512. </w:t>
      </w:r>
      <w:hyperlink r:id="rId9" w:history="1">
        <w:r w:rsidRPr="009F568F">
          <w:rPr>
            <w:rStyle w:val="Hyperlink"/>
            <w:rFonts w:ascii="Times New Roman" w:hAnsi="Times New Roman" w:cs="Times New Roman"/>
            <w:sz w:val="20"/>
            <w:szCs w:val="20"/>
          </w:rPr>
          <w:t>https://doi.org/10.1186/s12917-025-04962-y</w:t>
        </w:r>
      </w:hyperlink>
    </w:p>
    <w:p w14:paraId="3D3AB87E" w14:textId="354B78A2" w:rsidR="00421789" w:rsidRPr="00A4274E"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t>Banton, S., 2025. Examining the effects of whole pulse ingredients in extruded diets on amino acid metabolism and digestibility, and the physiological impact of high protein, low carbohydrate diets on energy expenditure, and cardiometabolic outcomes in adult large breed dogs. Doctoral dissertation, University of Guelph.</w:t>
      </w:r>
      <w:r w:rsidR="005E56F0">
        <w:rPr>
          <w:rFonts w:ascii="Times New Roman" w:hAnsi="Times New Roman" w:cs="Times New Roman"/>
          <w:sz w:val="20"/>
          <w:szCs w:val="20"/>
        </w:rPr>
        <w:t xml:space="preserve"> </w:t>
      </w:r>
      <w:hyperlink r:id="rId10" w:history="1">
        <w:r w:rsidR="005E56F0" w:rsidRPr="005E56F0">
          <w:rPr>
            <w:rStyle w:val="Hyperlink"/>
            <w:rFonts w:ascii="Times New Roman" w:hAnsi="Times New Roman" w:cs="Times New Roman"/>
            <w:sz w:val="20"/>
            <w:szCs w:val="20"/>
          </w:rPr>
          <w:t>https://hdl.handle.net/10214/29140</w:t>
        </w:r>
      </w:hyperlink>
    </w:p>
    <w:p w14:paraId="10C47B7D" w14:textId="77777777" w:rsidR="00421789" w:rsidRPr="00BE7EDD" w:rsidRDefault="00421789" w:rsidP="00421789">
      <w:pPr>
        <w:spacing w:line="360" w:lineRule="auto"/>
        <w:jc w:val="both"/>
        <w:rPr>
          <w:rFonts w:ascii="Times New Roman" w:hAnsi="Times New Roman" w:cs="Times New Roman"/>
          <w:sz w:val="20"/>
          <w:szCs w:val="20"/>
        </w:rPr>
      </w:pPr>
      <w:r w:rsidRPr="00011688">
        <w:rPr>
          <w:rFonts w:ascii="Times New Roman" w:hAnsi="Times New Roman" w:cs="Times New Roman"/>
          <w:sz w:val="20"/>
          <w:szCs w:val="20"/>
        </w:rPr>
        <w:t>Behrend, E., Holford, A., Lathan, P., Rucinsky, R., Schulman, R., 2018.</w:t>
      </w:r>
      <w:r w:rsidRPr="00BE7EDD">
        <w:rPr>
          <w:rFonts w:ascii="Times New Roman" w:hAnsi="Times New Roman" w:cs="Times New Roman"/>
          <w:sz w:val="20"/>
          <w:szCs w:val="20"/>
        </w:rPr>
        <w:t xml:space="preserve"> 2018 AAHA Diabetes Management Guidelines for Dogs and Cats. Journal of the American Animal Hospital Association 54(1), 1–21. </w:t>
      </w:r>
      <w:r w:rsidRPr="008F5EFC">
        <w:rPr>
          <w:rFonts w:ascii="Times New Roman" w:hAnsi="Times New Roman" w:cs="Times New Roman"/>
          <w:sz w:val="20"/>
          <w:szCs w:val="20"/>
        </w:rPr>
        <w:t>DOI 10.5326/JAAHA-MS-6822)</w:t>
      </w:r>
    </w:p>
    <w:p w14:paraId="5CC22959" w14:textId="77777777" w:rsidR="00421789" w:rsidRPr="00A4274E"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t xml:space="preserve">De Tata, V., 2014. Age-related impairment of pancreatic β-cell function: pathophysiological and cellular mechanisms. Frontiers in Endocrinology 5, 138. </w:t>
      </w:r>
      <w:r w:rsidRPr="0091183C">
        <w:rPr>
          <w:rFonts w:ascii="Times New Roman" w:hAnsi="Times New Roman" w:cs="Times New Roman"/>
          <w:sz w:val="20"/>
          <w:szCs w:val="20"/>
        </w:rPr>
        <w:t> </w:t>
      </w:r>
      <w:hyperlink r:id="rId11" w:history="1">
        <w:r w:rsidRPr="0091183C">
          <w:rPr>
            <w:rStyle w:val="Hyperlink"/>
            <w:rFonts w:ascii="Times New Roman" w:hAnsi="Times New Roman" w:cs="Times New Roman"/>
            <w:sz w:val="20"/>
            <w:szCs w:val="20"/>
          </w:rPr>
          <w:t>https://doi.org/10.3389/fendo.2014.00138</w:t>
        </w:r>
      </w:hyperlink>
    </w:p>
    <w:p w14:paraId="1FB92B5A" w14:textId="77777777" w:rsidR="00421789" w:rsidRPr="00BE7EDD" w:rsidRDefault="00421789" w:rsidP="00421789">
      <w:pPr>
        <w:spacing w:line="360" w:lineRule="auto"/>
        <w:jc w:val="both"/>
        <w:rPr>
          <w:rFonts w:ascii="Times New Roman" w:hAnsi="Times New Roman" w:cs="Times New Roman"/>
          <w:sz w:val="20"/>
          <w:szCs w:val="20"/>
        </w:rPr>
      </w:pPr>
      <w:r>
        <w:rPr>
          <w:rFonts w:ascii="Times New Roman" w:hAnsi="Times New Roman" w:cs="Times New Roman"/>
          <w:sz w:val="20"/>
          <w:szCs w:val="20"/>
        </w:rPr>
        <w:t>Elie, M.</w:t>
      </w:r>
      <w:r w:rsidRPr="00011688">
        <w:rPr>
          <w:rFonts w:ascii="Times New Roman" w:hAnsi="Times New Roman" w:cs="Times New Roman"/>
          <w:sz w:val="20"/>
          <w:szCs w:val="20"/>
        </w:rPr>
        <w:t>S., Hoenig, M., 2017.</w:t>
      </w:r>
      <w:r w:rsidRPr="00BE7EDD">
        <w:rPr>
          <w:rFonts w:ascii="Times New Roman" w:hAnsi="Times New Roman" w:cs="Times New Roman"/>
          <w:sz w:val="20"/>
          <w:szCs w:val="20"/>
        </w:rPr>
        <w:t xml:space="preserve"> Canine diabetes mellitus. Veterinary Clinics of North America: Small Animal Practice 47(2), 433–446.</w:t>
      </w:r>
      <w:r>
        <w:rPr>
          <w:rFonts w:ascii="Times New Roman" w:hAnsi="Times New Roman" w:cs="Times New Roman"/>
          <w:sz w:val="20"/>
          <w:szCs w:val="20"/>
        </w:rPr>
        <w:t xml:space="preserve"> </w:t>
      </w:r>
      <w:r w:rsidRPr="00983C92">
        <w:rPr>
          <w:rFonts w:ascii="Times New Roman" w:hAnsi="Times New Roman" w:cs="Times New Roman"/>
          <w:sz w:val="20"/>
          <w:szCs w:val="20"/>
        </w:rPr>
        <w:t>http://veterinaryirelandjournal.com/images/pdf/focus/focus1_may_2017.pdf</w:t>
      </w:r>
    </w:p>
    <w:p w14:paraId="1DC0E461" w14:textId="77777777" w:rsidR="00421789" w:rsidRPr="00BE7EDD" w:rsidRDefault="00421789" w:rsidP="00421789">
      <w:pPr>
        <w:spacing w:line="360" w:lineRule="auto"/>
        <w:jc w:val="both"/>
        <w:rPr>
          <w:rFonts w:ascii="Times New Roman" w:hAnsi="Times New Roman" w:cs="Times New Roman"/>
          <w:sz w:val="20"/>
          <w:szCs w:val="20"/>
        </w:rPr>
      </w:pPr>
      <w:r>
        <w:rPr>
          <w:rFonts w:ascii="Times New Roman" w:hAnsi="Times New Roman" w:cs="Times New Roman"/>
          <w:sz w:val="20"/>
          <w:szCs w:val="20"/>
        </w:rPr>
        <w:t>Feldman, E.</w:t>
      </w:r>
      <w:r w:rsidRPr="00011688">
        <w:rPr>
          <w:rFonts w:ascii="Times New Roman" w:hAnsi="Times New Roman" w:cs="Times New Roman"/>
          <w:sz w:val="20"/>
          <w:szCs w:val="20"/>
        </w:rPr>
        <w:t>C., Nelson, R. W., 2014.</w:t>
      </w:r>
      <w:r w:rsidRPr="00BE7EDD">
        <w:rPr>
          <w:rFonts w:ascii="Times New Roman" w:hAnsi="Times New Roman" w:cs="Times New Roman"/>
          <w:sz w:val="20"/>
          <w:szCs w:val="20"/>
        </w:rPr>
        <w:t xml:space="preserve"> Canine and Feline Endocrinology and Reproduction. 4th Edition, Saunders, Philadelphia, USA. </w:t>
      </w:r>
      <w:r w:rsidRPr="00983C92">
        <w:rPr>
          <w:rFonts w:ascii="Times New Roman" w:hAnsi="Times New Roman" w:cs="Times New Roman"/>
          <w:sz w:val="20"/>
          <w:szCs w:val="20"/>
        </w:rPr>
        <w:t>https://pmc.ncbi.nlm.nih.gov/articles/PMC5508930/</w:t>
      </w:r>
    </w:p>
    <w:p w14:paraId="0C06180F" w14:textId="2D92774F" w:rsidR="00421789" w:rsidRPr="008F5EFC" w:rsidRDefault="00421789" w:rsidP="00421789">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Gilor</w:t>
      </w:r>
      <w:proofErr w:type="spellEnd"/>
      <w:r>
        <w:rPr>
          <w:rFonts w:ascii="Times New Roman" w:hAnsi="Times New Roman" w:cs="Times New Roman"/>
          <w:sz w:val="20"/>
          <w:szCs w:val="20"/>
        </w:rPr>
        <w:t>, C., Niessen, S.J., Furrow, E., Di Bartola, S.</w:t>
      </w:r>
      <w:r w:rsidRPr="00011688">
        <w:rPr>
          <w:rFonts w:ascii="Times New Roman" w:hAnsi="Times New Roman" w:cs="Times New Roman"/>
          <w:sz w:val="20"/>
          <w:szCs w:val="20"/>
        </w:rPr>
        <w:t>P., 2021.</w:t>
      </w:r>
      <w:r w:rsidRPr="00BE7EDD">
        <w:rPr>
          <w:rFonts w:ascii="Times New Roman" w:hAnsi="Times New Roman" w:cs="Times New Roman"/>
          <w:sz w:val="20"/>
          <w:szCs w:val="20"/>
        </w:rPr>
        <w:t xml:space="preserve"> What’s in a name? Classification of diabetes mellitus in veterinary medicine and its importance. Journal of Veterinary Internal Medicine 35(5), 2097–2107. </w:t>
      </w:r>
      <w:r w:rsidRPr="008F5EFC">
        <w:rPr>
          <w:rFonts w:ascii="Times New Roman" w:hAnsi="Times New Roman" w:cs="Times New Roman"/>
          <w:sz w:val="20"/>
          <w:szCs w:val="20"/>
        </w:rPr>
        <w:t> </w:t>
      </w:r>
      <w:r w:rsidR="005E56F0" w:rsidRPr="005E56F0">
        <w:rPr>
          <w:rFonts w:ascii="Times New Roman" w:hAnsi="Times New Roman" w:cs="Times New Roman"/>
          <w:sz w:val="20"/>
          <w:szCs w:val="20"/>
        </w:rPr>
        <w:t> </w:t>
      </w:r>
      <w:hyperlink r:id="rId12" w:history="1">
        <w:r w:rsidR="005E56F0" w:rsidRPr="005E56F0">
          <w:rPr>
            <w:rStyle w:val="Hyperlink"/>
            <w:rFonts w:ascii="Times New Roman" w:hAnsi="Times New Roman" w:cs="Times New Roman"/>
            <w:b/>
            <w:bCs/>
            <w:sz w:val="20"/>
            <w:szCs w:val="20"/>
          </w:rPr>
          <w:t>https://doi.org/10.1111/jvim.14357</w:t>
        </w:r>
      </w:hyperlink>
    </w:p>
    <w:p w14:paraId="60D5C17A" w14:textId="77777777" w:rsidR="00421789" w:rsidRPr="00A4274E" w:rsidRDefault="00421789" w:rsidP="00421789">
      <w:pPr>
        <w:spacing w:line="360" w:lineRule="auto"/>
        <w:jc w:val="both"/>
        <w:rPr>
          <w:rFonts w:ascii="Times New Roman" w:hAnsi="Times New Roman" w:cs="Times New Roman"/>
          <w:sz w:val="20"/>
          <w:szCs w:val="20"/>
        </w:rPr>
      </w:pPr>
      <w:proofErr w:type="spellStart"/>
      <w:r w:rsidRPr="00A4274E">
        <w:rPr>
          <w:rFonts w:ascii="Times New Roman" w:hAnsi="Times New Roman" w:cs="Times New Roman"/>
          <w:sz w:val="20"/>
          <w:szCs w:val="20"/>
        </w:rPr>
        <w:t>Goriya</w:t>
      </w:r>
      <w:proofErr w:type="spellEnd"/>
      <w:r w:rsidRPr="00A4274E">
        <w:rPr>
          <w:rFonts w:ascii="Times New Roman" w:hAnsi="Times New Roman" w:cs="Times New Roman"/>
          <w:sz w:val="20"/>
          <w:szCs w:val="20"/>
        </w:rPr>
        <w:t xml:space="preserve">, Y., </w:t>
      </w:r>
      <w:proofErr w:type="spellStart"/>
      <w:r w:rsidRPr="00A4274E">
        <w:rPr>
          <w:rFonts w:ascii="Times New Roman" w:hAnsi="Times New Roman" w:cs="Times New Roman"/>
          <w:sz w:val="20"/>
          <w:szCs w:val="20"/>
        </w:rPr>
        <w:t>Bahoric</w:t>
      </w:r>
      <w:proofErr w:type="spellEnd"/>
      <w:r w:rsidRPr="00A4274E">
        <w:rPr>
          <w:rFonts w:ascii="Times New Roman" w:hAnsi="Times New Roman" w:cs="Times New Roman"/>
          <w:sz w:val="20"/>
          <w:szCs w:val="20"/>
        </w:rPr>
        <w:t xml:space="preserve">, A., Marliss, E.B., Zinman, B., </w:t>
      </w:r>
      <w:proofErr w:type="spellStart"/>
      <w:r w:rsidRPr="00A4274E">
        <w:rPr>
          <w:rFonts w:ascii="Times New Roman" w:hAnsi="Times New Roman" w:cs="Times New Roman"/>
          <w:sz w:val="20"/>
          <w:szCs w:val="20"/>
        </w:rPr>
        <w:t>Albisser</w:t>
      </w:r>
      <w:proofErr w:type="spellEnd"/>
      <w:r w:rsidRPr="00A4274E">
        <w:rPr>
          <w:rFonts w:ascii="Times New Roman" w:hAnsi="Times New Roman" w:cs="Times New Roman"/>
          <w:sz w:val="20"/>
          <w:szCs w:val="20"/>
        </w:rPr>
        <w:t xml:space="preserve">, A.M., 1981. The metabolic and hormonal responses to a mixed meal in unrestrained pancreatectomised dogs chronically treated by portal or peripheral insulin infusion. </w:t>
      </w:r>
      <w:proofErr w:type="spellStart"/>
      <w:r w:rsidRPr="0018486B">
        <w:rPr>
          <w:rFonts w:ascii="Times New Roman" w:hAnsi="Times New Roman" w:cs="Times New Roman"/>
          <w:sz w:val="20"/>
          <w:szCs w:val="20"/>
        </w:rPr>
        <w:t>Diabetologia</w:t>
      </w:r>
      <w:proofErr w:type="spellEnd"/>
      <w:r w:rsidRPr="00A4274E">
        <w:rPr>
          <w:rFonts w:ascii="Times New Roman" w:hAnsi="Times New Roman" w:cs="Times New Roman"/>
          <w:sz w:val="20"/>
          <w:szCs w:val="20"/>
        </w:rPr>
        <w:t xml:space="preserve"> 21(1), 58–64.</w:t>
      </w:r>
      <w:r w:rsidRPr="00A4274E">
        <w:rPr>
          <w:rFonts w:ascii="Merriweather Sans" w:hAnsi="Merriweather Sans"/>
          <w:color w:val="222222"/>
          <w:shd w:val="clear" w:color="auto" w:fill="FFFFFF"/>
        </w:rPr>
        <w:t xml:space="preserve"> </w:t>
      </w:r>
      <w:hyperlink r:id="rId13" w:history="1">
        <w:r w:rsidRPr="009F568F">
          <w:rPr>
            <w:rStyle w:val="Hyperlink"/>
            <w:rFonts w:ascii="Times New Roman" w:hAnsi="Times New Roman" w:cs="Times New Roman"/>
            <w:sz w:val="20"/>
            <w:szCs w:val="20"/>
          </w:rPr>
          <w:t>https://doi.org/10.1007/BF03216226</w:t>
        </w:r>
      </w:hyperlink>
    </w:p>
    <w:p w14:paraId="036C50D9" w14:textId="77777777" w:rsidR="00421789" w:rsidRPr="00A4274E"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t xml:space="preserve">Henstridge, D.C., Abildgaard, J., Lindegaard, B., Febbraio, M.A., 2019. Metabolic control and sex: a focus on inflammatory-linked mediators. British Journal of Pharmacology 176(21), 4193–4207. </w:t>
      </w:r>
      <w:hyperlink r:id="rId14" w:history="1">
        <w:r w:rsidRPr="008F5EFC">
          <w:rPr>
            <w:rStyle w:val="Hyperlink"/>
            <w:rFonts w:ascii="Times New Roman" w:hAnsi="Times New Roman" w:cs="Times New Roman"/>
            <w:b/>
            <w:bCs/>
            <w:sz w:val="20"/>
            <w:szCs w:val="20"/>
          </w:rPr>
          <w:t>https://doi.org/10.1111/bph.14642</w:t>
        </w:r>
      </w:hyperlink>
    </w:p>
    <w:p w14:paraId="6D663B0B" w14:textId="77777777" w:rsidR="00421789" w:rsidRDefault="00421789" w:rsidP="00421789">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Hess, R.S., </w:t>
      </w:r>
      <w:proofErr w:type="spellStart"/>
      <w:r>
        <w:rPr>
          <w:rFonts w:ascii="Times New Roman" w:hAnsi="Times New Roman" w:cs="Times New Roman"/>
          <w:sz w:val="20"/>
          <w:szCs w:val="20"/>
        </w:rPr>
        <w:t>Kass</w:t>
      </w:r>
      <w:proofErr w:type="spellEnd"/>
      <w:r>
        <w:rPr>
          <w:rFonts w:ascii="Times New Roman" w:hAnsi="Times New Roman" w:cs="Times New Roman"/>
          <w:sz w:val="20"/>
          <w:szCs w:val="20"/>
        </w:rPr>
        <w:t xml:space="preserve">, P.H., </w:t>
      </w:r>
      <w:proofErr w:type="spellStart"/>
      <w:r>
        <w:rPr>
          <w:rFonts w:ascii="Times New Roman" w:hAnsi="Times New Roman" w:cs="Times New Roman"/>
          <w:sz w:val="20"/>
          <w:szCs w:val="20"/>
        </w:rPr>
        <w:t>Shofer</w:t>
      </w:r>
      <w:proofErr w:type="spellEnd"/>
      <w:r>
        <w:rPr>
          <w:rFonts w:ascii="Times New Roman" w:hAnsi="Times New Roman" w:cs="Times New Roman"/>
          <w:sz w:val="20"/>
          <w:szCs w:val="20"/>
        </w:rPr>
        <w:t xml:space="preserve">, F.S., Van Winkle, T.J., </w:t>
      </w:r>
      <w:proofErr w:type="spellStart"/>
      <w:r>
        <w:rPr>
          <w:rFonts w:ascii="Times New Roman" w:hAnsi="Times New Roman" w:cs="Times New Roman"/>
          <w:sz w:val="20"/>
          <w:szCs w:val="20"/>
        </w:rPr>
        <w:t>Washabau</w:t>
      </w:r>
      <w:proofErr w:type="spellEnd"/>
      <w:r>
        <w:rPr>
          <w:rFonts w:ascii="Times New Roman" w:hAnsi="Times New Roman" w:cs="Times New Roman"/>
          <w:sz w:val="20"/>
          <w:szCs w:val="20"/>
        </w:rPr>
        <w:t>, R.</w:t>
      </w:r>
      <w:r w:rsidRPr="00011688">
        <w:rPr>
          <w:rFonts w:ascii="Times New Roman" w:hAnsi="Times New Roman" w:cs="Times New Roman"/>
          <w:sz w:val="20"/>
          <w:szCs w:val="20"/>
        </w:rPr>
        <w:t>J., 2000.</w:t>
      </w:r>
      <w:r w:rsidRPr="00BE7EDD">
        <w:rPr>
          <w:rFonts w:ascii="Times New Roman" w:hAnsi="Times New Roman" w:cs="Times New Roman"/>
          <w:sz w:val="20"/>
          <w:szCs w:val="20"/>
        </w:rPr>
        <w:t xml:space="preserve"> Evaluation of risk factors for fatal pancreatitis in dogs with diabetes mellitus. Domestic Animal Endocrinology 18(3), 291–301. </w:t>
      </w:r>
      <w:hyperlink r:id="rId15" w:history="1">
        <w:r w:rsidRPr="009F568F">
          <w:rPr>
            <w:rStyle w:val="Hyperlink"/>
            <w:rFonts w:ascii="Times New Roman" w:hAnsi="Times New Roman" w:cs="Times New Roman"/>
            <w:sz w:val="20"/>
            <w:szCs w:val="20"/>
          </w:rPr>
          <w:t>https://pubmed.ncbi.nlm.nih.gov/9887939/</w:t>
        </w:r>
      </w:hyperlink>
    </w:p>
    <w:p w14:paraId="05F40744" w14:textId="77777777" w:rsidR="00421789" w:rsidRPr="00A4274E" w:rsidRDefault="00421789" w:rsidP="00421789">
      <w:pPr>
        <w:spacing w:line="360" w:lineRule="auto"/>
        <w:jc w:val="both"/>
        <w:rPr>
          <w:rFonts w:ascii="Times New Roman" w:hAnsi="Times New Roman" w:cs="Times New Roman"/>
          <w:sz w:val="20"/>
          <w:szCs w:val="20"/>
        </w:rPr>
      </w:pPr>
      <w:proofErr w:type="spellStart"/>
      <w:r w:rsidRPr="00A4274E">
        <w:rPr>
          <w:rFonts w:ascii="Times New Roman" w:hAnsi="Times New Roman" w:cs="Times New Roman"/>
          <w:sz w:val="20"/>
          <w:szCs w:val="20"/>
        </w:rPr>
        <w:t>Hrițcu</w:t>
      </w:r>
      <w:proofErr w:type="spellEnd"/>
      <w:r w:rsidRPr="00A4274E">
        <w:rPr>
          <w:rFonts w:ascii="Times New Roman" w:hAnsi="Times New Roman" w:cs="Times New Roman"/>
          <w:sz w:val="20"/>
          <w:szCs w:val="20"/>
        </w:rPr>
        <w:t xml:space="preserve">, L.D., </w:t>
      </w:r>
      <w:proofErr w:type="spellStart"/>
      <w:r w:rsidRPr="00A4274E">
        <w:rPr>
          <w:rFonts w:ascii="Times New Roman" w:hAnsi="Times New Roman" w:cs="Times New Roman"/>
          <w:sz w:val="20"/>
          <w:szCs w:val="20"/>
        </w:rPr>
        <w:t>Boghian</w:t>
      </w:r>
      <w:proofErr w:type="spellEnd"/>
      <w:r w:rsidRPr="00A4274E">
        <w:rPr>
          <w:rFonts w:ascii="Times New Roman" w:hAnsi="Times New Roman" w:cs="Times New Roman"/>
          <w:sz w:val="20"/>
          <w:szCs w:val="20"/>
        </w:rPr>
        <w:t xml:space="preserve">, V., Pavel, G., Hrițcu, T.D., Spataru, A., </w:t>
      </w:r>
      <w:proofErr w:type="spellStart"/>
      <w:r w:rsidRPr="00A4274E">
        <w:rPr>
          <w:rFonts w:ascii="Times New Roman" w:hAnsi="Times New Roman" w:cs="Times New Roman"/>
          <w:sz w:val="20"/>
          <w:szCs w:val="20"/>
        </w:rPr>
        <w:t>Burtan</w:t>
      </w:r>
      <w:proofErr w:type="spellEnd"/>
      <w:r w:rsidRPr="00A4274E">
        <w:rPr>
          <w:rFonts w:ascii="Times New Roman" w:hAnsi="Times New Roman" w:cs="Times New Roman"/>
          <w:sz w:val="20"/>
          <w:szCs w:val="20"/>
        </w:rPr>
        <w:t xml:space="preserve">, L.C., </w:t>
      </w:r>
      <w:proofErr w:type="spellStart"/>
      <w:r w:rsidRPr="00A4274E">
        <w:rPr>
          <w:rFonts w:ascii="Times New Roman" w:hAnsi="Times New Roman" w:cs="Times New Roman"/>
          <w:sz w:val="20"/>
          <w:szCs w:val="20"/>
        </w:rPr>
        <w:t>Spataru</w:t>
      </w:r>
      <w:proofErr w:type="spellEnd"/>
      <w:r w:rsidRPr="00A4274E">
        <w:rPr>
          <w:rFonts w:ascii="Times New Roman" w:hAnsi="Times New Roman" w:cs="Times New Roman"/>
          <w:sz w:val="20"/>
          <w:szCs w:val="20"/>
        </w:rPr>
        <w:t xml:space="preserve">, M.C., 2025. Application of the HOMA index in diabetic dogs and cats: a systematic review of current evidence. Applied Sciences 15(19), 10342. </w:t>
      </w:r>
      <w:r w:rsidRPr="0091183C">
        <w:rPr>
          <w:rFonts w:ascii="Times New Roman" w:hAnsi="Times New Roman" w:cs="Times New Roman"/>
          <w:sz w:val="20"/>
          <w:szCs w:val="20"/>
        </w:rPr>
        <w:t> </w:t>
      </w:r>
      <w:hyperlink r:id="rId16" w:history="1">
        <w:r w:rsidRPr="0091183C">
          <w:rPr>
            <w:rStyle w:val="Hyperlink"/>
            <w:rFonts w:ascii="Times New Roman" w:hAnsi="Times New Roman" w:cs="Times New Roman"/>
            <w:b/>
            <w:bCs/>
            <w:sz w:val="20"/>
            <w:szCs w:val="20"/>
          </w:rPr>
          <w:t>https://doi.org/10.3390/app151910342</w:t>
        </w:r>
      </w:hyperlink>
    </w:p>
    <w:p w14:paraId="6706C91F" w14:textId="77777777" w:rsidR="00421789" w:rsidRPr="00A4274E" w:rsidRDefault="00421789" w:rsidP="00421789">
      <w:pPr>
        <w:spacing w:line="360" w:lineRule="auto"/>
        <w:jc w:val="both"/>
        <w:rPr>
          <w:rFonts w:ascii="Times New Roman" w:hAnsi="Times New Roman" w:cs="Times New Roman"/>
          <w:sz w:val="20"/>
          <w:szCs w:val="20"/>
        </w:rPr>
      </w:pPr>
      <w:proofErr w:type="spellStart"/>
      <w:r w:rsidRPr="00A4274E">
        <w:rPr>
          <w:rFonts w:ascii="Times New Roman" w:hAnsi="Times New Roman" w:cs="Times New Roman"/>
          <w:sz w:val="20"/>
          <w:szCs w:val="20"/>
        </w:rPr>
        <w:t>Koomgun</w:t>
      </w:r>
      <w:proofErr w:type="spellEnd"/>
      <w:r w:rsidRPr="00A4274E">
        <w:rPr>
          <w:rFonts w:ascii="Times New Roman" w:hAnsi="Times New Roman" w:cs="Times New Roman"/>
          <w:sz w:val="20"/>
          <w:szCs w:val="20"/>
        </w:rPr>
        <w:t xml:space="preserve">, K., </w:t>
      </w:r>
      <w:proofErr w:type="spellStart"/>
      <w:r w:rsidRPr="00A4274E">
        <w:rPr>
          <w:rFonts w:ascii="Times New Roman" w:hAnsi="Times New Roman" w:cs="Times New Roman"/>
          <w:sz w:val="20"/>
          <w:szCs w:val="20"/>
        </w:rPr>
        <w:t>Thengchaisri</w:t>
      </w:r>
      <w:proofErr w:type="spellEnd"/>
      <w:r w:rsidRPr="00A4274E">
        <w:rPr>
          <w:rFonts w:ascii="Times New Roman" w:hAnsi="Times New Roman" w:cs="Times New Roman"/>
          <w:sz w:val="20"/>
          <w:szCs w:val="20"/>
        </w:rPr>
        <w:t xml:space="preserve">, N., </w:t>
      </w:r>
      <w:proofErr w:type="spellStart"/>
      <w:r w:rsidRPr="00A4274E">
        <w:rPr>
          <w:rFonts w:ascii="Times New Roman" w:hAnsi="Times New Roman" w:cs="Times New Roman"/>
          <w:sz w:val="20"/>
          <w:szCs w:val="20"/>
        </w:rPr>
        <w:t>Surachetpong</w:t>
      </w:r>
      <w:proofErr w:type="spellEnd"/>
      <w:r w:rsidRPr="00A4274E">
        <w:rPr>
          <w:rFonts w:ascii="Times New Roman" w:hAnsi="Times New Roman" w:cs="Times New Roman"/>
          <w:sz w:val="20"/>
          <w:szCs w:val="20"/>
        </w:rPr>
        <w:t xml:space="preserve">, W., </w:t>
      </w:r>
      <w:proofErr w:type="spellStart"/>
      <w:r w:rsidRPr="00A4274E">
        <w:rPr>
          <w:rFonts w:ascii="Times New Roman" w:hAnsi="Times New Roman" w:cs="Times New Roman"/>
          <w:sz w:val="20"/>
          <w:szCs w:val="20"/>
        </w:rPr>
        <w:t>Nantasanti</w:t>
      </w:r>
      <w:proofErr w:type="spellEnd"/>
      <w:r w:rsidRPr="00A4274E">
        <w:rPr>
          <w:rFonts w:ascii="Times New Roman" w:hAnsi="Times New Roman" w:cs="Times New Roman"/>
          <w:sz w:val="20"/>
          <w:szCs w:val="20"/>
        </w:rPr>
        <w:t xml:space="preserve"> </w:t>
      </w:r>
      <w:proofErr w:type="spellStart"/>
      <w:r w:rsidRPr="00A4274E">
        <w:rPr>
          <w:rFonts w:ascii="Times New Roman" w:hAnsi="Times New Roman" w:cs="Times New Roman"/>
          <w:sz w:val="20"/>
          <w:szCs w:val="20"/>
        </w:rPr>
        <w:t>Assawarachan</w:t>
      </w:r>
      <w:proofErr w:type="spellEnd"/>
      <w:r w:rsidRPr="00A4274E">
        <w:rPr>
          <w:rFonts w:ascii="Times New Roman" w:hAnsi="Times New Roman" w:cs="Times New Roman"/>
          <w:sz w:val="20"/>
          <w:szCs w:val="20"/>
        </w:rPr>
        <w:t xml:space="preserve">, S., </w:t>
      </w:r>
      <w:proofErr w:type="spellStart"/>
      <w:r w:rsidRPr="00A4274E">
        <w:rPr>
          <w:rFonts w:ascii="Times New Roman" w:hAnsi="Times New Roman" w:cs="Times New Roman"/>
          <w:sz w:val="20"/>
          <w:szCs w:val="20"/>
        </w:rPr>
        <w:t>Prompinichpong</w:t>
      </w:r>
      <w:proofErr w:type="spellEnd"/>
      <w:r w:rsidRPr="00A4274E">
        <w:rPr>
          <w:rFonts w:ascii="Times New Roman" w:hAnsi="Times New Roman" w:cs="Times New Roman"/>
          <w:sz w:val="20"/>
          <w:szCs w:val="20"/>
        </w:rPr>
        <w:t xml:space="preserve">, K., Thongbai, A., </w:t>
      </w:r>
      <w:proofErr w:type="spellStart"/>
      <w:r w:rsidRPr="00A4274E">
        <w:rPr>
          <w:rFonts w:ascii="Times New Roman" w:hAnsi="Times New Roman" w:cs="Times New Roman"/>
          <w:sz w:val="20"/>
          <w:szCs w:val="20"/>
        </w:rPr>
        <w:t>Sattasathuchana</w:t>
      </w:r>
      <w:proofErr w:type="spellEnd"/>
      <w:r w:rsidRPr="00A4274E">
        <w:rPr>
          <w:rFonts w:ascii="Times New Roman" w:hAnsi="Times New Roman" w:cs="Times New Roman"/>
          <w:sz w:val="20"/>
          <w:szCs w:val="20"/>
        </w:rPr>
        <w:t xml:space="preserve">, P., 2025. Influence of hospital-induced stress on blood glucose concentrations, serum concentrations of cortisol, thyroxine and bile acids, and behaviour in cats. Journal of Feline Medicine and Surgery 27(4), 1098612X251320254. </w:t>
      </w:r>
      <w:hyperlink r:id="rId17" w:history="1">
        <w:r w:rsidRPr="00A4274E">
          <w:rPr>
            <w:rStyle w:val="Hyperlink"/>
            <w:rFonts w:ascii="Times New Roman" w:hAnsi="Times New Roman" w:cs="Times New Roman"/>
            <w:sz w:val="20"/>
            <w:szCs w:val="20"/>
          </w:rPr>
          <w:t>https://doi.org/10.1177/1098612X251320254</w:t>
        </w:r>
      </w:hyperlink>
    </w:p>
    <w:p w14:paraId="0A5EA1C7" w14:textId="77777777" w:rsidR="00421789" w:rsidRPr="00A4274E"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lastRenderedPageBreak/>
        <w:t xml:space="preserve">Luc, K., Schramm-Luc, A., Guzik, T.J., Mikolajczyk, T.P., 2019. Oxidative stress and inflammatory markers in prediabetes and diabetes. Journal of Physiology &amp; Pharmacology 70(6), 1–13. </w:t>
      </w:r>
      <w:hyperlink r:id="rId18" w:tgtFrame="_new" w:history="1">
        <w:r w:rsidRPr="00A4274E">
          <w:rPr>
            <w:rStyle w:val="Hyperlink"/>
            <w:rFonts w:ascii="Times New Roman" w:hAnsi="Times New Roman" w:cs="Times New Roman"/>
            <w:sz w:val="20"/>
            <w:szCs w:val="20"/>
          </w:rPr>
          <w:t>https://www.jpp.krakow.pl/journal/archive/12_19/pdf/10.26402/jpp.2019.6.02.pdf</w:t>
        </w:r>
      </w:hyperlink>
    </w:p>
    <w:p w14:paraId="6B70F7E7" w14:textId="77777777" w:rsidR="00421789" w:rsidRPr="00A4274E"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t xml:space="preserve">McKenzie, B., Peloquin, M., Graves, J.L., Chen, F., Tovar, A., </w:t>
      </w:r>
      <w:proofErr w:type="spellStart"/>
      <w:r w:rsidRPr="00A4274E">
        <w:rPr>
          <w:rFonts w:ascii="Times New Roman" w:hAnsi="Times New Roman" w:cs="Times New Roman"/>
          <w:sz w:val="20"/>
          <w:szCs w:val="20"/>
        </w:rPr>
        <w:t>Carttar</w:t>
      </w:r>
      <w:proofErr w:type="spellEnd"/>
      <w:r w:rsidRPr="00A4274E">
        <w:rPr>
          <w:rFonts w:ascii="Times New Roman" w:hAnsi="Times New Roman" w:cs="Times New Roman"/>
          <w:sz w:val="20"/>
          <w:szCs w:val="20"/>
        </w:rPr>
        <w:t xml:space="preserve">, T.A., Ratcliff, E.R., 2025. Changes in insulin, adiponectin and lipid concentrations with age are associated with frailty and reduced quality of life in dogs. Scientific Reports 15(1), 5380. </w:t>
      </w:r>
      <w:hyperlink r:id="rId19" w:history="1">
        <w:r w:rsidRPr="009F568F">
          <w:rPr>
            <w:rStyle w:val="Hyperlink"/>
            <w:rFonts w:ascii="Times New Roman" w:hAnsi="Times New Roman" w:cs="Times New Roman"/>
            <w:sz w:val="20"/>
            <w:szCs w:val="20"/>
          </w:rPr>
          <w:t>https://doi.org/10.1038/s41598-025-89923-z</w:t>
        </w:r>
      </w:hyperlink>
    </w:p>
    <w:p w14:paraId="67E343FD" w14:textId="77777777" w:rsidR="00421789" w:rsidRPr="00A4274E"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t xml:space="preserve">Muršec, A., Poljšak, B., </w:t>
      </w:r>
      <w:proofErr w:type="spellStart"/>
      <w:r w:rsidRPr="00A4274E">
        <w:rPr>
          <w:rFonts w:ascii="Times New Roman" w:hAnsi="Times New Roman" w:cs="Times New Roman"/>
          <w:sz w:val="20"/>
          <w:szCs w:val="20"/>
        </w:rPr>
        <w:t>Nemec</w:t>
      </w:r>
      <w:proofErr w:type="spellEnd"/>
      <w:r w:rsidRPr="00A4274E">
        <w:rPr>
          <w:rFonts w:ascii="Times New Roman" w:hAnsi="Times New Roman" w:cs="Times New Roman"/>
          <w:sz w:val="20"/>
          <w:szCs w:val="20"/>
        </w:rPr>
        <w:t xml:space="preserve"> </w:t>
      </w:r>
      <w:proofErr w:type="spellStart"/>
      <w:r w:rsidRPr="00A4274E">
        <w:rPr>
          <w:rFonts w:ascii="Times New Roman" w:hAnsi="Times New Roman" w:cs="Times New Roman"/>
          <w:sz w:val="20"/>
          <w:szCs w:val="20"/>
        </w:rPr>
        <w:t>Svete</w:t>
      </w:r>
      <w:proofErr w:type="spellEnd"/>
      <w:r w:rsidRPr="00A4274E">
        <w:rPr>
          <w:rFonts w:ascii="Times New Roman" w:hAnsi="Times New Roman" w:cs="Times New Roman"/>
          <w:sz w:val="20"/>
          <w:szCs w:val="20"/>
        </w:rPr>
        <w:t xml:space="preserve">, A., Erjavec, V., 2025. Antioxidant strategies for age-related oxidative damage in dogs. </w:t>
      </w:r>
      <w:r w:rsidRPr="00A6432F">
        <w:rPr>
          <w:rFonts w:ascii="Times New Roman" w:hAnsi="Times New Roman" w:cs="Times New Roman"/>
          <w:sz w:val="20"/>
          <w:szCs w:val="20"/>
        </w:rPr>
        <w:t xml:space="preserve">Veterinary Sciences </w:t>
      </w:r>
      <w:r w:rsidRPr="00A4274E">
        <w:rPr>
          <w:rFonts w:ascii="Times New Roman" w:hAnsi="Times New Roman" w:cs="Times New Roman"/>
          <w:sz w:val="20"/>
          <w:szCs w:val="20"/>
        </w:rPr>
        <w:t xml:space="preserve">12(10), 962. </w:t>
      </w:r>
      <w:hyperlink r:id="rId20" w:history="1">
        <w:r w:rsidRPr="00A4274E">
          <w:rPr>
            <w:rStyle w:val="Hyperlink"/>
            <w:rFonts w:ascii="Times New Roman" w:hAnsi="Times New Roman" w:cs="Times New Roman"/>
            <w:sz w:val="20"/>
            <w:szCs w:val="20"/>
          </w:rPr>
          <w:t>https://doi.org/10.3390/vetsci12100962</w:t>
        </w:r>
      </w:hyperlink>
    </w:p>
    <w:p w14:paraId="14B4307B" w14:textId="33148190" w:rsidR="00421789" w:rsidRPr="00A4274E"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t xml:space="preserve">Pathak, A., </w:t>
      </w:r>
      <w:proofErr w:type="spellStart"/>
      <w:r w:rsidRPr="00A4274E">
        <w:rPr>
          <w:rFonts w:ascii="Times New Roman" w:hAnsi="Times New Roman" w:cs="Times New Roman"/>
          <w:sz w:val="20"/>
          <w:szCs w:val="20"/>
        </w:rPr>
        <w:t>Asediya</w:t>
      </w:r>
      <w:proofErr w:type="spellEnd"/>
      <w:r w:rsidRPr="00A4274E">
        <w:rPr>
          <w:rFonts w:ascii="Times New Roman" w:hAnsi="Times New Roman" w:cs="Times New Roman"/>
          <w:sz w:val="20"/>
          <w:szCs w:val="20"/>
        </w:rPr>
        <w:t>, V., Anjaria, P., Singh, S.P., 2024. Geriatric diseases of dogs and cats. In: Introduction to Diseases, Diagnosis, and Management of Dogs and Cats, 339–361. Academic Press.</w:t>
      </w:r>
      <w:r w:rsidR="005E56F0" w:rsidRPr="005E56F0">
        <w:t xml:space="preserve"> </w:t>
      </w:r>
      <w:hyperlink r:id="rId21" w:tgtFrame="_blank" w:tooltip="Persistent link using digital object identifier" w:history="1">
        <w:r w:rsidR="005E56F0" w:rsidRPr="005E56F0">
          <w:rPr>
            <w:rStyle w:val="Hyperlink"/>
            <w:rFonts w:ascii="Times New Roman" w:hAnsi="Times New Roman" w:cs="Times New Roman"/>
            <w:sz w:val="20"/>
            <w:szCs w:val="20"/>
          </w:rPr>
          <w:t>https://doi.org/10.1016/B978-0-443-18548-9.00023-8</w:t>
        </w:r>
      </w:hyperlink>
    </w:p>
    <w:p w14:paraId="5FB4A3EA" w14:textId="77777777" w:rsidR="00421789" w:rsidRPr="00A4274E"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t xml:space="preserve">Pongrácz, P., Dobos, P., 2025. Behavioural differences and similarities between dog breeds: proposing an ecologically valid approach for canine behavioural research. Biological Reviews 100(1), 68–84. </w:t>
      </w:r>
      <w:hyperlink r:id="rId22" w:history="1">
        <w:r w:rsidRPr="0091183C">
          <w:rPr>
            <w:rStyle w:val="Hyperlink"/>
            <w:rFonts w:ascii="Times New Roman" w:hAnsi="Times New Roman" w:cs="Times New Roman"/>
            <w:b/>
            <w:bCs/>
            <w:sz w:val="20"/>
            <w:szCs w:val="20"/>
          </w:rPr>
          <w:t>https://doi.org/10.1111/brv.13128</w:t>
        </w:r>
      </w:hyperlink>
    </w:p>
    <w:p w14:paraId="300141EB" w14:textId="77777777" w:rsidR="00421789" w:rsidRPr="00A4274E"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t xml:space="preserve">Ruple, A., MacLean, E., Snyder-Mackler, N., </w:t>
      </w:r>
      <w:proofErr w:type="spellStart"/>
      <w:r w:rsidRPr="00A4274E">
        <w:rPr>
          <w:rFonts w:ascii="Times New Roman" w:hAnsi="Times New Roman" w:cs="Times New Roman"/>
          <w:sz w:val="20"/>
          <w:szCs w:val="20"/>
        </w:rPr>
        <w:t>Creevy</w:t>
      </w:r>
      <w:proofErr w:type="spellEnd"/>
      <w:r w:rsidRPr="00A4274E">
        <w:rPr>
          <w:rFonts w:ascii="Times New Roman" w:hAnsi="Times New Roman" w:cs="Times New Roman"/>
          <w:sz w:val="20"/>
          <w:szCs w:val="20"/>
        </w:rPr>
        <w:t xml:space="preserve">, K.E., </w:t>
      </w:r>
      <w:proofErr w:type="spellStart"/>
      <w:r w:rsidRPr="00A4274E">
        <w:rPr>
          <w:rFonts w:ascii="Times New Roman" w:hAnsi="Times New Roman" w:cs="Times New Roman"/>
          <w:sz w:val="20"/>
          <w:szCs w:val="20"/>
        </w:rPr>
        <w:t>Promislow</w:t>
      </w:r>
      <w:proofErr w:type="spellEnd"/>
      <w:r w:rsidRPr="00A4274E">
        <w:rPr>
          <w:rFonts w:ascii="Times New Roman" w:hAnsi="Times New Roman" w:cs="Times New Roman"/>
          <w:sz w:val="20"/>
          <w:szCs w:val="20"/>
        </w:rPr>
        <w:t xml:space="preserve">, D., 2022. Dog models of aging. Annual Review of Animal Biosciences 10(1), 419–439. </w:t>
      </w:r>
      <w:hyperlink r:id="rId23" w:history="1">
        <w:r w:rsidRPr="0091183C">
          <w:rPr>
            <w:rStyle w:val="Hyperlink"/>
            <w:rFonts w:ascii="Times New Roman" w:hAnsi="Times New Roman" w:cs="Times New Roman"/>
            <w:b/>
            <w:bCs/>
            <w:sz w:val="20"/>
            <w:szCs w:val="20"/>
          </w:rPr>
          <w:t>https://doi.org/10.1146/annurev-animal-051021-080937</w:t>
        </w:r>
      </w:hyperlink>
    </w:p>
    <w:p w14:paraId="3B4A9C27" w14:textId="77777777" w:rsidR="00421789" w:rsidRPr="00A4274E"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t xml:space="preserve">Specht, A., Fiske, L., Erger, K., Cossette, T., Verstegen, J., Campbell-Thompson, M., Conlon, T.J., 2011. Glycogen storage disease type </w:t>
      </w:r>
      <w:proofErr w:type="spellStart"/>
      <w:r w:rsidRPr="00A4274E">
        <w:rPr>
          <w:rFonts w:ascii="Times New Roman" w:hAnsi="Times New Roman" w:cs="Times New Roman"/>
          <w:sz w:val="20"/>
          <w:szCs w:val="20"/>
        </w:rPr>
        <w:t>Ia</w:t>
      </w:r>
      <w:proofErr w:type="spellEnd"/>
      <w:r w:rsidRPr="00A4274E">
        <w:rPr>
          <w:rFonts w:ascii="Times New Roman" w:hAnsi="Times New Roman" w:cs="Times New Roman"/>
          <w:sz w:val="20"/>
          <w:szCs w:val="20"/>
        </w:rPr>
        <w:t xml:space="preserve"> in canines: a model for human metabolic and genetic liver disease. BioMed Research International 2011(1), 646257. </w:t>
      </w:r>
      <w:r w:rsidRPr="008F5EFC">
        <w:rPr>
          <w:rFonts w:ascii="Times New Roman" w:hAnsi="Times New Roman" w:cs="Times New Roman"/>
          <w:sz w:val="20"/>
          <w:szCs w:val="20"/>
        </w:rPr>
        <w:t> </w:t>
      </w:r>
      <w:hyperlink r:id="rId24" w:history="1">
        <w:r w:rsidRPr="008F5EFC">
          <w:rPr>
            <w:rStyle w:val="Hyperlink"/>
            <w:rFonts w:ascii="Times New Roman" w:hAnsi="Times New Roman" w:cs="Times New Roman"/>
            <w:b/>
            <w:bCs/>
            <w:sz w:val="20"/>
            <w:szCs w:val="20"/>
          </w:rPr>
          <w:t>https://doi.org/10.1155/2011/646257</w:t>
        </w:r>
      </w:hyperlink>
    </w:p>
    <w:p w14:paraId="38555E75" w14:textId="77777777" w:rsidR="00421789" w:rsidRPr="0091183C" w:rsidRDefault="00421789" w:rsidP="00421789">
      <w:pPr>
        <w:spacing w:line="360" w:lineRule="auto"/>
        <w:jc w:val="both"/>
        <w:rPr>
          <w:rFonts w:ascii="Times New Roman" w:hAnsi="Times New Roman" w:cs="Times New Roman"/>
          <w:sz w:val="20"/>
          <w:szCs w:val="20"/>
        </w:rPr>
      </w:pPr>
      <w:r w:rsidRPr="00A4274E">
        <w:rPr>
          <w:rFonts w:ascii="Times New Roman" w:hAnsi="Times New Roman" w:cs="Times New Roman"/>
          <w:sz w:val="20"/>
          <w:szCs w:val="20"/>
        </w:rPr>
        <w:t xml:space="preserve">Torre, D.M., </w:t>
      </w:r>
      <w:proofErr w:type="spellStart"/>
      <w:r w:rsidRPr="00A4274E">
        <w:rPr>
          <w:rFonts w:ascii="Times New Roman" w:hAnsi="Times New Roman" w:cs="Times New Roman"/>
          <w:sz w:val="20"/>
          <w:szCs w:val="20"/>
        </w:rPr>
        <w:t>DeLaforcade</w:t>
      </w:r>
      <w:proofErr w:type="spellEnd"/>
      <w:r w:rsidRPr="00A4274E">
        <w:rPr>
          <w:rFonts w:ascii="Times New Roman" w:hAnsi="Times New Roman" w:cs="Times New Roman"/>
          <w:sz w:val="20"/>
          <w:szCs w:val="20"/>
        </w:rPr>
        <w:t xml:space="preserve">, A.M., Chan, D.L., 2007. Incidence and clinical relevance of </w:t>
      </w:r>
      <w:proofErr w:type="spellStart"/>
      <w:r w:rsidRPr="00A4274E">
        <w:rPr>
          <w:rFonts w:ascii="Times New Roman" w:hAnsi="Times New Roman" w:cs="Times New Roman"/>
          <w:sz w:val="20"/>
          <w:szCs w:val="20"/>
        </w:rPr>
        <w:t>hyperglycemia</w:t>
      </w:r>
      <w:proofErr w:type="spellEnd"/>
      <w:r w:rsidRPr="00A4274E">
        <w:rPr>
          <w:rFonts w:ascii="Times New Roman" w:hAnsi="Times New Roman" w:cs="Times New Roman"/>
          <w:sz w:val="20"/>
          <w:szCs w:val="20"/>
        </w:rPr>
        <w:t xml:space="preserve"> in critically ill dogs. Journal of Veterinary Internal Medicine 21(5), 971–975. </w:t>
      </w:r>
      <w:r w:rsidRPr="0091183C">
        <w:rPr>
          <w:rFonts w:ascii="Times New Roman" w:hAnsi="Times New Roman" w:cs="Times New Roman"/>
          <w:sz w:val="20"/>
          <w:szCs w:val="20"/>
        </w:rPr>
        <w:t> </w:t>
      </w:r>
      <w:hyperlink r:id="rId25" w:history="1">
        <w:r w:rsidRPr="0091183C">
          <w:rPr>
            <w:rStyle w:val="Hyperlink"/>
            <w:rFonts w:ascii="Times New Roman" w:hAnsi="Times New Roman" w:cs="Times New Roman"/>
            <w:b/>
            <w:bCs/>
            <w:sz w:val="20"/>
            <w:szCs w:val="20"/>
          </w:rPr>
          <w:t>https://doi.org/10.1111/j.1939-1676.2007.tb03051.x</w:t>
        </w:r>
      </w:hyperlink>
    </w:p>
    <w:p w14:paraId="0E595964" w14:textId="77777777" w:rsidR="00421789" w:rsidRPr="00421789" w:rsidRDefault="00421789" w:rsidP="00421789">
      <w:pPr>
        <w:spacing w:line="360" w:lineRule="auto"/>
        <w:jc w:val="both"/>
        <w:rPr>
          <w:rFonts w:ascii="Calibri" w:eastAsia="Times New Roman" w:hAnsi="Calibri" w:cs="Calibri"/>
          <w:color w:val="EE0000"/>
          <w:lang w:eastAsia="zh-CN"/>
        </w:rPr>
      </w:pPr>
    </w:p>
    <w:bookmarkEnd w:id="2"/>
    <w:p w14:paraId="7F44ED06"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4A5F8660"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2634EF56"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75E53CE2"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7A57C4B0"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3960E680"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4797CEC9"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2C337F3A"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3C0BAAB7"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0255AA39"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44E99E96"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3CC0D34E" w14:textId="77777777" w:rsidR="006D2F22" w:rsidRPr="00AF0684" w:rsidRDefault="006D2F22" w:rsidP="007D230E">
      <w:pPr>
        <w:spacing w:before="100" w:beforeAutospacing="1" w:after="100" w:afterAutospacing="1" w:line="360" w:lineRule="auto"/>
        <w:rPr>
          <w:rFonts w:ascii="Times New Roman" w:eastAsia="Times New Roman" w:hAnsi="Times New Roman" w:cs="Times New Roman"/>
          <w:b/>
          <w:bCs/>
          <w:sz w:val="20"/>
          <w:szCs w:val="20"/>
          <w:lang w:eastAsia="en-IN"/>
        </w:rPr>
      </w:pPr>
    </w:p>
    <w:p w14:paraId="4A636358" w14:textId="77777777" w:rsidR="00585475" w:rsidRPr="00AF0684" w:rsidRDefault="00585475" w:rsidP="007D230E">
      <w:pPr>
        <w:spacing w:before="100" w:beforeAutospacing="1" w:after="100" w:afterAutospacing="1" w:line="360" w:lineRule="auto"/>
        <w:rPr>
          <w:rFonts w:ascii="Times New Roman" w:hAnsi="Times New Roman" w:cs="Times New Roman"/>
          <w:sz w:val="20"/>
          <w:szCs w:val="20"/>
        </w:rPr>
      </w:pPr>
    </w:p>
    <w:sectPr w:rsidR="00585475" w:rsidRPr="00AF0684" w:rsidSect="007D230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D7B54" w14:textId="77777777" w:rsidR="00A640E0" w:rsidRDefault="00A640E0" w:rsidP="008F31ED">
      <w:pPr>
        <w:spacing w:after="0" w:line="240" w:lineRule="auto"/>
      </w:pPr>
      <w:r>
        <w:separator/>
      </w:r>
    </w:p>
  </w:endnote>
  <w:endnote w:type="continuationSeparator" w:id="0">
    <w:p w14:paraId="56C561BE" w14:textId="77777777" w:rsidR="00A640E0" w:rsidRDefault="00A640E0" w:rsidP="008F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erriweather Sans">
    <w:altName w:val="Sylfaen"/>
    <w:charset w:val="00"/>
    <w:family w:val="auto"/>
    <w:pitch w:val="variable"/>
    <w:sig w:usb0="A00004FF" w:usb1="4000207B"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1042" w14:textId="77777777" w:rsidR="008F31ED" w:rsidRDefault="008F3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9DE4" w14:textId="77777777" w:rsidR="008F31ED" w:rsidRDefault="008F3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C1E6E" w14:textId="77777777" w:rsidR="008F31ED" w:rsidRDefault="008F3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7489D" w14:textId="77777777" w:rsidR="00A640E0" w:rsidRDefault="00A640E0" w:rsidP="008F31ED">
      <w:pPr>
        <w:spacing w:after="0" w:line="240" w:lineRule="auto"/>
      </w:pPr>
      <w:r>
        <w:separator/>
      </w:r>
    </w:p>
  </w:footnote>
  <w:footnote w:type="continuationSeparator" w:id="0">
    <w:p w14:paraId="0A663BF0" w14:textId="77777777" w:rsidR="00A640E0" w:rsidRDefault="00A640E0" w:rsidP="008F3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6BF6" w14:textId="558F9809" w:rsidR="008F31ED" w:rsidRDefault="008F31ED">
    <w:pPr>
      <w:pStyle w:val="Header"/>
    </w:pPr>
    <w:r>
      <w:rPr>
        <w:noProof/>
      </w:rPr>
      <w:pict w14:anchorId="50C94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15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03D4" w14:textId="5522CBF2" w:rsidR="008F31ED" w:rsidRDefault="008F31ED">
    <w:pPr>
      <w:pStyle w:val="Header"/>
    </w:pPr>
    <w:r>
      <w:rPr>
        <w:noProof/>
      </w:rPr>
      <w:pict w14:anchorId="5B25D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15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26A8" w14:textId="3CC3F84B" w:rsidR="008F31ED" w:rsidRDefault="008F31ED">
    <w:pPr>
      <w:pStyle w:val="Header"/>
    </w:pPr>
    <w:r>
      <w:rPr>
        <w:noProof/>
      </w:rPr>
      <w:pict w14:anchorId="6ED35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15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55E1"/>
    <w:multiLevelType w:val="hybridMultilevel"/>
    <w:tmpl w:val="B50ABE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D36010"/>
    <w:multiLevelType w:val="hybridMultilevel"/>
    <w:tmpl w:val="36C22B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142616"/>
    <w:multiLevelType w:val="hybridMultilevel"/>
    <w:tmpl w:val="2C2017A4"/>
    <w:lvl w:ilvl="0" w:tplc="971ECB34">
      <w:start w:val="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1F39CB"/>
    <w:multiLevelType w:val="multilevel"/>
    <w:tmpl w:val="A83C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107CA"/>
    <w:multiLevelType w:val="hybridMultilevel"/>
    <w:tmpl w:val="3E3CD726"/>
    <w:lvl w:ilvl="0" w:tplc="BFF23666">
      <w:start w:val="3"/>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82C6286"/>
    <w:multiLevelType w:val="multilevel"/>
    <w:tmpl w:val="EA8811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0C4D68"/>
    <w:multiLevelType w:val="multilevel"/>
    <w:tmpl w:val="8352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E2132"/>
    <w:multiLevelType w:val="multilevel"/>
    <w:tmpl w:val="5C8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E52728"/>
    <w:multiLevelType w:val="multilevel"/>
    <w:tmpl w:val="A6C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11695"/>
    <w:multiLevelType w:val="hybridMultilevel"/>
    <w:tmpl w:val="27623032"/>
    <w:lvl w:ilvl="0" w:tplc="424A62B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330B78"/>
    <w:multiLevelType w:val="hybridMultilevel"/>
    <w:tmpl w:val="393AC7D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5F737FF4"/>
    <w:multiLevelType w:val="multilevel"/>
    <w:tmpl w:val="1FB4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F034C3"/>
    <w:multiLevelType w:val="hybridMultilevel"/>
    <w:tmpl w:val="1E36512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2B14E8E"/>
    <w:multiLevelType w:val="multilevel"/>
    <w:tmpl w:val="C776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A7226"/>
    <w:multiLevelType w:val="multilevel"/>
    <w:tmpl w:val="DE62F4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B5D7A51"/>
    <w:multiLevelType w:val="multilevel"/>
    <w:tmpl w:val="8A32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3"/>
  </w:num>
  <w:num w:numId="4">
    <w:abstractNumId w:val="15"/>
  </w:num>
  <w:num w:numId="5">
    <w:abstractNumId w:val="11"/>
  </w:num>
  <w:num w:numId="6">
    <w:abstractNumId w:val="6"/>
  </w:num>
  <w:num w:numId="7">
    <w:abstractNumId w:val="7"/>
  </w:num>
  <w:num w:numId="8">
    <w:abstractNumId w:val="0"/>
  </w:num>
  <w:num w:numId="9">
    <w:abstractNumId w:val="9"/>
  </w:num>
  <w:num w:numId="10">
    <w:abstractNumId w:val="12"/>
  </w:num>
  <w:num w:numId="11">
    <w:abstractNumId w:val="5"/>
  </w:num>
  <w:num w:numId="12">
    <w:abstractNumId w:val="4"/>
  </w:num>
  <w:num w:numId="13">
    <w:abstractNumId w:val="2"/>
  </w:num>
  <w:num w:numId="14">
    <w:abstractNumId w:val="1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B4F"/>
    <w:rsid w:val="00011688"/>
    <w:rsid w:val="00011BA9"/>
    <w:rsid w:val="000131B2"/>
    <w:rsid w:val="000164A3"/>
    <w:rsid w:val="00022C7C"/>
    <w:rsid w:val="000608BF"/>
    <w:rsid w:val="0008360C"/>
    <w:rsid w:val="00083EE4"/>
    <w:rsid w:val="00090A16"/>
    <w:rsid w:val="000960D3"/>
    <w:rsid w:val="000D3F3D"/>
    <w:rsid w:val="000F0C22"/>
    <w:rsid w:val="00105E02"/>
    <w:rsid w:val="00112361"/>
    <w:rsid w:val="00140C1A"/>
    <w:rsid w:val="00147226"/>
    <w:rsid w:val="0014755A"/>
    <w:rsid w:val="00162F1A"/>
    <w:rsid w:val="0016336F"/>
    <w:rsid w:val="001634D8"/>
    <w:rsid w:val="00167FAD"/>
    <w:rsid w:val="001821EE"/>
    <w:rsid w:val="0018486B"/>
    <w:rsid w:val="00186435"/>
    <w:rsid w:val="001A05A8"/>
    <w:rsid w:val="001A30A3"/>
    <w:rsid w:val="001B3068"/>
    <w:rsid w:val="001B410C"/>
    <w:rsid w:val="001C22C7"/>
    <w:rsid w:val="001F0AB4"/>
    <w:rsid w:val="00254EBC"/>
    <w:rsid w:val="00291576"/>
    <w:rsid w:val="002A1B93"/>
    <w:rsid w:val="002F1D2B"/>
    <w:rsid w:val="00326C50"/>
    <w:rsid w:val="0033000A"/>
    <w:rsid w:val="00362D2D"/>
    <w:rsid w:val="00371392"/>
    <w:rsid w:val="0037562D"/>
    <w:rsid w:val="0039349C"/>
    <w:rsid w:val="003C5C71"/>
    <w:rsid w:val="003D398D"/>
    <w:rsid w:val="003E7B61"/>
    <w:rsid w:val="00421789"/>
    <w:rsid w:val="00432C32"/>
    <w:rsid w:val="0044204A"/>
    <w:rsid w:val="00456986"/>
    <w:rsid w:val="00475673"/>
    <w:rsid w:val="00493D7D"/>
    <w:rsid w:val="004F4435"/>
    <w:rsid w:val="0051191E"/>
    <w:rsid w:val="0054492C"/>
    <w:rsid w:val="00546A02"/>
    <w:rsid w:val="00547344"/>
    <w:rsid w:val="00585475"/>
    <w:rsid w:val="005C29EA"/>
    <w:rsid w:val="005D546C"/>
    <w:rsid w:val="005E56F0"/>
    <w:rsid w:val="006056E4"/>
    <w:rsid w:val="00611705"/>
    <w:rsid w:val="00625E99"/>
    <w:rsid w:val="00637210"/>
    <w:rsid w:val="00690000"/>
    <w:rsid w:val="006D2F22"/>
    <w:rsid w:val="007170A4"/>
    <w:rsid w:val="00726C28"/>
    <w:rsid w:val="007709A4"/>
    <w:rsid w:val="007A2290"/>
    <w:rsid w:val="007C069C"/>
    <w:rsid w:val="007C1350"/>
    <w:rsid w:val="007D230E"/>
    <w:rsid w:val="00825F9E"/>
    <w:rsid w:val="00842866"/>
    <w:rsid w:val="0084785F"/>
    <w:rsid w:val="008D4F1D"/>
    <w:rsid w:val="008F31ED"/>
    <w:rsid w:val="00904865"/>
    <w:rsid w:val="00946C52"/>
    <w:rsid w:val="00983C92"/>
    <w:rsid w:val="009B72D1"/>
    <w:rsid w:val="00A049FF"/>
    <w:rsid w:val="00A640E0"/>
    <w:rsid w:val="00A6432F"/>
    <w:rsid w:val="00A70474"/>
    <w:rsid w:val="00AB5877"/>
    <w:rsid w:val="00AF0684"/>
    <w:rsid w:val="00B02B82"/>
    <w:rsid w:val="00B078A0"/>
    <w:rsid w:val="00B22875"/>
    <w:rsid w:val="00B24598"/>
    <w:rsid w:val="00B40EEE"/>
    <w:rsid w:val="00B52BE3"/>
    <w:rsid w:val="00B71140"/>
    <w:rsid w:val="00B717D4"/>
    <w:rsid w:val="00B72C30"/>
    <w:rsid w:val="00B96B47"/>
    <w:rsid w:val="00BE7EDD"/>
    <w:rsid w:val="00C4753F"/>
    <w:rsid w:val="00C65A8A"/>
    <w:rsid w:val="00C745A5"/>
    <w:rsid w:val="00C764A3"/>
    <w:rsid w:val="00C916D3"/>
    <w:rsid w:val="00C95340"/>
    <w:rsid w:val="00CB050B"/>
    <w:rsid w:val="00CC37C3"/>
    <w:rsid w:val="00CD6C36"/>
    <w:rsid w:val="00CD76BB"/>
    <w:rsid w:val="00CF1DA3"/>
    <w:rsid w:val="00D10941"/>
    <w:rsid w:val="00D116B5"/>
    <w:rsid w:val="00D12C32"/>
    <w:rsid w:val="00D136CA"/>
    <w:rsid w:val="00D136F0"/>
    <w:rsid w:val="00D355C7"/>
    <w:rsid w:val="00D378FE"/>
    <w:rsid w:val="00D45893"/>
    <w:rsid w:val="00DA5928"/>
    <w:rsid w:val="00DB0991"/>
    <w:rsid w:val="00DC5B4F"/>
    <w:rsid w:val="00DD1B3A"/>
    <w:rsid w:val="00DD6281"/>
    <w:rsid w:val="00E86EA6"/>
    <w:rsid w:val="00E93385"/>
    <w:rsid w:val="00EA22FA"/>
    <w:rsid w:val="00EB47A3"/>
    <w:rsid w:val="00ED57B7"/>
    <w:rsid w:val="00ED739B"/>
    <w:rsid w:val="00EF38D2"/>
    <w:rsid w:val="00F14D12"/>
    <w:rsid w:val="00F30F2C"/>
    <w:rsid w:val="00F52B20"/>
    <w:rsid w:val="00F82A53"/>
    <w:rsid w:val="00FA78EC"/>
    <w:rsid w:val="00FB4EB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215FE"/>
  <w15:chartTrackingRefBased/>
  <w15:docId w15:val="{0DB466A2-E576-4977-B453-1FD435E9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705"/>
  </w:style>
  <w:style w:type="paragraph" w:styleId="Heading1">
    <w:name w:val="heading 1"/>
    <w:basedOn w:val="Normal"/>
    <w:next w:val="Normal"/>
    <w:link w:val="Heading1Char"/>
    <w:uiPriority w:val="9"/>
    <w:qFormat/>
    <w:rsid w:val="00C9534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semiHidden/>
    <w:unhideWhenUsed/>
    <w:qFormat/>
    <w:rsid w:val="00FB4E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C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46C52"/>
    <w:rPr>
      <w:b/>
      <w:bCs/>
    </w:rPr>
  </w:style>
  <w:style w:type="table" w:styleId="TableGrid">
    <w:name w:val="Table Grid"/>
    <w:basedOn w:val="TableNormal"/>
    <w:uiPriority w:val="39"/>
    <w:rsid w:val="00B4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5340"/>
    <w:rPr>
      <w:rFonts w:asciiTheme="majorHAnsi" w:eastAsiaTheme="majorEastAsia" w:hAnsiTheme="majorHAnsi" w:cstheme="majorBidi"/>
      <w:b/>
      <w:bCs/>
      <w:color w:val="2F5496" w:themeColor="accent1" w:themeShade="BF"/>
      <w:sz w:val="28"/>
      <w:szCs w:val="28"/>
      <w:lang w:val="en-US"/>
    </w:rPr>
  </w:style>
  <w:style w:type="character" w:styleId="Emphasis">
    <w:name w:val="Emphasis"/>
    <w:basedOn w:val="DefaultParagraphFont"/>
    <w:uiPriority w:val="20"/>
    <w:qFormat/>
    <w:rsid w:val="00D136F0"/>
    <w:rPr>
      <w:i/>
      <w:iCs/>
    </w:rPr>
  </w:style>
  <w:style w:type="character" w:styleId="CommentReference">
    <w:name w:val="annotation reference"/>
    <w:basedOn w:val="DefaultParagraphFont"/>
    <w:uiPriority w:val="99"/>
    <w:semiHidden/>
    <w:unhideWhenUsed/>
    <w:rsid w:val="0033000A"/>
    <w:rPr>
      <w:sz w:val="16"/>
      <w:szCs w:val="16"/>
    </w:rPr>
  </w:style>
  <w:style w:type="paragraph" w:styleId="CommentText">
    <w:name w:val="annotation text"/>
    <w:basedOn w:val="Normal"/>
    <w:link w:val="CommentTextChar"/>
    <w:uiPriority w:val="99"/>
    <w:unhideWhenUsed/>
    <w:rsid w:val="0033000A"/>
    <w:pPr>
      <w:spacing w:line="240" w:lineRule="auto"/>
    </w:pPr>
    <w:rPr>
      <w:sz w:val="20"/>
      <w:szCs w:val="20"/>
    </w:rPr>
  </w:style>
  <w:style w:type="character" w:customStyle="1" w:styleId="CommentTextChar">
    <w:name w:val="Comment Text Char"/>
    <w:basedOn w:val="DefaultParagraphFont"/>
    <w:link w:val="CommentText"/>
    <w:uiPriority w:val="99"/>
    <w:rsid w:val="0033000A"/>
    <w:rPr>
      <w:sz w:val="20"/>
      <w:szCs w:val="20"/>
    </w:rPr>
  </w:style>
  <w:style w:type="paragraph" w:styleId="CommentSubject">
    <w:name w:val="annotation subject"/>
    <w:basedOn w:val="CommentText"/>
    <w:next w:val="CommentText"/>
    <w:link w:val="CommentSubjectChar"/>
    <w:uiPriority w:val="99"/>
    <w:semiHidden/>
    <w:unhideWhenUsed/>
    <w:rsid w:val="0033000A"/>
    <w:rPr>
      <w:b/>
      <w:bCs/>
    </w:rPr>
  </w:style>
  <w:style w:type="character" w:customStyle="1" w:styleId="CommentSubjectChar">
    <w:name w:val="Comment Subject Char"/>
    <w:basedOn w:val="CommentTextChar"/>
    <w:link w:val="CommentSubject"/>
    <w:uiPriority w:val="99"/>
    <w:semiHidden/>
    <w:rsid w:val="0033000A"/>
    <w:rPr>
      <w:b/>
      <w:bCs/>
      <w:sz w:val="20"/>
      <w:szCs w:val="20"/>
    </w:rPr>
  </w:style>
  <w:style w:type="character" w:styleId="LineNumber">
    <w:name w:val="line number"/>
    <w:basedOn w:val="DefaultParagraphFont"/>
    <w:uiPriority w:val="99"/>
    <w:semiHidden/>
    <w:unhideWhenUsed/>
    <w:rsid w:val="00D136CA"/>
  </w:style>
  <w:style w:type="paragraph" w:customStyle="1" w:styleId="my-0">
    <w:name w:val="my-0"/>
    <w:basedOn w:val="Normal"/>
    <w:rsid w:val="00D136C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456986"/>
    <w:pPr>
      <w:ind w:left="720"/>
      <w:contextualSpacing/>
    </w:pPr>
  </w:style>
  <w:style w:type="paragraph" w:styleId="Revision">
    <w:name w:val="Revision"/>
    <w:hidden/>
    <w:uiPriority w:val="99"/>
    <w:semiHidden/>
    <w:rsid w:val="00AF0684"/>
    <w:pPr>
      <w:spacing w:after="0" w:line="240" w:lineRule="auto"/>
    </w:pPr>
  </w:style>
  <w:style w:type="character" w:customStyle="1" w:styleId="Heading2Char">
    <w:name w:val="Heading 2 Char"/>
    <w:basedOn w:val="DefaultParagraphFont"/>
    <w:link w:val="Heading2"/>
    <w:uiPriority w:val="9"/>
    <w:semiHidden/>
    <w:rsid w:val="00FB4EB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049FF"/>
    <w:rPr>
      <w:color w:val="0000FF"/>
      <w:u w:val="single"/>
    </w:rPr>
  </w:style>
  <w:style w:type="character" w:customStyle="1" w:styleId="UnresolvedMention1">
    <w:name w:val="Unresolved Mention1"/>
    <w:basedOn w:val="DefaultParagraphFont"/>
    <w:uiPriority w:val="99"/>
    <w:semiHidden/>
    <w:unhideWhenUsed/>
    <w:rsid w:val="00B22875"/>
    <w:rPr>
      <w:color w:val="605E5C"/>
      <w:shd w:val="clear" w:color="auto" w:fill="E1DFDD"/>
    </w:rPr>
  </w:style>
  <w:style w:type="paragraph" w:styleId="BalloonText">
    <w:name w:val="Balloon Text"/>
    <w:basedOn w:val="Normal"/>
    <w:link w:val="BalloonTextChar"/>
    <w:uiPriority w:val="99"/>
    <w:semiHidden/>
    <w:unhideWhenUsed/>
    <w:rsid w:val="00371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392"/>
    <w:rPr>
      <w:rFonts w:ascii="Segoe UI" w:hAnsi="Segoe UI" w:cs="Segoe UI"/>
      <w:sz w:val="18"/>
      <w:szCs w:val="18"/>
    </w:rPr>
  </w:style>
  <w:style w:type="character" w:styleId="UnresolvedMention">
    <w:name w:val="Unresolved Mention"/>
    <w:basedOn w:val="DefaultParagraphFont"/>
    <w:uiPriority w:val="99"/>
    <w:semiHidden/>
    <w:unhideWhenUsed/>
    <w:rsid w:val="005E56F0"/>
    <w:rPr>
      <w:color w:val="605E5C"/>
      <w:shd w:val="clear" w:color="auto" w:fill="E1DFDD"/>
    </w:rPr>
  </w:style>
  <w:style w:type="paragraph" w:styleId="Header">
    <w:name w:val="header"/>
    <w:basedOn w:val="Normal"/>
    <w:link w:val="HeaderChar"/>
    <w:uiPriority w:val="99"/>
    <w:unhideWhenUsed/>
    <w:rsid w:val="008F3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1ED"/>
  </w:style>
  <w:style w:type="paragraph" w:styleId="Footer">
    <w:name w:val="footer"/>
    <w:basedOn w:val="Normal"/>
    <w:link w:val="FooterChar"/>
    <w:uiPriority w:val="99"/>
    <w:unhideWhenUsed/>
    <w:rsid w:val="008F3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9813">
      <w:bodyDiv w:val="1"/>
      <w:marLeft w:val="0"/>
      <w:marRight w:val="0"/>
      <w:marTop w:val="0"/>
      <w:marBottom w:val="0"/>
      <w:divBdr>
        <w:top w:val="none" w:sz="0" w:space="0" w:color="auto"/>
        <w:left w:val="none" w:sz="0" w:space="0" w:color="auto"/>
        <w:bottom w:val="none" w:sz="0" w:space="0" w:color="auto"/>
        <w:right w:val="none" w:sz="0" w:space="0" w:color="auto"/>
      </w:divBdr>
    </w:div>
    <w:div w:id="585920966">
      <w:bodyDiv w:val="1"/>
      <w:marLeft w:val="0"/>
      <w:marRight w:val="0"/>
      <w:marTop w:val="0"/>
      <w:marBottom w:val="0"/>
      <w:divBdr>
        <w:top w:val="none" w:sz="0" w:space="0" w:color="auto"/>
        <w:left w:val="none" w:sz="0" w:space="0" w:color="auto"/>
        <w:bottom w:val="none" w:sz="0" w:space="0" w:color="auto"/>
        <w:right w:val="none" w:sz="0" w:space="0" w:color="auto"/>
      </w:divBdr>
    </w:div>
    <w:div w:id="611404223">
      <w:bodyDiv w:val="1"/>
      <w:marLeft w:val="0"/>
      <w:marRight w:val="0"/>
      <w:marTop w:val="0"/>
      <w:marBottom w:val="0"/>
      <w:divBdr>
        <w:top w:val="none" w:sz="0" w:space="0" w:color="auto"/>
        <w:left w:val="none" w:sz="0" w:space="0" w:color="auto"/>
        <w:bottom w:val="none" w:sz="0" w:space="0" w:color="auto"/>
        <w:right w:val="none" w:sz="0" w:space="0" w:color="auto"/>
      </w:divBdr>
    </w:div>
    <w:div w:id="670330475">
      <w:bodyDiv w:val="1"/>
      <w:marLeft w:val="0"/>
      <w:marRight w:val="0"/>
      <w:marTop w:val="0"/>
      <w:marBottom w:val="0"/>
      <w:divBdr>
        <w:top w:val="none" w:sz="0" w:space="0" w:color="auto"/>
        <w:left w:val="none" w:sz="0" w:space="0" w:color="auto"/>
        <w:bottom w:val="none" w:sz="0" w:space="0" w:color="auto"/>
        <w:right w:val="none" w:sz="0" w:space="0" w:color="auto"/>
      </w:divBdr>
    </w:div>
    <w:div w:id="686517247">
      <w:bodyDiv w:val="1"/>
      <w:marLeft w:val="0"/>
      <w:marRight w:val="0"/>
      <w:marTop w:val="0"/>
      <w:marBottom w:val="0"/>
      <w:divBdr>
        <w:top w:val="none" w:sz="0" w:space="0" w:color="auto"/>
        <w:left w:val="none" w:sz="0" w:space="0" w:color="auto"/>
        <w:bottom w:val="none" w:sz="0" w:space="0" w:color="auto"/>
        <w:right w:val="none" w:sz="0" w:space="0" w:color="auto"/>
      </w:divBdr>
    </w:div>
    <w:div w:id="810169116">
      <w:bodyDiv w:val="1"/>
      <w:marLeft w:val="0"/>
      <w:marRight w:val="0"/>
      <w:marTop w:val="0"/>
      <w:marBottom w:val="0"/>
      <w:divBdr>
        <w:top w:val="none" w:sz="0" w:space="0" w:color="auto"/>
        <w:left w:val="none" w:sz="0" w:space="0" w:color="auto"/>
        <w:bottom w:val="none" w:sz="0" w:space="0" w:color="auto"/>
        <w:right w:val="none" w:sz="0" w:space="0" w:color="auto"/>
      </w:divBdr>
    </w:div>
    <w:div w:id="832917643">
      <w:bodyDiv w:val="1"/>
      <w:marLeft w:val="0"/>
      <w:marRight w:val="0"/>
      <w:marTop w:val="0"/>
      <w:marBottom w:val="0"/>
      <w:divBdr>
        <w:top w:val="none" w:sz="0" w:space="0" w:color="auto"/>
        <w:left w:val="none" w:sz="0" w:space="0" w:color="auto"/>
        <w:bottom w:val="none" w:sz="0" w:space="0" w:color="auto"/>
        <w:right w:val="none" w:sz="0" w:space="0" w:color="auto"/>
      </w:divBdr>
    </w:div>
    <w:div w:id="845636695">
      <w:bodyDiv w:val="1"/>
      <w:marLeft w:val="0"/>
      <w:marRight w:val="0"/>
      <w:marTop w:val="0"/>
      <w:marBottom w:val="0"/>
      <w:divBdr>
        <w:top w:val="none" w:sz="0" w:space="0" w:color="auto"/>
        <w:left w:val="none" w:sz="0" w:space="0" w:color="auto"/>
        <w:bottom w:val="none" w:sz="0" w:space="0" w:color="auto"/>
        <w:right w:val="none" w:sz="0" w:space="0" w:color="auto"/>
      </w:divBdr>
    </w:div>
    <w:div w:id="1019428955">
      <w:bodyDiv w:val="1"/>
      <w:marLeft w:val="0"/>
      <w:marRight w:val="0"/>
      <w:marTop w:val="0"/>
      <w:marBottom w:val="0"/>
      <w:divBdr>
        <w:top w:val="none" w:sz="0" w:space="0" w:color="auto"/>
        <w:left w:val="none" w:sz="0" w:space="0" w:color="auto"/>
        <w:bottom w:val="none" w:sz="0" w:space="0" w:color="auto"/>
        <w:right w:val="none" w:sz="0" w:space="0" w:color="auto"/>
      </w:divBdr>
    </w:div>
    <w:div w:id="1090615856">
      <w:bodyDiv w:val="1"/>
      <w:marLeft w:val="0"/>
      <w:marRight w:val="0"/>
      <w:marTop w:val="0"/>
      <w:marBottom w:val="0"/>
      <w:divBdr>
        <w:top w:val="none" w:sz="0" w:space="0" w:color="auto"/>
        <w:left w:val="none" w:sz="0" w:space="0" w:color="auto"/>
        <w:bottom w:val="none" w:sz="0" w:space="0" w:color="auto"/>
        <w:right w:val="none" w:sz="0" w:space="0" w:color="auto"/>
      </w:divBdr>
    </w:div>
    <w:div w:id="1104301041">
      <w:bodyDiv w:val="1"/>
      <w:marLeft w:val="0"/>
      <w:marRight w:val="0"/>
      <w:marTop w:val="0"/>
      <w:marBottom w:val="0"/>
      <w:divBdr>
        <w:top w:val="none" w:sz="0" w:space="0" w:color="auto"/>
        <w:left w:val="none" w:sz="0" w:space="0" w:color="auto"/>
        <w:bottom w:val="none" w:sz="0" w:space="0" w:color="auto"/>
        <w:right w:val="none" w:sz="0" w:space="0" w:color="auto"/>
      </w:divBdr>
    </w:div>
    <w:div w:id="1117484075">
      <w:bodyDiv w:val="1"/>
      <w:marLeft w:val="0"/>
      <w:marRight w:val="0"/>
      <w:marTop w:val="0"/>
      <w:marBottom w:val="0"/>
      <w:divBdr>
        <w:top w:val="none" w:sz="0" w:space="0" w:color="auto"/>
        <w:left w:val="none" w:sz="0" w:space="0" w:color="auto"/>
        <w:bottom w:val="none" w:sz="0" w:space="0" w:color="auto"/>
        <w:right w:val="none" w:sz="0" w:space="0" w:color="auto"/>
      </w:divBdr>
    </w:div>
    <w:div w:id="1498695260">
      <w:bodyDiv w:val="1"/>
      <w:marLeft w:val="0"/>
      <w:marRight w:val="0"/>
      <w:marTop w:val="0"/>
      <w:marBottom w:val="0"/>
      <w:divBdr>
        <w:top w:val="none" w:sz="0" w:space="0" w:color="auto"/>
        <w:left w:val="none" w:sz="0" w:space="0" w:color="auto"/>
        <w:bottom w:val="none" w:sz="0" w:space="0" w:color="auto"/>
        <w:right w:val="none" w:sz="0" w:space="0" w:color="auto"/>
      </w:divBdr>
    </w:div>
    <w:div w:id="1604876720">
      <w:bodyDiv w:val="1"/>
      <w:marLeft w:val="0"/>
      <w:marRight w:val="0"/>
      <w:marTop w:val="0"/>
      <w:marBottom w:val="0"/>
      <w:divBdr>
        <w:top w:val="none" w:sz="0" w:space="0" w:color="auto"/>
        <w:left w:val="none" w:sz="0" w:space="0" w:color="auto"/>
        <w:bottom w:val="none" w:sz="0" w:space="0" w:color="auto"/>
        <w:right w:val="none" w:sz="0" w:space="0" w:color="auto"/>
      </w:divBdr>
    </w:div>
    <w:div w:id="1771781941">
      <w:bodyDiv w:val="1"/>
      <w:marLeft w:val="0"/>
      <w:marRight w:val="0"/>
      <w:marTop w:val="0"/>
      <w:marBottom w:val="0"/>
      <w:divBdr>
        <w:top w:val="none" w:sz="0" w:space="0" w:color="auto"/>
        <w:left w:val="none" w:sz="0" w:space="0" w:color="auto"/>
        <w:bottom w:val="none" w:sz="0" w:space="0" w:color="auto"/>
        <w:right w:val="none" w:sz="0" w:space="0" w:color="auto"/>
      </w:divBdr>
    </w:div>
    <w:div w:id="2016492018">
      <w:bodyDiv w:val="1"/>
      <w:marLeft w:val="0"/>
      <w:marRight w:val="0"/>
      <w:marTop w:val="0"/>
      <w:marBottom w:val="0"/>
      <w:divBdr>
        <w:top w:val="none" w:sz="0" w:space="0" w:color="auto"/>
        <w:left w:val="none" w:sz="0" w:space="0" w:color="auto"/>
        <w:bottom w:val="none" w:sz="0" w:space="0" w:color="auto"/>
        <w:right w:val="none" w:sz="0" w:space="0" w:color="auto"/>
      </w:divBdr>
    </w:div>
    <w:div w:id="206841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BF03216226" TargetMode="External"/><Relationship Id="rId18" Type="http://schemas.openxmlformats.org/officeDocument/2006/relationships/hyperlink" Target="https://www.jpp.krakow.pl/journal/archive/12_19/pdf/10.26402/jpp.2019.6.02.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B978-0-443-18548-9.00023-8" TargetMode="External"/><Relationship Id="rId7" Type="http://schemas.openxmlformats.org/officeDocument/2006/relationships/chart" Target="charts/chart1.xml"/><Relationship Id="rId12" Type="http://schemas.openxmlformats.org/officeDocument/2006/relationships/hyperlink" Target="https://doi.org/10.1111/jvim.14357" TargetMode="External"/><Relationship Id="rId17" Type="http://schemas.openxmlformats.org/officeDocument/2006/relationships/hyperlink" Target="https://doi.org/10.1177/1098612X251320254" TargetMode="External"/><Relationship Id="rId25" Type="http://schemas.openxmlformats.org/officeDocument/2006/relationships/hyperlink" Target="https://doi.org/10.1111/j.1939-1676.2007.tb03051.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app151910342" TargetMode="External"/><Relationship Id="rId20" Type="http://schemas.openxmlformats.org/officeDocument/2006/relationships/hyperlink" Target="https://doi.org/10.3390/vetsci121009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endo.2014.00138" TargetMode="External"/><Relationship Id="rId24" Type="http://schemas.openxmlformats.org/officeDocument/2006/relationships/hyperlink" Target="https://doi.org/10.1155/2011/64625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med.ncbi.nlm.nih.gov/9887939/" TargetMode="External"/><Relationship Id="rId23" Type="http://schemas.openxmlformats.org/officeDocument/2006/relationships/hyperlink" Target="https://doi.org/10.1146/annurev-animal-051021-080937" TargetMode="External"/><Relationship Id="rId28" Type="http://schemas.openxmlformats.org/officeDocument/2006/relationships/footer" Target="footer1.xml"/><Relationship Id="rId10" Type="http://schemas.openxmlformats.org/officeDocument/2006/relationships/hyperlink" Target="https://hdl.handle.net/10214/29140" TargetMode="External"/><Relationship Id="rId19" Type="http://schemas.openxmlformats.org/officeDocument/2006/relationships/hyperlink" Target="https://doi.org/10.1038/s41598-025-89923-z"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86/s12917-025-04962-y" TargetMode="External"/><Relationship Id="rId14" Type="http://schemas.openxmlformats.org/officeDocument/2006/relationships/hyperlink" Target="https://doi.org/10.1111/bph.14642" TargetMode="External"/><Relationship Id="rId22" Type="http://schemas.openxmlformats.org/officeDocument/2006/relationships/hyperlink" Target="https://doi.org/10.1111/brv.1312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Desktop\Dr%20Harneet%20Data\Glucose%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Desktop\Dr%20Harneet%20Data\Glucose%20Fin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c:f>
              <c:strCache>
                <c:ptCount val="1"/>
                <c:pt idx="0">
                  <c:v>Mean Glucose level (mg/dl) </c:v>
                </c:pt>
              </c:strCache>
            </c:strRef>
          </c:tx>
          <c:spPr>
            <a:solidFill>
              <a:schemeClr val="accent1"/>
            </a:solidFill>
            <a:ln>
              <a:noFill/>
            </a:ln>
            <a:effectLst/>
          </c:spPr>
          <c:invertIfNegative val="0"/>
          <c:errBars>
            <c:errBarType val="both"/>
            <c:errValType val="cust"/>
            <c:noEndCap val="0"/>
            <c:plus>
              <c:numRef>
                <c:f>Sheet2!$D$2:$D$4</c:f>
                <c:numCache>
                  <c:formatCode>General</c:formatCode>
                  <c:ptCount val="3"/>
                  <c:pt idx="0">
                    <c:v>3.12</c:v>
                  </c:pt>
                  <c:pt idx="1">
                    <c:v>3.25</c:v>
                  </c:pt>
                  <c:pt idx="2">
                    <c:v>3.05</c:v>
                  </c:pt>
                </c:numCache>
              </c:numRef>
            </c:plus>
            <c:minus>
              <c:numRef>
                <c:f>Sheet2!$D$2:$D$4</c:f>
                <c:numCache>
                  <c:formatCode>General</c:formatCode>
                  <c:ptCount val="3"/>
                  <c:pt idx="0">
                    <c:v>3.12</c:v>
                  </c:pt>
                  <c:pt idx="1">
                    <c:v>3.25</c:v>
                  </c:pt>
                  <c:pt idx="2">
                    <c:v>3.05</c:v>
                  </c:pt>
                </c:numCache>
              </c:numRef>
            </c:minus>
            <c:spPr>
              <a:noFill/>
              <a:ln w="9525" cap="flat" cmpd="sng" algn="ctr">
                <a:solidFill>
                  <a:schemeClr val="tx1">
                    <a:lumMod val="65000"/>
                    <a:lumOff val="35000"/>
                  </a:schemeClr>
                </a:solidFill>
                <a:round/>
              </a:ln>
              <a:effectLst/>
            </c:spPr>
          </c:errBars>
          <c:cat>
            <c:strRef>
              <c:f>Sheet2!$B$2:$B$4</c:f>
              <c:strCache>
                <c:ptCount val="3"/>
                <c:pt idx="0">
                  <c:v>A</c:v>
                </c:pt>
                <c:pt idx="1">
                  <c:v>B</c:v>
                </c:pt>
                <c:pt idx="2">
                  <c:v>C</c:v>
                </c:pt>
              </c:strCache>
            </c:strRef>
          </c:cat>
          <c:val>
            <c:numRef>
              <c:f>Sheet2!$C$2:$C$4</c:f>
              <c:numCache>
                <c:formatCode>General</c:formatCode>
                <c:ptCount val="3"/>
                <c:pt idx="0">
                  <c:v>105.29</c:v>
                </c:pt>
                <c:pt idx="1">
                  <c:v>85.86</c:v>
                </c:pt>
                <c:pt idx="2">
                  <c:v>98.29</c:v>
                </c:pt>
              </c:numCache>
            </c:numRef>
          </c:val>
          <c:extLst>
            <c:ext xmlns:c16="http://schemas.microsoft.com/office/drawing/2014/chart" uri="{C3380CC4-5D6E-409C-BE32-E72D297353CC}">
              <c16:uniqueId val="{00000000-CC8B-4E4E-965C-55E448CD3AF5}"/>
            </c:ext>
          </c:extLst>
        </c:ser>
        <c:dLbls>
          <c:showLegendKey val="0"/>
          <c:showVal val="0"/>
          <c:showCatName val="0"/>
          <c:showSerName val="0"/>
          <c:showPercent val="0"/>
          <c:showBubbleSize val="0"/>
        </c:dLbls>
        <c:gapWidth val="219"/>
        <c:overlap val="-27"/>
        <c:axId val="285404768"/>
        <c:axId val="285402416"/>
      </c:barChart>
      <c:catAx>
        <c:axId val="28540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Groups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02416"/>
        <c:crosses val="autoZero"/>
        <c:auto val="1"/>
        <c:lblAlgn val="ctr"/>
        <c:lblOffset val="100"/>
        <c:noMultiLvlLbl val="0"/>
      </c:catAx>
      <c:valAx>
        <c:axId val="285402416"/>
        <c:scaling>
          <c:orientation val="minMax"/>
          <c:max val="14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900" b="0" i="0" baseline="0">
                    <a:effectLst/>
                  </a:rPr>
                  <a:t>Glucose level (mg/dl) </a:t>
                </a:r>
                <a:endParaRPr lang="en-IN" sz="3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sz="300"/>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0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Sheet2!$C$17:$C$18</c:f>
                <c:numCache>
                  <c:formatCode>General</c:formatCode>
                  <c:ptCount val="2"/>
                  <c:pt idx="0">
                    <c:v>18.128699855591016</c:v>
                  </c:pt>
                  <c:pt idx="1">
                    <c:v>17.699422562126607</c:v>
                  </c:pt>
                </c:numCache>
              </c:numRef>
            </c:plus>
            <c:minus>
              <c:numRef>
                <c:f>Sheet2!$C$17:$C$18</c:f>
                <c:numCache>
                  <c:formatCode>General</c:formatCode>
                  <c:ptCount val="2"/>
                  <c:pt idx="0">
                    <c:v>18.128699855591016</c:v>
                  </c:pt>
                  <c:pt idx="1">
                    <c:v>17.699422562126607</c:v>
                  </c:pt>
                </c:numCache>
              </c:numRef>
            </c:minus>
            <c:spPr>
              <a:noFill/>
              <a:ln w="9525" cap="flat" cmpd="sng" algn="ctr">
                <a:solidFill>
                  <a:schemeClr val="tx1">
                    <a:lumMod val="65000"/>
                    <a:lumOff val="35000"/>
                  </a:schemeClr>
                </a:solidFill>
                <a:round/>
              </a:ln>
              <a:effectLst/>
            </c:spPr>
          </c:errBars>
          <c:cat>
            <c:strRef>
              <c:f>Sheet2!$A$17:$A$18</c:f>
              <c:strCache>
                <c:ptCount val="2"/>
                <c:pt idx="0">
                  <c:v>Female</c:v>
                </c:pt>
                <c:pt idx="1">
                  <c:v>Male</c:v>
                </c:pt>
              </c:strCache>
            </c:strRef>
          </c:cat>
          <c:val>
            <c:numRef>
              <c:f>Sheet2!$B$17:$B$18</c:f>
              <c:numCache>
                <c:formatCode>0.00</c:formatCode>
                <c:ptCount val="2"/>
                <c:pt idx="0">
                  <c:v>100.19565217391305</c:v>
                </c:pt>
                <c:pt idx="1">
                  <c:v>91.973684210526315</c:v>
                </c:pt>
              </c:numCache>
            </c:numRef>
          </c:val>
          <c:extLst>
            <c:ext xmlns:c16="http://schemas.microsoft.com/office/drawing/2014/chart" uri="{C3380CC4-5D6E-409C-BE32-E72D297353CC}">
              <c16:uniqueId val="{00000000-F294-42F6-B2B7-DF1D6F8C6900}"/>
            </c:ext>
          </c:extLst>
        </c:ser>
        <c:dLbls>
          <c:showLegendKey val="0"/>
          <c:showVal val="0"/>
          <c:showCatName val="0"/>
          <c:showSerName val="0"/>
          <c:showPercent val="0"/>
          <c:showBubbleSize val="0"/>
        </c:dLbls>
        <c:gapWidth val="219"/>
        <c:overlap val="-27"/>
        <c:axId val="285402024"/>
        <c:axId val="285402808"/>
      </c:barChart>
      <c:catAx>
        <c:axId val="2854020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r>
                  <a:rPr lang="en-IN"/>
                  <a:t>Gender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endParaRPr lang="en-US"/>
          </a:p>
        </c:txPr>
        <c:crossAx val="285402808"/>
        <c:crosses val="autoZero"/>
        <c:auto val="1"/>
        <c:lblAlgn val="ctr"/>
        <c:lblOffset val="100"/>
        <c:noMultiLvlLbl val="0"/>
      </c:catAx>
      <c:valAx>
        <c:axId val="285402808"/>
        <c:scaling>
          <c:orientation val="minMax"/>
          <c:max val="140"/>
          <c:min val="0"/>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r>
                  <a:rPr lang="en-US"/>
                  <a:t>Glucose Level (mg/dl)</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lumMod val="65000"/>
                    <a:lumOff val="35000"/>
                  </a:sysClr>
                </a:solidFill>
                <a:latin typeface="+mn-lt"/>
                <a:ea typeface="+mn-ea"/>
                <a:cs typeface="+mn-cs"/>
              </a:defRPr>
            </a:pPr>
            <a:endParaRPr lang="en-US"/>
          </a:p>
        </c:txPr>
        <c:crossAx val="285402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ysClr val="windowText" lastClr="000000">
              <a:lumMod val="65000"/>
              <a:lumOff val="35000"/>
            </a:sysClr>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Chetna Mahajan</dc:creator>
  <cp:keywords/>
  <dc:description/>
  <cp:lastModifiedBy>SDI 1084</cp:lastModifiedBy>
  <cp:revision>3</cp:revision>
  <cp:lastPrinted>2026-01-06T08:19:00Z</cp:lastPrinted>
  <dcterms:created xsi:type="dcterms:W3CDTF">2026-01-14T09:11:00Z</dcterms:created>
  <dcterms:modified xsi:type="dcterms:W3CDTF">2026-01-14T13:51:00Z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0a7e9331-2713-46ab-89c3-534481cdcae0</vt:lpwstr>
  </property>
</Properties>
</file>