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2637F" w14:textId="77777777" w:rsidR="00EB3915" w:rsidRPr="00EB3915" w:rsidRDefault="00E449EB" w:rsidP="00EB3915">
      <w:pPr>
        <w:pStyle w:val="Default"/>
        <w:suppressAutoHyphens/>
        <w:spacing w:after="240" w:line="360" w:lineRule="auto"/>
        <w:jc w:val="center"/>
        <w:rPr>
          <w:rFonts w:ascii="Times Roman" w:hAnsi="Times Roman" w:hint="eastAsia"/>
          <w:b/>
          <w:bCs/>
          <w:i/>
          <w:iCs/>
          <w:u w:val="single"/>
        </w:rPr>
      </w:pPr>
      <w:r>
        <w:rPr>
          <w:rFonts w:ascii="Times Roman" w:hAnsi="Times Roman"/>
          <w:b/>
          <w:bCs/>
        </w:rPr>
        <w:t xml:space="preserve">    </w:t>
      </w:r>
      <w:r w:rsidR="00EB3915" w:rsidRPr="00EB3915">
        <w:rPr>
          <w:rFonts w:ascii="Times Roman" w:hAnsi="Times Roman"/>
          <w:b/>
          <w:bCs/>
          <w:i/>
          <w:iCs/>
          <w:u w:val="single"/>
        </w:rPr>
        <w:t xml:space="preserve">Case report </w:t>
      </w:r>
    </w:p>
    <w:p w14:paraId="79621C95" w14:textId="087FC739" w:rsidR="000C3D22" w:rsidRDefault="00E449EB">
      <w:pPr>
        <w:pStyle w:val="Default"/>
        <w:suppressAutoHyphens/>
        <w:spacing w:before="0" w:after="240" w:line="360" w:lineRule="auto"/>
        <w:jc w:val="center"/>
        <w:rPr>
          <w:rFonts w:ascii="Times Roman" w:eastAsia="Times Roman" w:hAnsi="Times Roman" w:cs="Times Roman"/>
          <w:b/>
          <w:bCs/>
        </w:rPr>
      </w:pPr>
      <w:r>
        <w:rPr>
          <w:rFonts w:ascii="Times Roman" w:hAnsi="Times Roman"/>
          <w:b/>
          <w:bCs/>
        </w:rPr>
        <w:t xml:space="preserve">  </w:t>
      </w:r>
      <w:r w:rsidR="00304EBE">
        <w:rPr>
          <w:rFonts w:ascii="Times Roman" w:hAnsi="Times Roman"/>
          <w:b/>
          <w:bCs/>
        </w:rPr>
        <w:t xml:space="preserve">Therapeutic Management of Severe Anemia associated with </w:t>
      </w:r>
      <w:proofErr w:type="spellStart"/>
      <w:r w:rsidR="00304EBE">
        <w:rPr>
          <w:rFonts w:ascii="Times Roman" w:hAnsi="Times Roman"/>
          <w:b/>
          <w:bCs/>
        </w:rPr>
        <w:t>Microfilariasis</w:t>
      </w:r>
      <w:proofErr w:type="spellEnd"/>
      <w:r w:rsidR="00304EBE">
        <w:rPr>
          <w:rFonts w:ascii="Times Roman" w:hAnsi="Times Roman"/>
          <w:b/>
          <w:bCs/>
        </w:rPr>
        <w:t xml:space="preserve"> in a Pug: A Case Report</w:t>
      </w:r>
    </w:p>
    <w:p w14:paraId="002F7443" w14:textId="77777777" w:rsidR="00042E98" w:rsidRDefault="00042E98">
      <w:pPr>
        <w:pStyle w:val="Default"/>
        <w:suppressAutoHyphens/>
        <w:spacing w:before="0" w:after="281" w:line="360" w:lineRule="auto"/>
        <w:jc w:val="both"/>
        <w:rPr>
          <w:rFonts w:ascii="Times New Roman" w:hAnsi="Times New Roman"/>
          <w:b/>
          <w:bCs/>
          <w:lang w:val="de-DE"/>
        </w:rPr>
      </w:pPr>
    </w:p>
    <w:p w14:paraId="161678BE" w14:textId="738CEB65"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ABSTRACT</w:t>
      </w:r>
    </w:p>
    <w:p w14:paraId="7722D18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A 3-year-old intact male Pug weighing 10 kg was presented to the Small Animal Medicine Unit with a history of anorexia, lethargy, and irregular voiding habits. Clinical examination revealed dull mentation, lateral recumbency, and blanched conjunctival mucous membranes indicative of severe anemia. Hematological evaluation confirm</w:t>
      </w:r>
      <w:r w:rsidR="00E96599">
        <w:rPr>
          <w:rFonts w:ascii="Times New Roman" w:hAnsi="Times New Roman"/>
        </w:rPr>
        <w:t>ed severe anemia (Hemoglobin 3.25</w:t>
      </w:r>
      <w:r>
        <w:rPr>
          <w:rFonts w:ascii="Times New Roman" w:hAnsi="Times New Roman"/>
        </w:rPr>
        <w:t xml:space="preserve"> g/dL; PCV</w:t>
      </w:r>
      <w:r w:rsidR="00E96599">
        <w:rPr>
          <w:rFonts w:ascii="Times New Roman" w:hAnsi="Times New Roman"/>
        </w:rPr>
        <w:t xml:space="preserve"> 8.5%) and thrombocytopenia (70</w:t>
      </w:r>
      <w:r>
        <w:rPr>
          <w:rFonts w:ascii="Times New Roman" w:hAnsi="Times New Roman"/>
        </w:rPr>
        <w:t>×</w:t>
      </w:r>
      <w:r w:rsidR="001305A8">
        <w:rPr>
          <w:rFonts w:ascii="Times New Roman" w:hAnsi="Times New Roman"/>
        </w:rPr>
        <w:t>10</w:t>
      </w:r>
      <w:r w:rsidR="001305A8" w:rsidRPr="001305A8">
        <w:rPr>
          <w:rFonts w:ascii="Times New Roman" w:hAnsi="Times New Roman"/>
          <w:vertAlign w:val="superscript"/>
        </w:rPr>
        <w:t>3</w:t>
      </w:r>
      <w:r>
        <w:rPr>
          <w:rFonts w:ascii="Times New Roman" w:hAnsi="Times New Roman"/>
        </w:rPr>
        <w:t>/</w:t>
      </w:r>
      <w:proofErr w:type="spellStart"/>
      <w:r>
        <w:rPr>
          <w:rFonts w:ascii="Times New Roman" w:hAnsi="Times New Roman"/>
        </w:rPr>
        <w:t>μL</w:t>
      </w:r>
      <w:proofErr w:type="spellEnd"/>
      <w:r>
        <w:rPr>
          <w:rFonts w:ascii="Times New Roman" w:hAnsi="Times New Roman"/>
        </w:rPr>
        <w:t xml:space="preserve">), while peripheral blood smears revealed the presence of microfilariae consistent with </w:t>
      </w:r>
      <w:r>
        <w:rPr>
          <w:rFonts w:ascii="Times New Roman" w:hAnsi="Times New Roman"/>
          <w:i/>
          <w:iCs/>
          <w:lang w:val="it-IT"/>
        </w:rPr>
        <w:t>Dirofilaria</w:t>
      </w:r>
      <w:r w:rsidR="002060CC">
        <w:rPr>
          <w:rFonts w:ascii="Times New Roman" w:hAnsi="Times New Roman"/>
          <w:i/>
          <w:iCs/>
          <w:lang w:val="it-IT"/>
        </w:rPr>
        <w:t xml:space="preserve"> </w:t>
      </w:r>
      <w:r w:rsidR="002060CC">
        <w:rPr>
          <w:rFonts w:ascii="Times New Roman" w:hAnsi="Times New Roman"/>
          <w:lang w:val="it-IT"/>
        </w:rPr>
        <w:t>species</w:t>
      </w:r>
      <w:r>
        <w:rPr>
          <w:rFonts w:ascii="Times New Roman" w:hAnsi="Times New Roman"/>
        </w:rPr>
        <w:t>. Serum biochemistry parameters were within normal limits. Due to the life-threatening nature of the anemia, a whole blood transfusion was performed. A compatible major cross-match was obtained, and the transfusion was completed uneventfully. The patient was managed with a combined therapeutic approach using a whole blood transfusion as a supportive measure and a targeted antiparasitic regimen (Ivermectin and Doxycycline) for recovery. The patient showed significant clinical improvement by Day 5. This case highlights the importance of timely blood transfusion to stabilize patients, allowing specific medical management to take effect.</w:t>
      </w:r>
    </w:p>
    <w:p w14:paraId="0DCD5DAC"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b/>
          <w:bCs/>
        </w:rPr>
        <w:t>KEYWORDS:</w:t>
      </w:r>
      <w:r>
        <w:rPr>
          <w:rFonts w:ascii="Times New Roman" w:hAnsi="Times New Roman"/>
        </w:rPr>
        <w:t xml:space="preserve"> </w:t>
      </w:r>
      <w:r>
        <w:rPr>
          <w:rFonts w:ascii="Times New Roman" w:hAnsi="Times New Roman"/>
          <w:i/>
          <w:iCs/>
          <w:lang w:val="it-IT"/>
        </w:rPr>
        <w:t xml:space="preserve">Canine, Microfilariasis, Severe Anemia, Whole Blood </w:t>
      </w:r>
      <w:r w:rsidR="002060CC">
        <w:rPr>
          <w:rFonts w:ascii="Times New Roman" w:hAnsi="Times New Roman"/>
          <w:i/>
          <w:iCs/>
          <w:lang w:val="it-IT"/>
        </w:rPr>
        <w:t xml:space="preserve">Transfusion, Dirofilaria </w:t>
      </w:r>
      <w:r w:rsidR="002060CC" w:rsidRPr="002060CC">
        <w:rPr>
          <w:rFonts w:ascii="Times New Roman" w:hAnsi="Times New Roman"/>
          <w:lang w:val="it-IT"/>
        </w:rPr>
        <w:t>species</w:t>
      </w:r>
      <w:r>
        <w:rPr>
          <w:rFonts w:ascii="Times New Roman" w:hAnsi="Times New Roman"/>
          <w:i/>
          <w:iCs/>
          <w:lang w:val="it-IT"/>
        </w:rPr>
        <w:t>.</w:t>
      </w:r>
    </w:p>
    <w:p w14:paraId="06BD9563" w14:textId="77777777" w:rsidR="006938CF" w:rsidRDefault="006938CF">
      <w:pPr>
        <w:pStyle w:val="Default"/>
        <w:suppressAutoHyphens/>
        <w:spacing w:before="0" w:after="281" w:line="360" w:lineRule="auto"/>
        <w:jc w:val="both"/>
        <w:rPr>
          <w:rFonts w:ascii="Times New Roman" w:hAnsi="Times New Roman"/>
          <w:b/>
          <w:bCs/>
        </w:rPr>
      </w:pPr>
    </w:p>
    <w:p w14:paraId="32189D67"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INTRODUCTION</w:t>
      </w:r>
    </w:p>
    <w:p w14:paraId="755B593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Canine filariasis, predominantly caused by the nematode </w:t>
      </w:r>
      <w:r w:rsidR="002060CC">
        <w:rPr>
          <w:rFonts w:ascii="Times New Roman" w:hAnsi="Times New Roman"/>
          <w:i/>
          <w:iCs/>
          <w:lang w:val="it-IT"/>
        </w:rPr>
        <w:t xml:space="preserve">Dirofilaria </w:t>
      </w:r>
      <w:r w:rsidR="002060CC" w:rsidRPr="002060CC">
        <w:rPr>
          <w:rFonts w:ascii="Times New Roman" w:hAnsi="Times New Roman"/>
          <w:lang w:val="it-IT"/>
        </w:rPr>
        <w:t>species</w:t>
      </w:r>
      <w:r>
        <w:rPr>
          <w:rFonts w:ascii="Times New Roman" w:hAnsi="Times New Roman"/>
        </w:rPr>
        <w:t>, is a mosquito-borne disease of significant veterinary importance</w:t>
      </w:r>
      <w:r w:rsidR="00E449EB">
        <w:rPr>
          <w:rFonts w:ascii="Times New Roman" w:hAnsi="Times New Roman"/>
        </w:rPr>
        <w:t xml:space="preserve"> (Megat Abd Rani et al.,</w:t>
      </w:r>
      <w:r w:rsidR="00AA3E1A">
        <w:rPr>
          <w:rFonts w:ascii="Times New Roman" w:hAnsi="Times New Roman"/>
        </w:rPr>
        <w:t xml:space="preserve"> </w:t>
      </w:r>
      <w:r w:rsidR="00E449EB">
        <w:rPr>
          <w:rFonts w:ascii="Times New Roman" w:hAnsi="Times New Roman"/>
        </w:rPr>
        <w:t>2010)</w:t>
      </w:r>
      <w:r>
        <w:rPr>
          <w:rFonts w:ascii="Times New Roman" w:hAnsi="Times New Roman"/>
        </w:rPr>
        <w:t>. While the disease is endemic in tropical and subtropical regions, its clinical presentation varies based on worm burden and host immune response. Adult worms primarily inhabit the pulmonary arteries and the right ventricle</w:t>
      </w:r>
      <w:r w:rsidR="00AA3E1A">
        <w:rPr>
          <w:rFonts w:ascii="Times New Roman" w:hAnsi="Times New Roman"/>
        </w:rPr>
        <w:t xml:space="preserve"> (Ettinger &amp; Feldman, 2010)</w:t>
      </w:r>
      <w:r>
        <w:rPr>
          <w:rFonts w:ascii="Times New Roman" w:hAnsi="Times New Roman"/>
        </w:rPr>
        <w:t>, leading to classical signs such as exercise intolerance, chronic cough and weight loss.</w:t>
      </w:r>
    </w:p>
    <w:p w14:paraId="4C7AD39F" w14:textId="77777777" w:rsidR="008B2129"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hAnsi="Times New Roman"/>
        </w:rPr>
        <w:t>However, in severe infestations, the disease may manifest with systemic complications beyond the respiratory system. A critical complication is the development of severe anemia and thrombocytopenia. This is often resulting from microangiopathic hemolysis or immune-mediated destruction of erythrocytes (</w:t>
      </w:r>
      <w:proofErr w:type="spellStart"/>
      <w:r>
        <w:rPr>
          <w:rFonts w:ascii="Times New Roman" w:hAnsi="Times New Roman"/>
        </w:rPr>
        <w:t>Marokot</w:t>
      </w:r>
      <w:proofErr w:type="spellEnd"/>
      <w:r>
        <w:rPr>
          <w:rFonts w:ascii="Times New Roman" w:hAnsi="Times New Roman"/>
        </w:rPr>
        <w:t xml:space="preserve"> </w:t>
      </w:r>
      <w:proofErr w:type="spellStart"/>
      <w:r>
        <w:rPr>
          <w:rFonts w:ascii="Times New Roman" w:hAnsi="Times New Roman"/>
        </w:rPr>
        <w:t>Kaewthamasorn</w:t>
      </w:r>
      <w:proofErr w:type="spellEnd"/>
      <w:r>
        <w:rPr>
          <w:rFonts w:ascii="Times New Roman" w:hAnsi="Times New Roman"/>
        </w:rPr>
        <w:t xml:space="preserve"> et al., 2008). In acute crises where the packed cell volume (PCV) drops to life-threatening levels (typically &lt;15%), immediate blood transfusion becomes essential to restore oxygen-carrying capacity</w:t>
      </w:r>
      <w:r w:rsidR="008B2129">
        <w:rPr>
          <w:rFonts w:ascii="Times New Roman" w:hAnsi="Times New Roman"/>
        </w:rPr>
        <w:t>.</w:t>
      </w:r>
      <w:r>
        <w:rPr>
          <w:rFonts w:ascii="Times New Roman" w:eastAsia="Times New Roman" w:hAnsi="Times New Roman" w:cs="Times New Roman"/>
        </w:rPr>
        <w:tab/>
      </w:r>
    </w:p>
    <w:p w14:paraId="1F15549A" w14:textId="77777777" w:rsidR="000C3D22" w:rsidRDefault="008B2129">
      <w:pPr>
        <w:pStyle w:val="Default"/>
        <w:suppressAutoHyphens/>
        <w:spacing w:before="0" w:after="240" w:line="360" w:lineRule="auto"/>
        <w:jc w:val="both"/>
        <w:rPr>
          <w:rFonts w:ascii="Times New Roman" w:hAnsi="Times New Roman"/>
        </w:rPr>
      </w:pPr>
      <w:r>
        <w:rPr>
          <w:rFonts w:ascii="Times New Roman" w:eastAsia="Times New Roman" w:hAnsi="Times New Roman" w:cs="Times New Roman"/>
        </w:rPr>
        <w:t xml:space="preserve">            </w:t>
      </w:r>
      <w:r w:rsidR="00304EBE">
        <w:rPr>
          <w:rFonts w:ascii="Times New Roman" w:hAnsi="Times New Roman"/>
        </w:rPr>
        <w:t xml:space="preserve">While blood transfusions are life-saving, they require careful donor selection, cross-matching, and rigorous monitoring. This case report documents the therapeutic management of a Pug presented with severe anemia associated with </w:t>
      </w:r>
      <w:proofErr w:type="spellStart"/>
      <w:r w:rsidR="00304EBE">
        <w:rPr>
          <w:rFonts w:ascii="Times New Roman" w:hAnsi="Times New Roman"/>
        </w:rPr>
        <w:t>microfilariasis</w:t>
      </w:r>
      <w:proofErr w:type="spellEnd"/>
      <w:r w:rsidR="00304EBE">
        <w:rPr>
          <w:rFonts w:ascii="Times New Roman" w:hAnsi="Times New Roman"/>
        </w:rPr>
        <w:t>, describing the successful use of whole blood transfusion to stabilize the patient, enabling a successful recovery through combined medical therapy.</w:t>
      </w:r>
    </w:p>
    <w:p w14:paraId="10D94E98" w14:textId="77777777" w:rsidR="00F55A3E" w:rsidRDefault="00F55A3E">
      <w:pPr>
        <w:pStyle w:val="Default"/>
        <w:suppressAutoHyphens/>
        <w:spacing w:before="0" w:after="240" w:line="360" w:lineRule="auto"/>
        <w:jc w:val="both"/>
        <w:rPr>
          <w:rFonts w:ascii="Times New Roman" w:hAnsi="Times New Roman"/>
        </w:rPr>
      </w:pPr>
    </w:p>
    <w:p w14:paraId="14FC5E1E" w14:textId="0E553958" w:rsidR="00F55A3E" w:rsidRDefault="00F55A3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Case Presentation </w:t>
      </w:r>
    </w:p>
    <w:p w14:paraId="105B699F"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CASE HISTORY AND CLINICAL OBSERVATIONS</w:t>
      </w:r>
    </w:p>
    <w:p w14:paraId="1DEFABCA"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A 3-year-old intact male Pug weighing 10 kg was presented to the Small Animal Medicine Unit of the Veterinary Clinical Complex, Tirunelveli. The presenting complaints included </w:t>
      </w:r>
      <w:proofErr w:type="spellStart"/>
      <w:r>
        <w:rPr>
          <w:rFonts w:ascii="Times New Roman" w:hAnsi="Times New Roman"/>
        </w:rPr>
        <w:t>hyporexia</w:t>
      </w:r>
      <w:proofErr w:type="spellEnd"/>
      <w:r>
        <w:rPr>
          <w:rFonts w:ascii="Times New Roman" w:hAnsi="Times New Roman"/>
        </w:rPr>
        <w:t xml:space="preserve"> for one week, dull mentation, and irregular bowel and bladder habits.</w:t>
      </w:r>
      <w:r w:rsidR="003A711F">
        <w:rPr>
          <w:rFonts w:ascii="Times New Roman" w:eastAsia="Times New Roman" w:hAnsi="Times New Roman" w:cs="Times New Roman"/>
        </w:rPr>
        <w:t xml:space="preserve"> </w:t>
      </w:r>
      <w:r>
        <w:rPr>
          <w:rFonts w:ascii="Times New Roman" w:hAnsi="Times New Roman"/>
        </w:rPr>
        <w:t>On presentation, the animal was recumbent and exhibited extreme lethargy (</w:t>
      </w:r>
      <w:r>
        <w:rPr>
          <w:rFonts w:ascii="Times New Roman" w:hAnsi="Times New Roman"/>
          <w:b/>
          <w:bCs/>
        </w:rPr>
        <w:t>Fig. 1</w:t>
      </w:r>
      <w:r>
        <w:rPr>
          <w:rFonts w:ascii="Times New Roman" w:hAnsi="Times New Roman"/>
        </w:rPr>
        <w:t>). General physical examination revealed a dry, lusterless hair coat and distinctive pallor in the conjunctival mucous membranes, suggestive of severe anemia.</w:t>
      </w:r>
      <w:r w:rsidR="003A711F">
        <w:rPr>
          <w:rFonts w:ascii="Times New Roman" w:eastAsia="Times New Roman" w:hAnsi="Times New Roman" w:cs="Times New Roman"/>
        </w:rPr>
        <w:t xml:space="preserve"> </w:t>
      </w:r>
      <w:r>
        <w:rPr>
          <w:rFonts w:ascii="Times New Roman" w:hAnsi="Times New Roman"/>
        </w:rPr>
        <w:t>Hematological analysis revealed severe normocytic, normochromic anemi</w:t>
      </w:r>
      <w:r w:rsidR="002060CC">
        <w:rPr>
          <w:rFonts w:ascii="Times New Roman" w:hAnsi="Times New Roman"/>
        </w:rPr>
        <w:t>a with a Hemoglobin level of 3.25</w:t>
      </w:r>
      <w:r>
        <w:rPr>
          <w:rFonts w:ascii="Times New Roman" w:hAnsi="Times New Roman"/>
        </w:rPr>
        <w:t xml:space="preserve"> g/dL and a Packed Cell Volume (PCV) of 8</w:t>
      </w:r>
      <w:r w:rsidR="002060CC">
        <w:rPr>
          <w:rFonts w:ascii="Times New Roman" w:hAnsi="Times New Roman"/>
        </w:rPr>
        <w:t>.5%. The total RBC count was 1.3</w:t>
      </w:r>
      <w:r>
        <w:rPr>
          <w:rFonts w:ascii="Times New Roman" w:hAnsi="Times New Roman"/>
        </w:rPr>
        <w:t>0×10</w:t>
      </w:r>
      <w:r w:rsidRPr="002060CC">
        <w:rPr>
          <w:rFonts w:ascii="Times New Roman" w:hAnsi="Times New Roman"/>
          <w:vertAlign w:val="superscript"/>
        </w:rPr>
        <w:t>6</w:t>
      </w:r>
      <w:r>
        <w:rPr>
          <w:rFonts w:ascii="Times New Roman" w:hAnsi="Times New Roman"/>
        </w:rPr>
        <w:t>/</w:t>
      </w:r>
      <w:proofErr w:type="spellStart"/>
      <w:r>
        <w:rPr>
          <w:rFonts w:ascii="Times New Roman" w:hAnsi="Times New Roman"/>
        </w:rPr>
        <w:t>μL</w:t>
      </w:r>
      <w:proofErr w:type="spellEnd"/>
      <w:r>
        <w:rPr>
          <w:rFonts w:ascii="Times New Roman" w:hAnsi="Times New Roman"/>
        </w:rPr>
        <w:t xml:space="preserve">. Peripheral blood smear evaluation showed evidence of regeneration, characterized by nucleated RBCs, polychromasia, </w:t>
      </w:r>
      <w:proofErr w:type="spellStart"/>
      <w:r>
        <w:rPr>
          <w:rFonts w:ascii="Times New Roman" w:hAnsi="Times New Roman"/>
        </w:rPr>
        <w:t>codocytes</w:t>
      </w:r>
      <w:proofErr w:type="spellEnd"/>
      <w:r>
        <w:rPr>
          <w:rFonts w:ascii="Times New Roman" w:hAnsi="Times New Roman"/>
        </w:rPr>
        <w:t xml:space="preserve">, and leptocytes. </w:t>
      </w:r>
      <w:r w:rsidR="002060CC">
        <w:rPr>
          <w:rFonts w:ascii="Times New Roman" w:hAnsi="Times New Roman"/>
        </w:rPr>
        <w:t>Thrombocytopenia (Platelets: 70</w:t>
      </w:r>
      <w:r>
        <w:rPr>
          <w:rFonts w:ascii="Times New Roman" w:hAnsi="Times New Roman"/>
        </w:rPr>
        <w:t>×10</w:t>
      </w:r>
      <w:r w:rsidRPr="002060CC">
        <w:rPr>
          <w:rFonts w:ascii="Times New Roman" w:hAnsi="Times New Roman"/>
          <w:vertAlign w:val="superscript"/>
        </w:rPr>
        <w:t>3</w:t>
      </w:r>
      <w:r>
        <w:rPr>
          <w:rFonts w:ascii="Times New Roman" w:hAnsi="Times New Roman"/>
        </w:rPr>
        <w:t>/</w:t>
      </w:r>
      <w:proofErr w:type="spellStart"/>
      <w:r>
        <w:rPr>
          <w:rFonts w:ascii="Times New Roman" w:hAnsi="Times New Roman"/>
        </w:rPr>
        <w:t>μL</w:t>
      </w:r>
      <w:proofErr w:type="spellEnd"/>
      <w:r>
        <w:rPr>
          <w:rFonts w:ascii="Times New Roman" w:hAnsi="Times New Roman"/>
        </w:rPr>
        <w:t>). Serum biochemistry revealed BUN and Creatinine levels within normal reference ranges (</w:t>
      </w:r>
      <w:r>
        <w:rPr>
          <w:rFonts w:ascii="Times New Roman" w:hAnsi="Times New Roman"/>
          <w:b/>
          <w:bCs/>
          <w:lang w:val="fr-FR"/>
        </w:rPr>
        <w:t>Table 1</w:t>
      </w:r>
      <w:r>
        <w:rPr>
          <w:rFonts w:ascii="Times New Roman" w:hAnsi="Times New Roman"/>
        </w:rPr>
        <w:t>).</w:t>
      </w:r>
      <w:r w:rsidR="003A711F">
        <w:rPr>
          <w:rFonts w:ascii="Times New Roman" w:eastAsia="Times New Roman" w:hAnsi="Times New Roman" w:cs="Times New Roman"/>
        </w:rPr>
        <w:t xml:space="preserve"> </w:t>
      </w:r>
      <w:r>
        <w:rPr>
          <w:rFonts w:ascii="Times New Roman" w:hAnsi="Times New Roman"/>
        </w:rPr>
        <w:t xml:space="preserve">Wet film and stained blood smear examination confirmed the presence of microfilariae, morphologically consistent with </w:t>
      </w:r>
      <w:r w:rsidR="002060CC">
        <w:rPr>
          <w:rFonts w:ascii="Times New Roman" w:hAnsi="Times New Roman"/>
          <w:i/>
          <w:iCs/>
          <w:lang w:val="it-IT"/>
        </w:rPr>
        <w:t xml:space="preserve">Dirofilaria </w:t>
      </w:r>
      <w:r w:rsidR="002060CC">
        <w:rPr>
          <w:rFonts w:ascii="Times New Roman" w:hAnsi="Times New Roman"/>
          <w:lang w:val="it-IT"/>
        </w:rPr>
        <w:t>species</w:t>
      </w:r>
      <w:r>
        <w:rPr>
          <w:rFonts w:ascii="Times New Roman" w:hAnsi="Times New Roman"/>
        </w:rPr>
        <w:t xml:space="preserve"> (</w:t>
      </w:r>
      <w:r>
        <w:rPr>
          <w:rFonts w:ascii="Times New Roman" w:hAnsi="Times New Roman"/>
          <w:b/>
          <w:bCs/>
        </w:rPr>
        <w:t>Fig. 2</w:t>
      </w:r>
      <w:r>
        <w:rPr>
          <w:rFonts w:ascii="Times New Roman" w:hAnsi="Times New Roman"/>
        </w:rPr>
        <w:t xml:space="preserve">). The gold standard for confirmation is the Heartworm Antigen Test (SNAP Test). However, due to resource limitations at the time of presentation, this specific antigen test was not performed. The diagnosis was established based on the strong clinical correlation, radiographic findings, and </w:t>
      </w:r>
      <w:proofErr w:type="spellStart"/>
      <w:r>
        <w:rPr>
          <w:rFonts w:ascii="Times New Roman" w:hAnsi="Times New Roman"/>
        </w:rPr>
        <w:lastRenderedPageBreak/>
        <w:t>microfilarial</w:t>
      </w:r>
      <w:proofErr w:type="spellEnd"/>
      <w:r>
        <w:rPr>
          <w:rFonts w:ascii="Times New Roman" w:hAnsi="Times New Roman"/>
        </w:rPr>
        <w:t xml:space="preserve"> morphology. Thoracic radiographic examination revealed a mixed alveolar pattern and enlargement of the pulmonary artery segments (</w:t>
      </w:r>
      <w:r>
        <w:rPr>
          <w:rFonts w:ascii="Times New Roman" w:hAnsi="Times New Roman"/>
          <w:b/>
          <w:bCs/>
        </w:rPr>
        <w:t>Figs. 3, 4</w:t>
      </w:r>
      <w:r>
        <w:rPr>
          <w:rFonts w:ascii="Times New Roman" w:hAnsi="Times New Roman"/>
        </w:rPr>
        <w:t>).</w:t>
      </w:r>
    </w:p>
    <w:p w14:paraId="0E9E329C"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THERAPEUTIC MANAGEMENT</w:t>
      </w:r>
    </w:p>
    <w:p w14:paraId="6608566C" w14:textId="77777777" w:rsidR="003A711F"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Upon diagnosis, immediate therapeutic intervention was initiated. On Day 0, the animal received a low-dose preventive administration of Ivermectin (6 mcg/kg, SC) to prevent rapid </w:t>
      </w:r>
      <w:proofErr w:type="spellStart"/>
      <w:r>
        <w:rPr>
          <w:rFonts w:ascii="Times New Roman" w:hAnsi="Times New Roman"/>
        </w:rPr>
        <w:t>microfilarial</w:t>
      </w:r>
      <w:proofErr w:type="spellEnd"/>
      <w:r>
        <w:rPr>
          <w:rFonts w:ascii="Times New Roman" w:hAnsi="Times New Roman"/>
        </w:rPr>
        <w:t xml:space="preserve"> die-off and shock. Concomitant oral therapy included Doxycycline (10 mg/kg, PO, SID) to target </w:t>
      </w:r>
      <w:r>
        <w:rPr>
          <w:rFonts w:ascii="Times New Roman" w:hAnsi="Times New Roman"/>
          <w:i/>
          <w:iCs/>
          <w:lang w:val="de-DE"/>
        </w:rPr>
        <w:t>Wolbachia</w:t>
      </w:r>
      <w:r>
        <w:rPr>
          <w:rFonts w:ascii="Times New Roman" w:hAnsi="Times New Roman"/>
        </w:rPr>
        <w:t xml:space="preserve"> endosymbionts, Pantoprazole (1 mg/kg, PO, SID) for gastro</w:t>
      </w:r>
      <w:r w:rsidR="00674F5F">
        <w:rPr>
          <w:rFonts w:ascii="Times New Roman" w:hAnsi="Times New Roman"/>
        </w:rPr>
        <w:t xml:space="preserve"> </w:t>
      </w:r>
      <w:r>
        <w:rPr>
          <w:rFonts w:ascii="Times New Roman" w:hAnsi="Times New Roman"/>
        </w:rPr>
        <w:t>protection, and a</w:t>
      </w:r>
      <w:r w:rsidR="002060CC">
        <w:rPr>
          <w:rFonts w:ascii="Times New Roman" w:hAnsi="Times New Roman"/>
        </w:rPr>
        <w:t>n</w:t>
      </w:r>
      <w:r>
        <w:rPr>
          <w:rFonts w:ascii="Times New Roman" w:hAnsi="Times New Roman"/>
        </w:rPr>
        <w:t xml:space="preserve"> iron supplement to support erythropoiesis.</w:t>
      </w:r>
      <w:r w:rsidR="003A711F">
        <w:rPr>
          <w:rFonts w:ascii="Times New Roman" w:eastAsia="Times New Roman" w:hAnsi="Times New Roman" w:cs="Times New Roman"/>
        </w:rPr>
        <w:t xml:space="preserve"> </w:t>
      </w:r>
    </w:p>
    <w:p w14:paraId="68E85F93" w14:textId="77777777" w:rsidR="000C3D22" w:rsidRDefault="00304EBE" w:rsidP="003A711F">
      <w:pPr>
        <w:pStyle w:val="Default"/>
        <w:suppressAutoHyphens/>
        <w:spacing w:before="0" w:after="240" w:line="360" w:lineRule="auto"/>
        <w:ind w:firstLine="720"/>
        <w:jc w:val="both"/>
        <w:rPr>
          <w:rFonts w:ascii="Times New Roman" w:eastAsia="Times New Roman" w:hAnsi="Times New Roman" w:cs="Times New Roman"/>
        </w:rPr>
      </w:pPr>
      <w:r>
        <w:rPr>
          <w:rFonts w:ascii="Times New Roman" w:hAnsi="Times New Roman"/>
        </w:rPr>
        <w:t xml:space="preserve">Due to the critical PCV (8.5%) and clinical signs of hypoxia, a whole blood transfusion was scheduled for </w:t>
      </w:r>
      <w:proofErr w:type="spellStart"/>
      <w:r>
        <w:rPr>
          <w:rFonts w:ascii="Times New Roman" w:hAnsi="Times New Roman"/>
        </w:rPr>
        <w:t>Day</w:t>
      </w:r>
      <w:proofErr w:type="spellEnd"/>
      <w:r>
        <w:rPr>
          <w:rFonts w:ascii="Times New Roman" w:hAnsi="Times New Roman"/>
        </w:rPr>
        <w:t xml:space="preserve"> 2. A healthy canine donor was selected based on standard physical and hematological screening (</w:t>
      </w:r>
      <w:r>
        <w:rPr>
          <w:rFonts w:ascii="Times New Roman" w:hAnsi="Times New Roman"/>
          <w:b/>
          <w:bCs/>
        </w:rPr>
        <w:t>Fig. 5</w:t>
      </w:r>
      <w:r>
        <w:rPr>
          <w:rFonts w:ascii="Times New Roman" w:hAnsi="Times New Roman"/>
        </w:rPr>
        <w:t>). Prior to transfusion, a major cross-match (Donor RBCs + Recipient Plasma) was performed. The slide agglutination test (</w:t>
      </w:r>
      <w:r>
        <w:rPr>
          <w:rFonts w:ascii="Times New Roman" w:hAnsi="Times New Roman"/>
          <w:b/>
          <w:bCs/>
        </w:rPr>
        <w:t>Fig. 7</w:t>
      </w:r>
      <w:r>
        <w:rPr>
          <w:rFonts w:ascii="Times New Roman" w:hAnsi="Times New Roman"/>
        </w:rPr>
        <w:t>) and microscopic evaluation revealed dispersed red blood cells (</w:t>
      </w:r>
      <w:r>
        <w:rPr>
          <w:rFonts w:ascii="Times New Roman" w:hAnsi="Times New Roman"/>
          <w:b/>
          <w:bCs/>
        </w:rPr>
        <w:t>Figs. 8, 9</w:t>
      </w:r>
      <w:r>
        <w:rPr>
          <w:rFonts w:ascii="Times New Roman" w:hAnsi="Times New Roman"/>
        </w:rPr>
        <w:t>), confirming compatibility.</w:t>
      </w:r>
      <w:r w:rsidR="003A711F">
        <w:rPr>
          <w:rFonts w:ascii="Times New Roman" w:eastAsia="Times New Roman" w:hAnsi="Times New Roman" w:cs="Times New Roman"/>
        </w:rPr>
        <w:t xml:space="preserve"> </w:t>
      </w:r>
      <w:r>
        <w:rPr>
          <w:rFonts w:ascii="Times New Roman" w:hAnsi="Times New Roman"/>
        </w:rPr>
        <w:t>Whole blood (100 ml) was aseptically collected from the donor using a CPDA-1 (Citrate Phosphate Dextrose Adenine) bag (</w:t>
      </w:r>
      <w:r>
        <w:rPr>
          <w:rFonts w:ascii="Times New Roman" w:hAnsi="Times New Roman"/>
          <w:b/>
          <w:bCs/>
        </w:rPr>
        <w:t>Fig. 10</w:t>
      </w:r>
      <w:r>
        <w:rPr>
          <w:rFonts w:ascii="Times New Roman" w:hAnsi="Times New Roman"/>
        </w:rPr>
        <w:t>). The blood was transfused intravenously using a standard blood administration set with an in-line filter (</w:t>
      </w:r>
      <w:r w:rsidR="00674F5F">
        <w:rPr>
          <w:rFonts w:ascii="Times New Roman" w:hAnsi="Times New Roman"/>
          <w:b/>
          <w:bCs/>
        </w:rPr>
        <w:t>Fig. 11</w:t>
      </w:r>
      <w:r>
        <w:rPr>
          <w:rFonts w:ascii="Times New Roman" w:hAnsi="Times New Roman"/>
        </w:rPr>
        <w:t>). The rate was initially slow (6 drops/min) for the first 15 minutes to monitor for acute reactions, then gradually increased. The transfusion was completed successfully without any adverse events or transfusion reactions (</w:t>
      </w:r>
      <w:r>
        <w:rPr>
          <w:rFonts w:ascii="Times New Roman" w:hAnsi="Times New Roman"/>
          <w:b/>
          <w:bCs/>
          <w:lang w:val="fr-FR"/>
        </w:rPr>
        <w:t>Table 2</w:t>
      </w:r>
      <w:r>
        <w:rPr>
          <w:rFonts w:ascii="Times New Roman" w:hAnsi="Times New Roman"/>
        </w:rPr>
        <w:t>).</w:t>
      </w:r>
      <w:r w:rsidR="003A711F">
        <w:rPr>
          <w:rFonts w:ascii="Times New Roman" w:eastAsia="Times New Roman" w:hAnsi="Times New Roman" w:cs="Times New Roman"/>
        </w:rPr>
        <w:t xml:space="preserve"> </w:t>
      </w:r>
      <w:r>
        <w:rPr>
          <w:rFonts w:ascii="Times New Roman" w:hAnsi="Times New Roman"/>
        </w:rPr>
        <w:t>By Day 5 post-transfusion, the animal exhibited a marked improvement in mentation, activity level and appetite (</w:t>
      </w:r>
      <w:r w:rsidR="00674F5F">
        <w:rPr>
          <w:rFonts w:ascii="Times New Roman" w:hAnsi="Times New Roman"/>
          <w:b/>
          <w:bCs/>
        </w:rPr>
        <w:t>Fig. 12</w:t>
      </w:r>
      <w:r>
        <w:rPr>
          <w:rFonts w:ascii="Times New Roman" w:hAnsi="Times New Roman"/>
        </w:rPr>
        <w:t>). Post-transfusion hematology (</w:t>
      </w:r>
      <w:r>
        <w:rPr>
          <w:rFonts w:ascii="Times New Roman" w:hAnsi="Times New Roman"/>
          <w:b/>
          <w:bCs/>
          <w:lang w:val="fr-FR"/>
        </w:rPr>
        <w:t>Table 3</w:t>
      </w:r>
      <w:r>
        <w:rPr>
          <w:rFonts w:ascii="Times New Roman" w:hAnsi="Times New Roman"/>
        </w:rPr>
        <w:t>) showed a significant improvement in hemoglobin (8.6 g/dL) and PCV (16.8%), indicating a successful therapeutic outcome.</w:t>
      </w:r>
    </w:p>
    <w:p w14:paraId="35A76B49"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DISCUSSION</w:t>
      </w:r>
    </w:p>
    <w:p w14:paraId="72CBA40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Canine filariasis typically results in cardiopulmonary compromise; however, this case was dominated by severe anemia and thrombocytopenia. The hematological picture is consistent with mechanical fragmentation of erythrocytes (microangiopathic hemolysis) caused by the turbulence of high worm burdens, often seen in Caval Syndrome (Atkins </w:t>
      </w:r>
      <w:r>
        <w:rPr>
          <w:rFonts w:ascii="Times New Roman" w:hAnsi="Times New Roman"/>
          <w:i/>
          <w:iCs/>
          <w:lang w:val="nl-NL"/>
        </w:rPr>
        <w:t>et al</w:t>
      </w:r>
      <w:r>
        <w:rPr>
          <w:rFonts w:ascii="Times New Roman" w:hAnsi="Times New Roman"/>
        </w:rPr>
        <w:t>., 1988</w:t>
      </w:r>
      <w:r w:rsidR="009D3600">
        <w:rPr>
          <w:rFonts w:ascii="Times New Roman" w:hAnsi="Times New Roman"/>
        </w:rPr>
        <w:t>; Ilić, M., et al. 2023</w:t>
      </w:r>
      <w:r>
        <w:rPr>
          <w:rFonts w:ascii="Times New Roman" w:hAnsi="Times New Roman"/>
        </w:rPr>
        <w:t>).</w:t>
      </w:r>
    </w:p>
    <w:p w14:paraId="0960E948"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The decision to transfuse was based on "physiologic triggers"—tachycardia and extreme lethargy—rather than the PCV value alone (Prittie, 2003). Fresh Whole Blood (FWB) was </w:t>
      </w:r>
      <w:r>
        <w:rPr>
          <w:rFonts w:ascii="Times New Roman" w:hAnsi="Times New Roman"/>
        </w:rPr>
        <w:lastRenderedPageBreak/>
        <w:t>chosen to provide not only erythrocytes but also plasma proteins and functional platelets to address the thrombocytopenia (</w:t>
      </w:r>
      <w:proofErr w:type="spellStart"/>
      <w:r>
        <w:rPr>
          <w:rFonts w:ascii="Times New Roman" w:hAnsi="Times New Roman"/>
        </w:rPr>
        <w:t>Lanevschi</w:t>
      </w:r>
      <w:proofErr w:type="spellEnd"/>
      <w:r>
        <w:rPr>
          <w:rFonts w:ascii="Times New Roman" w:hAnsi="Times New Roman"/>
        </w:rPr>
        <w:t xml:space="preserve"> &amp; </w:t>
      </w:r>
      <w:proofErr w:type="spellStart"/>
      <w:r>
        <w:rPr>
          <w:rFonts w:ascii="Times New Roman" w:hAnsi="Times New Roman"/>
        </w:rPr>
        <w:t>Wardrop</w:t>
      </w:r>
      <w:proofErr w:type="spellEnd"/>
      <w:r>
        <w:rPr>
          <w:rFonts w:ascii="Times New Roman" w:hAnsi="Times New Roman"/>
        </w:rPr>
        <w:t>, 2001</w:t>
      </w:r>
      <w:r w:rsidR="001A6752">
        <w:rPr>
          <w:rFonts w:ascii="Times New Roman" w:hAnsi="Times New Roman"/>
        </w:rPr>
        <w:t>, Shyam Sundar Choudhary, et al. 2017</w:t>
      </w:r>
      <w:r>
        <w:rPr>
          <w:rFonts w:ascii="Times New Roman" w:hAnsi="Times New Roman"/>
        </w:rPr>
        <w:t>).</w:t>
      </w:r>
    </w:p>
    <w:p w14:paraId="65E213F2"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It is crucial to delineate the roles of the interventions in the patient's recovery. The whole blood transfusion acted as a "hemodynamic bridge," correcting the life-threatening hypoxia and stabilizing the patient's vital parameters. The ultimate recovery was driven by the combined antiparasitic approach. The administration of Doxycycline targets the endosymbiont </w:t>
      </w:r>
      <w:r>
        <w:rPr>
          <w:rFonts w:ascii="Times New Roman" w:hAnsi="Times New Roman"/>
          <w:i/>
          <w:iCs/>
          <w:lang w:val="de-DE"/>
        </w:rPr>
        <w:t>Wolbachia</w:t>
      </w:r>
      <w:r>
        <w:rPr>
          <w:rFonts w:ascii="Times New Roman" w:hAnsi="Times New Roman"/>
        </w:rPr>
        <w:t xml:space="preserve">, which is essential for reducing the inflammatory drive and weakening the nematodes (Kramer et al., 2008), while the Ivermectin (at a safe dose of 6 mcg/kg) began the process of reducing </w:t>
      </w:r>
      <w:proofErr w:type="spellStart"/>
      <w:r>
        <w:rPr>
          <w:rFonts w:ascii="Times New Roman" w:hAnsi="Times New Roman"/>
        </w:rPr>
        <w:t>microfilarial</w:t>
      </w:r>
      <w:proofErr w:type="spellEnd"/>
      <w:r>
        <w:rPr>
          <w:rFonts w:ascii="Times New Roman" w:hAnsi="Times New Roman"/>
        </w:rPr>
        <w:t xml:space="preserve"> load without precipitating anaphylaxis. The successful outcome in this case underscores the efficacy of this combined therapeutic approach: transfusion for survival, and medical management for cure.</w:t>
      </w:r>
    </w:p>
    <w:p w14:paraId="2D240BDF"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CONCLUSION</w:t>
      </w:r>
    </w:p>
    <w:p w14:paraId="5AE8457F" w14:textId="77777777" w:rsidR="000C3D22" w:rsidRDefault="00304EBE">
      <w:pPr>
        <w:pStyle w:val="Default"/>
        <w:suppressAutoHyphens/>
        <w:spacing w:before="0" w:after="240" w:line="360" w:lineRule="auto"/>
        <w:jc w:val="both"/>
        <w:rPr>
          <w:rFonts w:ascii="Times New Roman" w:hAnsi="Times New Roman"/>
        </w:rPr>
      </w:pPr>
      <w:r>
        <w:rPr>
          <w:rFonts w:ascii="Times New Roman" w:eastAsia="Times New Roman" w:hAnsi="Times New Roman" w:cs="Times New Roman"/>
        </w:rPr>
        <w:tab/>
      </w:r>
      <w:r>
        <w:rPr>
          <w:rFonts w:ascii="Times New Roman" w:hAnsi="Times New Roman"/>
        </w:rPr>
        <w:t xml:space="preserve">This case highlights the importance of including </w:t>
      </w:r>
      <w:proofErr w:type="spellStart"/>
      <w:r>
        <w:rPr>
          <w:rFonts w:ascii="Times New Roman" w:hAnsi="Times New Roman"/>
        </w:rPr>
        <w:t>microfilariasis</w:t>
      </w:r>
      <w:proofErr w:type="spellEnd"/>
      <w:r>
        <w:rPr>
          <w:rFonts w:ascii="Times New Roman" w:hAnsi="Times New Roman"/>
        </w:rPr>
        <w:t xml:space="preserve"> in the differential diagnosis for dogs presenting with severe anemia. It further demonstrates that blood transfusions are life-saving interventions in cases of critical anemia (PCV &lt; 10%). Timely intervention with whole blood transfusion, supported by a targeted "slow-kill" antiparasitic therapy (Ivermectin and Doxycycline), resulted in a successful recovery and excellent prognosis.</w:t>
      </w:r>
    </w:p>
    <w:p w14:paraId="0AD63273" w14:textId="77777777" w:rsidR="00042E98" w:rsidRDefault="00042E98" w:rsidP="00F55A3E">
      <w:pPr>
        <w:pStyle w:val="Body"/>
        <w:jc w:val="both"/>
        <w:rPr>
          <w:rStyle w:val="None"/>
          <w:rFonts w:ascii="Times New Roman" w:hAnsi="Times New Roman"/>
          <w:b/>
          <w:bCs/>
          <w:sz w:val="24"/>
          <w:szCs w:val="24"/>
          <w:lang w:val="it-IT"/>
        </w:rPr>
      </w:pPr>
    </w:p>
    <w:p w14:paraId="225EF77D" w14:textId="378BD77A"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it-IT"/>
        </w:rPr>
        <w:t>Consent</w:t>
      </w:r>
    </w:p>
    <w:p w14:paraId="3049294A" w14:textId="77777777" w:rsidR="00F55A3E" w:rsidRDefault="00F55A3E" w:rsidP="00F55A3E">
      <w:pPr>
        <w:pStyle w:val="Body"/>
        <w:ind w:left="720"/>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Informed consent was obtained from the owner of the animal for clinical examination, diagnostic procedures, treatment, and publication of this case report</w:t>
      </w:r>
    </w:p>
    <w:p w14:paraId="01C1BC2D" w14:textId="77777777"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en-US"/>
        </w:rPr>
        <w:t>Ethical Approval</w:t>
      </w:r>
    </w:p>
    <w:p w14:paraId="005CB7FC" w14:textId="77777777" w:rsidR="00F55A3E" w:rsidRDefault="00F55A3E" w:rsidP="00F55A3E">
      <w:pPr>
        <w:pStyle w:val="Body"/>
        <w:ind w:left="720"/>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Ethical approval was not required for this case report as all diagnostic and therapeutic procedures were part of routine clinical management. The study did not involve experimental interventions.</w:t>
      </w:r>
    </w:p>
    <w:p w14:paraId="000AE36B" w14:textId="77777777"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en-US"/>
        </w:rPr>
        <w:t>AI Use Statement</w:t>
      </w:r>
    </w:p>
    <w:p w14:paraId="3CC33211" w14:textId="77777777" w:rsidR="00F55A3E" w:rsidRDefault="00F55A3E" w:rsidP="00F55A3E">
      <w:pPr>
        <w:pStyle w:val="Body"/>
        <w:ind w:left="720"/>
        <w:jc w:val="both"/>
      </w:pPr>
      <w:r>
        <w:rPr>
          <w:rStyle w:val="None"/>
          <w:rFonts w:ascii="Times New Roman" w:hAnsi="Times New Roman"/>
          <w:sz w:val="24"/>
          <w:szCs w:val="24"/>
          <w:lang w:val="en-US"/>
        </w:rPr>
        <w:t>The authors declare that artificial intelligence tools were used only to assist with language polishing, formatting, and structural organization of the manuscript. All clinical data, interpretations, and conclusions were generated by the authors, who retain full responsibility for the accuracy and integrity of the work.</w:t>
      </w:r>
    </w:p>
    <w:p w14:paraId="0BFCDEA3"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bookmarkStart w:id="0" w:name="_GoBack"/>
      <w:bookmarkEnd w:id="0"/>
      <w:r>
        <w:rPr>
          <w:rFonts w:ascii="Times New Roman" w:hAnsi="Times New Roman"/>
          <w:b/>
          <w:bCs/>
          <w:lang w:val="de-DE"/>
        </w:rPr>
        <w:lastRenderedPageBreak/>
        <w:t>REFERENCES</w:t>
      </w:r>
    </w:p>
    <w:p w14:paraId="7EF5C351"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Megat Abd Rani, P. A., Irwin, P. J., Gatne, M., Coleman, G. T., McInnes, L. M., &amp; Traub, R. J. (2010). A survey of canine filarial diseases of veterinary and public health significance in India. </w:t>
      </w:r>
      <w:r>
        <w:rPr>
          <w:rFonts w:ascii="Times New Roman" w:hAnsi="Times New Roman"/>
          <w:i/>
          <w:iCs/>
        </w:rPr>
        <w:t>Parasites and Vectors</w:t>
      </w:r>
      <w:r>
        <w:rPr>
          <w:rFonts w:ascii="Times New Roman" w:hAnsi="Times New Roman"/>
        </w:rPr>
        <w:t>, 3, 30.</w:t>
      </w:r>
    </w:p>
    <w:p w14:paraId="3552EBCB" w14:textId="77777777" w:rsidR="000C3D22" w:rsidRDefault="00304EBE">
      <w:pPr>
        <w:pStyle w:val="Default"/>
        <w:numPr>
          <w:ilvl w:val="0"/>
          <w:numId w:val="2"/>
        </w:numPr>
        <w:suppressAutoHyphens/>
        <w:spacing w:before="0" w:after="240" w:line="360" w:lineRule="auto"/>
        <w:jc w:val="both"/>
        <w:rPr>
          <w:rFonts w:ascii="Times New Roman" w:hAnsi="Times New Roman"/>
        </w:rPr>
      </w:pPr>
      <w:proofErr w:type="spellStart"/>
      <w:r>
        <w:rPr>
          <w:rFonts w:ascii="Times New Roman" w:hAnsi="Times New Roman"/>
        </w:rPr>
        <w:t>Marokot</w:t>
      </w:r>
      <w:proofErr w:type="spellEnd"/>
      <w:r>
        <w:rPr>
          <w:rFonts w:ascii="Times New Roman" w:hAnsi="Times New Roman"/>
        </w:rPr>
        <w:t xml:space="preserve"> </w:t>
      </w:r>
      <w:proofErr w:type="spellStart"/>
      <w:r>
        <w:rPr>
          <w:rFonts w:ascii="Times New Roman" w:hAnsi="Times New Roman"/>
        </w:rPr>
        <w:t>Kaewthamasorn</w:t>
      </w:r>
      <w:proofErr w:type="spellEnd"/>
      <w:r>
        <w:rPr>
          <w:rFonts w:ascii="Times New Roman" w:hAnsi="Times New Roman"/>
        </w:rPr>
        <w:t xml:space="preserve">, M., </w:t>
      </w:r>
      <w:proofErr w:type="spellStart"/>
      <w:r>
        <w:rPr>
          <w:rFonts w:ascii="Times New Roman" w:hAnsi="Times New Roman"/>
        </w:rPr>
        <w:t>Assarakorn</w:t>
      </w:r>
      <w:proofErr w:type="spellEnd"/>
      <w:r>
        <w:rPr>
          <w:rFonts w:ascii="Times New Roman" w:hAnsi="Times New Roman"/>
        </w:rPr>
        <w:t xml:space="preserve">, S., &amp; </w:t>
      </w:r>
      <w:proofErr w:type="spellStart"/>
      <w:r>
        <w:rPr>
          <w:rFonts w:ascii="Times New Roman" w:hAnsi="Times New Roman"/>
        </w:rPr>
        <w:t>Niwetpathomwat</w:t>
      </w:r>
      <w:proofErr w:type="spellEnd"/>
      <w:r>
        <w:rPr>
          <w:rFonts w:ascii="Times New Roman" w:hAnsi="Times New Roman"/>
        </w:rPr>
        <w:t>, A. (2008). Microfilaria caused by canine dirofilariasis (</w:t>
      </w:r>
      <w:r>
        <w:rPr>
          <w:rFonts w:ascii="Times New Roman" w:hAnsi="Times New Roman"/>
          <w:i/>
          <w:iCs/>
          <w:lang w:val="it-IT"/>
        </w:rPr>
        <w:t>Dirofilaria immitis</w:t>
      </w:r>
      <w:r>
        <w:rPr>
          <w:rFonts w:ascii="Times New Roman" w:hAnsi="Times New Roman"/>
        </w:rPr>
        <w:t xml:space="preserve">): an unusual clinical presence. </w:t>
      </w:r>
      <w:r>
        <w:rPr>
          <w:rFonts w:ascii="Times New Roman" w:hAnsi="Times New Roman"/>
          <w:i/>
          <w:iCs/>
        </w:rPr>
        <w:t>Comparative Clinical Pathology</w:t>
      </w:r>
      <w:r>
        <w:rPr>
          <w:rFonts w:ascii="Times New Roman" w:hAnsi="Times New Roman"/>
          <w:lang w:val="nl-NL"/>
        </w:rPr>
        <w:t>, 17, 61</w:t>
      </w:r>
      <w:r>
        <w:rPr>
          <w:rFonts w:ascii="Times New Roman" w:hAnsi="Times New Roman"/>
        </w:rPr>
        <w:t>–65.</w:t>
      </w:r>
    </w:p>
    <w:p w14:paraId="492C9DD7"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Shyam Sundar Choudhary, et al. (2017). A Review on Blood Transfusion in Small Animals: A Lifesaving Modality </w:t>
      </w:r>
      <w:proofErr w:type="gramStart"/>
      <w:r>
        <w:rPr>
          <w:rFonts w:ascii="Times New Roman" w:hAnsi="Times New Roman"/>
        </w:rPr>
        <w:t>In</w:t>
      </w:r>
      <w:proofErr w:type="gramEnd"/>
      <w:r>
        <w:rPr>
          <w:rFonts w:ascii="Times New Roman" w:hAnsi="Times New Roman"/>
        </w:rPr>
        <w:t xml:space="preserve"> Veterinary Practice. </w:t>
      </w:r>
      <w:r>
        <w:rPr>
          <w:rFonts w:ascii="Times New Roman" w:hAnsi="Times New Roman"/>
          <w:i/>
          <w:iCs/>
        </w:rPr>
        <w:t>International Journal of Science, Environment and Technology</w:t>
      </w:r>
      <w:r>
        <w:rPr>
          <w:rFonts w:ascii="Times New Roman" w:hAnsi="Times New Roman"/>
        </w:rPr>
        <w:t>, 6(1), 893–898.</w:t>
      </w:r>
    </w:p>
    <w:p w14:paraId="4FB02BCD" w14:textId="77777777" w:rsidR="000C3D22" w:rsidRDefault="00304EBE">
      <w:pPr>
        <w:pStyle w:val="Default"/>
        <w:numPr>
          <w:ilvl w:val="0"/>
          <w:numId w:val="2"/>
        </w:numPr>
        <w:suppressAutoHyphens/>
        <w:spacing w:before="0" w:after="240" w:line="360" w:lineRule="auto"/>
        <w:jc w:val="both"/>
        <w:rPr>
          <w:rFonts w:ascii="Times New Roman" w:hAnsi="Times New Roman"/>
        </w:rPr>
      </w:pPr>
      <w:proofErr w:type="spellStart"/>
      <w:r>
        <w:rPr>
          <w:rFonts w:ascii="Times New Roman" w:hAnsi="Times New Roman"/>
        </w:rPr>
        <w:t>Lanevschi</w:t>
      </w:r>
      <w:proofErr w:type="spellEnd"/>
      <w:r>
        <w:rPr>
          <w:rFonts w:ascii="Times New Roman" w:hAnsi="Times New Roman"/>
        </w:rPr>
        <w:t xml:space="preserve">, A., &amp; Wardrop, K. J. (2001). Principles of transfusion medicine in small animals. </w:t>
      </w:r>
      <w:r>
        <w:rPr>
          <w:rFonts w:ascii="Times New Roman" w:hAnsi="Times New Roman"/>
          <w:i/>
          <w:iCs/>
        </w:rPr>
        <w:t>The Canadian Veterinary Journal</w:t>
      </w:r>
      <w:r>
        <w:rPr>
          <w:rFonts w:ascii="Times New Roman" w:hAnsi="Times New Roman"/>
        </w:rPr>
        <w:t>, 42(6), 447–454.</w:t>
      </w:r>
    </w:p>
    <w:p w14:paraId="348D4A7D"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Ettinger, S. J., &amp; Feldman, E. C. (2010). </w:t>
      </w:r>
      <w:r>
        <w:rPr>
          <w:rFonts w:ascii="Times New Roman" w:hAnsi="Times New Roman"/>
          <w:i/>
          <w:iCs/>
        </w:rPr>
        <w:t>Textbook of Veterinary Internal Medicine</w:t>
      </w:r>
      <w:r>
        <w:rPr>
          <w:rFonts w:ascii="Times New Roman" w:hAnsi="Times New Roman"/>
        </w:rPr>
        <w:t xml:space="preserve"> (7th ed.). Saunders Elsevier.</w:t>
      </w:r>
    </w:p>
    <w:p w14:paraId="2B6F7048"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Atkins, C. E., Keene, B. W., &amp; McGuirk, S. M. (1988). Pathophysiologic mechanism of cardiac dysfunction in experimentally induced heartworm </w:t>
      </w:r>
      <w:proofErr w:type="spellStart"/>
      <w:r>
        <w:rPr>
          <w:rFonts w:ascii="Times New Roman" w:hAnsi="Times New Roman"/>
        </w:rPr>
        <w:t>caval</w:t>
      </w:r>
      <w:proofErr w:type="spellEnd"/>
      <w:r>
        <w:rPr>
          <w:rFonts w:ascii="Times New Roman" w:hAnsi="Times New Roman"/>
        </w:rPr>
        <w:t xml:space="preserve"> syndrome in dogs: an echocardiographic study. </w:t>
      </w:r>
      <w:r>
        <w:rPr>
          <w:rFonts w:ascii="Times New Roman" w:hAnsi="Times New Roman"/>
          <w:i/>
          <w:iCs/>
        </w:rPr>
        <w:t>American Journal of Veterinary Research</w:t>
      </w:r>
      <w:r>
        <w:rPr>
          <w:rFonts w:ascii="Times New Roman" w:hAnsi="Times New Roman"/>
        </w:rPr>
        <w:t>, 49(3), 403–410.</w:t>
      </w:r>
    </w:p>
    <w:p w14:paraId="6D334FF2"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Ilić, M., et al. (2023). Association of increased osmotic fragility of red blood cells with common systemic inflammatory diseases in dogs. </w:t>
      </w:r>
      <w:r>
        <w:rPr>
          <w:rFonts w:ascii="Times New Roman" w:hAnsi="Times New Roman"/>
          <w:i/>
          <w:iCs/>
        </w:rPr>
        <w:t>Pakistan Veterinary Journal</w:t>
      </w:r>
      <w:r>
        <w:rPr>
          <w:rFonts w:ascii="Times New Roman" w:hAnsi="Times New Roman"/>
        </w:rPr>
        <w:t>, 43(3), 463-469.</w:t>
      </w:r>
    </w:p>
    <w:p w14:paraId="648EF64A" w14:textId="77777777" w:rsidR="000C3D22" w:rsidRDefault="00304EBE">
      <w:pPr>
        <w:pStyle w:val="Default"/>
        <w:numPr>
          <w:ilvl w:val="0"/>
          <w:numId w:val="2"/>
        </w:numPr>
        <w:suppressAutoHyphens/>
        <w:spacing w:before="0" w:after="240" w:line="360" w:lineRule="auto"/>
        <w:jc w:val="both"/>
        <w:rPr>
          <w:rFonts w:ascii="Times New Roman" w:hAnsi="Times New Roman"/>
          <w:lang w:val="fr-FR"/>
        </w:rPr>
      </w:pPr>
      <w:r>
        <w:rPr>
          <w:rFonts w:ascii="Times New Roman" w:hAnsi="Times New Roman"/>
          <w:lang w:val="fr-FR"/>
        </w:rPr>
        <w:t xml:space="preserve">Kramer, L., et al. (2008). </w:t>
      </w:r>
      <w:r>
        <w:rPr>
          <w:rFonts w:ascii="Times New Roman" w:hAnsi="Times New Roman"/>
          <w:i/>
          <w:iCs/>
          <w:lang w:val="de-DE"/>
        </w:rPr>
        <w:t>Wolbachia</w:t>
      </w:r>
      <w:r>
        <w:rPr>
          <w:rFonts w:ascii="Times New Roman" w:hAnsi="Times New Roman"/>
        </w:rPr>
        <w:t xml:space="preserve"> and its influence on the pathology and immunology of </w:t>
      </w:r>
      <w:r>
        <w:rPr>
          <w:rFonts w:ascii="Times New Roman" w:hAnsi="Times New Roman"/>
          <w:i/>
          <w:iCs/>
          <w:lang w:val="it-IT"/>
        </w:rPr>
        <w:t>Dirofilaria immitis</w:t>
      </w:r>
      <w:r>
        <w:rPr>
          <w:rFonts w:ascii="Times New Roman" w:hAnsi="Times New Roman"/>
        </w:rPr>
        <w:t xml:space="preserve">infection. </w:t>
      </w:r>
      <w:r>
        <w:rPr>
          <w:rFonts w:ascii="Times New Roman" w:hAnsi="Times New Roman"/>
          <w:i/>
          <w:iCs/>
        </w:rPr>
        <w:t>Veterinary Parasitology</w:t>
      </w:r>
      <w:r>
        <w:rPr>
          <w:rFonts w:ascii="Times New Roman" w:hAnsi="Times New Roman"/>
        </w:rPr>
        <w:t>, 158(3), 191-195.</w:t>
      </w:r>
    </w:p>
    <w:p w14:paraId="5B8B6CFE"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Prittie, J. E. (2003). Triggers for use, optimal dosing, and problems associated with red cell transfusions. </w:t>
      </w:r>
      <w:r>
        <w:rPr>
          <w:rFonts w:ascii="Times New Roman" w:hAnsi="Times New Roman"/>
          <w:i/>
          <w:iCs/>
        </w:rPr>
        <w:t>Veterinary Clinics: Small Animal Practice</w:t>
      </w:r>
      <w:r>
        <w:rPr>
          <w:rFonts w:ascii="Times New Roman" w:hAnsi="Times New Roman"/>
        </w:rPr>
        <w:t>, 33(6), 1261-1275.</w:t>
      </w:r>
    </w:p>
    <w:p w14:paraId="0EE12CA2" w14:textId="77777777" w:rsidR="000C3D22" w:rsidRDefault="00304EBE">
      <w:pPr>
        <w:pStyle w:val="Body"/>
        <w:spacing w:line="360" w:lineRule="auto"/>
        <w:ind w:firstLine="720"/>
        <w:jc w:val="both"/>
        <w:rPr>
          <w:rFonts w:ascii="Times New Roman" w:eastAsia="Times New Roman" w:hAnsi="Times New Roman" w:cs="Times New Roman"/>
          <w:b/>
          <w:bCs/>
          <w:sz w:val="24"/>
          <w:szCs w:val="24"/>
        </w:rPr>
      </w:pPr>
      <w:r>
        <w:rPr>
          <w:rFonts w:ascii="Times New Roman" w:hAnsi="Times New Roman"/>
          <w:b/>
          <w:bCs/>
          <w:sz w:val="24"/>
          <w:szCs w:val="24"/>
          <w:lang w:val="en-US"/>
        </w:rPr>
        <w:t>TABLE 1:- HAEMATO-BIOCHEMICAL CHANGES AT PRESENTATION</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36"/>
        <w:gridCol w:w="2474"/>
        <w:gridCol w:w="2790"/>
      </w:tblGrid>
      <w:tr w:rsidR="000C3D22" w14:paraId="2743487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7A0CF4"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lastRenderedPageBreak/>
              <w:t>Parameter</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4FDF22" w14:textId="77777777" w:rsidR="000C3D22" w:rsidRDefault="00304EBE">
            <w:pPr>
              <w:tabs>
                <w:tab w:val="left" w:pos="144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Observed Value</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2FE3CE" w14:textId="77777777" w:rsidR="000C3D22" w:rsidRDefault="00304EBE">
            <w:pPr>
              <w:tabs>
                <w:tab w:val="left" w:pos="144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Reference Value</w:t>
            </w:r>
          </w:p>
        </w:tc>
      </w:tr>
      <w:tr w:rsidR="000C3D22" w14:paraId="530BED7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4046DC" w14:textId="77777777" w:rsidR="000C3D22" w:rsidRDefault="00304EBE">
            <w:pPr>
              <w:tabs>
                <w:tab w:val="left" w:pos="1440"/>
                <w:tab w:val="left" w:pos="2880"/>
              </w:tabs>
              <w:suppressAutoHyphens/>
              <w:spacing w:line="336" w:lineRule="auto"/>
              <w:jc w:val="both"/>
              <w:outlineLvl w:val="0"/>
            </w:pPr>
            <w:proofErr w:type="spellStart"/>
            <w:r>
              <w:rPr>
                <w:rFonts w:cs="Arial Unicode MS"/>
                <w:b/>
                <w:bCs/>
                <w:color w:val="000000"/>
                <w14:textOutline w14:w="12700" w14:cap="flat" w14:cmpd="sng" w14:algn="ctr">
                  <w14:noFill/>
                  <w14:prstDash w14:val="solid"/>
                  <w14:miter w14:lim="400000"/>
                </w14:textOutline>
              </w:rPr>
              <w:t>Haematology</w:t>
            </w:r>
            <w:proofErr w:type="spellEnd"/>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EB5E42" w14:textId="77777777" w:rsidR="000C3D22" w:rsidRDefault="000C3D22"/>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8BD8E1" w14:textId="77777777" w:rsidR="000C3D22" w:rsidRDefault="000C3D22"/>
        </w:tc>
      </w:tr>
      <w:tr w:rsidR="000C3D22" w14:paraId="6BE7313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A254F0" w14:textId="77777777" w:rsidR="000C3D22" w:rsidRDefault="00304EBE">
            <w:pPr>
              <w:tabs>
                <w:tab w:val="left" w:pos="1440"/>
                <w:tab w:val="left" w:pos="2880"/>
              </w:tabs>
              <w:suppressAutoHyphens/>
              <w:spacing w:line="336" w:lineRule="auto"/>
              <w:jc w:val="both"/>
              <w:outlineLvl w:val="0"/>
            </w:pPr>
            <w:proofErr w:type="spellStart"/>
            <w:r>
              <w:rPr>
                <w:rFonts w:cs="Arial Unicode MS"/>
                <w:b/>
                <w:bCs/>
                <w:color w:val="000000"/>
                <w14:textOutline w14:w="12700" w14:cap="flat" w14:cmpd="sng" w14:algn="ctr">
                  <w14:noFill/>
                  <w14:prstDash w14:val="solid"/>
                  <w14:miter w14:lim="400000"/>
                </w14:textOutline>
              </w:rPr>
              <w:t>Haemoglobin</w:t>
            </w:r>
            <w:proofErr w:type="spellEnd"/>
            <w:r>
              <w:rPr>
                <w:rFonts w:cs="Arial Unicode MS"/>
                <w:b/>
                <w:bCs/>
                <w:color w:val="000000"/>
                <w14:textOutline w14:w="12700" w14:cap="flat" w14:cmpd="sng" w14:algn="ctr">
                  <w14:noFill/>
                  <w14:prstDash w14:val="solid"/>
                  <w14:miter w14:lim="400000"/>
                </w14:textOutline>
              </w:rPr>
              <w:t xml:space="preserve"> (g/dL)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A13913"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3.25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178F7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12 - 19</w:t>
            </w:r>
          </w:p>
        </w:tc>
      </w:tr>
      <w:tr w:rsidR="000C3D22" w14:paraId="67B1E3AF"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5860FA"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PCV (%)</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8D27AC"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8.5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37A495"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35 - 57</w:t>
            </w:r>
          </w:p>
        </w:tc>
      </w:tr>
      <w:tr w:rsidR="000C3D22" w14:paraId="7285566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789EA5" w14:textId="77777777" w:rsidR="000C3D22" w:rsidRDefault="00E96599">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RBC (10^6</w:t>
            </w:r>
            <w:r w:rsidR="00304EBE">
              <w:rPr>
                <w:rFonts w:cs="Arial Unicode MS"/>
                <w:b/>
                <w:bCs/>
                <w:color w:val="000000"/>
                <w14:textOutline w14:w="12700" w14:cap="flat" w14:cmpd="sng" w14:algn="ctr">
                  <w14:noFill/>
                  <w14:prstDash w14:val="solid"/>
                  <w14:miter w14:lim="400000"/>
                </w14:textOutline>
              </w:rPr>
              <w:t>/</w:t>
            </w:r>
            <w:proofErr w:type="spellStart"/>
            <w:r w:rsidR="00304EBE">
              <w:rPr>
                <w:rFonts w:cs="Arial Unicode MS"/>
                <w:b/>
                <w:bCs/>
                <w:color w:val="000000"/>
                <w14:textOutline w14:w="12700" w14:cap="flat" w14:cmpd="sng" w14:algn="ctr">
                  <w14:noFill/>
                  <w14:prstDash w14:val="solid"/>
                  <w14:miter w14:lim="400000"/>
                </w14:textOutline>
              </w:rPr>
              <w:t>cmm</w:t>
            </w:r>
            <w:proofErr w:type="spellEnd"/>
            <w:r w:rsidR="00304EBE">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AF343"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1.3</w:t>
            </w:r>
            <w:r w:rsidR="00304EBE">
              <w:rPr>
                <w:rFonts w:cs="Arial Unicode MS"/>
                <w:color w:val="000000"/>
                <w14:textOutline w14:w="12700" w14:cap="flat" w14:cmpd="sng" w14:algn="ctr">
                  <w14:noFill/>
                  <w14:prstDash w14:val="solid"/>
                  <w14:miter w14:lim="400000"/>
                </w14:textOutline>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032A9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5.0 - 7.9</w:t>
            </w:r>
          </w:p>
        </w:tc>
      </w:tr>
      <w:tr w:rsidR="000C3D22" w14:paraId="2AF1B806"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511B05"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WBC (/</w:t>
            </w:r>
            <w:proofErr w:type="spellStart"/>
            <w:r>
              <w:rPr>
                <w:rFonts w:cs="Arial Unicode MS"/>
                <w:b/>
                <w:bCs/>
                <w:color w:val="000000"/>
                <w14:textOutline w14:w="12700" w14:cap="flat" w14:cmpd="sng" w14:algn="ctr">
                  <w14:noFill/>
                  <w14:prstDash w14:val="solid"/>
                  <w14:miter w14:lim="400000"/>
                </w14:textOutline>
              </w:rPr>
              <w:t>cmm</w:t>
            </w:r>
            <w:proofErr w:type="spellEnd"/>
            <w:r>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8641B1"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10,800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9309F5"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5,000 - 14,100</w:t>
            </w:r>
          </w:p>
        </w:tc>
      </w:tr>
      <w:tr w:rsidR="000C3D22" w14:paraId="15BEF756"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2D849D"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Platelets (/</w:t>
            </w:r>
            <w:proofErr w:type="spellStart"/>
            <w:r>
              <w:rPr>
                <w:rFonts w:cs="Arial Unicode MS"/>
                <w:b/>
                <w:bCs/>
                <w:color w:val="000000"/>
                <w14:textOutline w14:w="12700" w14:cap="flat" w14:cmpd="sng" w14:algn="ctr">
                  <w14:noFill/>
                  <w14:prstDash w14:val="solid"/>
                  <w14:miter w14:lim="400000"/>
                </w14:textOutline>
              </w:rPr>
              <w:t>cmm</w:t>
            </w:r>
            <w:proofErr w:type="spellEnd"/>
            <w:r>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454AFB"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70</w:t>
            </w:r>
            <w:r w:rsidR="00304EBE">
              <w:rPr>
                <w:rFonts w:cs="Arial Unicode MS"/>
                <w:color w:val="000000"/>
                <w14:textOutline w14:w="12700" w14:cap="flat" w14:cmpd="sng" w14:algn="ctr">
                  <w14:noFill/>
                  <w14:prstDash w14:val="solid"/>
                  <w14:miter w14:lim="400000"/>
                </w14:textOutline>
              </w:rPr>
              <w:t>,000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5A781E"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200,000 - 500,000</w:t>
            </w:r>
          </w:p>
        </w:tc>
      </w:tr>
      <w:tr w:rsidR="000C3D22" w14:paraId="297CEC79"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2348F3"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Serum Biochemistry</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B280A6" w14:textId="77777777" w:rsidR="000C3D22" w:rsidRDefault="000C3D22"/>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FE2922" w14:textId="77777777" w:rsidR="000C3D22" w:rsidRDefault="000C3D22"/>
        </w:tc>
      </w:tr>
      <w:tr w:rsidR="000C3D22" w14:paraId="2AE3A180"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889FBF"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BUN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65284B"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25.85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C7B12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10 - 28</w:t>
            </w:r>
          </w:p>
        </w:tc>
      </w:tr>
      <w:tr w:rsidR="000C3D22" w14:paraId="248970C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B762DE"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Creatinine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58E7C5"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0.3</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C033A0"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0.5 - 1.5</w:t>
            </w:r>
          </w:p>
        </w:tc>
      </w:tr>
      <w:tr w:rsidR="000C3D22" w14:paraId="49DE643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B801EB"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Calcium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2E71BB"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10.6</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DF937"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9 - 11</w:t>
            </w:r>
          </w:p>
        </w:tc>
      </w:tr>
      <w:tr w:rsidR="000C3D22" w14:paraId="2468AA0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B72C0D"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Phosphorus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21F70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5.3</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0E3DE1"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2.6 - 6</w:t>
            </w:r>
          </w:p>
        </w:tc>
      </w:tr>
      <w:tr w:rsidR="000C3D22" w14:paraId="408C40F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4F4E04"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Sodium (mmol/L)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70E53E"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134</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1743AE"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141 - 152</w:t>
            </w:r>
          </w:p>
        </w:tc>
      </w:tr>
    </w:tbl>
    <w:p w14:paraId="5FA59DB2" w14:textId="77777777" w:rsidR="000C3D22" w:rsidRDefault="000C3D22">
      <w:pPr>
        <w:pStyle w:val="Body"/>
        <w:widowControl w:val="0"/>
        <w:spacing w:line="240" w:lineRule="auto"/>
        <w:jc w:val="both"/>
        <w:rPr>
          <w:rFonts w:ascii="Times New Roman" w:eastAsia="Times New Roman" w:hAnsi="Times New Roman" w:cs="Times New Roman"/>
          <w:b/>
          <w:bCs/>
          <w:sz w:val="24"/>
          <w:szCs w:val="24"/>
        </w:rPr>
      </w:pPr>
    </w:p>
    <w:p w14:paraId="6F9F9E90" w14:textId="77777777" w:rsidR="000C3D22" w:rsidRDefault="00304EBE">
      <w:pPr>
        <w:pStyle w:val="Body"/>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hAnsi="Times New Roman"/>
          <w:b/>
          <w:bCs/>
          <w:sz w:val="24"/>
          <w:szCs w:val="24"/>
          <w:lang w:val="en-US"/>
        </w:rPr>
        <w:t>TABLE 2:- TRANSFUSION MONITORING CHART</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16"/>
        <w:gridCol w:w="1017"/>
        <w:gridCol w:w="1070"/>
        <w:gridCol w:w="1226"/>
        <w:gridCol w:w="1258"/>
        <w:gridCol w:w="1538"/>
        <w:gridCol w:w="1775"/>
      </w:tblGrid>
      <w:tr w:rsidR="000C3D22" w14:paraId="6E98B8CF" w14:textId="77777777">
        <w:trPr>
          <w:trHeight w:val="632"/>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92DF8A"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Time</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969A41"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Temp (⁰C)</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A8A9C0"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Pulse (bpm)</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84E139"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Resp (bpm)</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C12393"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Mentation</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7E660B" w14:textId="77777777" w:rsidR="000C3D22" w:rsidRDefault="00304EBE">
            <w:pPr>
              <w:tabs>
                <w:tab w:val="left" w:pos="1440"/>
              </w:tabs>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Urticaria</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1D6AD7" w14:textId="77777777" w:rsidR="000C3D22" w:rsidRDefault="00304EBE">
            <w:pPr>
              <w:tabs>
                <w:tab w:val="left" w:pos="1440"/>
              </w:tabs>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Remarks</w:t>
            </w:r>
          </w:p>
        </w:tc>
      </w:tr>
      <w:tr w:rsidR="000C3D22" w14:paraId="070F675F" w14:textId="77777777">
        <w:trPr>
          <w:trHeight w:val="465"/>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F6BCF4"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BBE23D"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E312E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591278"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26444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1765D0"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A9B19C"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Start Transfusion</w:t>
            </w:r>
          </w:p>
        </w:tc>
      </w:tr>
      <w:tr w:rsidR="000C3D22" w14:paraId="2275E6D7" w14:textId="77777777">
        <w:trPr>
          <w:trHeight w:val="399"/>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FD55BD"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15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CF36A3"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6FD22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DEBC5A"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EC7E6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BAB1C8"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430725"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Uneventful</w:t>
            </w:r>
          </w:p>
        </w:tc>
      </w:tr>
      <w:tr w:rsidR="000C3D22" w14:paraId="638ED774" w14:textId="77777777">
        <w:trPr>
          <w:trHeight w:val="363"/>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259C20"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30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E33F2E"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FBB37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2070FC"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9B598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C64BAF"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5268E4"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Uneventful</w:t>
            </w:r>
          </w:p>
        </w:tc>
      </w:tr>
      <w:tr w:rsidR="000C3D22" w14:paraId="59E070B1" w14:textId="77777777">
        <w:trPr>
          <w:trHeight w:val="420"/>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EC7B2B"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45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3E0E6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BAF03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74</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9E3850"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E31E1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07428F"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9143BD"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379C28AC" w14:textId="77777777">
        <w:trPr>
          <w:trHeight w:val="842"/>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5017A3"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1 </w:t>
            </w:r>
            <w:proofErr w:type="spellStart"/>
            <w:r>
              <w:rPr>
                <w:rFonts w:cs="Arial Unicode MS"/>
                <w:b/>
                <w:bCs/>
                <w:color w:val="000000"/>
                <w:sz w:val="22"/>
                <w:szCs w:val="22"/>
                <w14:textOutline w14:w="12700" w14:cap="flat" w14:cmpd="sng" w14:algn="ctr">
                  <w14:noFill/>
                  <w14:prstDash w14:val="solid"/>
                  <w14:miter w14:lim="400000"/>
                </w14:textOutline>
              </w:rPr>
              <w:t>hr</w:t>
            </w:r>
            <w:proofErr w:type="spellEnd"/>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A779D2"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F92A3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75</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D5009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8418FD"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BF78FB"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90EB35"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390BE907" w14:textId="77777777">
        <w:trPr>
          <w:trHeight w:val="491"/>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D125D9"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1 </w:t>
            </w:r>
            <w:proofErr w:type="spellStart"/>
            <w:r>
              <w:rPr>
                <w:rFonts w:cs="Arial Unicode MS"/>
                <w:b/>
                <w:bCs/>
                <w:color w:val="000000"/>
                <w:sz w:val="22"/>
                <w:szCs w:val="22"/>
                <w14:textOutline w14:w="12700" w14:cap="flat" w14:cmpd="sng" w14:algn="ctr">
                  <w14:noFill/>
                  <w14:prstDash w14:val="solid"/>
                  <w14:miter w14:lim="400000"/>
                </w14:textOutline>
              </w:rPr>
              <w:t>hr</w:t>
            </w:r>
            <w:proofErr w:type="spellEnd"/>
            <w:r>
              <w:rPr>
                <w:rFonts w:cs="Arial Unicode MS"/>
                <w:b/>
                <w:bCs/>
                <w:color w:val="000000"/>
                <w:sz w:val="22"/>
                <w:szCs w:val="22"/>
                <w14:textOutline w14:w="12700" w14:cap="flat" w14:cmpd="sng" w14:algn="ctr">
                  <w14:noFill/>
                  <w14:prstDash w14:val="solid"/>
                  <w14:miter w14:lim="400000"/>
                </w14:textOutline>
              </w:rPr>
              <w:t xml:space="preserve"> 30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A5EE1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ABD6BA"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76</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596679"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30</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BD260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695807"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62CAD4"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0A4F5130" w14:textId="77777777">
        <w:trPr>
          <w:trHeight w:val="514"/>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F78C5C"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2 </w:t>
            </w:r>
            <w:proofErr w:type="spellStart"/>
            <w:r>
              <w:rPr>
                <w:rFonts w:cs="Arial Unicode MS"/>
                <w:b/>
                <w:bCs/>
                <w:color w:val="000000"/>
                <w:sz w:val="22"/>
                <w:szCs w:val="22"/>
                <w14:textOutline w14:w="12700" w14:cap="flat" w14:cmpd="sng" w14:algn="ctr">
                  <w14:noFill/>
                  <w14:prstDash w14:val="solid"/>
                  <w14:miter w14:lim="400000"/>
                </w14:textOutline>
              </w:rPr>
              <w:t>hrs</w:t>
            </w:r>
            <w:proofErr w:type="spellEnd"/>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D05E9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C9B76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75</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8D974C"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F2373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3E304B"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FA73C"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Completed Successfully</w:t>
            </w:r>
          </w:p>
        </w:tc>
      </w:tr>
    </w:tbl>
    <w:p w14:paraId="1FEA4E3E" w14:textId="77777777" w:rsidR="000C3D22" w:rsidRDefault="000C3D22">
      <w:pPr>
        <w:pStyle w:val="Body"/>
        <w:widowControl w:val="0"/>
        <w:spacing w:line="240" w:lineRule="auto"/>
        <w:jc w:val="both"/>
        <w:rPr>
          <w:rFonts w:ascii="Times New Roman" w:eastAsia="Times New Roman" w:hAnsi="Times New Roman" w:cs="Times New Roman"/>
        </w:rPr>
      </w:pPr>
    </w:p>
    <w:p w14:paraId="7AC87603" w14:textId="77777777" w:rsidR="000C3D22" w:rsidRDefault="000C3D22">
      <w:pPr>
        <w:pStyle w:val="Body"/>
        <w:tabs>
          <w:tab w:val="center" w:pos="4513"/>
          <w:tab w:val="left" w:pos="7692"/>
        </w:tabs>
        <w:spacing w:line="360" w:lineRule="auto"/>
        <w:jc w:val="both"/>
        <w:rPr>
          <w:rFonts w:ascii="Times New Roman" w:eastAsia="Times New Roman" w:hAnsi="Times New Roman" w:cs="Times New Roman"/>
        </w:rPr>
      </w:pPr>
    </w:p>
    <w:p w14:paraId="77645AF4" w14:textId="77777777" w:rsidR="000C3D22" w:rsidRDefault="00304EBE">
      <w:pPr>
        <w:pStyle w:val="Body"/>
        <w:tabs>
          <w:tab w:val="center" w:pos="4513"/>
          <w:tab w:val="left" w:pos="7692"/>
        </w:tabs>
        <w:spacing w:line="360" w:lineRule="auto"/>
        <w:jc w:val="both"/>
        <w:rPr>
          <w:rFonts w:ascii="Times New Roman" w:eastAsia="Times New Roman" w:hAnsi="Times New Roman" w:cs="Times New Roman"/>
          <w:sz w:val="24"/>
          <w:szCs w:val="24"/>
        </w:rPr>
      </w:pPr>
      <w:r>
        <w:rPr>
          <w:rFonts w:ascii="Times New Roman" w:hAnsi="Times New Roman"/>
          <w:b/>
          <w:bCs/>
          <w:sz w:val="24"/>
          <w:szCs w:val="24"/>
          <w:lang w:val="en-US"/>
        </w:rPr>
        <w:t>TABLE 3: PRE- AND POST-TRANSFUSION HEMATOLOGY</w:t>
      </w:r>
      <w:r>
        <w:rPr>
          <w:rFonts w:ascii="Times New Roman" w:eastAsia="Times New Roman" w:hAnsi="Times New Roman" w:cs="Times New Roman"/>
          <w:b/>
          <w:bCs/>
          <w:sz w:val="24"/>
          <w:szCs w:val="24"/>
          <w:lang w:val="en-US"/>
        </w:rPr>
        <w:tab/>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04"/>
        <w:gridCol w:w="3003"/>
        <w:gridCol w:w="3003"/>
      </w:tblGrid>
      <w:tr w:rsidR="000C3D22" w14:paraId="1222CA6C"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024B3C" w14:textId="77777777" w:rsidR="000C3D22" w:rsidRDefault="000C3D22"/>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0D1BBB" w14:textId="77777777" w:rsidR="000C3D22" w:rsidRDefault="00304EBE">
            <w:pPr>
              <w:pStyle w:val="Body"/>
              <w:spacing w:after="0" w:line="360" w:lineRule="auto"/>
              <w:jc w:val="center"/>
            </w:pPr>
            <w:r>
              <w:rPr>
                <w:rFonts w:ascii="Times New Roman" w:hAnsi="Times New Roman"/>
                <w:b/>
                <w:bCs/>
                <w:sz w:val="24"/>
                <w:szCs w:val="24"/>
                <w:lang w:val="en-US"/>
              </w:rPr>
              <w:t>PRE-TRANSFUSION</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EDB418" w14:textId="77777777" w:rsidR="000C3D22" w:rsidRDefault="00304EBE">
            <w:pPr>
              <w:pStyle w:val="Body"/>
              <w:spacing w:after="0" w:line="360" w:lineRule="auto"/>
              <w:jc w:val="center"/>
            </w:pPr>
            <w:r>
              <w:rPr>
                <w:rFonts w:ascii="Times New Roman" w:hAnsi="Times New Roman"/>
                <w:b/>
                <w:bCs/>
                <w:sz w:val="24"/>
                <w:szCs w:val="24"/>
                <w:lang w:val="en-US"/>
              </w:rPr>
              <w:t>POST-TRANSFUSION</w:t>
            </w:r>
          </w:p>
        </w:tc>
      </w:tr>
      <w:tr w:rsidR="000C3D22" w14:paraId="42B0B8AB"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BC5292" w14:textId="77777777" w:rsidR="000C3D22" w:rsidRDefault="00304EBE">
            <w:pPr>
              <w:pStyle w:val="Body"/>
              <w:spacing w:after="0" w:line="360" w:lineRule="auto"/>
              <w:jc w:val="center"/>
            </w:pPr>
            <w:proofErr w:type="spellStart"/>
            <w:r>
              <w:rPr>
                <w:rFonts w:ascii="Times New Roman" w:hAnsi="Times New Roman"/>
                <w:b/>
                <w:bCs/>
                <w:sz w:val="24"/>
                <w:szCs w:val="24"/>
                <w:lang w:val="en-US"/>
              </w:rPr>
              <w:t>Haemoglobin</w:t>
            </w:r>
            <w:proofErr w:type="spellEnd"/>
            <w:r>
              <w:rPr>
                <w:rFonts w:ascii="Times New Roman" w:hAnsi="Times New Roman"/>
                <w:b/>
                <w:bCs/>
                <w:sz w:val="24"/>
                <w:szCs w:val="24"/>
                <w:lang w:val="en-US"/>
              </w:rPr>
              <w:t xml:space="preserve"> (g/dl)</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B893DD" w14:textId="77777777" w:rsidR="000C3D22" w:rsidRDefault="002060CC">
            <w:pPr>
              <w:pStyle w:val="Body"/>
              <w:spacing w:after="0" w:line="360" w:lineRule="auto"/>
              <w:jc w:val="center"/>
            </w:pPr>
            <w:r>
              <w:rPr>
                <w:rFonts w:ascii="Times New Roman" w:hAnsi="Times New Roman"/>
                <w:sz w:val="24"/>
                <w:szCs w:val="24"/>
                <w:lang w:val="en-US"/>
              </w:rPr>
              <w:t>3.25</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0D638B" w14:textId="77777777" w:rsidR="000C3D22" w:rsidRDefault="00304EBE">
            <w:pPr>
              <w:pStyle w:val="Body"/>
              <w:spacing w:after="0" w:line="360" w:lineRule="auto"/>
              <w:jc w:val="center"/>
            </w:pPr>
            <w:r>
              <w:rPr>
                <w:rFonts w:ascii="Times New Roman" w:hAnsi="Times New Roman"/>
                <w:sz w:val="24"/>
                <w:szCs w:val="24"/>
                <w:lang w:val="en-US"/>
              </w:rPr>
              <w:t>8.6</w:t>
            </w:r>
          </w:p>
        </w:tc>
      </w:tr>
      <w:tr w:rsidR="000C3D22" w14:paraId="38E9F11C"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A9448D" w14:textId="77777777" w:rsidR="000C3D22" w:rsidRDefault="00304EBE">
            <w:pPr>
              <w:pStyle w:val="Body"/>
              <w:spacing w:after="0" w:line="360" w:lineRule="auto"/>
              <w:jc w:val="center"/>
            </w:pPr>
            <w:r>
              <w:rPr>
                <w:rFonts w:ascii="Times New Roman" w:hAnsi="Times New Roman"/>
                <w:b/>
                <w:bCs/>
                <w:sz w:val="24"/>
                <w:szCs w:val="24"/>
                <w:lang w:val="en-US"/>
              </w:rPr>
              <w:lastRenderedPageBreak/>
              <w:t>PCV %</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79330" w14:textId="77777777" w:rsidR="000C3D22" w:rsidRDefault="00304EBE">
            <w:pPr>
              <w:pStyle w:val="Body"/>
              <w:spacing w:after="0" w:line="360" w:lineRule="auto"/>
              <w:jc w:val="center"/>
            </w:pPr>
            <w:r>
              <w:rPr>
                <w:rFonts w:ascii="Times New Roman" w:hAnsi="Times New Roman"/>
                <w:sz w:val="24"/>
                <w:szCs w:val="24"/>
                <w:lang w:val="en-US"/>
              </w:rPr>
              <w:t>8.5</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967A98" w14:textId="77777777" w:rsidR="000C3D22" w:rsidRDefault="00304EBE">
            <w:pPr>
              <w:pStyle w:val="Body"/>
              <w:spacing w:after="0" w:line="360" w:lineRule="auto"/>
              <w:jc w:val="center"/>
            </w:pPr>
            <w:r>
              <w:rPr>
                <w:rFonts w:ascii="Times New Roman" w:hAnsi="Times New Roman"/>
                <w:sz w:val="24"/>
                <w:szCs w:val="24"/>
                <w:lang w:val="en-US"/>
              </w:rPr>
              <w:t>16.8</w:t>
            </w:r>
          </w:p>
        </w:tc>
      </w:tr>
      <w:tr w:rsidR="000C3D22" w14:paraId="5D28FE5A"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D39B7D" w14:textId="77777777" w:rsidR="000C3D22" w:rsidRDefault="00304EBE">
            <w:pPr>
              <w:pStyle w:val="Body"/>
              <w:spacing w:after="0" w:line="360" w:lineRule="auto"/>
              <w:jc w:val="center"/>
            </w:pPr>
            <w:r>
              <w:rPr>
                <w:rFonts w:ascii="Times New Roman" w:hAnsi="Times New Roman"/>
                <w:b/>
                <w:bCs/>
                <w:sz w:val="24"/>
                <w:szCs w:val="24"/>
                <w:lang w:val="en-US"/>
              </w:rPr>
              <w:t>Total Proteins (g/dl)</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0B57F" w14:textId="77777777" w:rsidR="000C3D22" w:rsidRDefault="00304EBE">
            <w:pPr>
              <w:pStyle w:val="Body"/>
              <w:spacing w:after="0" w:line="360" w:lineRule="auto"/>
              <w:jc w:val="center"/>
            </w:pPr>
            <w:r>
              <w:rPr>
                <w:rFonts w:ascii="Times New Roman" w:hAnsi="Times New Roman"/>
                <w:sz w:val="24"/>
                <w:szCs w:val="24"/>
                <w:lang w:val="en-US"/>
              </w:rPr>
              <w:t>6</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3F8D9F" w14:textId="77777777" w:rsidR="000C3D22" w:rsidRDefault="00304EBE">
            <w:pPr>
              <w:pStyle w:val="Body"/>
              <w:spacing w:after="0" w:line="360" w:lineRule="auto"/>
              <w:jc w:val="center"/>
            </w:pPr>
            <w:r>
              <w:rPr>
                <w:rFonts w:ascii="Times New Roman" w:hAnsi="Times New Roman"/>
                <w:sz w:val="24"/>
                <w:szCs w:val="24"/>
                <w:lang w:val="en-US"/>
              </w:rPr>
              <w:t>6.2</w:t>
            </w:r>
          </w:p>
        </w:tc>
      </w:tr>
      <w:tr w:rsidR="000C3D22" w14:paraId="68EB3865"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B2AAA0" w14:textId="77777777" w:rsidR="000C3D22" w:rsidRDefault="00304EBE">
            <w:pPr>
              <w:pStyle w:val="Body"/>
              <w:spacing w:after="0" w:line="360" w:lineRule="auto"/>
              <w:jc w:val="center"/>
            </w:pPr>
            <w:r>
              <w:rPr>
                <w:rFonts w:ascii="Times New Roman" w:hAnsi="Times New Roman"/>
                <w:b/>
                <w:bCs/>
                <w:sz w:val="24"/>
                <w:szCs w:val="24"/>
                <w:lang w:val="en-US"/>
              </w:rPr>
              <w:t>Platelets</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486D21" w14:textId="77777777" w:rsidR="000C3D22" w:rsidRDefault="002060CC">
            <w:pPr>
              <w:pStyle w:val="Body"/>
              <w:spacing w:after="0" w:line="360" w:lineRule="auto"/>
              <w:jc w:val="center"/>
            </w:pPr>
            <w:r>
              <w:rPr>
                <w:rFonts w:ascii="Times New Roman" w:hAnsi="Times New Roman"/>
                <w:sz w:val="24"/>
                <w:szCs w:val="24"/>
                <w:lang w:val="en-US"/>
              </w:rPr>
              <w:t>70</w:t>
            </w:r>
            <w:r w:rsidR="00304EBE">
              <w:rPr>
                <w:rFonts w:ascii="Times New Roman" w:hAnsi="Times New Roman"/>
                <w:sz w:val="24"/>
                <w:szCs w:val="24"/>
                <w:lang w:val="en-US"/>
              </w:rPr>
              <w:t>000</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8F5CE2" w14:textId="77777777" w:rsidR="000C3D22" w:rsidRDefault="00304EBE">
            <w:pPr>
              <w:pStyle w:val="Body"/>
              <w:spacing w:after="0" w:line="360" w:lineRule="auto"/>
              <w:jc w:val="center"/>
            </w:pPr>
            <w:r>
              <w:rPr>
                <w:rFonts w:ascii="Times New Roman" w:hAnsi="Times New Roman"/>
                <w:sz w:val="24"/>
                <w:szCs w:val="24"/>
                <w:lang w:val="en-US"/>
              </w:rPr>
              <w:t>126000</w:t>
            </w:r>
          </w:p>
        </w:tc>
      </w:tr>
      <w:tr w:rsidR="000C3D22" w14:paraId="03E84944"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DF62EB" w14:textId="77777777" w:rsidR="000C3D22" w:rsidRDefault="00304EBE">
            <w:pPr>
              <w:pStyle w:val="Body"/>
              <w:spacing w:after="0" w:line="360" w:lineRule="auto"/>
              <w:jc w:val="center"/>
            </w:pPr>
            <w:r>
              <w:rPr>
                <w:rFonts w:ascii="Times New Roman" w:hAnsi="Times New Roman"/>
                <w:b/>
                <w:bCs/>
                <w:sz w:val="24"/>
                <w:szCs w:val="24"/>
                <w:lang w:val="en-US"/>
              </w:rPr>
              <w:t>RBC (m/</w:t>
            </w:r>
            <w:proofErr w:type="spellStart"/>
            <w:r>
              <w:rPr>
                <w:rFonts w:ascii="Times New Roman" w:hAnsi="Times New Roman"/>
                <w:b/>
                <w:bCs/>
                <w:sz w:val="24"/>
                <w:szCs w:val="24"/>
                <w:lang w:val="en-US"/>
              </w:rPr>
              <w:t>cmm</w:t>
            </w:r>
            <w:proofErr w:type="spellEnd"/>
            <w:r>
              <w:rPr>
                <w:rFonts w:ascii="Times New Roman" w:hAnsi="Times New Roman"/>
                <w:b/>
                <w:bCs/>
                <w:sz w:val="24"/>
                <w:szCs w:val="24"/>
                <w:lang w:val="en-US"/>
              </w:rPr>
              <w:t>)</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E29E3F" w14:textId="77777777" w:rsidR="000C3D22" w:rsidRDefault="002060CC">
            <w:pPr>
              <w:pStyle w:val="Body"/>
              <w:spacing w:after="0" w:line="360" w:lineRule="auto"/>
              <w:jc w:val="center"/>
            </w:pPr>
            <w:r>
              <w:rPr>
                <w:rFonts w:ascii="Times New Roman" w:hAnsi="Times New Roman"/>
                <w:sz w:val="24"/>
                <w:szCs w:val="24"/>
                <w:lang w:val="en-US"/>
              </w:rPr>
              <w:t>1.3</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DDBEAB" w14:textId="77777777" w:rsidR="000C3D22" w:rsidRDefault="00304EBE">
            <w:pPr>
              <w:pStyle w:val="Body"/>
              <w:spacing w:after="0" w:line="360" w:lineRule="auto"/>
              <w:jc w:val="center"/>
            </w:pPr>
            <w:r>
              <w:rPr>
                <w:rFonts w:ascii="Times New Roman" w:hAnsi="Times New Roman"/>
                <w:sz w:val="24"/>
                <w:szCs w:val="24"/>
                <w:lang w:val="en-US"/>
              </w:rPr>
              <w:t>2.74</w:t>
            </w:r>
          </w:p>
        </w:tc>
      </w:tr>
    </w:tbl>
    <w:p w14:paraId="014F7073" w14:textId="77777777" w:rsidR="000C3D22" w:rsidRDefault="000C3D22">
      <w:pPr>
        <w:pStyle w:val="Body"/>
        <w:widowControl w:val="0"/>
        <w:tabs>
          <w:tab w:val="center" w:pos="4513"/>
          <w:tab w:val="left" w:pos="7692"/>
        </w:tabs>
        <w:spacing w:line="240" w:lineRule="auto"/>
        <w:jc w:val="both"/>
        <w:rPr>
          <w:rFonts w:ascii="Times New Roman" w:eastAsia="Times New Roman" w:hAnsi="Times New Roman" w:cs="Times New Roman"/>
          <w:sz w:val="24"/>
          <w:szCs w:val="24"/>
        </w:rPr>
      </w:pPr>
    </w:p>
    <w:p w14:paraId="5F99AED6" w14:textId="77777777" w:rsidR="000C3D22" w:rsidRDefault="00304EB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   </w:t>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96"/>
        <w:gridCol w:w="4514"/>
      </w:tblGrid>
      <w:tr w:rsidR="000C3D22" w14:paraId="36E41642" w14:textId="77777777">
        <w:trPr>
          <w:trHeight w:val="3878"/>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53763" w14:textId="77777777" w:rsidR="000C3D22" w:rsidRDefault="00304EBE">
            <w:pPr>
              <w:pStyle w:val="Body"/>
              <w:spacing w:line="360" w:lineRule="auto"/>
              <w:jc w:val="both"/>
            </w:pPr>
            <w:r>
              <w:rPr>
                <w:rFonts w:ascii="Times New Roman" w:eastAsia="Times New Roman" w:hAnsi="Times New Roman" w:cs="Times New Roman"/>
                <w:noProof/>
                <w:sz w:val="24"/>
                <w:szCs w:val="24"/>
                <w:lang w:val="en-US"/>
              </w:rPr>
              <w:drawing>
                <wp:inline distT="0" distB="0" distL="0" distR="0" wp14:anchorId="3E374A3A" wp14:editId="6A277167">
                  <wp:extent cx="2543364" cy="230719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rotWithShape="1">
                          <a:blip r:embed="rId7"/>
                          <a:srcRect t="15491" r="20535"/>
                          <a:stretch/>
                        </pic:blipFill>
                        <pic:spPr bwMode="auto">
                          <a:xfrm>
                            <a:off x="0" y="0"/>
                            <a:ext cx="2545816" cy="230941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AA8A1" w14:textId="77777777" w:rsidR="000C3D22" w:rsidRDefault="000D6C13">
            <w:pPr>
              <w:pStyle w:val="Body"/>
              <w:spacing w:after="0" w:line="360" w:lineRule="auto"/>
              <w:jc w:val="both"/>
            </w:pPr>
            <w:r>
              <w:rPr>
                <w:noProof/>
                <w:lang w:val="en-US"/>
                <w14:textOutline w14:w="0" w14:cap="rnd" w14:cmpd="sng" w14:algn="ctr">
                  <w14:noFill/>
                  <w14:prstDash w14:val="solid"/>
                  <w14:bevel/>
                </w14:textOutline>
              </w:rPr>
              <w:drawing>
                <wp:inline distT="0" distB="0" distL="0" distR="0" wp14:anchorId="06367090" wp14:editId="7188E641">
                  <wp:extent cx="2764790" cy="2523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60107-WA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590" cy="2525387"/>
                          </a:xfrm>
                          <a:prstGeom prst="rect">
                            <a:avLst/>
                          </a:prstGeom>
                        </pic:spPr>
                      </pic:pic>
                    </a:graphicData>
                  </a:graphic>
                </wp:inline>
              </w:drawing>
            </w:r>
          </w:p>
        </w:tc>
      </w:tr>
      <w:tr w:rsidR="000C3D22" w14:paraId="4140A711"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6BFDC" w14:textId="77777777" w:rsidR="000C3D22" w:rsidRDefault="00304EBE">
            <w:pPr>
              <w:pStyle w:val="Body"/>
              <w:spacing w:after="0" w:line="360" w:lineRule="auto"/>
              <w:jc w:val="both"/>
            </w:pPr>
            <w:r>
              <w:rPr>
                <w:rFonts w:ascii="Times New Roman" w:hAnsi="Times New Roman"/>
                <w:sz w:val="24"/>
                <w:szCs w:val="24"/>
                <w:lang w:val="en-US"/>
              </w:rPr>
              <w:t>Fig.1 Animal in dull mentation on day 1</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B4B9D" w14:textId="77777777" w:rsidR="000C3D22" w:rsidRDefault="00304EBE">
            <w:pPr>
              <w:pStyle w:val="Body"/>
              <w:spacing w:after="0" w:line="360" w:lineRule="auto"/>
              <w:jc w:val="both"/>
            </w:pPr>
            <w:r>
              <w:rPr>
                <w:rFonts w:ascii="Times New Roman" w:hAnsi="Times New Roman"/>
                <w:sz w:val="24"/>
                <w:szCs w:val="24"/>
                <w:lang w:val="en-US"/>
              </w:rPr>
              <w:t>Fig. 2 Blood smear revealing Microfilaria</w:t>
            </w:r>
          </w:p>
        </w:tc>
      </w:tr>
      <w:tr w:rsidR="000C3D22" w14:paraId="1B956E71" w14:textId="77777777">
        <w:trPr>
          <w:trHeight w:val="3854"/>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619A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BF63052" wp14:editId="1EA87210">
                  <wp:extent cx="2637155" cy="2135874"/>
                  <wp:effectExtent l="0" t="0" r="0" b="0"/>
                  <wp:docPr id="1073741827" name="officeArt object" descr="C:\Users\elcot\Documents\IMG_20190828_173454.jpg"/>
                  <wp:cNvGraphicFramePr/>
                  <a:graphic xmlns:a="http://schemas.openxmlformats.org/drawingml/2006/main">
                    <a:graphicData uri="http://schemas.openxmlformats.org/drawingml/2006/picture">
                      <pic:pic xmlns:pic="http://schemas.openxmlformats.org/drawingml/2006/picture">
                        <pic:nvPicPr>
                          <pic:cNvPr id="1073741827" name="C:\Users\elcot\Documents\IMG_20190828_173454.jpg" descr="C:\Users\elcot\Documents\IMG_20190828_173454.jpg"/>
                          <pic:cNvPicPr>
                            <a:picLocks noChangeAspect="1"/>
                          </pic:cNvPicPr>
                        </pic:nvPicPr>
                        <pic:blipFill rotWithShape="1">
                          <a:blip r:embed="rId9"/>
                          <a:srcRect b="5940"/>
                          <a:stretch/>
                        </pic:blipFill>
                        <pic:spPr bwMode="auto">
                          <a:xfrm>
                            <a:off x="0" y="0"/>
                            <a:ext cx="2637156" cy="2135875"/>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2294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3F2C9319" wp14:editId="2C140445">
                  <wp:extent cx="2091973" cy="2407920"/>
                  <wp:effectExtent l="0" t="0" r="3810" b="0"/>
                  <wp:docPr id="1073741828" name="officeArt object" descr="C:\Users\Admin\Documents\IMG_20190828_112306.jpg"/>
                  <wp:cNvGraphicFramePr/>
                  <a:graphic xmlns:a="http://schemas.openxmlformats.org/drawingml/2006/main">
                    <a:graphicData uri="http://schemas.openxmlformats.org/drawingml/2006/picture">
                      <pic:pic xmlns:pic="http://schemas.openxmlformats.org/drawingml/2006/picture">
                        <pic:nvPicPr>
                          <pic:cNvPr id="1073741828" name="C:\Users\Admin\Documents\IMG_20190828_112306.jpg" descr="C:\Users\Admin\Documents\IMG_20190828_112306.jpg"/>
                          <pic:cNvPicPr>
                            <a:picLocks noChangeAspect="1"/>
                          </pic:cNvPicPr>
                        </pic:nvPicPr>
                        <pic:blipFill rotWithShape="1">
                          <a:blip r:embed="rId10"/>
                          <a:srcRect l="14740"/>
                          <a:stretch/>
                        </pic:blipFill>
                        <pic:spPr bwMode="auto">
                          <a:xfrm>
                            <a:off x="0" y="0"/>
                            <a:ext cx="2091974" cy="240792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6C318E65" w14:textId="77777777">
        <w:trPr>
          <w:trHeight w:val="6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AB7FF" w14:textId="77777777" w:rsidR="000C3D22" w:rsidRDefault="00304EBE">
            <w:pPr>
              <w:pStyle w:val="Body"/>
              <w:spacing w:after="0" w:line="240" w:lineRule="auto"/>
            </w:pPr>
            <w:r>
              <w:rPr>
                <w:rFonts w:ascii="Times New Roman" w:hAnsi="Times New Roman"/>
                <w:sz w:val="24"/>
                <w:szCs w:val="24"/>
                <w:lang w:val="en-US"/>
              </w:rPr>
              <w:t>Fig.3 , 4 .Radiography revealing Pulmonary artery enlargement with mild mixed alveolar infiltration</w:t>
            </w:r>
          </w:p>
        </w:tc>
      </w:tr>
      <w:tr w:rsidR="000C3D22" w14:paraId="564D5CC3" w14:textId="77777777">
        <w:trPr>
          <w:trHeight w:val="4145"/>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0B3F3"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lastRenderedPageBreak/>
              <w:drawing>
                <wp:inline distT="0" distB="0" distL="0" distR="0" wp14:anchorId="16F48AE8" wp14:editId="3E81B6D4">
                  <wp:extent cx="2745744" cy="1234743"/>
                  <wp:effectExtent l="0" t="0" r="0" b="3810"/>
                  <wp:docPr id="1073741829" name="officeArt object" descr="C:\Users\Agramuthalvi\Pictures\IMG_20190810_111245.jpg"/>
                  <wp:cNvGraphicFramePr/>
                  <a:graphic xmlns:a="http://schemas.openxmlformats.org/drawingml/2006/main">
                    <a:graphicData uri="http://schemas.openxmlformats.org/drawingml/2006/picture">
                      <pic:pic xmlns:pic="http://schemas.openxmlformats.org/drawingml/2006/picture">
                        <pic:nvPicPr>
                          <pic:cNvPr id="1073741829" name="C:\Users\Agramuthalvi\Pictures\IMG_20190810_111245.jpg" descr="C:\Users\Agramuthalvi\Pictures\IMG_20190810_111245.jpg"/>
                          <pic:cNvPicPr>
                            <a:picLocks noChangeAspect="1"/>
                          </pic:cNvPicPr>
                        </pic:nvPicPr>
                        <pic:blipFill rotWithShape="1">
                          <a:blip r:embed="rId11"/>
                          <a:srcRect t="16956" b="32749"/>
                          <a:stretch/>
                        </pic:blipFill>
                        <pic:spPr bwMode="auto">
                          <a:xfrm>
                            <a:off x="0" y="0"/>
                            <a:ext cx="2749651" cy="12365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4437A"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114FC6F9" wp14:editId="3C90FDC6">
                  <wp:extent cx="2688609" cy="2490716"/>
                  <wp:effectExtent l="0" t="0" r="0" b="508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rotWithShape="1">
                          <a:blip r:embed="rId12"/>
                          <a:srcRect t="15296" r="17137" b="6576"/>
                          <a:stretch/>
                        </pic:blipFill>
                        <pic:spPr bwMode="auto">
                          <a:xfrm>
                            <a:off x="0" y="0"/>
                            <a:ext cx="2704191" cy="250515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7328E4B3"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C7C94" w14:textId="77777777" w:rsidR="000C3D22" w:rsidRDefault="00304EBE">
            <w:pPr>
              <w:pStyle w:val="Body"/>
              <w:spacing w:after="0" w:line="360" w:lineRule="auto"/>
              <w:jc w:val="both"/>
            </w:pPr>
            <w:r>
              <w:rPr>
                <w:rFonts w:ascii="Times New Roman" w:hAnsi="Times New Roman"/>
                <w:sz w:val="24"/>
                <w:szCs w:val="24"/>
                <w:lang w:val="en-US"/>
              </w:rPr>
              <w:t>Fig.5 Donar animal</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42E81" w14:textId="77777777" w:rsidR="000C3D22" w:rsidRDefault="00304EBE">
            <w:pPr>
              <w:pStyle w:val="Body"/>
              <w:spacing w:after="0" w:line="360" w:lineRule="auto"/>
              <w:jc w:val="both"/>
            </w:pPr>
            <w:r>
              <w:rPr>
                <w:rFonts w:ascii="Times New Roman" w:hAnsi="Times New Roman"/>
                <w:sz w:val="24"/>
                <w:szCs w:val="24"/>
                <w:lang w:val="en-US"/>
              </w:rPr>
              <w:t>Fig.6 Recipient animal</w:t>
            </w:r>
          </w:p>
        </w:tc>
      </w:tr>
      <w:tr w:rsidR="000C3D22" w14:paraId="790812DB" w14:textId="77777777">
        <w:trPr>
          <w:trHeight w:val="3974"/>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A9F1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1645B11" wp14:editId="22064F41">
                  <wp:extent cx="2307855" cy="2026693"/>
                  <wp:effectExtent l="304800" t="76200" r="302260" b="602615"/>
                  <wp:docPr id="1073741831" name="officeArt object" descr="C:\Users\elcot\Documents\IMG_20190828_173317.jpg"/>
                  <wp:cNvGraphicFramePr/>
                  <a:graphic xmlns:a="http://schemas.openxmlformats.org/drawingml/2006/main">
                    <a:graphicData uri="http://schemas.openxmlformats.org/drawingml/2006/picture">
                      <pic:pic xmlns:pic="http://schemas.openxmlformats.org/drawingml/2006/picture">
                        <pic:nvPicPr>
                          <pic:cNvPr id="1073741831" name="C:\Users\elcot\Documents\IMG_20190828_173317.jpg" descr="C:\Users\elcot\Documents\IMG_20190828_173317.jpg"/>
                          <pic:cNvPicPr>
                            <a:picLocks noChangeAspect="1"/>
                          </pic:cNvPicPr>
                        </pic:nvPicPr>
                        <pic:blipFill>
                          <a:blip r:embed="rId13"/>
                          <a:srcRect l="19727" t="9717" b="28747"/>
                          <a:stretch>
                            <a:fillRect/>
                          </a:stretch>
                        </pic:blipFill>
                        <pic:spPr>
                          <a:xfrm>
                            <a:off x="0" y="0"/>
                            <a:ext cx="2314935" cy="203291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4833"/>
                                  <a:pt x="0" y="10798"/>
                                </a:cubicBezTo>
                                <a:cubicBezTo>
                                  <a:pt x="0" y="16762"/>
                                  <a:pt x="4835" y="21600"/>
                                  <a:pt x="10800" y="21600"/>
                                </a:cubicBezTo>
                                <a:cubicBezTo>
                                  <a:pt x="16765" y="21600"/>
                                  <a:pt x="21600" y="16762"/>
                                  <a:pt x="21600" y="10798"/>
                                </a:cubicBezTo>
                                <a:cubicBezTo>
                                  <a:pt x="21600" y="4833"/>
                                  <a:pt x="16765" y="0"/>
                                  <a:pt x="10800" y="0"/>
                                </a:cubicBezTo>
                                <a:close/>
                              </a:path>
                            </a:pathLst>
                          </a:custGeom>
                          <a:ln w="63500" cap="rnd">
                            <a:solidFill>
                              <a:srgbClr val="333333"/>
                            </a:solidFill>
                            <a:prstDash val="solid"/>
                            <a:round/>
                          </a:ln>
                          <a:effectLst>
                            <a:outerShdw blurRad="381000" dist="292100" dir="5400000" rotWithShape="0">
                              <a:srgbClr val="000000">
                                <a:alpha val="22000"/>
                              </a:srgbClr>
                            </a:outerShdw>
                          </a:effec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5025B"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671B2D4E" wp14:editId="18A5E81F">
                  <wp:extent cx="2442949" cy="2299647"/>
                  <wp:effectExtent l="0" t="0" r="0" b="5715"/>
                  <wp:docPr id="1073741832" name="officeArt object" descr="C:\Users\Admin\Documents\IMG_20190828_234700.jpg"/>
                  <wp:cNvGraphicFramePr/>
                  <a:graphic xmlns:a="http://schemas.openxmlformats.org/drawingml/2006/main">
                    <a:graphicData uri="http://schemas.openxmlformats.org/drawingml/2006/picture">
                      <pic:pic xmlns:pic="http://schemas.openxmlformats.org/drawingml/2006/picture">
                        <pic:nvPicPr>
                          <pic:cNvPr id="1073741832" name="C:\Users\Admin\Documents\IMG_20190828_234700.jpg" descr="C:\Users\Admin\Documents\IMG_20190828_234700.jpg"/>
                          <pic:cNvPicPr>
                            <a:picLocks noChangeAspect="1"/>
                          </pic:cNvPicPr>
                        </pic:nvPicPr>
                        <pic:blipFill>
                          <a:blip r:embed="rId14"/>
                          <a:stretch>
                            <a:fillRect/>
                          </a:stretch>
                        </pic:blipFill>
                        <pic:spPr>
                          <a:xfrm>
                            <a:off x="0" y="0"/>
                            <a:ext cx="2446473" cy="2302964"/>
                          </a:xfrm>
                          <a:prstGeom prst="rect">
                            <a:avLst/>
                          </a:prstGeom>
                          <a:ln w="12700" cap="flat">
                            <a:noFill/>
                            <a:miter lim="400000"/>
                          </a:ln>
                          <a:effectLst/>
                        </pic:spPr>
                      </pic:pic>
                    </a:graphicData>
                  </a:graphic>
                </wp:inline>
              </w:drawing>
            </w:r>
          </w:p>
        </w:tc>
      </w:tr>
      <w:tr w:rsidR="000C3D22" w14:paraId="328EF859" w14:textId="77777777">
        <w:trPr>
          <w:trHeight w:val="3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85C6F" w14:textId="77777777" w:rsidR="000C3D22" w:rsidRDefault="00304EBE">
            <w:pPr>
              <w:pStyle w:val="Body"/>
              <w:spacing w:after="0" w:line="360" w:lineRule="auto"/>
              <w:jc w:val="both"/>
            </w:pPr>
            <w:r>
              <w:rPr>
                <w:rFonts w:ascii="Times New Roman" w:hAnsi="Times New Roman"/>
                <w:sz w:val="24"/>
                <w:szCs w:val="24"/>
                <w:lang w:val="en-US"/>
              </w:rPr>
              <w:t>Fig.7 Slide agglutination revealing absence of agglutination</w:t>
            </w:r>
          </w:p>
        </w:tc>
      </w:tr>
      <w:tr w:rsidR="000C3D22" w14:paraId="135A4039" w14:textId="77777777">
        <w:trPr>
          <w:trHeight w:val="3536"/>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A48FF"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FC6BE7C" wp14:editId="768670FD">
                  <wp:extent cx="2537460" cy="1781033"/>
                  <wp:effectExtent l="0" t="0" r="0" b="0"/>
                  <wp:docPr id="1073741833" name="officeArt object" descr="C:\Users\elcot\Documents\IMG_20190828_170114.jpg"/>
                  <wp:cNvGraphicFramePr/>
                  <a:graphic xmlns:a="http://schemas.openxmlformats.org/drawingml/2006/main">
                    <a:graphicData uri="http://schemas.openxmlformats.org/drawingml/2006/picture">
                      <pic:pic xmlns:pic="http://schemas.openxmlformats.org/drawingml/2006/picture">
                        <pic:nvPicPr>
                          <pic:cNvPr id="1073741833" name="C:\Users\elcot\Documents\IMG_20190828_170114.jpg" descr="C:\Users\elcot\Documents\IMG_20190828_170114.jpg"/>
                          <pic:cNvPicPr>
                            <a:picLocks noChangeAspect="1"/>
                          </pic:cNvPicPr>
                        </pic:nvPicPr>
                        <pic:blipFill rotWithShape="1">
                          <a:blip r:embed="rId15"/>
                          <a:srcRect b="19264"/>
                          <a:stretch/>
                        </pic:blipFill>
                        <pic:spPr bwMode="auto">
                          <a:xfrm>
                            <a:off x="0" y="0"/>
                            <a:ext cx="2537461" cy="178103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F303C"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1EA980DD" wp14:editId="67C167F0">
                  <wp:extent cx="2272352" cy="2062323"/>
                  <wp:effectExtent l="0" t="0" r="0" b="0"/>
                  <wp:docPr id="1073741834" name="officeArt object" descr="C:\Users\elcot\Documents\IMG_20190828_170846.jpg"/>
                  <wp:cNvGraphicFramePr/>
                  <a:graphic xmlns:a="http://schemas.openxmlformats.org/drawingml/2006/main">
                    <a:graphicData uri="http://schemas.openxmlformats.org/drawingml/2006/picture">
                      <pic:pic xmlns:pic="http://schemas.openxmlformats.org/drawingml/2006/picture">
                        <pic:nvPicPr>
                          <pic:cNvPr id="1073741834" name="C:\Users\elcot\Documents\IMG_20190828_170846.jpg" descr="C:\Users\elcot\Documents\IMG_20190828_170846.jpg"/>
                          <pic:cNvPicPr>
                            <a:picLocks noChangeAspect="1"/>
                          </pic:cNvPicPr>
                        </pic:nvPicPr>
                        <pic:blipFill rotWithShape="1">
                          <a:blip r:embed="rId16"/>
                          <a:srcRect r="17603"/>
                          <a:stretch/>
                        </pic:blipFill>
                        <pic:spPr bwMode="auto">
                          <a:xfrm>
                            <a:off x="0" y="0"/>
                            <a:ext cx="2272768" cy="206270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2AFC2FAE" w14:textId="77777777">
        <w:trPr>
          <w:trHeight w:val="3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5E76B2" w14:textId="77777777" w:rsidR="000C3D22" w:rsidRDefault="00304EBE">
            <w:pPr>
              <w:pStyle w:val="Body"/>
              <w:spacing w:after="0" w:line="360" w:lineRule="auto"/>
              <w:jc w:val="both"/>
            </w:pPr>
            <w:r>
              <w:rPr>
                <w:rFonts w:ascii="Times New Roman" w:hAnsi="Times New Roman"/>
                <w:sz w:val="24"/>
                <w:szCs w:val="24"/>
                <w:lang w:val="en-US"/>
              </w:rPr>
              <w:lastRenderedPageBreak/>
              <w:t>Fig.8, 9 Major cross matching showing compatibility.</w:t>
            </w:r>
          </w:p>
        </w:tc>
      </w:tr>
      <w:tr w:rsidR="000C3D22" w14:paraId="6C8127DF" w14:textId="77777777">
        <w:trPr>
          <w:trHeight w:val="4863"/>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BDF5B6" w14:textId="77777777" w:rsidR="007E634E" w:rsidRDefault="007E634E">
            <w:pPr>
              <w:rPr>
                <w:noProof/>
                <w:lang w:bidi="ta-IN"/>
              </w:rPr>
            </w:pPr>
          </w:p>
          <w:p w14:paraId="3D88163E" w14:textId="77777777" w:rsidR="000C3D22" w:rsidRDefault="007E634E">
            <w:r>
              <w:rPr>
                <w:noProof/>
                <w:lang w:bidi="ta-IN"/>
              </w:rPr>
              <w:drawing>
                <wp:inline distT="0" distB="0" distL="0" distR="0" wp14:anchorId="01BD513C" wp14:editId="363B3B4D">
                  <wp:extent cx="2484109" cy="2656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60107-WA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8979" cy="2662049"/>
                          </a:xfrm>
                          <a:prstGeom prst="rect">
                            <a:avLst/>
                          </a:prstGeom>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A1B2C" w14:textId="77777777" w:rsidR="000C3D22" w:rsidRDefault="00480E02">
            <w:r>
              <w:rPr>
                <w:rFonts w:eastAsia="Times New Roman"/>
                <w:noProof/>
                <w:lang w:bidi="ta-IN"/>
              </w:rPr>
              <w:drawing>
                <wp:inline distT="0" distB="0" distL="0" distR="0" wp14:anchorId="3CC9E86E" wp14:editId="28E6A020">
                  <wp:extent cx="2700810" cy="2882479"/>
                  <wp:effectExtent l="0" t="0" r="4445" b="0"/>
                  <wp:docPr id="1073741835" name="officeArt object" descr="C:\Users\elcot\Documents\IMG_20190810_131216420.jpg"/>
                  <wp:cNvGraphicFramePr/>
                  <a:graphic xmlns:a="http://schemas.openxmlformats.org/drawingml/2006/main">
                    <a:graphicData uri="http://schemas.openxmlformats.org/drawingml/2006/picture">
                      <pic:pic xmlns:pic="http://schemas.openxmlformats.org/drawingml/2006/picture">
                        <pic:nvPicPr>
                          <pic:cNvPr id="1073741835" name="C:\Users\elcot\Documents\IMG_20190810_131216420.jpg" descr="C:\Users\elcot\Documents\IMG_20190810_131216420.jpg"/>
                          <pic:cNvPicPr>
                            <a:picLocks noChangeAspect="1"/>
                          </pic:cNvPicPr>
                        </pic:nvPicPr>
                        <pic:blipFill rotWithShape="1">
                          <a:blip r:embed="rId18"/>
                          <a:srcRect l="5789" t="25700" r="33249"/>
                          <a:stretch/>
                        </pic:blipFill>
                        <pic:spPr bwMode="auto">
                          <a:xfrm>
                            <a:off x="0" y="0"/>
                            <a:ext cx="2715330" cy="2897976"/>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76FFE411"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37B64" w14:textId="77777777" w:rsidR="000C3D22" w:rsidRDefault="00C93B1E" w:rsidP="00C93B1E">
            <w:r w:rsidRPr="00C93B1E">
              <w:t>Fig. 10</w:t>
            </w:r>
            <w:r>
              <w:t xml:space="preserve"> CPDA-1 (Citrate Phosphate Dextrose Adenine) bag </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17C06" w14:textId="77777777" w:rsidR="000C3D22" w:rsidRDefault="00480E02">
            <w:r>
              <w:t>Fig.11 Blood transfusion</w:t>
            </w:r>
          </w:p>
        </w:tc>
      </w:tr>
      <w:tr w:rsidR="000C3D22" w14:paraId="076290A9" w14:textId="77777777">
        <w:trPr>
          <w:trHeight w:val="4046"/>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D63F9" w14:textId="77777777" w:rsidR="000C3D22" w:rsidRDefault="00480E02">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3299AF23" wp14:editId="4CE09E71">
                  <wp:extent cx="2777319" cy="2122226"/>
                  <wp:effectExtent l="0" t="0" r="4445" b="0"/>
                  <wp:docPr id="1073741836" name="officeArt object" descr="C:\Users\Agramuthalvi\Pictures\IMG_20190819_003242.jpg"/>
                  <wp:cNvGraphicFramePr/>
                  <a:graphic xmlns:a="http://schemas.openxmlformats.org/drawingml/2006/main">
                    <a:graphicData uri="http://schemas.openxmlformats.org/drawingml/2006/picture">
                      <pic:pic xmlns:pic="http://schemas.openxmlformats.org/drawingml/2006/picture">
                        <pic:nvPicPr>
                          <pic:cNvPr id="1073741836" name="C:\Users\Agramuthalvi\Pictures\IMG_20190819_003242.jpg" descr="C:\Users\Agramuthalvi\Pictures\IMG_20190819_003242.jpg"/>
                          <pic:cNvPicPr>
                            <a:picLocks noChangeAspect="1"/>
                          </pic:cNvPicPr>
                        </pic:nvPicPr>
                        <pic:blipFill rotWithShape="1">
                          <a:blip r:embed="rId19"/>
                          <a:srcRect l="19943" t="22946" r="8149" b="28484"/>
                          <a:stretch/>
                        </pic:blipFill>
                        <pic:spPr bwMode="auto">
                          <a:xfrm>
                            <a:off x="0" y="0"/>
                            <a:ext cx="2824270" cy="2158102"/>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134C7" w14:textId="77777777" w:rsidR="000C3D22" w:rsidRDefault="000C3D22">
            <w:pPr>
              <w:pStyle w:val="Body"/>
              <w:spacing w:after="0" w:line="360" w:lineRule="auto"/>
              <w:jc w:val="both"/>
            </w:pPr>
          </w:p>
        </w:tc>
      </w:tr>
      <w:tr w:rsidR="000C3D22" w14:paraId="76D0CDAE"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4591E" w14:textId="77777777" w:rsidR="000C3D22" w:rsidRDefault="00480E02">
            <w:pPr>
              <w:pStyle w:val="Body"/>
              <w:spacing w:after="0" w:line="360" w:lineRule="auto"/>
              <w:jc w:val="both"/>
            </w:pPr>
            <w:r>
              <w:rPr>
                <w:rFonts w:ascii="Times New Roman" w:hAnsi="Times New Roman"/>
                <w:sz w:val="24"/>
                <w:szCs w:val="24"/>
                <w:lang w:val="en-US"/>
              </w:rPr>
              <w:t>Fig.12  Day 2 post -transfusion</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BB6CE" w14:textId="77777777" w:rsidR="000C3D22" w:rsidRDefault="000C3D22">
            <w:pPr>
              <w:pStyle w:val="Body"/>
              <w:spacing w:after="0" w:line="360" w:lineRule="auto"/>
              <w:jc w:val="both"/>
            </w:pPr>
          </w:p>
        </w:tc>
      </w:tr>
    </w:tbl>
    <w:p w14:paraId="436F8C0A" w14:textId="77777777" w:rsidR="000C3D22" w:rsidRDefault="000C3D22">
      <w:pPr>
        <w:pStyle w:val="Body"/>
        <w:widowControl w:val="0"/>
        <w:spacing w:line="240" w:lineRule="auto"/>
        <w:jc w:val="both"/>
      </w:pPr>
    </w:p>
    <w:p w14:paraId="295C30FA" w14:textId="77777777" w:rsidR="000D6C13" w:rsidRDefault="000D6C13">
      <w:pPr>
        <w:pStyle w:val="Body"/>
        <w:widowControl w:val="0"/>
        <w:spacing w:line="240" w:lineRule="auto"/>
        <w:jc w:val="both"/>
      </w:pPr>
    </w:p>
    <w:p w14:paraId="61561382" w14:textId="77777777" w:rsidR="000D6C13" w:rsidRDefault="000D6C13">
      <w:pPr>
        <w:pStyle w:val="Body"/>
        <w:widowControl w:val="0"/>
        <w:spacing w:line="240" w:lineRule="auto"/>
        <w:jc w:val="both"/>
      </w:pPr>
    </w:p>
    <w:sectPr w:rsidR="000D6C13">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79343" w14:textId="77777777" w:rsidR="00F87671" w:rsidRDefault="00F87671">
      <w:r>
        <w:separator/>
      </w:r>
    </w:p>
  </w:endnote>
  <w:endnote w:type="continuationSeparator" w:id="0">
    <w:p w14:paraId="6EC2FA8E" w14:textId="77777777" w:rsidR="00F87671" w:rsidRDefault="00F8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imSu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9557" w14:textId="77777777" w:rsidR="00042E98" w:rsidRDefault="00042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2C19" w14:textId="77777777" w:rsidR="000C3D22" w:rsidRDefault="000C3D22">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9FA6" w14:textId="77777777" w:rsidR="00042E98" w:rsidRDefault="0004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B200F" w14:textId="77777777" w:rsidR="00F87671" w:rsidRDefault="00F87671">
      <w:r>
        <w:separator/>
      </w:r>
    </w:p>
  </w:footnote>
  <w:footnote w:type="continuationSeparator" w:id="0">
    <w:p w14:paraId="3047D4E8" w14:textId="77777777" w:rsidR="00F87671" w:rsidRDefault="00F87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97DE" w14:textId="27FFC3D5" w:rsidR="00042E98" w:rsidRDefault="00042E98">
    <w:pPr>
      <w:pStyle w:val="Header"/>
    </w:pPr>
    <w:r>
      <w:rPr>
        <w:noProof/>
      </w:rPr>
      <w:pict w14:anchorId="520BC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2" o:spid="_x0000_s2050"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5A29" w14:textId="552A487E" w:rsidR="000C3D22" w:rsidRDefault="00042E98">
    <w:pPr>
      <w:pStyle w:val="HeaderFooter"/>
      <w:rPr>
        <w:rFonts w:hint="eastAsia"/>
      </w:rPr>
    </w:pPr>
    <w:r>
      <w:rPr>
        <w:noProof/>
      </w:rPr>
      <w:pict w14:anchorId="24546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3" o:spid="_x0000_s2051"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2933" w14:textId="28828FA1" w:rsidR="00042E98" w:rsidRDefault="00042E98">
    <w:pPr>
      <w:pStyle w:val="Header"/>
    </w:pPr>
    <w:r>
      <w:rPr>
        <w:noProof/>
      </w:rPr>
      <w:pict w14:anchorId="7860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1" o:spid="_x0000_s2049"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B4831"/>
    <w:multiLevelType w:val="hybridMultilevel"/>
    <w:tmpl w:val="7C066C34"/>
    <w:styleLink w:val="Numbered"/>
    <w:lvl w:ilvl="0" w:tplc="954AC9E8">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404650E8">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3BE2988C">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C708369C">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6BA40BA2">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8CF63466">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A216D806">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DBD4E374">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90C2F41A">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845521A"/>
    <w:multiLevelType w:val="hybridMultilevel"/>
    <w:tmpl w:val="7C066C34"/>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22"/>
    <w:rsid w:val="00042E98"/>
    <w:rsid w:val="000C3D22"/>
    <w:rsid w:val="000D6C13"/>
    <w:rsid w:val="001305A8"/>
    <w:rsid w:val="001A6752"/>
    <w:rsid w:val="002060CC"/>
    <w:rsid w:val="002C5293"/>
    <w:rsid w:val="00304EBE"/>
    <w:rsid w:val="00311772"/>
    <w:rsid w:val="003A711F"/>
    <w:rsid w:val="00480E02"/>
    <w:rsid w:val="00604BF2"/>
    <w:rsid w:val="006478B5"/>
    <w:rsid w:val="00674F5F"/>
    <w:rsid w:val="006938CF"/>
    <w:rsid w:val="007002F8"/>
    <w:rsid w:val="007E634E"/>
    <w:rsid w:val="008B2129"/>
    <w:rsid w:val="009D3600"/>
    <w:rsid w:val="00AA3E1A"/>
    <w:rsid w:val="00C025F5"/>
    <w:rsid w:val="00C93B1E"/>
    <w:rsid w:val="00E029EC"/>
    <w:rsid w:val="00E42F7E"/>
    <w:rsid w:val="00E449EB"/>
    <w:rsid w:val="00E96599"/>
    <w:rsid w:val="00EB3915"/>
    <w:rsid w:val="00F55A3E"/>
    <w:rsid w:val="00F87671"/>
    <w:rsid w:val="00F96FFB"/>
    <w:rsid w:val="00FD0C68"/>
    <w:rsid w:val="00FF75C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DBDDA"/>
  <w15:docId w15:val="{535104FF-9430-454F-91C6-6CAF814B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ta-IN"/>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pt-PT"/>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563C1"/>
      <w:u w:val="single" w:color="0563C1"/>
    </w:rPr>
  </w:style>
  <w:style w:type="numbering" w:customStyle="1" w:styleId="Numbered">
    <w:name w:val="Numbered"/>
    <w:pPr>
      <w:numPr>
        <w:numId w:val="1"/>
      </w:numPr>
    </w:pPr>
  </w:style>
  <w:style w:type="character" w:customStyle="1" w:styleId="None">
    <w:name w:val="None"/>
    <w:rsid w:val="000D6C13"/>
  </w:style>
  <w:style w:type="character" w:styleId="UnresolvedMention">
    <w:name w:val="Unresolved Mention"/>
    <w:basedOn w:val="DefaultParagraphFont"/>
    <w:uiPriority w:val="99"/>
    <w:semiHidden/>
    <w:unhideWhenUsed/>
    <w:rsid w:val="00311772"/>
    <w:rPr>
      <w:color w:val="605E5C"/>
      <w:shd w:val="clear" w:color="auto" w:fill="E1DFDD"/>
    </w:rPr>
  </w:style>
  <w:style w:type="paragraph" w:styleId="Header">
    <w:name w:val="header"/>
    <w:basedOn w:val="Normal"/>
    <w:link w:val="HeaderChar"/>
    <w:uiPriority w:val="99"/>
    <w:unhideWhenUsed/>
    <w:rsid w:val="00042E98"/>
    <w:pPr>
      <w:tabs>
        <w:tab w:val="center" w:pos="4680"/>
        <w:tab w:val="right" w:pos="9360"/>
      </w:tabs>
    </w:pPr>
  </w:style>
  <w:style w:type="character" w:customStyle="1" w:styleId="HeaderChar">
    <w:name w:val="Header Char"/>
    <w:basedOn w:val="DefaultParagraphFont"/>
    <w:link w:val="Header"/>
    <w:uiPriority w:val="99"/>
    <w:rsid w:val="00042E98"/>
    <w:rPr>
      <w:sz w:val="24"/>
      <w:szCs w:val="24"/>
      <w:lang w:bidi="ar-SA"/>
    </w:rPr>
  </w:style>
  <w:style w:type="paragraph" w:styleId="Footer">
    <w:name w:val="footer"/>
    <w:basedOn w:val="Normal"/>
    <w:link w:val="FooterChar"/>
    <w:uiPriority w:val="99"/>
    <w:unhideWhenUsed/>
    <w:rsid w:val="00042E98"/>
    <w:pPr>
      <w:tabs>
        <w:tab w:val="center" w:pos="4680"/>
        <w:tab w:val="right" w:pos="9360"/>
      </w:tabs>
    </w:pPr>
  </w:style>
  <w:style w:type="character" w:customStyle="1" w:styleId="FooterChar">
    <w:name w:val="Footer Char"/>
    <w:basedOn w:val="DefaultParagraphFont"/>
    <w:link w:val="Footer"/>
    <w:uiPriority w:val="99"/>
    <w:rsid w:val="00042E98"/>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cp:revision>
  <dcterms:created xsi:type="dcterms:W3CDTF">2026-01-07T11:36:00Z</dcterms:created>
  <dcterms:modified xsi:type="dcterms:W3CDTF">2026-01-08T07:21:00Z</dcterms:modified>
</cp:coreProperties>
</file>